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426C" w14:textId="77777777" w:rsidR="00C556B8" w:rsidRDefault="00C556B8" w:rsidP="00C556B8">
      <w:pPr>
        <w:tabs>
          <w:tab w:val="center" w:pos="2490"/>
        </w:tabs>
        <w:spacing w:after="0" w:line="240" w:lineRule="auto"/>
        <w:ind w:left="0" w:firstLine="0"/>
        <w:jc w:val="center"/>
        <w:rPr>
          <w:b/>
          <w:sz w:val="22"/>
        </w:rPr>
      </w:pPr>
      <w:r>
        <w:rPr>
          <w:b/>
          <w:sz w:val="22"/>
        </w:rPr>
        <w:t>SÚHRN CHARAKTERISTICKÝCH VLASTNOSTÍ LIEKU</w:t>
      </w:r>
    </w:p>
    <w:p w14:paraId="018EFD15" w14:textId="77777777" w:rsidR="00C556B8" w:rsidRDefault="00C556B8" w:rsidP="00C556B8">
      <w:pPr>
        <w:tabs>
          <w:tab w:val="center" w:pos="2490"/>
        </w:tabs>
        <w:spacing w:after="0" w:line="240" w:lineRule="auto"/>
        <w:ind w:left="0" w:firstLine="0"/>
        <w:rPr>
          <w:b/>
          <w:sz w:val="22"/>
          <w:lang w:val="en-GB"/>
        </w:rPr>
      </w:pPr>
    </w:p>
    <w:p w14:paraId="658FCBEB" w14:textId="77777777" w:rsidR="00C556B8" w:rsidRDefault="00C556B8" w:rsidP="00833B71">
      <w:pPr>
        <w:tabs>
          <w:tab w:val="center" w:pos="2490"/>
        </w:tabs>
        <w:spacing w:after="0" w:line="240" w:lineRule="auto"/>
        <w:ind w:left="0" w:firstLine="0"/>
        <w:rPr>
          <w:b/>
          <w:sz w:val="22"/>
          <w:lang w:val="en-GB"/>
        </w:rPr>
      </w:pPr>
    </w:p>
    <w:p w14:paraId="588EE68A" w14:textId="77777777" w:rsidR="00B07789" w:rsidRPr="00A731E1" w:rsidRDefault="00D25089" w:rsidP="002F7708">
      <w:pPr>
        <w:tabs>
          <w:tab w:val="center" w:pos="2490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 xml:space="preserve">1. </w:t>
      </w:r>
      <w:r>
        <w:rPr>
          <w:b/>
          <w:sz w:val="22"/>
        </w:rPr>
        <w:tab/>
        <w:t>NÁZOV LIEKU</w:t>
      </w:r>
    </w:p>
    <w:p w14:paraId="7D2F1E36" w14:textId="77777777" w:rsidR="00B07789" w:rsidRPr="00A731E1" w:rsidRDefault="00B07789" w:rsidP="00833B71">
      <w:pPr>
        <w:spacing w:after="0" w:line="240" w:lineRule="auto"/>
        <w:ind w:left="0" w:firstLine="0"/>
        <w:rPr>
          <w:sz w:val="22"/>
          <w:lang w:val="en-GB"/>
        </w:rPr>
      </w:pPr>
    </w:p>
    <w:p w14:paraId="13A6F4E8" w14:textId="0FFD55AD" w:rsidR="00B07789" w:rsidRPr="00A731E1" w:rsidRDefault="00CF1822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>
        <w:rPr>
          <w:sz w:val="22"/>
        </w:rPr>
        <w:t xml:space="preserve"> </w:t>
      </w:r>
      <w:r w:rsidR="00635B73">
        <w:rPr>
          <w:sz w:val="22"/>
        </w:rPr>
        <w:t>5 mg filmom obalené tablety</w:t>
      </w:r>
    </w:p>
    <w:p w14:paraId="070E225B" w14:textId="77777777" w:rsidR="00B07789" w:rsidRPr="00A731E1" w:rsidRDefault="00B07789" w:rsidP="00833B71">
      <w:pPr>
        <w:spacing w:after="0" w:line="240" w:lineRule="auto"/>
        <w:ind w:left="0" w:firstLine="0"/>
        <w:rPr>
          <w:sz w:val="22"/>
          <w:lang w:val="en-GB"/>
        </w:rPr>
      </w:pPr>
    </w:p>
    <w:p w14:paraId="4448A7C5" w14:textId="77777777" w:rsidR="00B07789" w:rsidRPr="00A731E1" w:rsidRDefault="00B07789" w:rsidP="00833B71">
      <w:pPr>
        <w:spacing w:after="0" w:line="240" w:lineRule="auto"/>
        <w:ind w:left="0" w:firstLine="0"/>
        <w:rPr>
          <w:sz w:val="22"/>
          <w:lang w:val="en-GB"/>
        </w:rPr>
      </w:pPr>
    </w:p>
    <w:p w14:paraId="3258F893" w14:textId="77777777" w:rsidR="00B07789" w:rsidRPr="00A731E1" w:rsidRDefault="00D25089" w:rsidP="002F7708">
      <w:pPr>
        <w:pStyle w:val="Nadpis1"/>
        <w:tabs>
          <w:tab w:val="center" w:pos="3189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ab/>
        <w:t>KVALITATÍVNE A KVANTITATÍVNE ZLOŽENIE</w:t>
      </w:r>
    </w:p>
    <w:p w14:paraId="1A44E83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08E0E8D" w14:textId="75117610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Každá filmom obalená tableta obsahuje 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</w:p>
    <w:p w14:paraId="44D11F5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25AD6BC9" w14:textId="303CBA10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Pomocné látky so známym účinkom: </w:t>
      </w:r>
      <w:proofErr w:type="spellStart"/>
      <w:r>
        <w:rPr>
          <w:sz w:val="22"/>
        </w:rPr>
        <w:t>monohydrát</w:t>
      </w:r>
      <w:proofErr w:type="spellEnd"/>
      <w:r>
        <w:rPr>
          <w:sz w:val="22"/>
        </w:rPr>
        <w:t xml:space="preserve"> laktózy.</w:t>
      </w:r>
    </w:p>
    <w:p w14:paraId="090CC38F" w14:textId="125AD6A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Každá 5 mg filmom obalená tableta obsahuje 1,68 mg laktózy (pozri časť 4.4).</w:t>
      </w:r>
    </w:p>
    <w:p w14:paraId="49B6E7A4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08E15C3E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Úplný zoznam pomocných látok, pozri časť 6.1.</w:t>
      </w:r>
    </w:p>
    <w:p w14:paraId="68F43978" w14:textId="77777777" w:rsidR="00DA510E" w:rsidRPr="007E6137" w:rsidRDefault="00DA510E" w:rsidP="00DA510E">
      <w:pPr>
        <w:spacing w:after="0" w:line="240" w:lineRule="auto"/>
        <w:ind w:left="0" w:firstLine="0"/>
        <w:rPr>
          <w:sz w:val="22"/>
        </w:rPr>
      </w:pPr>
    </w:p>
    <w:p w14:paraId="33E6104F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C0C8809" w14:textId="77777777" w:rsidR="00B07789" w:rsidRPr="00A731E1" w:rsidRDefault="00D25089" w:rsidP="002F7708">
      <w:pPr>
        <w:pStyle w:val="Nadpis1"/>
        <w:tabs>
          <w:tab w:val="center" w:pos="1935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3. </w:t>
      </w:r>
      <w:r>
        <w:rPr>
          <w:sz w:val="22"/>
        </w:rPr>
        <w:tab/>
        <w:t>LIEKOVÁ FORMA</w:t>
      </w:r>
    </w:p>
    <w:p w14:paraId="27CB72E0" w14:textId="77777777" w:rsidR="00B07789" w:rsidRPr="00A731E1" w:rsidRDefault="00B07789" w:rsidP="00833B71">
      <w:pPr>
        <w:spacing w:after="0" w:line="240" w:lineRule="auto"/>
        <w:ind w:left="0" w:firstLine="0"/>
        <w:rPr>
          <w:sz w:val="22"/>
          <w:lang w:val="en-GB"/>
        </w:rPr>
      </w:pPr>
    </w:p>
    <w:p w14:paraId="4302B84B" w14:textId="570438B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Filmom obalená tableta</w:t>
      </w:r>
    </w:p>
    <w:p w14:paraId="5A64E292" w14:textId="095C1159" w:rsidR="00B07789" w:rsidRPr="00A731E1" w:rsidRDefault="00D007D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Podlhovasté, bikonvexné, filmom obalené tablety ružovej farby s dĺžkou 9,9 – 10,3 mm a šírkou 4,9 – 5,3 mm.</w:t>
      </w:r>
    </w:p>
    <w:p w14:paraId="6B54E642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3126F68" w14:textId="77777777" w:rsidR="004A4149" w:rsidRPr="007E6137" w:rsidRDefault="004A4149" w:rsidP="00833B71">
      <w:pPr>
        <w:spacing w:after="0" w:line="240" w:lineRule="auto"/>
        <w:ind w:left="0" w:firstLine="0"/>
        <w:rPr>
          <w:sz w:val="22"/>
        </w:rPr>
      </w:pPr>
    </w:p>
    <w:p w14:paraId="6548C551" w14:textId="77777777" w:rsidR="00B07789" w:rsidRPr="00A731E1" w:rsidRDefault="00D25089" w:rsidP="002F7708">
      <w:pPr>
        <w:pStyle w:val="Nadpis1"/>
        <w:tabs>
          <w:tab w:val="center" w:pos="1872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4. </w:t>
      </w:r>
      <w:r>
        <w:rPr>
          <w:sz w:val="22"/>
        </w:rPr>
        <w:tab/>
        <w:t>KLINICKÉ ÚDAJE</w:t>
      </w:r>
    </w:p>
    <w:p w14:paraId="33C69AC7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52CA2C7" w14:textId="77777777" w:rsidR="00B07789" w:rsidRPr="00A731E1" w:rsidRDefault="00D25089" w:rsidP="002F7708">
      <w:pPr>
        <w:pStyle w:val="Nadpis2"/>
        <w:tabs>
          <w:tab w:val="center" w:pos="1630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4.1 </w:t>
      </w:r>
      <w:r>
        <w:rPr>
          <w:b/>
          <w:sz w:val="22"/>
          <w:u w:val="none"/>
        </w:rPr>
        <w:tab/>
        <w:t>Terapeutické indikácie</w:t>
      </w:r>
    </w:p>
    <w:p w14:paraId="7C6D8800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10774CB" w14:textId="348FF315" w:rsidR="00B07789" w:rsidRPr="00A731E1" w:rsidRDefault="00D25089" w:rsidP="00833B71">
      <w:pPr>
        <w:spacing w:after="0" w:line="240" w:lineRule="auto"/>
        <w:ind w:left="0" w:right="106"/>
        <w:rPr>
          <w:sz w:val="22"/>
        </w:rPr>
      </w:pPr>
      <w:r>
        <w:rPr>
          <w:sz w:val="22"/>
        </w:rPr>
        <w:t xml:space="preserve">Prevencia </w:t>
      </w:r>
      <w:r w:rsidR="008A37E3">
        <w:rPr>
          <w:sz w:val="22"/>
        </w:rPr>
        <w:t xml:space="preserve">cievnej </w:t>
      </w:r>
      <w:r>
        <w:rPr>
          <w:sz w:val="22"/>
        </w:rPr>
        <w:t xml:space="preserve">mozgovej príhody a systémovej embólie u dospelých pacientov s </w:t>
      </w:r>
      <w:proofErr w:type="spellStart"/>
      <w:r>
        <w:rPr>
          <w:sz w:val="22"/>
        </w:rPr>
        <w:t>nevalvulárnou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predsiení (NVAF) s jedným alebo viacerými rizikovými faktormi, ako napríklad prekonaná cievna mozgová príhoda alebo </w:t>
      </w:r>
      <w:proofErr w:type="spellStart"/>
      <w:r>
        <w:rPr>
          <w:sz w:val="22"/>
        </w:rPr>
        <w:t>tranzitórny</w:t>
      </w:r>
      <w:proofErr w:type="spellEnd"/>
      <w:r>
        <w:rPr>
          <w:sz w:val="22"/>
        </w:rPr>
        <w:t xml:space="preserve"> ischemický atak (TIA); vek ≥ 75 rokov; hypertenzia; diabetes mellitus; symptomatické zlyh</w:t>
      </w:r>
      <w:r w:rsidR="008A37E3">
        <w:rPr>
          <w:sz w:val="22"/>
        </w:rPr>
        <w:t>ávanie srdca</w:t>
      </w:r>
      <w:r>
        <w:rPr>
          <w:sz w:val="22"/>
        </w:rPr>
        <w:t xml:space="preserve"> (NYHA trieda ≥ II).</w:t>
      </w:r>
    </w:p>
    <w:p w14:paraId="66184EE9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4D981F34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Liečba hlbokej </w:t>
      </w:r>
      <w:proofErr w:type="spellStart"/>
      <w:r>
        <w:rPr>
          <w:sz w:val="22"/>
        </w:rPr>
        <w:t>venóznej</w:t>
      </w:r>
      <w:proofErr w:type="spellEnd"/>
      <w:r>
        <w:rPr>
          <w:sz w:val="22"/>
        </w:rPr>
        <w:t xml:space="preserve"> trombózy (DVT) a pľúcnej embólie (PE) a prevencia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u dospelých (</w:t>
      </w:r>
      <w:proofErr w:type="spellStart"/>
      <w:r>
        <w:rPr>
          <w:sz w:val="22"/>
        </w:rPr>
        <w:t>hemodynamicky</w:t>
      </w:r>
      <w:proofErr w:type="spellEnd"/>
      <w:r>
        <w:rPr>
          <w:sz w:val="22"/>
        </w:rPr>
        <w:t xml:space="preserve"> nestabilní pacienti s PE, pozri časť 4.4).</w:t>
      </w:r>
    </w:p>
    <w:p w14:paraId="5FF1F092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5FA6F358" w14:textId="77777777" w:rsidR="00B07789" w:rsidRPr="00A731E1" w:rsidRDefault="00D25089" w:rsidP="002F7708">
      <w:pPr>
        <w:tabs>
          <w:tab w:val="center" w:pos="2319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4.2</w:t>
      </w:r>
      <w:r>
        <w:rPr>
          <w:b/>
          <w:sz w:val="22"/>
        </w:rPr>
        <w:tab/>
        <w:t>Dávkovanie a spôsob podávania</w:t>
      </w:r>
    </w:p>
    <w:p w14:paraId="22D25CCC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B3ED22D" w14:textId="77777777" w:rsidR="00B07789" w:rsidRPr="00A731E1" w:rsidRDefault="00D25089" w:rsidP="00833B71">
      <w:pPr>
        <w:pStyle w:val="Nadpis2"/>
        <w:spacing w:after="0" w:line="240" w:lineRule="auto"/>
        <w:ind w:left="0" w:firstLine="0"/>
        <w:rPr>
          <w:sz w:val="22"/>
        </w:rPr>
      </w:pPr>
      <w:r>
        <w:rPr>
          <w:sz w:val="22"/>
        </w:rPr>
        <w:t>Dávkovanie</w:t>
      </w:r>
    </w:p>
    <w:p w14:paraId="341200E9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1B9A829" w14:textId="1090C839" w:rsidR="00323A37" w:rsidRDefault="00D25089" w:rsidP="00833B71">
      <w:pPr>
        <w:spacing w:after="0" w:line="240" w:lineRule="auto"/>
        <w:ind w:left="0"/>
        <w:rPr>
          <w:i/>
          <w:sz w:val="22"/>
        </w:rPr>
      </w:pPr>
      <w:r>
        <w:rPr>
          <w:i/>
          <w:sz w:val="22"/>
          <w:u w:val="single" w:color="000000"/>
        </w:rPr>
        <w:t xml:space="preserve">Prevencia </w:t>
      </w:r>
      <w:r w:rsidR="008A37E3">
        <w:rPr>
          <w:i/>
          <w:sz w:val="22"/>
          <w:u w:val="single" w:color="000000"/>
        </w:rPr>
        <w:t>cievnej</w:t>
      </w:r>
      <w:r>
        <w:rPr>
          <w:i/>
          <w:sz w:val="22"/>
          <w:u w:val="single" w:color="000000"/>
        </w:rPr>
        <w:t xml:space="preserve"> mozgovej príhody a systémovej embólie u pacientov s </w:t>
      </w:r>
      <w:proofErr w:type="spellStart"/>
      <w:r>
        <w:rPr>
          <w:i/>
          <w:sz w:val="22"/>
          <w:u w:val="single" w:color="000000"/>
        </w:rPr>
        <w:t>nevalvulárnou</w:t>
      </w:r>
      <w:proofErr w:type="spellEnd"/>
      <w:r>
        <w:rPr>
          <w:i/>
          <w:sz w:val="22"/>
          <w:u w:val="single" w:color="000000"/>
        </w:rPr>
        <w:t xml:space="preserve"> </w:t>
      </w:r>
      <w:proofErr w:type="spellStart"/>
      <w:r>
        <w:rPr>
          <w:i/>
          <w:sz w:val="22"/>
          <w:u w:val="single" w:color="000000"/>
        </w:rPr>
        <w:t>fibriláciou</w:t>
      </w:r>
      <w:proofErr w:type="spellEnd"/>
      <w:r>
        <w:rPr>
          <w:i/>
          <w:sz w:val="22"/>
          <w:u w:val="single" w:color="000000"/>
        </w:rPr>
        <w:t xml:space="preserve"> predsiení (NVAF)</w:t>
      </w:r>
      <w:r>
        <w:rPr>
          <w:i/>
          <w:sz w:val="22"/>
        </w:rPr>
        <w:t xml:space="preserve"> </w:t>
      </w:r>
    </w:p>
    <w:p w14:paraId="3A750B9B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Odporúčaná dávka je 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, ktorá sa užíva perorálne dvakrát denne.</w:t>
      </w:r>
    </w:p>
    <w:p w14:paraId="374B039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3D48560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</w:rPr>
        <w:t xml:space="preserve">Zníženie dávky </w:t>
      </w:r>
    </w:p>
    <w:p w14:paraId="1B0D9A74" w14:textId="77777777" w:rsidR="00B07789" w:rsidRPr="00A731E1" w:rsidRDefault="00D25089" w:rsidP="00833B71">
      <w:pPr>
        <w:spacing w:after="0" w:line="240" w:lineRule="auto"/>
        <w:ind w:left="0" w:right="182"/>
        <w:rPr>
          <w:sz w:val="22"/>
        </w:rPr>
      </w:pPr>
      <w:r>
        <w:rPr>
          <w:sz w:val="22"/>
        </w:rPr>
        <w:t xml:space="preserve">U pacientov s NVAF a minimálne s dvoma nasledujúcimi charakteristikami: vek ≥ 80 rokov, telesná hmotnosť ≤ 60 kg alebo sérový </w:t>
      </w:r>
      <w:proofErr w:type="spellStart"/>
      <w:r>
        <w:rPr>
          <w:sz w:val="22"/>
        </w:rPr>
        <w:t>kreatinín</w:t>
      </w:r>
      <w:proofErr w:type="spellEnd"/>
      <w:r>
        <w:rPr>
          <w:sz w:val="22"/>
        </w:rPr>
        <w:t xml:space="preserve"> ≥ 1,5 mg/dl (133 </w:t>
      </w:r>
      <w:proofErr w:type="spellStart"/>
      <w:r>
        <w:rPr>
          <w:sz w:val="22"/>
        </w:rPr>
        <w:t>mikromol</w:t>
      </w:r>
      <w:proofErr w:type="spellEnd"/>
      <w:r>
        <w:rPr>
          <w:sz w:val="22"/>
        </w:rPr>
        <w:t xml:space="preserve">/l) je odporúčaná dávka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2,5 mg užívaná perorálne dvakrát denne. </w:t>
      </w:r>
    </w:p>
    <w:p w14:paraId="73EB212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E643DF9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Liečba má pokračovať dlhodobo. </w:t>
      </w:r>
    </w:p>
    <w:p w14:paraId="06AA3AB9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4B9B86B3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 xml:space="preserve">Liečba DVT, liečba PE a prevencia </w:t>
      </w:r>
      <w:proofErr w:type="spellStart"/>
      <w:r>
        <w:rPr>
          <w:i/>
          <w:sz w:val="22"/>
          <w:u w:val="single" w:color="000000"/>
        </w:rPr>
        <w:t>rekurentnej</w:t>
      </w:r>
      <w:proofErr w:type="spellEnd"/>
      <w:r>
        <w:rPr>
          <w:i/>
          <w:sz w:val="22"/>
          <w:u w:val="single" w:color="000000"/>
        </w:rPr>
        <w:t xml:space="preserve"> DVT a PE (</w:t>
      </w:r>
      <w:proofErr w:type="spellStart"/>
      <w:r>
        <w:rPr>
          <w:i/>
          <w:sz w:val="22"/>
          <w:u w:val="single" w:color="000000"/>
        </w:rPr>
        <w:t>VTEt</w:t>
      </w:r>
      <w:proofErr w:type="spellEnd"/>
      <w:r>
        <w:rPr>
          <w:i/>
          <w:sz w:val="22"/>
          <w:u w:val="single" w:color="000000"/>
        </w:rPr>
        <w:t>)</w:t>
      </w:r>
      <w:r>
        <w:rPr>
          <w:sz w:val="22"/>
        </w:rPr>
        <w:t xml:space="preserve"> </w:t>
      </w:r>
    </w:p>
    <w:p w14:paraId="288B6369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 xml:space="preserve">Odporúčaná dávka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liečbu akútnej DVT a liečbu PE je 10 mg užívaných perorálne dvakrát denne počas prvých 7 dní, po ktorých nasleduje 5 mg užívaných perorálne dvakrát denne. Na základe dostupných lekárskych odporúčaní sa má krátke trvanie liečby (minimálne 3 mesiace) zakladať na prítomnosti dočasných rizikových faktorov (napr. chirurgický zákrok v nedávnej minulosti, trauma, </w:t>
      </w:r>
      <w:proofErr w:type="spellStart"/>
      <w:r>
        <w:rPr>
          <w:sz w:val="22"/>
        </w:rPr>
        <w:t>imobilizácia</w:t>
      </w:r>
      <w:proofErr w:type="spellEnd"/>
      <w:r>
        <w:rPr>
          <w:sz w:val="22"/>
        </w:rPr>
        <w:t xml:space="preserve">). </w:t>
      </w:r>
    </w:p>
    <w:p w14:paraId="0671799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A51F2B7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Odporúčaná dávka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je 2,5 mg užívaných perorálne dvakrát denne. Ak sa indikuje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PE, dávka 2,5 mg dvakrát denne sa má začať podávať po ukončení 6-mesačnej liečby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dávkou 5 mg dvakrát </w:t>
      </w:r>
      <w:bookmarkStart w:id="0" w:name="_GoBack"/>
      <w:bookmarkEnd w:id="0"/>
      <w:r>
        <w:rPr>
          <w:sz w:val="22"/>
        </w:rPr>
        <w:t xml:space="preserve">denne alebo iným </w:t>
      </w:r>
      <w:proofErr w:type="spellStart"/>
      <w:r>
        <w:rPr>
          <w:sz w:val="22"/>
        </w:rPr>
        <w:t>antikoagulantom</w:t>
      </w:r>
      <w:proofErr w:type="spellEnd"/>
      <w:r>
        <w:rPr>
          <w:sz w:val="22"/>
        </w:rPr>
        <w:t xml:space="preserve">, ako je to vyznačené v tabuľke 1 nižšie (pozri tiež časť 5.1). </w:t>
      </w:r>
    </w:p>
    <w:p w14:paraId="44D9290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A08B801" w14:textId="77777777" w:rsidR="00B07789" w:rsidRPr="00513BD2" w:rsidRDefault="00D25089" w:rsidP="00833B71">
      <w:pPr>
        <w:keepNext/>
        <w:spacing w:after="0" w:line="240" w:lineRule="auto"/>
        <w:ind w:left="0"/>
        <w:rPr>
          <w:b/>
          <w:sz w:val="22"/>
        </w:rPr>
      </w:pPr>
      <w:r>
        <w:rPr>
          <w:b/>
          <w:sz w:val="22"/>
        </w:rPr>
        <w:t xml:space="preserve">Tabuľka 1 </w:t>
      </w:r>
    </w:p>
    <w:tbl>
      <w:tblPr>
        <w:tblStyle w:val="TableGrid"/>
        <w:tblW w:w="9498" w:type="dxa"/>
        <w:tblInd w:w="-4" w:type="dxa"/>
        <w:tblCellMar>
          <w:top w:w="54" w:type="dxa"/>
          <w:left w:w="101" w:type="dxa"/>
          <w:right w:w="78" w:type="dxa"/>
        </w:tblCellMar>
        <w:tblLook w:val="04A0" w:firstRow="1" w:lastRow="0" w:firstColumn="1" w:lastColumn="0" w:noHBand="0" w:noVBand="1"/>
      </w:tblPr>
      <w:tblGrid>
        <w:gridCol w:w="3654"/>
        <w:gridCol w:w="2922"/>
        <w:gridCol w:w="2922"/>
      </w:tblGrid>
      <w:tr w:rsidR="00B07789" w:rsidRPr="00A731E1" w14:paraId="54E68EFE" w14:textId="77777777" w:rsidTr="00833B71">
        <w:trPr>
          <w:trHeight w:val="398"/>
        </w:trPr>
        <w:tc>
          <w:tcPr>
            <w:tcW w:w="35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87E7DD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D6D989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Dávkovací režim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6424DA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Maximálna denná dávka </w:t>
            </w:r>
          </w:p>
        </w:tc>
      </w:tr>
      <w:tr w:rsidR="00B07789" w:rsidRPr="00A731E1" w14:paraId="3D99229A" w14:textId="77777777" w:rsidTr="00833B71">
        <w:trPr>
          <w:trHeight w:val="397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C089146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Liečba DVT alebo PE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B9EC97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10 mg dvakrát denne počas prvých 7 dní,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AB6459A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20 mg </w:t>
            </w:r>
          </w:p>
        </w:tc>
      </w:tr>
      <w:tr w:rsidR="00B07789" w:rsidRPr="00A731E1" w14:paraId="71FDA260" w14:textId="77777777" w:rsidTr="00833B71">
        <w:trPr>
          <w:trHeight w:val="267"/>
        </w:trPr>
        <w:tc>
          <w:tcPr>
            <w:tcW w:w="354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D138F3" w14:textId="77777777" w:rsidR="00B07789" w:rsidRPr="00A731E1" w:rsidRDefault="00B07789" w:rsidP="00833B71">
            <w:pPr>
              <w:keepNext/>
              <w:spacing w:after="0" w:line="240" w:lineRule="auto"/>
              <w:ind w:left="0" w:firstLine="0"/>
              <w:rPr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82954D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po ktorých nasleduje 5 mg dvakrát denne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66858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10 mg </w:t>
            </w:r>
          </w:p>
        </w:tc>
      </w:tr>
      <w:tr w:rsidR="00B07789" w:rsidRPr="00A731E1" w14:paraId="738E1610" w14:textId="77777777" w:rsidTr="00833B71">
        <w:trPr>
          <w:trHeight w:val="797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4B35BC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Prevencia </w:t>
            </w:r>
            <w:proofErr w:type="spellStart"/>
            <w:r>
              <w:rPr>
                <w:sz w:val="22"/>
              </w:rPr>
              <w:t>rekurentnej</w:t>
            </w:r>
            <w:proofErr w:type="spellEnd"/>
            <w:r>
              <w:rPr>
                <w:sz w:val="22"/>
              </w:rPr>
              <w:t xml:space="preserve"> DVT a/alebo PE po ukončení 6-mesačnej liečby pri DVT alebo PE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5946B0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2,5 mg dvakrát denne </w:t>
            </w:r>
          </w:p>
          <w:p w14:paraId="55F99C29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E8C302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5 mg </w:t>
            </w:r>
          </w:p>
        </w:tc>
      </w:tr>
    </w:tbl>
    <w:p w14:paraId="2CF16B0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4A4F30B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Celkové trvanie liečby má byť individuálne nastavené po starostlivom zhodnotení prínosu liečby oproti riziku krvácania (pozri časť 4.4) </w:t>
      </w:r>
    </w:p>
    <w:p w14:paraId="070CC99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09F2CA2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Vynechanie dávky</w:t>
      </w:r>
      <w:r>
        <w:rPr>
          <w:i/>
          <w:sz w:val="22"/>
        </w:rPr>
        <w:t xml:space="preserve"> </w:t>
      </w:r>
    </w:p>
    <w:p w14:paraId="457FF6DA" w14:textId="3CD9AC9D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Ak sa vynechá dávka, pacient má užiť </w:t>
      </w:r>
      <w:proofErr w:type="spellStart"/>
      <w:r w:rsidR="008A37E3">
        <w:rPr>
          <w:sz w:val="22"/>
        </w:rPr>
        <w:t>Polapix</w:t>
      </w:r>
      <w:proofErr w:type="spellEnd"/>
      <w:r>
        <w:rPr>
          <w:sz w:val="22"/>
        </w:rPr>
        <w:t xml:space="preserve"> okamžite</w:t>
      </w:r>
      <w:r w:rsidR="008A37E3">
        <w:rPr>
          <w:sz w:val="22"/>
        </w:rPr>
        <w:t>,</w:t>
      </w:r>
      <w:r>
        <w:rPr>
          <w:sz w:val="22"/>
        </w:rPr>
        <w:t xml:space="preserve"> a potom pokračovať v užívaní dvakrát denne ako predtým. </w:t>
      </w:r>
    </w:p>
    <w:p w14:paraId="592DE54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0C1DE10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Zmena liečby</w:t>
      </w:r>
      <w:r>
        <w:rPr>
          <w:i/>
          <w:sz w:val="22"/>
        </w:rPr>
        <w:t xml:space="preserve"> </w:t>
      </w:r>
    </w:p>
    <w:p w14:paraId="3870DCA9" w14:textId="05BFE9C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Zmena liečby z </w:t>
      </w:r>
      <w:proofErr w:type="spellStart"/>
      <w:r>
        <w:rPr>
          <w:sz w:val="22"/>
        </w:rPr>
        <w:t>parenterálnych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antikoagul</w:t>
      </w:r>
      <w:r w:rsidR="00F84CB0">
        <w:rPr>
          <w:sz w:val="22"/>
        </w:rPr>
        <w:t>ancií</w:t>
      </w:r>
      <w:proofErr w:type="spellEnd"/>
      <w:r w:rsidR="00F84CB0">
        <w:rPr>
          <w:sz w:val="22"/>
        </w:rPr>
        <w:t xml:space="preserve"> na </w:t>
      </w:r>
      <w:proofErr w:type="spellStart"/>
      <w:r w:rsidR="00F84CB0">
        <w:rPr>
          <w:sz w:val="22"/>
        </w:rPr>
        <w:t>Polapix</w:t>
      </w:r>
      <w:proofErr w:type="spellEnd"/>
      <w:r>
        <w:rPr>
          <w:sz w:val="22"/>
        </w:rPr>
        <w:t xml:space="preserve"> (a naopak) sa môže uskutočniť pri ďalšej plánovanej dávke (pozri časť 4.5). Tieto lieky by sa nemali podávať sú</w:t>
      </w:r>
      <w:r w:rsidR="008A37E3">
        <w:rPr>
          <w:sz w:val="22"/>
        </w:rPr>
        <w:t>bežne</w:t>
      </w:r>
      <w:r>
        <w:rPr>
          <w:sz w:val="22"/>
        </w:rPr>
        <w:t xml:space="preserve">. </w:t>
      </w:r>
    </w:p>
    <w:p w14:paraId="5CCE18D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699C851D" w14:textId="362575E2" w:rsidR="00B07789" w:rsidRPr="00A731E1" w:rsidRDefault="00D25089" w:rsidP="00833B71">
      <w:pPr>
        <w:keepNext/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>Zmena liečby antagonistom vitam</w:t>
      </w:r>
      <w:r w:rsidR="00F84CB0">
        <w:rPr>
          <w:i/>
          <w:sz w:val="22"/>
        </w:rPr>
        <w:t xml:space="preserve">ínu K (VKA) na </w:t>
      </w:r>
      <w:proofErr w:type="spellStart"/>
      <w:r w:rsidR="00F84CB0">
        <w:rPr>
          <w:i/>
          <w:sz w:val="22"/>
        </w:rPr>
        <w:t>Polapix</w:t>
      </w:r>
      <w:proofErr w:type="spellEnd"/>
      <w:r>
        <w:rPr>
          <w:i/>
          <w:sz w:val="22"/>
        </w:rPr>
        <w:t xml:space="preserve"> </w:t>
      </w:r>
    </w:p>
    <w:p w14:paraId="34AB9788" w14:textId="70C25BC5" w:rsidR="00B07789" w:rsidRPr="00A731E1" w:rsidRDefault="00D25089" w:rsidP="00833B71">
      <w:pPr>
        <w:keepNext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Pri zmene liečby z antagonistu vitamínu K (VKA) na </w:t>
      </w:r>
      <w:proofErr w:type="spellStart"/>
      <w:r w:rsidR="008A37E3">
        <w:rPr>
          <w:sz w:val="22"/>
        </w:rPr>
        <w:t>Polapix</w:t>
      </w:r>
      <w:proofErr w:type="spellEnd"/>
      <w:r>
        <w:rPr>
          <w:sz w:val="22"/>
        </w:rPr>
        <w:t xml:space="preserve"> sa má prerušiť liečba warfarínom alebo iná liečb</w:t>
      </w:r>
      <w:r w:rsidR="00F84CB0">
        <w:rPr>
          <w:sz w:val="22"/>
        </w:rPr>
        <w:t xml:space="preserve">a VKA a liečba </w:t>
      </w:r>
      <w:proofErr w:type="spellStart"/>
      <w:r w:rsidR="00F84CB0">
        <w:rPr>
          <w:sz w:val="22"/>
        </w:rPr>
        <w:t>Polapixom</w:t>
      </w:r>
      <w:proofErr w:type="spellEnd"/>
      <w:r>
        <w:rPr>
          <w:sz w:val="22"/>
        </w:rPr>
        <w:t xml:space="preserve"> sa má začať vtedy, keď je medzinárodný normalizovaný index (INR) &lt; 2. </w:t>
      </w:r>
    </w:p>
    <w:p w14:paraId="35E108C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519D7D7" w14:textId="6950B628" w:rsidR="00B07789" w:rsidRPr="00A731E1" w:rsidRDefault="00F84CB0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</w:rPr>
        <w:t xml:space="preserve">Zmena liečby z </w:t>
      </w:r>
      <w:proofErr w:type="spellStart"/>
      <w:r>
        <w:rPr>
          <w:i/>
          <w:sz w:val="22"/>
        </w:rPr>
        <w:t>Polapixu</w:t>
      </w:r>
      <w:proofErr w:type="spellEnd"/>
      <w:r w:rsidR="00D25089">
        <w:rPr>
          <w:i/>
          <w:sz w:val="22"/>
        </w:rPr>
        <w:t xml:space="preserve"> na liečbu VKA </w:t>
      </w:r>
    </w:p>
    <w:p w14:paraId="1B7A1306" w14:textId="6B478C60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Pri zmene liečby z</w:t>
      </w:r>
      <w:r w:rsidR="00EE68B4">
        <w:rPr>
          <w:sz w:val="22"/>
        </w:rPr>
        <w:t> </w:t>
      </w:r>
      <w:proofErr w:type="spellStart"/>
      <w:r w:rsidR="00031A5F">
        <w:rPr>
          <w:sz w:val="22"/>
        </w:rPr>
        <w:t>Polapixu</w:t>
      </w:r>
      <w:proofErr w:type="spellEnd"/>
      <w:r>
        <w:rPr>
          <w:sz w:val="22"/>
        </w:rPr>
        <w:t xml:space="preserve"> na liečbu VKA sa má pokračo</w:t>
      </w:r>
      <w:r w:rsidR="00F84CB0">
        <w:rPr>
          <w:sz w:val="22"/>
        </w:rPr>
        <w:t xml:space="preserve">vať v podávaní </w:t>
      </w:r>
      <w:proofErr w:type="spellStart"/>
      <w:r w:rsidR="00F84CB0">
        <w:rPr>
          <w:sz w:val="22"/>
        </w:rPr>
        <w:t>Polapixu</w:t>
      </w:r>
      <w:proofErr w:type="spellEnd"/>
      <w:r>
        <w:rPr>
          <w:sz w:val="22"/>
        </w:rPr>
        <w:t xml:space="preserve"> minimálne 2 dni po začatí liečby VKA. Po 2 dňoch súbež</w:t>
      </w:r>
      <w:r w:rsidR="00F84CB0">
        <w:rPr>
          <w:sz w:val="22"/>
        </w:rPr>
        <w:t xml:space="preserve">ného podávania </w:t>
      </w:r>
      <w:proofErr w:type="spellStart"/>
      <w:r w:rsidR="00F84CB0">
        <w:rPr>
          <w:sz w:val="22"/>
        </w:rPr>
        <w:t>Polapixu</w:t>
      </w:r>
      <w:proofErr w:type="spellEnd"/>
      <w:r>
        <w:rPr>
          <w:sz w:val="22"/>
        </w:rPr>
        <w:t xml:space="preserve"> s liečbou VKA sa má pred ďalšou plá</w:t>
      </w:r>
      <w:r w:rsidR="00F84CB0">
        <w:rPr>
          <w:sz w:val="22"/>
        </w:rPr>
        <w:t xml:space="preserve">novanou dávkou </w:t>
      </w:r>
      <w:proofErr w:type="spellStart"/>
      <w:r w:rsidR="00F84CB0">
        <w:rPr>
          <w:sz w:val="22"/>
        </w:rPr>
        <w:t>Polapixu</w:t>
      </w:r>
      <w:proofErr w:type="spellEnd"/>
      <w:r>
        <w:rPr>
          <w:sz w:val="22"/>
        </w:rPr>
        <w:t xml:space="preserve"> vyšetriť INR. Súbežné podávanie </w:t>
      </w:r>
      <w:proofErr w:type="spellStart"/>
      <w:r w:rsidR="00F84CB0">
        <w:rPr>
          <w:sz w:val="22"/>
        </w:rPr>
        <w:t>Polapixu</w:t>
      </w:r>
      <w:proofErr w:type="spellEnd"/>
      <w:r>
        <w:rPr>
          <w:sz w:val="22"/>
        </w:rPr>
        <w:t xml:space="preserve"> a liečby VKA má pokračovať, pokiaľ sa nedosiahne hodnota INR ≥ 2. </w:t>
      </w:r>
    </w:p>
    <w:p w14:paraId="35387E5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35362B6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Porucha funkcie obličiek</w:t>
      </w:r>
      <w:r>
        <w:rPr>
          <w:i/>
          <w:sz w:val="22"/>
        </w:rPr>
        <w:t xml:space="preserve"> </w:t>
      </w:r>
    </w:p>
    <w:p w14:paraId="40FEC62B" w14:textId="14DA649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Pre pacientov s </w:t>
      </w:r>
      <w:r w:rsidR="00031A5F">
        <w:rPr>
          <w:sz w:val="22"/>
        </w:rPr>
        <w:t>miernou</w:t>
      </w:r>
      <w:r>
        <w:rPr>
          <w:sz w:val="22"/>
        </w:rPr>
        <w:t xml:space="preserve"> alebo stredne </w:t>
      </w:r>
      <w:r w:rsidR="00031A5F">
        <w:rPr>
          <w:sz w:val="22"/>
        </w:rPr>
        <w:t>závažnou</w:t>
      </w:r>
      <w:r>
        <w:rPr>
          <w:sz w:val="22"/>
        </w:rPr>
        <w:t xml:space="preserve"> poruchou funkcie obličiek platia nasledujúce odporúčania: </w:t>
      </w:r>
    </w:p>
    <w:p w14:paraId="09054899" w14:textId="77777777" w:rsidR="00B07789" w:rsidRPr="00FF4C3B" w:rsidRDefault="00D25089" w:rsidP="00833B71">
      <w:pPr>
        <w:numPr>
          <w:ilvl w:val="0"/>
          <w:numId w:val="1"/>
        </w:numPr>
        <w:spacing w:after="0" w:line="240" w:lineRule="auto"/>
        <w:ind w:left="567" w:hanging="558"/>
        <w:rPr>
          <w:sz w:val="22"/>
        </w:rPr>
      </w:pPr>
      <w:r>
        <w:rPr>
          <w:sz w:val="22"/>
        </w:rPr>
        <w:t xml:space="preserve">na liečbu DVT, liečbu PE 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(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) nie je potrebná žiadna úprava dávky (pozri časť 5.2); </w:t>
      </w:r>
    </w:p>
    <w:p w14:paraId="2ABEDB6B" w14:textId="77DFEA34" w:rsidR="00B07789" w:rsidRPr="00A731E1" w:rsidRDefault="00D25089" w:rsidP="00833B71">
      <w:pPr>
        <w:numPr>
          <w:ilvl w:val="0"/>
          <w:numId w:val="1"/>
        </w:numPr>
        <w:spacing w:after="0" w:line="240" w:lineRule="auto"/>
        <w:ind w:left="567" w:hanging="558"/>
        <w:rPr>
          <w:sz w:val="22"/>
        </w:rPr>
      </w:pPr>
      <w:r>
        <w:rPr>
          <w:sz w:val="22"/>
        </w:rPr>
        <w:t>na prevenciu cievnej mozgovej príhody a systémovej embólie u pacientov s</w:t>
      </w:r>
      <w:r w:rsidR="00031A5F">
        <w:rPr>
          <w:sz w:val="22"/>
        </w:rPr>
        <w:t> </w:t>
      </w:r>
      <w:r>
        <w:rPr>
          <w:sz w:val="22"/>
        </w:rPr>
        <w:t>NVAF</w:t>
      </w:r>
      <w:r w:rsidR="00031A5F">
        <w:rPr>
          <w:sz w:val="22"/>
        </w:rPr>
        <w:t xml:space="preserve"> </w:t>
      </w:r>
      <w:r>
        <w:rPr>
          <w:sz w:val="22"/>
        </w:rPr>
        <w:t xml:space="preserve">a sérovým </w:t>
      </w:r>
      <w:proofErr w:type="spellStart"/>
      <w:r>
        <w:rPr>
          <w:sz w:val="22"/>
        </w:rPr>
        <w:t>kreatinínom</w:t>
      </w:r>
      <w:proofErr w:type="spellEnd"/>
      <w:r>
        <w:rPr>
          <w:sz w:val="22"/>
        </w:rPr>
        <w:t xml:space="preserve"> ≥ 1,5 mg/dl (133 </w:t>
      </w:r>
      <w:proofErr w:type="spellStart"/>
      <w:r>
        <w:rPr>
          <w:sz w:val="22"/>
        </w:rPr>
        <w:t>mikromol</w:t>
      </w:r>
      <w:proofErr w:type="spellEnd"/>
      <w:r>
        <w:rPr>
          <w:sz w:val="22"/>
        </w:rPr>
        <w:t xml:space="preserve">/l), čo súvisí s vekom ≥ 80 rokov alebo telesnou hmotnosťou ≤ 60 kg, je potrebné zníženie dávky opísané vyššie. V neprítomnosti ostatných kritérií na zníženie dávky (vek, telesná hmotnosť) nie je potrebná žiadna úprava dávky (pozri časť 5.2). </w:t>
      </w:r>
    </w:p>
    <w:p w14:paraId="76F4566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 </w:t>
      </w:r>
    </w:p>
    <w:p w14:paraId="16A4D3DE" w14:textId="299A20BC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Na pacientov s</w:t>
      </w:r>
      <w:r w:rsidR="00031A5F">
        <w:rPr>
          <w:sz w:val="22"/>
        </w:rPr>
        <w:t>o</w:t>
      </w:r>
      <w:r>
        <w:rPr>
          <w:sz w:val="22"/>
        </w:rPr>
        <w:t xml:space="preserve"> </w:t>
      </w:r>
      <w:r w:rsidR="00031A5F">
        <w:rPr>
          <w:sz w:val="22"/>
        </w:rPr>
        <w:t>závažnou</w:t>
      </w:r>
      <w:r>
        <w:rPr>
          <w:sz w:val="22"/>
        </w:rPr>
        <w:t xml:space="preserve"> poruchou funkcie obličiek (klírens kreatinínu 15 – 29 ml/min) sa vzťahujú nasledujúce odporúčania (pozri časti 4.4 a 5.2): </w:t>
      </w:r>
    </w:p>
    <w:p w14:paraId="4C60A2B8" w14:textId="4C34056F" w:rsidR="00B07789" w:rsidRPr="00A731E1" w:rsidRDefault="00D25089" w:rsidP="00833B71">
      <w:pPr>
        <w:numPr>
          <w:ilvl w:val="0"/>
          <w:numId w:val="1"/>
        </w:numPr>
        <w:spacing w:after="0" w:line="240" w:lineRule="auto"/>
        <w:ind w:left="567" w:hanging="558"/>
        <w:rPr>
          <w:sz w:val="22"/>
        </w:rPr>
      </w:pPr>
      <w:r>
        <w:rPr>
          <w:sz w:val="22"/>
        </w:rPr>
        <w:t xml:space="preserve">na liečbu DVT, liečbu PE 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(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) sa má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používať s opatrnosťou; </w:t>
      </w:r>
    </w:p>
    <w:p w14:paraId="324F5A17" w14:textId="77777777" w:rsidR="00B07789" w:rsidRPr="00A731E1" w:rsidRDefault="00D25089" w:rsidP="00833B71">
      <w:pPr>
        <w:numPr>
          <w:ilvl w:val="0"/>
          <w:numId w:val="1"/>
        </w:numPr>
        <w:spacing w:after="0" w:line="240" w:lineRule="auto"/>
        <w:ind w:left="567" w:hanging="558"/>
        <w:rPr>
          <w:sz w:val="22"/>
        </w:rPr>
      </w:pPr>
      <w:r>
        <w:rPr>
          <w:sz w:val="22"/>
        </w:rPr>
        <w:t xml:space="preserve">na prevenciu cievnej mozgovej príhody a systémovej embólie u pacientov s NVAF majú pacienti dostávať nižšiu dávku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2,5 mg dvakrát denne </w:t>
      </w:r>
    </w:p>
    <w:p w14:paraId="293FF7C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61060F6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s </w:t>
      </w:r>
      <w:proofErr w:type="spellStart"/>
      <w:r>
        <w:rPr>
          <w:sz w:val="22"/>
        </w:rPr>
        <w:t>klírensom</w:t>
      </w:r>
      <w:proofErr w:type="spellEnd"/>
      <w:r>
        <w:rPr>
          <w:sz w:val="22"/>
        </w:rPr>
        <w:t xml:space="preserve"> kreatinínu &lt; 15 ml/min alebo u pacientov podstupujúcich dialýzu nie sú k dispozícii žiadne klinické skúsenosti, preto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u týchto pacientov neodporúča (pozri časti 4.4 a 5.2). </w:t>
      </w:r>
    </w:p>
    <w:p w14:paraId="0D64798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62975123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Porucha funkcie pečene</w:t>
      </w:r>
      <w:r>
        <w:rPr>
          <w:i/>
          <w:sz w:val="22"/>
        </w:rPr>
        <w:t xml:space="preserve"> </w:t>
      </w:r>
    </w:p>
    <w:p w14:paraId="621099C8" w14:textId="7BCC943F" w:rsidR="00B07789" w:rsidRPr="00A731E1" w:rsidRDefault="00F84CB0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je kontraindikovaný u pacientov s ochorením pečene spojeným s </w:t>
      </w:r>
      <w:proofErr w:type="spellStart"/>
      <w:r w:rsidR="00635B73">
        <w:rPr>
          <w:sz w:val="22"/>
        </w:rPr>
        <w:t>koagulopatiou</w:t>
      </w:r>
      <w:proofErr w:type="spellEnd"/>
      <w:r w:rsidR="00635B73">
        <w:rPr>
          <w:sz w:val="22"/>
        </w:rPr>
        <w:t xml:space="preserve"> a klinicky významným rizikom krvácania (pozri časť 4.3). </w:t>
      </w:r>
    </w:p>
    <w:p w14:paraId="31E8875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09CEDD8" w14:textId="554DEE7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Neodporúča sa u pacientov s</w:t>
      </w:r>
      <w:r w:rsidR="00031A5F">
        <w:rPr>
          <w:sz w:val="22"/>
        </w:rPr>
        <w:t>o</w:t>
      </w:r>
      <w:r>
        <w:rPr>
          <w:sz w:val="22"/>
        </w:rPr>
        <w:t xml:space="preserve"> </w:t>
      </w:r>
      <w:r w:rsidR="00031A5F">
        <w:rPr>
          <w:sz w:val="22"/>
        </w:rPr>
        <w:t>závažnou</w:t>
      </w:r>
      <w:r>
        <w:rPr>
          <w:sz w:val="22"/>
        </w:rPr>
        <w:t xml:space="preserve"> poruchou funkcie pečene (pozri časti 4.4 a 5.2). </w:t>
      </w:r>
    </w:p>
    <w:p w14:paraId="5F5D5E1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BF09F42" w14:textId="066B4B30" w:rsidR="00B07789" w:rsidRPr="00A731E1" w:rsidRDefault="00D25089" w:rsidP="00833B71">
      <w:pPr>
        <w:spacing w:after="0" w:line="240" w:lineRule="auto"/>
        <w:ind w:left="0" w:right="86"/>
        <w:rPr>
          <w:sz w:val="22"/>
        </w:rPr>
      </w:pPr>
      <w:r>
        <w:rPr>
          <w:sz w:val="22"/>
        </w:rPr>
        <w:t xml:space="preserve">U pacientov s </w:t>
      </w:r>
      <w:r w:rsidR="00031A5F">
        <w:rPr>
          <w:sz w:val="22"/>
        </w:rPr>
        <w:t>miernou</w:t>
      </w:r>
      <w:r>
        <w:rPr>
          <w:sz w:val="22"/>
        </w:rPr>
        <w:t xml:space="preserve"> alebo stredne </w:t>
      </w:r>
      <w:r w:rsidR="00031A5F">
        <w:rPr>
          <w:sz w:val="22"/>
        </w:rPr>
        <w:t>závažnou</w:t>
      </w:r>
      <w:r>
        <w:rPr>
          <w:sz w:val="22"/>
        </w:rPr>
        <w:t xml:space="preserve"> poruchou funkcie pečene (</w:t>
      </w:r>
      <w:proofErr w:type="spellStart"/>
      <w:r>
        <w:rPr>
          <w:sz w:val="22"/>
        </w:rPr>
        <w:t>Childovo-Pughovo</w:t>
      </w:r>
      <w:proofErr w:type="spellEnd"/>
      <w:r>
        <w:rPr>
          <w:sz w:val="22"/>
        </w:rPr>
        <w:t xml:space="preserve"> skóre A alebo B) sa má používať s opatrnosťou. U pacientov s </w:t>
      </w:r>
      <w:r w:rsidR="00031A5F">
        <w:rPr>
          <w:sz w:val="22"/>
        </w:rPr>
        <w:t>miernou</w:t>
      </w:r>
      <w:r>
        <w:rPr>
          <w:sz w:val="22"/>
        </w:rPr>
        <w:t xml:space="preserve"> alebo stredne </w:t>
      </w:r>
      <w:r w:rsidR="00031A5F">
        <w:rPr>
          <w:sz w:val="22"/>
        </w:rPr>
        <w:t>závažnou</w:t>
      </w:r>
      <w:r>
        <w:rPr>
          <w:sz w:val="22"/>
        </w:rPr>
        <w:t xml:space="preserve"> poruchou funkcie pečene sa úprava dávky nevyžaduje (pozri časti 4.4 a 5.2). </w:t>
      </w:r>
    </w:p>
    <w:p w14:paraId="791A723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69C1CD2" w14:textId="2149093A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Pacienti so zvýšenou hladinou pečeňových enzýmov </w:t>
      </w:r>
      <w:proofErr w:type="spellStart"/>
      <w:r>
        <w:rPr>
          <w:sz w:val="22"/>
        </w:rPr>
        <w:t>alanínaminotransferázy</w:t>
      </w:r>
      <w:proofErr w:type="spellEnd"/>
      <w:r>
        <w:rPr>
          <w:sz w:val="22"/>
        </w:rPr>
        <w:t xml:space="preserve"> (ALT)/</w:t>
      </w:r>
      <w:proofErr w:type="spellStart"/>
      <w:r>
        <w:rPr>
          <w:sz w:val="22"/>
        </w:rPr>
        <w:t>aspartátaminotransferázy</w:t>
      </w:r>
      <w:proofErr w:type="spellEnd"/>
      <w:r>
        <w:rPr>
          <w:sz w:val="22"/>
        </w:rPr>
        <w:t xml:space="preserve"> (AST) &gt; 2 x ULN (ULN – </w:t>
      </w:r>
      <w:proofErr w:type="spellStart"/>
      <w:r>
        <w:rPr>
          <w:sz w:val="22"/>
        </w:rPr>
        <w:t>upper</w:t>
      </w:r>
      <w:proofErr w:type="spellEnd"/>
      <w:r>
        <w:rPr>
          <w:sz w:val="22"/>
        </w:rPr>
        <w:t xml:space="preserve"> limit of </w:t>
      </w:r>
      <w:proofErr w:type="spellStart"/>
      <w:r>
        <w:rPr>
          <w:sz w:val="22"/>
        </w:rPr>
        <w:t>normal</w:t>
      </w:r>
      <w:proofErr w:type="spellEnd"/>
      <w:r>
        <w:rPr>
          <w:sz w:val="22"/>
        </w:rPr>
        <w:t xml:space="preserve">, horná hranica </w:t>
      </w:r>
      <w:r w:rsidR="00031A5F">
        <w:rPr>
          <w:sz w:val="22"/>
        </w:rPr>
        <w:t>normy</w:t>
      </w:r>
      <w:r>
        <w:rPr>
          <w:sz w:val="22"/>
        </w:rPr>
        <w:t xml:space="preserve">) alebo celkového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 xml:space="preserve"> ≥ 1,5 x ULN boli vylúčení z klinických štúdi</w:t>
      </w:r>
      <w:r w:rsidR="00CF571F">
        <w:rPr>
          <w:sz w:val="22"/>
        </w:rPr>
        <w:t xml:space="preserve">í. Preto sa má </w:t>
      </w:r>
      <w:proofErr w:type="spellStart"/>
      <w:r w:rsidR="00CF571F">
        <w:rPr>
          <w:sz w:val="22"/>
        </w:rPr>
        <w:t>Polapix</w:t>
      </w:r>
      <w:proofErr w:type="spellEnd"/>
      <w:r>
        <w:rPr>
          <w:sz w:val="22"/>
        </w:rPr>
        <w:t xml:space="preserve"> u týchto pacientov používať s opatrnosťou (pozri časti 4.4 a 5.2). Pred </w:t>
      </w:r>
      <w:r w:rsidR="00CF571F">
        <w:rPr>
          <w:sz w:val="22"/>
        </w:rPr>
        <w:t xml:space="preserve">začatím liečby </w:t>
      </w:r>
      <w:proofErr w:type="spellStart"/>
      <w:r w:rsidR="00CF571F">
        <w:rPr>
          <w:sz w:val="22"/>
        </w:rPr>
        <w:t>Polapixom</w:t>
      </w:r>
      <w:proofErr w:type="spellEnd"/>
      <w:r>
        <w:rPr>
          <w:sz w:val="22"/>
        </w:rPr>
        <w:t xml:space="preserve"> sa má uskutočniť vyšetrenie funkcie pečene. </w:t>
      </w:r>
    </w:p>
    <w:p w14:paraId="2E0A555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D79D003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Telesná hmotnosť</w:t>
      </w:r>
      <w:r>
        <w:rPr>
          <w:i/>
          <w:sz w:val="22"/>
        </w:rPr>
        <w:t xml:space="preserve"> </w:t>
      </w:r>
    </w:p>
    <w:p w14:paraId="252DED44" w14:textId="767C7CC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VTEt</w:t>
      </w:r>
      <w:proofErr w:type="spellEnd"/>
      <w:r>
        <w:rPr>
          <w:sz w:val="22"/>
        </w:rPr>
        <w:t> – Úprava dávky sa nevyžaduje (pozri časti 4.4 a 5.2)</w:t>
      </w:r>
      <w:r w:rsidR="00031A5F">
        <w:rPr>
          <w:sz w:val="22"/>
        </w:rPr>
        <w:t>.</w:t>
      </w:r>
      <w:r>
        <w:rPr>
          <w:sz w:val="22"/>
        </w:rPr>
        <w:t xml:space="preserve"> </w:t>
      </w:r>
    </w:p>
    <w:p w14:paraId="6DF40BF0" w14:textId="77777777" w:rsidR="00FF4C3B" w:rsidRPr="007E6137" w:rsidRDefault="00FF4C3B" w:rsidP="00833B71">
      <w:pPr>
        <w:spacing w:after="0" w:line="240" w:lineRule="auto"/>
        <w:ind w:left="0" w:firstLine="0"/>
        <w:rPr>
          <w:sz w:val="22"/>
        </w:rPr>
      </w:pPr>
    </w:p>
    <w:p w14:paraId="467AE5E8" w14:textId="3274FB81" w:rsidR="00B07789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NVAF – Úprava dávky sa nevyžaduje, pokiaľ nevyhovuj</w:t>
      </w:r>
      <w:r w:rsidR="00CF571F">
        <w:rPr>
          <w:sz w:val="22"/>
        </w:rPr>
        <w:t>e kritériám na zníženie dávky (</w:t>
      </w:r>
      <w:r>
        <w:rPr>
          <w:sz w:val="22"/>
        </w:rPr>
        <w:t xml:space="preserve">pozri </w:t>
      </w:r>
      <w:r>
        <w:rPr>
          <w:i/>
          <w:iCs/>
          <w:sz w:val="22"/>
        </w:rPr>
        <w:t>Zníženie dávky</w:t>
      </w:r>
      <w:r>
        <w:rPr>
          <w:sz w:val="22"/>
        </w:rPr>
        <w:t xml:space="preserve"> na začiatku časti 4.2). </w:t>
      </w:r>
    </w:p>
    <w:p w14:paraId="73D2C886" w14:textId="77777777" w:rsidR="00FF4C3B" w:rsidRPr="007E6137" w:rsidRDefault="00FF4C3B" w:rsidP="00833B71">
      <w:pPr>
        <w:spacing w:after="0" w:line="240" w:lineRule="auto"/>
        <w:ind w:left="0" w:firstLine="0"/>
        <w:rPr>
          <w:sz w:val="22"/>
        </w:rPr>
      </w:pPr>
    </w:p>
    <w:p w14:paraId="7863B55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>Pohlavie</w:t>
      </w:r>
      <w:r>
        <w:rPr>
          <w:i/>
          <w:sz w:val="22"/>
        </w:rPr>
        <w:t xml:space="preserve"> </w:t>
      </w:r>
    </w:p>
    <w:p w14:paraId="242FA8FD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Úprava dávky sa nevyžaduje (pozri časť 5.2). </w:t>
      </w:r>
    </w:p>
    <w:p w14:paraId="5372AD2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16A8B2F" w14:textId="7635B83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 xml:space="preserve">Starší </w:t>
      </w:r>
      <w:r w:rsidR="00031A5F">
        <w:rPr>
          <w:i/>
          <w:sz w:val="22"/>
          <w:u w:val="single" w:color="000000"/>
        </w:rPr>
        <w:t>pacienti</w:t>
      </w:r>
      <w:r>
        <w:rPr>
          <w:i/>
          <w:sz w:val="22"/>
        </w:rPr>
        <w:t xml:space="preserve"> </w:t>
      </w:r>
    </w:p>
    <w:p w14:paraId="543963B2" w14:textId="267D2FE6" w:rsidR="00B07789" w:rsidRPr="00A731E1" w:rsidRDefault="00D25089" w:rsidP="000E7AF5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 – Úprava dávky sa nevyžaduje (pozri časti 4.4 a 5.2) </w:t>
      </w:r>
    </w:p>
    <w:p w14:paraId="38B287C5" w14:textId="7DC32953" w:rsidR="00B07789" w:rsidRDefault="00D25089" w:rsidP="009E1735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NVAF – Úprava dávky sa nevyžaduje, pokiaľ nevyhovuj</w:t>
      </w:r>
      <w:r w:rsidR="00CF571F">
        <w:rPr>
          <w:sz w:val="22"/>
        </w:rPr>
        <w:t>e kritériám na zníženie dávky (</w:t>
      </w:r>
      <w:r>
        <w:rPr>
          <w:sz w:val="22"/>
        </w:rPr>
        <w:t xml:space="preserve">pozri </w:t>
      </w:r>
      <w:r>
        <w:rPr>
          <w:i/>
          <w:iCs/>
          <w:sz w:val="22"/>
        </w:rPr>
        <w:t>Zníženie dávky</w:t>
      </w:r>
      <w:r>
        <w:rPr>
          <w:sz w:val="22"/>
        </w:rPr>
        <w:t xml:space="preserve"> na začiatku časti 4.2). </w:t>
      </w:r>
    </w:p>
    <w:p w14:paraId="72665E82" w14:textId="5C448C73" w:rsidR="009E1735" w:rsidRPr="007E6137" w:rsidRDefault="009E1735" w:rsidP="009E1735">
      <w:pPr>
        <w:spacing w:after="0" w:line="240" w:lineRule="auto"/>
        <w:ind w:left="0" w:firstLine="0"/>
        <w:rPr>
          <w:sz w:val="22"/>
        </w:rPr>
      </w:pPr>
    </w:p>
    <w:p w14:paraId="2606A932" w14:textId="77777777" w:rsidR="009E1735" w:rsidRPr="000E7AF5" w:rsidRDefault="009E1735" w:rsidP="009E1735">
      <w:pPr>
        <w:spacing w:after="0" w:line="240" w:lineRule="auto"/>
        <w:ind w:left="0" w:firstLine="0"/>
        <w:rPr>
          <w:i/>
          <w:iCs/>
          <w:sz w:val="22"/>
          <w:u w:val="single"/>
        </w:rPr>
      </w:pPr>
      <w:r>
        <w:rPr>
          <w:i/>
          <w:sz w:val="22"/>
          <w:u w:val="single"/>
        </w:rPr>
        <w:t xml:space="preserve">Pacienti podstupujúci </w:t>
      </w:r>
      <w:proofErr w:type="spellStart"/>
      <w:r>
        <w:rPr>
          <w:i/>
          <w:sz w:val="22"/>
          <w:u w:val="single"/>
        </w:rPr>
        <w:t>katetrizačnú</w:t>
      </w:r>
      <w:proofErr w:type="spellEnd"/>
      <w:r>
        <w:rPr>
          <w:i/>
          <w:sz w:val="22"/>
          <w:u w:val="single"/>
        </w:rPr>
        <w:t xml:space="preserve"> abláciu (NVAF)</w:t>
      </w:r>
    </w:p>
    <w:p w14:paraId="4CCCEEEB" w14:textId="50817FEC" w:rsidR="009E1735" w:rsidRPr="00A731E1" w:rsidRDefault="009E1735" w:rsidP="000E7AF5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Pacienti môžu pokračovať v užívaní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, keď podstupujú </w:t>
      </w:r>
      <w:proofErr w:type="spellStart"/>
      <w:r>
        <w:rPr>
          <w:sz w:val="22"/>
        </w:rPr>
        <w:t>katetrizačnú</w:t>
      </w:r>
      <w:proofErr w:type="spellEnd"/>
      <w:r>
        <w:rPr>
          <w:sz w:val="22"/>
        </w:rPr>
        <w:t xml:space="preserve"> abláciu (pozri časti 4.3, 4.4 a 4.5)</w:t>
      </w:r>
      <w:r w:rsidR="00031A5F">
        <w:rPr>
          <w:sz w:val="22"/>
        </w:rPr>
        <w:t>.</w:t>
      </w:r>
    </w:p>
    <w:p w14:paraId="0229F297" w14:textId="77777777" w:rsidR="009C2829" w:rsidRPr="007E6137" w:rsidRDefault="009C2829" w:rsidP="00833B71">
      <w:pPr>
        <w:spacing w:after="0" w:line="240" w:lineRule="auto"/>
        <w:ind w:left="0" w:firstLine="0"/>
        <w:rPr>
          <w:i/>
          <w:sz w:val="22"/>
          <w:u w:val="single" w:color="000000"/>
        </w:rPr>
      </w:pPr>
    </w:p>
    <w:p w14:paraId="340F5DD2" w14:textId="351BAF89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 xml:space="preserve">Pacienti podstupujúci </w:t>
      </w:r>
      <w:proofErr w:type="spellStart"/>
      <w:r>
        <w:rPr>
          <w:i/>
          <w:sz w:val="22"/>
          <w:u w:val="single" w:color="000000"/>
        </w:rPr>
        <w:t>kardioverziu</w:t>
      </w:r>
      <w:proofErr w:type="spellEnd"/>
    </w:p>
    <w:p w14:paraId="4C8EFF2E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sa môže začať užívať alebo sa v jeho užívaní môže pokračovať u pacientov s NVAF, ktorí môžu vyžadovať </w:t>
      </w:r>
      <w:proofErr w:type="spellStart"/>
      <w:r>
        <w:rPr>
          <w:sz w:val="22"/>
        </w:rPr>
        <w:t>kardioverziu</w:t>
      </w:r>
      <w:proofErr w:type="spellEnd"/>
      <w:r>
        <w:rPr>
          <w:sz w:val="22"/>
        </w:rPr>
        <w:t>.</w:t>
      </w:r>
    </w:p>
    <w:p w14:paraId="24E062E7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061B6130" w14:textId="142B3A60" w:rsidR="009E1735" w:rsidRDefault="00D25089" w:rsidP="0018760E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predtým </w:t>
      </w:r>
      <w:r w:rsidR="00DC3053">
        <w:rPr>
          <w:sz w:val="22"/>
        </w:rPr>
        <w:t xml:space="preserve">neliečených </w:t>
      </w:r>
      <w:proofErr w:type="spellStart"/>
      <w:r w:rsidR="00DC3053">
        <w:rPr>
          <w:sz w:val="22"/>
        </w:rPr>
        <w:t>antikoagulanciami</w:t>
      </w:r>
      <w:proofErr w:type="spellEnd"/>
      <w:r>
        <w:rPr>
          <w:sz w:val="22"/>
        </w:rPr>
        <w:t xml:space="preserve"> sa m</w:t>
      </w:r>
      <w:r w:rsidR="00DC3053">
        <w:rPr>
          <w:sz w:val="22"/>
        </w:rPr>
        <w:t>ajú</w:t>
      </w:r>
      <w:r>
        <w:rPr>
          <w:sz w:val="22"/>
        </w:rPr>
        <w:t xml:space="preserve"> </w:t>
      </w:r>
      <w:r w:rsidR="00DC3053">
        <w:rPr>
          <w:sz w:val="22"/>
        </w:rPr>
        <w:t>za účelom vylúčenia</w:t>
      </w:r>
      <w:r>
        <w:rPr>
          <w:sz w:val="22"/>
        </w:rPr>
        <w:t xml:space="preserve"> trombu</w:t>
      </w:r>
      <w:r w:rsidR="00DC3053">
        <w:rPr>
          <w:sz w:val="22"/>
        </w:rPr>
        <w:t xml:space="preserve"> v ľavej predsieni p</w:t>
      </w:r>
      <w:r w:rsidR="009E1735">
        <w:rPr>
          <w:sz w:val="22"/>
        </w:rPr>
        <w:t>ouži</w:t>
      </w:r>
      <w:r w:rsidR="00DC3053">
        <w:rPr>
          <w:sz w:val="22"/>
        </w:rPr>
        <w:t xml:space="preserve">ť </w:t>
      </w:r>
      <w:r w:rsidR="00DC3053" w:rsidRPr="00DC3053">
        <w:rPr>
          <w:sz w:val="22"/>
        </w:rPr>
        <w:t>zobrazovacie metódy</w:t>
      </w:r>
      <w:r w:rsidR="009E1735">
        <w:rPr>
          <w:sz w:val="22"/>
        </w:rPr>
        <w:t xml:space="preserve"> (napr. </w:t>
      </w:r>
      <w:proofErr w:type="spellStart"/>
      <w:r w:rsidR="009E1735">
        <w:rPr>
          <w:sz w:val="22"/>
        </w:rPr>
        <w:t>transezofágová</w:t>
      </w:r>
      <w:proofErr w:type="spellEnd"/>
      <w:r w:rsidR="009E1735">
        <w:rPr>
          <w:sz w:val="22"/>
        </w:rPr>
        <w:t xml:space="preserve"> </w:t>
      </w:r>
      <w:proofErr w:type="spellStart"/>
      <w:r w:rsidR="009E1735">
        <w:rPr>
          <w:sz w:val="22"/>
        </w:rPr>
        <w:t>echokardiografia</w:t>
      </w:r>
      <w:proofErr w:type="spellEnd"/>
      <w:r w:rsidR="009E1735">
        <w:rPr>
          <w:sz w:val="22"/>
        </w:rPr>
        <w:t xml:space="preserve"> (TEE) alebo počítačov</w:t>
      </w:r>
      <w:r w:rsidR="00DC3053">
        <w:rPr>
          <w:sz w:val="22"/>
        </w:rPr>
        <w:t xml:space="preserve">á </w:t>
      </w:r>
      <w:r w:rsidR="009E1735">
        <w:rPr>
          <w:sz w:val="22"/>
        </w:rPr>
        <w:t xml:space="preserve"> tomografi</w:t>
      </w:r>
      <w:r w:rsidR="00DC3053">
        <w:rPr>
          <w:sz w:val="22"/>
        </w:rPr>
        <w:t>a</w:t>
      </w:r>
      <w:r w:rsidR="00CF571F">
        <w:rPr>
          <w:sz w:val="22"/>
        </w:rPr>
        <w:t xml:space="preserve"> (CT)</w:t>
      </w:r>
      <w:r w:rsidR="009E1735">
        <w:rPr>
          <w:sz w:val="22"/>
        </w:rPr>
        <w:t xml:space="preserve"> priamo pred </w:t>
      </w:r>
      <w:proofErr w:type="spellStart"/>
      <w:r w:rsidR="009E1735">
        <w:rPr>
          <w:sz w:val="22"/>
        </w:rPr>
        <w:t>kardioverziou</w:t>
      </w:r>
      <w:proofErr w:type="spellEnd"/>
      <w:r w:rsidR="009E1735">
        <w:rPr>
          <w:sz w:val="22"/>
        </w:rPr>
        <w:t>, v súlade so štandardnými terapeutickými postupmi.</w:t>
      </w:r>
    </w:p>
    <w:p w14:paraId="6495CCF1" w14:textId="77777777" w:rsidR="00205666" w:rsidRPr="007E6137" w:rsidRDefault="00205666" w:rsidP="000E7AF5">
      <w:pPr>
        <w:keepNext/>
        <w:spacing w:after="0" w:line="240" w:lineRule="auto"/>
        <w:ind w:left="0" w:hanging="11"/>
        <w:rPr>
          <w:sz w:val="22"/>
        </w:rPr>
      </w:pPr>
    </w:p>
    <w:p w14:paraId="4E1848DE" w14:textId="77777777" w:rsidR="00205666" w:rsidRDefault="009E1735" w:rsidP="000E7AF5">
      <w:pPr>
        <w:keepNext/>
        <w:spacing w:after="0" w:line="240" w:lineRule="auto"/>
        <w:ind w:left="0" w:hanging="11"/>
        <w:rPr>
          <w:sz w:val="22"/>
        </w:rPr>
      </w:pPr>
      <w:r>
        <w:rPr>
          <w:sz w:val="22"/>
        </w:rPr>
        <w:t xml:space="preserve">U pacientov, ktorí začínajú s liečbou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, sa má podávať 5 mg dvakrát denne najmenej 2,5 dňa </w:t>
      </w:r>
    </w:p>
    <w:p w14:paraId="4F3EED91" w14:textId="3B2497B3" w:rsidR="00B07789" w:rsidRPr="00A731E1" w:rsidRDefault="009E1735" w:rsidP="00CF571F">
      <w:pPr>
        <w:keepNext/>
        <w:spacing w:after="0" w:line="240" w:lineRule="auto"/>
        <w:ind w:left="0" w:hanging="11"/>
        <w:rPr>
          <w:sz w:val="22"/>
        </w:rPr>
      </w:pPr>
      <w:r>
        <w:rPr>
          <w:sz w:val="22"/>
        </w:rPr>
        <w:t xml:space="preserve">(5 jednotlivých dávok) pred </w:t>
      </w:r>
      <w:proofErr w:type="spellStart"/>
      <w:r>
        <w:rPr>
          <w:sz w:val="22"/>
        </w:rPr>
        <w:t>kardioverziou</w:t>
      </w:r>
      <w:proofErr w:type="spellEnd"/>
      <w:r>
        <w:rPr>
          <w:sz w:val="22"/>
        </w:rPr>
        <w:t xml:space="preserve">, aby sa zabezpečila adekvátna </w:t>
      </w:r>
      <w:proofErr w:type="spellStart"/>
      <w:r>
        <w:rPr>
          <w:sz w:val="22"/>
        </w:rPr>
        <w:t>antikoagulácia</w:t>
      </w:r>
      <w:proofErr w:type="spellEnd"/>
      <w:r>
        <w:rPr>
          <w:sz w:val="22"/>
        </w:rPr>
        <w:t xml:space="preserve"> (pozri časť 5.1). Dávkovací</w:t>
      </w:r>
      <w:r w:rsidR="00CF571F">
        <w:rPr>
          <w:sz w:val="22"/>
        </w:rPr>
        <w:t xml:space="preserve"> </w:t>
      </w:r>
      <w:r>
        <w:rPr>
          <w:sz w:val="22"/>
        </w:rPr>
        <w:t xml:space="preserve">režim sa má zredukovať na 2,5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dvakrát denne najmenej 2,5 dňa (5 jednotlivých dávok),</w:t>
      </w:r>
      <w:r w:rsidR="00CF571F">
        <w:rPr>
          <w:sz w:val="22"/>
        </w:rPr>
        <w:t xml:space="preserve"> </w:t>
      </w:r>
      <w:r>
        <w:rPr>
          <w:sz w:val="22"/>
        </w:rPr>
        <w:t xml:space="preserve">ak pacient spĺňa kritériá na zníženie dávky (pozri vyššie uvedené časti </w:t>
      </w:r>
      <w:r>
        <w:rPr>
          <w:i/>
          <w:iCs/>
          <w:sz w:val="22"/>
        </w:rPr>
        <w:t>Zníženie dávky a Porucha funkcie</w:t>
      </w:r>
      <w:r w:rsidR="00CF571F">
        <w:rPr>
          <w:sz w:val="22"/>
        </w:rPr>
        <w:t xml:space="preserve"> </w:t>
      </w:r>
      <w:r>
        <w:rPr>
          <w:i/>
          <w:sz w:val="22"/>
        </w:rPr>
        <w:t>obličiek</w:t>
      </w:r>
      <w:r>
        <w:rPr>
          <w:sz w:val="22"/>
        </w:rPr>
        <w:t>).</w:t>
      </w:r>
    </w:p>
    <w:p w14:paraId="3C2CAF9D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959EF02" w14:textId="1BDBA59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Ak je </w:t>
      </w:r>
      <w:proofErr w:type="spellStart"/>
      <w:r>
        <w:rPr>
          <w:sz w:val="22"/>
        </w:rPr>
        <w:t>kardioverzia</w:t>
      </w:r>
      <w:proofErr w:type="spellEnd"/>
      <w:r>
        <w:rPr>
          <w:sz w:val="22"/>
        </w:rPr>
        <w:t xml:space="preserve"> nutná predtým, ako sa môže podať 5 dávok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, má sa podať  </w:t>
      </w:r>
      <w:proofErr w:type="spellStart"/>
      <w:r>
        <w:rPr>
          <w:sz w:val="22"/>
        </w:rPr>
        <w:t>nasycovacia</w:t>
      </w:r>
      <w:proofErr w:type="spellEnd"/>
      <w:r>
        <w:rPr>
          <w:sz w:val="22"/>
        </w:rPr>
        <w:t xml:space="preserve"> dávka</w:t>
      </w:r>
      <w:r w:rsidRPr="00244659">
        <w:rPr>
          <w:sz w:val="22"/>
        </w:rPr>
        <w:t xml:space="preserve"> </w:t>
      </w:r>
      <w:r w:rsidR="00244659">
        <w:rPr>
          <w:sz w:val="22"/>
        </w:rPr>
        <w:t>10 mg</w:t>
      </w:r>
      <w:r>
        <w:rPr>
          <w:sz w:val="22"/>
        </w:rPr>
        <w:t xml:space="preserve"> a po nej 5 mg dvakrát denne. Ak pacient spĺňa kritériá na zníženie dávky (pozri vyššie časti </w:t>
      </w:r>
      <w:r>
        <w:rPr>
          <w:i/>
          <w:iCs/>
          <w:sz w:val="22"/>
        </w:rPr>
        <w:t xml:space="preserve">Zníženie dávky </w:t>
      </w:r>
      <w:r>
        <w:rPr>
          <w:sz w:val="22"/>
        </w:rPr>
        <w:t>a</w:t>
      </w:r>
      <w:r>
        <w:rPr>
          <w:i/>
          <w:iCs/>
          <w:sz w:val="22"/>
        </w:rPr>
        <w:t xml:space="preserve"> Porucha funkcie obličiek),</w:t>
      </w:r>
      <w:r>
        <w:rPr>
          <w:sz w:val="22"/>
        </w:rPr>
        <w:t xml:space="preserve"> dávkovací režim sa má redukovať na  </w:t>
      </w:r>
      <w:proofErr w:type="spellStart"/>
      <w:r>
        <w:rPr>
          <w:sz w:val="22"/>
        </w:rPr>
        <w:t>nasycovaciu</w:t>
      </w:r>
      <w:proofErr w:type="spellEnd"/>
      <w:r>
        <w:rPr>
          <w:sz w:val="22"/>
        </w:rPr>
        <w:t xml:space="preserve"> dávku</w:t>
      </w:r>
      <w:r w:rsidR="00244659">
        <w:rPr>
          <w:sz w:val="22"/>
        </w:rPr>
        <w:t xml:space="preserve"> 5 mg</w:t>
      </w:r>
      <w:r>
        <w:rPr>
          <w:sz w:val="22"/>
        </w:rPr>
        <w:t xml:space="preserve">, po ktorej nasleduje 2,5 mg dvakrát denne. Podanie </w:t>
      </w:r>
      <w:proofErr w:type="spellStart"/>
      <w:r>
        <w:rPr>
          <w:sz w:val="22"/>
        </w:rPr>
        <w:t>nasycovacej</w:t>
      </w:r>
      <w:proofErr w:type="spellEnd"/>
      <w:r>
        <w:rPr>
          <w:sz w:val="22"/>
        </w:rPr>
        <w:t xml:space="preserve"> dávky sa má realizovať najmenej 2 hodiny pred </w:t>
      </w:r>
      <w:proofErr w:type="spellStart"/>
      <w:r>
        <w:rPr>
          <w:sz w:val="22"/>
        </w:rPr>
        <w:t>kardioverziou</w:t>
      </w:r>
      <w:proofErr w:type="spellEnd"/>
      <w:r>
        <w:rPr>
          <w:sz w:val="22"/>
        </w:rPr>
        <w:t xml:space="preserve"> (pozri časť 5.1).</w:t>
      </w:r>
    </w:p>
    <w:p w14:paraId="2A32D274" w14:textId="77777777" w:rsidR="007876C1" w:rsidRPr="007E6137" w:rsidRDefault="007876C1" w:rsidP="00833B71">
      <w:pPr>
        <w:spacing w:after="0" w:line="240" w:lineRule="auto"/>
        <w:ind w:left="0"/>
        <w:rPr>
          <w:sz w:val="22"/>
        </w:rPr>
      </w:pPr>
    </w:p>
    <w:p w14:paraId="7AC084DA" w14:textId="4FF988E6" w:rsidR="00B07789" w:rsidRDefault="0076665A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všetkých pacientov podstupujúcich </w:t>
      </w:r>
      <w:proofErr w:type="spellStart"/>
      <w:r>
        <w:rPr>
          <w:sz w:val="22"/>
        </w:rPr>
        <w:t>kardioverziu</w:t>
      </w:r>
      <w:proofErr w:type="spellEnd"/>
      <w:r>
        <w:rPr>
          <w:sz w:val="22"/>
        </w:rPr>
        <w:t xml:space="preserve"> sa má pred </w:t>
      </w:r>
      <w:proofErr w:type="spellStart"/>
      <w:r>
        <w:rPr>
          <w:sz w:val="22"/>
        </w:rPr>
        <w:t>kardioverziou</w:t>
      </w:r>
      <w:proofErr w:type="spellEnd"/>
      <w:r>
        <w:rPr>
          <w:sz w:val="22"/>
        </w:rPr>
        <w:t xml:space="preserve"> overiť, či pacient užíval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podľa predpisu. Pri rozhodovaní o začatí a trvaní liečby sa majú brať do úvahy štandardné terapeutické postupy pre </w:t>
      </w:r>
      <w:proofErr w:type="spellStart"/>
      <w:r>
        <w:rPr>
          <w:sz w:val="22"/>
        </w:rPr>
        <w:t>antikoagulačnú</w:t>
      </w:r>
      <w:proofErr w:type="spellEnd"/>
      <w:r>
        <w:rPr>
          <w:sz w:val="22"/>
        </w:rPr>
        <w:t xml:space="preserve"> liečbu u pacientov, ktorí podstupujú </w:t>
      </w:r>
      <w:proofErr w:type="spellStart"/>
      <w:r>
        <w:rPr>
          <w:sz w:val="22"/>
        </w:rPr>
        <w:t>kardioverziu</w:t>
      </w:r>
      <w:proofErr w:type="spellEnd"/>
      <w:r>
        <w:rPr>
          <w:sz w:val="22"/>
        </w:rPr>
        <w:t>.</w:t>
      </w:r>
    </w:p>
    <w:p w14:paraId="7EC4B420" w14:textId="5B3F2EA1" w:rsidR="00B32E98" w:rsidRPr="007E6137" w:rsidRDefault="00B32E98" w:rsidP="00833B71">
      <w:pPr>
        <w:spacing w:after="0" w:line="240" w:lineRule="auto"/>
        <w:ind w:left="0"/>
        <w:rPr>
          <w:sz w:val="22"/>
        </w:rPr>
      </w:pPr>
    </w:p>
    <w:p w14:paraId="39895553" w14:textId="78DC3B3D" w:rsidR="00B32E98" w:rsidRPr="000E7AF5" w:rsidRDefault="00B32E98" w:rsidP="00CF571F">
      <w:pPr>
        <w:spacing w:after="0" w:line="240" w:lineRule="auto"/>
        <w:ind w:left="0"/>
        <w:rPr>
          <w:sz w:val="22"/>
          <w:u w:val="single"/>
        </w:rPr>
      </w:pPr>
      <w:r>
        <w:rPr>
          <w:sz w:val="22"/>
          <w:u w:val="single"/>
        </w:rPr>
        <w:t>Pacienti s NVAF a akútnym koronárnym syndrómom (</w:t>
      </w:r>
      <w:proofErr w:type="spellStart"/>
      <w:r>
        <w:rPr>
          <w:sz w:val="22"/>
          <w:u w:val="single"/>
        </w:rPr>
        <w:t>acute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coronary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syndrome</w:t>
      </w:r>
      <w:proofErr w:type="spellEnd"/>
      <w:r>
        <w:rPr>
          <w:sz w:val="22"/>
          <w:u w:val="single"/>
        </w:rPr>
        <w:t xml:space="preserve">, ACS) a/alebo </w:t>
      </w:r>
      <w:proofErr w:type="spellStart"/>
      <w:r>
        <w:rPr>
          <w:sz w:val="22"/>
          <w:u w:val="single"/>
        </w:rPr>
        <w:t>perkutánnou</w:t>
      </w:r>
      <w:proofErr w:type="spellEnd"/>
      <w:r>
        <w:rPr>
          <w:sz w:val="22"/>
          <w:u w:val="single"/>
        </w:rPr>
        <w:t xml:space="preserve"> koronárnou intervenciou (</w:t>
      </w:r>
      <w:proofErr w:type="spellStart"/>
      <w:r>
        <w:rPr>
          <w:sz w:val="22"/>
          <w:u w:val="single"/>
        </w:rPr>
        <w:t>percutaneous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coronary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intervention</w:t>
      </w:r>
      <w:proofErr w:type="spellEnd"/>
      <w:r>
        <w:rPr>
          <w:sz w:val="22"/>
          <w:u w:val="single"/>
        </w:rPr>
        <w:t>,</w:t>
      </w:r>
      <w:r w:rsidR="00CF571F">
        <w:rPr>
          <w:sz w:val="22"/>
          <w:u w:val="single"/>
        </w:rPr>
        <w:t xml:space="preserve"> </w:t>
      </w:r>
      <w:r>
        <w:rPr>
          <w:sz w:val="22"/>
          <w:u w:val="single"/>
        </w:rPr>
        <w:t>PCI)</w:t>
      </w:r>
    </w:p>
    <w:p w14:paraId="649B248C" w14:textId="77777777" w:rsidR="00B32E98" w:rsidRPr="00B32E98" w:rsidRDefault="00B32E98" w:rsidP="00B32E98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Existujú len obmedzené skúsenosti s liečbou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v odporúčanej dávke pre NVAF</w:t>
      </w:r>
    </w:p>
    <w:p w14:paraId="2ED5EF12" w14:textId="03AC964D" w:rsidR="00B32E98" w:rsidRPr="00B32E98" w:rsidRDefault="00B32E98" w:rsidP="00B32E98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kombinácii s </w:t>
      </w:r>
      <w:proofErr w:type="spellStart"/>
      <w:r w:rsidR="00251C0E">
        <w:rPr>
          <w:sz w:val="22"/>
        </w:rPr>
        <w:t>antiagregačnou</w:t>
      </w:r>
      <w:proofErr w:type="spellEnd"/>
      <w:r>
        <w:rPr>
          <w:sz w:val="22"/>
        </w:rPr>
        <w:t xml:space="preserve"> liečbou u pacientov s ACS a/alebo u pacientov, ktorí podstúpili PCI</w:t>
      </w:r>
    </w:p>
    <w:p w14:paraId="604141B4" w14:textId="77777777" w:rsidR="00B32E98" w:rsidRPr="00B32E98" w:rsidRDefault="00B32E98" w:rsidP="00B32E98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dosiahnutí </w:t>
      </w:r>
      <w:proofErr w:type="spellStart"/>
      <w:r>
        <w:rPr>
          <w:sz w:val="22"/>
        </w:rPr>
        <w:t>hemostázy</w:t>
      </w:r>
      <w:proofErr w:type="spellEnd"/>
      <w:r>
        <w:rPr>
          <w:sz w:val="22"/>
        </w:rPr>
        <w:t xml:space="preserve"> (pozri časti 4.4, 5.1).</w:t>
      </w:r>
    </w:p>
    <w:p w14:paraId="46B5A1CC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410CD9AA" w14:textId="77777777" w:rsidR="00B07789" w:rsidRPr="00A731E1" w:rsidRDefault="00D25089" w:rsidP="00833B71">
      <w:pPr>
        <w:keepNext/>
        <w:spacing w:after="0" w:line="240" w:lineRule="auto"/>
        <w:ind w:left="0" w:hanging="11"/>
        <w:rPr>
          <w:sz w:val="22"/>
        </w:rPr>
      </w:pPr>
      <w:r>
        <w:rPr>
          <w:i/>
          <w:sz w:val="22"/>
          <w:u w:val="single" w:color="000000"/>
        </w:rPr>
        <w:t>Pediatrická populácia</w:t>
      </w:r>
    </w:p>
    <w:p w14:paraId="25071E55" w14:textId="27D59401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Bezpečn</w:t>
      </w:r>
      <w:r w:rsidR="00CF571F">
        <w:rPr>
          <w:sz w:val="22"/>
        </w:rPr>
        <w:t xml:space="preserve">osť a účinnosť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u detí a dospievajúcich vo veku do 18 rokov sa nestanovila. K dispozícii nie sú žiadne údaje.</w:t>
      </w:r>
    </w:p>
    <w:p w14:paraId="1D2378F9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4E4B6FB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Spôsob podávania</w:t>
      </w:r>
    </w:p>
    <w:p w14:paraId="054CA2D0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80EC121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Perorálne použitie</w:t>
      </w:r>
    </w:p>
    <w:p w14:paraId="1913F857" w14:textId="294C162E" w:rsidR="00B07789" w:rsidRPr="00A731E1" w:rsidRDefault="00CF571F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má prehltnúť a zapiť vodou, s jedlom alebo bez jedla.</w:t>
      </w:r>
    </w:p>
    <w:p w14:paraId="2E2AE3EB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E767EB2" w14:textId="15A6BF8D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Pacienti, ktorí nedokážu prehltnúť celé tablety</w:t>
      </w:r>
      <w:r w:rsidR="00CF571F">
        <w:rPr>
          <w:sz w:val="22"/>
        </w:rPr>
        <w:t xml:space="preserve">, môžu tablety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rozdrviť a </w:t>
      </w:r>
      <w:r w:rsidR="00124A19">
        <w:rPr>
          <w:sz w:val="22"/>
        </w:rPr>
        <w:t>suspendovať</w:t>
      </w:r>
      <w:r>
        <w:rPr>
          <w:sz w:val="22"/>
        </w:rPr>
        <w:t xml:space="preserve"> vo vode, v 5 % </w:t>
      </w:r>
      <w:r w:rsidR="00251C0E">
        <w:rPr>
          <w:sz w:val="22"/>
        </w:rPr>
        <w:t>vodnom</w:t>
      </w:r>
      <w:r>
        <w:rPr>
          <w:sz w:val="22"/>
        </w:rPr>
        <w:t xml:space="preserve"> roztoku </w:t>
      </w:r>
      <w:r w:rsidR="00251C0E">
        <w:rPr>
          <w:sz w:val="22"/>
        </w:rPr>
        <w:t>glukózy</w:t>
      </w:r>
      <w:r>
        <w:rPr>
          <w:sz w:val="22"/>
        </w:rPr>
        <w:t xml:space="preserve"> (D5W) alebo v jablkovom džúse</w:t>
      </w:r>
      <w:r w:rsidR="00CF571F">
        <w:rPr>
          <w:sz w:val="22"/>
        </w:rPr>
        <w:t>,</w:t>
      </w:r>
      <w:r>
        <w:rPr>
          <w:sz w:val="22"/>
        </w:rPr>
        <w:t xml:space="preserve"> alebo rozmiešať v jablkovom pyré a ihneď </w:t>
      </w:r>
      <w:r w:rsidR="00251C0E">
        <w:rPr>
          <w:sz w:val="22"/>
        </w:rPr>
        <w:t>perorálne užiť</w:t>
      </w:r>
      <w:r>
        <w:rPr>
          <w:sz w:val="22"/>
        </w:rPr>
        <w:t xml:space="preserve"> (pozri časť 5.2). Alternatí</w:t>
      </w:r>
      <w:r w:rsidR="00CF571F">
        <w:rPr>
          <w:sz w:val="22"/>
        </w:rPr>
        <w:t xml:space="preserve">vne sa tablety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môžu rozdrviť a </w:t>
      </w:r>
      <w:r w:rsidR="00124A19">
        <w:rPr>
          <w:sz w:val="22"/>
        </w:rPr>
        <w:t xml:space="preserve">suspendovať </w:t>
      </w:r>
      <w:r>
        <w:rPr>
          <w:sz w:val="22"/>
        </w:rPr>
        <w:t>v 60 ml vody alebo D5W a ihneď</w:t>
      </w:r>
      <w:r w:rsidR="00EC4342">
        <w:rPr>
          <w:sz w:val="22"/>
        </w:rPr>
        <w:t xml:space="preserve"> podať cez </w:t>
      </w:r>
      <w:proofErr w:type="spellStart"/>
      <w:r w:rsidR="00EC4342">
        <w:rPr>
          <w:sz w:val="22"/>
        </w:rPr>
        <w:t>nazogastrickú</w:t>
      </w:r>
      <w:proofErr w:type="spellEnd"/>
      <w:r w:rsidR="00EC4342">
        <w:rPr>
          <w:sz w:val="22"/>
        </w:rPr>
        <w:t xml:space="preserve"> sondu</w:t>
      </w:r>
      <w:r>
        <w:rPr>
          <w:sz w:val="22"/>
        </w:rPr>
        <w:t xml:space="preserve"> (pozri časť 5.2). Roz</w:t>
      </w:r>
      <w:r w:rsidR="002013DA">
        <w:rPr>
          <w:sz w:val="22"/>
        </w:rPr>
        <w:t xml:space="preserve">drvené tablety </w:t>
      </w:r>
      <w:proofErr w:type="spellStart"/>
      <w:r w:rsidR="002013DA">
        <w:rPr>
          <w:sz w:val="22"/>
        </w:rPr>
        <w:t>Polapixu</w:t>
      </w:r>
      <w:proofErr w:type="spellEnd"/>
      <w:r>
        <w:rPr>
          <w:sz w:val="22"/>
        </w:rPr>
        <w:t xml:space="preserve"> sú stabilné vo vode, D5W, jablkovom džúse a jablkovom pyré do 4 hodín.</w:t>
      </w:r>
    </w:p>
    <w:p w14:paraId="62E741B6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5CD0D528" w14:textId="77777777" w:rsidR="00B07789" w:rsidRPr="00A731E1" w:rsidRDefault="00D25089" w:rsidP="002F7708">
      <w:pPr>
        <w:pStyle w:val="Nadpis3"/>
        <w:tabs>
          <w:tab w:val="center" w:pos="1381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4.3 </w:t>
      </w:r>
      <w:r>
        <w:rPr>
          <w:sz w:val="22"/>
        </w:rPr>
        <w:tab/>
        <w:t>Kontraindikácie</w:t>
      </w:r>
      <w:r>
        <w:rPr>
          <w:b w:val="0"/>
          <w:sz w:val="22"/>
        </w:rPr>
        <w:t xml:space="preserve"> </w:t>
      </w:r>
    </w:p>
    <w:p w14:paraId="528E4AE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7DC64EC" w14:textId="77777777" w:rsidR="00B07789" w:rsidRPr="00A731E1" w:rsidRDefault="00D25089" w:rsidP="00833B71">
      <w:pPr>
        <w:numPr>
          <w:ilvl w:val="0"/>
          <w:numId w:val="8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Precitlivenosť na liečivo alebo na ktorúkoľvek z pomocných látok uvedených v časti 6.1. </w:t>
      </w:r>
    </w:p>
    <w:p w14:paraId="1D1885E2" w14:textId="77777777" w:rsidR="00B07789" w:rsidRPr="00A731E1" w:rsidRDefault="00D25089" w:rsidP="00833B71">
      <w:pPr>
        <w:numPr>
          <w:ilvl w:val="0"/>
          <w:numId w:val="8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Aktívne, klinicky významné krvácanie. </w:t>
      </w:r>
    </w:p>
    <w:p w14:paraId="50D4E1E7" w14:textId="77777777" w:rsidR="00B07789" w:rsidRPr="00A731E1" w:rsidRDefault="00D25089" w:rsidP="00833B71">
      <w:pPr>
        <w:numPr>
          <w:ilvl w:val="0"/>
          <w:numId w:val="8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Ochorenie pečene spojené s </w:t>
      </w:r>
      <w:proofErr w:type="spellStart"/>
      <w:r>
        <w:rPr>
          <w:sz w:val="22"/>
        </w:rPr>
        <w:t>koagulopatiou</w:t>
      </w:r>
      <w:proofErr w:type="spellEnd"/>
      <w:r>
        <w:rPr>
          <w:sz w:val="22"/>
        </w:rPr>
        <w:t xml:space="preserve"> a klinicky významným rizikom krvácania (pozri časť 5.2). </w:t>
      </w:r>
    </w:p>
    <w:p w14:paraId="11EB3A9B" w14:textId="77777777" w:rsidR="00B07789" w:rsidRPr="00A731E1" w:rsidRDefault="00D25089" w:rsidP="00833B71">
      <w:pPr>
        <w:numPr>
          <w:ilvl w:val="0"/>
          <w:numId w:val="8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Lézia alebo ochorenie, ak sa považuje za významný rizikový faktor závažného krvácania. Môže to zahŕňať súčasnú alebo nedávnu </w:t>
      </w:r>
      <w:proofErr w:type="spellStart"/>
      <w:r>
        <w:rPr>
          <w:sz w:val="22"/>
        </w:rPr>
        <w:t>gastrointestinálnu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ulceráciu</w:t>
      </w:r>
      <w:proofErr w:type="spellEnd"/>
      <w:r>
        <w:rPr>
          <w:sz w:val="22"/>
        </w:rPr>
        <w:t xml:space="preserve">, prítomnosť malígnych novotvarov s vysokým rizikom krvácania, nedávne poranenie mozgu alebo chrbtice, nedávny chirurgický zákrok na mozgu, chrbtici alebo oku, nedávnu </w:t>
      </w:r>
      <w:proofErr w:type="spellStart"/>
      <w:r>
        <w:rPr>
          <w:sz w:val="22"/>
        </w:rPr>
        <w:t>intrakraniálnu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hemorágiu</w:t>
      </w:r>
      <w:proofErr w:type="spellEnd"/>
      <w:r>
        <w:rPr>
          <w:sz w:val="22"/>
        </w:rPr>
        <w:t xml:space="preserve">, známe alebo </w:t>
      </w:r>
      <w:proofErr w:type="spellStart"/>
      <w:r>
        <w:rPr>
          <w:sz w:val="22"/>
        </w:rPr>
        <w:t>suspektné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ezofagové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varixy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artériovenózne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malformácie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vaskulárne</w:t>
      </w:r>
      <w:proofErr w:type="spellEnd"/>
      <w:r>
        <w:rPr>
          <w:sz w:val="22"/>
        </w:rPr>
        <w:t xml:space="preserve"> aneuryzmy alebo významné </w:t>
      </w:r>
      <w:proofErr w:type="spellStart"/>
      <w:r>
        <w:rPr>
          <w:sz w:val="22"/>
        </w:rPr>
        <w:t>intraspinálne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intracerebrálne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vaskulárne</w:t>
      </w:r>
      <w:proofErr w:type="spellEnd"/>
      <w:r>
        <w:rPr>
          <w:sz w:val="22"/>
        </w:rPr>
        <w:t xml:space="preserve"> abnormality. </w:t>
      </w:r>
    </w:p>
    <w:p w14:paraId="0833FE11" w14:textId="38F8E682" w:rsidR="00B07789" w:rsidRPr="003531E1" w:rsidRDefault="00D25089" w:rsidP="00833B71">
      <w:pPr>
        <w:numPr>
          <w:ilvl w:val="0"/>
          <w:numId w:val="8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>Súbežná liečba ak</w:t>
      </w:r>
      <w:r w:rsidR="00251F0B">
        <w:rPr>
          <w:sz w:val="22"/>
        </w:rPr>
        <w:t>ýmkoľvek</w:t>
      </w:r>
      <w:r>
        <w:rPr>
          <w:sz w:val="22"/>
        </w:rPr>
        <w:t xml:space="preserve"> in</w:t>
      </w:r>
      <w:r w:rsidR="00251F0B">
        <w:rPr>
          <w:sz w:val="22"/>
        </w:rPr>
        <w:t>ým</w:t>
      </w:r>
      <w:r>
        <w:rPr>
          <w:sz w:val="22"/>
        </w:rPr>
        <w:t xml:space="preserve"> </w:t>
      </w:r>
      <w:proofErr w:type="spellStart"/>
      <w:r>
        <w:rPr>
          <w:sz w:val="22"/>
        </w:rPr>
        <w:t>antikoagulačn</w:t>
      </w:r>
      <w:r w:rsidR="00251F0B">
        <w:rPr>
          <w:sz w:val="22"/>
        </w:rPr>
        <w:t>ým</w:t>
      </w:r>
      <w:proofErr w:type="spellEnd"/>
      <w:r>
        <w:rPr>
          <w:sz w:val="22"/>
        </w:rPr>
        <w:t xml:space="preserve"> l</w:t>
      </w:r>
      <w:r w:rsidR="00251F0B">
        <w:rPr>
          <w:sz w:val="22"/>
        </w:rPr>
        <w:t>iečivom</w:t>
      </w:r>
      <w:r>
        <w:rPr>
          <w:sz w:val="22"/>
        </w:rPr>
        <w:t xml:space="preserve"> napr. </w:t>
      </w:r>
      <w:proofErr w:type="spellStart"/>
      <w:r>
        <w:rPr>
          <w:sz w:val="22"/>
        </w:rPr>
        <w:t>nefrakcionovaným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unfractionated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heparin</w:t>
      </w:r>
      <w:proofErr w:type="spellEnd"/>
      <w:r>
        <w:rPr>
          <w:sz w:val="22"/>
        </w:rPr>
        <w:t xml:space="preserve"> – UFH), </w:t>
      </w:r>
      <w:proofErr w:type="spellStart"/>
      <w:r>
        <w:rPr>
          <w:sz w:val="22"/>
        </w:rPr>
        <w:t>heparínmi</w:t>
      </w:r>
      <w:proofErr w:type="spellEnd"/>
      <w:r>
        <w:rPr>
          <w:sz w:val="22"/>
        </w:rPr>
        <w:t xml:space="preserve"> s nízkou molekulárnou hmotnosťou (</w:t>
      </w:r>
      <w:proofErr w:type="spellStart"/>
      <w:r>
        <w:rPr>
          <w:sz w:val="22"/>
        </w:rPr>
        <w:t>enoxaparín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dalteparín</w:t>
      </w:r>
      <w:proofErr w:type="spellEnd"/>
      <w:r>
        <w:rPr>
          <w:sz w:val="22"/>
        </w:rPr>
        <w:t xml:space="preserve"> atď.), derivátmi </w:t>
      </w:r>
      <w:proofErr w:type="spellStart"/>
      <w:r>
        <w:rPr>
          <w:sz w:val="22"/>
        </w:rPr>
        <w:t>heparínu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fondaparín</w:t>
      </w:r>
      <w:proofErr w:type="spellEnd"/>
      <w:r>
        <w:rPr>
          <w:sz w:val="22"/>
        </w:rPr>
        <w:t xml:space="preserve"> atď.), perorálnymi </w:t>
      </w:r>
      <w:proofErr w:type="spellStart"/>
      <w:r>
        <w:rPr>
          <w:sz w:val="22"/>
        </w:rPr>
        <w:t>antikoagulanciami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lastRenderedPageBreak/>
        <w:t>rivaroxabán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dabigatrán</w:t>
      </w:r>
      <w:proofErr w:type="spellEnd"/>
      <w:r>
        <w:rPr>
          <w:sz w:val="22"/>
        </w:rPr>
        <w:t xml:space="preserve"> atď.) okrem špecifických okolností vyžadujúcich zmenu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 (pozri časť 4.2), keď sa UFH podáva v dávkach potrebných na udržanie priechodného centrálneho žilového alebo </w:t>
      </w:r>
      <w:r w:rsidR="00251F0B">
        <w:rPr>
          <w:sz w:val="22"/>
        </w:rPr>
        <w:t>artériového</w:t>
      </w:r>
      <w:r>
        <w:rPr>
          <w:sz w:val="22"/>
        </w:rPr>
        <w:t xml:space="preserve"> katétra alebo keď sa UFH podáva počas </w:t>
      </w:r>
      <w:proofErr w:type="spellStart"/>
      <w:r>
        <w:rPr>
          <w:sz w:val="22"/>
        </w:rPr>
        <w:t>katetrizačnej</w:t>
      </w:r>
      <w:proofErr w:type="spellEnd"/>
      <w:r>
        <w:rPr>
          <w:sz w:val="22"/>
        </w:rPr>
        <w:t xml:space="preserve"> ablácie z dôvodu </w:t>
      </w:r>
      <w:proofErr w:type="spellStart"/>
      <w:r>
        <w:rPr>
          <w:sz w:val="22"/>
        </w:rPr>
        <w:t>atriálnej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fibrilácie</w:t>
      </w:r>
      <w:proofErr w:type="spellEnd"/>
      <w:r>
        <w:rPr>
          <w:sz w:val="22"/>
        </w:rPr>
        <w:t xml:space="preserve"> (pozri časti 4.4 a 4.5). </w:t>
      </w:r>
    </w:p>
    <w:p w14:paraId="4DA676AA" w14:textId="77777777" w:rsidR="00B07789" w:rsidRPr="00A731E1" w:rsidRDefault="00D25089" w:rsidP="00833B71">
      <w:pPr>
        <w:spacing w:after="0" w:line="240" w:lineRule="auto"/>
        <w:ind w:left="567" w:firstLine="0"/>
        <w:rPr>
          <w:sz w:val="22"/>
        </w:rPr>
      </w:pPr>
      <w:r>
        <w:rPr>
          <w:b/>
          <w:sz w:val="22"/>
        </w:rPr>
        <w:t xml:space="preserve"> </w:t>
      </w:r>
    </w:p>
    <w:p w14:paraId="06234335" w14:textId="77777777" w:rsidR="00B07789" w:rsidRPr="00A731E1" w:rsidRDefault="00D25089" w:rsidP="002F7708">
      <w:pPr>
        <w:keepNext/>
        <w:tabs>
          <w:tab w:val="center" w:pos="2396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 xml:space="preserve">4.4 </w:t>
      </w:r>
      <w:r>
        <w:rPr>
          <w:b/>
          <w:sz w:val="22"/>
        </w:rPr>
        <w:tab/>
        <w:t xml:space="preserve">Osobitné upozornenia a opatrenia pri používaní </w:t>
      </w:r>
    </w:p>
    <w:p w14:paraId="11D60DDE" w14:textId="77777777" w:rsidR="00B07789" w:rsidRPr="00A731E1" w:rsidRDefault="00D25089" w:rsidP="00833B71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BDEA74F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Riziko krvácania</w:t>
      </w:r>
      <w:r>
        <w:rPr>
          <w:sz w:val="22"/>
          <w:u w:val="none"/>
        </w:rPr>
        <w:t xml:space="preserve"> </w:t>
      </w:r>
    </w:p>
    <w:p w14:paraId="07C55B3E" w14:textId="15A7F43C" w:rsidR="00B07789" w:rsidRPr="00A731E1" w:rsidRDefault="00D25089" w:rsidP="00833B71">
      <w:pPr>
        <w:keepNext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Tak ako pri iných </w:t>
      </w:r>
      <w:proofErr w:type="spellStart"/>
      <w:r>
        <w:rPr>
          <w:sz w:val="22"/>
        </w:rPr>
        <w:t>antikoagulanciách</w:t>
      </w:r>
      <w:proofErr w:type="spellEnd"/>
      <w:r>
        <w:rPr>
          <w:sz w:val="22"/>
        </w:rPr>
        <w:t>, a</w:t>
      </w:r>
      <w:r w:rsidR="00CF571F">
        <w:rPr>
          <w:sz w:val="22"/>
        </w:rPr>
        <w:t xml:space="preserve">j pri podávaní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je potrebné pacientov pozorne sledovať kvôli pr</w:t>
      </w:r>
      <w:r w:rsidR="008F6FAD">
        <w:rPr>
          <w:sz w:val="22"/>
        </w:rPr>
        <w:t>ejavom</w:t>
      </w:r>
      <w:r>
        <w:rPr>
          <w:sz w:val="22"/>
        </w:rPr>
        <w:t xml:space="preserve"> krvácania. V prípadoch, k</w:t>
      </w:r>
      <w:r w:rsidR="008F6FAD">
        <w:rPr>
          <w:sz w:val="22"/>
        </w:rPr>
        <w:t>eď</w:t>
      </w:r>
      <w:r>
        <w:rPr>
          <w:sz w:val="22"/>
        </w:rPr>
        <w:t xml:space="preserve"> je zvýšené riziko krvácania, sa odporúča opatrnosť. Ak sa objaví závažné krváca</w:t>
      </w:r>
      <w:r w:rsidR="00CF571F">
        <w:rPr>
          <w:sz w:val="22"/>
        </w:rPr>
        <w:t xml:space="preserve">nie, podávanie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sa má prerušiť (pozri časti 4.8 a 4.9). </w:t>
      </w:r>
    </w:p>
    <w:p w14:paraId="394A0F53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93AA6A9" w14:textId="390F3899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Hoci si liečba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nevyžaduje pravidelné monitorovanie expozície, kalibrovaný kvantitatívny test na </w:t>
      </w:r>
      <w:proofErr w:type="spellStart"/>
      <w:r>
        <w:rPr>
          <w:sz w:val="22"/>
        </w:rPr>
        <w:t>antifaktor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môže byť užitočný vo výnimočných situáciách, ke</w:t>
      </w:r>
      <w:r w:rsidR="008F6FAD">
        <w:rPr>
          <w:sz w:val="22"/>
        </w:rPr>
        <w:t>ď</w:t>
      </w:r>
      <w:r>
        <w:rPr>
          <w:sz w:val="22"/>
        </w:rPr>
        <w:t xml:space="preserve"> </w:t>
      </w:r>
      <w:r w:rsidR="008F6FAD">
        <w:rPr>
          <w:sz w:val="22"/>
        </w:rPr>
        <w:t>zistenie</w:t>
      </w:r>
      <w:r>
        <w:rPr>
          <w:sz w:val="22"/>
        </w:rPr>
        <w:t xml:space="preserve"> expozície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môže pomôcť kvalifikovanému klinickému rozhodnutiu, napr. predávkovanie a urgentný chirurgický výkon (pozri časť 5.1). </w:t>
      </w:r>
    </w:p>
    <w:p w14:paraId="0A18947D" w14:textId="157D1B59" w:rsidR="00B07789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9FB2AEA" w14:textId="2F1E44B4" w:rsidR="00716387" w:rsidRPr="00716387" w:rsidRDefault="00716387" w:rsidP="00716387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K dispozícii je </w:t>
      </w:r>
      <w:r w:rsidR="008F6FAD">
        <w:rPr>
          <w:sz w:val="22"/>
        </w:rPr>
        <w:t>liečivo</w:t>
      </w:r>
      <w:r>
        <w:rPr>
          <w:sz w:val="22"/>
        </w:rPr>
        <w:t xml:space="preserve"> na zvrátenie účinku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pôsobiaceho proti faktoru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>.</w:t>
      </w:r>
    </w:p>
    <w:p w14:paraId="37A88014" w14:textId="77777777" w:rsidR="00716387" w:rsidRPr="007E6137" w:rsidRDefault="00716387" w:rsidP="00833B71">
      <w:pPr>
        <w:spacing w:after="0" w:line="240" w:lineRule="auto"/>
        <w:ind w:left="0" w:firstLine="0"/>
        <w:rPr>
          <w:sz w:val="22"/>
        </w:rPr>
      </w:pPr>
    </w:p>
    <w:p w14:paraId="6C0532E2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Interakcia s inými liekmi ovplyvňujúcimi </w:t>
      </w:r>
      <w:proofErr w:type="spellStart"/>
      <w:r>
        <w:rPr>
          <w:sz w:val="22"/>
        </w:rPr>
        <w:t>hemostázu</w:t>
      </w:r>
      <w:proofErr w:type="spellEnd"/>
      <w:r>
        <w:rPr>
          <w:sz w:val="22"/>
          <w:u w:val="none"/>
        </w:rPr>
        <w:t xml:space="preserve"> </w:t>
      </w:r>
    </w:p>
    <w:p w14:paraId="1E7E0024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Z dôvodu zvýšeného rizika krvácania je súbežná liečba inými </w:t>
      </w:r>
      <w:proofErr w:type="spellStart"/>
      <w:r>
        <w:rPr>
          <w:sz w:val="22"/>
        </w:rPr>
        <w:t>antikoagulanciami</w:t>
      </w:r>
      <w:proofErr w:type="spellEnd"/>
      <w:r>
        <w:rPr>
          <w:sz w:val="22"/>
        </w:rPr>
        <w:t xml:space="preserve"> kontraindikovaná (pozri časť 4.3). </w:t>
      </w:r>
    </w:p>
    <w:p w14:paraId="62D8184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72751C7" w14:textId="0487C2B9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Súbe</w:t>
      </w:r>
      <w:r w:rsidR="002013DA">
        <w:rPr>
          <w:sz w:val="22"/>
        </w:rPr>
        <w:t xml:space="preserve">žné používanie </w:t>
      </w:r>
      <w:proofErr w:type="spellStart"/>
      <w:r w:rsidR="002013DA">
        <w:rPr>
          <w:sz w:val="22"/>
        </w:rPr>
        <w:t>Polapixu</w:t>
      </w:r>
      <w:proofErr w:type="spellEnd"/>
      <w:r>
        <w:rPr>
          <w:sz w:val="22"/>
        </w:rPr>
        <w:t xml:space="preserve"> s </w:t>
      </w:r>
      <w:proofErr w:type="spellStart"/>
      <w:r w:rsidR="008F6FAD">
        <w:rPr>
          <w:sz w:val="22"/>
        </w:rPr>
        <w:t>antiagreganciami</w:t>
      </w:r>
      <w:proofErr w:type="spellEnd"/>
      <w:r>
        <w:rPr>
          <w:sz w:val="22"/>
        </w:rPr>
        <w:t xml:space="preserve"> zvyšuje riziko krvácania (pozri časť 4.5)</w:t>
      </w:r>
      <w:r>
        <w:rPr>
          <w:i/>
          <w:sz w:val="22"/>
        </w:rPr>
        <w:t xml:space="preserve"> </w:t>
      </w:r>
    </w:p>
    <w:p w14:paraId="5A7902C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F6D658F" w14:textId="0840A283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Opatrnosť je nutná, ak sú pacienti súbežne liečení selektívnymi inhibítormi spätného vychytávania </w:t>
      </w:r>
      <w:proofErr w:type="spellStart"/>
      <w:r>
        <w:rPr>
          <w:sz w:val="22"/>
        </w:rPr>
        <w:t>sérotonínu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selective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serotonin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reuptake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inhibitors</w:t>
      </w:r>
      <w:proofErr w:type="spellEnd"/>
      <w:r>
        <w:rPr>
          <w:sz w:val="22"/>
        </w:rPr>
        <w:t xml:space="preserve">, SSRI) alebo inhibítormi spätného vychytávania </w:t>
      </w:r>
      <w:proofErr w:type="spellStart"/>
      <w:r>
        <w:rPr>
          <w:sz w:val="22"/>
        </w:rPr>
        <w:t>sérotonínu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noradrenalínu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serotonin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norepinephrine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reuptake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inhibitors</w:t>
      </w:r>
      <w:proofErr w:type="spellEnd"/>
      <w:r>
        <w:rPr>
          <w:sz w:val="22"/>
        </w:rPr>
        <w:t xml:space="preserve">, SNRI), alebo </w:t>
      </w:r>
      <w:proofErr w:type="spellStart"/>
      <w:r>
        <w:rPr>
          <w:sz w:val="22"/>
        </w:rPr>
        <w:t>nesteroidovými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antiflogistikami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non</w:t>
      </w:r>
      <w:r>
        <w:rPr>
          <w:sz w:val="22"/>
        </w:rPr>
        <w:noBreakHyphen/>
        <w:t>steroidal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inflammatory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drugs</w:t>
      </w:r>
      <w:proofErr w:type="spellEnd"/>
      <w:r>
        <w:rPr>
          <w:sz w:val="22"/>
        </w:rPr>
        <w:t xml:space="preserve">, NSAID), vrátane kyseliny </w:t>
      </w:r>
      <w:proofErr w:type="spellStart"/>
      <w:r>
        <w:rPr>
          <w:sz w:val="22"/>
        </w:rPr>
        <w:t>acetylsalicylovej</w:t>
      </w:r>
      <w:proofErr w:type="spellEnd"/>
      <w:r>
        <w:rPr>
          <w:sz w:val="22"/>
        </w:rPr>
        <w:t xml:space="preserve">. </w:t>
      </w:r>
    </w:p>
    <w:p w14:paraId="52DE1F2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E5DECEB" w14:textId="668F54D0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chirurgickom zákroku sa neodporúča použiť iné inhibítory </w:t>
      </w:r>
      <w:proofErr w:type="spellStart"/>
      <w:r>
        <w:rPr>
          <w:sz w:val="22"/>
        </w:rPr>
        <w:t>agregácie</w:t>
      </w:r>
      <w:proofErr w:type="spellEnd"/>
      <w:r>
        <w:rPr>
          <w:sz w:val="22"/>
        </w:rPr>
        <w:t xml:space="preserve"> krvných došti</w:t>
      </w:r>
      <w:r w:rsidR="00CF571F">
        <w:rPr>
          <w:sz w:val="22"/>
        </w:rPr>
        <w:t xml:space="preserve">čiek súbežne s </w:t>
      </w:r>
      <w:proofErr w:type="spellStart"/>
      <w:r w:rsidR="00CF571F">
        <w:rPr>
          <w:sz w:val="22"/>
        </w:rPr>
        <w:t>Polapixom</w:t>
      </w:r>
      <w:proofErr w:type="spellEnd"/>
      <w:r>
        <w:rPr>
          <w:sz w:val="22"/>
        </w:rPr>
        <w:t xml:space="preserve"> (pozri časť 4.5). </w:t>
      </w:r>
    </w:p>
    <w:p w14:paraId="6456AD5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C45B940" w14:textId="01EBF79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s </w:t>
      </w:r>
      <w:proofErr w:type="spellStart"/>
      <w:r>
        <w:rPr>
          <w:sz w:val="22"/>
        </w:rPr>
        <w:t>atriálnou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a ochoreniami, ktoré si vyžadujú </w:t>
      </w:r>
      <w:proofErr w:type="spellStart"/>
      <w:r w:rsidR="00330A35">
        <w:rPr>
          <w:sz w:val="22"/>
        </w:rPr>
        <w:t>antiagregačnú</w:t>
      </w:r>
      <w:proofErr w:type="spellEnd"/>
      <w:r>
        <w:rPr>
          <w:sz w:val="22"/>
        </w:rPr>
        <w:t xml:space="preserve"> liečbu jedným alebo dvoma liečivami, sa majú starostlivo posúdiť potenciálne prínosy a potenciálne riziká pred kombinovaním </w:t>
      </w:r>
      <w:r w:rsidR="00CF571F">
        <w:rPr>
          <w:sz w:val="22"/>
        </w:rPr>
        <w:t xml:space="preserve">tejto liečby s </w:t>
      </w:r>
      <w:proofErr w:type="spellStart"/>
      <w:r w:rsidR="00CF571F">
        <w:rPr>
          <w:sz w:val="22"/>
        </w:rPr>
        <w:t>Polapixom</w:t>
      </w:r>
      <w:proofErr w:type="spellEnd"/>
      <w:r>
        <w:rPr>
          <w:sz w:val="22"/>
        </w:rPr>
        <w:t xml:space="preserve">. </w:t>
      </w:r>
    </w:p>
    <w:p w14:paraId="49E0BEB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1C23024" w14:textId="4306340C" w:rsidR="00B32E98" w:rsidRPr="00B32E98" w:rsidRDefault="00D25089" w:rsidP="00B32E98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klinickom skúšaní u pacientov s </w:t>
      </w:r>
      <w:proofErr w:type="spellStart"/>
      <w:r>
        <w:rPr>
          <w:sz w:val="22"/>
        </w:rPr>
        <w:t>atriálnou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zvýšilo súbežné použitie ASA riziko závažného krvácania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z 1,8 % za rok na 3,4 % za rok a zvýšilo riziko krvácania pri </w:t>
      </w:r>
      <w:proofErr w:type="spellStart"/>
      <w:r>
        <w:rPr>
          <w:sz w:val="22"/>
        </w:rPr>
        <w:t>warfaríne</w:t>
      </w:r>
      <w:proofErr w:type="spellEnd"/>
      <w:r>
        <w:rPr>
          <w:sz w:val="22"/>
        </w:rPr>
        <w:t xml:space="preserve"> z 2,7 % za rok na 4,6 % za rok. V tomto klinickom skúšaní bolo obmedzené (2,1 %) použitie súbežnej duálnej </w:t>
      </w:r>
      <w:proofErr w:type="spellStart"/>
      <w:r w:rsidR="00330A35">
        <w:rPr>
          <w:sz w:val="22"/>
        </w:rPr>
        <w:t>antiagregačnej</w:t>
      </w:r>
      <w:proofErr w:type="spellEnd"/>
      <w:r>
        <w:rPr>
          <w:sz w:val="22"/>
        </w:rPr>
        <w:t xml:space="preserve"> liečby (pozri časť 5.1).</w:t>
      </w:r>
    </w:p>
    <w:p w14:paraId="5B030996" w14:textId="77777777" w:rsidR="00B32E98" w:rsidRPr="007E6137" w:rsidRDefault="00B32E98" w:rsidP="00833B71">
      <w:pPr>
        <w:spacing w:after="0" w:line="240" w:lineRule="auto"/>
        <w:ind w:left="0"/>
        <w:rPr>
          <w:sz w:val="22"/>
        </w:rPr>
      </w:pPr>
    </w:p>
    <w:p w14:paraId="72AAFEDA" w14:textId="540A4BD2" w:rsidR="00B32E98" w:rsidRDefault="00B32E98" w:rsidP="00B32E98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Do klinického skúšania boli zapojení pacienti s </w:t>
      </w:r>
      <w:proofErr w:type="spellStart"/>
      <w:r>
        <w:rPr>
          <w:sz w:val="22"/>
        </w:rPr>
        <w:t>atriálnou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a ACS a/alebo PCI, u ktorých bola plánovaná</w:t>
      </w:r>
      <w:r w:rsidR="00CF571F">
        <w:rPr>
          <w:sz w:val="22"/>
        </w:rPr>
        <w:t xml:space="preserve"> </w:t>
      </w:r>
      <w:r>
        <w:rPr>
          <w:sz w:val="22"/>
        </w:rPr>
        <w:t xml:space="preserve">liečba inhibítorom P2Y12, s alebo bez ASA a perorálnou </w:t>
      </w:r>
      <w:proofErr w:type="spellStart"/>
      <w:r>
        <w:rPr>
          <w:sz w:val="22"/>
        </w:rPr>
        <w:t>antikoagulačnou</w:t>
      </w:r>
      <w:proofErr w:type="spellEnd"/>
      <w:r>
        <w:rPr>
          <w:sz w:val="22"/>
        </w:rPr>
        <w:t xml:space="preserve"> liečbou (buď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>,</w:t>
      </w:r>
      <w:r w:rsidR="00CF571F">
        <w:rPr>
          <w:sz w:val="22"/>
        </w:rPr>
        <w:t xml:space="preserve"> </w:t>
      </w:r>
      <w:r>
        <w:rPr>
          <w:sz w:val="22"/>
        </w:rPr>
        <w:t xml:space="preserve">alebo VKA) </w:t>
      </w:r>
      <w:r w:rsidR="00330A35">
        <w:rPr>
          <w:sz w:val="22"/>
        </w:rPr>
        <w:t>počas</w:t>
      </w:r>
      <w:r>
        <w:rPr>
          <w:sz w:val="22"/>
        </w:rPr>
        <w:t xml:space="preserve"> 6 mesiacov. Súbežné podávanie ASA zvýšilo riziko ISTH (International Society on</w:t>
      </w:r>
      <w:r w:rsidR="002013DA">
        <w:rPr>
          <w:sz w:val="22"/>
        </w:rPr>
        <w:t xml:space="preserve"> </w:t>
      </w:r>
      <w:proofErr w:type="spellStart"/>
      <w:r>
        <w:rPr>
          <w:sz w:val="22"/>
        </w:rPr>
        <w:t>Thrombosis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Hemostasis</w:t>
      </w:r>
      <w:proofErr w:type="spellEnd"/>
      <w:r>
        <w:rPr>
          <w:sz w:val="22"/>
        </w:rPr>
        <w:t>) závažného krvácania alebo klinicky relevantného nezávažného krvácania (</w:t>
      </w:r>
      <w:proofErr w:type="spellStart"/>
      <w:r>
        <w:rPr>
          <w:sz w:val="22"/>
        </w:rPr>
        <w:t>Clinically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Relevant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Non</w:t>
      </w:r>
      <w:proofErr w:type="spellEnd"/>
      <w:r>
        <w:rPr>
          <w:sz w:val="22"/>
        </w:rPr>
        <w:t>-Major, CRNM) u</w:t>
      </w:r>
      <w:r w:rsidR="002013DA">
        <w:rPr>
          <w:sz w:val="22"/>
        </w:rPr>
        <w:t xml:space="preserve"> </w:t>
      </w:r>
      <w:r w:rsidR="002824D6">
        <w:rPr>
          <w:sz w:val="22"/>
        </w:rPr>
        <w:t xml:space="preserve">pacientov liečených </w:t>
      </w:r>
      <w:proofErr w:type="spellStart"/>
      <w:r w:rsidR="002824D6">
        <w:rPr>
          <w:sz w:val="22"/>
        </w:rPr>
        <w:t>apixabánom</w:t>
      </w:r>
      <w:proofErr w:type="spellEnd"/>
      <w:r w:rsidR="002824D6">
        <w:rPr>
          <w:sz w:val="22"/>
        </w:rPr>
        <w:t xml:space="preserve"> zo 16,4 % ročne na 33,1 % ročne (pozri časť 5.1).</w:t>
      </w:r>
    </w:p>
    <w:p w14:paraId="090231A2" w14:textId="77777777" w:rsidR="00B32E98" w:rsidRPr="007E6137" w:rsidRDefault="00B32E98" w:rsidP="00833B71">
      <w:pPr>
        <w:spacing w:after="0" w:line="240" w:lineRule="auto"/>
        <w:ind w:left="0" w:firstLine="0"/>
        <w:rPr>
          <w:sz w:val="22"/>
        </w:rPr>
      </w:pPr>
    </w:p>
    <w:p w14:paraId="7F5A84C2" w14:textId="7791D570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klinickom skúšaní u vysokorizikových pacientov po akútnom koronárnom syndróme bez </w:t>
      </w:r>
      <w:proofErr w:type="spellStart"/>
      <w:r>
        <w:rPr>
          <w:sz w:val="22"/>
        </w:rPr>
        <w:t>atriálnej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fibrilácie</w:t>
      </w:r>
      <w:proofErr w:type="spellEnd"/>
      <w:r>
        <w:rPr>
          <w:sz w:val="22"/>
        </w:rPr>
        <w:t xml:space="preserve"> charakterizovaných viacerými srdcovými a nesrdcovými </w:t>
      </w:r>
      <w:proofErr w:type="spellStart"/>
      <w:r>
        <w:rPr>
          <w:sz w:val="22"/>
        </w:rPr>
        <w:t>komorbiditami</w:t>
      </w:r>
      <w:proofErr w:type="spellEnd"/>
      <w:r>
        <w:rPr>
          <w:sz w:val="22"/>
        </w:rPr>
        <w:t xml:space="preserve">, ktorí dostávali ASA alebo kombináciu ASA a </w:t>
      </w:r>
      <w:proofErr w:type="spellStart"/>
      <w:r>
        <w:rPr>
          <w:sz w:val="22"/>
        </w:rPr>
        <w:t>klopidogrelu</w:t>
      </w:r>
      <w:proofErr w:type="spellEnd"/>
      <w:r>
        <w:rPr>
          <w:sz w:val="22"/>
        </w:rPr>
        <w:t xml:space="preserve">, sa zaznamenalo významné zvýšenie rizika ISTH (International </w:t>
      </w:r>
      <w:r>
        <w:rPr>
          <w:sz w:val="22"/>
        </w:rPr>
        <w:lastRenderedPageBreak/>
        <w:t xml:space="preserve">Society on </w:t>
      </w:r>
      <w:proofErr w:type="spellStart"/>
      <w:r>
        <w:rPr>
          <w:sz w:val="22"/>
        </w:rPr>
        <w:t>Thrombosis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Haemostasis</w:t>
      </w:r>
      <w:proofErr w:type="spellEnd"/>
      <w:r>
        <w:rPr>
          <w:sz w:val="22"/>
        </w:rPr>
        <w:t xml:space="preserve">) závažného krvácania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(5,13 % za rok) v porovnaní s placebom (2,04 % za rok). </w:t>
      </w:r>
    </w:p>
    <w:p w14:paraId="4EA3F0E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25C9885" w14:textId="19D0DAC8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Použitie </w:t>
      </w:r>
      <w:proofErr w:type="spellStart"/>
      <w:r>
        <w:rPr>
          <w:sz w:val="22"/>
        </w:rPr>
        <w:t>trombolytík</w:t>
      </w:r>
      <w:proofErr w:type="spellEnd"/>
      <w:r>
        <w:rPr>
          <w:sz w:val="22"/>
        </w:rPr>
        <w:t xml:space="preserve"> </w:t>
      </w:r>
      <w:r w:rsidR="00330A35">
        <w:rPr>
          <w:sz w:val="22"/>
        </w:rPr>
        <w:t>v</w:t>
      </w:r>
      <w:r>
        <w:rPr>
          <w:sz w:val="22"/>
        </w:rPr>
        <w:t xml:space="preserve"> liečb</w:t>
      </w:r>
      <w:r w:rsidR="00330A35">
        <w:rPr>
          <w:sz w:val="22"/>
        </w:rPr>
        <w:t>e</w:t>
      </w:r>
      <w:r>
        <w:rPr>
          <w:sz w:val="22"/>
        </w:rPr>
        <w:t xml:space="preserve"> akútnej ischemickej </w:t>
      </w:r>
      <w:r w:rsidR="00330A35">
        <w:rPr>
          <w:sz w:val="22"/>
        </w:rPr>
        <w:t xml:space="preserve">cievnej </w:t>
      </w:r>
      <w:r>
        <w:rPr>
          <w:sz w:val="22"/>
        </w:rPr>
        <w:t>mozgovej príhody</w:t>
      </w:r>
      <w:r>
        <w:rPr>
          <w:sz w:val="22"/>
          <w:u w:val="none"/>
        </w:rPr>
        <w:t xml:space="preserve"> </w:t>
      </w:r>
    </w:p>
    <w:p w14:paraId="3553E34F" w14:textId="7C65F3B5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 použitím </w:t>
      </w:r>
      <w:proofErr w:type="spellStart"/>
      <w:r>
        <w:rPr>
          <w:sz w:val="22"/>
        </w:rPr>
        <w:t>trombolytík</w:t>
      </w:r>
      <w:proofErr w:type="spellEnd"/>
      <w:r>
        <w:rPr>
          <w:sz w:val="22"/>
        </w:rPr>
        <w:t xml:space="preserve"> </w:t>
      </w:r>
      <w:r w:rsidR="00330A35">
        <w:rPr>
          <w:sz w:val="22"/>
        </w:rPr>
        <w:t>v</w:t>
      </w:r>
      <w:r>
        <w:rPr>
          <w:sz w:val="22"/>
        </w:rPr>
        <w:t xml:space="preserve"> liečb</w:t>
      </w:r>
      <w:r w:rsidR="00330A35">
        <w:rPr>
          <w:sz w:val="22"/>
        </w:rPr>
        <w:t>e</w:t>
      </w:r>
      <w:r>
        <w:rPr>
          <w:sz w:val="22"/>
        </w:rPr>
        <w:t xml:space="preserve"> akútnej ischemickej </w:t>
      </w:r>
      <w:r w:rsidR="00330A35">
        <w:rPr>
          <w:sz w:val="22"/>
        </w:rPr>
        <w:t>cievnej</w:t>
      </w:r>
      <w:r>
        <w:rPr>
          <w:sz w:val="22"/>
        </w:rPr>
        <w:t xml:space="preserve"> mozgovej príhody u pacientov, ktorým sa podáva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, existujú len veľmi obmedzené skúsenosti (pozri časť 4.5). </w:t>
      </w:r>
    </w:p>
    <w:p w14:paraId="6E4421F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6D90B61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Pacienti s protetickými srdcovými chlopňami</w:t>
      </w:r>
      <w:r>
        <w:rPr>
          <w:sz w:val="22"/>
          <w:u w:val="none"/>
        </w:rPr>
        <w:t xml:space="preserve"> </w:t>
      </w:r>
    </w:p>
    <w:p w14:paraId="0F9656B1" w14:textId="4789D62F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Bezpečnosť a účinnosť </w:t>
      </w:r>
      <w:proofErr w:type="spellStart"/>
      <w:r w:rsidR="00330A35">
        <w:rPr>
          <w:sz w:val="22"/>
        </w:rPr>
        <w:t>Polapixu</w:t>
      </w:r>
      <w:proofErr w:type="spellEnd"/>
      <w:r w:rsidR="009104D0">
        <w:rPr>
          <w:sz w:val="22"/>
        </w:rPr>
        <w:t xml:space="preserve"> </w:t>
      </w:r>
      <w:r>
        <w:rPr>
          <w:sz w:val="22"/>
        </w:rPr>
        <w:t xml:space="preserve">sa neskúmali u pacientov s protetickými srdcovými chlopňami s </w:t>
      </w:r>
      <w:proofErr w:type="spellStart"/>
      <w:r>
        <w:rPr>
          <w:sz w:val="22"/>
        </w:rPr>
        <w:t>atriálnou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alebo bez nej. Z tohto dôvodu sa u týchto paci</w:t>
      </w:r>
      <w:r w:rsidR="002013DA">
        <w:rPr>
          <w:sz w:val="22"/>
        </w:rPr>
        <w:t xml:space="preserve">entov použitie </w:t>
      </w:r>
      <w:proofErr w:type="spellStart"/>
      <w:r w:rsidR="002013DA">
        <w:rPr>
          <w:sz w:val="22"/>
        </w:rPr>
        <w:t>Polapixu</w:t>
      </w:r>
      <w:proofErr w:type="spellEnd"/>
      <w:r>
        <w:rPr>
          <w:sz w:val="22"/>
        </w:rPr>
        <w:t xml:space="preserve"> neodporúča. </w:t>
      </w:r>
    </w:p>
    <w:p w14:paraId="15887E99" w14:textId="27F7AA6B" w:rsidR="00B07789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A950AE7" w14:textId="77777777" w:rsidR="0076665A" w:rsidRPr="000E7AF5" w:rsidRDefault="0076665A" w:rsidP="0076665A">
      <w:pPr>
        <w:spacing w:after="0" w:line="240" w:lineRule="auto"/>
        <w:ind w:left="0" w:firstLine="0"/>
        <w:rPr>
          <w:sz w:val="22"/>
          <w:u w:val="single"/>
        </w:rPr>
      </w:pPr>
      <w:r>
        <w:rPr>
          <w:sz w:val="22"/>
          <w:u w:val="single"/>
        </w:rPr>
        <w:t xml:space="preserve">Pacienti s </w:t>
      </w:r>
      <w:proofErr w:type="spellStart"/>
      <w:r>
        <w:rPr>
          <w:sz w:val="22"/>
          <w:u w:val="single"/>
        </w:rPr>
        <w:t>antifosfolipidovým</w:t>
      </w:r>
      <w:proofErr w:type="spellEnd"/>
      <w:r>
        <w:rPr>
          <w:sz w:val="22"/>
          <w:u w:val="single"/>
        </w:rPr>
        <w:t xml:space="preserve"> syndrómom</w:t>
      </w:r>
    </w:p>
    <w:p w14:paraId="63518011" w14:textId="17FB1E26" w:rsidR="0076665A" w:rsidRDefault="0076665A" w:rsidP="0076665A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Priame perorálne </w:t>
      </w:r>
      <w:proofErr w:type="spellStart"/>
      <w:r>
        <w:rPr>
          <w:sz w:val="22"/>
        </w:rPr>
        <w:t>antikoagulanciá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direct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acting</w:t>
      </w:r>
      <w:proofErr w:type="spellEnd"/>
      <w:r>
        <w:rPr>
          <w:sz w:val="22"/>
        </w:rPr>
        <w:t xml:space="preserve"> oral </w:t>
      </w:r>
      <w:proofErr w:type="spellStart"/>
      <w:r>
        <w:rPr>
          <w:sz w:val="22"/>
        </w:rPr>
        <w:t>anticoagulants</w:t>
      </w:r>
      <w:proofErr w:type="spellEnd"/>
      <w:r>
        <w:rPr>
          <w:sz w:val="22"/>
        </w:rPr>
        <w:t xml:space="preserve">, DOAC), ako je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>, sa neodporúčajú pacientom</w:t>
      </w:r>
      <w:r w:rsidR="00CF571F">
        <w:rPr>
          <w:sz w:val="22"/>
        </w:rPr>
        <w:t xml:space="preserve"> </w:t>
      </w:r>
      <w:r>
        <w:rPr>
          <w:sz w:val="22"/>
        </w:rPr>
        <w:t xml:space="preserve">s trombózou v anamnéze, u ktorých je diagnostikovaný </w:t>
      </w:r>
      <w:proofErr w:type="spellStart"/>
      <w:r>
        <w:rPr>
          <w:sz w:val="22"/>
        </w:rPr>
        <w:t>antifosfolipidový</w:t>
      </w:r>
      <w:proofErr w:type="spellEnd"/>
      <w:r>
        <w:rPr>
          <w:sz w:val="22"/>
        </w:rPr>
        <w:t xml:space="preserve"> syndróm. Najmä u</w:t>
      </w:r>
      <w:r w:rsidR="00CF571F">
        <w:rPr>
          <w:sz w:val="22"/>
        </w:rPr>
        <w:t xml:space="preserve"> </w:t>
      </w:r>
      <w:r>
        <w:rPr>
          <w:sz w:val="22"/>
        </w:rPr>
        <w:t xml:space="preserve">pacientov, ktorí sú trojito pozitívni (na </w:t>
      </w:r>
      <w:proofErr w:type="spellStart"/>
      <w:r>
        <w:rPr>
          <w:sz w:val="22"/>
        </w:rPr>
        <w:t>lupus-antikoagulans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antikardiolipínové</w:t>
      </w:r>
      <w:proofErr w:type="spellEnd"/>
      <w:r>
        <w:rPr>
          <w:sz w:val="22"/>
        </w:rPr>
        <w:t xml:space="preserve"> protilátky a protilátky proti beta-2-glykoproteínu I), môže liečba DOAC súvisieť so zvýšenou mierou </w:t>
      </w:r>
      <w:proofErr w:type="spellStart"/>
      <w:r>
        <w:rPr>
          <w:sz w:val="22"/>
        </w:rPr>
        <w:t>rekurentných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trombotických</w:t>
      </w:r>
      <w:proofErr w:type="spellEnd"/>
      <w:r>
        <w:rPr>
          <w:sz w:val="22"/>
        </w:rPr>
        <w:t xml:space="preserve"> udalostí v porovnaní s liečbou antagonistami vitamínu K.</w:t>
      </w:r>
    </w:p>
    <w:p w14:paraId="348AF27E" w14:textId="77777777" w:rsidR="0076665A" w:rsidRPr="007E6137" w:rsidRDefault="0076665A" w:rsidP="00833B71">
      <w:pPr>
        <w:spacing w:after="0" w:line="240" w:lineRule="auto"/>
        <w:ind w:left="0" w:firstLine="0"/>
        <w:rPr>
          <w:sz w:val="22"/>
        </w:rPr>
      </w:pPr>
    </w:p>
    <w:p w14:paraId="306D7333" w14:textId="4CBE06F3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Chirurgický zákrok a invazívne </w:t>
      </w:r>
      <w:r w:rsidR="006571DA">
        <w:rPr>
          <w:sz w:val="22"/>
        </w:rPr>
        <w:t>výkony</w:t>
      </w:r>
      <w:r>
        <w:rPr>
          <w:sz w:val="22"/>
          <w:u w:val="none"/>
        </w:rPr>
        <w:t xml:space="preserve"> </w:t>
      </w:r>
    </w:p>
    <w:p w14:paraId="71E9272B" w14:textId="311D6C33" w:rsidR="00B07789" w:rsidRPr="00A731E1" w:rsidRDefault="002013DA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Užívanie </w:t>
      </w:r>
      <w:proofErr w:type="spellStart"/>
      <w:r>
        <w:rPr>
          <w:sz w:val="22"/>
        </w:rPr>
        <w:t>Polapixu</w:t>
      </w:r>
      <w:proofErr w:type="spellEnd"/>
      <w:r w:rsidR="00635B73">
        <w:rPr>
          <w:sz w:val="22"/>
        </w:rPr>
        <w:t xml:space="preserve"> sa má ukončiť najmenej 48 hodín pred </w:t>
      </w:r>
      <w:proofErr w:type="spellStart"/>
      <w:r w:rsidR="00635B73">
        <w:rPr>
          <w:sz w:val="22"/>
        </w:rPr>
        <w:t>elektívnym</w:t>
      </w:r>
      <w:proofErr w:type="spellEnd"/>
      <w:r w:rsidR="00635B73">
        <w:rPr>
          <w:sz w:val="22"/>
        </w:rPr>
        <w:t xml:space="preserve"> chirurgickým zákrokom alebo invazívnymi </w:t>
      </w:r>
      <w:r w:rsidR="006571DA">
        <w:rPr>
          <w:sz w:val="22"/>
        </w:rPr>
        <w:t>výkonmi</w:t>
      </w:r>
      <w:r w:rsidR="00635B73">
        <w:rPr>
          <w:sz w:val="22"/>
        </w:rPr>
        <w:t xml:space="preserve"> so stredným alebo vysokým rizikom krvácania. Zahŕňa to zákroky, pre ktoré nemožno vylúčiť pravdepodobnosť klinicky významného krvácania alebo pre ktoré by bolo riziko krvácania neprípustné. </w:t>
      </w:r>
    </w:p>
    <w:p w14:paraId="18908CF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C7BB7D0" w14:textId="17221F0C" w:rsidR="00B07789" w:rsidRPr="00A731E1" w:rsidRDefault="002013DA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Užívanie </w:t>
      </w:r>
      <w:proofErr w:type="spellStart"/>
      <w:r>
        <w:rPr>
          <w:sz w:val="22"/>
        </w:rPr>
        <w:t>Polapixu</w:t>
      </w:r>
      <w:proofErr w:type="spellEnd"/>
      <w:r w:rsidR="00635B73">
        <w:rPr>
          <w:sz w:val="22"/>
        </w:rPr>
        <w:t xml:space="preserve"> sa má ukončiť najmenej 24 hodín pred </w:t>
      </w:r>
      <w:proofErr w:type="spellStart"/>
      <w:r w:rsidR="00635B73">
        <w:rPr>
          <w:sz w:val="22"/>
        </w:rPr>
        <w:t>elektívnym</w:t>
      </w:r>
      <w:proofErr w:type="spellEnd"/>
      <w:r w:rsidR="00635B73">
        <w:rPr>
          <w:sz w:val="22"/>
        </w:rPr>
        <w:t xml:space="preserve"> chirurgickým zákrokom alebo invazívnymi </w:t>
      </w:r>
      <w:r w:rsidR="006571DA">
        <w:rPr>
          <w:sz w:val="22"/>
        </w:rPr>
        <w:t>výkonmi</w:t>
      </w:r>
      <w:r w:rsidR="00635B73">
        <w:rPr>
          <w:sz w:val="22"/>
        </w:rPr>
        <w:t xml:space="preserve"> s nízkym rizikom krvácania. Zahŕňa to zákroky, pri ktorých sa očakáva akékoľvek minimálne alebo ľahko zvládnuteľné krvácanie v nekritických miestach. </w:t>
      </w:r>
    </w:p>
    <w:p w14:paraId="3147A49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48222C7" w14:textId="130DC9F5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Ak chirurgický zákrok alebo invazívne </w:t>
      </w:r>
      <w:r w:rsidR="006571DA">
        <w:rPr>
          <w:sz w:val="22"/>
        </w:rPr>
        <w:t>výkony</w:t>
      </w:r>
      <w:r>
        <w:rPr>
          <w:sz w:val="22"/>
        </w:rPr>
        <w:t xml:space="preserve"> nie je možné odložiť, je potrebná primeraná opatrnosť s prihliadnutím na zvýšené riziko krvácania. Toto riziko krvácania sa má zvážiť oproti naliehavosti zákroku. </w:t>
      </w:r>
    </w:p>
    <w:p w14:paraId="2F7CF1A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67505B54" w14:textId="33DE98BF" w:rsidR="00B07789" w:rsidRDefault="002013DA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môže začať znovu užívať čo najskôr po invazívn</w:t>
      </w:r>
      <w:r w:rsidR="006571DA">
        <w:rPr>
          <w:sz w:val="22"/>
        </w:rPr>
        <w:t>om výkone</w:t>
      </w:r>
      <w:r w:rsidR="00635B73">
        <w:rPr>
          <w:sz w:val="22"/>
        </w:rPr>
        <w:t xml:space="preserve"> alebo chirurgickom zákroku za podmienky, že to dovolí klinický stav a ak je ustálená primeraná </w:t>
      </w:r>
      <w:proofErr w:type="spellStart"/>
      <w:r w:rsidR="00635B73">
        <w:rPr>
          <w:sz w:val="22"/>
        </w:rPr>
        <w:t>hemostáza</w:t>
      </w:r>
      <w:proofErr w:type="spellEnd"/>
      <w:r w:rsidR="00635B73">
        <w:rPr>
          <w:sz w:val="22"/>
        </w:rPr>
        <w:t xml:space="preserve"> (informácie o </w:t>
      </w:r>
      <w:proofErr w:type="spellStart"/>
      <w:r w:rsidR="00635B73">
        <w:rPr>
          <w:sz w:val="22"/>
        </w:rPr>
        <w:t>kardioverzii</w:t>
      </w:r>
      <w:proofErr w:type="spellEnd"/>
      <w:r w:rsidR="00635B73">
        <w:rPr>
          <w:sz w:val="22"/>
        </w:rPr>
        <w:t xml:space="preserve"> pozri časť 4.2). </w:t>
      </w:r>
    </w:p>
    <w:p w14:paraId="2F752CAB" w14:textId="3D3F560B" w:rsidR="0076665A" w:rsidRPr="007E6137" w:rsidRDefault="0076665A" w:rsidP="00833B71">
      <w:pPr>
        <w:spacing w:after="0" w:line="240" w:lineRule="auto"/>
        <w:ind w:left="0"/>
        <w:rPr>
          <w:sz w:val="22"/>
        </w:rPr>
      </w:pPr>
    </w:p>
    <w:p w14:paraId="41D4A722" w14:textId="4997FAF9" w:rsidR="0076665A" w:rsidRPr="00A731E1" w:rsidRDefault="0076665A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podstupujúcich </w:t>
      </w:r>
      <w:proofErr w:type="spellStart"/>
      <w:r>
        <w:rPr>
          <w:sz w:val="22"/>
        </w:rPr>
        <w:t>katetrizačnú</w:t>
      </w:r>
      <w:proofErr w:type="spellEnd"/>
      <w:r>
        <w:rPr>
          <w:sz w:val="22"/>
        </w:rPr>
        <w:t xml:space="preserve"> abláciu z dôvodu </w:t>
      </w:r>
      <w:proofErr w:type="spellStart"/>
      <w:r>
        <w:rPr>
          <w:sz w:val="22"/>
        </w:rPr>
        <w:t>atriálnej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</w:t>
      </w:r>
      <w:r w:rsidR="00CF571F">
        <w:rPr>
          <w:sz w:val="22"/>
        </w:rPr>
        <w:t>ácie</w:t>
      </w:r>
      <w:proofErr w:type="spellEnd"/>
      <w:r w:rsidR="00CF571F">
        <w:rPr>
          <w:sz w:val="22"/>
        </w:rPr>
        <w:t xml:space="preserve"> sa liečba </w:t>
      </w:r>
      <w:proofErr w:type="spellStart"/>
      <w:r w:rsidR="00CF571F">
        <w:rPr>
          <w:sz w:val="22"/>
        </w:rPr>
        <w:t>Polapixom</w:t>
      </w:r>
      <w:proofErr w:type="spellEnd"/>
      <w:r>
        <w:rPr>
          <w:sz w:val="22"/>
        </w:rPr>
        <w:t xml:space="preserve"> nemusí prerušovať (pozri časti 4.2, 4.3 a 4.5).</w:t>
      </w:r>
    </w:p>
    <w:p w14:paraId="10CC8B6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20D62E9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Dočasné prerušenie liečby</w:t>
      </w:r>
      <w:r>
        <w:rPr>
          <w:sz w:val="22"/>
          <w:u w:val="none"/>
        </w:rPr>
        <w:t xml:space="preserve"> </w:t>
      </w:r>
    </w:p>
    <w:p w14:paraId="269852B9" w14:textId="77FEF3DE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Prerušenie podávania </w:t>
      </w:r>
      <w:proofErr w:type="spellStart"/>
      <w:r>
        <w:rPr>
          <w:sz w:val="22"/>
        </w:rPr>
        <w:t>antikoagul</w:t>
      </w:r>
      <w:r w:rsidR="00CF571F">
        <w:rPr>
          <w:sz w:val="22"/>
        </w:rPr>
        <w:t>ancií</w:t>
      </w:r>
      <w:proofErr w:type="spellEnd"/>
      <w:r w:rsidR="00CF571F">
        <w:rPr>
          <w:sz w:val="22"/>
        </w:rPr>
        <w:t xml:space="preserve">, vrátane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, pre aktívne krvácanie, </w:t>
      </w:r>
      <w:proofErr w:type="spellStart"/>
      <w:r>
        <w:rPr>
          <w:sz w:val="22"/>
        </w:rPr>
        <w:t>elektívny</w:t>
      </w:r>
      <w:proofErr w:type="spellEnd"/>
      <w:r>
        <w:rPr>
          <w:sz w:val="22"/>
        </w:rPr>
        <w:t xml:space="preserve"> chirurgický zákrok alebo invazívne </w:t>
      </w:r>
      <w:r w:rsidR="00347294">
        <w:rPr>
          <w:sz w:val="22"/>
        </w:rPr>
        <w:t>výkony</w:t>
      </w:r>
      <w:r>
        <w:rPr>
          <w:sz w:val="22"/>
        </w:rPr>
        <w:t xml:space="preserve">, vystavuje pacientov zvýšenému riziku trombózy. Prerušeniam liečby sa má zabrániť, a ak sa musí z akéhokoľvek dôvodu podávanie </w:t>
      </w:r>
      <w:proofErr w:type="spellStart"/>
      <w:r>
        <w:rPr>
          <w:sz w:val="22"/>
        </w:rPr>
        <w:t>antikoagulancia</w:t>
      </w:r>
      <w:proofErr w:type="spellEnd"/>
      <w:r>
        <w:rPr>
          <w:sz w:val="22"/>
        </w:rPr>
        <w:t xml:space="preserve"> </w:t>
      </w:r>
      <w:proofErr w:type="spellStart"/>
      <w:r w:rsidR="00347294">
        <w:rPr>
          <w:sz w:val="22"/>
        </w:rPr>
        <w:t>Polapix</w:t>
      </w:r>
      <w:proofErr w:type="spellEnd"/>
      <w:r>
        <w:rPr>
          <w:sz w:val="22"/>
        </w:rPr>
        <w:t xml:space="preserve"> dočasne prerušiť, liečba sa má čo najskôr znovu začať. </w:t>
      </w:r>
    </w:p>
    <w:p w14:paraId="3CAA4106" w14:textId="5A929A35" w:rsidR="00B07789" w:rsidRPr="00A731E1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A8D5766" w14:textId="18BC595D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Hemodynamicky</w:t>
      </w:r>
      <w:proofErr w:type="spellEnd"/>
      <w:r>
        <w:rPr>
          <w:sz w:val="22"/>
        </w:rPr>
        <w:t xml:space="preserve"> nestabilní pacienti s PE alebo pacienti, u ktorých sa vyžaduje </w:t>
      </w:r>
      <w:proofErr w:type="spellStart"/>
      <w:r>
        <w:rPr>
          <w:sz w:val="22"/>
        </w:rPr>
        <w:t>trombolýza</w:t>
      </w:r>
      <w:proofErr w:type="spellEnd"/>
      <w:r>
        <w:rPr>
          <w:sz w:val="22"/>
        </w:rPr>
        <w:t xml:space="preserve"> alebo pľúcna </w:t>
      </w:r>
      <w:proofErr w:type="spellStart"/>
      <w:r>
        <w:rPr>
          <w:sz w:val="22"/>
        </w:rPr>
        <w:t>embolektómia</w:t>
      </w:r>
      <w:proofErr w:type="spellEnd"/>
    </w:p>
    <w:p w14:paraId="4B5EC430" w14:textId="37A4070F" w:rsidR="00B07789" w:rsidRPr="00A731E1" w:rsidRDefault="002013DA" w:rsidP="00F84CB0">
      <w:pPr>
        <w:spacing w:after="0" w:line="240" w:lineRule="auto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neodporúča ako alternatíva k </w:t>
      </w:r>
      <w:proofErr w:type="spellStart"/>
      <w:r w:rsidR="00635B73">
        <w:rPr>
          <w:sz w:val="22"/>
        </w:rPr>
        <w:t>nefrakcionovanému</w:t>
      </w:r>
      <w:proofErr w:type="spellEnd"/>
      <w:r w:rsidR="00635B73">
        <w:rPr>
          <w:sz w:val="22"/>
        </w:rPr>
        <w:t xml:space="preserve"> </w:t>
      </w:r>
      <w:proofErr w:type="spellStart"/>
      <w:r w:rsidR="00635B73">
        <w:rPr>
          <w:sz w:val="22"/>
        </w:rPr>
        <w:t>heparínu</w:t>
      </w:r>
      <w:proofErr w:type="spellEnd"/>
      <w:r w:rsidR="00635B73">
        <w:rPr>
          <w:sz w:val="22"/>
        </w:rPr>
        <w:t xml:space="preserve"> u pacientov s pľúcnou embóliou, ktorí sú </w:t>
      </w:r>
      <w:proofErr w:type="spellStart"/>
      <w:r w:rsidR="00635B73">
        <w:rPr>
          <w:sz w:val="22"/>
        </w:rPr>
        <w:t>hemodynamicky</w:t>
      </w:r>
      <w:proofErr w:type="spellEnd"/>
      <w:r w:rsidR="00635B73">
        <w:rPr>
          <w:sz w:val="22"/>
        </w:rPr>
        <w:t xml:space="preserve"> nestabilní alebo môžu podstúpiť </w:t>
      </w:r>
      <w:proofErr w:type="spellStart"/>
      <w:r w:rsidR="00635B73">
        <w:rPr>
          <w:sz w:val="22"/>
        </w:rPr>
        <w:t>trombolýzu</w:t>
      </w:r>
      <w:proofErr w:type="spellEnd"/>
      <w:r w:rsidR="00635B73">
        <w:rPr>
          <w:sz w:val="22"/>
        </w:rPr>
        <w:t xml:space="preserve"> alebo pľúcnu </w:t>
      </w:r>
      <w:proofErr w:type="spellStart"/>
      <w:r w:rsidR="00635B73">
        <w:rPr>
          <w:sz w:val="22"/>
        </w:rPr>
        <w:t>embolektómiu</w:t>
      </w:r>
      <w:proofErr w:type="spellEnd"/>
      <w:r w:rsidR="00635B73">
        <w:rPr>
          <w:sz w:val="22"/>
        </w:rPr>
        <w:t xml:space="preserve">, pretože sa bezpečnosť a účinnosť </w:t>
      </w:r>
      <w:proofErr w:type="spellStart"/>
      <w:r w:rsidR="00635B73">
        <w:rPr>
          <w:sz w:val="22"/>
        </w:rPr>
        <w:t>apixabánu</w:t>
      </w:r>
      <w:proofErr w:type="spellEnd"/>
      <w:r w:rsidR="00635B73">
        <w:rPr>
          <w:sz w:val="22"/>
        </w:rPr>
        <w:t xml:space="preserve"> v týchto klinických situáciách nestanovili.</w:t>
      </w:r>
    </w:p>
    <w:p w14:paraId="0D994101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4B5F757D" w14:textId="140509F1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Pacienti s aktívnou rakovin</w:t>
      </w:r>
      <w:r w:rsidR="00A97587">
        <w:rPr>
          <w:sz w:val="22"/>
        </w:rPr>
        <w:t>ou</w:t>
      </w:r>
      <w:r>
        <w:rPr>
          <w:sz w:val="22"/>
          <w:u w:val="none"/>
        </w:rPr>
        <w:t xml:space="preserve"> </w:t>
      </w:r>
    </w:p>
    <w:p w14:paraId="282B2A1B" w14:textId="205B12A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Účinnosť a bezpečnosť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pri liečbe DVT, liečbe PE a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(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>) u pacientov s aktívnou rakovin</w:t>
      </w:r>
      <w:r w:rsidR="00A97587">
        <w:rPr>
          <w:sz w:val="22"/>
        </w:rPr>
        <w:t>ou</w:t>
      </w:r>
      <w:r>
        <w:rPr>
          <w:sz w:val="22"/>
        </w:rPr>
        <w:t xml:space="preserve"> neboli stanovené.</w:t>
      </w:r>
    </w:p>
    <w:p w14:paraId="1AFB24A7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FB9E227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Pacienti s poruchou funkcie obličiek</w:t>
      </w:r>
    </w:p>
    <w:p w14:paraId="0925B096" w14:textId="60E7820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Obmedzené klinické údaje naznačujú, že plazmatické koncentrácie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sú zvýšené u pacientov s</w:t>
      </w:r>
      <w:r w:rsidR="00EC0EB2">
        <w:rPr>
          <w:sz w:val="22"/>
        </w:rPr>
        <w:t>o</w:t>
      </w:r>
      <w:r>
        <w:rPr>
          <w:sz w:val="22"/>
        </w:rPr>
        <w:t xml:space="preserve"> </w:t>
      </w:r>
      <w:r w:rsidR="00EC0EB2">
        <w:rPr>
          <w:sz w:val="22"/>
        </w:rPr>
        <w:t>závažnou</w:t>
      </w:r>
      <w:r>
        <w:rPr>
          <w:sz w:val="22"/>
        </w:rPr>
        <w:t xml:space="preserve"> poruchou funkcie obličiek (klírens kreatinínu 15 – 29 ml/min), ktorá môže viesť k zvýšenému riziku krvácania. Na liečbu DVT, liečbu PE 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(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) sa má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používať s opatrnosťou u pacientov so závažnou poruchou funkcie obličiek (klírens kreatinínu 15 – 29 ml/min) (pozri časti 4.2 a 5.2). </w:t>
      </w:r>
    </w:p>
    <w:p w14:paraId="05F429B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2F1D077" w14:textId="5FC8D34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Na prevenciu cievnej mozgovej príhody a systémovej embólie u pacientov s NVAF majú pacienti s</w:t>
      </w:r>
      <w:r w:rsidR="00EC0EB2">
        <w:rPr>
          <w:sz w:val="22"/>
        </w:rPr>
        <w:t>o</w:t>
      </w:r>
      <w:r>
        <w:rPr>
          <w:sz w:val="22"/>
        </w:rPr>
        <w:t xml:space="preserve"> </w:t>
      </w:r>
      <w:r w:rsidR="00EC0EB2">
        <w:rPr>
          <w:sz w:val="22"/>
        </w:rPr>
        <w:t>závažnou</w:t>
      </w:r>
      <w:r>
        <w:rPr>
          <w:sz w:val="22"/>
        </w:rPr>
        <w:t xml:space="preserve"> poruchou funkcie obličiek (klírens kreatinínu 15 – 29 ml/min) a pacienti so sérovou hladinou kreatinínu ≥ 1,5 mg/dl (133 </w:t>
      </w:r>
      <w:proofErr w:type="spellStart"/>
      <w:r>
        <w:rPr>
          <w:sz w:val="22"/>
        </w:rPr>
        <w:t>mikromol</w:t>
      </w:r>
      <w:proofErr w:type="spellEnd"/>
      <w:r>
        <w:rPr>
          <w:sz w:val="22"/>
        </w:rPr>
        <w:t xml:space="preserve">/l) súvisiacou s vekom ≥ 80 rokov alebo telesnou hmotnosťou ≤ 60 kg dostávať nižšiu dávku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2,5 mg dvakrát denne (pozri časť 4.2). </w:t>
      </w:r>
    </w:p>
    <w:p w14:paraId="11D71D6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490C149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s </w:t>
      </w:r>
      <w:proofErr w:type="spellStart"/>
      <w:r>
        <w:rPr>
          <w:sz w:val="22"/>
        </w:rPr>
        <w:t>klírensom</w:t>
      </w:r>
      <w:proofErr w:type="spellEnd"/>
      <w:r>
        <w:rPr>
          <w:sz w:val="22"/>
        </w:rPr>
        <w:t xml:space="preserve"> kreatinínu ≤ 15 ml/min alebo u pacientov podstupujúcich dialýzu neexistujú žiadne klinické skúsenosti, preto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neodporúča (pozri časti 4.2 a 5.2). </w:t>
      </w:r>
    </w:p>
    <w:p w14:paraId="4053BA1A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7175434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Starší pacienti</w:t>
      </w:r>
      <w:r>
        <w:rPr>
          <w:sz w:val="22"/>
          <w:u w:val="none"/>
        </w:rPr>
        <w:t xml:space="preserve"> </w:t>
      </w:r>
    </w:p>
    <w:p w14:paraId="05064A27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Zvyšujúci sa vek môže zvýšiť riziko krvácania (pozri časť 5.2). </w:t>
      </w:r>
    </w:p>
    <w:p w14:paraId="5D5765ED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CEE11EE" w14:textId="70C9FCEA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Súb</w:t>
      </w:r>
      <w:r w:rsidR="002013DA">
        <w:rPr>
          <w:sz w:val="22"/>
        </w:rPr>
        <w:t xml:space="preserve">ežné podávanie </w:t>
      </w:r>
      <w:proofErr w:type="spellStart"/>
      <w:r w:rsidR="002013DA">
        <w:rPr>
          <w:sz w:val="22"/>
        </w:rPr>
        <w:t>Polapixu</w:t>
      </w:r>
      <w:proofErr w:type="spellEnd"/>
      <w:r>
        <w:rPr>
          <w:sz w:val="22"/>
        </w:rPr>
        <w:t xml:space="preserve"> s ASA u starších pacientov sa má navyše používať opatrne z dôvodu potenciálne vyššieho rizika krvácania. </w:t>
      </w:r>
    </w:p>
    <w:p w14:paraId="5432D9AF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DD60317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  <w:u w:val="single" w:color="000000"/>
        </w:rPr>
        <w:t>Telesná hmotnosť</w:t>
      </w:r>
      <w:r>
        <w:rPr>
          <w:sz w:val="22"/>
        </w:rPr>
        <w:t xml:space="preserve"> </w:t>
      </w:r>
    </w:p>
    <w:p w14:paraId="56414E23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Nízka telesná hmotnosť (&lt; 60 kg) môže zvýšiť riziko krvácania (pozri časť 5.2). </w:t>
      </w:r>
    </w:p>
    <w:p w14:paraId="225F8B2E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466B1DDB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Pacienti s poruchou funkcie pečene</w:t>
      </w:r>
    </w:p>
    <w:p w14:paraId="1665329A" w14:textId="1D318F2C" w:rsidR="00B07789" w:rsidRPr="00A731E1" w:rsidRDefault="00CF571F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je kontraindikovaný u pacientov s ochorením pečene spojeným s </w:t>
      </w:r>
      <w:proofErr w:type="spellStart"/>
      <w:r w:rsidR="00635B73">
        <w:rPr>
          <w:sz w:val="22"/>
        </w:rPr>
        <w:t>koagulopatiou</w:t>
      </w:r>
      <w:proofErr w:type="spellEnd"/>
      <w:r w:rsidR="00635B73">
        <w:rPr>
          <w:sz w:val="22"/>
        </w:rPr>
        <w:t xml:space="preserve"> a klinicky významným rizikom krvácania (pozri časť 4.3).</w:t>
      </w:r>
    </w:p>
    <w:p w14:paraId="435301D5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27A1195" w14:textId="3F1F6F2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Neodporúča sa u pacientov s</w:t>
      </w:r>
      <w:r w:rsidR="009437AE">
        <w:rPr>
          <w:sz w:val="22"/>
        </w:rPr>
        <w:t>o</w:t>
      </w:r>
      <w:r>
        <w:rPr>
          <w:sz w:val="22"/>
        </w:rPr>
        <w:t xml:space="preserve"> </w:t>
      </w:r>
      <w:r w:rsidR="009437AE">
        <w:rPr>
          <w:sz w:val="22"/>
        </w:rPr>
        <w:t>závažnou</w:t>
      </w:r>
      <w:r>
        <w:rPr>
          <w:sz w:val="22"/>
        </w:rPr>
        <w:t xml:space="preserve"> poruchou funkcie pečene (pozri časť 5.2).</w:t>
      </w:r>
    </w:p>
    <w:p w14:paraId="00016CB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1B4EF1D" w14:textId="59CD7DCA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U pacientov s </w:t>
      </w:r>
      <w:r w:rsidR="009437AE">
        <w:rPr>
          <w:sz w:val="22"/>
        </w:rPr>
        <w:t>miernou</w:t>
      </w:r>
      <w:r>
        <w:rPr>
          <w:sz w:val="22"/>
        </w:rPr>
        <w:t xml:space="preserve"> alebo stredne </w:t>
      </w:r>
      <w:r w:rsidR="009437AE">
        <w:rPr>
          <w:sz w:val="22"/>
        </w:rPr>
        <w:t>závažnou</w:t>
      </w:r>
      <w:r>
        <w:rPr>
          <w:sz w:val="22"/>
        </w:rPr>
        <w:t xml:space="preserve"> poruchou funkcie pečene (</w:t>
      </w:r>
      <w:proofErr w:type="spellStart"/>
      <w:r>
        <w:rPr>
          <w:sz w:val="22"/>
        </w:rPr>
        <w:t>Childovo-Pughovo</w:t>
      </w:r>
      <w:proofErr w:type="spellEnd"/>
      <w:r>
        <w:rPr>
          <w:sz w:val="22"/>
        </w:rPr>
        <w:t xml:space="preserve"> skóre A alebo B) sa má používať s opatrnosťou (pozri časti 4.2 a 5.2)</w:t>
      </w:r>
    </w:p>
    <w:p w14:paraId="254619AF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0D54105D" w14:textId="3B5F9A21" w:rsidR="00B07789" w:rsidRDefault="00D25089" w:rsidP="00833B71">
      <w:pPr>
        <w:spacing w:after="0" w:line="240" w:lineRule="auto"/>
        <w:ind w:left="0" w:right="183"/>
        <w:rPr>
          <w:sz w:val="22"/>
        </w:rPr>
      </w:pPr>
      <w:r>
        <w:rPr>
          <w:sz w:val="22"/>
        </w:rPr>
        <w:t xml:space="preserve">Pacienti so zvýšenou hladinou pečeňových enzýmov ALT/AST &gt; 2 x ULN alebo celkového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 xml:space="preserve"> ≥ 1,5 x ULN boli vylúčení z klinických štúdi</w:t>
      </w:r>
      <w:r w:rsidR="00CF571F">
        <w:rPr>
          <w:sz w:val="22"/>
        </w:rPr>
        <w:t xml:space="preserve">í. Preto sa má </w:t>
      </w:r>
      <w:proofErr w:type="spellStart"/>
      <w:r w:rsidR="00CF571F">
        <w:rPr>
          <w:sz w:val="22"/>
        </w:rPr>
        <w:t>Polapix</w:t>
      </w:r>
      <w:proofErr w:type="spellEnd"/>
      <w:r>
        <w:rPr>
          <w:sz w:val="22"/>
        </w:rPr>
        <w:t xml:space="preserve"> u týchto pacientov používať s opatrnosťou (pozri časť 5.2). Pred začatím liečby </w:t>
      </w:r>
      <w:proofErr w:type="spellStart"/>
      <w:r w:rsidR="009437AE">
        <w:rPr>
          <w:sz w:val="22"/>
        </w:rPr>
        <w:t>Polapixom</w:t>
      </w:r>
      <w:r>
        <w:rPr>
          <w:sz w:val="22"/>
        </w:rPr>
        <w:t>sa</w:t>
      </w:r>
      <w:proofErr w:type="spellEnd"/>
      <w:r>
        <w:rPr>
          <w:sz w:val="22"/>
        </w:rPr>
        <w:t xml:space="preserve"> má uskutočniť vyšetrenie funkcie pečene.</w:t>
      </w:r>
    </w:p>
    <w:p w14:paraId="6D0485B1" w14:textId="77777777" w:rsidR="007A4B0F" w:rsidRPr="007E6137" w:rsidRDefault="007A4B0F" w:rsidP="00833B71">
      <w:pPr>
        <w:spacing w:after="0" w:line="240" w:lineRule="auto"/>
        <w:ind w:left="0" w:right="183"/>
        <w:rPr>
          <w:sz w:val="22"/>
        </w:rPr>
      </w:pPr>
    </w:p>
    <w:p w14:paraId="6189C332" w14:textId="77777777" w:rsidR="007A4B0F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  <w:u w:val="single" w:color="000000"/>
        </w:rPr>
        <w:t xml:space="preserve">Interakcia s inhibítormi </w:t>
      </w:r>
      <w:proofErr w:type="spellStart"/>
      <w:r>
        <w:rPr>
          <w:sz w:val="22"/>
          <w:u w:val="single" w:color="000000"/>
        </w:rPr>
        <w:t>cytochrómu</w:t>
      </w:r>
      <w:proofErr w:type="spellEnd"/>
      <w:r>
        <w:rPr>
          <w:sz w:val="22"/>
          <w:u w:val="single" w:color="000000"/>
        </w:rPr>
        <w:t xml:space="preserve"> P450 3A4 (CYP3A4) a P</w:t>
      </w:r>
      <w:r>
        <w:rPr>
          <w:sz w:val="22"/>
          <w:u w:val="single" w:color="000000"/>
        </w:rPr>
        <w:noBreakHyphen/>
      </w:r>
      <w:proofErr w:type="spellStart"/>
      <w:r>
        <w:rPr>
          <w:sz w:val="22"/>
          <w:u w:val="single" w:color="000000"/>
        </w:rPr>
        <w:t>glykoproteínu</w:t>
      </w:r>
      <w:proofErr w:type="spellEnd"/>
      <w:r>
        <w:rPr>
          <w:sz w:val="22"/>
          <w:u w:val="single" w:color="000000"/>
        </w:rPr>
        <w:t xml:space="preserve"> (P</w:t>
      </w:r>
      <w:r>
        <w:rPr>
          <w:sz w:val="22"/>
          <w:u w:val="single" w:color="000000"/>
        </w:rPr>
        <w:noBreakHyphen/>
      </w:r>
      <w:proofErr w:type="spellStart"/>
      <w:r>
        <w:rPr>
          <w:sz w:val="22"/>
          <w:u w:val="single" w:color="000000"/>
        </w:rPr>
        <w:t>gp</w:t>
      </w:r>
      <w:proofErr w:type="spellEnd"/>
      <w:r>
        <w:rPr>
          <w:sz w:val="22"/>
          <w:u w:val="single" w:color="000000"/>
        </w:rPr>
        <w:t>)</w:t>
      </w:r>
    </w:p>
    <w:p w14:paraId="7D124494" w14:textId="28B14D2D" w:rsidR="00B07789" w:rsidRPr="00A731E1" w:rsidRDefault="00CF571F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Použitie </w:t>
      </w:r>
      <w:proofErr w:type="spellStart"/>
      <w:r>
        <w:rPr>
          <w:sz w:val="22"/>
        </w:rPr>
        <w:t>Polapixu</w:t>
      </w:r>
      <w:proofErr w:type="spellEnd"/>
      <w:r w:rsidR="00D25089">
        <w:rPr>
          <w:sz w:val="22"/>
        </w:rPr>
        <w:t xml:space="preserve"> sa neodporúča u pacientov súbežne užívajúcich systémovú liečbu silnými inhibítormi CYP3A4 a P</w:t>
      </w:r>
      <w:r w:rsidR="00D25089">
        <w:rPr>
          <w:sz w:val="22"/>
        </w:rPr>
        <w:noBreakHyphen/>
      </w:r>
      <w:proofErr w:type="spellStart"/>
      <w:r w:rsidR="00D25089">
        <w:rPr>
          <w:sz w:val="22"/>
        </w:rPr>
        <w:t>gp</w:t>
      </w:r>
      <w:proofErr w:type="spellEnd"/>
      <w:r w:rsidR="00D25089">
        <w:rPr>
          <w:sz w:val="22"/>
        </w:rPr>
        <w:t xml:space="preserve">, ako </w:t>
      </w:r>
      <w:proofErr w:type="spellStart"/>
      <w:r w:rsidR="00D25089">
        <w:rPr>
          <w:sz w:val="22"/>
        </w:rPr>
        <w:t>azolové</w:t>
      </w:r>
      <w:proofErr w:type="spellEnd"/>
      <w:r w:rsidR="00D25089">
        <w:rPr>
          <w:sz w:val="22"/>
        </w:rPr>
        <w:t xml:space="preserve"> antimykotiká (napr. </w:t>
      </w:r>
      <w:proofErr w:type="spellStart"/>
      <w:r w:rsidR="00D25089">
        <w:rPr>
          <w:sz w:val="22"/>
        </w:rPr>
        <w:t>ketokonazol</w:t>
      </w:r>
      <w:proofErr w:type="spellEnd"/>
      <w:r w:rsidR="00D25089">
        <w:rPr>
          <w:sz w:val="22"/>
        </w:rPr>
        <w:t xml:space="preserve">, </w:t>
      </w:r>
      <w:proofErr w:type="spellStart"/>
      <w:r w:rsidR="00D25089">
        <w:rPr>
          <w:sz w:val="22"/>
        </w:rPr>
        <w:t>itrakonazol</w:t>
      </w:r>
      <w:proofErr w:type="spellEnd"/>
      <w:r w:rsidR="00D25089">
        <w:rPr>
          <w:sz w:val="22"/>
        </w:rPr>
        <w:t xml:space="preserve">, </w:t>
      </w:r>
      <w:proofErr w:type="spellStart"/>
      <w:r w:rsidR="00D25089">
        <w:rPr>
          <w:sz w:val="22"/>
        </w:rPr>
        <w:t>vorikonazol</w:t>
      </w:r>
      <w:proofErr w:type="spellEnd"/>
      <w:r w:rsidR="00D25089">
        <w:rPr>
          <w:sz w:val="22"/>
        </w:rPr>
        <w:t xml:space="preserve"> a </w:t>
      </w:r>
      <w:proofErr w:type="spellStart"/>
      <w:r w:rsidR="00D25089">
        <w:rPr>
          <w:sz w:val="22"/>
        </w:rPr>
        <w:t>po</w:t>
      </w:r>
      <w:r w:rsidR="009437AE">
        <w:rPr>
          <w:sz w:val="22"/>
        </w:rPr>
        <w:t>s</w:t>
      </w:r>
      <w:r w:rsidR="00D25089">
        <w:rPr>
          <w:sz w:val="22"/>
        </w:rPr>
        <w:t>akonazol</w:t>
      </w:r>
      <w:proofErr w:type="spellEnd"/>
      <w:r w:rsidR="00D25089">
        <w:rPr>
          <w:sz w:val="22"/>
        </w:rPr>
        <w:t xml:space="preserve">) a inhibítory HIV </w:t>
      </w:r>
      <w:proofErr w:type="spellStart"/>
      <w:r w:rsidR="00D25089">
        <w:rPr>
          <w:sz w:val="22"/>
        </w:rPr>
        <w:t>proteáz</w:t>
      </w:r>
      <w:proofErr w:type="spellEnd"/>
      <w:r w:rsidR="00D25089">
        <w:rPr>
          <w:sz w:val="22"/>
        </w:rPr>
        <w:t xml:space="preserve"> (napr. </w:t>
      </w:r>
      <w:proofErr w:type="spellStart"/>
      <w:r w:rsidR="00D25089">
        <w:rPr>
          <w:sz w:val="22"/>
        </w:rPr>
        <w:t>ritonavir</w:t>
      </w:r>
      <w:proofErr w:type="spellEnd"/>
      <w:r w:rsidR="00D25089">
        <w:rPr>
          <w:sz w:val="22"/>
        </w:rPr>
        <w:t xml:space="preserve">). Tieto lieky môžu zvýšiť expozíciu </w:t>
      </w:r>
      <w:proofErr w:type="spellStart"/>
      <w:r w:rsidR="00D25089">
        <w:rPr>
          <w:sz w:val="22"/>
        </w:rPr>
        <w:t>apixabánu</w:t>
      </w:r>
      <w:proofErr w:type="spellEnd"/>
      <w:r w:rsidR="00D25089">
        <w:rPr>
          <w:sz w:val="22"/>
        </w:rPr>
        <w:t xml:space="preserve"> dvojnásobne (pozri časť 4.5), </w:t>
      </w:r>
      <w:r w:rsidR="009437AE">
        <w:rPr>
          <w:sz w:val="22"/>
        </w:rPr>
        <w:t xml:space="preserve">alebo ešte viac </w:t>
      </w:r>
      <w:r w:rsidR="00D25089">
        <w:rPr>
          <w:sz w:val="22"/>
        </w:rPr>
        <w:t xml:space="preserve">v prítomnosti ďalších faktorov, ktoré zvyšujú expozíciu </w:t>
      </w:r>
      <w:proofErr w:type="spellStart"/>
      <w:r w:rsidR="00D25089">
        <w:rPr>
          <w:sz w:val="22"/>
        </w:rPr>
        <w:t>apixabánu</w:t>
      </w:r>
      <w:proofErr w:type="spellEnd"/>
      <w:r w:rsidR="00D25089">
        <w:rPr>
          <w:sz w:val="22"/>
        </w:rPr>
        <w:t xml:space="preserve"> (napr. </w:t>
      </w:r>
      <w:r w:rsidR="009437AE">
        <w:rPr>
          <w:sz w:val="22"/>
        </w:rPr>
        <w:t>závažná</w:t>
      </w:r>
      <w:r w:rsidR="00D25089">
        <w:rPr>
          <w:sz w:val="22"/>
        </w:rPr>
        <w:t xml:space="preserve"> porucha funkcie obličiek)</w:t>
      </w:r>
      <w:r w:rsidR="009437AE">
        <w:rPr>
          <w:sz w:val="22"/>
        </w:rPr>
        <w:t>.</w:t>
      </w:r>
    </w:p>
    <w:p w14:paraId="40DDE5CA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BC55253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Interakcia s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</w:p>
    <w:p w14:paraId="7BF3E8C1" w14:textId="1BA3013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Sú</w:t>
      </w:r>
      <w:r w:rsidR="00CF571F">
        <w:rPr>
          <w:sz w:val="22"/>
        </w:rPr>
        <w:t xml:space="preserve">bežné použitie </w:t>
      </w:r>
      <w:proofErr w:type="spellStart"/>
      <w:r w:rsidR="00CF571F">
        <w:rPr>
          <w:sz w:val="22"/>
        </w:rPr>
        <w:t>Polapixu</w:t>
      </w:r>
      <w:proofErr w:type="spellEnd"/>
      <w:r>
        <w:rPr>
          <w:sz w:val="22"/>
        </w:rPr>
        <w:t xml:space="preserve"> so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(napr. </w:t>
      </w:r>
      <w:proofErr w:type="spellStart"/>
      <w:r>
        <w:rPr>
          <w:sz w:val="22"/>
        </w:rPr>
        <w:t>rifampicín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fenytoín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karbamazepín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fenobarbital</w:t>
      </w:r>
      <w:proofErr w:type="spellEnd"/>
      <w:r>
        <w:rPr>
          <w:sz w:val="22"/>
        </w:rPr>
        <w:t xml:space="preserve"> alebo ľubovník bodkovaný) môže viesť k ~50 % zníženiu expozície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V klinickom skúšaní u pacientov s </w:t>
      </w:r>
      <w:proofErr w:type="spellStart"/>
      <w:r>
        <w:rPr>
          <w:sz w:val="22"/>
        </w:rPr>
        <w:t>atriálnou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sa pozorovala znížená účinnosť a vyššie riziko krvácania v porovnaní so samotným podaním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, ak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podával spolu so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.</w:t>
      </w:r>
    </w:p>
    <w:p w14:paraId="57353391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F081A78" w14:textId="3795B84C" w:rsidR="00B07789" w:rsidRPr="00A731E1" w:rsidRDefault="00D25089" w:rsidP="00833B71">
      <w:pPr>
        <w:keepNext/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>Na pacientov užívajúcich súbežnú systémovú liečbu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sa vzťahujú nasledujúce odporúčania (pozri časť 4.5):</w:t>
      </w:r>
    </w:p>
    <w:p w14:paraId="64EC2A6F" w14:textId="2C4A0DFD" w:rsidR="00B07789" w:rsidRPr="003531E1" w:rsidRDefault="00D25089" w:rsidP="00833B71">
      <w:pPr>
        <w:pStyle w:val="Odsekzoznamu"/>
        <w:keepNext/>
        <w:numPr>
          <w:ilvl w:val="0"/>
          <w:numId w:val="7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na prevenciu cievnej mozgovej príhody a systémovej embólie u pacientov s NVAF a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sa má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používať s opatrnosťou;</w:t>
      </w:r>
    </w:p>
    <w:p w14:paraId="5324D10B" w14:textId="34E2E8FE" w:rsidR="00B07789" w:rsidRPr="003531E1" w:rsidRDefault="00D25089" w:rsidP="000F5FBF">
      <w:pPr>
        <w:pStyle w:val="Odsekzoznamu"/>
        <w:numPr>
          <w:ilvl w:val="0"/>
          <w:numId w:val="7"/>
        </w:numPr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na liečbu DVT a liečbu PE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nemá používať, pretože sa účinnosť môže </w:t>
      </w:r>
      <w:r w:rsidR="006B0E77">
        <w:rPr>
          <w:sz w:val="22"/>
        </w:rPr>
        <w:t>znížiť</w:t>
      </w:r>
      <w:r>
        <w:rPr>
          <w:sz w:val="22"/>
        </w:rPr>
        <w:t>.</w:t>
      </w:r>
    </w:p>
    <w:p w14:paraId="46748257" w14:textId="77777777" w:rsidR="00B07789" w:rsidRPr="007E6137" w:rsidRDefault="00B07789" w:rsidP="00144850">
      <w:pPr>
        <w:spacing w:after="0" w:line="240" w:lineRule="auto"/>
        <w:ind w:left="0" w:firstLine="0"/>
        <w:rPr>
          <w:sz w:val="22"/>
        </w:rPr>
      </w:pPr>
    </w:p>
    <w:p w14:paraId="7EB91A4B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Laboratórne parametre</w:t>
      </w:r>
      <w:r>
        <w:rPr>
          <w:sz w:val="22"/>
          <w:u w:val="none"/>
        </w:rPr>
        <w:t xml:space="preserve"> </w:t>
      </w:r>
    </w:p>
    <w:p w14:paraId="1E32B585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Parametre zrážavosti [napr. </w:t>
      </w:r>
      <w:proofErr w:type="spellStart"/>
      <w:r>
        <w:rPr>
          <w:sz w:val="22"/>
        </w:rPr>
        <w:t>protrombínový</w:t>
      </w:r>
      <w:proofErr w:type="spellEnd"/>
      <w:r>
        <w:rPr>
          <w:sz w:val="22"/>
        </w:rPr>
        <w:t xml:space="preserve"> čas (</w:t>
      </w:r>
      <w:proofErr w:type="spellStart"/>
      <w:r>
        <w:rPr>
          <w:sz w:val="22"/>
        </w:rPr>
        <w:t>prothrombin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time</w:t>
      </w:r>
      <w:proofErr w:type="spellEnd"/>
      <w:r>
        <w:rPr>
          <w:sz w:val="22"/>
        </w:rPr>
        <w:t xml:space="preserve">, PT), INR a aktivovaný čiastočný </w:t>
      </w:r>
      <w:proofErr w:type="spellStart"/>
      <w:r>
        <w:rPr>
          <w:sz w:val="22"/>
        </w:rPr>
        <w:t>tromboplastínový</w:t>
      </w:r>
      <w:proofErr w:type="spellEnd"/>
      <w:r>
        <w:rPr>
          <w:sz w:val="22"/>
        </w:rPr>
        <w:t xml:space="preserve"> čas (</w:t>
      </w:r>
      <w:proofErr w:type="spellStart"/>
      <w:r>
        <w:rPr>
          <w:sz w:val="22"/>
        </w:rPr>
        <w:t>activated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partial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thromboplastin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aPTT</w:t>
      </w:r>
      <w:proofErr w:type="spellEnd"/>
      <w:r>
        <w:rPr>
          <w:sz w:val="22"/>
        </w:rPr>
        <w:t xml:space="preserve">)] sú ovplyvnené tak, ako sa predpokladá podľa mechanizmu účinku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 Zmeny pozorované v týchto testoch zrážavosti pri očakávaných terapeutických dávkach sú malé a podliehajú vysokému stupňu variability (pozri časť 5.1).</w:t>
      </w:r>
    </w:p>
    <w:p w14:paraId="1A6A75FA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013CB651" w14:textId="77777777" w:rsidR="00F255BA" w:rsidRPr="00A731E1" w:rsidRDefault="00F255BA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Informácie o pomocných látkach</w:t>
      </w:r>
    </w:p>
    <w:p w14:paraId="112AE146" w14:textId="227DEC8C" w:rsidR="00F255BA" w:rsidRPr="00710C94" w:rsidRDefault="00CF571F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F255BA">
        <w:rPr>
          <w:sz w:val="22"/>
        </w:rPr>
        <w:t xml:space="preserve"> obsahuje laktózu. Pacienti so zriedkavými dedičnými problémami </w:t>
      </w:r>
      <w:proofErr w:type="spellStart"/>
      <w:r w:rsidR="00F255BA">
        <w:rPr>
          <w:sz w:val="22"/>
        </w:rPr>
        <w:t>galaktózovej</w:t>
      </w:r>
      <w:proofErr w:type="spellEnd"/>
      <w:r w:rsidR="00F255BA">
        <w:rPr>
          <w:sz w:val="22"/>
        </w:rPr>
        <w:t xml:space="preserve"> intolerancie, celkovým deficitom </w:t>
      </w:r>
      <w:proofErr w:type="spellStart"/>
      <w:r w:rsidR="00F255BA">
        <w:rPr>
          <w:sz w:val="22"/>
        </w:rPr>
        <w:t>laktázy</w:t>
      </w:r>
      <w:proofErr w:type="spellEnd"/>
      <w:r w:rsidR="00F255BA">
        <w:rPr>
          <w:sz w:val="22"/>
        </w:rPr>
        <w:t xml:space="preserve"> alebo </w:t>
      </w:r>
      <w:proofErr w:type="spellStart"/>
      <w:r w:rsidR="00F255BA">
        <w:rPr>
          <w:sz w:val="22"/>
        </w:rPr>
        <w:t>glukózo-galaktózovou</w:t>
      </w:r>
      <w:proofErr w:type="spellEnd"/>
      <w:r w:rsidR="00F255BA">
        <w:rPr>
          <w:sz w:val="22"/>
        </w:rPr>
        <w:t xml:space="preserve"> </w:t>
      </w:r>
      <w:proofErr w:type="spellStart"/>
      <w:r w:rsidR="00F255BA">
        <w:rPr>
          <w:sz w:val="22"/>
        </w:rPr>
        <w:t>malabsorpciou</w:t>
      </w:r>
      <w:proofErr w:type="spellEnd"/>
      <w:r w:rsidR="00F255BA">
        <w:rPr>
          <w:sz w:val="22"/>
        </w:rPr>
        <w:t xml:space="preserve"> nesmú užívať tento liek. </w:t>
      </w:r>
    </w:p>
    <w:p w14:paraId="30CF2AE8" w14:textId="77777777" w:rsidR="00710C94" w:rsidRPr="007E6137" w:rsidRDefault="00710C94" w:rsidP="00833B71">
      <w:pPr>
        <w:spacing w:after="0" w:line="240" w:lineRule="auto"/>
        <w:ind w:left="0"/>
        <w:rPr>
          <w:sz w:val="22"/>
        </w:rPr>
      </w:pPr>
    </w:p>
    <w:p w14:paraId="76DD7BDD" w14:textId="77777777" w:rsidR="00710C94" w:rsidRPr="00710C94" w:rsidRDefault="00710C94" w:rsidP="00710C94">
      <w:pPr>
        <w:spacing w:after="0" w:line="240" w:lineRule="auto"/>
        <w:ind w:left="0"/>
        <w:rPr>
          <w:sz w:val="22"/>
        </w:rPr>
      </w:pPr>
      <w:r>
        <w:rPr>
          <w:sz w:val="22"/>
        </w:rPr>
        <w:t>Tento liek obsahuje menej ako 1 mmol sodíka (23 mg) v jednej tablete, t. j. v podstate zanedbateľné množstvo sodíka.</w:t>
      </w:r>
    </w:p>
    <w:p w14:paraId="0B5CA324" w14:textId="3ADFFDD9" w:rsidR="00B07789" w:rsidRPr="00A731E1" w:rsidRDefault="00710C94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BEB43C9" w14:textId="77777777" w:rsidR="00B07789" w:rsidRPr="00A731E1" w:rsidRDefault="00D25089" w:rsidP="001F3856">
      <w:pPr>
        <w:tabs>
          <w:tab w:val="center" w:pos="3792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 xml:space="preserve">4.5 </w:t>
      </w:r>
      <w:r>
        <w:rPr>
          <w:b/>
          <w:sz w:val="22"/>
        </w:rPr>
        <w:tab/>
        <w:t>Liekové a iné interakcie</w:t>
      </w:r>
      <w:r>
        <w:rPr>
          <w:sz w:val="22"/>
        </w:rPr>
        <w:t xml:space="preserve"> </w:t>
      </w:r>
    </w:p>
    <w:p w14:paraId="0B94809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B14E89B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Inhibítory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  <w:u w:val="none"/>
        </w:rPr>
        <w:t xml:space="preserve"> </w:t>
      </w:r>
    </w:p>
    <w:p w14:paraId="4C2C6969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podávanie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ketokonazolom</w:t>
      </w:r>
      <w:proofErr w:type="spellEnd"/>
      <w:r>
        <w:rPr>
          <w:sz w:val="22"/>
        </w:rPr>
        <w:t xml:space="preserve"> (400 mg jedenkrát denne), silným inhibítorom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, viedlo k dvojnásobnému zvýšeniu priemernej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1,6</w:t>
      </w:r>
      <w:r>
        <w:rPr>
          <w:sz w:val="22"/>
        </w:rPr>
        <w:noBreakHyphen/>
        <w:t>násobnému zvýšeniu priemernej C</w:t>
      </w:r>
      <w:r w:rsidRPr="00144850">
        <w:rPr>
          <w:sz w:val="22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</w:p>
    <w:p w14:paraId="5ED4B896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1BA2B5C" w14:textId="481D0FE8" w:rsidR="00B07789" w:rsidRPr="00A731E1" w:rsidRDefault="00CF571F" w:rsidP="00833B71">
      <w:pPr>
        <w:spacing w:after="0" w:line="240" w:lineRule="auto"/>
        <w:ind w:left="0" w:right="83"/>
        <w:rPr>
          <w:sz w:val="22"/>
        </w:rPr>
      </w:pPr>
      <w:r>
        <w:rPr>
          <w:sz w:val="22"/>
        </w:rPr>
        <w:t xml:space="preserve">Použitie </w:t>
      </w:r>
      <w:proofErr w:type="spellStart"/>
      <w:r>
        <w:rPr>
          <w:sz w:val="22"/>
        </w:rPr>
        <w:t>Polapixu</w:t>
      </w:r>
      <w:proofErr w:type="spellEnd"/>
      <w:r w:rsidR="00D25089">
        <w:rPr>
          <w:sz w:val="22"/>
        </w:rPr>
        <w:t xml:space="preserve"> sa neodporúča u pacientov súbežne užívajúcich systémovú liečbu silnými inhibítormi CYP3A4 a P</w:t>
      </w:r>
      <w:r w:rsidR="00D25089">
        <w:rPr>
          <w:sz w:val="22"/>
        </w:rPr>
        <w:noBreakHyphen/>
      </w:r>
      <w:proofErr w:type="spellStart"/>
      <w:r w:rsidR="00D25089">
        <w:rPr>
          <w:sz w:val="22"/>
        </w:rPr>
        <w:t>gp</w:t>
      </w:r>
      <w:proofErr w:type="spellEnd"/>
      <w:r w:rsidR="00D25089">
        <w:rPr>
          <w:sz w:val="22"/>
        </w:rPr>
        <w:t xml:space="preserve">, ako </w:t>
      </w:r>
      <w:proofErr w:type="spellStart"/>
      <w:r w:rsidR="00D25089">
        <w:rPr>
          <w:sz w:val="22"/>
        </w:rPr>
        <w:t>azolové</w:t>
      </w:r>
      <w:proofErr w:type="spellEnd"/>
      <w:r w:rsidR="00D25089">
        <w:rPr>
          <w:sz w:val="22"/>
        </w:rPr>
        <w:t xml:space="preserve"> antimykotiká (napr. </w:t>
      </w:r>
      <w:proofErr w:type="spellStart"/>
      <w:r w:rsidR="00D25089">
        <w:rPr>
          <w:sz w:val="22"/>
        </w:rPr>
        <w:t>ketokonazol</w:t>
      </w:r>
      <w:proofErr w:type="spellEnd"/>
      <w:r w:rsidR="00D25089">
        <w:rPr>
          <w:sz w:val="22"/>
        </w:rPr>
        <w:t xml:space="preserve">, </w:t>
      </w:r>
      <w:proofErr w:type="spellStart"/>
      <w:r w:rsidR="00D25089">
        <w:rPr>
          <w:sz w:val="22"/>
        </w:rPr>
        <w:t>itrakonazol</w:t>
      </w:r>
      <w:proofErr w:type="spellEnd"/>
      <w:r w:rsidR="00D25089">
        <w:rPr>
          <w:sz w:val="22"/>
        </w:rPr>
        <w:t xml:space="preserve">, </w:t>
      </w:r>
      <w:proofErr w:type="spellStart"/>
      <w:r w:rsidR="00D25089">
        <w:rPr>
          <w:sz w:val="22"/>
        </w:rPr>
        <w:t>vorikonazol</w:t>
      </w:r>
      <w:proofErr w:type="spellEnd"/>
      <w:r w:rsidR="00D25089">
        <w:rPr>
          <w:sz w:val="22"/>
        </w:rPr>
        <w:t xml:space="preserve"> a </w:t>
      </w:r>
      <w:proofErr w:type="spellStart"/>
      <w:r w:rsidR="00D25089">
        <w:rPr>
          <w:sz w:val="22"/>
        </w:rPr>
        <w:t>po</w:t>
      </w:r>
      <w:r w:rsidR="007B6381">
        <w:rPr>
          <w:sz w:val="22"/>
        </w:rPr>
        <w:t>s</w:t>
      </w:r>
      <w:r w:rsidR="00D25089">
        <w:rPr>
          <w:sz w:val="22"/>
        </w:rPr>
        <w:t>akonazol</w:t>
      </w:r>
      <w:proofErr w:type="spellEnd"/>
      <w:r w:rsidR="00D25089">
        <w:rPr>
          <w:sz w:val="22"/>
        </w:rPr>
        <w:t xml:space="preserve">) a inhibítory HIV </w:t>
      </w:r>
      <w:proofErr w:type="spellStart"/>
      <w:r w:rsidR="00D25089">
        <w:rPr>
          <w:sz w:val="22"/>
        </w:rPr>
        <w:t>proteáz</w:t>
      </w:r>
      <w:proofErr w:type="spellEnd"/>
      <w:r w:rsidR="00D25089">
        <w:rPr>
          <w:sz w:val="22"/>
        </w:rPr>
        <w:t xml:space="preserve"> (napr. </w:t>
      </w:r>
      <w:proofErr w:type="spellStart"/>
      <w:r w:rsidR="00D25089">
        <w:rPr>
          <w:sz w:val="22"/>
        </w:rPr>
        <w:t>ritonavir</w:t>
      </w:r>
      <w:proofErr w:type="spellEnd"/>
      <w:r w:rsidR="00D25089">
        <w:rPr>
          <w:sz w:val="22"/>
        </w:rPr>
        <w:t>) (pozri časť 4.4.)</w:t>
      </w:r>
    </w:p>
    <w:p w14:paraId="7E1E2C3B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693BC08" w14:textId="4EAF9A1D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Predpokladá sa, že liečivá, ktoré sa nepovažujú za silné inhibítory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(napr. </w:t>
      </w:r>
      <w:proofErr w:type="spellStart"/>
      <w:r>
        <w:rPr>
          <w:sz w:val="22"/>
        </w:rPr>
        <w:t>amiodarón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klaritromycín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diltiazem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flukonazol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naproxén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chinidín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verapamil</w:t>
      </w:r>
      <w:proofErr w:type="spellEnd"/>
      <w:r>
        <w:rPr>
          <w:sz w:val="22"/>
        </w:rPr>
        <w:t xml:space="preserve">), zvyšujú plazmatickú koncentráciu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 menšom rozsahu. Nevyžaduje sa úprava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, keď sa podáva súbežne s l</w:t>
      </w:r>
      <w:r w:rsidR="007B6381">
        <w:rPr>
          <w:sz w:val="22"/>
        </w:rPr>
        <w:t>iečivami</w:t>
      </w:r>
      <w:r>
        <w:rPr>
          <w:sz w:val="22"/>
        </w:rPr>
        <w:t>, ktoré nie sú silnými inhibítormi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. Napríklad </w:t>
      </w:r>
      <w:proofErr w:type="spellStart"/>
      <w:r>
        <w:rPr>
          <w:sz w:val="22"/>
        </w:rPr>
        <w:t>diltiazem</w:t>
      </w:r>
      <w:proofErr w:type="spellEnd"/>
      <w:r>
        <w:rPr>
          <w:sz w:val="22"/>
        </w:rPr>
        <w:t xml:space="preserve"> (360 mg jedenkrát denne), ktorý sa považuje za stredne silný inhibítor CYP3A4 a slabý inhibítor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, viedol k 1,4</w:t>
      </w:r>
      <w:r>
        <w:rPr>
          <w:sz w:val="22"/>
        </w:rPr>
        <w:noBreakHyphen/>
        <w:t xml:space="preserve">násobnému zvýšeniu priemernej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1,3</w:t>
      </w:r>
      <w:r>
        <w:rPr>
          <w:sz w:val="22"/>
        </w:rPr>
        <w:noBreakHyphen/>
        <w:t>násobnému zvýšeniu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. </w:t>
      </w:r>
      <w:proofErr w:type="spellStart"/>
      <w:r>
        <w:rPr>
          <w:sz w:val="22"/>
        </w:rPr>
        <w:t>Naproxén</w:t>
      </w:r>
      <w:proofErr w:type="spellEnd"/>
      <w:r>
        <w:rPr>
          <w:sz w:val="22"/>
        </w:rPr>
        <w:t xml:space="preserve"> (jednorazová dávka 500 mg), inhibítor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, ale nie inhibítor CYP3A4, viedol k 1,5</w:t>
      </w:r>
      <w:r>
        <w:rPr>
          <w:sz w:val="22"/>
        </w:rPr>
        <w:noBreakHyphen/>
        <w:t>násobnému zvýšeniu priemernej AUC a 1,6</w:t>
      </w:r>
      <w:r>
        <w:rPr>
          <w:sz w:val="22"/>
        </w:rPr>
        <w:noBreakHyphen/>
        <w:t>násobnému zvýšeniu priemernej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Klaritromycín</w:t>
      </w:r>
      <w:proofErr w:type="spellEnd"/>
      <w:r>
        <w:rPr>
          <w:sz w:val="22"/>
        </w:rPr>
        <w:t xml:space="preserve"> (500 mg dvakrát denne), inhibítor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a silný inhibítor CYP3A4, viedol k 1,6</w:t>
      </w:r>
      <w:r>
        <w:rPr>
          <w:sz w:val="22"/>
        </w:rPr>
        <w:noBreakHyphen/>
        <w:t>násobnému zvýšeniu priemernej AUC a 1,3</w:t>
      </w:r>
      <w:r>
        <w:rPr>
          <w:sz w:val="22"/>
        </w:rPr>
        <w:noBreakHyphen/>
        <w:t>násobnému zvýšeniu priemernej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</w:p>
    <w:p w14:paraId="4CA16EA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81DC34B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Induktory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  <w:u w:val="none"/>
        </w:rPr>
        <w:t xml:space="preserve"> </w:t>
      </w:r>
    </w:p>
    <w:p w14:paraId="58DA05E9" w14:textId="0F64601C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podávanie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rifampicínom</w:t>
      </w:r>
      <w:proofErr w:type="spellEnd"/>
      <w:r>
        <w:rPr>
          <w:sz w:val="22"/>
        </w:rPr>
        <w:t>, silným induktorom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, viedlo k približne 54 % zníženiu priemernej AUC a 42 % zníženiu priemernej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Súbežné používanie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inými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(napr. </w:t>
      </w:r>
      <w:proofErr w:type="spellStart"/>
      <w:r>
        <w:rPr>
          <w:sz w:val="22"/>
        </w:rPr>
        <w:t>fenytoín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karbamazepín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fenobarbital</w:t>
      </w:r>
      <w:proofErr w:type="spellEnd"/>
      <w:r>
        <w:rPr>
          <w:sz w:val="22"/>
        </w:rPr>
        <w:t xml:space="preserve"> alebo ľubovník bodkovaný) môže tiež viesť k zníženiu plazmatických koncentrácií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Pri súbežnej liečbe takýmito liekmi sa nevyžaduje úprava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, avšak u pacientov užívajúcich súbežnú systémovú liečbu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sa má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na prevenciu cievnej mozgovej príhody a systémovej embólie u pacientov s NVAF a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používať s opatrnosťou. </w:t>
      </w:r>
    </w:p>
    <w:p w14:paraId="3F21AA8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9984362" w14:textId="35653D4A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sa neodporúča na liečbu DVT a PE u pacientov užívajúcich súbežnú systémovú liečbu silnými induktormi CYP3A4 a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, pretože sa účinnosť môže </w:t>
      </w:r>
      <w:r w:rsidR="007B6381">
        <w:rPr>
          <w:sz w:val="22"/>
        </w:rPr>
        <w:t>znížiť</w:t>
      </w:r>
      <w:r>
        <w:rPr>
          <w:sz w:val="22"/>
        </w:rPr>
        <w:t xml:space="preserve"> (pozri časť 4.4).</w:t>
      </w:r>
    </w:p>
    <w:p w14:paraId="315DB283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2960FFF" w14:textId="3E40D0F3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Antikoagulanciá</w:t>
      </w:r>
      <w:proofErr w:type="spellEnd"/>
      <w:r>
        <w:rPr>
          <w:sz w:val="22"/>
        </w:rPr>
        <w:t xml:space="preserve">, inhibítory </w:t>
      </w:r>
      <w:proofErr w:type="spellStart"/>
      <w:r>
        <w:rPr>
          <w:sz w:val="22"/>
        </w:rPr>
        <w:t>agregácie</w:t>
      </w:r>
      <w:proofErr w:type="spellEnd"/>
      <w:r>
        <w:rPr>
          <w:sz w:val="22"/>
        </w:rPr>
        <w:t xml:space="preserve"> trombocytov, SSRI/SNRI a NSAID</w:t>
      </w:r>
    </w:p>
    <w:p w14:paraId="24AF7A57" w14:textId="77777777" w:rsidR="0068674C" w:rsidRPr="0068674C" w:rsidRDefault="00D25089" w:rsidP="0068674C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Z dôvodu zvýšeného rizika krvácania je súbežná liečba inými </w:t>
      </w:r>
      <w:proofErr w:type="spellStart"/>
      <w:r>
        <w:rPr>
          <w:sz w:val="22"/>
        </w:rPr>
        <w:t>antikoagulanciami</w:t>
      </w:r>
      <w:proofErr w:type="spellEnd"/>
      <w:r>
        <w:rPr>
          <w:sz w:val="22"/>
        </w:rPr>
        <w:t xml:space="preserve"> kontraindikovaná, s výnimkou špecifických okolností vyžadujúcich zmenu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liečby, keď sa UFH</w:t>
      </w:r>
    </w:p>
    <w:p w14:paraId="01F0A3A0" w14:textId="579CDD1B" w:rsidR="00B07789" w:rsidRPr="00A731E1" w:rsidRDefault="0068674C" w:rsidP="00CF571F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podáva v dávkach potrebných na zachovanie otvoreného centrálneho </w:t>
      </w:r>
      <w:proofErr w:type="spellStart"/>
      <w:r>
        <w:rPr>
          <w:sz w:val="22"/>
        </w:rPr>
        <w:t>venózneho</w:t>
      </w:r>
      <w:proofErr w:type="spellEnd"/>
      <w:r>
        <w:rPr>
          <w:sz w:val="22"/>
        </w:rPr>
        <w:t xml:space="preserve"> alebo </w:t>
      </w:r>
      <w:r w:rsidR="007B6381">
        <w:rPr>
          <w:sz w:val="22"/>
        </w:rPr>
        <w:t>artériového</w:t>
      </w:r>
      <w:r>
        <w:rPr>
          <w:sz w:val="22"/>
        </w:rPr>
        <w:t xml:space="preserve"> katétra alebo keď sa UFH podáva</w:t>
      </w:r>
      <w:r w:rsidR="00CF571F">
        <w:rPr>
          <w:sz w:val="22"/>
        </w:rPr>
        <w:t xml:space="preserve"> </w:t>
      </w:r>
      <w:r>
        <w:rPr>
          <w:sz w:val="22"/>
        </w:rPr>
        <w:t xml:space="preserve">počas </w:t>
      </w:r>
      <w:proofErr w:type="spellStart"/>
      <w:r>
        <w:rPr>
          <w:sz w:val="22"/>
        </w:rPr>
        <w:t>katetrizačnej</w:t>
      </w:r>
      <w:proofErr w:type="spellEnd"/>
      <w:r>
        <w:rPr>
          <w:sz w:val="22"/>
        </w:rPr>
        <w:t xml:space="preserve"> ablácie z dôvodu </w:t>
      </w:r>
      <w:proofErr w:type="spellStart"/>
      <w:r>
        <w:rPr>
          <w:sz w:val="22"/>
        </w:rPr>
        <w:t>atriálnej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fibrilácie</w:t>
      </w:r>
      <w:proofErr w:type="spellEnd"/>
      <w:r>
        <w:rPr>
          <w:sz w:val="22"/>
        </w:rPr>
        <w:t xml:space="preserve"> (pozri časť 4.3).</w:t>
      </w:r>
    </w:p>
    <w:p w14:paraId="07C1D98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2C24CC3" w14:textId="2C74664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kombinovanom podaní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 xml:space="preserve"> (v jednorazovej dávke 40 mg)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(v jednorazovej dávke 5 mg) sa pozoroval aditívny účinok na aktivitu </w:t>
      </w:r>
      <w:proofErr w:type="spellStart"/>
      <w:r>
        <w:rPr>
          <w:sz w:val="22"/>
        </w:rPr>
        <w:t>antifaktora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. </w:t>
      </w:r>
    </w:p>
    <w:p w14:paraId="63079AF6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5D0C0EC" w14:textId="653A517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Keď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podal súbežne s 325 mg ASA jedenkrá</w:t>
      </w:r>
      <w:r w:rsidR="00E8372B">
        <w:rPr>
          <w:sz w:val="22"/>
        </w:rPr>
        <w:t xml:space="preserve">t denne, </w:t>
      </w:r>
      <w:proofErr w:type="spellStart"/>
      <w:r w:rsidR="00E8372B">
        <w:rPr>
          <w:sz w:val="22"/>
        </w:rPr>
        <w:t>farmakokinetické</w:t>
      </w:r>
      <w:proofErr w:type="spellEnd"/>
      <w:r w:rsidR="00E8372B">
        <w:rPr>
          <w:sz w:val="22"/>
        </w:rPr>
        <w:t xml:space="preserve"> alebo </w:t>
      </w:r>
      <w:proofErr w:type="spellStart"/>
      <w:r>
        <w:rPr>
          <w:sz w:val="22"/>
        </w:rPr>
        <w:t>farmako</w:t>
      </w:r>
      <w:proofErr w:type="spellEnd"/>
      <w:r w:rsidR="00E8372B">
        <w:rPr>
          <w:sz w:val="22"/>
        </w:rPr>
        <w:t>-</w:t>
      </w:r>
      <w:r>
        <w:rPr>
          <w:sz w:val="22"/>
        </w:rPr>
        <w:t xml:space="preserve">dynamické interakcie neboli zjavné. </w:t>
      </w:r>
    </w:p>
    <w:p w14:paraId="2485EEF5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6D6E4DD" w14:textId="72A83FCE" w:rsidR="00B07789" w:rsidRPr="00A731E1" w:rsidRDefault="00D25089" w:rsidP="00B63632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klopidogrelom</w:t>
      </w:r>
      <w:proofErr w:type="spellEnd"/>
      <w:r>
        <w:rPr>
          <w:sz w:val="22"/>
        </w:rPr>
        <w:t xml:space="preserve"> (75</w:t>
      </w:r>
      <w:r w:rsidR="00A43D4A" w:rsidRPr="00A43D4A">
        <w:rPr>
          <w:sz w:val="22"/>
        </w:rPr>
        <w:t xml:space="preserve"> </w:t>
      </w:r>
      <w:r>
        <w:rPr>
          <w:sz w:val="22"/>
        </w:rPr>
        <w:t xml:space="preserve">mg jedenkrát denne) alebo s kombináciou </w:t>
      </w:r>
      <w:r w:rsidR="00E8372B">
        <w:rPr>
          <w:sz w:val="22"/>
        </w:rPr>
        <w:t xml:space="preserve">75 mg </w:t>
      </w:r>
      <w:proofErr w:type="spellStart"/>
      <w:r w:rsidR="00A43D4A" w:rsidRPr="00A43D4A">
        <w:rPr>
          <w:sz w:val="22"/>
        </w:rPr>
        <w:t>klopidogrelu</w:t>
      </w:r>
      <w:proofErr w:type="spellEnd"/>
      <w:r>
        <w:rPr>
          <w:sz w:val="22"/>
        </w:rPr>
        <w:t xml:space="preserve"> a 162</w:t>
      </w:r>
      <w:r w:rsidR="00A43D4A" w:rsidRPr="00A43D4A">
        <w:rPr>
          <w:sz w:val="22"/>
        </w:rPr>
        <w:t xml:space="preserve"> </w:t>
      </w:r>
      <w:r>
        <w:rPr>
          <w:sz w:val="22"/>
        </w:rPr>
        <w:t xml:space="preserve">mg ASA jedenkrát denne alebo s </w:t>
      </w:r>
      <w:proofErr w:type="spellStart"/>
      <w:r>
        <w:rPr>
          <w:sz w:val="22"/>
        </w:rPr>
        <w:t>prasugrelom</w:t>
      </w:r>
      <w:proofErr w:type="spellEnd"/>
      <w:r>
        <w:rPr>
          <w:sz w:val="22"/>
        </w:rPr>
        <w:t xml:space="preserve"> (60 mg, po ktorých nasledovalo 10 mg jedenkrát denne) v klinických štúdiách fázy I nevykazovalo významný vzostup v čase krvácania ani ďalšiu inhibíciu </w:t>
      </w:r>
      <w:proofErr w:type="spellStart"/>
      <w:r>
        <w:rPr>
          <w:sz w:val="22"/>
        </w:rPr>
        <w:t>agregácie</w:t>
      </w:r>
      <w:proofErr w:type="spellEnd"/>
      <w:r>
        <w:rPr>
          <w:sz w:val="22"/>
        </w:rPr>
        <w:t xml:space="preserve"> krvných doštičiek v porovnaní s podaním </w:t>
      </w:r>
      <w:proofErr w:type="spellStart"/>
      <w:r w:rsidR="00A43D4A" w:rsidRPr="00A43D4A">
        <w:rPr>
          <w:sz w:val="22"/>
        </w:rPr>
        <w:t>antiagregancií</w:t>
      </w:r>
      <w:proofErr w:type="spellEnd"/>
      <w:r>
        <w:rPr>
          <w:sz w:val="22"/>
        </w:rPr>
        <w:t xml:space="preserve"> bez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Vzostupy testov zrážavosti (PT, INR a </w:t>
      </w:r>
      <w:proofErr w:type="spellStart"/>
      <w:r>
        <w:rPr>
          <w:sz w:val="22"/>
        </w:rPr>
        <w:t>aPTT</w:t>
      </w:r>
      <w:proofErr w:type="spellEnd"/>
      <w:r>
        <w:rPr>
          <w:sz w:val="22"/>
        </w:rPr>
        <w:t xml:space="preserve">) sa zhodovali s účinkami samotného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</w:p>
    <w:p w14:paraId="2D16E22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1EED359" w14:textId="377BCD35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Naproxén</w:t>
      </w:r>
      <w:proofErr w:type="spellEnd"/>
      <w:r>
        <w:rPr>
          <w:sz w:val="22"/>
        </w:rPr>
        <w:t xml:space="preserve"> (500 mg), inhibítor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, spôsobil 1,5</w:t>
      </w:r>
      <w:r>
        <w:rPr>
          <w:sz w:val="22"/>
        </w:rPr>
        <w:noBreakHyphen/>
        <w:t>násobné zvýšenie priemernej AUC a 1,6</w:t>
      </w:r>
      <w:r>
        <w:rPr>
          <w:sz w:val="22"/>
        </w:rPr>
        <w:noBreakHyphen/>
        <w:t>násobné zvýšenie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Korešpondujúce zvýšenia v testoch zrážavosti sa pozorovali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Nepozorovali sa zmeny v účinku </w:t>
      </w:r>
      <w:proofErr w:type="spellStart"/>
      <w:r>
        <w:rPr>
          <w:sz w:val="22"/>
        </w:rPr>
        <w:t>naproxénu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agregáciu</w:t>
      </w:r>
      <w:proofErr w:type="spellEnd"/>
      <w:r>
        <w:rPr>
          <w:sz w:val="22"/>
        </w:rPr>
        <w:t xml:space="preserve"> trombocytov indukovan</w:t>
      </w:r>
      <w:r w:rsidR="000F01C9">
        <w:rPr>
          <w:sz w:val="22"/>
        </w:rPr>
        <w:t>ou</w:t>
      </w:r>
      <w:r>
        <w:rPr>
          <w:sz w:val="22"/>
        </w:rPr>
        <w:t xml:space="preserve"> kyselinou </w:t>
      </w:r>
      <w:proofErr w:type="spellStart"/>
      <w:r>
        <w:rPr>
          <w:sz w:val="22"/>
        </w:rPr>
        <w:t>arachidónovou</w:t>
      </w:r>
      <w:proofErr w:type="spellEnd"/>
      <w:r>
        <w:rPr>
          <w:sz w:val="22"/>
        </w:rPr>
        <w:t xml:space="preserve"> a po súbežnom podaní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naproxénom</w:t>
      </w:r>
      <w:proofErr w:type="spellEnd"/>
      <w:r>
        <w:rPr>
          <w:sz w:val="22"/>
        </w:rPr>
        <w:t xml:space="preserve"> sa nepozorovalo klinicky významné predĺženie času krvácania.</w:t>
      </w:r>
    </w:p>
    <w:p w14:paraId="222EEDBA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D62BDBA" w14:textId="491E90E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Napriek týmto zisteniam sa môžu vyskytnúť </w:t>
      </w:r>
      <w:r w:rsidR="000F01C9">
        <w:rPr>
          <w:sz w:val="22"/>
        </w:rPr>
        <w:t>osoby</w:t>
      </w:r>
      <w:r>
        <w:rPr>
          <w:sz w:val="22"/>
        </w:rPr>
        <w:t xml:space="preserve"> so silnejšou </w:t>
      </w:r>
      <w:proofErr w:type="spellStart"/>
      <w:r>
        <w:rPr>
          <w:sz w:val="22"/>
        </w:rPr>
        <w:t>farmakodynamickou</w:t>
      </w:r>
      <w:proofErr w:type="spellEnd"/>
      <w:r>
        <w:rPr>
          <w:sz w:val="22"/>
        </w:rPr>
        <w:t xml:space="preserve"> odpoveďou na súbežné podávanie </w:t>
      </w:r>
      <w:proofErr w:type="spellStart"/>
      <w:r w:rsidR="000F01C9">
        <w:rPr>
          <w:sz w:val="22"/>
        </w:rPr>
        <w:t>antiagregancií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>. Pri súbežnom podávan</w:t>
      </w:r>
      <w:r w:rsidR="00E8372B">
        <w:rPr>
          <w:sz w:val="22"/>
        </w:rPr>
        <w:t xml:space="preserve">í </w:t>
      </w:r>
      <w:proofErr w:type="spellStart"/>
      <w:r w:rsidR="00E8372B">
        <w:rPr>
          <w:sz w:val="22"/>
        </w:rPr>
        <w:t>Polapixu</w:t>
      </w:r>
      <w:proofErr w:type="spellEnd"/>
      <w:r>
        <w:rPr>
          <w:sz w:val="22"/>
        </w:rPr>
        <w:t xml:space="preserve"> s</w:t>
      </w:r>
      <w:r w:rsidR="000F01C9">
        <w:rPr>
          <w:sz w:val="22"/>
        </w:rPr>
        <w:t>o</w:t>
      </w:r>
      <w:r>
        <w:rPr>
          <w:sz w:val="22"/>
        </w:rPr>
        <w:t xml:space="preserve"> SSRI/SNRI, NSAID, ASA a/alebo inhibítormi P2Y12 je potrebná opatrnosť, pretože tieto lie</w:t>
      </w:r>
      <w:r w:rsidR="000F01C9">
        <w:rPr>
          <w:sz w:val="22"/>
        </w:rPr>
        <w:t>čivá</w:t>
      </w:r>
      <w:r>
        <w:rPr>
          <w:sz w:val="22"/>
        </w:rPr>
        <w:t xml:space="preserve"> obvykle zvyšujú riziko krvácania (pozri časť 4.4).</w:t>
      </w:r>
    </w:p>
    <w:p w14:paraId="70302BA5" w14:textId="77777777" w:rsidR="002824D6" w:rsidRPr="007E6137" w:rsidRDefault="002824D6" w:rsidP="00833B71">
      <w:pPr>
        <w:spacing w:after="0" w:line="240" w:lineRule="auto"/>
        <w:ind w:left="0" w:firstLine="0"/>
        <w:rPr>
          <w:sz w:val="22"/>
        </w:rPr>
      </w:pPr>
    </w:p>
    <w:p w14:paraId="2C34100F" w14:textId="3BA4BAB2" w:rsidR="002824D6" w:rsidRPr="000E7AF5" w:rsidRDefault="002824D6" w:rsidP="002824D6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Skúsenosti so súbežným podávaním s inými inhibítormi </w:t>
      </w:r>
      <w:proofErr w:type="spellStart"/>
      <w:r>
        <w:rPr>
          <w:sz w:val="22"/>
        </w:rPr>
        <w:t>agregácie</w:t>
      </w:r>
      <w:proofErr w:type="spellEnd"/>
      <w:r>
        <w:rPr>
          <w:sz w:val="22"/>
        </w:rPr>
        <w:t xml:space="preserve"> trombocytov (ako sú</w:t>
      </w:r>
      <w:r w:rsidR="00E8372B">
        <w:rPr>
          <w:sz w:val="22"/>
        </w:rPr>
        <w:t xml:space="preserve"> antagonisty</w:t>
      </w:r>
    </w:p>
    <w:p w14:paraId="769431E4" w14:textId="399B180E" w:rsidR="00E8372B" w:rsidRPr="00A731E1" w:rsidRDefault="002824D6" w:rsidP="00B63632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receptora </w:t>
      </w:r>
      <w:proofErr w:type="spellStart"/>
      <w:r>
        <w:rPr>
          <w:sz w:val="22"/>
        </w:rPr>
        <w:t>GPIIb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IIIa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dipyridamol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dextrán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sulfinpyrazón</w:t>
      </w:r>
      <w:proofErr w:type="spellEnd"/>
      <w:r>
        <w:rPr>
          <w:sz w:val="22"/>
        </w:rPr>
        <w:t xml:space="preserve">) alebo </w:t>
      </w:r>
      <w:proofErr w:type="spellStart"/>
      <w:r>
        <w:rPr>
          <w:sz w:val="22"/>
        </w:rPr>
        <w:t>trombolytikami</w:t>
      </w:r>
      <w:proofErr w:type="spellEnd"/>
      <w:r>
        <w:rPr>
          <w:sz w:val="22"/>
        </w:rPr>
        <w:t xml:space="preserve"> sú obmedzené. Keďže</w:t>
      </w:r>
      <w:r w:rsidR="00E8372B">
        <w:rPr>
          <w:sz w:val="22"/>
        </w:rPr>
        <w:t xml:space="preserve"> takéto liečivá zvyšujú riziko krvácania, neodporúča sa súbežné podávanie týchto liekov s</w:t>
      </w:r>
      <w:r w:rsidR="00B63632">
        <w:rPr>
          <w:sz w:val="22"/>
        </w:rPr>
        <w:t xml:space="preserve"> </w:t>
      </w:r>
      <w:proofErr w:type="spellStart"/>
      <w:r w:rsidR="00E8372B">
        <w:rPr>
          <w:sz w:val="22"/>
        </w:rPr>
        <w:t>Polapixom</w:t>
      </w:r>
      <w:proofErr w:type="spellEnd"/>
      <w:r w:rsidR="00E8372B">
        <w:rPr>
          <w:sz w:val="22"/>
        </w:rPr>
        <w:t xml:space="preserve"> (pozri časť</w:t>
      </w:r>
      <w:r w:rsidR="00B63632">
        <w:rPr>
          <w:sz w:val="22"/>
        </w:rPr>
        <w:t xml:space="preserve"> </w:t>
      </w:r>
      <w:r w:rsidR="00E8372B">
        <w:rPr>
          <w:sz w:val="22"/>
        </w:rPr>
        <w:t>4.4).</w:t>
      </w:r>
    </w:p>
    <w:p w14:paraId="47C7A76E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516EF75C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Iné súbežné liečby</w:t>
      </w:r>
    </w:p>
    <w:p w14:paraId="29145A71" w14:textId="053825BF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Nepozorovali sa žiadne klinicky významné </w:t>
      </w:r>
      <w:proofErr w:type="spellStart"/>
      <w:r>
        <w:rPr>
          <w:sz w:val="22"/>
        </w:rPr>
        <w:t>farmakokinetické</w:t>
      </w:r>
      <w:proofErr w:type="spellEnd"/>
      <w:r>
        <w:rPr>
          <w:sz w:val="22"/>
        </w:rPr>
        <w:t xml:space="preserve"> alebo farmakodynamické interakcie pri súbežnom podávaní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atenololom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famotidínom</w:t>
      </w:r>
      <w:proofErr w:type="spellEnd"/>
      <w:r>
        <w:rPr>
          <w:sz w:val="22"/>
        </w:rPr>
        <w:t xml:space="preserve">. Súbežné podávanie 10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so 100 mg </w:t>
      </w:r>
      <w:proofErr w:type="spellStart"/>
      <w:r>
        <w:rPr>
          <w:sz w:val="22"/>
        </w:rPr>
        <w:t>atenololu</w:t>
      </w:r>
      <w:proofErr w:type="spellEnd"/>
      <w:r>
        <w:rPr>
          <w:sz w:val="22"/>
        </w:rPr>
        <w:t xml:space="preserve"> nemalo klinicky významný účinok na </w:t>
      </w:r>
      <w:proofErr w:type="spellStart"/>
      <w:r>
        <w:rPr>
          <w:sz w:val="22"/>
        </w:rPr>
        <w:t>farmakokinetiku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  <w:r w:rsidR="00E8372B">
        <w:rPr>
          <w:sz w:val="22"/>
        </w:rPr>
        <w:t xml:space="preserve"> </w:t>
      </w:r>
    </w:p>
    <w:p w14:paraId="0CDE689C" w14:textId="3EA64A2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súbežnom podaní týchto dvoch liečiv bola priemerná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nižšia o 15 % a C</w:t>
      </w:r>
      <w:r>
        <w:rPr>
          <w:sz w:val="22"/>
          <w:vertAlign w:val="subscript"/>
        </w:rPr>
        <w:t>max</w:t>
      </w:r>
      <w:r w:rsidR="00E8372B">
        <w:rPr>
          <w:sz w:val="22"/>
        </w:rPr>
        <w:t xml:space="preserve"> nižšia 18 %, </w:t>
      </w:r>
      <w:r w:rsidR="000F01C9">
        <w:rPr>
          <w:sz w:val="22"/>
        </w:rPr>
        <w:t xml:space="preserve">ako keď sa podával </w:t>
      </w:r>
      <w:r>
        <w:rPr>
          <w:sz w:val="22"/>
        </w:rPr>
        <w:t xml:space="preserve">samostatne. Podanie 10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so 40 mg </w:t>
      </w:r>
      <w:proofErr w:type="spellStart"/>
      <w:r>
        <w:rPr>
          <w:sz w:val="22"/>
        </w:rPr>
        <w:t>famotidínu</w:t>
      </w:r>
      <w:proofErr w:type="spellEnd"/>
      <w:r>
        <w:rPr>
          <w:sz w:val="22"/>
        </w:rPr>
        <w:t xml:space="preserve"> nemalo žiadny účinok na AUC alebo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</w:p>
    <w:p w14:paraId="4B5FEE0E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A3C7091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Účinok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iné lieky</w:t>
      </w:r>
    </w:p>
    <w:p w14:paraId="3BB75094" w14:textId="71E6CDA5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Štúdie </w:t>
      </w:r>
      <w:r>
        <w:rPr>
          <w:i/>
          <w:iCs/>
          <w:sz w:val="22"/>
        </w:rPr>
        <w:t>in vitro</w:t>
      </w:r>
      <w:r>
        <w:rPr>
          <w:sz w:val="22"/>
        </w:rPr>
        <w:t xml:space="preserve"> preukázali, že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nemá žiadny inhibičný účinok na aktivitu CYP1A2, CYP2A6, CYP2B6, CYP2C8, CYP2C9, CYP2D6 alebo CYP3A4 (IC50 &gt; 45 µM) a má slabý inhibičný účinok na aktivitu CYP2C19 (IC50 &gt; 20 µM) pri koncentráciách, ktoré sú významne v</w:t>
      </w:r>
      <w:r w:rsidR="003103E5">
        <w:rPr>
          <w:sz w:val="22"/>
        </w:rPr>
        <w:t>yššie</w:t>
      </w:r>
      <w:r>
        <w:rPr>
          <w:sz w:val="22"/>
        </w:rPr>
        <w:t xml:space="preserve"> ako najvyššie plazmatické koncentrácie pozorované u pacientov.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neindukoval CYP1A2, CYP2B6, CYP3A4/5 pri koncentrácii do 20 µM. Preto sa neočakáva, že by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ovplyvňoval metabolický klírens súbežne podaných lie</w:t>
      </w:r>
      <w:r w:rsidR="003103E5">
        <w:rPr>
          <w:sz w:val="22"/>
        </w:rPr>
        <w:t>čiv</w:t>
      </w:r>
      <w:r>
        <w:rPr>
          <w:sz w:val="22"/>
        </w:rPr>
        <w:t xml:space="preserve">, ktoré sú metabolizované týmito enzýmami.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nie je významným inhibítorom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.</w:t>
      </w:r>
    </w:p>
    <w:p w14:paraId="029B18C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31364EA" w14:textId="3E6C383D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 xml:space="preserve">V štúdiách so zdravými </w:t>
      </w:r>
      <w:r w:rsidR="003103E5">
        <w:rPr>
          <w:sz w:val="22"/>
        </w:rPr>
        <w:t>účastníkmi</w:t>
      </w:r>
      <w:r>
        <w:rPr>
          <w:sz w:val="22"/>
        </w:rPr>
        <w:t xml:space="preserve"> (pozri nižšie),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významne nemenil </w:t>
      </w:r>
      <w:proofErr w:type="spellStart"/>
      <w:r>
        <w:rPr>
          <w:sz w:val="22"/>
        </w:rPr>
        <w:t>farmakokinetiku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digoxínu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naproxénu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atenololu</w:t>
      </w:r>
      <w:proofErr w:type="spellEnd"/>
      <w:r>
        <w:rPr>
          <w:sz w:val="22"/>
        </w:rPr>
        <w:t>.</w:t>
      </w:r>
    </w:p>
    <w:p w14:paraId="6A1322D3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B2BE3DF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</w:rPr>
        <w:t>Digoxín</w:t>
      </w:r>
    </w:p>
    <w:p w14:paraId="5DD1DF71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(20 mg jedenkrát denne) a </w:t>
      </w:r>
      <w:proofErr w:type="spellStart"/>
      <w:r>
        <w:rPr>
          <w:sz w:val="22"/>
        </w:rPr>
        <w:t>digoxínu</w:t>
      </w:r>
      <w:proofErr w:type="spellEnd"/>
      <w:r>
        <w:rPr>
          <w:sz w:val="22"/>
        </w:rPr>
        <w:t xml:space="preserve"> (0,25 mg jedenkrát denne), substrátu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, neovplyvnilo AUC alebo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digoxínu</w:t>
      </w:r>
      <w:proofErr w:type="spellEnd"/>
      <w:r>
        <w:rPr>
          <w:sz w:val="22"/>
        </w:rPr>
        <w:t xml:space="preserve">. Preto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neinhibuje</w:t>
      </w:r>
      <w:proofErr w:type="spellEnd"/>
      <w:r>
        <w:rPr>
          <w:sz w:val="22"/>
        </w:rPr>
        <w:t xml:space="preserve"> transport substrátu sprostredkovaného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>.</w:t>
      </w:r>
    </w:p>
    <w:p w14:paraId="5775CE96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5D8336D8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i/>
          <w:sz w:val="22"/>
        </w:rPr>
        <w:t>Naproxén</w:t>
      </w:r>
      <w:proofErr w:type="spellEnd"/>
    </w:p>
    <w:p w14:paraId="0DDBDAF5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podanie jednorazovej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(10 mg) a </w:t>
      </w:r>
      <w:proofErr w:type="spellStart"/>
      <w:r>
        <w:rPr>
          <w:sz w:val="22"/>
        </w:rPr>
        <w:t>naproxénu</w:t>
      </w:r>
      <w:proofErr w:type="spellEnd"/>
      <w:r>
        <w:rPr>
          <w:sz w:val="22"/>
        </w:rPr>
        <w:t xml:space="preserve"> (500 mg), bežne používaného NSAID, nemalo žiadny účinok na AUC alebo C</w:t>
      </w:r>
      <w:r w:rsidRPr="00144850">
        <w:rPr>
          <w:sz w:val="22"/>
        </w:rPr>
        <w:t>max</w:t>
      </w:r>
      <w:r>
        <w:rPr>
          <w:sz w:val="22"/>
        </w:rPr>
        <w:t xml:space="preserve"> </w:t>
      </w:r>
      <w:proofErr w:type="spellStart"/>
      <w:r>
        <w:rPr>
          <w:sz w:val="22"/>
        </w:rPr>
        <w:t>naproxénu</w:t>
      </w:r>
      <w:proofErr w:type="spellEnd"/>
      <w:r>
        <w:rPr>
          <w:sz w:val="22"/>
        </w:rPr>
        <w:t>.</w:t>
      </w:r>
    </w:p>
    <w:p w14:paraId="466B9E5A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9A6C920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i/>
          <w:sz w:val="22"/>
        </w:rPr>
        <w:t>Atenolol</w:t>
      </w:r>
      <w:proofErr w:type="spellEnd"/>
      <w:r>
        <w:rPr>
          <w:sz w:val="22"/>
        </w:rPr>
        <w:t xml:space="preserve"> </w:t>
      </w:r>
    </w:p>
    <w:p w14:paraId="7E7E8FB6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Súbežné podanie jednorazovej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(10 mg) a </w:t>
      </w:r>
      <w:proofErr w:type="spellStart"/>
      <w:r>
        <w:rPr>
          <w:sz w:val="22"/>
        </w:rPr>
        <w:t>atenololu</w:t>
      </w:r>
      <w:proofErr w:type="spellEnd"/>
      <w:r>
        <w:rPr>
          <w:sz w:val="22"/>
        </w:rPr>
        <w:t xml:space="preserve"> (100 mg), bežného </w:t>
      </w:r>
      <w:proofErr w:type="spellStart"/>
      <w:r>
        <w:rPr>
          <w:sz w:val="22"/>
        </w:rPr>
        <w:t>betablokátora</w:t>
      </w:r>
      <w:proofErr w:type="spellEnd"/>
      <w:r>
        <w:rPr>
          <w:sz w:val="22"/>
        </w:rPr>
        <w:t xml:space="preserve">, nezmenilo </w:t>
      </w:r>
      <w:proofErr w:type="spellStart"/>
      <w:r>
        <w:rPr>
          <w:sz w:val="22"/>
        </w:rPr>
        <w:t>farmakokinetiku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atenololu</w:t>
      </w:r>
      <w:proofErr w:type="spellEnd"/>
      <w:r>
        <w:rPr>
          <w:sz w:val="22"/>
        </w:rPr>
        <w:t>.</w:t>
      </w:r>
    </w:p>
    <w:p w14:paraId="585C371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64B9946A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Aktívne uhlie</w:t>
      </w:r>
    </w:p>
    <w:p w14:paraId="3E7F8F68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Podanie aktívneho uhlia znižuje expozíciu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(pozri časť 4.9).</w:t>
      </w:r>
    </w:p>
    <w:p w14:paraId="3EAD6E03" w14:textId="77777777" w:rsidR="00B07789" w:rsidRPr="007E6137" w:rsidRDefault="00B07789" w:rsidP="000E7AF5">
      <w:pPr>
        <w:keepNext/>
        <w:spacing w:after="0" w:line="240" w:lineRule="auto"/>
        <w:ind w:left="0" w:firstLine="0"/>
        <w:rPr>
          <w:sz w:val="22"/>
        </w:rPr>
      </w:pPr>
    </w:p>
    <w:p w14:paraId="1E622BC7" w14:textId="77777777" w:rsidR="00B07789" w:rsidRPr="00A731E1" w:rsidRDefault="00D25089" w:rsidP="000E7AF5">
      <w:pPr>
        <w:keepNext/>
        <w:tabs>
          <w:tab w:val="center" w:pos="2065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4.6</w:t>
      </w:r>
      <w:r>
        <w:rPr>
          <w:b/>
          <w:sz w:val="22"/>
        </w:rPr>
        <w:tab/>
      </w:r>
      <w:proofErr w:type="spellStart"/>
      <w:r>
        <w:rPr>
          <w:b/>
          <w:sz w:val="22"/>
        </w:rPr>
        <w:t>Fertilita</w:t>
      </w:r>
      <w:proofErr w:type="spellEnd"/>
      <w:r>
        <w:rPr>
          <w:b/>
          <w:sz w:val="22"/>
        </w:rPr>
        <w:t xml:space="preserve">, gravidita a laktácia </w:t>
      </w:r>
    </w:p>
    <w:p w14:paraId="37363E18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6F8FF87" w14:textId="77777777" w:rsidR="00B07789" w:rsidRPr="00A731E1" w:rsidRDefault="00D25089" w:rsidP="000E7AF5">
      <w:pPr>
        <w:pStyle w:val="Nadpis2"/>
        <w:keepLines w:val="0"/>
        <w:spacing w:after="0" w:line="240" w:lineRule="auto"/>
        <w:ind w:left="0"/>
        <w:rPr>
          <w:sz w:val="22"/>
        </w:rPr>
      </w:pPr>
      <w:r>
        <w:rPr>
          <w:sz w:val="22"/>
        </w:rPr>
        <w:t>Gravidita</w:t>
      </w:r>
    </w:p>
    <w:p w14:paraId="096FAB99" w14:textId="77777777" w:rsidR="00B07789" w:rsidRPr="00A731E1" w:rsidRDefault="00D25089" w:rsidP="000E7AF5">
      <w:pPr>
        <w:keepNext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Nie sú k dispozícii žiadne údaje o použití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u gravidných žien. Štúdie na zvieratách nenaznačujú priame alebo nepriame škodlivé účinky z hľadiska reprodukčnej toxicity. Neodporúča sa užívať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počas gravidity.</w:t>
      </w:r>
    </w:p>
    <w:p w14:paraId="1C16BFFC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FCFF140" w14:textId="77777777" w:rsidR="00B07789" w:rsidRPr="00A731E1" w:rsidRDefault="00D25089" w:rsidP="000E7AF5">
      <w:pPr>
        <w:pStyle w:val="Nadpis2"/>
        <w:keepLines w:val="0"/>
        <w:spacing w:after="0" w:line="240" w:lineRule="auto"/>
        <w:ind w:left="0"/>
        <w:rPr>
          <w:sz w:val="22"/>
        </w:rPr>
      </w:pPr>
      <w:r>
        <w:rPr>
          <w:sz w:val="22"/>
        </w:rPr>
        <w:t>Dojčenie</w:t>
      </w:r>
    </w:p>
    <w:p w14:paraId="576701C2" w14:textId="77777777" w:rsidR="00B07789" w:rsidRPr="00A731E1" w:rsidRDefault="00D25089" w:rsidP="000E7AF5">
      <w:pPr>
        <w:keepNext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Nie je známe, či sa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alebo jeho metabolity vylučujú do materského mlieka u ľudí. Dostupné údaje u zvierat preukázali vylučovanie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do mlieka. V mlieku potkanov sa zistil vysoký pomer hladiny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 mlieku voči plazme (C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okolo 8, AUC okolo 30), pravdepodobne z dôvodu aktívneho transportu do mlieka. Riziko pre novorodencov a dojčatá nemožno vylúčiť.</w:t>
      </w:r>
    </w:p>
    <w:p w14:paraId="25BB63B1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0EC4C94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Musí sa rozhodnúť, či ukončiť dojčenie alebo či ukončiť/prerušiť liečbu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>.</w:t>
      </w:r>
    </w:p>
    <w:p w14:paraId="244283FD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26CE398F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Fertilita</w:t>
      </w:r>
      <w:proofErr w:type="spellEnd"/>
      <w:r>
        <w:rPr>
          <w:sz w:val="22"/>
          <w:u w:val="none"/>
        </w:rPr>
        <w:t xml:space="preserve"> </w:t>
      </w:r>
    </w:p>
    <w:p w14:paraId="5082E2B6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Štúdie na zvieratách, ktorým sa podával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, nepreukázali žiadny účinok na fertilitu (pozri časť 5.3). </w:t>
      </w:r>
    </w:p>
    <w:p w14:paraId="4840500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64C3786" w14:textId="77777777" w:rsidR="00B07789" w:rsidRPr="00A731E1" w:rsidRDefault="00D25089" w:rsidP="001F3856">
      <w:pPr>
        <w:tabs>
          <w:tab w:val="center" w:pos="2498"/>
        </w:tabs>
        <w:spacing w:after="0" w:line="240" w:lineRule="auto"/>
        <w:ind w:left="709" w:hanging="709"/>
        <w:rPr>
          <w:sz w:val="22"/>
        </w:rPr>
      </w:pPr>
      <w:r>
        <w:rPr>
          <w:b/>
          <w:sz w:val="22"/>
        </w:rPr>
        <w:t xml:space="preserve">4.7 </w:t>
      </w:r>
      <w:r>
        <w:rPr>
          <w:b/>
          <w:sz w:val="22"/>
        </w:rPr>
        <w:tab/>
        <w:t>Ovplyvnenie schopnosti viesť vozidlá a obsluhovať stroje</w:t>
      </w:r>
      <w:r>
        <w:rPr>
          <w:sz w:val="22"/>
        </w:rPr>
        <w:t xml:space="preserve"> </w:t>
      </w:r>
    </w:p>
    <w:p w14:paraId="14FAF4F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A953133" w14:textId="339765AC" w:rsidR="00B07789" w:rsidRPr="00A731E1" w:rsidRDefault="00E8372B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nemá alebo má zanedbateľný vplyv na schopnosť viesť vozidlá a obsluhovať stroje. </w:t>
      </w:r>
    </w:p>
    <w:p w14:paraId="488D6092" w14:textId="7E639238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72BEA25E" w14:textId="77777777" w:rsidR="00B07789" w:rsidRPr="00A731E1" w:rsidRDefault="00D25089" w:rsidP="001F3856">
      <w:pPr>
        <w:keepNext/>
        <w:tabs>
          <w:tab w:val="center" w:pos="1425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4.8</w:t>
      </w:r>
      <w:r>
        <w:rPr>
          <w:b/>
          <w:sz w:val="22"/>
        </w:rPr>
        <w:tab/>
        <w:t xml:space="preserve">Nežiaduce účinky </w:t>
      </w:r>
    </w:p>
    <w:p w14:paraId="1667EE7B" w14:textId="77777777" w:rsidR="00B07789" w:rsidRPr="00A731E1" w:rsidRDefault="00D25089" w:rsidP="002F7708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C34A1C0" w14:textId="77777777" w:rsidR="00B07789" w:rsidRPr="00A731E1" w:rsidRDefault="00D25089" w:rsidP="002F7708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Súhrn bezpečnostného profilu</w:t>
      </w:r>
      <w:r>
        <w:rPr>
          <w:sz w:val="22"/>
          <w:u w:val="none"/>
        </w:rPr>
        <w:t xml:space="preserve"> </w:t>
      </w:r>
    </w:p>
    <w:p w14:paraId="7A2E1E02" w14:textId="4FB7C59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Bezpečnosť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sa skúmala v 4 klinických štúdiách fázy III zahŕňajúcich viac ako 15 000 pacientov: viac ako 11 000 pacientov v štúdiách NVAF počas priemernej celkovej expozície 1,7 roka a viac ako 4 000 pacientov v štúdiách liečby VTE (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) počas priemernej celkovej expozície 221 dní (pozri časť 5.1). </w:t>
      </w:r>
    </w:p>
    <w:p w14:paraId="56423C1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607566E" w14:textId="2F75BB0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Častými nežiaducimi reakciami boli krvácanie, </w:t>
      </w:r>
      <w:proofErr w:type="spellStart"/>
      <w:r>
        <w:rPr>
          <w:sz w:val="22"/>
        </w:rPr>
        <w:t>kontúzia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epistaxa</w:t>
      </w:r>
      <w:proofErr w:type="spellEnd"/>
      <w:r>
        <w:rPr>
          <w:sz w:val="22"/>
        </w:rPr>
        <w:t xml:space="preserve"> a hematóm (profil nežiaducich reakcií a frekvencie podľa indikácie pozri v tabuľke 2). </w:t>
      </w:r>
    </w:p>
    <w:p w14:paraId="228B9646" w14:textId="158AC934" w:rsidR="00B07789" w:rsidRPr="00A731E1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010CCE0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 xml:space="preserve">V štúdiách NVAF bol celkový výskyt nežiaducich reakcií súvisiacich s krvácaním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24,3 % v štúdii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a 9,6 % v štúdii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oproti kyseline </w:t>
      </w:r>
      <w:proofErr w:type="spellStart"/>
      <w:r>
        <w:rPr>
          <w:sz w:val="22"/>
        </w:rPr>
        <w:t>acetylsalicylovej</w:t>
      </w:r>
      <w:proofErr w:type="spellEnd"/>
      <w:r>
        <w:rPr>
          <w:sz w:val="22"/>
        </w:rPr>
        <w:t xml:space="preserve">. V štúdii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bol výskyt závažných ISTH krvácaní gastrointestinálneho traktu (zahŕňajúcich hornú časť GI, dolnú časť GI a </w:t>
      </w:r>
      <w:proofErr w:type="spellStart"/>
      <w:r>
        <w:rPr>
          <w:sz w:val="22"/>
        </w:rPr>
        <w:t>rektálne</w:t>
      </w:r>
      <w:proofErr w:type="spellEnd"/>
      <w:r>
        <w:rPr>
          <w:sz w:val="22"/>
        </w:rPr>
        <w:t xml:space="preserve"> krvácanie)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0,76 %/rok. Výskyt závažného </w:t>
      </w:r>
      <w:proofErr w:type="spellStart"/>
      <w:r>
        <w:rPr>
          <w:sz w:val="22"/>
        </w:rPr>
        <w:t>intraokulárneho</w:t>
      </w:r>
      <w:proofErr w:type="spellEnd"/>
      <w:r>
        <w:rPr>
          <w:sz w:val="22"/>
        </w:rPr>
        <w:t xml:space="preserve"> ISTH krvácania bol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0,18 %/rok.</w:t>
      </w:r>
    </w:p>
    <w:p w14:paraId="7F909838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692C9D4B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štúdiách 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 xml:space="preserve"> bol celkový výskyt nežiaducich reakcií súvisiacich s krvácaním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15,6 % v štúdii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a 13,3 % v štúdii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oproti placebu (pozri časť 5.1).</w:t>
      </w:r>
    </w:p>
    <w:p w14:paraId="6F9B374F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0A5D593" w14:textId="7188D1AF" w:rsidR="005F6250" w:rsidRPr="00A731E1" w:rsidRDefault="00C61C25" w:rsidP="00833B71">
      <w:pPr>
        <w:spacing w:after="0" w:line="240" w:lineRule="auto"/>
        <w:ind w:left="0" w:firstLine="0"/>
        <w:rPr>
          <w:sz w:val="22"/>
          <w:u w:val="single"/>
        </w:rPr>
      </w:pPr>
      <w:r>
        <w:rPr>
          <w:sz w:val="22"/>
          <w:u w:val="single"/>
        </w:rPr>
        <w:t>Zoznam</w:t>
      </w:r>
      <w:r w:rsidR="005F6250">
        <w:rPr>
          <w:sz w:val="22"/>
          <w:u w:val="single"/>
        </w:rPr>
        <w:t xml:space="preserve"> nežiaducich reakcií</w:t>
      </w:r>
      <w:r>
        <w:rPr>
          <w:sz w:val="22"/>
          <w:u w:val="single"/>
        </w:rPr>
        <w:t xml:space="preserve"> v tabuľke</w:t>
      </w:r>
    </w:p>
    <w:p w14:paraId="64FF3640" w14:textId="16EDA2EB" w:rsidR="00B07789" w:rsidRPr="00A731E1" w:rsidRDefault="005F6250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Tabuľka 2 uvádza nežiaduce reakcie zoradené do skupín podľa </w:t>
      </w:r>
      <w:r w:rsidR="00697D04">
        <w:rPr>
          <w:sz w:val="22"/>
        </w:rPr>
        <w:t xml:space="preserve">tried </w:t>
      </w:r>
      <w:r>
        <w:rPr>
          <w:sz w:val="22"/>
        </w:rPr>
        <w:t xml:space="preserve">orgánových systémov a frekvencie </w:t>
      </w:r>
      <w:r w:rsidR="00697D04">
        <w:rPr>
          <w:sz w:val="22"/>
        </w:rPr>
        <w:t xml:space="preserve">použitím </w:t>
      </w:r>
      <w:r>
        <w:rPr>
          <w:sz w:val="22"/>
        </w:rPr>
        <w:t>nasled</w:t>
      </w:r>
      <w:r w:rsidR="00697D04">
        <w:rPr>
          <w:sz w:val="22"/>
        </w:rPr>
        <w:t>ovnej</w:t>
      </w:r>
      <w:r>
        <w:rPr>
          <w:sz w:val="22"/>
        </w:rPr>
        <w:t xml:space="preserve"> </w:t>
      </w:r>
      <w:r w:rsidR="00697D04">
        <w:rPr>
          <w:sz w:val="22"/>
        </w:rPr>
        <w:t>konvencie</w:t>
      </w:r>
      <w:r>
        <w:rPr>
          <w:sz w:val="22"/>
        </w:rPr>
        <w:t>: veľmi časté (≥1/10); časté (≥1/100 až &lt;1/10); menej časté (≥1/1 000 až &lt;1/100); zriedkavé (≥1/10 000 až &lt;1/1 000); veľmi zriedkavé (&lt;1/10 000); neznáme (</w:t>
      </w:r>
      <w:r w:rsidR="00697D04">
        <w:rPr>
          <w:sz w:val="22"/>
        </w:rPr>
        <w:t xml:space="preserve">frekvencia sa nedá odhadnúť </w:t>
      </w:r>
      <w:r>
        <w:rPr>
          <w:sz w:val="22"/>
        </w:rPr>
        <w:t xml:space="preserve">z dostupných údajov) pre NVAF a </w:t>
      </w:r>
      <w:proofErr w:type="spellStart"/>
      <w:r>
        <w:rPr>
          <w:sz w:val="22"/>
        </w:rPr>
        <w:t>VTEt</w:t>
      </w:r>
      <w:proofErr w:type="spellEnd"/>
      <w:r>
        <w:rPr>
          <w:sz w:val="22"/>
        </w:rPr>
        <w:t>.</w:t>
      </w:r>
    </w:p>
    <w:p w14:paraId="2DD12AE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C67270C" w14:textId="67AE0322" w:rsidR="00B07789" w:rsidRPr="00513BD2" w:rsidRDefault="00D25089" w:rsidP="00833B71">
      <w:pPr>
        <w:keepNext/>
        <w:spacing w:after="0" w:line="240" w:lineRule="auto"/>
        <w:ind w:left="0"/>
        <w:rPr>
          <w:b/>
          <w:sz w:val="22"/>
        </w:rPr>
      </w:pPr>
      <w:r>
        <w:rPr>
          <w:b/>
          <w:sz w:val="22"/>
        </w:rPr>
        <w:t xml:space="preserve">Tabuľka 2 </w:t>
      </w:r>
    </w:p>
    <w:tbl>
      <w:tblPr>
        <w:tblStyle w:val="TableGrid"/>
        <w:tblW w:w="9778" w:type="dxa"/>
        <w:tblInd w:w="-53" w:type="dxa"/>
        <w:tblCellMar>
          <w:top w:w="53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4012"/>
        <w:gridCol w:w="2680"/>
        <w:gridCol w:w="3086"/>
      </w:tblGrid>
      <w:tr w:rsidR="00A43B7C" w:rsidRPr="005261E7" w14:paraId="290AB4FF" w14:textId="77777777" w:rsidTr="006D26A7">
        <w:trPr>
          <w:cantSplit/>
          <w:trHeight w:val="1486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87B10B" w14:textId="77777777" w:rsidR="00A43B7C" w:rsidRPr="00A731E1" w:rsidRDefault="00A43B7C" w:rsidP="006D26A7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Trieda orgánových systémov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9FD0E1" w14:textId="77777777" w:rsidR="00A43B7C" w:rsidRPr="00A731E1" w:rsidRDefault="00A43B7C" w:rsidP="006D26A7">
            <w:pPr>
              <w:keepNext/>
              <w:spacing w:after="0" w:line="240" w:lineRule="auto"/>
              <w:ind w:left="0" w:hanging="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Prevencia cievnej mozgovej príhody a systémovej embólie u dospelých pacientov s NVAF s jedným alebo viacerými rizikovými faktormi (NVAF)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1D386F" w14:textId="77777777" w:rsidR="00A43B7C" w:rsidRPr="00A731E1" w:rsidRDefault="00A43B7C" w:rsidP="006D26A7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Liečba DVT a PE a prevencia </w:t>
            </w:r>
            <w:proofErr w:type="spellStart"/>
            <w:r>
              <w:rPr>
                <w:b/>
                <w:sz w:val="22"/>
              </w:rPr>
              <w:t>rekurentnej</w:t>
            </w:r>
            <w:proofErr w:type="spellEnd"/>
            <w:r>
              <w:rPr>
                <w:b/>
                <w:sz w:val="22"/>
              </w:rPr>
              <w:t xml:space="preserve"> DVT a PE (</w:t>
            </w:r>
            <w:proofErr w:type="spellStart"/>
            <w:r>
              <w:rPr>
                <w:b/>
                <w:sz w:val="22"/>
              </w:rPr>
              <w:t>VTEt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</w:tc>
      </w:tr>
      <w:tr w:rsidR="00A43B7C" w:rsidRPr="005261E7" w14:paraId="78E21155" w14:textId="77777777" w:rsidTr="006D26A7">
        <w:trPr>
          <w:cantSplit/>
          <w:trHeight w:val="485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E56BB" w14:textId="77777777" w:rsidR="00A43B7C" w:rsidRPr="00A731E1" w:rsidRDefault="00A43B7C" w:rsidP="006D26A7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krvi a lymfatického systému </w:t>
            </w:r>
          </w:p>
        </w:tc>
      </w:tr>
      <w:tr w:rsidR="00A43B7C" w:rsidRPr="00A731E1" w14:paraId="2A5DA018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BFDC13" w14:textId="77777777" w:rsidR="00A43B7C" w:rsidRPr="00A731E1" w:rsidRDefault="00A43B7C" w:rsidP="006D26A7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Anémia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26A717C" w14:textId="77777777" w:rsidR="00A43B7C" w:rsidRPr="00A731E1" w:rsidRDefault="00A43B7C" w:rsidP="006D26A7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07ED0" w14:textId="77777777" w:rsidR="00A43B7C" w:rsidRPr="00A731E1" w:rsidRDefault="00A43B7C" w:rsidP="006D26A7">
            <w:pPr>
              <w:keepNext/>
              <w:spacing w:after="0" w:line="240" w:lineRule="auto"/>
              <w:ind w:left="0" w:right="4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44F78B82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D38AD7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Trombocytopénia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28236F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29769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5FEB9BE6" w14:textId="77777777" w:rsidTr="006D26A7">
        <w:trPr>
          <w:cantSplit/>
          <w:trHeight w:val="432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7AFD783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imunitného systému </w:t>
            </w:r>
          </w:p>
        </w:tc>
      </w:tr>
      <w:tr w:rsidR="00A43B7C" w:rsidRPr="00A731E1" w14:paraId="71D38A2E" w14:textId="77777777" w:rsidTr="006D26A7">
        <w:trPr>
          <w:cantSplit/>
          <w:trHeight w:val="495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C8A231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Precitlivenosť, alergický edém a </w:t>
            </w:r>
            <w:proofErr w:type="spellStart"/>
            <w:r>
              <w:rPr>
                <w:sz w:val="22"/>
              </w:rPr>
              <w:t>anafylaxia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14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8B9FAB3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17EFA68D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68E8CA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Svrbenie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84BE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56C546D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časté* </w:t>
            </w:r>
          </w:p>
        </w:tc>
      </w:tr>
      <w:tr w:rsidR="00A43B7C" w:rsidRPr="00A731E1" w14:paraId="11C2FA9F" w14:textId="77777777" w:rsidTr="006D26A7">
        <w:trPr>
          <w:cantSplit/>
          <w:trHeight w:val="462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D5379A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nervového systému </w:t>
            </w:r>
          </w:p>
        </w:tc>
      </w:tr>
      <w:tr w:rsidR="00A43B7C" w:rsidRPr="00A731E1" w14:paraId="0B458142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1559EB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Krvácanie do mozgu</w:t>
            </w:r>
            <w:r>
              <w:rPr>
                <w:sz w:val="22"/>
                <w:vertAlign w:val="superscript"/>
              </w:rPr>
              <w:t>†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29AB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F765FC9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Zriedkavé </w:t>
            </w:r>
          </w:p>
        </w:tc>
      </w:tr>
      <w:tr w:rsidR="00A43B7C" w:rsidRPr="00A731E1" w14:paraId="34C600BD" w14:textId="77777777" w:rsidTr="006D26A7">
        <w:trPr>
          <w:cantSplit/>
          <w:trHeight w:val="461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47C6F49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oka </w:t>
            </w:r>
          </w:p>
        </w:tc>
      </w:tr>
      <w:tr w:rsidR="00A43B7C" w:rsidRPr="00A731E1" w14:paraId="0160EBDB" w14:textId="77777777" w:rsidTr="006D26A7">
        <w:trPr>
          <w:cantSplit/>
          <w:trHeight w:val="495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17157F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Krvácanie do oka (vrátane spojovkového krvácania)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FA083E0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000F1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32DBEB3B" w14:textId="77777777" w:rsidTr="006D26A7">
        <w:trPr>
          <w:cantSplit/>
          <w:trHeight w:val="493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44DCEA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ciev </w:t>
            </w:r>
          </w:p>
        </w:tc>
      </w:tr>
      <w:tr w:rsidR="00A43B7C" w:rsidRPr="00A731E1" w14:paraId="42F968A7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9DBFCF1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Krvácanie, hematómy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7838078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44A0C" w14:textId="77777777" w:rsidR="00A43B7C" w:rsidRPr="00A731E1" w:rsidRDefault="00A43B7C" w:rsidP="006D26A7">
            <w:pPr>
              <w:spacing w:after="0" w:line="240" w:lineRule="auto"/>
              <w:ind w:left="0" w:right="4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3536D6FD" w14:textId="77777777" w:rsidTr="006D26A7">
        <w:trPr>
          <w:cantSplit/>
          <w:trHeight w:val="495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30B4A4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Hypotenzia (vrátane procedurálnej hypotenzie)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FFF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0FDD73B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0DD98BB1" w14:textId="77777777" w:rsidTr="006D26A7">
        <w:trPr>
          <w:cantSplit/>
          <w:trHeight w:val="259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E2789C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Intraabdominálne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C43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28B5F7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Neznáme</w:t>
            </w:r>
          </w:p>
        </w:tc>
      </w:tr>
      <w:tr w:rsidR="00A43B7C" w:rsidRPr="005261E7" w14:paraId="7B619B0E" w14:textId="77777777" w:rsidTr="006D26A7">
        <w:trPr>
          <w:cantSplit/>
          <w:trHeight w:val="445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0B94C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dýchacej sústavy, hrudníka a </w:t>
            </w:r>
            <w:proofErr w:type="spellStart"/>
            <w:r>
              <w:rPr>
                <w:i/>
                <w:sz w:val="22"/>
              </w:rPr>
              <w:t>mediastína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</w:tr>
      <w:tr w:rsidR="00A43B7C" w:rsidRPr="00A731E1" w14:paraId="59E9B7AC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A86716D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Epistaxa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2BA60DA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26783" w14:textId="77777777" w:rsidR="00A43B7C" w:rsidRPr="00A731E1" w:rsidRDefault="00A43B7C" w:rsidP="006D26A7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0F23B6B0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382C55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Hemoptýza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409AA78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DA584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7A41CD2D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8242978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Krvácanie do respiračného traktu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CEE3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Zriedkavé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9A8C2B1" w14:textId="77777777" w:rsidR="00A43B7C" w:rsidRPr="00A731E1" w:rsidRDefault="00A43B7C" w:rsidP="006D26A7">
            <w:pPr>
              <w:spacing w:after="0" w:line="240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Zriedkavé </w:t>
            </w:r>
          </w:p>
        </w:tc>
      </w:tr>
      <w:tr w:rsidR="00A43B7C" w:rsidRPr="00A731E1" w14:paraId="60DBD821" w14:textId="77777777" w:rsidTr="006D26A7">
        <w:trPr>
          <w:cantSplit/>
          <w:trHeight w:val="444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91F20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gastrointestinálneho traktu </w:t>
            </w:r>
          </w:p>
        </w:tc>
      </w:tr>
      <w:tr w:rsidR="00A43B7C" w:rsidRPr="00A731E1" w14:paraId="7BD07247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CFF4B18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Nevoľnosť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F0C125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E71CB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166C5C23" w14:textId="77777777" w:rsidTr="006D26A7">
        <w:trPr>
          <w:cantSplit/>
          <w:trHeight w:val="259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BCFF77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Gastrointestinálne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BA11A7A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16E2D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2E77B966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176F7F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Hemoroidálne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C1D5199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03B16" w14:textId="77777777" w:rsidR="00A43B7C" w:rsidRPr="00A731E1" w:rsidRDefault="00A43B7C" w:rsidP="006D26A7">
            <w:pPr>
              <w:spacing w:after="0" w:line="240" w:lineRule="auto"/>
              <w:ind w:left="0" w:right="4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4FDD5FDD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104204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Krvácanie z úst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4C163A1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7D89B" w14:textId="77777777" w:rsidR="00A43B7C" w:rsidRPr="00A731E1" w:rsidRDefault="00A43B7C" w:rsidP="006D26A7">
            <w:pPr>
              <w:spacing w:after="0" w:line="240" w:lineRule="auto"/>
              <w:ind w:left="0" w:right="4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520B9063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AB38BE8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Hematochézia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50B2F54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380A9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3C2BFBB2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AEFA43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Rektálne</w:t>
            </w:r>
            <w:proofErr w:type="spellEnd"/>
            <w:r>
              <w:rPr>
                <w:sz w:val="22"/>
              </w:rPr>
              <w:t xml:space="preserve"> krvácanie, </w:t>
            </w:r>
            <w:proofErr w:type="spellStart"/>
            <w:r>
              <w:rPr>
                <w:sz w:val="22"/>
              </w:rPr>
              <w:t>gingiválne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9D13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26DDFB5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A731E1" w14:paraId="4257763C" w14:textId="77777777" w:rsidTr="006D26A7">
        <w:trPr>
          <w:cantSplit/>
          <w:trHeight w:val="259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63A670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Retroperitoneálne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FF52187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Zriedkavé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42837" w14:textId="77777777" w:rsidR="00A43B7C" w:rsidRPr="00A731E1" w:rsidRDefault="00A43B7C" w:rsidP="006D26A7">
            <w:pPr>
              <w:spacing w:after="0" w:line="240" w:lineRule="auto"/>
              <w:ind w:left="0" w:right="4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Neznáme </w:t>
            </w:r>
          </w:p>
        </w:tc>
      </w:tr>
      <w:tr w:rsidR="00A43B7C" w:rsidRPr="00A731E1" w14:paraId="62A58170" w14:textId="77777777" w:rsidTr="006D26A7">
        <w:trPr>
          <w:cantSplit/>
          <w:trHeight w:val="567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5FB4BD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pečene a žlčových ciest </w:t>
            </w:r>
          </w:p>
        </w:tc>
      </w:tr>
      <w:tr w:rsidR="00A43B7C" w:rsidRPr="00A731E1" w14:paraId="6259C508" w14:textId="77777777" w:rsidTr="006D26A7">
        <w:trPr>
          <w:cantSplit/>
          <w:trHeight w:val="991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2638A2C" w14:textId="6A73887D" w:rsidR="00A43B7C" w:rsidRPr="00A731E1" w:rsidRDefault="00C34163" w:rsidP="00C34163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</w:t>
            </w:r>
            <w:r w:rsidR="00A43B7C">
              <w:rPr>
                <w:sz w:val="22"/>
              </w:rPr>
              <w:t>est funkcií pečene</w:t>
            </w:r>
            <w:r>
              <w:rPr>
                <w:sz w:val="22"/>
              </w:rPr>
              <w:t xml:space="preserve"> mimo normy</w:t>
            </w:r>
            <w:r w:rsidR="00A43B7C">
              <w:rPr>
                <w:sz w:val="22"/>
              </w:rPr>
              <w:t xml:space="preserve">, zvýšená </w:t>
            </w:r>
            <w:proofErr w:type="spellStart"/>
            <w:r w:rsidR="00A43B7C">
              <w:rPr>
                <w:sz w:val="22"/>
              </w:rPr>
              <w:t>aspartátaminotransferáza</w:t>
            </w:r>
            <w:proofErr w:type="spellEnd"/>
            <w:r w:rsidR="00A43B7C">
              <w:rPr>
                <w:sz w:val="22"/>
              </w:rPr>
              <w:t xml:space="preserve">, zvýšená hladina alkalickej </w:t>
            </w:r>
            <w:proofErr w:type="spellStart"/>
            <w:r w:rsidR="00A43B7C">
              <w:rPr>
                <w:sz w:val="22"/>
              </w:rPr>
              <w:t>fosfatázy</w:t>
            </w:r>
            <w:proofErr w:type="spellEnd"/>
            <w:r w:rsidR="00A43B7C">
              <w:rPr>
                <w:sz w:val="22"/>
              </w:rPr>
              <w:t xml:space="preserve"> v krvi, zvýšený </w:t>
            </w:r>
            <w:proofErr w:type="spellStart"/>
            <w:r w:rsidR="00A43B7C">
              <w:rPr>
                <w:sz w:val="22"/>
              </w:rPr>
              <w:t>bilirubín</w:t>
            </w:r>
            <w:proofErr w:type="spellEnd"/>
            <w:r w:rsidR="00A43B7C">
              <w:rPr>
                <w:sz w:val="22"/>
              </w:rPr>
              <w:t xml:space="preserve"> v krvi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FB85D5A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21559" w14:textId="77777777" w:rsidR="00A43B7C" w:rsidRPr="00A731E1" w:rsidRDefault="00A43B7C" w:rsidP="006D26A7">
            <w:pPr>
              <w:spacing w:after="0" w:line="240" w:lineRule="auto"/>
              <w:ind w:left="0" w:right="52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</w:tr>
      <w:tr w:rsidR="00A43B7C" w:rsidRPr="00A731E1" w14:paraId="38887DD8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E8AB9C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Zvýšená gama</w:t>
            </w:r>
            <w:r>
              <w:rPr>
                <w:sz w:val="22"/>
              </w:rPr>
              <w:noBreakHyphen/>
            </w:r>
            <w:proofErr w:type="spellStart"/>
            <w:r>
              <w:rPr>
                <w:sz w:val="22"/>
              </w:rPr>
              <w:t>glutamyltransferáza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4223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E51F09C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</w:tr>
      <w:tr w:rsidR="00A43B7C" w:rsidRPr="00A731E1" w14:paraId="2B22F4DF" w14:textId="77777777" w:rsidTr="006D26A7">
        <w:trPr>
          <w:cantSplit/>
          <w:trHeight w:val="259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509F5C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Zvýšená </w:t>
            </w:r>
            <w:proofErr w:type="spellStart"/>
            <w:r>
              <w:rPr>
                <w:sz w:val="22"/>
              </w:rPr>
              <w:t>alanínaminotransferáza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68BC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04C5BF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</w:tr>
      <w:tr w:rsidR="00A43B7C" w:rsidRPr="005261E7" w14:paraId="11C68394" w14:textId="77777777" w:rsidTr="006D26A7">
        <w:trPr>
          <w:cantSplit/>
          <w:trHeight w:val="487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18E999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kože a podkožného tkaniva </w:t>
            </w:r>
          </w:p>
        </w:tc>
      </w:tr>
      <w:tr w:rsidR="00A43B7C" w:rsidRPr="00A731E1" w14:paraId="5C963BE3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B274F3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Kožná vyrážka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39E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BE2885E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</w:tr>
      <w:tr w:rsidR="00A43B7C" w:rsidRPr="00A731E1" w14:paraId="34FD73E0" w14:textId="77777777" w:rsidTr="006D26A7">
        <w:trPr>
          <w:cantSplit/>
          <w:trHeight w:val="259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846715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Alopécia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4E86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6981F82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</w:tr>
      <w:tr w:rsidR="00A43B7C" w:rsidRPr="005261E7" w14:paraId="650AB607" w14:textId="77777777" w:rsidTr="006D26A7">
        <w:trPr>
          <w:cantSplit/>
          <w:trHeight w:val="457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A53344F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kostrovej a svalovej sústavy a spojivového tkaniva </w:t>
            </w:r>
          </w:p>
        </w:tc>
      </w:tr>
      <w:tr w:rsidR="00A43B7C" w:rsidRPr="00A731E1" w14:paraId="3F6BC7B5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F62A25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Krvácanie do svalov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B419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Zriedkavé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7F8D0B7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4045B494" w14:textId="77777777" w:rsidTr="006D26A7">
        <w:trPr>
          <w:cantSplit/>
          <w:trHeight w:val="247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952AE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obličiek a močových ciest </w:t>
            </w:r>
          </w:p>
        </w:tc>
      </w:tr>
      <w:tr w:rsidR="00A43B7C" w:rsidRPr="00A731E1" w14:paraId="6B493822" w14:textId="77777777" w:rsidTr="006D26A7">
        <w:trPr>
          <w:cantSplit/>
          <w:trHeight w:val="263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2D63A9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Hematúria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15538B0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CA02A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5261E7" w14:paraId="2F70B37F" w14:textId="77777777" w:rsidTr="006D26A7">
        <w:trPr>
          <w:cantSplit/>
          <w:trHeight w:val="535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FB5820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Poruchy reprodukčného systému a prsníkov </w:t>
            </w:r>
          </w:p>
        </w:tc>
      </w:tr>
      <w:tr w:rsidR="00A43B7C" w:rsidRPr="00A731E1" w14:paraId="5D036489" w14:textId="77777777" w:rsidTr="006D26A7">
        <w:trPr>
          <w:cantSplit/>
          <w:trHeight w:val="503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A2C9F5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Abnormálne vaginálne krvácanie, </w:t>
            </w:r>
            <w:proofErr w:type="spellStart"/>
            <w:r>
              <w:rPr>
                <w:sz w:val="22"/>
              </w:rPr>
              <w:t>urogenitálne</w:t>
            </w:r>
            <w:proofErr w:type="spellEnd"/>
            <w:r>
              <w:rPr>
                <w:sz w:val="22"/>
              </w:rPr>
              <w:t xml:space="preserve"> krvácanie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8609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64CC6D" w14:textId="77777777" w:rsidR="00A43B7C" w:rsidRPr="00A731E1" w:rsidRDefault="00A43B7C" w:rsidP="006D26A7">
            <w:pPr>
              <w:spacing w:after="0" w:line="240" w:lineRule="auto"/>
              <w:ind w:left="0" w:right="5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Časté </w:t>
            </w:r>
          </w:p>
        </w:tc>
      </w:tr>
      <w:tr w:rsidR="00A43B7C" w:rsidRPr="005261E7" w14:paraId="12D10930" w14:textId="77777777" w:rsidTr="006D26A7">
        <w:trPr>
          <w:cantSplit/>
          <w:trHeight w:val="508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4CE08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Celkové poruchy a reakcie v mieste podania </w:t>
            </w:r>
          </w:p>
        </w:tc>
      </w:tr>
      <w:tr w:rsidR="00A43B7C" w:rsidRPr="00A731E1" w14:paraId="6FCD99AA" w14:textId="77777777" w:rsidTr="006D26A7">
        <w:trPr>
          <w:cantSplit/>
          <w:trHeight w:val="251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85A28B6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Krvácanie v mieste aplikácie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5D8C9C0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09980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A731E1" w14:paraId="66DD0C9D" w14:textId="77777777" w:rsidTr="006D26A7">
        <w:trPr>
          <w:cantSplit/>
          <w:trHeight w:val="454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D0A9D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Laboratórne a funkčné vyšetrenia </w:t>
            </w:r>
          </w:p>
        </w:tc>
      </w:tr>
      <w:tr w:rsidR="00A43B7C" w:rsidRPr="00A731E1" w14:paraId="3099258B" w14:textId="77777777" w:rsidTr="006D26A7">
        <w:trPr>
          <w:cantSplit/>
          <w:trHeight w:val="251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39CC3C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Pozitívny test na okultné krvácanie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95CF489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E0457" w14:textId="77777777" w:rsidR="00A43B7C" w:rsidRPr="00A731E1" w:rsidRDefault="00A43B7C" w:rsidP="006D26A7">
            <w:pPr>
              <w:spacing w:after="0" w:line="240" w:lineRule="auto"/>
              <w:ind w:left="0" w:right="47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Menej časté </w:t>
            </w:r>
          </w:p>
        </w:tc>
      </w:tr>
      <w:tr w:rsidR="00A43B7C" w:rsidRPr="005261E7" w14:paraId="48A7E433" w14:textId="77777777" w:rsidTr="006D26A7">
        <w:trPr>
          <w:cantSplit/>
          <w:trHeight w:val="465"/>
        </w:trPr>
        <w:tc>
          <w:tcPr>
            <w:tcW w:w="9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421837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Úrazy, otravy a komplikácie liečebného postupu </w:t>
            </w:r>
          </w:p>
        </w:tc>
      </w:tr>
      <w:tr w:rsidR="00A43B7C" w:rsidRPr="00A731E1" w14:paraId="17695B75" w14:textId="77777777" w:rsidTr="006D26A7">
        <w:trPr>
          <w:cantSplit/>
          <w:trHeight w:val="24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EA59DB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Kontúzia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88624E4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1FBE4" w14:textId="77777777" w:rsidR="00A43B7C" w:rsidRPr="00A731E1" w:rsidRDefault="00A43B7C" w:rsidP="006D26A7">
            <w:pPr>
              <w:spacing w:after="0" w:line="240" w:lineRule="auto"/>
              <w:ind w:left="0" w:right="48" w:firstLine="0"/>
              <w:jc w:val="center"/>
              <w:rPr>
                <w:sz w:val="22"/>
              </w:rPr>
            </w:pPr>
            <w:r>
              <w:rPr>
                <w:sz w:val="22"/>
              </w:rPr>
              <w:t>Časté</w:t>
            </w:r>
          </w:p>
        </w:tc>
      </w:tr>
      <w:tr w:rsidR="00A43B7C" w:rsidRPr="00A731E1" w14:paraId="2A18A3A6" w14:textId="77777777" w:rsidTr="006D26A7">
        <w:trPr>
          <w:cantSplit/>
          <w:trHeight w:val="1733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E65445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Hemorágia</w:t>
            </w:r>
            <w:proofErr w:type="spellEnd"/>
            <w:r>
              <w:rPr>
                <w:sz w:val="22"/>
              </w:rPr>
              <w:t xml:space="preserve"> po zákroku (vrátane </w:t>
            </w:r>
            <w:proofErr w:type="spellStart"/>
            <w:r>
              <w:rPr>
                <w:sz w:val="22"/>
              </w:rPr>
              <w:t>postprocedurálneho</w:t>
            </w:r>
            <w:proofErr w:type="spellEnd"/>
            <w:r>
              <w:rPr>
                <w:sz w:val="22"/>
              </w:rPr>
              <w:t xml:space="preserve"> hematómu, krvácania z rán, hematómu v mieste prepichnutia cievy a krvácanie v mieste zavedenia katétra),sekrécia z rany, krvácanie v mieste </w:t>
            </w:r>
            <w:proofErr w:type="spellStart"/>
            <w:r>
              <w:rPr>
                <w:sz w:val="22"/>
              </w:rPr>
              <w:t>incízie</w:t>
            </w:r>
            <w:proofErr w:type="spellEnd"/>
            <w:r>
              <w:rPr>
                <w:sz w:val="22"/>
              </w:rPr>
              <w:t xml:space="preserve"> (vrátane hematómu v mieste </w:t>
            </w:r>
            <w:proofErr w:type="spellStart"/>
            <w:r>
              <w:rPr>
                <w:sz w:val="22"/>
              </w:rPr>
              <w:t>incízie</w:t>
            </w:r>
            <w:proofErr w:type="spellEnd"/>
            <w:r>
              <w:rPr>
                <w:sz w:val="22"/>
              </w:rPr>
              <w:t xml:space="preserve">), operačná </w:t>
            </w:r>
            <w:proofErr w:type="spellStart"/>
            <w:r>
              <w:rPr>
                <w:sz w:val="22"/>
              </w:rPr>
              <w:t>hemorágia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C0D3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9610564" w14:textId="77777777" w:rsidR="00A43B7C" w:rsidRPr="00A731E1" w:rsidRDefault="00A43B7C" w:rsidP="006D26A7">
            <w:pPr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</w:tr>
      <w:tr w:rsidR="00A43B7C" w:rsidRPr="00A731E1" w14:paraId="2993B9B6" w14:textId="77777777" w:rsidTr="006D26A7">
        <w:trPr>
          <w:cantSplit/>
          <w:trHeight w:val="251"/>
        </w:trPr>
        <w:tc>
          <w:tcPr>
            <w:tcW w:w="40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4AEB61" w14:textId="77777777" w:rsidR="00A43B7C" w:rsidRPr="00A731E1" w:rsidRDefault="00A43B7C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Traumatická </w:t>
            </w:r>
            <w:proofErr w:type="spellStart"/>
            <w:r>
              <w:rPr>
                <w:sz w:val="22"/>
              </w:rPr>
              <w:t>hemorágia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9412" w14:textId="77777777" w:rsidR="00A43B7C" w:rsidRPr="00A731E1" w:rsidRDefault="00A43B7C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B215A58" w14:textId="77777777" w:rsidR="00A43B7C" w:rsidRPr="00A731E1" w:rsidRDefault="00A43B7C" w:rsidP="006D26A7">
            <w:pPr>
              <w:spacing w:after="0" w:line="240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Menej časté</w:t>
            </w:r>
          </w:p>
        </w:tc>
      </w:tr>
    </w:tbl>
    <w:p w14:paraId="511385ED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*V štúdii CV185057 (dlhodobá prevencia VTE) sa nevyskytol generalizovaný </w:t>
      </w:r>
      <w:proofErr w:type="spellStart"/>
      <w:r>
        <w:rPr>
          <w:sz w:val="22"/>
        </w:rPr>
        <w:t>pruritus</w:t>
      </w:r>
      <w:proofErr w:type="spellEnd"/>
      <w:r>
        <w:rPr>
          <w:sz w:val="22"/>
        </w:rPr>
        <w:t xml:space="preserve"> </w:t>
      </w:r>
    </w:p>
    <w:p w14:paraId="7505B561" w14:textId="23F1DEEA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†Termín „krvácanie do mozgu“ zahŕňa všetky </w:t>
      </w:r>
      <w:proofErr w:type="spellStart"/>
      <w:r>
        <w:rPr>
          <w:sz w:val="22"/>
        </w:rPr>
        <w:t>intrakraniálne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intraspinálne</w:t>
      </w:r>
      <w:proofErr w:type="spellEnd"/>
      <w:r>
        <w:rPr>
          <w:sz w:val="22"/>
        </w:rPr>
        <w:t xml:space="preserve"> krvácania (napr. </w:t>
      </w:r>
      <w:proofErr w:type="spellStart"/>
      <w:r>
        <w:rPr>
          <w:sz w:val="22"/>
        </w:rPr>
        <w:t>hemoragickú</w:t>
      </w:r>
      <w:proofErr w:type="spellEnd"/>
      <w:r>
        <w:rPr>
          <w:sz w:val="22"/>
        </w:rPr>
        <w:t xml:space="preserve"> </w:t>
      </w:r>
      <w:r w:rsidR="003F457A">
        <w:rPr>
          <w:sz w:val="22"/>
        </w:rPr>
        <w:t xml:space="preserve">cievnu </w:t>
      </w:r>
      <w:r>
        <w:rPr>
          <w:sz w:val="22"/>
        </w:rPr>
        <w:t xml:space="preserve">mozgovú príhodu alebo krvácanie do oblasti </w:t>
      </w:r>
      <w:proofErr w:type="spellStart"/>
      <w:r>
        <w:rPr>
          <w:sz w:val="22"/>
        </w:rPr>
        <w:t>putamenu</w:t>
      </w:r>
      <w:proofErr w:type="spellEnd"/>
      <w:r w:rsidR="003F457A">
        <w:rPr>
          <w:sz w:val="22"/>
        </w:rPr>
        <w:t>,</w:t>
      </w:r>
      <w:r>
        <w:rPr>
          <w:sz w:val="22"/>
        </w:rPr>
        <w:t xml:space="preserve"> mozočku, </w:t>
      </w:r>
      <w:proofErr w:type="spellStart"/>
      <w:r>
        <w:rPr>
          <w:sz w:val="22"/>
        </w:rPr>
        <w:t>vnútrokomorové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subdurálne</w:t>
      </w:r>
      <w:proofErr w:type="spellEnd"/>
      <w:r>
        <w:rPr>
          <w:sz w:val="22"/>
        </w:rPr>
        <w:t xml:space="preserve"> krvácania). </w:t>
      </w:r>
    </w:p>
    <w:p w14:paraId="770C33B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A29A9E9" w14:textId="5A8D923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Použitie </w:t>
      </w:r>
      <w:proofErr w:type="spellStart"/>
      <w:r w:rsidR="003F457A">
        <w:rPr>
          <w:sz w:val="22"/>
        </w:rPr>
        <w:t>Polapixu</w:t>
      </w:r>
      <w:proofErr w:type="spellEnd"/>
      <w:r>
        <w:rPr>
          <w:sz w:val="22"/>
        </w:rPr>
        <w:t xml:space="preserve"> sa môže spájať so zvýšeným rizikom skrytého alebo zjavného krvácania z akéhokoľvek tkaniva alebo orgánu, ktoré môže vyústiť do </w:t>
      </w:r>
      <w:proofErr w:type="spellStart"/>
      <w:r>
        <w:rPr>
          <w:sz w:val="22"/>
        </w:rPr>
        <w:t>posthemoragickej</w:t>
      </w:r>
      <w:proofErr w:type="spellEnd"/>
      <w:r>
        <w:rPr>
          <w:sz w:val="22"/>
        </w:rPr>
        <w:t xml:space="preserve"> anémie. </w:t>
      </w:r>
      <w:r w:rsidR="003F457A">
        <w:rPr>
          <w:sz w:val="22"/>
        </w:rPr>
        <w:t>Prejavy, p</w:t>
      </w:r>
      <w:r>
        <w:rPr>
          <w:sz w:val="22"/>
        </w:rPr>
        <w:t xml:space="preserve">ríznaky a závažnosť sa budú líšiť podľa lokality a stupňa alebo rozsahu krvácania (pozri časti 4.4 a 5.1). </w:t>
      </w:r>
    </w:p>
    <w:p w14:paraId="1B6817C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365EA3E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Hlásenie podozrení na nežiaduce reakcie</w:t>
      </w:r>
      <w:r>
        <w:rPr>
          <w:sz w:val="22"/>
          <w:u w:val="none"/>
        </w:rPr>
        <w:t xml:space="preserve"> </w:t>
      </w:r>
    </w:p>
    <w:p w14:paraId="77D80D09" w14:textId="38118DA2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Hlásenie podozrení na nežiaduce reakcie po registrácii lieku je dôležité. Umožňuje priebežné monitorovanie pomeru prínosu a rizika lieku. Od zdravotníckych pracovníkov sa vyžaduje, aby hlásili akékoľvek podozrenia na</w:t>
      </w:r>
      <w:r w:rsidR="00E8372B">
        <w:rPr>
          <w:sz w:val="22"/>
        </w:rPr>
        <w:t xml:space="preserve"> nežiaduce reakcie na </w:t>
      </w:r>
      <w:r w:rsidR="00E8372B" w:rsidRPr="00144850">
        <w:rPr>
          <w:sz w:val="22"/>
          <w:highlight w:val="lightGray"/>
          <w:shd w:val="clear" w:color="auto" w:fill="C0C0C0"/>
        </w:rPr>
        <w:t>národné centrum</w:t>
      </w:r>
      <w:r w:rsidRPr="00144850">
        <w:rPr>
          <w:sz w:val="22"/>
          <w:highlight w:val="lightGray"/>
          <w:shd w:val="clear" w:color="auto" w:fill="C0C0C0"/>
        </w:rPr>
        <w:t xml:space="preserve"> </w:t>
      </w:r>
      <w:r w:rsidRPr="00A43B7C">
        <w:rPr>
          <w:sz w:val="22"/>
          <w:highlight w:val="lightGray"/>
        </w:rPr>
        <w:t>hlásenia</w:t>
      </w:r>
      <w:r>
        <w:rPr>
          <w:sz w:val="22"/>
          <w:highlight w:val="lightGray"/>
        </w:rPr>
        <w:t xml:space="preserve"> </w:t>
      </w:r>
      <w:r w:rsidR="00E8372B" w:rsidRPr="00A43B7C">
        <w:rPr>
          <w:sz w:val="22"/>
          <w:highlight w:val="lightGray"/>
        </w:rPr>
        <w:t>uvedené</w:t>
      </w:r>
      <w:r w:rsidRPr="00A43B7C">
        <w:rPr>
          <w:sz w:val="22"/>
          <w:highlight w:val="lightGray"/>
        </w:rPr>
        <w:t xml:space="preserve"> v</w:t>
      </w:r>
      <w:r w:rsidR="009E1FE5" w:rsidRPr="00F2138D">
        <w:rPr>
          <w:sz w:val="22"/>
          <w:highlight w:val="lightGray"/>
        </w:rPr>
        <w:t> </w:t>
      </w:r>
      <w:hyperlink r:id="rId11" w:history="1">
        <w:r w:rsidR="009E1FE5" w:rsidRPr="00F2138D">
          <w:rPr>
            <w:rStyle w:val="Hypertextovprepojenie"/>
            <w:sz w:val="22"/>
            <w:highlight w:val="lightGray"/>
          </w:rPr>
          <w:t>Prílohe V</w:t>
        </w:r>
      </w:hyperlink>
      <w:r w:rsidR="009E1FE5">
        <w:rPr>
          <w:sz w:val="22"/>
        </w:rPr>
        <w:t xml:space="preserve">. </w:t>
      </w:r>
      <w:r>
        <w:rPr>
          <w:sz w:val="22"/>
        </w:rPr>
        <w:t xml:space="preserve"> </w:t>
      </w:r>
    </w:p>
    <w:p w14:paraId="3678FB2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A4885D9" w14:textId="77777777" w:rsidR="00B07789" w:rsidRPr="00A731E1" w:rsidRDefault="00D25089" w:rsidP="001F3856">
      <w:pPr>
        <w:pStyle w:val="Nadpis3"/>
        <w:tabs>
          <w:tab w:val="center" w:pos="1002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>4.9</w:t>
      </w:r>
      <w:r>
        <w:rPr>
          <w:sz w:val="22"/>
        </w:rPr>
        <w:tab/>
        <w:t xml:space="preserve">Predávkovanie </w:t>
      </w:r>
    </w:p>
    <w:p w14:paraId="2B43BEE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60FEB0E7" w14:textId="29EEB053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Predávkovanie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môže viesť ku zvýšenému riziku krvácania. V prípade komplikácií spôsobených krvácaním sa musí liečba ukončiť a vyšetriť zdroj krvácania. Je potrebné zvážiť začatie vhodnej liečby, napr. chirurgickej </w:t>
      </w:r>
      <w:proofErr w:type="spellStart"/>
      <w:r>
        <w:rPr>
          <w:sz w:val="22"/>
        </w:rPr>
        <w:t>hemostázy</w:t>
      </w:r>
      <w:proofErr w:type="spellEnd"/>
      <w:r>
        <w:rPr>
          <w:sz w:val="22"/>
        </w:rPr>
        <w:t>, transfúzie čerstvej zmrazenej plazmy alebo pod</w:t>
      </w:r>
      <w:r w:rsidR="00CA08B9">
        <w:rPr>
          <w:sz w:val="22"/>
        </w:rPr>
        <w:t>anie</w:t>
      </w:r>
      <w:r>
        <w:rPr>
          <w:sz w:val="22"/>
        </w:rPr>
        <w:t xml:space="preserve"> </w:t>
      </w:r>
      <w:r w:rsidR="00CA08B9">
        <w:rPr>
          <w:sz w:val="22"/>
        </w:rPr>
        <w:t>liečiva</w:t>
      </w:r>
      <w:r>
        <w:rPr>
          <w:sz w:val="22"/>
        </w:rPr>
        <w:t xml:space="preserve"> na zvrátenie účinku inhibítorov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. </w:t>
      </w:r>
    </w:p>
    <w:p w14:paraId="25D56EB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805A320" w14:textId="44EF19EC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t xml:space="preserve">V kontrolovaných klinických štúdiách sa u zdravých </w:t>
      </w:r>
      <w:r w:rsidR="00CA08B9">
        <w:t>účastníkov</w:t>
      </w:r>
      <w:r>
        <w:t xml:space="preserve">, ktorým sa podával </w:t>
      </w:r>
      <w:proofErr w:type="spellStart"/>
      <w:r>
        <w:t>apixabán</w:t>
      </w:r>
      <w:proofErr w:type="spellEnd"/>
      <w:r>
        <w:t xml:space="preserve"> perorálne v dávkach do 50 mg denne počas 3 – 7 dní (25 mg dvakrát denne počas 7 dní alebo 50 mg jedenkrát denne počas 3 dní), neprejavili žiadne klinicky významné nežiaduce účinky.</w:t>
      </w:r>
      <w:r>
        <w:rPr>
          <w:sz w:val="22"/>
        </w:rPr>
        <w:t xml:space="preserve"> </w:t>
      </w:r>
    </w:p>
    <w:p w14:paraId="5B4FB606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C06F540" w14:textId="41F53A1B" w:rsidR="00B07789" w:rsidRPr="00A731E1" w:rsidRDefault="00D25089" w:rsidP="002F7708">
      <w:pPr>
        <w:spacing w:after="0" w:line="240" w:lineRule="auto"/>
        <w:ind w:left="0" w:right="121"/>
        <w:rPr>
          <w:sz w:val="22"/>
        </w:rPr>
      </w:pPr>
      <w:r>
        <w:rPr>
          <w:sz w:val="22"/>
        </w:rPr>
        <w:t xml:space="preserve">U zdravých </w:t>
      </w:r>
      <w:r w:rsidR="00CA08B9" w:rsidRPr="00D94116">
        <w:rPr>
          <w:sz w:val="22"/>
        </w:rPr>
        <w:t>účastníkov</w:t>
      </w:r>
      <w:r>
        <w:rPr>
          <w:sz w:val="22"/>
        </w:rPr>
        <w:t xml:space="preserve"> znížilo podanie aktívneho uhlia 2 a 6 hodín po požití  dávky</w:t>
      </w:r>
      <w:r w:rsidR="007D7480" w:rsidRPr="00EE68B4">
        <w:rPr>
          <w:sz w:val="22"/>
        </w:rPr>
        <w:t xml:space="preserve"> 20 mg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priemernú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 50 % a 27 %, v uvedenom poradí, a nemalo žiadny vplyv na C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. </w:t>
      </w:r>
      <w:r w:rsidR="007D7480" w:rsidRPr="007D7480">
        <w:rPr>
          <w:sz w:val="22"/>
        </w:rPr>
        <w:t>Stredný</w:t>
      </w:r>
      <w:r>
        <w:rPr>
          <w:sz w:val="22"/>
        </w:rPr>
        <w:t xml:space="preserve"> polčas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klesol z 13,4</w:t>
      </w:r>
      <w:r w:rsidR="007D7480" w:rsidRPr="007D7480">
        <w:rPr>
          <w:sz w:val="22"/>
        </w:rPr>
        <w:t xml:space="preserve"> </w:t>
      </w:r>
      <w:r>
        <w:rPr>
          <w:sz w:val="22"/>
        </w:rPr>
        <w:t xml:space="preserve">hodiny, </w:t>
      </w:r>
      <w:r w:rsidR="007D7480" w:rsidRPr="007D7480">
        <w:rPr>
          <w:sz w:val="22"/>
        </w:rPr>
        <w:t>keď bol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</w:t>
      </w:r>
      <w:r w:rsidR="007D7480" w:rsidRPr="007D7480">
        <w:rPr>
          <w:sz w:val="22"/>
        </w:rPr>
        <w:t>podávaný</w:t>
      </w:r>
      <w:r>
        <w:rPr>
          <w:sz w:val="22"/>
        </w:rPr>
        <w:t xml:space="preserve"> samostatne, na 5,3</w:t>
      </w:r>
      <w:r w:rsidR="007D7480" w:rsidRPr="007D7480">
        <w:rPr>
          <w:sz w:val="22"/>
        </w:rPr>
        <w:t xml:space="preserve"> </w:t>
      </w:r>
      <w:r>
        <w:rPr>
          <w:sz w:val="22"/>
        </w:rPr>
        <w:t>hodiny</w:t>
      </w:r>
      <w:r w:rsidR="007D7480" w:rsidRPr="007D7480">
        <w:rPr>
          <w:sz w:val="22"/>
        </w:rPr>
        <w:t xml:space="preserve">, keď bolo podané aktívne uhlie 2 </w:t>
      </w:r>
      <w:r>
        <w:rPr>
          <w:sz w:val="22"/>
        </w:rPr>
        <w:t xml:space="preserve">hodiny </w:t>
      </w:r>
      <w:r w:rsidR="007D7480" w:rsidRPr="007D7480">
        <w:rPr>
          <w:sz w:val="22"/>
        </w:rPr>
        <w:t xml:space="preserve">po </w:t>
      </w:r>
      <w:proofErr w:type="spellStart"/>
      <w:r w:rsidR="007D7480" w:rsidRPr="007D7480">
        <w:rPr>
          <w:sz w:val="22"/>
        </w:rPr>
        <w:t>apixabáne</w:t>
      </w:r>
      <w:proofErr w:type="spellEnd"/>
      <w:r w:rsidR="007D7480" w:rsidRPr="007D7480">
        <w:rPr>
          <w:sz w:val="22"/>
        </w:rPr>
        <w:t>, a na 4,9 hodiny, keď bolo podané po 6 hodinách.</w:t>
      </w:r>
      <w:r w:rsidR="00A43B7C">
        <w:rPr>
          <w:sz w:val="22"/>
        </w:rPr>
        <w:t xml:space="preserve"> </w:t>
      </w:r>
      <w:r>
        <w:rPr>
          <w:sz w:val="22"/>
        </w:rPr>
        <w:t xml:space="preserve">Podávanie aktívneho uhlia môže byť teda užitočné pri zvládaní predávkovania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alebo náhodn</w:t>
      </w:r>
      <w:r w:rsidR="00CA08B9">
        <w:rPr>
          <w:sz w:val="22"/>
        </w:rPr>
        <w:t>om</w:t>
      </w:r>
      <w:r>
        <w:rPr>
          <w:sz w:val="22"/>
        </w:rPr>
        <w:t xml:space="preserve"> požit</w:t>
      </w:r>
      <w:r w:rsidR="00CA08B9">
        <w:rPr>
          <w:sz w:val="22"/>
        </w:rPr>
        <w:t>í</w:t>
      </w:r>
      <w:r>
        <w:rPr>
          <w:sz w:val="22"/>
        </w:rPr>
        <w:t xml:space="preserve">. </w:t>
      </w:r>
    </w:p>
    <w:p w14:paraId="51FB4F6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121C9E8" w14:textId="1A72E66E" w:rsidR="00B07789" w:rsidRDefault="00975B5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situáciách, keď je kvôli život ohrozujúcemu alebo nekontrolovanému krvácaniu potrebné zvrátenie </w:t>
      </w:r>
      <w:proofErr w:type="spellStart"/>
      <w:r>
        <w:rPr>
          <w:sz w:val="22"/>
        </w:rPr>
        <w:t>antikoagulácie</w:t>
      </w:r>
      <w:proofErr w:type="spellEnd"/>
      <w:r>
        <w:rPr>
          <w:sz w:val="22"/>
        </w:rPr>
        <w:t xml:space="preserve">, je k dispozícii </w:t>
      </w:r>
      <w:r w:rsidR="00CA08B9">
        <w:rPr>
          <w:sz w:val="22"/>
        </w:rPr>
        <w:t>liečivo</w:t>
      </w:r>
      <w:r>
        <w:rPr>
          <w:sz w:val="22"/>
        </w:rPr>
        <w:t xml:space="preserve"> na zvrátenie účinku inhibítorov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(pozri časť 4.4) Možno zvážiť aj podanie koncentrátov </w:t>
      </w:r>
      <w:proofErr w:type="spellStart"/>
      <w:r>
        <w:rPr>
          <w:sz w:val="22"/>
        </w:rPr>
        <w:t>protrombínového</w:t>
      </w:r>
      <w:proofErr w:type="spellEnd"/>
      <w:r>
        <w:rPr>
          <w:sz w:val="22"/>
        </w:rPr>
        <w:t xml:space="preserve"> komplexu (</w:t>
      </w:r>
      <w:proofErr w:type="spellStart"/>
      <w:r>
        <w:rPr>
          <w:sz w:val="22"/>
        </w:rPr>
        <w:t>prothrombin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complex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concentrates</w:t>
      </w:r>
      <w:proofErr w:type="spellEnd"/>
      <w:r>
        <w:rPr>
          <w:sz w:val="22"/>
        </w:rPr>
        <w:t xml:space="preserve">, PCC) alebo </w:t>
      </w:r>
      <w:proofErr w:type="spellStart"/>
      <w:r>
        <w:rPr>
          <w:sz w:val="22"/>
        </w:rPr>
        <w:t>rekombinantného</w:t>
      </w:r>
      <w:proofErr w:type="spellEnd"/>
      <w:r>
        <w:rPr>
          <w:sz w:val="22"/>
        </w:rPr>
        <w:t xml:space="preserve"> faktora </w:t>
      </w:r>
      <w:proofErr w:type="spellStart"/>
      <w:r>
        <w:rPr>
          <w:sz w:val="22"/>
        </w:rPr>
        <w:t>VIIa</w:t>
      </w:r>
      <w:proofErr w:type="spellEnd"/>
      <w:r>
        <w:rPr>
          <w:sz w:val="22"/>
        </w:rPr>
        <w:t xml:space="preserve">. Zrušenie </w:t>
      </w:r>
      <w:proofErr w:type="spellStart"/>
      <w:r>
        <w:rPr>
          <w:sz w:val="22"/>
        </w:rPr>
        <w:t>farmakodynamických</w:t>
      </w:r>
      <w:proofErr w:type="spellEnd"/>
      <w:r>
        <w:rPr>
          <w:sz w:val="22"/>
        </w:rPr>
        <w:t xml:space="preserve"> účinkov </w:t>
      </w:r>
      <w:proofErr w:type="spellStart"/>
      <w:r w:rsidR="00CA08B9">
        <w:rPr>
          <w:sz w:val="22"/>
        </w:rPr>
        <w:t>Polapixu</w:t>
      </w:r>
      <w:proofErr w:type="spellEnd"/>
      <w:r>
        <w:rPr>
          <w:sz w:val="22"/>
        </w:rPr>
        <w:t xml:space="preserve"> preukázané zmenami v teste na tvorbu </w:t>
      </w:r>
      <w:proofErr w:type="spellStart"/>
      <w:r>
        <w:rPr>
          <w:sz w:val="22"/>
        </w:rPr>
        <w:t>trombínu</w:t>
      </w:r>
      <w:proofErr w:type="spellEnd"/>
      <w:r>
        <w:rPr>
          <w:sz w:val="22"/>
        </w:rPr>
        <w:t xml:space="preserve"> bolo zrejmé na konci infúzie a začiatočné hodnoty boli dosiahnuté v priebehu 4 hodín po začatí 30 minú</w:t>
      </w:r>
      <w:r w:rsidR="00E8372B">
        <w:rPr>
          <w:sz w:val="22"/>
        </w:rPr>
        <w:t>tovej infúzie 4</w:t>
      </w:r>
      <w:r w:rsidR="00E8372B">
        <w:rPr>
          <w:sz w:val="22"/>
        </w:rPr>
        <w:noBreakHyphen/>
        <w:t xml:space="preserve">faktorového PCC u zdravých </w:t>
      </w:r>
      <w:r w:rsidR="00CA08B9">
        <w:rPr>
          <w:sz w:val="22"/>
        </w:rPr>
        <w:t>osôb</w:t>
      </w:r>
      <w:r w:rsidR="00E8372B">
        <w:rPr>
          <w:sz w:val="22"/>
        </w:rPr>
        <w:t>.</w:t>
      </w:r>
    </w:p>
    <w:p w14:paraId="784B988D" w14:textId="76727645" w:rsidR="00B07789" w:rsidRPr="00A731E1" w:rsidRDefault="00D25089" w:rsidP="00A43B7C">
      <w:pPr>
        <w:spacing w:after="0" w:line="240" w:lineRule="auto"/>
        <w:rPr>
          <w:sz w:val="22"/>
        </w:rPr>
      </w:pPr>
      <w:r>
        <w:rPr>
          <w:sz w:val="22"/>
        </w:rPr>
        <w:t>Nie sú však žiadne klinické skúsenosti s použitím 4</w:t>
      </w:r>
      <w:r>
        <w:rPr>
          <w:sz w:val="22"/>
        </w:rPr>
        <w:noBreakHyphen/>
        <w:t xml:space="preserve">faktorových PCC na zastavenie krvácania u </w:t>
      </w:r>
      <w:r w:rsidR="00CA08B9">
        <w:rPr>
          <w:sz w:val="22"/>
        </w:rPr>
        <w:t>osôb</w:t>
      </w:r>
      <w:r>
        <w:rPr>
          <w:sz w:val="22"/>
        </w:rPr>
        <w:t>, ktor</w:t>
      </w:r>
      <w:r w:rsidR="00CA08B9">
        <w:rPr>
          <w:sz w:val="22"/>
        </w:rPr>
        <w:t>é</w:t>
      </w:r>
      <w:r>
        <w:rPr>
          <w:sz w:val="22"/>
        </w:rPr>
        <w:t xml:space="preserve"> dostali </w:t>
      </w:r>
      <w:proofErr w:type="spellStart"/>
      <w:r w:rsidR="00CA08B9">
        <w:rPr>
          <w:sz w:val="22"/>
        </w:rPr>
        <w:t>Polapix</w:t>
      </w:r>
      <w:proofErr w:type="spellEnd"/>
      <w:r>
        <w:rPr>
          <w:sz w:val="22"/>
        </w:rPr>
        <w:t xml:space="preserve">]. V súčasnosti nie sú žiadne skúsenosti s použitím </w:t>
      </w:r>
      <w:proofErr w:type="spellStart"/>
      <w:r>
        <w:rPr>
          <w:sz w:val="22"/>
        </w:rPr>
        <w:t>rekombinantného</w:t>
      </w:r>
      <w:proofErr w:type="spellEnd"/>
      <w:r>
        <w:rPr>
          <w:sz w:val="22"/>
        </w:rPr>
        <w:t xml:space="preserve"> faktora </w:t>
      </w:r>
      <w:proofErr w:type="spellStart"/>
      <w:r>
        <w:rPr>
          <w:sz w:val="22"/>
        </w:rPr>
        <w:t>VIIa</w:t>
      </w:r>
      <w:proofErr w:type="spellEnd"/>
      <w:r>
        <w:rPr>
          <w:sz w:val="22"/>
        </w:rPr>
        <w:t xml:space="preserve"> u </w:t>
      </w:r>
      <w:r w:rsidR="00CA08B9">
        <w:rPr>
          <w:sz w:val="22"/>
        </w:rPr>
        <w:t>osôb</w:t>
      </w:r>
      <w:r>
        <w:rPr>
          <w:sz w:val="22"/>
        </w:rPr>
        <w:t xml:space="preserve"> užívajúcich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. Môže sa zvážiť opätovné dávkovanie </w:t>
      </w:r>
      <w:proofErr w:type="spellStart"/>
      <w:r>
        <w:rPr>
          <w:sz w:val="22"/>
        </w:rPr>
        <w:t>rekombinantného</w:t>
      </w:r>
      <w:proofErr w:type="spellEnd"/>
      <w:r>
        <w:rPr>
          <w:sz w:val="22"/>
        </w:rPr>
        <w:t xml:space="preserve"> faktora </w:t>
      </w:r>
      <w:proofErr w:type="spellStart"/>
      <w:r>
        <w:rPr>
          <w:sz w:val="22"/>
        </w:rPr>
        <w:t>VIIa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titrovať</w:t>
      </w:r>
      <w:proofErr w:type="spellEnd"/>
      <w:r>
        <w:rPr>
          <w:sz w:val="22"/>
        </w:rPr>
        <w:t xml:space="preserve"> ho v závislosti od zlepšenia krvácania. </w:t>
      </w:r>
    </w:p>
    <w:p w14:paraId="0728602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2FE30B5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závislosti od lokálnej dostupnosti sa v prípade rozsiahleho krvácania môže zvážiť konzultácia experta na koaguláciu. </w:t>
      </w:r>
    </w:p>
    <w:p w14:paraId="5C9F567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7C5BEDE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 xml:space="preserve">Hemodialýza znížila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 14 % u pacientov s terminálnym štádiom ochorenia obličiek (ESRD), keď sa podávala jednorazová dávka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5 mg perorálne. Preto je nepravdepodobné, že by hemodialýza bola účinným prostriedkom pri liečbe predávkovania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. </w:t>
      </w:r>
    </w:p>
    <w:p w14:paraId="2838331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F0D27DE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6BF24B4" w14:textId="77777777" w:rsidR="00B07789" w:rsidRPr="00A731E1" w:rsidRDefault="00D25089" w:rsidP="00144850">
      <w:pPr>
        <w:pStyle w:val="Nadpis1"/>
        <w:tabs>
          <w:tab w:val="center" w:pos="2379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5. </w:t>
      </w:r>
      <w:r>
        <w:rPr>
          <w:sz w:val="22"/>
        </w:rPr>
        <w:tab/>
        <w:t>FARMAKOLOGICKÉ VLASTNOSTI</w:t>
      </w:r>
      <w:r>
        <w:rPr>
          <w:b w:val="0"/>
          <w:sz w:val="22"/>
        </w:rPr>
        <w:t xml:space="preserve"> </w:t>
      </w:r>
    </w:p>
    <w:p w14:paraId="6DEFB194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F7C70B5" w14:textId="77777777" w:rsidR="00B07789" w:rsidRPr="00A731E1" w:rsidRDefault="00D25089" w:rsidP="00144850">
      <w:pPr>
        <w:tabs>
          <w:tab w:val="center" w:pos="1895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5.1</w:t>
      </w:r>
      <w:r>
        <w:rPr>
          <w:b/>
          <w:sz w:val="22"/>
        </w:rPr>
        <w:tab/>
        <w:t xml:space="preserve">Farmakodynamické vlastnosti </w:t>
      </w:r>
    </w:p>
    <w:p w14:paraId="03FC7FA3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8B94651" w14:textId="77777777" w:rsidR="00B07789" w:rsidRPr="00A731E1" w:rsidRDefault="00D25089" w:rsidP="00144850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Farmakoterapeutická</w:t>
      </w:r>
      <w:proofErr w:type="spellEnd"/>
      <w:r>
        <w:rPr>
          <w:sz w:val="22"/>
        </w:rPr>
        <w:t xml:space="preserve"> skupina: </w:t>
      </w:r>
      <w:proofErr w:type="spellStart"/>
      <w:r>
        <w:rPr>
          <w:sz w:val="22"/>
        </w:rPr>
        <w:t>antitrombotiká</w:t>
      </w:r>
      <w:proofErr w:type="spellEnd"/>
      <w:r>
        <w:rPr>
          <w:sz w:val="22"/>
        </w:rPr>
        <w:t xml:space="preserve">, priame inhibítory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, ATC kód: B01AF02 </w:t>
      </w:r>
    </w:p>
    <w:p w14:paraId="46CB4A7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FF3DA04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Mechanizmus účinku</w:t>
      </w:r>
      <w:r>
        <w:rPr>
          <w:sz w:val="22"/>
          <w:u w:val="none"/>
        </w:rPr>
        <w:t xml:space="preserve"> </w:t>
      </w:r>
    </w:p>
    <w:p w14:paraId="48FFCD27" w14:textId="7BFB141E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je silný, perorálny, reverzibilný, priamy a vysoko selektívny inhibítor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. Na svoju </w:t>
      </w:r>
      <w:proofErr w:type="spellStart"/>
      <w:r>
        <w:rPr>
          <w:sz w:val="22"/>
        </w:rPr>
        <w:t>antitrombotickú</w:t>
      </w:r>
      <w:proofErr w:type="spellEnd"/>
      <w:r>
        <w:rPr>
          <w:sz w:val="22"/>
        </w:rPr>
        <w:t xml:space="preserve"> aktivitu si nevyžaduje </w:t>
      </w:r>
      <w:proofErr w:type="spellStart"/>
      <w:r>
        <w:rPr>
          <w:sz w:val="22"/>
        </w:rPr>
        <w:t>antitrombín</w:t>
      </w:r>
      <w:proofErr w:type="spellEnd"/>
      <w:r>
        <w:rPr>
          <w:sz w:val="22"/>
        </w:rPr>
        <w:t xml:space="preserve"> III.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inhibuje</w:t>
      </w:r>
      <w:proofErr w:type="spellEnd"/>
      <w:r>
        <w:rPr>
          <w:sz w:val="22"/>
        </w:rPr>
        <w:t xml:space="preserve"> voľný a na krvnú zrazeninu viazaný faktor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a aktivitu </w:t>
      </w:r>
      <w:proofErr w:type="spellStart"/>
      <w:r>
        <w:rPr>
          <w:sz w:val="22"/>
        </w:rPr>
        <w:t>protrombinázy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nemá žiadne priame účinky na </w:t>
      </w:r>
      <w:proofErr w:type="spellStart"/>
      <w:r>
        <w:rPr>
          <w:sz w:val="22"/>
        </w:rPr>
        <w:t>agregáciu</w:t>
      </w:r>
      <w:proofErr w:type="spellEnd"/>
      <w:r>
        <w:rPr>
          <w:sz w:val="22"/>
        </w:rPr>
        <w:t xml:space="preserve"> krvných doštičiek, ale nepriamo </w:t>
      </w:r>
      <w:proofErr w:type="spellStart"/>
      <w:r>
        <w:rPr>
          <w:sz w:val="22"/>
        </w:rPr>
        <w:t>inhibuje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agregáciu</w:t>
      </w:r>
      <w:proofErr w:type="spellEnd"/>
      <w:r>
        <w:rPr>
          <w:sz w:val="22"/>
        </w:rPr>
        <w:t xml:space="preserve"> krvných doštičiek vyvolanú </w:t>
      </w:r>
      <w:proofErr w:type="spellStart"/>
      <w:r>
        <w:rPr>
          <w:sz w:val="22"/>
        </w:rPr>
        <w:t>trombínom</w:t>
      </w:r>
      <w:proofErr w:type="spellEnd"/>
      <w:r>
        <w:rPr>
          <w:sz w:val="22"/>
        </w:rPr>
        <w:t xml:space="preserve">. Inhibíciou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zabraňuje tvorbe </w:t>
      </w:r>
      <w:proofErr w:type="spellStart"/>
      <w:r>
        <w:rPr>
          <w:sz w:val="22"/>
        </w:rPr>
        <w:t>trombínu</w:t>
      </w:r>
      <w:proofErr w:type="spellEnd"/>
      <w:r>
        <w:rPr>
          <w:sz w:val="22"/>
        </w:rPr>
        <w:t xml:space="preserve"> a vzniku trombu. Predklinické štúdie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na zviera</w:t>
      </w:r>
      <w:r w:rsidR="007F17B0">
        <w:rPr>
          <w:sz w:val="22"/>
        </w:rPr>
        <w:t>cích modeloch</w:t>
      </w:r>
      <w:r>
        <w:rPr>
          <w:sz w:val="22"/>
        </w:rPr>
        <w:t xml:space="preserve"> preukázali </w:t>
      </w:r>
      <w:proofErr w:type="spellStart"/>
      <w:r>
        <w:rPr>
          <w:sz w:val="22"/>
        </w:rPr>
        <w:t>antitrombotický</w:t>
      </w:r>
      <w:proofErr w:type="spellEnd"/>
      <w:r>
        <w:rPr>
          <w:sz w:val="22"/>
        </w:rPr>
        <w:t xml:space="preserve"> účinok v prevencii </w:t>
      </w:r>
      <w:r w:rsidR="007F17B0">
        <w:rPr>
          <w:sz w:val="22"/>
        </w:rPr>
        <w:t>artériovej</w:t>
      </w:r>
      <w:r>
        <w:rPr>
          <w:sz w:val="22"/>
        </w:rPr>
        <w:t xml:space="preserve"> a </w:t>
      </w:r>
      <w:proofErr w:type="spellStart"/>
      <w:r>
        <w:rPr>
          <w:sz w:val="22"/>
        </w:rPr>
        <w:t>venóznej</w:t>
      </w:r>
      <w:proofErr w:type="spellEnd"/>
      <w:r>
        <w:rPr>
          <w:sz w:val="22"/>
        </w:rPr>
        <w:t xml:space="preserve"> trombózy v dávkach, ktoré zachovávajú </w:t>
      </w:r>
      <w:proofErr w:type="spellStart"/>
      <w:r>
        <w:rPr>
          <w:sz w:val="22"/>
        </w:rPr>
        <w:t>hemostázu</w:t>
      </w:r>
      <w:proofErr w:type="spellEnd"/>
      <w:r>
        <w:rPr>
          <w:sz w:val="22"/>
        </w:rPr>
        <w:t xml:space="preserve">. </w:t>
      </w:r>
    </w:p>
    <w:p w14:paraId="186E3B3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7E1A176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Farmakodynamické účinky</w:t>
      </w:r>
      <w:r>
        <w:rPr>
          <w:sz w:val="22"/>
          <w:u w:val="none"/>
        </w:rPr>
        <w:t xml:space="preserve"> </w:t>
      </w:r>
    </w:p>
    <w:p w14:paraId="05FC23D5" w14:textId="2E316680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Farmakodynamické účinky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reflektujú mechanizmus účinku (inhibícia </w:t>
      </w:r>
      <w:proofErr w:type="spellStart"/>
      <w:r>
        <w:rPr>
          <w:sz w:val="22"/>
        </w:rPr>
        <w:t>FXa</w:t>
      </w:r>
      <w:proofErr w:type="spellEnd"/>
      <w:r>
        <w:rPr>
          <w:sz w:val="22"/>
        </w:rPr>
        <w:t xml:space="preserve">). V dôsledku inhibície </w:t>
      </w:r>
      <w:proofErr w:type="spellStart"/>
      <w:r>
        <w:rPr>
          <w:sz w:val="22"/>
        </w:rPr>
        <w:t>FXa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predlžuje testy zrážavosti, ako </w:t>
      </w:r>
      <w:proofErr w:type="spellStart"/>
      <w:r>
        <w:rPr>
          <w:sz w:val="22"/>
        </w:rPr>
        <w:t>protrombínový</w:t>
      </w:r>
      <w:proofErr w:type="spellEnd"/>
      <w:r>
        <w:rPr>
          <w:sz w:val="22"/>
        </w:rPr>
        <w:t xml:space="preserve"> čas (PT), INR a aktivovaný parciálny </w:t>
      </w:r>
      <w:proofErr w:type="spellStart"/>
      <w:r>
        <w:rPr>
          <w:sz w:val="22"/>
        </w:rPr>
        <w:t>tromboplastínový</w:t>
      </w:r>
      <w:proofErr w:type="spellEnd"/>
      <w:r>
        <w:rPr>
          <w:sz w:val="22"/>
        </w:rPr>
        <w:t xml:space="preserve"> čas (</w:t>
      </w:r>
      <w:proofErr w:type="spellStart"/>
      <w:r>
        <w:rPr>
          <w:sz w:val="22"/>
        </w:rPr>
        <w:t>aPTT</w:t>
      </w:r>
      <w:proofErr w:type="spellEnd"/>
      <w:r>
        <w:rPr>
          <w:sz w:val="22"/>
        </w:rPr>
        <w:t xml:space="preserve">). Zmeny pozorované v týchto testoch zrážavosti v očakávaných terapeutických dávkach sú malé a podliehajú vysokému stupňu variability. Neodporúčajú sa na hodnotenie </w:t>
      </w:r>
      <w:proofErr w:type="spellStart"/>
      <w:r>
        <w:rPr>
          <w:sz w:val="22"/>
        </w:rPr>
        <w:t>farmakodynamických</w:t>
      </w:r>
      <w:proofErr w:type="spellEnd"/>
      <w:r>
        <w:rPr>
          <w:sz w:val="22"/>
        </w:rPr>
        <w:t xml:space="preserve"> účinkov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V teste </w:t>
      </w:r>
      <w:r w:rsidRPr="00FF0224">
        <w:rPr>
          <w:sz w:val="22"/>
        </w:rPr>
        <w:t xml:space="preserve"> tvorb</w:t>
      </w:r>
      <w:r w:rsidR="007F17B0" w:rsidRPr="00FF0224">
        <w:rPr>
          <w:sz w:val="22"/>
        </w:rPr>
        <w:t>y</w:t>
      </w:r>
      <w:r>
        <w:rPr>
          <w:sz w:val="22"/>
        </w:rPr>
        <w:t xml:space="preserve"> </w:t>
      </w:r>
      <w:proofErr w:type="spellStart"/>
      <w:r>
        <w:rPr>
          <w:sz w:val="22"/>
        </w:rPr>
        <w:t>trombínu</w:t>
      </w:r>
      <w:proofErr w:type="spellEnd"/>
      <w:r>
        <w:rPr>
          <w:sz w:val="22"/>
        </w:rPr>
        <w:t xml:space="preserve"> znížil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</w:t>
      </w:r>
      <w:r w:rsidRPr="00FF0224">
        <w:rPr>
          <w:sz w:val="22"/>
        </w:rPr>
        <w:t>endogénn</w:t>
      </w:r>
      <w:r w:rsidR="00FF0224" w:rsidRPr="00EE68B4">
        <w:rPr>
          <w:sz w:val="22"/>
        </w:rPr>
        <w:t>y</w:t>
      </w:r>
      <w:r w:rsidRPr="00FF0224">
        <w:rPr>
          <w:sz w:val="22"/>
        </w:rPr>
        <w:t xml:space="preserve"> </w:t>
      </w:r>
      <w:proofErr w:type="spellStart"/>
      <w:r w:rsidRPr="00FF0224">
        <w:rPr>
          <w:sz w:val="22"/>
        </w:rPr>
        <w:t>trombín</w:t>
      </w:r>
      <w:r w:rsidR="00FF0224" w:rsidRPr="00EE68B4">
        <w:rPr>
          <w:sz w:val="22"/>
        </w:rPr>
        <w:t>ový</w:t>
      </w:r>
      <w:proofErr w:type="spellEnd"/>
      <w:r w:rsidR="00FF0224" w:rsidRPr="00EE68B4">
        <w:rPr>
          <w:sz w:val="22"/>
        </w:rPr>
        <w:t xml:space="preserve"> </w:t>
      </w:r>
      <w:r>
        <w:rPr>
          <w:sz w:val="22"/>
        </w:rPr>
        <w:t>potenciál</w:t>
      </w:r>
      <w:r w:rsidRPr="00FF0224">
        <w:rPr>
          <w:sz w:val="22"/>
        </w:rPr>
        <w:t>,</w:t>
      </w:r>
      <w:r w:rsidR="00FF0224" w:rsidRPr="00EE68B4">
        <w:rPr>
          <w:sz w:val="22"/>
        </w:rPr>
        <w:t xml:space="preserve"> ktorý je</w:t>
      </w:r>
      <w:r w:rsidRPr="00FF0224">
        <w:rPr>
          <w:sz w:val="22"/>
        </w:rPr>
        <w:t xml:space="preserve"> mier</w:t>
      </w:r>
      <w:r w:rsidR="00FF0224" w:rsidRPr="00EE68B4">
        <w:rPr>
          <w:sz w:val="22"/>
        </w:rPr>
        <w:t>ou</w:t>
      </w:r>
      <w:r>
        <w:rPr>
          <w:sz w:val="22"/>
        </w:rPr>
        <w:t xml:space="preserve"> tvorby </w:t>
      </w:r>
      <w:proofErr w:type="spellStart"/>
      <w:r>
        <w:rPr>
          <w:sz w:val="22"/>
        </w:rPr>
        <w:t>trombínu</w:t>
      </w:r>
      <w:proofErr w:type="spellEnd"/>
      <w:r>
        <w:rPr>
          <w:sz w:val="22"/>
        </w:rPr>
        <w:t xml:space="preserve"> v ľudskej plazme. </w:t>
      </w:r>
    </w:p>
    <w:p w14:paraId="34F74E7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E88F109" w14:textId="0E8AFBF2" w:rsidR="00B07789" w:rsidRPr="00A731E1" w:rsidRDefault="00D25089" w:rsidP="00E8372B">
      <w:pPr>
        <w:spacing w:after="0" w:line="240" w:lineRule="auto"/>
        <w:ind w:left="0" w:right="-235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vykazuje aj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aktivitu, čo je zrejmé zo zníženia enzýmovej aktivity faktora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v mnohých komerčných </w:t>
      </w:r>
      <w:proofErr w:type="spellStart"/>
      <w:r w:rsidR="00E267FD">
        <w:rPr>
          <w:sz w:val="22"/>
        </w:rPr>
        <w:t>kitoch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, avšak výsledky medzi jednotlivými </w:t>
      </w:r>
      <w:proofErr w:type="spellStart"/>
      <w:r w:rsidR="00E267FD">
        <w:rPr>
          <w:sz w:val="22"/>
        </w:rPr>
        <w:t>kitmi</w:t>
      </w:r>
      <w:proofErr w:type="spellEnd"/>
      <w:r>
        <w:rPr>
          <w:sz w:val="22"/>
        </w:rPr>
        <w:t xml:space="preserve"> sa líšia. Údaje z klinických štúdií sú dostupné len </w:t>
      </w:r>
      <w:r w:rsidR="00FF0224">
        <w:rPr>
          <w:sz w:val="22"/>
        </w:rPr>
        <w:t xml:space="preserve">pre </w:t>
      </w:r>
      <w:proofErr w:type="spellStart"/>
      <w:r w:rsidR="00FF0224" w:rsidRPr="00FF0224">
        <w:rPr>
          <w:sz w:val="22"/>
        </w:rPr>
        <w:t>heparínovú</w:t>
      </w:r>
      <w:proofErr w:type="spellEnd"/>
      <w:r w:rsidRPr="00FF0224">
        <w:rPr>
          <w:sz w:val="22"/>
        </w:rPr>
        <w:t xml:space="preserve"> </w:t>
      </w:r>
      <w:proofErr w:type="spellStart"/>
      <w:r w:rsidRPr="00FF0224">
        <w:rPr>
          <w:sz w:val="22"/>
        </w:rPr>
        <w:t>chromogénn</w:t>
      </w:r>
      <w:r w:rsidR="00FF0224" w:rsidRPr="00EE68B4">
        <w:rPr>
          <w:sz w:val="22"/>
        </w:rPr>
        <w:t>u</w:t>
      </w:r>
      <w:proofErr w:type="spellEnd"/>
      <w:r w:rsidR="00FF0224" w:rsidRPr="00EE68B4">
        <w:rPr>
          <w:sz w:val="22"/>
        </w:rPr>
        <w:t xml:space="preserve"> analýzu</w:t>
      </w:r>
      <w:r>
        <w:rPr>
          <w:sz w:val="22"/>
        </w:rPr>
        <w:t xml:space="preserve"> </w:t>
      </w:r>
      <w:proofErr w:type="spellStart"/>
      <w:r>
        <w:rPr>
          <w:sz w:val="22"/>
        </w:rPr>
        <w:t>Rotachrom</w:t>
      </w:r>
      <w:proofErr w:type="spellEnd"/>
      <w:r>
        <w:rPr>
          <w:sz w:val="22"/>
        </w:rPr>
        <w:t xml:space="preserve">® </w:t>
      </w:r>
      <w:proofErr w:type="spellStart"/>
      <w:r>
        <w:rPr>
          <w:sz w:val="22"/>
        </w:rPr>
        <w:t>Heparin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aktivita </w:t>
      </w:r>
      <w:r w:rsidR="00FF0224">
        <w:rPr>
          <w:sz w:val="22"/>
        </w:rPr>
        <w:t>je priamo lineárne závislá</w:t>
      </w:r>
      <w:r>
        <w:rPr>
          <w:sz w:val="22"/>
        </w:rPr>
        <w:t xml:space="preserve"> </w:t>
      </w:r>
      <w:r w:rsidR="00FF0224">
        <w:rPr>
          <w:sz w:val="22"/>
        </w:rPr>
        <w:t>od</w:t>
      </w:r>
      <w:r>
        <w:rPr>
          <w:sz w:val="22"/>
        </w:rPr>
        <w:t xml:space="preserve"> plazmatick</w:t>
      </w:r>
      <w:r w:rsidR="00FF0224">
        <w:rPr>
          <w:sz w:val="22"/>
        </w:rPr>
        <w:t>ej</w:t>
      </w:r>
      <w:r>
        <w:rPr>
          <w:sz w:val="22"/>
        </w:rPr>
        <w:t xml:space="preserve"> koncentráci</w:t>
      </w:r>
      <w:r w:rsidR="00FF0224">
        <w:rPr>
          <w:sz w:val="22"/>
        </w:rPr>
        <w:t>e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 w:rsidR="00FF0224">
        <w:rPr>
          <w:sz w:val="22"/>
        </w:rPr>
        <w:t xml:space="preserve"> a dosahuje</w:t>
      </w:r>
      <w:r>
        <w:rPr>
          <w:sz w:val="22"/>
        </w:rPr>
        <w:t xml:space="preserve"> </w:t>
      </w:r>
      <w:r w:rsidRPr="00FF0224">
        <w:rPr>
          <w:sz w:val="22"/>
        </w:rPr>
        <w:t>maximáln</w:t>
      </w:r>
      <w:r w:rsidR="00FF0224" w:rsidRPr="00FF0224">
        <w:rPr>
          <w:sz w:val="22"/>
        </w:rPr>
        <w:t>e</w:t>
      </w:r>
      <w:r w:rsidRPr="00FF0224">
        <w:rPr>
          <w:sz w:val="22"/>
        </w:rPr>
        <w:t xml:space="preserve"> hodnot</w:t>
      </w:r>
      <w:r w:rsidR="00FF0224" w:rsidRPr="00EE68B4">
        <w:rPr>
          <w:sz w:val="22"/>
        </w:rPr>
        <w:t>y</w:t>
      </w:r>
      <w:r>
        <w:rPr>
          <w:sz w:val="22"/>
        </w:rPr>
        <w:t xml:space="preserve"> v čase maximálnych </w:t>
      </w:r>
      <w:r w:rsidR="00E267FD" w:rsidRPr="00FF0224">
        <w:rPr>
          <w:sz w:val="22"/>
        </w:rPr>
        <w:t xml:space="preserve">plazmatických </w:t>
      </w:r>
      <w:r>
        <w:rPr>
          <w:sz w:val="22"/>
        </w:rPr>
        <w:t xml:space="preserve">koncentrácií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Vzťah medzi plazmatickými koncentráciami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aktivitou je približne lineárny v širokom rozpätí dáv</w:t>
      </w:r>
      <w:r w:rsidR="00282308">
        <w:rPr>
          <w:sz w:val="22"/>
        </w:rPr>
        <w:t>ok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</w:p>
    <w:p w14:paraId="3693B1A6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B12FCCD" w14:textId="3AAB210B" w:rsidR="00B07789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Tabuľka 3 zobrazuje </w:t>
      </w:r>
      <w:r w:rsidR="0061257F">
        <w:rPr>
          <w:sz w:val="22"/>
        </w:rPr>
        <w:t xml:space="preserve">predpokladanú </w:t>
      </w:r>
      <w:r>
        <w:rPr>
          <w:sz w:val="22"/>
        </w:rPr>
        <w:t>expozíciu v rovnovážnom stave a</w:t>
      </w:r>
      <w:r w:rsidR="0061257F">
        <w:rPr>
          <w:sz w:val="22"/>
        </w:rPr>
        <w:t> aktivitu proti faktoru</w:t>
      </w:r>
      <w:r>
        <w:rPr>
          <w:sz w:val="22"/>
        </w:rPr>
        <w:t xml:space="preserve"> </w:t>
      </w:r>
      <w:proofErr w:type="spellStart"/>
      <w:r>
        <w:rPr>
          <w:sz w:val="22"/>
        </w:rPr>
        <w:t>Xa</w:t>
      </w:r>
      <w:proofErr w:type="spellEnd"/>
      <w:r w:rsidR="007C57B2">
        <w:rPr>
          <w:sz w:val="22"/>
        </w:rPr>
        <w:t xml:space="preserve"> </w:t>
      </w:r>
      <w:r w:rsidR="00531E30">
        <w:rPr>
          <w:sz w:val="22"/>
        </w:rPr>
        <w:t>pre každú indikáciu.</w:t>
      </w:r>
      <w:r>
        <w:rPr>
          <w:sz w:val="22"/>
        </w:rPr>
        <w:t xml:space="preserve"> U pacientov s </w:t>
      </w:r>
      <w:proofErr w:type="spellStart"/>
      <w:r>
        <w:rPr>
          <w:sz w:val="22"/>
        </w:rPr>
        <w:t>nevalvulárnou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predsiení užívajúcich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na prevenciu cievnej mozgovej príhody a systémovej embólie výsledky ukazujú menej ako 1,7</w:t>
      </w:r>
      <w:r>
        <w:rPr>
          <w:sz w:val="22"/>
        </w:rPr>
        <w:noBreakHyphen/>
        <w:t>násobn</w:t>
      </w:r>
      <w:r w:rsidR="00B20E03">
        <w:rPr>
          <w:sz w:val="22"/>
        </w:rPr>
        <w:t>é</w:t>
      </w:r>
      <w:r w:rsidR="00F01ACC">
        <w:rPr>
          <w:sz w:val="22"/>
        </w:rPr>
        <w:t xml:space="preserve"> </w:t>
      </w:r>
      <w:r w:rsidR="00B20E03">
        <w:rPr>
          <w:sz w:val="22"/>
        </w:rPr>
        <w:t>kolísanie</w:t>
      </w:r>
      <w:r>
        <w:rPr>
          <w:sz w:val="22"/>
        </w:rPr>
        <w:t xml:space="preserve"> </w:t>
      </w:r>
      <w:r w:rsidR="00B20E03">
        <w:rPr>
          <w:sz w:val="22"/>
        </w:rPr>
        <w:t>medzi</w:t>
      </w:r>
      <w:r>
        <w:rPr>
          <w:sz w:val="22"/>
        </w:rPr>
        <w:t xml:space="preserve"> maximáln</w:t>
      </w:r>
      <w:r w:rsidR="00B20E03">
        <w:rPr>
          <w:sz w:val="22"/>
        </w:rPr>
        <w:t>ymi</w:t>
      </w:r>
      <w:r>
        <w:rPr>
          <w:sz w:val="22"/>
        </w:rPr>
        <w:t xml:space="preserve"> </w:t>
      </w:r>
      <w:r w:rsidR="00B20E03">
        <w:rPr>
          <w:sz w:val="22"/>
        </w:rPr>
        <w:t>a</w:t>
      </w:r>
      <w:r>
        <w:rPr>
          <w:sz w:val="22"/>
        </w:rPr>
        <w:t xml:space="preserve"> minimáln</w:t>
      </w:r>
      <w:r w:rsidR="00B20E03">
        <w:rPr>
          <w:sz w:val="22"/>
        </w:rPr>
        <w:t>ymi</w:t>
      </w:r>
      <w:r>
        <w:rPr>
          <w:sz w:val="22"/>
        </w:rPr>
        <w:t xml:space="preserve"> </w:t>
      </w:r>
      <w:r w:rsidR="00B20E03">
        <w:rPr>
          <w:sz w:val="22"/>
        </w:rPr>
        <w:t>hodnotami</w:t>
      </w:r>
      <w:r>
        <w:rPr>
          <w:sz w:val="22"/>
        </w:rPr>
        <w:t xml:space="preserve">. U pacientov užívajúcich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na liečbu DVT a PE alebo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 PE výsledky ukazujú menej ako 2,2</w:t>
      </w:r>
      <w:r>
        <w:rPr>
          <w:sz w:val="22"/>
        </w:rPr>
        <w:noBreakHyphen/>
        <w:t>násobn</w:t>
      </w:r>
      <w:r w:rsidR="00B20E03">
        <w:rPr>
          <w:sz w:val="22"/>
        </w:rPr>
        <w:t>é</w:t>
      </w:r>
      <w:r>
        <w:rPr>
          <w:sz w:val="22"/>
        </w:rPr>
        <w:t xml:space="preserve"> </w:t>
      </w:r>
      <w:r w:rsidR="00B20E03">
        <w:rPr>
          <w:sz w:val="22"/>
        </w:rPr>
        <w:t>kolísanie</w:t>
      </w:r>
      <w:r>
        <w:rPr>
          <w:sz w:val="22"/>
        </w:rPr>
        <w:t xml:space="preserve"> </w:t>
      </w:r>
      <w:r w:rsidR="00B20E03">
        <w:rPr>
          <w:sz w:val="22"/>
        </w:rPr>
        <w:t>medzi</w:t>
      </w:r>
      <w:r>
        <w:rPr>
          <w:sz w:val="22"/>
        </w:rPr>
        <w:t xml:space="preserve"> maximáln</w:t>
      </w:r>
      <w:r w:rsidR="00B20E03">
        <w:rPr>
          <w:sz w:val="22"/>
        </w:rPr>
        <w:t>ymi</w:t>
      </w:r>
      <w:r>
        <w:rPr>
          <w:sz w:val="22"/>
        </w:rPr>
        <w:t xml:space="preserve"> </w:t>
      </w:r>
      <w:r w:rsidR="00B20E03">
        <w:rPr>
          <w:sz w:val="22"/>
        </w:rPr>
        <w:t>a</w:t>
      </w:r>
      <w:r>
        <w:rPr>
          <w:sz w:val="22"/>
        </w:rPr>
        <w:t xml:space="preserve"> minimáln</w:t>
      </w:r>
      <w:r w:rsidR="00B20E03">
        <w:rPr>
          <w:sz w:val="22"/>
        </w:rPr>
        <w:t>ymi</w:t>
      </w:r>
      <w:r>
        <w:rPr>
          <w:sz w:val="22"/>
        </w:rPr>
        <w:t xml:space="preserve"> </w:t>
      </w:r>
      <w:r w:rsidR="00B20E03">
        <w:rPr>
          <w:sz w:val="22"/>
        </w:rPr>
        <w:t>hodnotami</w:t>
      </w:r>
      <w:r>
        <w:rPr>
          <w:sz w:val="22"/>
        </w:rPr>
        <w:t xml:space="preserve">. </w:t>
      </w:r>
    </w:p>
    <w:p w14:paraId="027939F7" w14:textId="77777777" w:rsidR="003A14E3" w:rsidRPr="007E6137" w:rsidRDefault="003A14E3" w:rsidP="00833B71">
      <w:pPr>
        <w:spacing w:after="0" w:line="240" w:lineRule="auto"/>
        <w:ind w:left="0"/>
        <w:rPr>
          <w:sz w:val="22"/>
        </w:rPr>
      </w:pPr>
    </w:p>
    <w:p w14:paraId="7FB16502" w14:textId="4BA75939" w:rsidR="003A14E3" w:rsidRPr="00A731E1" w:rsidRDefault="003A14E3" w:rsidP="00833B71">
      <w:pPr>
        <w:keepNext/>
        <w:spacing w:after="0" w:line="240" w:lineRule="auto"/>
        <w:ind w:left="0"/>
        <w:rPr>
          <w:sz w:val="22"/>
        </w:rPr>
      </w:pPr>
      <w:r>
        <w:rPr>
          <w:b/>
          <w:sz w:val="22"/>
        </w:rPr>
        <w:t xml:space="preserve">Tabuľka 3: </w:t>
      </w:r>
      <w:r w:rsidR="00265FFF">
        <w:rPr>
          <w:b/>
          <w:sz w:val="22"/>
        </w:rPr>
        <w:t>Predpokladaná</w:t>
      </w:r>
      <w:r>
        <w:rPr>
          <w:b/>
          <w:sz w:val="22"/>
        </w:rPr>
        <w:t xml:space="preserve"> expozícia </w:t>
      </w:r>
      <w:proofErr w:type="spellStart"/>
      <w:r>
        <w:rPr>
          <w:b/>
          <w:sz w:val="22"/>
        </w:rPr>
        <w:t>apixabánu</w:t>
      </w:r>
      <w:proofErr w:type="spellEnd"/>
      <w:r>
        <w:rPr>
          <w:b/>
          <w:sz w:val="22"/>
        </w:rPr>
        <w:t xml:space="preserve"> v rovnovážnom stave a </w:t>
      </w:r>
      <w:proofErr w:type="spellStart"/>
      <w:r>
        <w:rPr>
          <w:b/>
          <w:sz w:val="22"/>
        </w:rPr>
        <w:t>anti</w:t>
      </w:r>
      <w:proofErr w:type="spellEnd"/>
      <w:r>
        <w:rPr>
          <w:b/>
          <w:sz w:val="22"/>
        </w:rPr>
        <w:noBreakHyphen/>
        <w:t xml:space="preserve"> </w:t>
      </w:r>
      <w:proofErr w:type="spellStart"/>
      <w:r>
        <w:rPr>
          <w:b/>
          <w:sz w:val="22"/>
        </w:rPr>
        <w:t>Xa</w:t>
      </w:r>
      <w:proofErr w:type="spellEnd"/>
      <w:r>
        <w:rPr>
          <w:b/>
          <w:sz w:val="22"/>
        </w:rPr>
        <w:t xml:space="preserve"> aktivita</w:t>
      </w:r>
    </w:p>
    <w:tbl>
      <w:tblPr>
        <w:tblStyle w:val="TableGrid"/>
        <w:tblpPr w:leftFromText="141" w:rightFromText="141" w:vertAnchor="text" w:horzAnchor="margin" w:tblpY="39"/>
        <w:tblW w:w="9494" w:type="dxa"/>
        <w:tblInd w:w="0" w:type="dxa"/>
        <w:tblCellMar>
          <w:top w:w="110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893"/>
        <w:gridCol w:w="1896"/>
        <w:gridCol w:w="1899"/>
        <w:gridCol w:w="1903"/>
        <w:gridCol w:w="1903"/>
      </w:tblGrid>
      <w:tr w:rsidR="00531E30" w:rsidRPr="005261E7" w14:paraId="57A3A8B2" w14:textId="77777777" w:rsidTr="006D26A7">
        <w:trPr>
          <w:trHeight w:val="836"/>
        </w:trPr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1306964" w14:textId="77777777" w:rsidR="00531E30" w:rsidRPr="00A731E1" w:rsidRDefault="00531E30" w:rsidP="006D26A7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bookmarkStart w:id="1" w:name="_Hlk23851061"/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612FAA" w14:textId="77777777" w:rsidR="00B823EA" w:rsidRDefault="00531E30" w:rsidP="006D26A7">
            <w:pPr>
              <w:keepNext/>
              <w:spacing w:after="0" w:line="240" w:lineRule="auto"/>
              <w:ind w:left="0" w:right="-54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>. C</w:t>
            </w:r>
            <w:r>
              <w:rPr>
                <w:b/>
                <w:sz w:val="22"/>
                <w:vertAlign w:val="subscript"/>
              </w:rPr>
              <w:t>max</w:t>
            </w:r>
            <w:r>
              <w:rPr>
                <w:b/>
                <w:sz w:val="22"/>
              </w:rPr>
              <w:t xml:space="preserve"> </w:t>
            </w:r>
          </w:p>
          <w:p w14:paraId="7947F013" w14:textId="156E701E" w:rsidR="00531E30" w:rsidRPr="00A731E1" w:rsidRDefault="00531E30" w:rsidP="006D26A7">
            <w:pPr>
              <w:keepNext/>
              <w:spacing w:after="0" w:line="240" w:lineRule="auto"/>
              <w:ind w:left="0" w:right="-54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ng</w:t>
            </w:r>
            <w:proofErr w:type="spellEnd"/>
            <w:r>
              <w:rPr>
                <w:b/>
                <w:sz w:val="22"/>
              </w:rPr>
              <w:t xml:space="preserve">/ml)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7D2056F" w14:textId="77777777" w:rsidR="00531E30" w:rsidRPr="00A731E1" w:rsidRDefault="00531E30" w:rsidP="006D26A7">
            <w:pPr>
              <w:keepNext/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>
              <w:rPr>
                <w:b/>
                <w:sz w:val="22"/>
              </w:rPr>
              <w:t>C</w:t>
            </w:r>
            <w:r>
              <w:rPr>
                <w:b/>
                <w:sz w:val="22"/>
                <w:vertAlign w:val="subscript"/>
              </w:rPr>
              <w:t>min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ng</w:t>
            </w:r>
            <w:proofErr w:type="spellEnd"/>
            <w:r>
              <w:rPr>
                <w:b/>
                <w:sz w:val="22"/>
              </w:rPr>
              <w:t xml:space="preserve">/ml)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2748F8" w14:textId="7780110C" w:rsidR="00531E30" w:rsidRPr="00A731E1" w:rsidRDefault="00531E30" w:rsidP="006D26A7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 w:rsidR="00B823EA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nti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  <w:p w14:paraId="11271D2D" w14:textId="77777777" w:rsidR="00531E30" w:rsidRPr="00A731E1" w:rsidRDefault="00531E30" w:rsidP="006D26A7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Xa</w:t>
            </w:r>
            <w:proofErr w:type="spellEnd"/>
            <w:r>
              <w:rPr>
                <w:b/>
                <w:sz w:val="22"/>
              </w:rPr>
              <w:t xml:space="preserve"> aktivita, max. </w:t>
            </w:r>
          </w:p>
          <w:p w14:paraId="2496FAFA" w14:textId="77777777" w:rsidR="00531E30" w:rsidRPr="00A731E1" w:rsidRDefault="00531E30" w:rsidP="006D26A7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(IU/ml)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270211" w14:textId="303862D2" w:rsidR="00531E30" w:rsidRPr="00A731E1" w:rsidRDefault="00531E30" w:rsidP="006D26A7">
            <w:pPr>
              <w:keepNext/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r w:rsidR="00B823EA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nti</w:t>
            </w:r>
            <w:proofErr w:type="spellEnd"/>
            <w:r>
              <w:rPr>
                <w:b/>
                <w:sz w:val="22"/>
              </w:rPr>
              <w:t xml:space="preserve">- </w:t>
            </w:r>
          </w:p>
          <w:p w14:paraId="26871753" w14:textId="77777777" w:rsidR="00531E30" w:rsidRPr="00A731E1" w:rsidRDefault="00531E30" w:rsidP="006D26A7">
            <w:pPr>
              <w:keepNext/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Xa</w:t>
            </w:r>
            <w:proofErr w:type="spellEnd"/>
            <w:r>
              <w:rPr>
                <w:b/>
                <w:sz w:val="22"/>
              </w:rPr>
              <w:t xml:space="preserve"> aktivita, min. </w:t>
            </w:r>
          </w:p>
          <w:p w14:paraId="27969A21" w14:textId="77777777" w:rsidR="00531E30" w:rsidRPr="00A731E1" w:rsidRDefault="00531E30" w:rsidP="006D26A7">
            <w:pPr>
              <w:keepNext/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(IU/ml) </w:t>
            </w:r>
          </w:p>
        </w:tc>
      </w:tr>
      <w:tr w:rsidR="00531E30" w:rsidRPr="00A731E1" w14:paraId="3C593790" w14:textId="77777777" w:rsidTr="006D26A7">
        <w:trPr>
          <w:trHeight w:val="360"/>
        </w:trPr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C8BA428" w14:textId="77777777" w:rsidR="00531E30" w:rsidRPr="00A731E1" w:rsidRDefault="00531E30" w:rsidP="006D26A7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9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4257729" w14:textId="0A3D40AD" w:rsidR="00531E30" w:rsidRPr="00A731E1" w:rsidRDefault="00531E30" w:rsidP="00F01ACC">
            <w:pPr>
              <w:keepNext/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>Medián [5., 95. </w:t>
            </w:r>
            <w:proofErr w:type="spellStart"/>
            <w:r>
              <w:rPr>
                <w:sz w:val="22"/>
              </w:rPr>
              <w:t>percentil</w:t>
            </w:r>
            <w:proofErr w:type="spellEnd"/>
            <w:r>
              <w:rPr>
                <w:sz w:val="22"/>
              </w:rPr>
              <w:t>]</w:t>
            </w:r>
          </w:p>
        </w:tc>
      </w:tr>
      <w:tr w:rsidR="00531E30" w:rsidRPr="005261E7" w14:paraId="58CCAEA7" w14:textId="77777777" w:rsidTr="006D26A7">
        <w:trPr>
          <w:trHeight w:val="360"/>
        </w:trPr>
        <w:tc>
          <w:tcPr>
            <w:tcW w:w="1996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B556B8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Prevencia cievnej mozgovej príhody a systémovej embólie: NVAF </w:t>
            </w:r>
          </w:p>
        </w:tc>
      </w:tr>
      <w:tr w:rsidR="00531E30" w:rsidRPr="00A731E1" w14:paraId="3EB4AB99" w14:textId="77777777" w:rsidTr="006D26A7">
        <w:trPr>
          <w:trHeight w:val="342"/>
        </w:trPr>
        <w:tc>
          <w:tcPr>
            <w:tcW w:w="19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552664" w14:textId="77777777" w:rsidR="00531E30" w:rsidRPr="00A731E1" w:rsidRDefault="00531E30" w:rsidP="006D26A7">
            <w:pPr>
              <w:spacing w:after="0" w:line="240" w:lineRule="auto"/>
              <w:ind w:left="0" w:right="-153" w:firstLine="0"/>
              <w:rPr>
                <w:sz w:val="22"/>
              </w:rPr>
            </w:pPr>
            <w:r>
              <w:rPr>
                <w:sz w:val="22"/>
              </w:rPr>
              <w:t>2,5 mg dvakrát denne*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0AEAF7B" w14:textId="77777777" w:rsidR="00531E30" w:rsidRPr="00A731E1" w:rsidRDefault="00531E30" w:rsidP="006D26A7">
            <w:pPr>
              <w:spacing w:after="0" w:line="240" w:lineRule="auto"/>
              <w:ind w:left="1" w:right="-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123 [69, 221]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88EE3C5" w14:textId="77777777" w:rsidR="00531E30" w:rsidRPr="00A731E1" w:rsidRDefault="00531E30" w:rsidP="006D26A7">
            <w:pPr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79 [34; 162]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C4A720" w14:textId="77777777" w:rsidR="00531E30" w:rsidRPr="00A731E1" w:rsidRDefault="00531E30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1,8 [1,0; 3,3]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4C570F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1,2 [0,51; 2,4] </w:t>
            </w:r>
          </w:p>
        </w:tc>
      </w:tr>
      <w:tr w:rsidR="00531E30" w:rsidRPr="00A731E1" w14:paraId="7AFFB18D" w14:textId="77777777" w:rsidTr="006D26A7">
        <w:trPr>
          <w:trHeight w:val="360"/>
        </w:trPr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27DB8F" w14:textId="77777777" w:rsidR="00531E30" w:rsidRPr="00A731E1" w:rsidRDefault="00531E30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5 mg dvakrát denne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1EC1A8" w14:textId="77777777" w:rsidR="00531E30" w:rsidRPr="00A731E1" w:rsidRDefault="00531E30" w:rsidP="006D26A7">
            <w:pPr>
              <w:spacing w:after="0" w:line="240" w:lineRule="auto"/>
              <w:ind w:left="1" w:right="-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171 [91; 321]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F83986" w14:textId="77777777" w:rsidR="00531E30" w:rsidRPr="00A731E1" w:rsidRDefault="00531E30" w:rsidP="006D26A7">
            <w:pPr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103 [41; 230]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C3AE4F" w14:textId="77777777" w:rsidR="00531E30" w:rsidRPr="00A731E1" w:rsidRDefault="00531E30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2,6 [1,4; 4,8] 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02E45E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1,5 [0,61; 3,4] </w:t>
            </w:r>
          </w:p>
        </w:tc>
      </w:tr>
      <w:tr w:rsidR="00531E30" w:rsidRPr="005261E7" w14:paraId="6F70766A" w14:textId="77777777" w:rsidTr="006D26A7">
        <w:trPr>
          <w:trHeight w:val="361"/>
        </w:trPr>
        <w:tc>
          <w:tcPr>
            <w:tcW w:w="1996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E4B7266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rPr>
                <w:sz w:val="22"/>
              </w:rPr>
            </w:pPr>
            <w:r>
              <w:rPr>
                <w:i/>
                <w:sz w:val="22"/>
              </w:rPr>
              <w:t xml:space="preserve">Liečba DVT, liečba PE a prevencia </w:t>
            </w:r>
            <w:proofErr w:type="spellStart"/>
            <w:r>
              <w:rPr>
                <w:i/>
                <w:sz w:val="22"/>
              </w:rPr>
              <w:t>rekurentnej</w:t>
            </w:r>
            <w:proofErr w:type="spellEnd"/>
            <w:r>
              <w:rPr>
                <w:i/>
                <w:sz w:val="22"/>
              </w:rPr>
              <w:t xml:space="preserve"> DVT a PE (</w:t>
            </w:r>
            <w:proofErr w:type="spellStart"/>
            <w:r>
              <w:rPr>
                <w:i/>
                <w:sz w:val="22"/>
              </w:rPr>
              <w:t>VTEt</w:t>
            </w:r>
            <w:proofErr w:type="spellEnd"/>
            <w:r>
              <w:rPr>
                <w:i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</w:tr>
      <w:tr w:rsidR="00531E30" w:rsidRPr="00A731E1" w14:paraId="00373AE3" w14:textId="77777777" w:rsidTr="006D26A7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87BA5A9" w14:textId="77777777" w:rsidR="00531E30" w:rsidRPr="00A731E1" w:rsidRDefault="00531E30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2,5 mg dvakrát denne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8F26A0" w14:textId="77777777" w:rsidR="00531E30" w:rsidRPr="00A731E1" w:rsidRDefault="00531E30" w:rsidP="006D26A7">
            <w:pPr>
              <w:spacing w:after="0" w:line="240" w:lineRule="auto"/>
              <w:ind w:left="0" w:right="-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 [30; 153]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0C9A6FB" w14:textId="77777777" w:rsidR="00531E30" w:rsidRPr="00A731E1" w:rsidRDefault="00531E30" w:rsidP="006D26A7">
            <w:pPr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 [11; 90]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E9BE" w14:textId="77777777" w:rsidR="00531E30" w:rsidRPr="00A731E1" w:rsidRDefault="00531E30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1,0 [0,46; 2,5]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6EC98F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0,49 [0,17; 1,4] </w:t>
            </w:r>
          </w:p>
        </w:tc>
      </w:tr>
      <w:tr w:rsidR="00531E30" w:rsidRPr="00A731E1" w14:paraId="60118622" w14:textId="77777777" w:rsidTr="006D26A7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1DAC8F7" w14:textId="77777777" w:rsidR="00531E30" w:rsidRPr="00A731E1" w:rsidRDefault="00531E30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5 mg dvakrát denne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C95E8" w14:textId="77777777" w:rsidR="00531E30" w:rsidRPr="00A731E1" w:rsidRDefault="00531E30" w:rsidP="006D26A7">
            <w:pPr>
              <w:spacing w:after="0" w:line="240" w:lineRule="auto"/>
              <w:ind w:left="0" w:right="-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132 [59; 302]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EFB5E7" w14:textId="77777777" w:rsidR="00531E30" w:rsidRPr="00A731E1" w:rsidRDefault="00531E30" w:rsidP="006D26A7">
            <w:pPr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63 [22; 177]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9D7" w14:textId="77777777" w:rsidR="00531E30" w:rsidRPr="00A731E1" w:rsidRDefault="00531E30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2,1 [0,91; 5,2]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779EBD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1,0 [0,33; 2,9] </w:t>
            </w:r>
          </w:p>
        </w:tc>
      </w:tr>
      <w:tr w:rsidR="00531E30" w:rsidRPr="00A731E1" w14:paraId="0AF8E74E" w14:textId="77777777" w:rsidTr="006D26A7">
        <w:trPr>
          <w:trHeight w:val="361"/>
        </w:trPr>
        <w:tc>
          <w:tcPr>
            <w:tcW w:w="199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53BF83" w14:textId="77777777" w:rsidR="00531E30" w:rsidRPr="00A731E1" w:rsidRDefault="00531E30" w:rsidP="006D26A7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10 mg dvakrát denne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E6D369" w14:textId="77777777" w:rsidR="00531E30" w:rsidRPr="00A731E1" w:rsidRDefault="00531E30" w:rsidP="006D26A7">
            <w:pPr>
              <w:spacing w:after="0" w:line="240" w:lineRule="auto"/>
              <w:ind w:left="0" w:right="-5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251 [111; 572]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4966A6" w14:textId="77777777" w:rsidR="00531E30" w:rsidRPr="00A731E1" w:rsidRDefault="00531E30" w:rsidP="006D26A7">
            <w:pPr>
              <w:spacing w:after="0" w:line="240" w:lineRule="auto"/>
              <w:ind w:left="0"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120 [41; 335]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963" w14:textId="77777777" w:rsidR="00531E30" w:rsidRPr="00A731E1" w:rsidRDefault="00531E30" w:rsidP="006D26A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4,2 [1,8; 10,8]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5055D1" w14:textId="77777777" w:rsidR="00531E30" w:rsidRPr="00A731E1" w:rsidRDefault="00531E30" w:rsidP="006D26A7">
            <w:pPr>
              <w:spacing w:after="0" w:line="240" w:lineRule="auto"/>
              <w:ind w:left="0" w:right="-3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1,9 [0,64; 5,8] </w:t>
            </w:r>
          </w:p>
        </w:tc>
      </w:tr>
    </w:tbl>
    <w:bookmarkEnd w:id="1"/>
    <w:p w14:paraId="214F013B" w14:textId="439BA82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* Populácia s </w:t>
      </w:r>
      <w:r w:rsidR="00265FFF">
        <w:rPr>
          <w:sz w:val="22"/>
        </w:rPr>
        <w:t>upravenou</w:t>
      </w:r>
      <w:r>
        <w:rPr>
          <w:sz w:val="22"/>
        </w:rPr>
        <w:t xml:space="preserve"> dávkou na</w:t>
      </w:r>
      <w:r w:rsidR="00265FFF">
        <w:rPr>
          <w:sz w:val="22"/>
        </w:rPr>
        <w:t xml:space="preserve"> základe</w:t>
      </w:r>
      <w:r>
        <w:rPr>
          <w:sz w:val="22"/>
        </w:rPr>
        <w:t xml:space="preserve"> 2 z 3 kritérií zníženia dávky v štúdii ARISTOTLE. </w:t>
      </w:r>
    </w:p>
    <w:p w14:paraId="6EEF03A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26B3777" w14:textId="7F26C82B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Hoci liečba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nevyžaduje pravidelné monitorovanie expozície, kalibrovaný kvantitatívny test  </w:t>
      </w:r>
      <w:proofErr w:type="spellStart"/>
      <w:r>
        <w:rPr>
          <w:sz w:val="22"/>
        </w:rPr>
        <w:t>antifaktor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 xml:space="preserve"> môže byť užitočný vo výnimočných situáciách, ke</w:t>
      </w:r>
      <w:r w:rsidR="003C7E3E">
        <w:rPr>
          <w:sz w:val="22"/>
        </w:rPr>
        <w:t>ď</w:t>
      </w:r>
      <w:r>
        <w:rPr>
          <w:sz w:val="22"/>
        </w:rPr>
        <w:t xml:space="preserve"> z</w:t>
      </w:r>
      <w:r w:rsidR="003C7E3E">
        <w:rPr>
          <w:sz w:val="22"/>
        </w:rPr>
        <w:t>istenie</w:t>
      </w:r>
      <w:r>
        <w:rPr>
          <w:sz w:val="22"/>
        </w:rPr>
        <w:t xml:space="preserve"> expozície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môže pomôcť kvalifikovanému klinickému rozhodnutiu (napr. predávkovanie a urgentný chirurgický výkon). </w:t>
      </w:r>
    </w:p>
    <w:p w14:paraId="463BB35C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5E701FA" w14:textId="604B9888" w:rsidR="004E2EDA" w:rsidRPr="000E7AF5" w:rsidRDefault="00D25089" w:rsidP="00D8073F">
      <w:pPr>
        <w:pStyle w:val="Nadpis2"/>
        <w:keepLines w:val="0"/>
        <w:spacing w:after="0" w:line="240" w:lineRule="auto"/>
        <w:ind w:left="0"/>
        <w:rPr>
          <w:sz w:val="22"/>
        </w:rPr>
      </w:pPr>
      <w:r>
        <w:rPr>
          <w:sz w:val="22"/>
        </w:rPr>
        <w:t>Klinická účinnosť a bezpečnosť</w:t>
      </w:r>
      <w:r>
        <w:rPr>
          <w:sz w:val="22"/>
          <w:u w:val="none"/>
        </w:rPr>
        <w:t xml:space="preserve"> </w:t>
      </w:r>
    </w:p>
    <w:p w14:paraId="7002772B" w14:textId="272F3BDF" w:rsidR="00884F62" w:rsidRDefault="00D25089">
      <w:pPr>
        <w:keepNext/>
        <w:spacing w:after="0" w:line="240" w:lineRule="auto"/>
        <w:ind w:left="0" w:hanging="11"/>
        <w:rPr>
          <w:i/>
          <w:sz w:val="22"/>
        </w:rPr>
      </w:pPr>
      <w:r>
        <w:rPr>
          <w:i/>
          <w:sz w:val="22"/>
          <w:u w:val="single" w:color="000000"/>
        </w:rPr>
        <w:t xml:space="preserve">Prevencia </w:t>
      </w:r>
      <w:r w:rsidR="00857692">
        <w:rPr>
          <w:i/>
          <w:sz w:val="22"/>
          <w:u w:val="single" w:color="000000"/>
        </w:rPr>
        <w:t>cievnej</w:t>
      </w:r>
      <w:r>
        <w:rPr>
          <w:i/>
          <w:sz w:val="22"/>
          <w:u w:val="single" w:color="000000"/>
        </w:rPr>
        <w:t xml:space="preserve"> mozgovej príhody a systémovej embólie u pacientov s </w:t>
      </w:r>
      <w:proofErr w:type="spellStart"/>
      <w:r>
        <w:rPr>
          <w:i/>
          <w:sz w:val="22"/>
          <w:u w:val="single" w:color="000000"/>
        </w:rPr>
        <w:t>nevalvulárnou</w:t>
      </w:r>
      <w:proofErr w:type="spellEnd"/>
      <w:r>
        <w:rPr>
          <w:i/>
          <w:sz w:val="22"/>
          <w:u w:val="single" w:color="000000"/>
        </w:rPr>
        <w:t xml:space="preserve"> </w:t>
      </w:r>
      <w:proofErr w:type="spellStart"/>
      <w:r>
        <w:rPr>
          <w:i/>
          <w:sz w:val="22"/>
          <w:u w:val="single" w:color="000000"/>
        </w:rPr>
        <w:t>fibriláciou</w:t>
      </w:r>
      <w:proofErr w:type="spellEnd"/>
      <w:r>
        <w:rPr>
          <w:i/>
          <w:sz w:val="22"/>
          <w:u w:val="single" w:color="000000"/>
        </w:rPr>
        <w:t xml:space="preserve"> predsiení (NVAF)</w:t>
      </w:r>
      <w:r>
        <w:rPr>
          <w:i/>
          <w:sz w:val="22"/>
        </w:rPr>
        <w:t xml:space="preserve"> </w:t>
      </w:r>
    </w:p>
    <w:p w14:paraId="29A29705" w14:textId="4D96CD6C" w:rsidR="00B07789" w:rsidRPr="00A731E1" w:rsidRDefault="00D25089" w:rsidP="00833B71">
      <w:pPr>
        <w:keepNext/>
        <w:spacing w:after="0" w:line="240" w:lineRule="auto"/>
        <w:ind w:left="0" w:hanging="11"/>
        <w:rPr>
          <w:sz w:val="22"/>
        </w:rPr>
      </w:pPr>
      <w:r>
        <w:rPr>
          <w:sz w:val="22"/>
        </w:rPr>
        <w:t xml:space="preserve">Celkovo 23 799 pacientov bolo randomizovaných do klinického programu (ARISTOTLE: porovnanie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, AVERROES: porovnanie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ASA) zahŕňajúceho 11 927 pacientov </w:t>
      </w:r>
      <w:proofErr w:type="spellStart"/>
      <w:r>
        <w:rPr>
          <w:sz w:val="22"/>
        </w:rPr>
        <w:t>randomiovaných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. Program bol navrhnutý na preukázanie účinnosti a bezpečnosti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prevenciu </w:t>
      </w:r>
      <w:r w:rsidR="00857692">
        <w:rPr>
          <w:sz w:val="22"/>
        </w:rPr>
        <w:t xml:space="preserve">cievnej </w:t>
      </w:r>
      <w:r>
        <w:rPr>
          <w:sz w:val="22"/>
        </w:rPr>
        <w:t xml:space="preserve">mozgovej príhody a systémovej embólie u pacientov s </w:t>
      </w:r>
      <w:proofErr w:type="spellStart"/>
      <w:r>
        <w:rPr>
          <w:sz w:val="22"/>
        </w:rPr>
        <w:t>nevalvulárnou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fibriláciou</w:t>
      </w:r>
      <w:proofErr w:type="spellEnd"/>
      <w:r>
        <w:rPr>
          <w:sz w:val="22"/>
        </w:rPr>
        <w:t xml:space="preserve"> predsiení (NVAF) a s jedným alebo viacerými ďalšími rizikovými faktormi, ako: </w:t>
      </w:r>
    </w:p>
    <w:p w14:paraId="5D8871F5" w14:textId="2D538CA4" w:rsidR="00B07789" w:rsidRPr="00A731E1" w:rsidRDefault="00D25089" w:rsidP="002901A4">
      <w:pPr>
        <w:numPr>
          <w:ilvl w:val="0"/>
          <w:numId w:val="9"/>
        </w:numPr>
        <w:spacing w:after="0" w:line="240" w:lineRule="auto"/>
        <w:ind w:hanging="567"/>
        <w:rPr>
          <w:sz w:val="22"/>
        </w:rPr>
      </w:pPr>
      <w:r>
        <w:rPr>
          <w:sz w:val="22"/>
        </w:rPr>
        <w:t xml:space="preserve">predchádzajúca </w:t>
      </w:r>
      <w:r w:rsidR="00857692">
        <w:rPr>
          <w:sz w:val="22"/>
        </w:rPr>
        <w:t xml:space="preserve">cievna </w:t>
      </w:r>
      <w:r>
        <w:rPr>
          <w:sz w:val="22"/>
        </w:rPr>
        <w:t xml:space="preserve">mozgová príhoda alebo prechodný ischemický atak (TIA) </w:t>
      </w:r>
    </w:p>
    <w:p w14:paraId="5688A75C" w14:textId="77777777" w:rsidR="00B07789" w:rsidRPr="00A731E1" w:rsidRDefault="00D25089" w:rsidP="002901A4">
      <w:pPr>
        <w:numPr>
          <w:ilvl w:val="0"/>
          <w:numId w:val="9"/>
        </w:numPr>
        <w:spacing w:after="0" w:line="240" w:lineRule="auto"/>
        <w:ind w:hanging="567"/>
        <w:rPr>
          <w:sz w:val="22"/>
        </w:rPr>
      </w:pPr>
      <w:r>
        <w:rPr>
          <w:sz w:val="22"/>
        </w:rPr>
        <w:t xml:space="preserve">vek ≥ 75 rokov </w:t>
      </w:r>
    </w:p>
    <w:p w14:paraId="538948B7" w14:textId="77777777" w:rsidR="00B07789" w:rsidRPr="00A731E1" w:rsidRDefault="00D25089" w:rsidP="002901A4">
      <w:pPr>
        <w:numPr>
          <w:ilvl w:val="0"/>
          <w:numId w:val="9"/>
        </w:numPr>
        <w:spacing w:after="0" w:line="240" w:lineRule="auto"/>
        <w:ind w:hanging="567"/>
        <w:rPr>
          <w:sz w:val="22"/>
        </w:rPr>
      </w:pPr>
      <w:r>
        <w:rPr>
          <w:sz w:val="22"/>
        </w:rPr>
        <w:t xml:space="preserve">hypertenzia </w:t>
      </w:r>
    </w:p>
    <w:p w14:paraId="54B77B95" w14:textId="77777777" w:rsidR="00B07789" w:rsidRPr="00A731E1" w:rsidRDefault="00D25089" w:rsidP="002901A4">
      <w:pPr>
        <w:numPr>
          <w:ilvl w:val="0"/>
          <w:numId w:val="9"/>
        </w:numPr>
        <w:spacing w:after="0" w:line="240" w:lineRule="auto"/>
        <w:ind w:hanging="567"/>
        <w:rPr>
          <w:sz w:val="22"/>
        </w:rPr>
      </w:pPr>
      <w:r>
        <w:rPr>
          <w:sz w:val="22"/>
        </w:rPr>
        <w:t xml:space="preserve">diabetes mellitus </w:t>
      </w:r>
    </w:p>
    <w:p w14:paraId="1E0CDA93" w14:textId="2174198A" w:rsidR="00B07789" w:rsidRPr="00A731E1" w:rsidRDefault="00D25089" w:rsidP="002901A4">
      <w:pPr>
        <w:numPr>
          <w:ilvl w:val="0"/>
          <w:numId w:val="9"/>
        </w:numPr>
        <w:spacing w:after="0" w:line="240" w:lineRule="auto"/>
        <w:ind w:hanging="567"/>
        <w:rPr>
          <w:sz w:val="22"/>
        </w:rPr>
      </w:pPr>
      <w:r>
        <w:rPr>
          <w:sz w:val="22"/>
        </w:rPr>
        <w:t>symptomatické zlyh</w:t>
      </w:r>
      <w:r w:rsidR="00857692">
        <w:rPr>
          <w:sz w:val="22"/>
        </w:rPr>
        <w:t>ávanie srdca</w:t>
      </w:r>
      <w:r>
        <w:rPr>
          <w:sz w:val="22"/>
        </w:rPr>
        <w:t xml:space="preserve"> (NYHA trieda ≥ II) </w:t>
      </w:r>
    </w:p>
    <w:p w14:paraId="6E29EBE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94BE717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i/>
          <w:sz w:val="22"/>
          <w:u w:val="single" w:color="000000"/>
        </w:rPr>
        <w:t>ŠTÚDIA ARISTOTLE</w:t>
      </w:r>
      <w:r>
        <w:rPr>
          <w:i/>
          <w:sz w:val="22"/>
        </w:rPr>
        <w:t xml:space="preserve"> </w:t>
      </w:r>
    </w:p>
    <w:p w14:paraId="4FED4608" w14:textId="5106384D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štúdii ARISTOTLE bolo celkovo 18 201 pacientov randomizovaných na dvojito zaslepenú liečbu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v dávke 5 mg dvakrát denne (alebo 2,5 mg dvakrát denne u vybraných pacientov [4,7 %], pozri časť 4.2) alebo warfarínom (cieľový rozsah INR 2,0 – 3,0). Pacienti boli v štúdii vystavení skúmanému liečivu v priemere 20 mesiacov. Priemerný vek bol 69,1 roka, priemerné </w:t>
      </w:r>
      <w:r w:rsidR="00857692">
        <w:rPr>
          <w:sz w:val="22"/>
        </w:rPr>
        <w:t xml:space="preserve">skóre </w:t>
      </w:r>
      <w:r>
        <w:rPr>
          <w:sz w:val="22"/>
        </w:rPr>
        <w:t>CHADS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bolo 2,1 a 18,9 % pacientov malo v minulosti </w:t>
      </w:r>
      <w:r w:rsidR="00857692">
        <w:rPr>
          <w:sz w:val="22"/>
        </w:rPr>
        <w:t>cievnu</w:t>
      </w:r>
      <w:r>
        <w:rPr>
          <w:sz w:val="22"/>
        </w:rPr>
        <w:t xml:space="preserve"> mozgovú príhodu alebo TIA. </w:t>
      </w:r>
    </w:p>
    <w:p w14:paraId="5CA4713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B98B37C" w14:textId="38BFE0E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v štúdii dosiahol štatisticky významnú prevahu v primárnom </w:t>
      </w:r>
      <w:r w:rsidR="00857692">
        <w:rPr>
          <w:sz w:val="22"/>
        </w:rPr>
        <w:t>cieľovom</w:t>
      </w:r>
      <w:r>
        <w:rPr>
          <w:sz w:val="22"/>
        </w:rPr>
        <w:t xml:space="preserve"> ukazovateli prevencie </w:t>
      </w:r>
      <w:r w:rsidR="00857692">
        <w:rPr>
          <w:sz w:val="22"/>
        </w:rPr>
        <w:t>cievnej</w:t>
      </w:r>
      <w:r>
        <w:rPr>
          <w:sz w:val="22"/>
        </w:rPr>
        <w:t xml:space="preserve"> mozgovej príhody (</w:t>
      </w:r>
      <w:proofErr w:type="spellStart"/>
      <w:r>
        <w:rPr>
          <w:sz w:val="22"/>
        </w:rPr>
        <w:t>hemoragickej</w:t>
      </w:r>
      <w:proofErr w:type="spellEnd"/>
      <w:r>
        <w:rPr>
          <w:sz w:val="22"/>
        </w:rPr>
        <w:t xml:space="preserve"> alebo ischemickej) a systémovej embólie (pozri tabuľku 6) v porovnaní s</w:t>
      </w:r>
      <w:r w:rsidR="00857692">
        <w:rPr>
          <w:sz w:val="22"/>
        </w:rPr>
        <w:t> </w:t>
      </w:r>
      <w:r>
        <w:rPr>
          <w:sz w:val="22"/>
        </w:rPr>
        <w:t>warfarínom</w:t>
      </w:r>
      <w:r w:rsidR="00857692">
        <w:rPr>
          <w:sz w:val="22"/>
        </w:rPr>
        <w:t>.</w:t>
      </w:r>
      <w:r>
        <w:rPr>
          <w:sz w:val="22"/>
        </w:rPr>
        <w:t xml:space="preserve"> </w:t>
      </w:r>
    </w:p>
    <w:p w14:paraId="1C2A67B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1DA0F95" w14:textId="5542D31B" w:rsidR="00B07789" w:rsidRPr="00884F62" w:rsidRDefault="00D25089" w:rsidP="00833B71">
      <w:pPr>
        <w:keepNext/>
        <w:spacing w:after="0" w:line="240" w:lineRule="auto"/>
        <w:ind w:left="0"/>
        <w:rPr>
          <w:b/>
          <w:sz w:val="22"/>
        </w:rPr>
      </w:pPr>
      <w:r>
        <w:rPr>
          <w:b/>
          <w:sz w:val="22"/>
        </w:rPr>
        <w:t xml:space="preserve">Tabuľka 4: Výsledky účinnosti u pacientov s </w:t>
      </w:r>
      <w:proofErr w:type="spellStart"/>
      <w:r>
        <w:rPr>
          <w:b/>
          <w:sz w:val="22"/>
        </w:rPr>
        <w:t>fibriláciou</w:t>
      </w:r>
      <w:proofErr w:type="spellEnd"/>
      <w:r>
        <w:rPr>
          <w:b/>
          <w:sz w:val="22"/>
        </w:rPr>
        <w:t xml:space="preserve"> predsiení v štúdii ARISTOTLE </w:t>
      </w:r>
    </w:p>
    <w:tbl>
      <w:tblPr>
        <w:tblStyle w:val="TableGrid"/>
        <w:tblW w:w="9405" w:type="dxa"/>
        <w:tblInd w:w="-53" w:type="dxa"/>
        <w:tblCellMar>
          <w:top w:w="54" w:type="dxa"/>
          <w:left w:w="99" w:type="dxa"/>
          <w:right w:w="49" w:type="dxa"/>
        </w:tblCellMar>
        <w:tblLook w:val="04A0" w:firstRow="1" w:lastRow="0" w:firstColumn="1" w:lastColumn="0" w:noHBand="0" w:noVBand="1"/>
      </w:tblPr>
      <w:tblGrid>
        <w:gridCol w:w="2834"/>
        <w:gridCol w:w="1793"/>
        <w:gridCol w:w="1793"/>
        <w:gridCol w:w="1778"/>
        <w:gridCol w:w="1207"/>
      </w:tblGrid>
      <w:tr w:rsidR="00B07789" w:rsidRPr="00A731E1" w14:paraId="02470F7F" w14:textId="77777777" w:rsidTr="005203A2">
        <w:trPr>
          <w:trHeight w:val="599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485C5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CAAB5" w14:textId="77777777" w:rsidR="00B07789" w:rsidRPr="00A731E1" w:rsidRDefault="00D25089" w:rsidP="00833B71">
            <w:pPr>
              <w:keepNext/>
              <w:spacing w:after="0" w:line="240" w:lineRule="auto"/>
              <w:ind w:left="0" w:right="9" w:hanging="4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  <w:r>
              <w:rPr>
                <w:b/>
                <w:sz w:val="22"/>
              </w:rPr>
              <w:t xml:space="preserve"> N = 9 120 n (%/rok)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DE148" w14:textId="77777777" w:rsidR="00B07789" w:rsidRPr="00A731E1" w:rsidRDefault="00D25089" w:rsidP="00833B71">
            <w:pPr>
              <w:keepNext/>
              <w:spacing w:after="0" w:line="240" w:lineRule="auto"/>
              <w:ind w:left="0" w:right="10" w:hanging="3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Warfarín</w:t>
            </w:r>
            <w:proofErr w:type="spellEnd"/>
            <w:r>
              <w:rPr>
                <w:b/>
                <w:sz w:val="22"/>
              </w:rPr>
              <w:t xml:space="preserve"> N = 9 081 n (%/rok)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866FD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Pomer rizika (95 % IS)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3DDF7" w14:textId="2EFA6D8B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hodnota</w:t>
            </w:r>
            <w:r w:rsidR="00C22708">
              <w:rPr>
                <w:b/>
                <w:sz w:val="22"/>
              </w:rPr>
              <w:t xml:space="preserve"> p</w:t>
            </w:r>
          </w:p>
        </w:tc>
      </w:tr>
      <w:tr w:rsidR="00B07789" w:rsidRPr="00A731E1" w14:paraId="75836B40" w14:textId="77777777" w:rsidTr="005203A2">
        <w:trPr>
          <w:trHeight w:val="248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2A288A" w14:textId="28CADE43" w:rsidR="00B07789" w:rsidRPr="00A731E1" w:rsidRDefault="00513A1F" w:rsidP="002901A4">
            <w:pPr>
              <w:keepNext/>
              <w:spacing w:after="0" w:line="240" w:lineRule="auto"/>
              <w:ind w:left="-55" w:firstLine="0"/>
              <w:rPr>
                <w:sz w:val="22"/>
              </w:rPr>
            </w:pPr>
            <w:r>
              <w:rPr>
                <w:sz w:val="22"/>
              </w:rPr>
              <w:t>Cievna m</w:t>
            </w:r>
            <w:r w:rsidR="00D25089">
              <w:rPr>
                <w:sz w:val="22"/>
              </w:rPr>
              <w:t xml:space="preserve">ozgová príhoda alebo systémová embólia 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623930" w14:textId="77777777" w:rsidR="00B07789" w:rsidRPr="00A731E1" w:rsidRDefault="00D25089" w:rsidP="002901A4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212 (1,27)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38A501" w14:textId="77777777" w:rsidR="00B07789" w:rsidRPr="00A731E1" w:rsidRDefault="00D25089" w:rsidP="002901A4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265 (1,60)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1EE489" w14:textId="77777777" w:rsidR="00B07789" w:rsidRPr="00A731E1" w:rsidRDefault="00D25089" w:rsidP="002901A4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0,79 (0,66; 0,95)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325F6C" w14:textId="77777777" w:rsidR="00B07789" w:rsidRPr="00A731E1" w:rsidRDefault="00D25089" w:rsidP="002901A4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0,0114</w:t>
            </w:r>
          </w:p>
        </w:tc>
      </w:tr>
      <w:tr w:rsidR="005203A2" w:rsidRPr="00A731E1" w14:paraId="5AF57092" w14:textId="77777777" w:rsidTr="006D26A7">
        <w:trPr>
          <w:trHeight w:val="247"/>
        </w:trPr>
        <w:tc>
          <w:tcPr>
            <w:tcW w:w="9405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2532669" w14:textId="77777777" w:rsidR="005203A2" w:rsidRPr="005203A2" w:rsidRDefault="005203A2" w:rsidP="005203A2">
            <w:pPr>
              <w:spacing w:after="0" w:line="240" w:lineRule="auto"/>
              <w:ind w:left="0" w:firstLine="0"/>
              <w:rPr>
                <w:sz w:val="22"/>
                <w:lang w:val="en-GB"/>
              </w:rPr>
            </w:pPr>
            <w:r>
              <w:rPr>
                <w:sz w:val="22"/>
              </w:rPr>
              <w:t xml:space="preserve">Cievna mozgová príhoda </w:t>
            </w:r>
          </w:p>
        </w:tc>
      </w:tr>
      <w:tr w:rsidR="00B07789" w:rsidRPr="00A731E1" w14:paraId="5372470C" w14:textId="77777777" w:rsidTr="005203A2">
        <w:trPr>
          <w:trHeight w:val="248"/>
        </w:trPr>
        <w:tc>
          <w:tcPr>
            <w:tcW w:w="28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4410BDE" w14:textId="77777777" w:rsidR="00B07789" w:rsidRPr="00A731E1" w:rsidRDefault="00D25089" w:rsidP="002901A4">
            <w:pPr>
              <w:spacing w:after="0" w:line="240" w:lineRule="auto"/>
              <w:ind w:left="371" w:right="53" w:firstLine="0"/>
              <w:rPr>
                <w:sz w:val="22"/>
              </w:rPr>
            </w:pPr>
            <w:r>
              <w:rPr>
                <w:sz w:val="22"/>
              </w:rPr>
              <w:t xml:space="preserve">Ischemická alebo nešpecifikovaná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E711B51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162 (0,97)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431B9D6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175 (1,05)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B2FE31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0,92 (0,74; 1,13)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7CE6129" w14:textId="77777777" w:rsidR="00B07789" w:rsidRPr="00A731E1" w:rsidRDefault="00B07789" w:rsidP="002901A4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02B35ED3" w14:textId="77777777" w:rsidTr="005203A2">
        <w:trPr>
          <w:trHeight w:val="247"/>
        </w:trPr>
        <w:tc>
          <w:tcPr>
            <w:tcW w:w="28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1C7970" w14:textId="77777777" w:rsidR="00B07789" w:rsidRPr="00A731E1" w:rsidRDefault="00D25089" w:rsidP="002901A4">
            <w:pPr>
              <w:spacing w:after="0" w:line="240" w:lineRule="auto"/>
              <w:ind w:left="371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Hemoragická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6BB4F8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40 (0,24)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40A94E4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78 (0,47)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4FEBFFA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0,51 (0,35; 0,75)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17A8CC" w14:textId="77777777" w:rsidR="00B07789" w:rsidRPr="00A731E1" w:rsidRDefault="00B07789" w:rsidP="002901A4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7E764DBD" w14:textId="77777777" w:rsidTr="005203A2">
        <w:trPr>
          <w:trHeight w:val="247"/>
        </w:trPr>
        <w:tc>
          <w:tcPr>
            <w:tcW w:w="28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49676C" w14:textId="77777777" w:rsidR="00B07789" w:rsidRPr="00A731E1" w:rsidRDefault="00D25089" w:rsidP="002901A4">
            <w:pPr>
              <w:spacing w:after="0" w:line="240" w:lineRule="auto"/>
              <w:ind w:left="87" w:firstLine="0"/>
              <w:rPr>
                <w:sz w:val="22"/>
              </w:rPr>
            </w:pPr>
            <w:r>
              <w:rPr>
                <w:sz w:val="22"/>
              </w:rPr>
              <w:t xml:space="preserve">Systémová embólia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115881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 (0,09)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D152B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 (0,10)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A1F752" w14:textId="77777777" w:rsidR="00B07789" w:rsidRPr="00A731E1" w:rsidRDefault="00D25089" w:rsidP="002901A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0,87 (0,44; 1,75)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9A09CA" w14:textId="77777777" w:rsidR="00B07789" w:rsidRPr="00A731E1" w:rsidRDefault="00B07789" w:rsidP="002901A4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</w:tbl>
    <w:p w14:paraId="1B91572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1CA3B94" w14:textId="77777777" w:rsidR="00B07789" w:rsidRPr="00A731E1" w:rsidRDefault="00D25089" w:rsidP="00833B71">
      <w:pPr>
        <w:spacing w:after="0" w:line="240" w:lineRule="auto"/>
        <w:ind w:left="0" w:right="207" w:firstLine="0"/>
        <w:rPr>
          <w:sz w:val="22"/>
        </w:rPr>
      </w:pPr>
      <w:r>
        <w:rPr>
          <w:sz w:val="22"/>
        </w:rPr>
        <w:t xml:space="preserve">Medián percenta času, keď boli pacienti </w:t>
      </w:r>
      <w:proofErr w:type="spellStart"/>
      <w:r>
        <w:rPr>
          <w:sz w:val="22"/>
        </w:rPr>
        <w:t>randomizovaní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 v terapeutickom rozsahu (TTR) (INR 2 – 3), bol 66 %. </w:t>
      </w:r>
    </w:p>
    <w:p w14:paraId="365C7BA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4FF8152" w14:textId="7AEE1222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preukázal zníženie </w:t>
      </w:r>
      <w:r w:rsidR="00976418">
        <w:rPr>
          <w:sz w:val="22"/>
        </w:rPr>
        <w:t xml:space="preserve">počtu </w:t>
      </w:r>
      <w:r w:rsidR="00513A1F">
        <w:rPr>
          <w:sz w:val="22"/>
        </w:rPr>
        <w:t xml:space="preserve">cievnej </w:t>
      </w:r>
      <w:r>
        <w:rPr>
          <w:sz w:val="22"/>
        </w:rPr>
        <w:t xml:space="preserve">mozgovej príhody a systémovej embólie v porovnaní s warfarínom naprieč rôznymi úrovňami </w:t>
      </w:r>
      <w:r w:rsidR="00976418">
        <w:rPr>
          <w:sz w:val="22"/>
        </w:rPr>
        <w:t xml:space="preserve">centra </w:t>
      </w:r>
      <w:r>
        <w:rPr>
          <w:sz w:val="22"/>
        </w:rPr>
        <w:t xml:space="preserve">TTR; v rámci najvyššieho </w:t>
      </w:r>
      <w:proofErr w:type="spellStart"/>
      <w:r>
        <w:rPr>
          <w:sz w:val="22"/>
        </w:rPr>
        <w:t>kvartilu</w:t>
      </w:r>
      <w:proofErr w:type="spellEnd"/>
      <w:r>
        <w:rPr>
          <w:sz w:val="22"/>
        </w:rPr>
        <w:t xml:space="preserve"> TTR podľa cent</w:t>
      </w:r>
      <w:r w:rsidR="00976418">
        <w:rPr>
          <w:sz w:val="22"/>
        </w:rPr>
        <w:t>ra</w:t>
      </w:r>
      <w:r>
        <w:rPr>
          <w:sz w:val="22"/>
        </w:rPr>
        <w:t xml:space="preserve"> bol</w:t>
      </w:r>
      <w:r w:rsidR="00976418">
        <w:rPr>
          <w:sz w:val="22"/>
        </w:rPr>
        <w:t>a</w:t>
      </w:r>
      <w:r>
        <w:rPr>
          <w:sz w:val="22"/>
        </w:rPr>
        <w:t xml:space="preserve"> </w:t>
      </w:r>
      <w:r w:rsidR="00976418">
        <w:rPr>
          <w:sz w:val="22"/>
        </w:rPr>
        <w:t>miera</w:t>
      </w:r>
      <w:r>
        <w:rPr>
          <w:sz w:val="22"/>
        </w:rPr>
        <w:t xml:space="preserve"> rizika pre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0,73 (95 % IS; 0,38; 1,40). </w:t>
      </w:r>
    </w:p>
    <w:p w14:paraId="2910D24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55EA237" w14:textId="5134B8A2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Kľúčové sekundárne </w:t>
      </w:r>
      <w:r w:rsidR="00976418">
        <w:rPr>
          <w:sz w:val="22"/>
        </w:rPr>
        <w:t>cieľové</w:t>
      </w:r>
      <w:r>
        <w:rPr>
          <w:sz w:val="22"/>
        </w:rPr>
        <w:t xml:space="preserve"> ukazovatele </w:t>
      </w:r>
      <w:r w:rsidR="00976418">
        <w:rPr>
          <w:sz w:val="22"/>
        </w:rPr>
        <w:t xml:space="preserve">- </w:t>
      </w:r>
      <w:r>
        <w:rPr>
          <w:sz w:val="22"/>
        </w:rPr>
        <w:t>závažné krvácani</w:t>
      </w:r>
      <w:r w:rsidR="00976418">
        <w:rPr>
          <w:sz w:val="22"/>
        </w:rPr>
        <w:t>e</w:t>
      </w:r>
      <w:r>
        <w:rPr>
          <w:sz w:val="22"/>
        </w:rPr>
        <w:t xml:space="preserve"> a úmrti</w:t>
      </w:r>
      <w:r w:rsidR="00976418">
        <w:rPr>
          <w:sz w:val="22"/>
        </w:rPr>
        <w:t>e</w:t>
      </w:r>
      <w:r>
        <w:rPr>
          <w:sz w:val="22"/>
        </w:rPr>
        <w:t xml:space="preserve"> z akejkoľvek príčiny</w:t>
      </w:r>
      <w:r w:rsidR="007D47FF">
        <w:rPr>
          <w:sz w:val="22"/>
        </w:rPr>
        <w:t>,</w:t>
      </w:r>
      <w:r>
        <w:rPr>
          <w:sz w:val="22"/>
        </w:rPr>
        <w:t xml:space="preserve"> sa testovali pomocou vopred špecifikovanej hierarchickej testovacej stratégie</w:t>
      </w:r>
      <w:r w:rsidR="007D47FF">
        <w:rPr>
          <w:sz w:val="22"/>
        </w:rPr>
        <w:t>, aby bola v štúdii pod kontrolou chyba 1.</w:t>
      </w:r>
      <w:r>
        <w:rPr>
          <w:sz w:val="22"/>
        </w:rPr>
        <w:t xml:space="preserve"> typu</w:t>
      </w:r>
      <w:r w:rsidR="007D47FF">
        <w:rPr>
          <w:sz w:val="22"/>
        </w:rPr>
        <w:t>.</w:t>
      </w:r>
      <w:r>
        <w:rPr>
          <w:sz w:val="22"/>
        </w:rPr>
        <w:t xml:space="preserve">. Štatisticky významná prevaha sa tiež dosiahla v kľúčových sekundárnych </w:t>
      </w:r>
      <w:r w:rsidR="00976418">
        <w:rPr>
          <w:sz w:val="22"/>
        </w:rPr>
        <w:t>cieľových</w:t>
      </w:r>
      <w:r>
        <w:rPr>
          <w:sz w:val="22"/>
        </w:rPr>
        <w:t xml:space="preserve"> ukazovateľoch </w:t>
      </w:r>
      <w:r w:rsidR="00976418">
        <w:rPr>
          <w:sz w:val="22"/>
        </w:rPr>
        <w:t>-</w:t>
      </w:r>
      <w:r>
        <w:rPr>
          <w:sz w:val="22"/>
        </w:rPr>
        <w:t xml:space="preserve"> závažné krvácani</w:t>
      </w:r>
      <w:r w:rsidR="00976418">
        <w:rPr>
          <w:sz w:val="22"/>
        </w:rPr>
        <w:t>e</w:t>
      </w:r>
      <w:r>
        <w:rPr>
          <w:sz w:val="22"/>
        </w:rPr>
        <w:t xml:space="preserve"> a  úmrt</w:t>
      </w:r>
      <w:r w:rsidR="00976418">
        <w:rPr>
          <w:sz w:val="22"/>
        </w:rPr>
        <w:t>ie</w:t>
      </w:r>
      <w:r>
        <w:rPr>
          <w:sz w:val="22"/>
        </w:rPr>
        <w:t xml:space="preserve"> z akejkoľvek príčiny (pozri tabuľku 5). Pri zlepšenom sledovaní INR sa znížili pozorované benefity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 porovnaní s warfarínom týkajúce sa úmrtia z akejkoľvek príčiny. </w:t>
      </w:r>
    </w:p>
    <w:p w14:paraId="1A81DDF7" w14:textId="77777777" w:rsidR="00884F62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32D193C" w14:textId="7CDB8A50" w:rsidR="00B07789" w:rsidRPr="00513BD2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Tabuľka 5: Sekundárne </w:t>
      </w:r>
      <w:r w:rsidR="007D47FF">
        <w:rPr>
          <w:b/>
          <w:sz w:val="22"/>
        </w:rPr>
        <w:t>cieľové</w:t>
      </w:r>
      <w:r>
        <w:rPr>
          <w:b/>
          <w:sz w:val="22"/>
        </w:rPr>
        <w:t xml:space="preserve"> ukazovatele u pacientov s </w:t>
      </w:r>
      <w:proofErr w:type="spellStart"/>
      <w:r>
        <w:rPr>
          <w:b/>
          <w:sz w:val="22"/>
        </w:rPr>
        <w:t>fibriláciou</w:t>
      </w:r>
      <w:proofErr w:type="spellEnd"/>
      <w:r>
        <w:rPr>
          <w:b/>
          <w:sz w:val="22"/>
        </w:rPr>
        <w:t xml:space="preserve"> predsiení v štúdii ARISTOTLE </w:t>
      </w:r>
    </w:p>
    <w:tbl>
      <w:tblPr>
        <w:tblStyle w:val="TableGrid"/>
        <w:tblW w:w="9405" w:type="dxa"/>
        <w:tblInd w:w="-53" w:type="dxa"/>
        <w:tblCellMar>
          <w:top w:w="54" w:type="dxa"/>
          <w:left w:w="101" w:type="dxa"/>
          <w:right w:w="44" w:type="dxa"/>
        </w:tblCellMar>
        <w:tblLook w:val="04A0" w:firstRow="1" w:lastRow="0" w:firstColumn="1" w:lastColumn="0" w:noHBand="0" w:noVBand="1"/>
      </w:tblPr>
      <w:tblGrid>
        <w:gridCol w:w="2440"/>
        <w:gridCol w:w="1991"/>
        <w:gridCol w:w="1991"/>
        <w:gridCol w:w="1991"/>
        <w:gridCol w:w="992"/>
      </w:tblGrid>
      <w:tr w:rsidR="00B07789" w:rsidRPr="00A731E1" w14:paraId="4CE7FCB5" w14:textId="77777777" w:rsidTr="002901A4">
        <w:trPr>
          <w:trHeight w:val="567"/>
        </w:trPr>
        <w:tc>
          <w:tcPr>
            <w:tcW w:w="2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42DD7BA" w14:textId="77777777" w:rsidR="00B07789" w:rsidRPr="007E6137" w:rsidRDefault="00B07789" w:rsidP="00833B71">
            <w:pPr>
              <w:keepNext/>
              <w:spacing w:after="0" w:line="240" w:lineRule="auto"/>
              <w:ind w:left="0" w:right="6"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B9FEF9" w14:textId="77777777" w:rsidR="0002017F" w:rsidRDefault="0002017F" w:rsidP="00833B71">
            <w:pPr>
              <w:keepNext/>
              <w:spacing w:after="0" w:line="240" w:lineRule="auto"/>
              <w:ind w:left="0" w:right="4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  <w:p w14:paraId="03775F5E" w14:textId="77777777" w:rsidR="00B07789" w:rsidRPr="00A731E1" w:rsidRDefault="00D25089" w:rsidP="00833B71">
            <w:pPr>
              <w:keepNext/>
              <w:spacing w:after="0" w:line="240" w:lineRule="auto"/>
              <w:ind w:left="0" w:right="4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 = 9 088 n (%/rok)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924283" w14:textId="77777777" w:rsidR="0002017F" w:rsidRDefault="0002017F" w:rsidP="00833B71">
            <w:pPr>
              <w:keepNext/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Warfarín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70E5942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N = 9 052 n (%/rok)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82FF42" w14:textId="77777777" w:rsidR="005B4827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Pomer rizík </w:t>
            </w:r>
          </w:p>
          <w:p w14:paraId="78876F59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(95 % IS)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7AA94" w14:textId="342F3016" w:rsidR="00B07789" w:rsidRPr="00A731E1" w:rsidRDefault="00D25089" w:rsidP="00833B71">
            <w:pPr>
              <w:keepNext/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hodnota </w:t>
            </w:r>
            <w:r w:rsidR="00C22708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5B4827" w:rsidRPr="00A731E1" w14:paraId="10E73FE1" w14:textId="77777777" w:rsidTr="002901A4">
        <w:trPr>
          <w:trHeight w:val="271"/>
        </w:trPr>
        <w:tc>
          <w:tcPr>
            <w:tcW w:w="19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678DA" w14:textId="77777777" w:rsidR="005B4827" w:rsidRPr="00A731E1" w:rsidRDefault="005B4827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Výsledky krvácania </w:t>
            </w:r>
          </w:p>
        </w:tc>
      </w:tr>
      <w:tr w:rsidR="00B07789" w:rsidRPr="00A731E1" w14:paraId="6C5A3605" w14:textId="77777777" w:rsidTr="002901A4">
        <w:trPr>
          <w:trHeight w:val="272"/>
        </w:trPr>
        <w:tc>
          <w:tcPr>
            <w:tcW w:w="24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28A57CF" w14:textId="77777777" w:rsidR="00B07789" w:rsidRPr="00A731E1" w:rsidRDefault="00D25089" w:rsidP="002901A4">
            <w:pPr>
              <w:keepNext/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Závažné*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575519" w14:textId="77777777" w:rsidR="00B07789" w:rsidRPr="00A731E1" w:rsidRDefault="00D25089" w:rsidP="002901A4">
            <w:pPr>
              <w:keepNext/>
              <w:spacing w:after="0" w:line="240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327 (2,13)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688311" w14:textId="77777777" w:rsidR="00B07789" w:rsidRPr="00A731E1" w:rsidRDefault="00D25089" w:rsidP="002901A4">
            <w:pPr>
              <w:keepNext/>
              <w:spacing w:after="0" w:line="240" w:lineRule="auto"/>
              <w:ind w:left="0" w:right="57" w:firstLine="0"/>
              <w:jc w:val="center"/>
              <w:rPr>
                <w:sz w:val="22"/>
              </w:rPr>
            </w:pPr>
            <w:r>
              <w:rPr>
                <w:sz w:val="22"/>
              </w:rPr>
              <w:t>462 (3,09)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78D4A0" w14:textId="77777777" w:rsidR="00B07789" w:rsidRPr="00A731E1" w:rsidRDefault="00D25089" w:rsidP="002901A4">
            <w:pPr>
              <w:keepNext/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0,69 (0,60; 0,80)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81F9D5" w14:textId="77777777" w:rsidR="00B07789" w:rsidRPr="00A731E1" w:rsidRDefault="00D25089" w:rsidP="002901A4">
            <w:pPr>
              <w:keepNext/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&lt; 0,0001</w:t>
            </w:r>
          </w:p>
        </w:tc>
      </w:tr>
      <w:tr w:rsidR="00B07789" w:rsidRPr="00A731E1" w14:paraId="6C4CB1BB" w14:textId="77777777" w:rsidTr="002901A4">
        <w:trPr>
          <w:trHeight w:val="264"/>
        </w:trPr>
        <w:tc>
          <w:tcPr>
            <w:tcW w:w="24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D74F42" w14:textId="77777777" w:rsidR="00B07789" w:rsidRPr="00A731E1" w:rsidRDefault="00D25089" w:rsidP="002901A4">
            <w:pPr>
              <w:spacing w:after="0" w:line="240" w:lineRule="auto"/>
              <w:ind w:left="512" w:right="209" w:firstLine="0"/>
              <w:rPr>
                <w:sz w:val="22"/>
              </w:rPr>
            </w:pPr>
            <w:r>
              <w:rPr>
                <w:sz w:val="22"/>
              </w:rPr>
              <w:t xml:space="preserve">Fatálne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8711D" w14:textId="77777777" w:rsidR="00B07789" w:rsidRPr="00A731E1" w:rsidRDefault="00D25089" w:rsidP="002901A4">
            <w:pPr>
              <w:spacing w:after="0" w:line="240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10 (0,06)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4E85314" w14:textId="77777777" w:rsidR="00B07789" w:rsidRPr="00A731E1" w:rsidRDefault="00D25089" w:rsidP="002901A4">
            <w:pPr>
              <w:spacing w:after="0" w:line="240" w:lineRule="auto"/>
              <w:ind w:left="0" w:right="56" w:firstLine="0"/>
              <w:jc w:val="center"/>
              <w:rPr>
                <w:sz w:val="22"/>
              </w:rPr>
            </w:pPr>
            <w:r>
              <w:rPr>
                <w:sz w:val="22"/>
              </w:rPr>
              <w:t>37 (0,24)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C815AE" w14:textId="77777777" w:rsidR="00B07789" w:rsidRPr="00A731E1" w:rsidRDefault="00B07789" w:rsidP="002901A4">
            <w:pPr>
              <w:spacing w:after="0" w:line="240" w:lineRule="auto"/>
              <w:ind w:left="0" w:right="6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F4B83B" w14:textId="77777777" w:rsidR="00B07789" w:rsidRPr="00A731E1" w:rsidRDefault="00B07789" w:rsidP="002901A4">
            <w:pPr>
              <w:spacing w:after="0" w:line="240" w:lineRule="auto"/>
              <w:ind w:left="0" w:right="7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353A523A" w14:textId="77777777" w:rsidTr="002901A4">
        <w:trPr>
          <w:trHeight w:val="247"/>
        </w:trPr>
        <w:tc>
          <w:tcPr>
            <w:tcW w:w="24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4B4E44" w14:textId="77777777" w:rsidR="00B07789" w:rsidRPr="00A731E1" w:rsidRDefault="00D25089" w:rsidP="002901A4">
            <w:pPr>
              <w:spacing w:after="0" w:line="240" w:lineRule="auto"/>
              <w:ind w:left="512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Intrakraniálne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065FF1" w14:textId="77777777" w:rsidR="00B07789" w:rsidRPr="00A731E1" w:rsidRDefault="00D25089" w:rsidP="002901A4">
            <w:pPr>
              <w:spacing w:after="0" w:line="240" w:lineRule="auto"/>
              <w:ind w:left="0" w:right="62" w:firstLine="0"/>
              <w:jc w:val="center"/>
              <w:rPr>
                <w:sz w:val="22"/>
              </w:rPr>
            </w:pPr>
            <w:r>
              <w:rPr>
                <w:sz w:val="22"/>
              </w:rPr>
              <w:t>52 (0,33)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9B8734" w14:textId="77777777" w:rsidR="00B07789" w:rsidRPr="00A731E1" w:rsidRDefault="00D25089" w:rsidP="002901A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>
              <w:rPr>
                <w:sz w:val="22"/>
              </w:rPr>
              <w:t>122 (0,80)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9EA9E4" w14:textId="77777777" w:rsidR="00B07789" w:rsidRPr="00A731E1" w:rsidRDefault="00B07789" w:rsidP="002901A4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E834B2" w14:textId="77777777" w:rsidR="00B07789" w:rsidRPr="00A731E1" w:rsidRDefault="00B07789" w:rsidP="002901A4">
            <w:pPr>
              <w:spacing w:after="0" w:line="240" w:lineRule="auto"/>
              <w:ind w:left="0" w:right="8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2FD20CCD" w14:textId="77777777" w:rsidTr="002901A4">
        <w:trPr>
          <w:trHeight w:val="271"/>
        </w:trPr>
        <w:tc>
          <w:tcPr>
            <w:tcW w:w="24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715270" w14:textId="77777777" w:rsidR="00B07789" w:rsidRPr="00A731E1" w:rsidRDefault="00D25089" w:rsidP="002901A4">
            <w:pPr>
              <w:spacing w:after="0" w:line="240" w:lineRule="auto"/>
              <w:ind w:left="229" w:right="88" w:firstLine="0"/>
              <w:rPr>
                <w:sz w:val="22"/>
              </w:rPr>
            </w:pPr>
            <w:r>
              <w:rPr>
                <w:sz w:val="22"/>
              </w:rPr>
              <w:t>Závažné + CRNM</w:t>
            </w:r>
            <w:r>
              <w:rPr>
                <w:sz w:val="22"/>
                <w:vertAlign w:val="superscript"/>
              </w:rPr>
              <w:t>†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746496" w14:textId="77777777" w:rsidR="00B07789" w:rsidRPr="00A731E1" w:rsidRDefault="00D25089" w:rsidP="002901A4">
            <w:pPr>
              <w:spacing w:after="0" w:line="240" w:lineRule="auto"/>
              <w:ind w:left="0" w:right="61" w:firstLine="0"/>
              <w:jc w:val="center"/>
              <w:rPr>
                <w:sz w:val="22"/>
              </w:rPr>
            </w:pPr>
            <w:r>
              <w:rPr>
                <w:sz w:val="22"/>
              </w:rPr>
              <w:t>613 (4,07)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3966D" w14:textId="77777777" w:rsidR="00B07789" w:rsidRPr="00A731E1" w:rsidRDefault="00D25089" w:rsidP="002901A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877 (6,01)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EE9575" w14:textId="77777777" w:rsidR="00B07789" w:rsidRPr="00A731E1" w:rsidRDefault="00D25089" w:rsidP="002901A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>
              <w:rPr>
                <w:sz w:val="22"/>
              </w:rPr>
              <w:t>0,68 (0,61; 0,75)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E89CBF" w14:textId="77777777" w:rsidR="00B07789" w:rsidRPr="00A731E1" w:rsidRDefault="00D25089" w:rsidP="002901A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>
              <w:rPr>
                <w:sz w:val="22"/>
              </w:rPr>
              <w:t>&lt; 0,0001</w:t>
            </w:r>
          </w:p>
        </w:tc>
      </w:tr>
      <w:tr w:rsidR="00B07789" w:rsidRPr="00A731E1" w14:paraId="6BBF90ED" w14:textId="77777777" w:rsidTr="002901A4">
        <w:trPr>
          <w:trHeight w:val="247"/>
        </w:trPr>
        <w:tc>
          <w:tcPr>
            <w:tcW w:w="24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41DDE7" w14:textId="77777777" w:rsidR="00B07789" w:rsidRPr="00A731E1" w:rsidRDefault="00D25089" w:rsidP="002901A4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Všetky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EAC110" w14:textId="7C5B280A" w:rsidR="00B07789" w:rsidRPr="00A731E1" w:rsidRDefault="00D25089" w:rsidP="002901A4">
            <w:pPr>
              <w:spacing w:after="0" w:line="240" w:lineRule="auto"/>
              <w:ind w:left="0" w:right="61" w:firstLine="0"/>
              <w:jc w:val="center"/>
              <w:rPr>
                <w:sz w:val="22"/>
              </w:rPr>
            </w:pPr>
            <w:r>
              <w:rPr>
                <w:sz w:val="22"/>
              </w:rPr>
              <w:t>2356 (18,1)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FD23A2" w14:textId="2BDA57D1" w:rsidR="00B07789" w:rsidRPr="00A731E1" w:rsidRDefault="00D25089" w:rsidP="002901A4">
            <w:pPr>
              <w:spacing w:after="0" w:line="240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3060 (25,8)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4CC6C1" w14:textId="77777777" w:rsidR="00B07789" w:rsidRPr="00A731E1" w:rsidRDefault="00D25089" w:rsidP="002901A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0,71 (0,68; 0,75)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B71E734" w14:textId="77777777" w:rsidR="00B07789" w:rsidRPr="00A731E1" w:rsidRDefault="00D25089" w:rsidP="002901A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&lt; 0,0001</w:t>
            </w:r>
          </w:p>
        </w:tc>
      </w:tr>
      <w:tr w:rsidR="005B4827" w:rsidRPr="00A731E1" w14:paraId="2445141A" w14:textId="77777777" w:rsidTr="002901A4">
        <w:trPr>
          <w:trHeight w:val="360"/>
        </w:trPr>
        <w:tc>
          <w:tcPr>
            <w:tcW w:w="1985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27C88A" w14:textId="1154922A" w:rsidR="005B4827" w:rsidRPr="00A731E1" w:rsidRDefault="005B4827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Iné </w:t>
            </w:r>
            <w:r w:rsidR="007D47FF">
              <w:rPr>
                <w:sz w:val="22"/>
              </w:rPr>
              <w:t>cieľové</w:t>
            </w:r>
            <w:r>
              <w:rPr>
                <w:sz w:val="22"/>
              </w:rPr>
              <w:t xml:space="preserve"> ukazovatele </w:t>
            </w:r>
          </w:p>
        </w:tc>
      </w:tr>
      <w:tr w:rsidR="00B07789" w:rsidRPr="00A731E1" w14:paraId="6BC4CE1A" w14:textId="77777777" w:rsidTr="002901A4">
        <w:trPr>
          <w:trHeight w:val="361"/>
        </w:trPr>
        <w:tc>
          <w:tcPr>
            <w:tcW w:w="24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920E53E" w14:textId="77777777" w:rsidR="00B07789" w:rsidRPr="00A731E1" w:rsidRDefault="00D25089" w:rsidP="002901A4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Úmrtie z akejkoľvek príčiny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072D0D" w14:textId="77777777" w:rsidR="00B07789" w:rsidRPr="00A731E1" w:rsidRDefault="00D25089" w:rsidP="002901A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>
              <w:rPr>
                <w:sz w:val="22"/>
              </w:rPr>
              <w:t>603 (3,52)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458280A" w14:textId="77777777" w:rsidR="00B07789" w:rsidRPr="00A731E1" w:rsidRDefault="00D25089" w:rsidP="002901A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669 (3,94)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504B2B7" w14:textId="77777777" w:rsidR="00B07789" w:rsidRPr="00A731E1" w:rsidRDefault="00D25089" w:rsidP="002901A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>
              <w:rPr>
                <w:sz w:val="22"/>
              </w:rPr>
              <w:t>0,89 (0,80; 1,00)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90154" w14:textId="77777777" w:rsidR="00B07789" w:rsidRPr="00A731E1" w:rsidRDefault="00D25089" w:rsidP="002901A4">
            <w:pPr>
              <w:spacing w:after="0" w:line="240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0,0465</w:t>
            </w:r>
          </w:p>
        </w:tc>
      </w:tr>
      <w:tr w:rsidR="00B07789" w:rsidRPr="00A731E1" w14:paraId="1F47D7F5" w14:textId="77777777" w:rsidTr="002901A4">
        <w:trPr>
          <w:trHeight w:val="373"/>
        </w:trPr>
        <w:tc>
          <w:tcPr>
            <w:tcW w:w="24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23AC6F" w14:textId="77777777" w:rsidR="00B07789" w:rsidRPr="00A731E1" w:rsidRDefault="00D25089" w:rsidP="002901A4">
            <w:pPr>
              <w:spacing w:after="0" w:line="240" w:lineRule="auto"/>
              <w:ind w:left="229"/>
              <w:rPr>
                <w:sz w:val="22"/>
              </w:rPr>
            </w:pPr>
            <w:r>
              <w:rPr>
                <w:sz w:val="22"/>
              </w:rPr>
              <w:t xml:space="preserve">Infarkt myokardu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9B1B3C" w14:textId="77777777" w:rsidR="00B07789" w:rsidRPr="00A731E1" w:rsidRDefault="00D25089" w:rsidP="002901A4">
            <w:pPr>
              <w:spacing w:after="0" w:line="240" w:lineRule="auto"/>
              <w:ind w:left="0" w:right="61" w:firstLine="0"/>
              <w:jc w:val="center"/>
              <w:rPr>
                <w:sz w:val="22"/>
              </w:rPr>
            </w:pPr>
            <w:r>
              <w:rPr>
                <w:sz w:val="22"/>
              </w:rPr>
              <w:t>90 (0,53)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70787B" w14:textId="77777777" w:rsidR="00B07789" w:rsidRPr="00A731E1" w:rsidRDefault="00D25089" w:rsidP="002901A4">
            <w:pPr>
              <w:spacing w:after="0" w:line="240" w:lineRule="auto"/>
              <w:ind w:left="0" w:right="57" w:firstLine="0"/>
              <w:jc w:val="center"/>
              <w:rPr>
                <w:sz w:val="22"/>
              </w:rPr>
            </w:pPr>
            <w:r>
              <w:rPr>
                <w:sz w:val="22"/>
              </w:rPr>
              <w:t>102 (0,61)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CADC8D" w14:textId="77777777" w:rsidR="00B07789" w:rsidRPr="00A731E1" w:rsidRDefault="00D25089" w:rsidP="002901A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0,88 (0,66; 1,17)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A7BED35" w14:textId="77777777" w:rsidR="00B07789" w:rsidRPr="00A731E1" w:rsidRDefault="00B07789" w:rsidP="002901A4">
            <w:pPr>
              <w:spacing w:after="0" w:line="240" w:lineRule="auto"/>
              <w:ind w:left="0" w:right="7" w:firstLine="0"/>
              <w:jc w:val="center"/>
              <w:rPr>
                <w:sz w:val="22"/>
                <w:lang w:val="en-GB"/>
              </w:rPr>
            </w:pPr>
          </w:p>
        </w:tc>
      </w:tr>
    </w:tbl>
    <w:p w14:paraId="22349358" w14:textId="0BFB08A3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*Závažné krvácanie definované podľa kritérií Medzinárodnej spoločnosti pre trombózu a </w:t>
      </w:r>
      <w:proofErr w:type="spellStart"/>
      <w:r>
        <w:rPr>
          <w:sz w:val="22"/>
        </w:rPr>
        <w:t>hemostázu</w:t>
      </w:r>
      <w:proofErr w:type="spellEnd"/>
      <w:r>
        <w:rPr>
          <w:sz w:val="22"/>
        </w:rPr>
        <w:t xml:space="preserve"> (International Society on </w:t>
      </w:r>
      <w:proofErr w:type="spellStart"/>
      <w:r>
        <w:rPr>
          <w:sz w:val="22"/>
        </w:rPr>
        <w:t>Thrombosis</w:t>
      </w:r>
      <w:proofErr w:type="spellEnd"/>
      <w:r>
        <w:rPr>
          <w:sz w:val="22"/>
        </w:rPr>
        <w:t xml:space="preserve"> and </w:t>
      </w:r>
      <w:proofErr w:type="spellStart"/>
      <w:r>
        <w:rPr>
          <w:sz w:val="22"/>
        </w:rPr>
        <w:t>Haemostasis</w:t>
      </w:r>
      <w:proofErr w:type="spellEnd"/>
      <w:r>
        <w:rPr>
          <w:sz w:val="22"/>
        </w:rPr>
        <w:t xml:space="preserve"> – ISTH). </w:t>
      </w:r>
    </w:p>
    <w:p w14:paraId="5605596E" w14:textId="77777777" w:rsidR="00DD5C72" w:rsidRDefault="00DD5C72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†Klinicky relevantné, nezávažné</w:t>
      </w:r>
    </w:p>
    <w:p w14:paraId="2644AF39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402E48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Celková miera prerušenia z dôvodu nežiaducich reakcií v štúdii ARISTOTLE bola 1,8 % pre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 2,6 % pre 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. </w:t>
      </w:r>
    </w:p>
    <w:p w14:paraId="6E05686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0823591" w14:textId="48B16BF0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Výsledky účinnosti pre vopred špecifikované podskupiny, vrátane </w:t>
      </w:r>
      <w:r w:rsidR="00FE1B63">
        <w:rPr>
          <w:sz w:val="22"/>
        </w:rPr>
        <w:t xml:space="preserve">skóre </w:t>
      </w:r>
      <w:r>
        <w:rPr>
          <w:sz w:val="22"/>
        </w:rPr>
        <w:t>CHADS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veku, telesnej hmotnosti, pohlavia, stavu funkcie obličiek, predchádzajúcej </w:t>
      </w:r>
      <w:r w:rsidR="00FE1B63">
        <w:rPr>
          <w:sz w:val="22"/>
        </w:rPr>
        <w:t>cievnej</w:t>
      </w:r>
      <w:r>
        <w:rPr>
          <w:sz w:val="22"/>
        </w:rPr>
        <w:t xml:space="preserve"> mozgovej príhody alebo TIA a diabetu, boli zhodné s primárnymi výsledkami účinnosti pre celkovú populáciu skúmanú v klinickom skúšaní. </w:t>
      </w:r>
    </w:p>
    <w:p w14:paraId="7E4DDDE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C46EC25" w14:textId="4461D36C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proofErr w:type="spellStart"/>
      <w:r>
        <w:rPr>
          <w:sz w:val="22"/>
        </w:rPr>
        <w:t>Incidencia</w:t>
      </w:r>
      <w:proofErr w:type="spellEnd"/>
      <w:r>
        <w:rPr>
          <w:sz w:val="22"/>
        </w:rPr>
        <w:t xml:space="preserve"> ISTH definovaných závažných </w:t>
      </w:r>
      <w:proofErr w:type="spellStart"/>
      <w:r>
        <w:rPr>
          <w:sz w:val="22"/>
        </w:rPr>
        <w:t>gastrointestinálnych</w:t>
      </w:r>
      <w:proofErr w:type="spellEnd"/>
      <w:r>
        <w:rPr>
          <w:sz w:val="22"/>
        </w:rPr>
        <w:t xml:space="preserve"> krvácaní (vrátane krvácania do horného GI traktu, do dolného GI traktu a </w:t>
      </w:r>
      <w:proofErr w:type="spellStart"/>
      <w:r>
        <w:rPr>
          <w:sz w:val="22"/>
        </w:rPr>
        <w:t>rektálneho</w:t>
      </w:r>
      <w:proofErr w:type="spellEnd"/>
      <w:r>
        <w:rPr>
          <w:sz w:val="22"/>
        </w:rPr>
        <w:t xml:space="preserve"> krvácania) bola 0,76 %/rok </w:t>
      </w:r>
      <w:r w:rsidR="00FE1B63">
        <w:rPr>
          <w:sz w:val="22"/>
        </w:rPr>
        <w:t>pri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a 0,86 %/rok </w:t>
      </w:r>
      <w:r w:rsidR="00FE1B63">
        <w:rPr>
          <w:sz w:val="22"/>
        </w:rPr>
        <w:t>pri</w:t>
      </w:r>
      <w:r>
        <w:rPr>
          <w:sz w:val="22"/>
        </w:rPr>
        <w:t xml:space="preserve"> </w:t>
      </w:r>
      <w:proofErr w:type="spellStart"/>
      <w:r>
        <w:rPr>
          <w:sz w:val="22"/>
        </w:rPr>
        <w:t>warfaríne</w:t>
      </w:r>
      <w:proofErr w:type="spellEnd"/>
      <w:r>
        <w:rPr>
          <w:sz w:val="22"/>
        </w:rPr>
        <w:t xml:space="preserve">. </w:t>
      </w:r>
    </w:p>
    <w:p w14:paraId="17DDF96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9B65DA1" w14:textId="77F8B803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Výsledky závažného krvácania pre vopred špecifikované podskupiny, vrátane </w:t>
      </w:r>
      <w:r w:rsidR="00EA124E">
        <w:rPr>
          <w:sz w:val="22"/>
        </w:rPr>
        <w:t xml:space="preserve">skóre </w:t>
      </w:r>
      <w:r>
        <w:rPr>
          <w:sz w:val="22"/>
        </w:rPr>
        <w:t>CHADS</w:t>
      </w:r>
      <w:r w:rsidRPr="006D26A7">
        <w:rPr>
          <w:sz w:val="22"/>
          <w:vertAlign w:val="subscript"/>
        </w:rPr>
        <w:t>2</w:t>
      </w:r>
      <w:r>
        <w:rPr>
          <w:sz w:val="22"/>
        </w:rPr>
        <w:t xml:space="preserve">, veku, telesnej hmotnosti, pohlavia, stavu funkcie obličiek, predchádzajúcej </w:t>
      </w:r>
      <w:r w:rsidR="00B506A5">
        <w:rPr>
          <w:sz w:val="22"/>
        </w:rPr>
        <w:t>cievnej</w:t>
      </w:r>
      <w:r>
        <w:rPr>
          <w:sz w:val="22"/>
        </w:rPr>
        <w:t xml:space="preserve"> mozgovej príhody alebo TIA a diabetu, boli zhodné s výsledkami pre celkovú populáciu skúmanú v klinickom skúšaní. </w:t>
      </w:r>
    </w:p>
    <w:p w14:paraId="2432C893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B45762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>ŠTÚDIA AVERROES</w:t>
      </w:r>
      <w:r>
        <w:rPr>
          <w:i/>
          <w:sz w:val="22"/>
        </w:rPr>
        <w:t xml:space="preserve"> </w:t>
      </w:r>
    </w:p>
    <w:p w14:paraId="42D1E22C" w14:textId="33ACE053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štúdii AVERROES bolo randomizovaných celkovo 5 598 pacientov, považovaných skúšajúcimi za nevhodných pre VKA, na liečbu 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v dávke 5 mg dvakrát denne (alebo 2,5 mg dvakrát denne u vybraných pacientov [6,4 %], pozri časť 4.2) alebo ASA</w:t>
      </w:r>
      <w:r w:rsidR="00A372B7">
        <w:rPr>
          <w:sz w:val="22"/>
        </w:rPr>
        <w:t>.</w:t>
      </w:r>
      <w:r>
        <w:rPr>
          <w:sz w:val="22"/>
        </w:rPr>
        <w:t xml:space="preserve"> ASA sa podávala jedenkrát denne v dávke 81 mg (64 %), 162 </w:t>
      </w:r>
      <w:r w:rsidR="00A372B7">
        <w:rPr>
          <w:sz w:val="22"/>
        </w:rPr>
        <w:t>mg</w:t>
      </w:r>
      <w:r>
        <w:rPr>
          <w:sz w:val="22"/>
        </w:rPr>
        <w:t xml:space="preserve"> (26,9 %), 243 </w:t>
      </w:r>
      <w:r w:rsidR="00A372B7">
        <w:rPr>
          <w:sz w:val="22"/>
        </w:rPr>
        <w:t>mg</w:t>
      </w:r>
      <w:r>
        <w:rPr>
          <w:sz w:val="22"/>
        </w:rPr>
        <w:t xml:space="preserve"> (2,1 %) alebo 324 mg (6,6 %) podľa uváženia skúšajúceho. Pacienti boli vystavení skúmanému lie</w:t>
      </w:r>
      <w:r w:rsidR="00A372B7">
        <w:rPr>
          <w:sz w:val="22"/>
        </w:rPr>
        <w:t>čivu</w:t>
      </w:r>
      <w:r>
        <w:rPr>
          <w:sz w:val="22"/>
        </w:rPr>
        <w:t xml:space="preserve"> v priemere 14 mesiacov. Priemerný vek bol 69,9 roka, priemerné </w:t>
      </w:r>
      <w:r w:rsidR="00A372B7">
        <w:rPr>
          <w:sz w:val="22"/>
        </w:rPr>
        <w:t xml:space="preserve">skóre </w:t>
      </w:r>
      <w:r>
        <w:rPr>
          <w:sz w:val="22"/>
        </w:rPr>
        <w:t>CHADS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 bolo 2,0 a 13,6 % pacientov malo v</w:t>
      </w:r>
      <w:r w:rsidR="00A372B7">
        <w:rPr>
          <w:sz w:val="22"/>
        </w:rPr>
        <w:t> </w:t>
      </w:r>
      <w:r>
        <w:rPr>
          <w:sz w:val="22"/>
        </w:rPr>
        <w:t>minulosti</w:t>
      </w:r>
      <w:r w:rsidR="00A372B7">
        <w:rPr>
          <w:sz w:val="22"/>
        </w:rPr>
        <w:t xml:space="preserve"> cievnu</w:t>
      </w:r>
      <w:r>
        <w:rPr>
          <w:sz w:val="22"/>
        </w:rPr>
        <w:t xml:space="preserve"> mozgovú príhodu alebo TIA. </w:t>
      </w:r>
    </w:p>
    <w:p w14:paraId="08DE9A7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ED7761B" w14:textId="3933E854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Časté dôvody nevhodnosti pre liečbu VKA v štúdii AVERROES zahŕňali neschopnosť/nepravdepodobnosť dosiahnutia INR v požadovaných intervaloch (42,6 %), pacient odmietol liečbu  VKA (37,4 %), </w:t>
      </w:r>
      <w:r w:rsidR="00A372B7">
        <w:rPr>
          <w:sz w:val="22"/>
        </w:rPr>
        <w:t xml:space="preserve">skóre </w:t>
      </w:r>
      <w:r>
        <w:rPr>
          <w:sz w:val="22"/>
        </w:rPr>
        <w:t>CHADS</w:t>
      </w:r>
      <w:r w:rsidRPr="006D26A7">
        <w:rPr>
          <w:sz w:val="22"/>
          <w:vertAlign w:val="subscript"/>
        </w:rPr>
        <w:t>2</w:t>
      </w:r>
      <w:r>
        <w:rPr>
          <w:sz w:val="22"/>
        </w:rPr>
        <w:t xml:space="preserve">  = 1 a lekár neodporučil VKA (21,3 %), na pacienta sa nedalo spoľahnúť, že bude užívať VKA podľa predpisu (15,0 %) a náročnosť/očakávaná náročnosť kontaktovania pacienta v prípade urgentnej zmeny dávky (11,7 %). </w:t>
      </w:r>
    </w:p>
    <w:p w14:paraId="0ADAC53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5CCE644" w14:textId="1CF78134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Štúdia AVERROES bola ukončená predčasne na základe odporúčania nezávislého Výboru pre monitorovanie údajov z dôvodu jasného dôkazu zníženia </w:t>
      </w:r>
      <w:r w:rsidR="00A372B7">
        <w:rPr>
          <w:sz w:val="22"/>
        </w:rPr>
        <w:t xml:space="preserve">počtu cievnej </w:t>
      </w:r>
      <w:r>
        <w:rPr>
          <w:sz w:val="22"/>
        </w:rPr>
        <w:t xml:space="preserve">mozgovej príhody a systémovej embólie s prijateľným bezpečnostným profilom. </w:t>
      </w:r>
    </w:p>
    <w:p w14:paraId="20AA67E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461521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Celková miera prerušenia z dôvodu nežiaducich reakcií v štúdii AVERROES bola 1,5 % pre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 1,3 % pre ASA. </w:t>
      </w:r>
    </w:p>
    <w:p w14:paraId="64977DF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2C87AB9" w14:textId="1764B36A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štúdii dosiahol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štatisticky významnú prevahu v primárnom </w:t>
      </w:r>
      <w:r w:rsidR="00B07B77">
        <w:rPr>
          <w:sz w:val="22"/>
        </w:rPr>
        <w:t>cieľovom</w:t>
      </w:r>
      <w:r>
        <w:rPr>
          <w:sz w:val="22"/>
        </w:rPr>
        <w:t xml:space="preserve"> ukazovateli prevencie </w:t>
      </w:r>
      <w:r w:rsidR="00B07B77">
        <w:rPr>
          <w:sz w:val="22"/>
        </w:rPr>
        <w:t>cievnej</w:t>
      </w:r>
      <w:r>
        <w:rPr>
          <w:sz w:val="22"/>
        </w:rPr>
        <w:t xml:space="preserve"> mozgovej príhody (</w:t>
      </w:r>
      <w:proofErr w:type="spellStart"/>
      <w:r>
        <w:rPr>
          <w:sz w:val="22"/>
        </w:rPr>
        <w:t>hemoragickej</w:t>
      </w:r>
      <w:proofErr w:type="spellEnd"/>
      <w:r>
        <w:rPr>
          <w:sz w:val="22"/>
        </w:rPr>
        <w:t xml:space="preserve">, ischemickej alebo nešpecifikovanej) alebo systémovej embólie (pozri tabuľku 6) v porovnaní s ASA. </w:t>
      </w:r>
    </w:p>
    <w:p w14:paraId="0018C6B4" w14:textId="77777777" w:rsidR="00B07789" w:rsidRPr="00A731E1" w:rsidRDefault="00635B73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18BA368" w14:textId="120B7553" w:rsidR="00B07789" w:rsidRPr="005B4827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Tabuľka 6: Kľúčové výsledky účinnosti u pacientov s </w:t>
      </w:r>
      <w:proofErr w:type="spellStart"/>
      <w:r>
        <w:rPr>
          <w:b/>
          <w:sz w:val="22"/>
        </w:rPr>
        <w:t>fibriláciou</w:t>
      </w:r>
      <w:proofErr w:type="spellEnd"/>
      <w:r>
        <w:rPr>
          <w:b/>
          <w:sz w:val="22"/>
        </w:rPr>
        <w:t xml:space="preserve"> predsiení v štúdii AVERROES </w:t>
      </w:r>
    </w:p>
    <w:tbl>
      <w:tblPr>
        <w:tblStyle w:val="TableGrid"/>
        <w:tblW w:w="9554" w:type="dxa"/>
        <w:tblInd w:w="-53" w:type="dxa"/>
        <w:tblCellMar>
          <w:top w:w="53" w:type="dxa"/>
          <w:left w:w="101" w:type="dxa"/>
          <w:right w:w="81" w:type="dxa"/>
        </w:tblCellMar>
        <w:tblLook w:val="04A0" w:firstRow="1" w:lastRow="0" w:firstColumn="1" w:lastColumn="0" w:noHBand="0" w:noVBand="1"/>
      </w:tblPr>
      <w:tblGrid>
        <w:gridCol w:w="3052"/>
        <w:gridCol w:w="1845"/>
        <w:gridCol w:w="1845"/>
        <w:gridCol w:w="1845"/>
        <w:gridCol w:w="967"/>
      </w:tblGrid>
      <w:tr w:rsidR="00B07789" w:rsidRPr="00A731E1" w14:paraId="37C7C456" w14:textId="77777777" w:rsidTr="002967BA">
        <w:trPr>
          <w:trHeight w:val="874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508B993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C44059" w14:textId="77777777" w:rsidR="00B07789" w:rsidRPr="00A731E1" w:rsidRDefault="00D25089" w:rsidP="002967BA">
            <w:pPr>
              <w:keepNext/>
              <w:spacing w:after="0" w:line="240" w:lineRule="auto"/>
              <w:ind w:left="0" w:right="25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  <w:p w14:paraId="05E59198" w14:textId="77777777" w:rsidR="00B07789" w:rsidRPr="00A731E1" w:rsidRDefault="00D25089" w:rsidP="002967BA">
            <w:pPr>
              <w:keepNext/>
              <w:spacing w:after="0" w:line="240" w:lineRule="auto"/>
              <w:ind w:left="0" w:right="51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 = 2 807 n (%/rok)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F200D" w14:textId="77777777" w:rsidR="0002017F" w:rsidRDefault="0002017F" w:rsidP="002967BA">
            <w:pPr>
              <w:keepNext/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ASA</w:t>
            </w:r>
          </w:p>
          <w:p w14:paraId="064D7688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 = 2 791 n (%/rok)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C8F0C8" w14:textId="77777777" w:rsidR="00B07789" w:rsidRPr="00A731E1" w:rsidRDefault="00D25089" w:rsidP="002967BA">
            <w:pPr>
              <w:keepNext/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Pomer rizík</w:t>
            </w:r>
          </w:p>
          <w:p w14:paraId="0BCA1D66" w14:textId="77777777" w:rsidR="00B07789" w:rsidRPr="00A731E1" w:rsidRDefault="00D25089" w:rsidP="002967BA">
            <w:pPr>
              <w:keepNext/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(95 % IS)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D68561" w14:textId="7A0D671F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hodnota</w:t>
            </w:r>
            <w:r w:rsidR="00C22708">
              <w:rPr>
                <w:b/>
                <w:sz w:val="22"/>
              </w:rPr>
              <w:t xml:space="preserve"> p</w:t>
            </w:r>
          </w:p>
        </w:tc>
      </w:tr>
      <w:tr w:rsidR="00B07789" w:rsidRPr="00A731E1" w14:paraId="339EBFB8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5C3F8E1" w14:textId="6F39F8EF" w:rsidR="00B07789" w:rsidRPr="00A731E1" w:rsidRDefault="00E478FD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Cievna m</w:t>
            </w:r>
            <w:r w:rsidR="00D25089">
              <w:rPr>
                <w:sz w:val="22"/>
              </w:rPr>
              <w:t xml:space="preserve">ozgová príhoda alebo systémová embólia*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2F76DA" w14:textId="77777777" w:rsidR="00B07789" w:rsidRPr="00A731E1" w:rsidRDefault="00D25089" w:rsidP="002967BA">
            <w:pPr>
              <w:keepNext/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51 (1,62)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F5BFE" w14:textId="77777777" w:rsidR="00B07789" w:rsidRPr="00A731E1" w:rsidRDefault="00D25089" w:rsidP="002967BA">
            <w:pPr>
              <w:keepNext/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113 (3,63)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EA8EE1A" w14:textId="77777777" w:rsidR="00B07789" w:rsidRPr="00A731E1" w:rsidRDefault="00D25089" w:rsidP="002967BA">
            <w:pPr>
              <w:keepNext/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0,45 (0,32; 0,62)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C31239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&lt; 0,0001</w:t>
            </w:r>
          </w:p>
        </w:tc>
      </w:tr>
      <w:tr w:rsidR="00B07789" w:rsidRPr="00A731E1" w14:paraId="4F6B89F1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C2DB35C" w14:textId="1E0FDF97" w:rsidR="00B07789" w:rsidRPr="00A731E1" w:rsidRDefault="00E478FD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Cievna m</w:t>
            </w:r>
            <w:r w:rsidR="00D25089">
              <w:rPr>
                <w:sz w:val="22"/>
              </w:rPr>
              <w:t xml:space="preserve">ozgová príhoda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46C623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BEDFB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5571AC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F6DC3B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52DEEC82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97B977" w14:textId="77777777" w:rsidR="00B07789" w:rsidRPr="00A731E1" w:rsidRDefault="00D25089" w:rsidP="00833B71">
            <w:pPr>
              <w:spacing w:after="0" w:line="240" w:lineRule="auto"/>
              <w:ind w:left="0" w:right="53" w:firstLine="0"/>
              <w:rPr>
                <w:sz w:val="22"/>
              </w:rPr>
            </w:pPr>
            <w:r>
              <w:rPr>
                <w:sz w:val="22"/>
              </w:rPr>
              <w:t xml:space="preserve">Ischemická alebo nešpecifikovaná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6B2FF0B" w14:textId="77777777" w:rsidR="00B07789" w:rsidRPr="00A731E1" w:rsidRDefault="00D25089" w:rsidP="002967BA">
            <w:pPr>
              <w:spacing w:after="0" w:line="240" w:lineRule="auto"/>
              <w:ind w:left="0" w:right="21" w:firstLine="0"/>
              <w:jc w:val="center"/>
              <w:rPr>
                <w:sz w:val="22"/>
              </w:rPr>
            </w:pPr>
            <w:r>
              <w:rPr>
                <w:sz w:val="22"/>
              </w:rPr>
              <w:t>43 (1,37)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F29BB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97 (3,11)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120B183" w14:textId="77777777" w:rsidR="00B07789" w:rsidRPr="00A731E1" w:rsidRDefault="00D25089" w:rsidP="002967BA">
            <w:pPr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0,44 (0,31; 0,63)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46F2D7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7EE28DD7" w14:textId="77777777" w:rsidTr="002967BA">
        <w:trPr>
          <w:trHeight w:val="248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241F3A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Hemoragická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CED267" w14:textId="77777777" w:rsidR="00B07789" w:rsidRPr="00A731E1" w:rsidRDefault="00D25089" w:rsidP="002967BA">
            <w:pPr>
              <w:spacing w:after="0" w:line="240" w:lineRule="auto"/>
              <w:ind w:left="0" w:right="25" w:firstLine="0"/>
              <w:jc w:val="center"/>
              <w:rPr>
                <w:sz w:val="22"/>
              </w:rPr>
            </w:pPr>
            <w:r>
              <w:rPr>
                <w:sz w:val="22"/>
              </w:rPr>
              <w:t>6 (0,19)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AAD90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9 (0,28)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910F67" w14:textId="77777777" w:rsidR="00B07789" w:rsidRPr="00A731E1" w:rsidRDefault="00D25089" w:rsidP="002967BA">
            <w:pPr>
              <w:spacing w:after="0" w:line="240" w:lineRule="auto"/>
              <w:ind w:left="0" w:right="21" w:firstLine="0"/>
              <w:jc w:val="center"/>
              <w:rPr>
                <w:sz w:val="22"/>
              </w:rPr>
            </w:pPr>
            <w:r>
              <w:rPr>
                <w:sz w:val="22"/>
              </w:rPr>
              <w:t>0,67 (0,24; 1,88)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08D510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1687D928" w14:textId="77777777" w:rsidTr="002967BA">
        <w:trPr>
          <w:trHeight w:val="248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46878CD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Systémová embólia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EF2883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2 (0,06)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F213D6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13 (0,41)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EFE84F" w14:textId="77777777" w:rsidR="00B07789" w:rsidRPr="00A731E1" w:rsidRDefault="00D25089" w:rsidP="002967BA">
            <w:pPr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0,15 (0,03; 0,68)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A4B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1FE18DC8" w14:textId="77777777" w:rsidTr="002967BA">
        <w:trPr>
          <w:trHeight w:val="485"/>
        </w:trPr>
        <w:tc>
          <w:tcPr>
            <w:tcW w:w="30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4A29B4F" w14:textId="62015395" w:rsidR="00B07789" w:rsidRPr="00A731E1" w:rsidRDefault="00E478FD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Cievna m</w:t>
            </w:r>
            <w:r w:rsidR="00D25089">
              <w:rPr>
                <w:sz w:val="22"/>
              </w:rPr>
              <w:t xml:space="preserve">ozgová príhoda, systémová embólia, IM alebo </w:t>
            </w:r>
            <w:proofErr w:type="spellStart"/>
            <w:r w:rsidR="00D25089">
              <w:rPr>
                <w:sz w:val="22"/>
              </w:rPr>
              <w:t>vaskulárne</w:t>
            </w:r>
            <w:proofErr w:type="spellEnd"/>
            <w:r w:rsidR="00D25089">
              <w:rPr>
                <w:sz w:val="22"/>
              </w:rPr>
              <w:t xml:space="preserve"> úmrtie*†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2D265B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132 (4,21)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51FE3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197 (6,35)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3453575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0,66 (0,53; 0,83)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0BC38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0,003</w:t>
            </w:r>
          </w:p>
        </w:tc>
      </w:tr>
      <w:tr w:rsidR="00B07789" w:rsidRPr="00A731E1" w14:paraId="5B6EBE3F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08F88A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Infarkt myokardu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339988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24 (0,76)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5B040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28 (0,89)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9769C7" w14:textId="77777777" w:rsidR="00B07789" w:rsidRPr="00A731E1" w:rsidRDefault="00D25089" w:rsidP="002967BA">
            <w:pPr>
              <w:spacing w:after="0" w:line="240" w:lineRule="auto"/>
              <w:ind w:left="0" w:right="21" w:firstLine="0"/>
              <w:jc w:val="center"/>
              <w:rPr>
                <w:sz w:val="22"/>
              </w:rPr>
            </w:pPr>
            <w:r>
              <w:rPr>
                <w:sz w:val="22"/>
              </w:rPr>
              <w:t>0,86 (0,50; 1,48)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C1F206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6CA79F57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8570A5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Vaskulárne</w:t>
            </w:r>
            <w:proofErr w:type="spellEnd"/>
            <w:r>
              <w:rPr>
                <w:sz w:val="22"/>
              </w:rPr>
              <w:t xml:space="preserve"> úmrtie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3F4A27" w14:textId="77777777" w:rsidR="00B07789" w:rsidRPr="00A731E1" w:rsidRDefault="00D25089" w:rsidP="002967BA">
            <w:pPr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84 (2,65)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C7656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96 (3,03)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824959D" w14:textId="77777777" w:rsidR="00B07789" w:rsidRPr="00A731E1" w:rsidRDefault="00D25089" w:rsidP="002967BA">
            <w:pPr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0,87 (0,65; 1,17)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8C6FBD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00191D43" w14:textId="77777777" w:rsidTr="002967BA">
        <w:trPr>
          <w:trHeight w:val="247"/>
        </w:trPr>
        <w:tc>
          <w:tcPr>
            <w:tcW w:w="3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598CC35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Úmrtie z akejkoľvek príčiny</w:t>
            </w:r>
            <w:r>
              <w:rPr>
                <w:sz w:val="22"/>
                <w:vertAlign w:val="superscript"/>
              </w:rPr>
              <w:t>†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DEF3FC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111 (3,51)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BF38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140 (4,42)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8AEBBC9" w14:textId="77777777" w:rsidR="00B07789" w:rsidRPr="00A731E1" w:rsidRDefault="00D25089" w:rsidP="002967BA">
            <w:pPr>
              <w:spacing w:after="0" w:line="240" w:lineRule="auto"/>
              <w:ind w:left="0" w:right="22" w:firstLine="0"/>
              <w:jc w:val="center"/>
              <w:rPr>
                <w:sz w:val="22"/>
              </w:rPr>
            </w:pPr>
            <w:r>
              <w:rPr>
                <w:sz w:val="22"/>
              </w:rPr>
              <w:t>0,79 (0,62; 1,02)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66E2D7" w14:textId="77777777" w:rsidR="00B07789" w:rsidRPr="00A731E1" w:rsidRDefault="00D25089" w:rsidP="002967BA">
            <w:pPr>
              <w:spacing w:after="0" w:line="240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0,068</w:t>
            </w:r>
          </w:p>
        </w:tc>
      </w:tr>
    </w:tbl>
    <w:p w14:paraId="5E844DE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* Hodnotené sekvenčnou testovacou stratégiou navrhnutou na kontrolu celkovej chyby typu I v klinickom skúšaní. </w:t>
      </w:r>
    </w:p>
    <w:p w14:paraId="14AEA551" w14:textId="67F07004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† Sekundárny </w:t>
      </w:r>
      <w:r w:rsidR="00E478FD">
        <w:rPr>
          <w:sz w:val="22"/>
        </w:rPr>
        <w:t>cieľový</w:t>
      </w:r>
      <w:r>
        <w:rPr>
          <w:sz w:val="22"/>
        </w:rPr>
        <w:t xml:space="preserve"> ukazovateľ. </w:t>
      </w:r>
    </w:p>
    <w:p w14:paraId="0B08CD3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 </w:t>
      </w:r>
    </w:p>
    <w:p w14:paraId="6BB5D168" w14:textId="642C53EB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incidencii závažného krvácania sa nezistil žiadny štatisticky významný rozdiel medzi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a ASA (pozri tabuľku 7). </w:t>
      </w:r>
    </w:p>
    <w:p w14:paraId="392F6A7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B14D982" w14:textId="009021E3" w:rsidR="00B07789" w:rsidRPr="00F516E4" w:rsidRDefault="00D25089" w:rsidP="00833B71">
      <w:pPr>
        <w:keepNext/>
        <w:spacing w:after="0" w:line="240" w:lineRule="auto"/>
        <w:ind w:left="0"/>
        <w:rPr>
          <w:b/>
          <w:sz w:val="22"/>
        </w:rPr>
      </w:pPr>
      <w:r>
        <w:rPr>
          <w:b/>
          <w:sz w:val="22"/>
        </w:rPr>
        <w:t xml:space="preserve">Tabuľka 7: Krvácavé udalosti u pacientov s </w:t>
      </w:r>
      <w:proofErr w:type="spellStart"/>
      <w:r>
        <w:rPr>
          <w:b/>
          <w:sz w:val="22"/>
        </w:rPr>
        <w:t>fibriláciou</w:t>
      </w:r>
      <w:proofErr w:type="spellEnd"/>
      <w:r>
        <w:rPr>
          <w:b/>
          <w:sz w:val="22"/>
        </w:rPr>
        <w:t xml:space="preserve"> predsiení v štúdii AVERROES</w:t>
      </w:r>
      <w:r>
        <w:rPr>
          <w:b/>
          <w:i/>
          <w:sz w:val="22"/>
        </w:rPr>
        <w:t xml:space="preserve"> </w:t>
      </w:r>
    </w:p>
    <w:tbl>
      <w:tblPr>
        <w:tblStyle w:val="TableGrid"/>
        <w:tblW w:w="9547" w:type="dxa"/>
        <w:tblInd w:w="-53" w:type="dxa"/>
        <w:tblCellMar>
          <w:top w:w="54" w:type="dxa"/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3036"/>
        <w:gridCol w:w="1850"/>
        <w:gridCol w:w="1850"/>
        <w:gridCol w:w="1850"/>
        <w:gridCol w:w="961"/>
      </w:tblGrid>
      <w:tr w:rsidR="00B07789" w:rsidRPr="00A731E1" w14:paraId="759E8AC6" w14:textId="77777777" w:rsidTr="002967BA">
        <w:trPr>
          <w:trHeight w:val="724"/>
        </w:trPr>
        <w:tc>
          <w:tcPr>
            <w:tcW w:w="30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9E92E7D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A9385F" w14:textId="77777777" w:rsidR="00F516E4" w:rsidRDefault="00D25089" w:rsidP="00833B71">
            <w:pPr>
              <w:keepNext/>
              <w:spacing w:after="0" w:line="240" w:lineRule="auto"/>
              <w:ind w:left="0" w:right="16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3E44882" w14:textId="77777777" w:rsidR="00B07789" w:rsidRPr="00A731E1" w:rsidRDefault="00D25089" w:rsidP="00833B71">
            <w:pPr>
              <w:keepNext/>
              <w:spacing w:after="0" w:line="240" w:lineRule="auto"/>
              <w:ind w:left="0" w:right="16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N = 2 798 n (%/rok)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BEA5AE" w14:textId="77777777" w:rsidR="00F516E4" w:rsidRDefault="00D25089" w:rsidP="00833B71">
            <w:pPr>
              <w:keepNext/>
              <w:spacing w:after="0" w:line="240" w:lineRule="auto"/>
              <w:ind w:left="0" w:right="17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ASA </w:t>
            </w:r>
          </w:p>
          <w:p w14:paraId="07E6C0D5" w14:textId="77777777" w:rsidR="00B07789" w:rsidRPr="00A731E1" w:rsidRDefault="00D25089" w:rsidP="00833B71">
            <w:pPr>
              <w:keepNext/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N = 2 780 n (%/rok)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805CD5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Pomer rizika (95 % IS)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762CB8" w14:textId="135EB70E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hodnota</w:t>
            </w:r>
            <w:r w:rsidR="00C22708">
              <w:rPr>
                <w:b/>
                <w:sz w:val="22"/>
              </w:rPr>
              <w:t xml:space="preserve"> p</w:t>
            </w:r>
          </w:p>
        </w:tc>
      </w:tr>
      <w:tr w:rsidR="00B07789" w:rsidRPr="00A731E1" w14:paraId="7CC6CF21" w14:textId="77777777" w:rsidTr="002967BA">
        <w:trPr>
          <w:trHeight w:val="284"/>
        </w:trPr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3EB867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Závažné*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35259B" w14:textId="77777777" w:rsidR="00B07789" w:rsidRPr="00A731E1" w:rsidRDefault="00D25089" w:rsidP="002967BA">
            <w:pPr>
              <w:keepNext/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45 (1,41)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F06B26" w14:textId="77777777" w:rsidR="00B07789" w:rsidRPr="00A731E1" w:rsidRDefault="00D25089" w:rsidP="002967BA">
            <w:pPr>
              <w:keepNext/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29 (0,92)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615A" w14:textId="77777777" w:rsidR="00B07789" w:rsidRPr="00A731E1" w:rsidRDefault="00D25089" w:rsidP="002967BA">
            <w:pPr>
              <w:keepNext/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1,54 (0,96; 2,45)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9DA6" w14:textId="77777777" w:rsidR="00B07789" w:rsidRPr="00A731E1" w:rsidRDefault="00D25089" w:rsidP="002967BA">
            <w:pPr>
              <w:keepNext/>
              <w:spacing w:after="0" w:line="240" w:lineRule="auto"/>
              <w:ind w:left="0" w:right="16" w:firstLine="0"/>
              <w:jc w:val="center"/>
              <w:rPr>
                <w:sz w:val="22"/>
              </w:rPr>
            </w:pPr>
            <w:r>
              <w:rPr>
                <w:sz w:val="22"/>
              </w:rPr>
              <w:t>0,0716</w:t>
            </w:r>
          </w:p>
        </w:tc>
      </w:tr>
      <w:tr w:rsidR="00B07789" w:rsidRPr="00A731E1" w14:paraId="35893E84" w14:textId="77777777" w:rsidTr="002967BA">
        <w:trPr>
          <w:trHeight w:val="284"/>
        </w:trPr>
        <w:tc>
          <w:tcPr>
            <w:tcW w:w="3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051F6B" w14:textId="77777777" w:rsidR="00B07789" w:rsidRPr="00A731E1" w:rsidRDefault="00D25089" w:rsidP="002967BA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Fatálne, 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934495" w14:textId="77777777" w:rsidR="00B07789" w:rsidRPr="00A731E1" w:rsidRDefault="00D25089" w:rsidP="002967BA">
            <w:pPr>
              <w:spacing w:after="0" w:line="240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>5 (0,16)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BAD395" w14:textId="77777777" w:rsidR="00B07789" w:rsidRPr="00A731E1" w:rsidRDefault="00D25089" w:rsidP="002967BA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5 (0,16)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198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597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F516E4" w:rsidRPr="00A731E1" w14:paraId="75F12FE5" w14:textId="77777777" w:rsidTr="002967BA">
        <w:trPr>
          <w:trHeight w:val="223"/>
        </w:trPr>
        <w:tc>
          <w:tcPr>
            <w:tcW w:w="3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300B51" w14:textId="77777777" w:rsidR="00F516E4" w:rsidRPr="00A731E1" w:rsidRDefault="00F516E4" w:rsidP="002967BA">
            <w:pPr>
              <w:spacing w:after="0" w:line="240" w:lineRule="auto"/>
              <w:ind w:left="229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Intrakraniálne</w:t>
            </w:r>
            <w:proofErr w:type="spellEnd"/>
            <w:r>
              <w:rPr>
                <w:sz w:val="22"/>
              </w:rPr>
              <w:t xml:space="preserve">, 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2F198F" w14:textId="77777777" w:rsidR="00F516E4" w:rsidRPr="00A731E1" w:rsidRDefault="00F516E4" w:rsidP="002967BA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11 (0,34)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F47BF6" w14:textId="77777777" w:rsidR="00F516E4" w:rsidRPr="00A731E1" w:rsidRDefault="00F516E4" w:rsidP="002967BA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11 (0,35)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4D42" w14:textId="77777777" w:rsidR="00F516E4" w:rsidRPr="00A731E1" w:rsidRDefault="00F516E4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9BFF" w14:textId="77777777" w:rsidR="00F516E4" w:rsidRPr="00A731E1" w:rsidRDefault="00F516E4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33C5C419" w14:textId="77777777" w:rsidTr="002967BA">
        <w:trPr>
          <w:trHeight w:val="284"/>
        </w:trPr>
        <w:tc>
          <w:tcPr>
            <w:tcW w:w="3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C7661E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 + CRNM†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A5658A" w14:textId="77777777" w:rsidR="00B07789" w:rsidRPr="00A731E1" w:rsidRDefault="00D25089" w:rsidP="002967BA">
            <w:pPr>
              <w:spacing w:after="0" w:line="240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140 (4,46)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353467" w14:textId="77777777" w:rsidR="00B07789" w:rsidRPr="00A731E1" w:rsidRDefault="00D25089" w:rsidP="002967BA">
            <w:pPr>
              <w:spacing w:after="0" w:line="240" w:lineRule="auto"/>
              <w:ind w:left="0" w:right="21" w:firstLine="0"/>
              <w:jc w:val="center"/>
              <w:rPr>
                <w:sz w:val="22"/>
              </w:rPr>
            </w:pPr>
            <w:r>
              <w:rPr>
                <w:sz w:val="22"/>
              </w:rPr>
              <w:t>101 (3,24)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2206" w14:textId="77777777" w:rsidR="00B07789" w:rsidRPr="00A731E1" w:rsidRDefault="00D25089" w:rsidP="002967BA">
            <w:pPr>
              <w:spacing w:after="0" w:line="240" w:lineRule="auto"/>
              <w:ind w:left="0" w:right="21" w:firstLine="0"/>
              <w:jc w:val="center"/>
              <w:rPr>
                <w:sz w:val="22"/>
              </w:rPr>
            </w:pPr>
            <w:r>
              <w:rPr>
                <w:sz w:val="22"/>
              </w:rPr>
              <w:t>1,38 (1,07; 1,78)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E20D" w14:textId="77777777" w:rsidR="00B07789" w:rsidRPr="00A731E1" w:rsidRDefault="00D25089" w:rsidP="002967BA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0,0144</w:t>
            </w:r>
          </w:p>
        </w:tc>
      </w:tr>
      <w:tr w:rsidR="00B07789" w:rsidRPr="00A731E1" w14:paraId="65024542" w14:textId="77777777" w:rsidTr="002967BA">
        <w:trPr>
          <w:trHeight w:val="284"/>
        </w:trPr>
        <w:tc>
          <w:tcPr>
            <w:tcW w:w="30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500AF79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Všetky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589E3B" w14:textId="77777777" w:rsidR="00B07789" w:rsidRPr="00A731E1" w:rsidRDefault="00D25089" w:rsidP="002967BA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>325 (10,85)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0BB1F24" w14:textId="77777777" w:rsidR="00B07789" w:rsidRPr="00A731E1" w:rsidRDefault="00D25089" w:rsidP="002967BA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250 (8,32)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A67C86" w14:textId="77777777" w:rsidR="00B07789" w:rsidRPr="00A731E1" w:rsidRDefault="00D25089" w:rsidP="002967BA">
            <w:pPr>
              <w:spacing w:after="0" w:line="240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1,30 (1,10; 1,53)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03EF5B" w14:textId="77777777" w:rsidR="00B07789" w:rsidRPr="00A731E1" w:rsidRDefault="00D25089" w:rsidP="002967BA">
            <w:pPr>
              <w:spacing w:after="0" w:line="240" w:lineRule="auto"/>
              <w:ind w:left="0" w:right="17" w:firstLine="0"/>
              <w:jc w:val="center"/>
              <w:rPr>
                <w:sz w:val="22"/>
              </w:rPr>
            </w:pPr>
            <w:r>
              <w:rPr>
                <w:sz w:val="22"/>
              </w:rPr>
              <w:t>0,0017</w:t>
            </w:r>
          </w:p>
        </w:tc>
      </w:tr>
    </w:tbl>
    <w:p w14:paraId="2327CE98" w14:textId="77777777" w:rsidR="002967BA" w:rsidRDefault="00D25089" w:rsidP="006D26A7">
      <w:pPr>
        <w:spacing w:after="0" w:line="240" w:lineRule="auto"/>
        <w:ind w:left="0" w:right="48"/>
        <w:rPr>
          <w:sz w:val="22"/>
        </w:rPr>
      </w:pPr>
      <w:r>
        <w:rPr>
          <w:sz w:val="22"/>
        </w:rPr>
        <w:t xml:space="preserve">* Závažné krvácanie definované podľa kritérií Medzinárodnej spoločnosti pre trombózu a </w:t>
      </w:r>
      <w:proofErr w:type="spellStart"/>
      <w:r>
        <w:rPr>
          <w:sz w:val="22"/>
        </w:rPr>
        <w:t>hemostázu</w:t>
      </w:r>
      <w:proofErr w:type="spellEnd"/>
      <w:r>
        <w:rPr>
          <w:sz w:val="22"/>
        </w:rPr>
        <w:t xml:space="preserve"> (ISTH) </w:t>
      </w:r>
    </w:p>
    <w:p w14:paraId="6BE1FE4C" w14:textId="0DDA0AD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†Klinicky relevantné, nezávažné  </w:t>
      </w:r>
    </w:p>
    <w:p w14:paraId="57E59D13" w14:textId="77777777" w:rsidR="00B07789" w:rsidRPr="00A731E1" w:rsidRDefault="00D25089" w:rsidP="006D26A7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 xml:space="preserve">Pacienti podstupujúci </w:t>
      </w:r>
      <w:proofErr w:type="spellStart"/>
      <w:r>
        <w:rPr>
          <w:i/>
          <w:sz w:val="22"/>
          <w:u w:val="single" w:color="000000"/>
        </w:rPr>
        <w:t>kardioverziu</w:t>
      </w:r>
      <w:proofErr w:type="spellEnd"/>
      <w:r>
        <w:rPr>
          <w:i/>
          <w:sz w:val="22"/>
        </w:rPr>
        <w:t xml:space="preserve"> </w:t>
      </w:r>
    </w:p>
    <w:p w14:paraId="1EC7B84C" w14:textId="451F9863" w:rsidR="00B07789" w:rsidRPr="00A731E1" w:rsidRDefault="00D25089" w:rsidP="00833B71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Do štúdie EMANATE, otvorenej, </w:t>
      </w:r>
      <w:proofErr w:type="spellStart"/>
      <w:r>
        <w:rPr>
          <w:sz w:val="22"/>
        </w:rPr>
        <w:t>multicentrickej</w:t>
      </w:r>
      <w:proofErr w:type="spellEnd"/>
      <w:r>
        <w:rPr>
          <w:sz w:val="22"/>
        </w:rPr>
        <w:t xml:space="preserve"> štúdie, bolo zapojených 1 500 pacientov, ktorí predtým buď neužívali perorálnu </w:t>
      </w:r>
      <w:proofErr w:type="spellStart"/>
      <w:r>
        <w:rPr>
          <w:sz w:val="22"/>
        </w:rPr>
        <w:t>antikoagulačnú</w:t>
      </w:r>
      <w:proofErr w:type="spellEnd"/>
      <w:r>
        <w:rPr>
          <w:sz w:val="22"/>
        </w:rPr>
        <w:t xml:space="preserve"> liečbu, alebo sa ňou liečili menej ako 48 hodín, a u ktorých bola plánovaná </w:t>
      </w:r>
      <w:proofErr w:type="spellStart"/>
      <w:r>
        <w:rPr>
          <w:sz w:val="22"/>
        </w:rPr>
        <w:t>kardioverzia</w:t>
      </w:r>
      <w:proofErr w:type="spellEnd"/>
      <w:r>
        <w:rPr>
          <w:sz w:val="22"/>
        </w:rPr>
        <w:t xml:space="preserve"> z dôvodu NVAF. Pacienti sa v pomere 1 : 1 </w:t>
      </w:r>
      <w:proofErr w:type="spellStart"/>
      <w:r>
        <w:rPr>
          <w:sz w:val="22"/>
        </w:rPr>
        <w:t>randomizovali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alebo na </w:t>
      </w:r>
      <w:proofErr w:type="spellStart"/>
      <w:r>
        <w:rPr>
          <w:sz w:val="22"/>
        </w:rPr>
        <w:t>heparín</w:t>
      </w:r>
      <w:proofErr w:type="spellEnd"/>
      <w:r>
        <w:rPr>
          <w:sz w:val="22"/>
        </w:rPr>
        <w:t xml:space="preserve"> a/alebo VKA na prevenciu kardiovaskulárnych príhod. Elektrická a/alebo farmakologická </w:t>
      </w:r>
      <w:proofErr w:type="spellStart"/>
      <w:r>
        <w:rPr>
          <w:sz w:val="22"/>
        </w:rPr>
        <w:t>kardioverzia</w:t>
      </w:r>
      <w:proofErr w:type="spellEnd"/>
      <w:r>
        <w:rPr>
          <w:sz w:val="22"/>
        </w:rPr>
        <w:t xml:space="preserve"> sa uskutočňovala po najmenej 5 dávkach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5 mg dvakrát denne (alebo 2,5 mg dvakrát denne u vybraných pacientov (pozri časť 4.2)) alebo najmenej 2 hodiny po  </w:t>
      </w:r>
      <w:proofErr w:type="spellStart"/>
      <w:r>
        <w:rPr>
          <w:sz w:val="22"/>
        </w:rPr>
        <w:t>nasycovacej</w:t>
      </w:r>
      <w:proofErr w:type="spellEnd"/>
      <w:r>
        <w:rPr>
          <w:sz w:val="22"/>
        </w:rPr>
        <w:t xml:space="preserve"> dávke </w:t>
      </w:r>
      <w:r w:rsidR="00EA0E67">
        <w:rPr>
          <w:sz w:val="22"/>
        </w:rPr>
        <w:t>10 mg</w:t>
      </w:r>
      <w:r>
        <w:rPr>
          <w:sz w:val="22"/>
        </w:rPr>
        <w:t xml:space="preserve"> (alebo  </w:t>
      </w:r>
      <w:proofErr w:type="spellStart"/>
      <w:r>
        <w:rPr>
          <w:sz w:val="22"/>
        </w:rPr>
        <w:t>nasycovacej</w:t>
      </w:r>
      <w:proofErr w:type="spellEnd"/>
      <w:r>
        <w:rPr>
          <w:sz w:val="22"/>
        </w:rPr>
        <w:t xml:space="preserve"> dávke</w:t>
      </w:r>
      <w:r w:rsidR="00EA0E67">
        <w:rPr>
          <w:sz w:val="22"/>
        </w:rPr>
        <w:t xml:space="preserve"> 5 mg</w:t>
      </w:r>
      <w:r>
        <w:rPr>
          <w:sz w:val="22"/>
        </w:rPr>
        <w:t xml:space="preserve"> u vybraných pacientov (pozri časť 4.2)), ak bola potrebná skoršia </w:t>
      </w:r>
      <w:proofErr w:type="spellStart"/>
      <w:r>
        <w:rPr>
          <w:sz w:val="22"/>
        </w:rPr>
        <w:t>kardioverzia</w:t>
      </w:r>
      <w:proofErr w:type="spellEnd"/>
      <w:r>
        <w:rPr>
          <w:sz w:val="22"/>
        </w:rPr>
        <w:t xml:space="preserve">. V skupine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dostalo </w:t>
      </w:r>
      <w:proofErr w:type="spellStart"/>
      <w:r>
        <w:rPr>
          <w:sz w:val="22"/>
        </w:rPr>
        <w:t>nasycovaciu</w:t>
      </w:r>
      <w:proofErr w:type="spellEnd"/>
      <w:r>
        <w:rPr>
          <w:sz w:val="22"/>
        </w:rPr>
        <w:t xml:space="preserve"> dávku 342 pacientov (331 pacientov dostalo  dávku </w:t>
      </w:r>
      <w:r w:rsidR="00EA0E67">
        <w:rPr>
          <w:sz w:val="22"/>
        </w:rPr>
        <w:t>10 mg</w:t>
      </w:r>
      <w:r>
        <w:rPr>
          <w:sz w:val="22"/>
        </w:rPr>
        <w:t xml:space="preserve"> a 11 pacientov dostalo  dávku</w:t>
      </w:r>
      <w:r w:rsidR="00EA0E67">
        <w:rPr>
          <w:sz w:val="22"/>
        </w:rPr>
        <w:t xml:space="preserve"> 5 mg</w:t>
      </w:r>
      <w:r>
        <w:rPr>
          <w:sz w:val="22"/>
        </w:rPr>
        <w:t xml:space="preserve">). </w:t>
      </w:r>
    </w:p>
    <w:p w14:paraId="6EF5FFA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E5D3415" w14:textId="6987FB7F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skupine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(n = 753) nedošlo k žiadnej </w:t>
      </w:r>
      <w:r w:rsidR="00EA0E67">
        <w:rPr>
          <w:sz w:val="22"/>
        </w:rPr>
        <w:t xml:space="preserve">cievnej </w:t>
      </w:r>
      <w:r>
        <w:rPr>
          <w:sz w:val="22"/>
        </w:rPr>
        <w:t xml:space="preserve">mozgovej príhode (0 %) a ku 6 (0,80 %) </w:t>
      </w:r>
      <w:r w:rsidR="00EA0E67">
        <w:rPr>
          <w:sz w:val="22"/>
        </w:rPr>
        <w:t xml:space="preserve">cievnym </w:t>
      </w:r>
      <w:r>
        <w:rPr>
          <w:sz w:val="22"/>
        </w:rPr>
        <w:t xml:space="preserve">mozgovým príhodám došlo v skupine s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 a/alebo VKA (n = 747; RR 0,00, 95 % I</w:t>
      </w:r>
      <w:r w:rsidR="00EA0E67">
        <w:rPr>
          <w:sz w:val="22"/>
        </w:rPr>
        <w:t>S</w:t>
      </w:r>
      <w:r>
        <w:rPr>
          <w:sz w:val="22"/>
        </w:rPr>
        <w:t xml:space="preserve"> 0,00; 0,64). K úmrtiu z akejkoľvek príčiny došlo u 2 pacientov (0,27 %) v skupine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a u 1 pacienta (0,13 %) v skupine s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 a/alebo VKA. Neboli hlásené žiadne systémové embolické príhody. </w:t>
      </w:r>
    </w:p>
    <w:p w14:paraId="08A3ED1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3CA33CA" w14:textId="54530E29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skupine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došlo u 3 pacientov (0,41 %) k príhodám závažného krvácania a u 11 (1,50 %) pacientov k CRNM krvácania, v porovnaní so 6 pacientmi (0,83 %), u ktorých došlo k príhodám závažného krvácania, a 13 pacientmi (1,80 %), u ktorých došlo k CRNM krvácania, v skupine s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 a/alebo VKA. </w:t>
      </w:r>
    </w:p>
    <w:p w14:paraId="4F318FF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B6CF0CA" w14:textId="569D9EA4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Táto prieskumná štúdia dokázala porovnateľnú účinnosť a bezpečnosť skupiny </w:t>
      </w:r>
      <w:r w:rsidR="00D15ED6">
        <w:rPr>
          <w:sz w:val="22"/>
        </w:rPr>
        <w:t>liečenej</w:t>
      </w:r>
      <w:r>
        <w:rPr>
          <w:sz w:val="22"/>
        </w:rPr>
        <w:t xml:space="preserve">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a skupiny </w:t>
      </w:r>
      <w:r w:rsidR="00D15ED6">
        <w:rPr>
          <w:sz w:val="22"/>
        </w:rPr>
        <w:t>liečenej</w:t>
      </w:r>
      <w:r>
        <w:rPr>
          <w:sz w:val="22"/>
        </w:rPr>
        <w:t xml:space="preserve">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 a/alebo VKA v</w:t>
      </w:r>
      <w:r w:rsidR="009B217A">
        <w:rPr>
          <w:sz w:val="22"/>
        </w:rPr>
        <w:t> klinickom kontexte</w:t>
      </w:r>
      <w:r>
        <w:rPr>
          <w:sz w:val="22"/>
        </w:rPr>
        <w:t xml:space="preserve"> </w:t>
      </w:r>
      <w:proofErr w:type="spellStart"/>
      <w:r>
        <w:rPr>
          <w:sz w:val="22"/>
        </w:rPr>
        <w:t>kardioverzie</w:t>
      </w:r>
      <w:proofErr w:type="spellEnd"/>
      <w:r w:rsidR="00D15ED6">
        <w:rPr>
          <w:sz w:val="22"/>
        </w:rPr>
        <w:t>.</w:t>
      </w:r>
      <w:r>
        <w:rPr>
          <w:sz w:val="22"/>
        </w:rPr>
        <w:t xml:space="preserve"> </w:t>
      </w:r>
    </w:p>
    <w:p w14:paraId="5D5E4B19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0573F67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 xml:space="preserve">Liečba DVT, liečba PE a prevencia </w:t>
      </w:r>
      <w:proofErr w:type="spellStart"/>
      <w:r>
        <w:rPr>
          <w:i/>
          <w:sz w:val="22"/>
          <w:u w:val="single" w:color="000000"/>
        </w:rPr>
        <w:t>rekurentnej</w:t>
      </w:r>
      <w:proofErr w:type="spellEnd"/>
      <w:r>
        <w:rPr>
          <w:i/>
          <w:sz w:val="22"/>
          <w:u w:val="single" w:color="000000"/>
        </w:rPr>
        <w:t xml:space="preserve"> DVT a PE (</w:t>
      </w:r>
      <w:proofErr w:type="spellStart"/>
      <w:r>
        <w:rPr>
          <w:i/>
          <w:sz w:val="22"/>
          <w:u w:val="single" w:color="000000"/>
        </w:rPr>
        <w:t>VTEt</w:t>
      </w:r>
      <w:proofErr w:type="spellEnd"/>
      <w:r>
        <w:rPr>
          <w:i/>
          <w:sz w:val="22"/>
          <w:u w:val="single" w:color="000000"/>
        </w:rPr>
        <w:t>)</w:t>
      </w:r>
      <w:r>
        <w:rPr>
          <w:b/>
          <w:sz w:val="22"/>
        </w:rPr>
        <w:t xml:space="preserve"> </w:t>
      </w:r>
    </w:p>
    <w:p w14:paraId="4CC415A4" w14:textId="5DBD2D9F" w:rsidR="00B07789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Klinický program (AMPLIFY: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>, AMPLIFY</w:t>
      </w:r>
      <w:r>
        <w:rPr>
          <w:sz w:val="22"/>
        </w:rPr>
        <w:noBreakHyphen/>
        <w:t xml:space="preserve">EXT: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oproti placebu) bol navrhnutý tak, aby preukázal účinnosť a bezpečnosť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 liečbe DVT a/alebo PE (AMPLIFY) a predĺženej </w:t>
      </w:r>
      <w:r w:rsidR="002E599E">
        <w:rPr>
          <w:sz w:val="22"/>
        </w:rPr>
        <w:t>liečby</w:t>
      </w:r>
      <w:r>
        <w:rPr>
          <w:sz w:val="22"/>
        </w:rPr>
        <w:t xml:space="preserve">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DVT a/alebo PE nasledujúcej po 6 až 12 mesiacoch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 DVT a/alebo PE (AMPLIFY</w:t>
      </w:r>
      <w:r>
        <w:rPr>
          <w:sz w:val="22"/>
        </w:rPr>
        <w:noBreakHyphen/>
        <w:t xml:space="preserve">EXT). Obidve štúdie boli randomizované, dvojito zaslepené, medzinárodné skúšania s paralelnými skupinami u pacientov so symptomatickou </w:t>
      </w:r>
      <w:proofErr w:type="spellStart"/>
      <w:r>
        <w:rPr>
          <w:sz w:val="22"/>
        </w:rPr>
        <w:t>proximálnou</w:t>
      </w:r>
      <w:proofErr w:type="spellEnd"/>
      <w:r>
        <w:rPr>
          <w:sz w:val="22"/>
        </w:rPr>
        <w:t xml:space="preserve"> DVT alebo symptomatickou PE. Všetky kľúčové ukazovatele bezpečnosti a účinnosti boli posudzované nezávislou zaslepenou komisiou. </w:t>
      </w:r>
    </w:p>
    <w:p w14:paraId="551487FF" w14:textId="77777777" w:rsidR="00E8372B" w:rsidRPr="00A731E1" w:rsidRDefault="00E8372B" w:rsidP="00833B71">
      <w:pPr>
        <w:spacing w:after="0" w:line="240" w:lineRule="auto"/>
        <w:ind w:left="0" w:firstLine="0"/>
        <w:rPr>
          <w:sz w:val="22"/>
        </w:rPr>
      </w:pPr>
    </w:p>
    <w:p w14:paraId="197F1490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B44A5F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lastRenderedPageBreak/>
        <w:t>ŠTÚDIA AMPLIFY</w:t>
      </w:r>
      <w:r>
        <w:rPr>
          <w:i/>
          <w:sz w:val="22"/>
        </w:rPr>
        <w:t xml:space="preserve"> </w:t>
      </w:r>
    </w:p>
    <w:p w14:paraId="539EC8E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štúdii AMPLIFY bolo randomizovaných celkovo 5 395 pacientov liečených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10 mg perorálne dvakrát denne počas 7 dní, po ktorých nasledovala liečba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5 mg perorálne dvakrát denne počas 6 mesiacov, alebo </w:t>
      </w:r>
      <w:proofErr w:type="spellStart"/>
      <w:r>
        <w:rPr>
          <w:sz w:val="22"/>
        </w:rPr>
        <w:t>enoxaparínom</w:t>
      </w:r>
      <w:proofErr w:type="spellEnd"/>
      <w:r>
        <w:rPr>
          <w:sz w:val="22"/>
        </w:rPr>
        <w:t xml:space="preserve"> v dávke 1 mg/kg dvakrát denne </w:t>
      </w:r>
      <w:proofErr w:type="spellStart"/>
      <w:r>
        <w:rPr>
          <w:sz w:val="22"/>
        </w:rPr>
        <w:t>subkutánne</w:t>
      </w:r>
      <w:proofErr w:type="spellEnd"/>
      <w:r>
        <w:rPr>
          <w:sz w:val="22"/>
        </w:rPr>
        <w:t xml:space="preserve"> počas minimálne 5 dní (do INR ≥ 2) a warfarínom (cieľový rozsah INR 2,0 – 3,0) perorálne počas 6 mesiacov. </w:t>
      </w:r>
    </w:p>
    <w:p w14:paraId="0D8ECC5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A411D5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Priemerný vek bol 56,9 roka a 89,8 % randomizovaných pacientov malo nevyprovokované príhody VTE. </w:t>
      </w:r>
    </w:p>
    <w:p w14:paraId="6F0E5064" w14:textId="16E717BB" w:rsidR="00B07789" w:rsidRPr="00A731E1" w:rsidRDefault="00B07789" w:rsidP="00833B71">
      <w:pPr>
        <w:spacing w:after="0" w:line="240" w:lineRule="auto"/>
        <w:ind w:left="0" w:firstLine="0"/>
        <w:rPr>
          <w:sz w:val="22"/>
        </w:rPr>
      </w:pPr>
    </w:p>
    <w:p w14:paraId="132EED5D" w14:textId="641D05B0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U pacientov randomizovaných na 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 bolo priemerné percentuálne vyjadrenie času v terapeutickom rozsahu (INR 2,0 – 3,0) 60,9.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sa preukázalo zníženie výskytu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symptomatickej VTE alebo úmrtia súvisiaceho s VTE naprieč rôznymi úrovňami TTR podľa cent</w:t>
      </w:r>
      <w:r w:rsidR="002E599E">
        <w:rPr>
          <w:sz w:val="22"/>
        </w:rPr>
        <w:t>ra</w:t>
      </w:r>
      <w:r>
        <w:rPr>
          <w:sz w:val="22"/>
        </w:rPr>
        <w:t xml:space="preserve">; v rámci najvyššieho </w:t>
      </w:r>
      <w:proofErr w:type="spellStart"/>
      <w:r>
        <w:rPr>
          <w:sz w:val="22"/>
        </w:rPr>
        <w:t>kvartilu</w:t>
      </w:r>
      <w:proofErr w:type="spellEnd"/>
      <w:r>
        <w:rPr>
          <w:sz w:val="22"/>
        </w:rPr>
        <w:t xml:space="preserve"> TTR podľa cent</w:t>
      </w:r>
      <w:r w:rsidR="002E599E">
        <w:rPr>
          <w:sz w:val="22"/>
        </w:rPr>
        <w:t>ra</w:t>
      </w:r>
      <w:r>
        <w:rPr>
          <w:sz w:val="22"/>
        </w:rPr>
        <w:t xml:space="preserve"> bolo relatívne riziko pri </w:t>
      </w:r>
      <w:proofErr w:type="spellStart"/>
      <w:r>
        <w:rPr>
          <w:sz w:val="22"/>
        </w:rPr>
        <w:t>apixabáne</w:t>
      </w:r>
      <w:proofErr w:type="spellEnd"/>
      <w:r>
        <w:rPr>
          <w:sz w:val="22"/>
        </w:rPr>
        <w:t xml:space="preserve"> oproti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0,79 (95 % IS, 0,39; 1,61). </w:t>
      </w:r>
    </w:p>
    <w:p w14:paraId="0A54C4F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1149902" w14:textId="12B56848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štúdii sa preukázalo, že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je neinferiórny voči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v kombinovanom primárnom cieľovom ukazovateli posudzovanej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VTE so symptómami (</w:t>
      </w:r>
      <w:r w:rsidR="002E599E">
        <w:rPr>
          <w:sz w:val="22"/>
        </w:rPr>
        <w:t xml:space="preserve">nefatálnej </w:t>
      </w:r>
      <w:r>
        <w:rPr>
          <w:sz w:val="22"/>
        </w:rPr>
        <w:t xml:space="preserve">DVT alebo </w:t>
      </w:r>
      <w:r w:rsidR="002E599E">
        <w:rPr>
          <w:sz w:val="22"/>
        </w:rPr>
        <w:t xml:space="preserve">nefatálnej </w:t>
      </w:r>
      <w:r>
        <w:rPr>
          <w:sz w:val="22"/>
        </w:rPr>
        <w:t xml:space="preserve">PE) alebo úmrtia súvisiaceho s VTE (pozri tabuľku 8). </w:t>
      </w:r>
    </w:p>
    <w:p w14:paraId="3E3ECFC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AB69882" w14:textId="61C30D0A" w:rsidR="00B07789" w:rsidRPr="00593ECA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Tabuľka 8: Výsledky účinnosti v štúdii AMPLIFY </w:t>
      </w:r>
    </w:p>
    <w:tbl>
      <w:tblPr>
        <w:tblStyle w:val="TableGrid"/>
        <w:tblW w:w="9405" w:type="dxa"/>
        <w:tblInd w:w="-53" w:type="dxa"/>
        <w:tblCellMar>
          <w:top w:w="11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528"/>
        <w:gridCol w:w="2269"/>
        <w:gridCol w:w="2404"/>
        <w:gridCol w:w="2204"/>
      </w:tblGrid>
      <w:tr w:rsidR="00B07789" w:rsidRPr="00A731E1" w14:paraId="7FB88D24" w14:textId="77777777" w:rsidTr="002967BA">
        <w:trPr>
          <w:trHeight w:val="617"/>
        </w:trPr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056D13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362E11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  <w:p w14:paraId="02923CEA" w14:textId="77777777" w:rsidR="00B07789" w:rsidRPr="00A731E1" w:rsidRDefault="00D25089" w:rsidP="002967BA">
            <w:pPr>
              <w:keepNext/>
              <w:spacing w:after="0" w:line="240" w:lineRule="auto"/>
              <w:ind w:left="0" w:right="187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 = 2 609 n (%)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77E5A" w14:textId="77777777" w:rsidR="00593ECA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Enoxaparín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warfarín</w:t>
            </w:r>
            <w:proofErr w:type="spellEnd"/>
          </w:p>
          <w:p w14:paraId="4EF71604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 = 2 635 n (%)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487B1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Relatívne riziko</w:t>
            </w:r>
          </w:p>
          <w:p w14:paraId="46A69540" w14:textId="77777777" w:rsidR="00B07789" w:rsidRPr="00A731E1" w:rsidRDefault="00D25089" w:rsidP="002967BA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(95 % IS)</w:t>
            </w:r>
          </w:p>
        </w:tc>
      </w:tr>
      <w:tr w:rsidR="00B07789" w:rsidRPr="00A731E1" w14:paraId="1EC8D87A" w14:textId="77777777" w:rsidTr="002967BA">
        <w:trPr>
          <w:trHeight w:val="302"/>
        </w:trPr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0B9690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VTE alebo úmrtie súvisiace s VTE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9BEF26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59 (2,3)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A3260AB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71 (2,7)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B34E1F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0,84 (0,60; 1,18)*</w:t>
            </w:r>
          </w:p>
        </w:tc>
      </w:tr>
      <w:tr w:rsidR="00B07789" w:rsidRPr="00A731E1" w14:paraId="056E18DE" w14:textId="77777777" w:rsidTr="002967BA">
        <w:trPr>
          <w:trHeight w:val="304"/>
        </w:trPr>
        <w:tc>
          <w:tcPr>
            <w:tcW w:w="2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25724D" w14:textId="77777777" w:rsidR="00B07789" w:rsidRPr="00A731E1" w:rsidRDefault="00D25089" w:rsidP="00833B71">
            <w:pPr>
              <w:tabs>
                <w:tab w:val="center" w:pos="551"/>
              </w:tabs>
              <w:spacing w:after="0" w:line="240" w:lineRule="auto"/>
              <w:ind w:left="371" w:firstLine="0"/>
              <w:rPr>
                <w:sz w:val="22"/>
              </w:rPr>
            </w:pPr>
            <w:r>
              <w:rPr>
                <w:sz w:val="22"/>
              </w:rPr>
              <w:t xml:space="preserve">DVT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9EAD5F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 (0,7)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76DCE3B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 (1,2)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A8D9A87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0F076FAC" w14:textId="77777777" w:rsidTr="002967BA">
        <w:trPr>
          <w:trHeight w:val="239"/>
        </w:trPr>
        <w:tc>
          <w:tcPr>
            <w:tcW w:w="2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BBCBEBC" w14:textId="77777777" w:rsidR="00B07789" w:rsidRPr="00A731E1" w:rsidRDefault="00D25089" w:rsidP="002967BA">
            <w:pPr>
              <w:tabs>
                <w:tab w:val="center" w:pos="459"/>
              </w:tabs>
              <w:spacing w:after="0" w:line="240" w:lineRule="auto"/>
              <w:ind w:left="371" w:firstLine="0"/>
              <w:rPr>
                <w:sz w:val="22"/>
              </w:rPr>
            </w:pPr>
            <w:r>
              <w:rPr>
                <w:sz w:val="22"/>
              </w:rPr>
              <w:t xml:space="preserve">PE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EE1414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 (1,0)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2851EC1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 (0,9)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7F9A3A4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36AFC1EE" w14:textId="77777777" w:rsidTr="002967BA">
        <w:trPr>
          <w:trHeight w:val="322"/>
        </w:trPr>
        <w:tc>
          <w:tcPr>
            <w:tcW w:w="27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53C997" w14:textId="77777777" w:rsidR="00B07789" w:rsidRPr="00A731E1" w:rsidRDefault="00D25089" w:rsidP="00833B71">
            <w:pPr>
              <w:spacing w:after="0" w:line="240" w:lineRule="auto"/>
              <w:ind w:left="371" w:firstLine="0"/>
              <w:rPr>
                <w:sz w:val="22"/>
              </w:rPr>
            </w:pPr>
            <w:r>
              <w:rPr>
                <w:sz w:val="22"/>
              </w:rPr>
              <w:t xml:space="preserve">Úmrtie súvisiace s VTE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970DC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 (0,4)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01B7AF2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 (0,6)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485349" w14:textId="77777777" w:rsidR="00B07789" w:rsidRPr="00A731E1" w:rsidRDefault="00B07789" w:rsidP="002967BA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B07789" w:rsidRPr="00A731E1" w14:paraId="172A878D" w14:textId="77777777" w:rsidTr="002967BA">
        <w:trPr>
          <w:trHeight w:val="324"/>
        </w:trPr>
        <w:tc>
          <w:tcPr>
            <w:tcW w:w="27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FAF99F6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VTE alebo úmrtie z akejkoľvek príčiny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B22551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84 (3,2)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E820B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104 (4,0)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FD63C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0,82 (0,61; 1,08)</w:t>
            </w:r>
          </w:p>
        </w:tc>
      </w:tr>
      <w:tr w:rsidR="00B07789" w:rsidRPr="00A731E1" w14:paraId="025D0E80" w14:textId="77777777" w:rsidTr="002967BA">
        <w:trPr>
          <w:trHeight w:val="291"/>
        </w:trPr>
        <w:tc>
          <w:tcPr>
            <w:tcW w:w="27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9EF833" w14:textId="327FD666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VTE alebo </w:t>
            </w:r>
            <w:r w:rsidR="002B6999">
              <w:rPr>
                <w:sz w:val="22"/>
              </w:rPr>
              <w:t>úmrtie z KV príčin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A49D69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61 (2,3)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799AB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77 (2,9)</w:t>
            </w:r>
          </w:p>
        </w:tc>
        <w:tc>
          <w:tcPr>
            <w:tcW w:w="24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0EE467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0,80 (0,57; 1,11)</w:t>
            </w:r>
          </w:p>
        </w:tc>
      </w:tr>
      <w:tr w:rsidR="00B07789" w:rsidRPr="00A731E1" w14:paraId="1BA802F9" w14:textId="77777777" w:rsidTr="002967BA">
        <w:trPr>
          <w:trHeight w:val="463"/>
        </w:trPr>
        <w:tc>
          <w:tcPr>
            <w:tcW w:w="27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01F820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VTE, úmrtie súvisiace s VTE alebo závažné krvácanie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8C33D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73 (2,8)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6BCF2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118 (4,5)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B7C2F" w14:textId="77777777" w:rsidR="00B07789" w:rsidRPr="00A731E1" w:rsidRDefault="00D25089" w:rsidP="002967B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0,62 (0,47; 0,83)</w:t>
            </w:r>
          </w:p>
        </w:tc>
      </w:tr>
    </w:tbl>
    <w:p w14:paraId="1786D384" w14:textId="59EA1FE6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*Neinferiórne v porovnaní s </w:t>
      </w:r>
      <w:proofErr w:type="spellStart"/>
      <w:r>
        <w:rPr>
          <w:sz w:val="22"/>
        </w:rPr>
        <w:t>enoxaparínom</w:t>
      </w:r>
      <w:proofErr w:type="spellEnd"/>
      <w:r>
        <w:rPr>
          <w:sz w:val="22"/>
        </w:rPr>
        <w:t xml:space="preserve">/warfarínom (hodnota p &lt; 0,0001) </w:t>
      </w:r>
    </w:p>
    <w:p w14:paraId="2A6D264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861410A" w14:textId="077A8BE1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Účinnosť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bola v úvodnej liečbe VTE </w:t>
      </w:r>
      <w:r w:rsidR="002B6999">
        <w:rPr>
          <w:sz w:val="22"/>
        </w:rPr>
        <w:t>zhodná</w:t>
      </w:r>
      <w:r>
        <w:rPr>
          <w:sz w:val="22"/>
        </w:rPr>
        <w:t xml:space="preserve"> medzi pacientmi, ktorí sa liečili na PE [relatívne riziko 0,9; 95 % IS (0,5; 1,6)] alebo DVT [relatívne riziko 0,8; 95 % IS (0,5; 1,3)] Účinnosť v podskupinách zahŕňajúcich vek, pohlavie, index telesnej hmotnosti (BMI), funkciu obličiek, rozsah indexu PE, polohu DVT trombu a predchádzajúce používanie </w:t>
      </w:r>
      <w:proofErr w:type="spellStart"/>
      <w:r>
        <w:rPr>
          <w:sz w:val="22"/>
        </w:rPr>
        <w:t>parenterálneho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heparínu</w:t>
      </w:r>
      <w:proofErr w:type="spellEnd"/>
      <w:r>
        <w:rPr>
          <w:sz w:val="22"/>
        </w:rPr>
        <w:t xml:space="preserve"> bola vo všeobecnosti </w:t>
      </w:r>
      <w:r w:rsidR="002B6999">
        <w:rPr>
          <w:sz w:val="22"/>
        </w:rPr>
        <w:t>zhodná</w:t>
      </w:r>
      <w:r>
        <w:rPr>
          <w:sz w:val="22"/>
        </w:rPr>
        <w:t xml:space="preserve">. </w:t>
      </w:r>
    </w:p>
    <w:p w14:paraId="0608E3A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E12D218" w14:textId="36FBFBDD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Primárnym cieľovým ukazovateľom bezpečnosti bolo závažné krvácanie. V štúdii bol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štatisticky superiórny voči </w:t>
      </w:r>
      <w:proofErr w:type="spellStart"/>
      <w:r>
        <w:rPr>
          <w:sz w:val="22"/>
        </w:rPr>
        <w:t>enoxaparínu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warfarínu</w:t>
      </w:r>
      <w:proofErr w:type="spellEnd"/>
      <w:r>
        <w:rPr>
          <w:sz w:val="22"/>
        </w:rPr>
        <w:t xml:space="preserve"> v primárnom cieľovom ukazovateli bezpečnosti [relatívne riziko 0,31; 95 % interval spoľahlivosti (0,17; 0,55), hodnota p &lt; 0,0001] (pozri tabuľku 9). </w:t>
      </w:r>
    </w:p>
    <w:p w14:paraId="5312945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AD0F113" w14:textId="149B84B8" w:rsidR="00B07789" w:rsidRPr="00593ECA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lastRenderedPageBreak/>
        <w:t xml:space="preserve">Tabuľka 9: Výsledky krvácania v štúdii AMPLIFY </w:t>
      </w:r>
    </w:p>
    <w:tbl>
      <w:tblPr>
        <w:tblStyle w:val="TableGrid"/>
        <w:tblW w:w="9405" w:type="dxa"/>
        <w:tblInd w:w="-53" w:type="dxa"/>
        <w:tblCellMar>
          <w:top w:w="11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598"/>
        <w:gridCol w:w="2262"/>
        <w:gridCol w:w="2283"/>
        <w:gridCol w:w="2262"/>
      </w:tblGrid>
      <w:tr w:rsidR="00B07789" w:rsidRPr="00A731E1" w14:paraId="028E6335" w14:textId="77777777" w:rsidTr="00AF46E0">
        <w:trPr>
          <w:trHeight w:val="614"/>
        </w:trPr>
        <w:tc>
          <w:tcPr>
            <w:tcW w:w="25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BD0CDE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BA36582" w14:textId="77777777" w:rsidR="00580B14" w:rsidRDefault="00580B14" w:rsidP="00833B71">
            <w:pPr>
              <w:keepNext/>
              <w:spacing w:after="0" w:line="240" w:lineRule="auto"/>
              <w:ind w:left="0" w:right="441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67A034B" w14:textId="77777777" w:rsidR="00B07789" w:rsidRPr="00A731E1" w:rsidRDefault="00D25089" w:rsidP="00833B71">
            <w:pPr>
              <w:keepNext/>
              <w:spacing w:after="0" w:line="240" w:lineRule="auto"/>
              <w:ind w:left="0" w:right="441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N = 2 676 n (%)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DD30A3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Enoxaparín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warfarín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D9F8F44" w14:textId="77777777" w:rsidR="00B07789" w:rsidRPr="00A731E1" w:rsidRDefault="00D25089" w:rsidP="00833B71">
            <w:pPr>
              <w:keepNext/>
              <w:spacing w:after="0" w:line="240" w:lineRule="auto"/>
              <w:ind w:left="0" w:right="48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N = 2 689 n (%)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480A6E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Relatívne riziko </w:t>
            </w:r>
          </w:p>
          <w:p w14:paraId="3FC4F8ED" w14:textId="77777777" w:rsidR="00B07789" w:rsidRPr="00A731E1" w:rsidRDefault="00D25089" w:rsidP="00833B71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(95 % IS) </w:t>
            </w:r>
          </w:p>
        </w:tc>
      </w:tr>
      <w:tr w:rsidR="00B07789" w:rsidRPr="00A731E1" w14:paraId="7D8F2117" w14:textId="77777777" w:rsidTr="00AF46E0">
        <w:trPr>
          <w:trHeight w:val="304"/>
        </w:trPr>
        <w:tc>
          <w:tcPr>
            <w:tcW w:w="25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80AA31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0DEDA7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(0,6)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62CD99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49 (1,8)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8764DAF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0,31 (0,17; 0,55) </w:t>
            </w:r>
          </w:p>
        </w:tc>
      </w:tr>
      <w:tr w:rsidR="00B07789" w:rsidRPr="00A731E1" w14:paraId="0513779D" w14:textId="77777777" w:rsidTr="00AF46E0">
        <w:trPr>
          <w:trHeight w:val="296"/>
        </w:trPr>
        <w:tc>
          <w:tcPr>
            <w:tcW w:w="25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F56C7C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 + CRNM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04FB813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115 (4,3)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D558173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261 (9,7)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53FCBB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0,44 (0,36; 0,55) </w:t>
            </w:r>
          </w:p>
        </w:tc>
      </w:tr>
      <w:tr w:rsidR="00B07789" w:rsidRPr="00A731E1" w14:paraId="09332E46" w14:textId="77777777" w:rsidTr="00AF46E0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6E0882B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Nezávažné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D4B40E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313 (11,7)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0C8681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505 (18,8)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E1CD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0,62 (0,54; 0,70) </w:t>
            </w:r>
          </w:p>
        </w:tc>
      </w:tr>
      <w:tr w:rsidR="00B07789" w:rsidRPr="00A731E1" w14:paraId="1051E054" w14:textId="77777777" w:rsidTr="00AF46E0">
        <w:trPr>
          <w:trHeight w:val="308"/>
        </w:trPr>
        <w:tc>
          <w:tcPr>
            <w:tcW w:w="25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82DAC5" w14:textId="77777777" w:rsidR="00B07789" w:rsidRPr="00A731E1" w:rsidRDefault="00D25089" w:rsidP="00833B71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Všetky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0F78E8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402 (15,0)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9E1EBF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676 (25,1)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F0E3D48" w14:textId="77777777" w:rsidR="00B07789" w:rsidRPr="00A731E1" w:rsidRDefault="00D25089" w:rsidP="00833B71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0,59 (0,53; 0,66) </w:t>
            </w:r>
          </w:p>
        </w:tc>
      </w:tr>
    </w:tbl>
    <w:p w14:paraId="3017C30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AA15BC1" w14:textId="00DE9F45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Posudzované závažné krvácanie a CRNM krvácanie v ktoromkoľvek anatomickom mieste bolo vo všeobecnosti nižšie v skupine s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na základe porovnania s </w:t>
      </w:r>
      <w:proofErr w:type="spellStart"/>
      <w:r>
        <w:rPr>
          <w:sz w:val="22"/>
        </w:rPr>
        <w:t>enoxaparínom</w:t>
      </w:r>
      <w:proofErr w:type="spellEnd"/>
      <w:r>
        <w:rPr>
          <w:sz w:val="22"/>
        </w:rPr>
        <w:t xml:space="preserve">/warfarínom Posudzované závažné ISTH </w:t>
      </w:r>
      <w:proofErr w:type="spellStart"/>
      <w:r>
        <w:rPr>
          <w:sz w:val="22"/>
        </w:rPr>
        <w:t>gastrointestinálne</w:t>
      </w:r>
      <w:proofErr w:type="spellEnd"/>
      <w:r>
        <w:rPr>
          <w:sz w:val="22"/>
        </w:rPr>
        <w:t xml:space="preserve"> krvácanie sa objavilo u 6 (0,2 %) pacientov liečených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a 17 (0,6 %) pacientov liečených </w:t>
      </w:r>
      <w:proofErr w:type="spellStart"/>
      <w:r>
        <w:rPr>
          <w:sz w:val="22"/>
        </w:rPr>
        <w:t>enoxaparínom</w:t>
      </w:r>
      <w:proofErr w:type="spellEnd"/>
      <w:r>
        <w:rPr>
          <w:sz w:val="22"/>
        </w:rPr>
        <w:t xml:space="preserve">/warfarínom </w:t>
      </w:r>
    </w:p>
    <w:p w14:paraId="3B49B2C9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55CA14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  <w:u w:val="single" w:color="000000"/>
        </w:rPr>
        <w:t>ŠTÚDIA AMPLIFY</w:t>
      </w:r>
      <w:r>
        <w:rPr>
          <w:i/>
          <w:sz w:val="22"/>
          <w:u w:val="single" w:color="000000"/>
        </w:rPr>
        <w:noBreakHyphen/>
        <w:t>EXT</w:t>
      </w:r>
      <w:r>
        <w:rPr>
          <w:i/>
          <w:sz w:val="22"/>
        </w:rPr>
        <w:t xml:space="preserve"> </w:t>
      </w:r>
    </w:p>
    <w:p w14:paraId="1DA44650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V štúdii AMPLIFY</w:t>
      </w:r>
      <w:r>
        <w:rPr>
          <w:sz w:val="22"/>
        </w:rPr>
        <w:noBreakHyphen/>
        <w:t xml:space="preserve">EXT bolo randomizovaných celkovo 2 482 pacientov na liečbu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</w:t>
      </w:r>
    </w:p>
    <w:p w14:paraId="6649B5A3" w14:textId="597AF6BC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2,5 mg perorálne dvakrát denne,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5 mg perorálne dvakrát denne alebo placebom počas 12 mesiacov po dokončení 6 až 12 mesiacov úvodnej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 Z týchto pacientov sa 836 pacientov (33,7 %) zúčastnilo štúdie AMPLIFY pred zaradením do štúdie AMPLIFY</w:t>
      </w:r>
      <w:r>
        <w:rPr>
          <w:sz w:val="22"/>
        </w:rPr>
        <w:noBreakHyphen/>
        <w:t xml:space="preserve">EXT. </w:t>
      </w:r>
    </w:p>
    <w:p w14:paraId="34CA1D8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8DCCDA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Priemerný vek bol 56,7 roka a 91,7 % randomizovaných pacientov malo nevyprovokované príhody VTE. </w:t>
      </w:r>
    </w:p>
    <w:p w14:paraId="59C9EC7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2823E12" w14:textId="648BA8CA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V štúdii boli obidve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štatisticky superiórne voči placebu v primárnom cieľovom ukazovateli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symptomatickej VTE (</w:t>
      </w:r>
      <w:r w:rsidR="002B6999">
        <w:rPr>
          <w:sz w:val="22"/>
        </w:rPr>
        <w:t xml:space="preserve">nefatálna </w:t>
      </w:r>
      <w:r>
        <w:rPr>
          <w:sz w:val="22"/>
        </w:rPr>
        <w:t xml:space="preserve">DVT alebo </w:t>
      </w:r>
      <w:r w:rsidR="002B6999">
        <w:rPr>
          <w:sz w:val="22"/>
        </w:rPr>
        <w:t xml:space="preserve">nefatálna </w:t>
      </w:r>
      <w:r>
        <w:rPr>
          <w:sz w:val="22"/>
        </w:rPr>
        <w:t xml:space="preserve">PE) alebo úmrtia z akejkoľvek príčiny (pozri tabuľku 10). </w:t>
      </w:r>
    </w:p>
    <w:p w14:paraId="4993F70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C78B41D" w14:textId="7609AE58" w:rsidR="00B07789" w:rsidRPr="00593ECA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Tabuľka 10: Výsledky účinnosti v štúdii AMPLIFY- EXT </w:t>
      </w:r>
    </w:p>
    <w:tbl>
      <w:tblPr>
        <w:tblStyle w:val="TableGrid"/>
        <w:tblW w:w="9405" w:type="dxa"/>
        <w:tblInd w:w="-53" w:type="dxa"/>
        <w:tblCellMar>
          <w:top w:w="54" w:type="dxa"/>
          <w:left w:w="101" w:type="dxa"/>
          <w:right w:w="71" w:type="dxa"/>
        </w:tblCellMar>
        <w:tblLook w:val="04A0" w:firstRow="1" w:lastRow="0" w:firstColumn="1" w:lastColumn="0" w:noHBand="0" w:noVBand="1"/>
      </w:tblPr>
      <w:tblGrid>
        <w:gridCol w:w="2125"/>
        <w:gridCol w:w="1458"/>
        <w:gridCol w:w="1458"/>
        <w:gridCol w:w="1456"/>
        <w:gridCol w:w="1452"/>
        <w:gridCol w:w="1456"/>
      </w:tblGrid>
      <w:tr w:rsidR="00772F14" w:rsidRPr="00A731E1" w14:paraId="2574E537" w14:textId="77777777" w:rsidTr="0073232F">
        <w:trPr>
          <w:trHeight w:val="361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A29DF1" w14:textId="77777777" w:rsidR="00772F14" w:rsidRPr="007E6137" w:rsidRDefault="00772F14" w:rsidP="0073232F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92057B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E94534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10D01B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Placebo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0C6B16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Relatívne riziko (95 % IS)</w:t>
            </w:r>
          </w:p>
        </w:tc>
      </w:tr>
      <w:tr w:rsidR="00772F14" w:rsidRPr="00A731E1" w14:paraId="53580CCF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8A27A1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0B41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2,5 mg </w:t>
            </w:r>
          </w:p>
          <w:p w14:paraId="04FF8632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(N = 840)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EDE0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5,0 mg </w:t>
            </w:r>
          </w:p>
          <w:p w14:paraId="7F718FAD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(N = 813)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A1CFDE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54B04067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(N = 829)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A39792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 2,5 mg oproti placebu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FA81F3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 5,0 mg oproti placebu </w:t>
            </w:r>
          </w:p>
        </w:tc>
      </w:tr>
      <w:tr w:rsidR="00772F14" w:rsidRPr="00A731E1" w14:paraId="16F4A5EB" w14:textId="77777777" w:rsidTr="00772F14">
        <w:trPr>
          <w:trHeight w:val="510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3F0509D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519B0F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 (%)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6B66A64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1C2CF0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72F14" w:rsidRPr="00A731E1" w14:paraId="42C668AC" w14:textId="77777777" w:rsidTr="00772F14">
        <w:trPr>
          <w:trHeight w:val="510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8DDAB9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Rekurentná</w:t>
            </w:r>
            <w:proofErr w:type="spellEnd"/>
            <w:r>
              <w:rPr>
                <w:sz w:val="22"/>
              </w:rPr>
              <w:t xml:space="preserve"> VTE alebo úmrtie z akejkoľvek príčiny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0CC771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 (2,3)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4C2AE5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 (1,7)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165BC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77 (9,3)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C7B52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0,24</w:t>
            </w:r>
          </w:p>
          <w:p w14:paraId="70A3ED4D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(0,15; 0,40)</w:t>
            </w:r>
            <w:r>
              <w:rPr>
                <w:sz w:val="22"/>
                <w:vertAlign w:val="superscript"/>
              </w:rPr>
              <w:t>¥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D38E1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0,19</w:t>
            </w:r>
          </w:p>
          <w:p w14:paraId="5E000B82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(0,11; 0,33)</w:t>
            </w:r>
            <w:r>
              <w:rPr>
                <w:sz w:val="22"/>
                <w:vertAlign w:val="superscript"/>
              </w:rPr>
              <w:t>¥</w:t>
            </w:r>
          </w:p>
        </w:tc>
      </w:tr>
      <w:tr w:rsidR="00772F14" w:rsidRPr="00A731E1" w14:paraId="6B7D13A7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0AA5E48" w14:textId="77777777" w:rsidR="00772F14" w:rsidRPr="00A731E1" w:rsidRDefault="00772F14" w:rsidP="0073232F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DVT*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EFDB28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 (0,7)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B74FB2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 (0,9)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79220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53 (6,4)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C2404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59E7862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772F14" w:rsidRPr="00A731E1" w14:paraId="75FF0311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867D585" w14:textId="77777777" w:rsidR="00772F14" w:rsidRPr="00A731E1" w:rsidRDefault="00772F14" w:rsidP="0073232F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PE*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771FD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 (0,8)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0E453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 (0,5)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831AD7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 (1,6)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9873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B626E5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772F14" w:rsidRPr="00A731E1" w14:paraId="4CE896C2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25A83F" w14:textId="77777777" w:rsidR="00772F14" w:rsidRPr="00A731E1" w:rsidRDefault="00772F14" w:rsidP="0073232F">
            <w:pPr>
              <w:spacing w:after="0" w:line="240" w:lineRule="auto"/>
              <w:ind w:left="229" w:firstLine="0"/>
              <w:rPr>
                <w:sz w:val="22"/>
              </w:rPr>
            </w:pPr>
            <w:r>
              <w:rPr>
                <w:sz w:val="22"/>
              </w:rPr>
              <w:t xml:space="preserve">Úmrtie z akejkoľvek príčiny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6980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 (0,7)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3E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(0,4)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E091AC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 (1,3)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4166E1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146EBA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772F14" w:rsidRPr="00A731E1" w14:paraId="4AF7DABD" w14:textId="77777777" w:rsidTr="00772F14">
        <w:trPr>
          <w:trHeight w:val="510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1EC6B5E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Rekurentná</w:t>
            </w:r>
            <w:proofErr w:type="spellEnd"/>
            <w:r>
              <w:rPr>
                <w:sz w:val="22"/>
              </w:rPr>
              <w:t xml:space="preserve"> VTE alebo úmrtie súvisiace s VTE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DFB54A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 (1,7)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3A9DF0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 (1,7)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C9FA04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73 (8,8)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978FE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0,19</w:t>
            </w:r>
          </w:p>
          <w:p w14:paraId="5CF386C2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0,11; 0,33)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5859C31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0,20</w:t>
            </w:r>
          </w:p>
          <w:p w14:paraId="71C5C3D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0,11; 0,34)</w:t>
            </w:r>
          </w:p>
        </w:tc>
      </w:tr>
      <w:tr w:rsidR="00772F14" w:rsidRPr="00A731E1" w14:paraId="31481096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18F5C67" w14:textId="1E86530B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Rekurentná</w:t>
            </w:r>
            <w:proofErr w:type="spellEnd"/>
            <w:r>
              <w:rPr>
                <w:sz w:val="22"/>
              </w:rPr>
              <w:t xml:space="preserve"> VTE alebo úmrtie </w:t>
            </w:r>
            <w:r w:rsidR="004B7500">
              <w:rPr>
                <w:sz w:val="22"/>
              </w:rPr>
              <w:t> z KV príčin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D8A9CC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 (1,7)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F6AA6F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 (1,7)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6F54E6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76 (9,2)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E66DF" w14:textId="77777777" w:rsidR="00BA77E4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0,18 </w:t>
            </w:r>
          </w:p>
          <w:p w14:paraId="084D2021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0,10; 0,32)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1D63E6D" w14:textId="77777777" w:rsidR="00BA77E4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0,19 </w:t>
            </w:r>
          </w:p>
          <w:p w14:paraId="6325840F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(0,11; 0,33)</w:t>
            </w:r>
          </w:p>
        </w:tc>
      </w:tr>
      <w:tr w:rsidR="00772F14" w:rsidRPr="00A731E1" w14:paraId="33A5E6BA" w14:textId="77777777" w:rsidTr="00772F14">
        <w:trPr>
          <w:trHeight w:val="510"/>
        </w:trPr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B11BDE" w14:textId="222C802D" w:rsidR="00772F14" w:rsidRPr="00A731E1" w:rsidRDefault="004B7500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Nefatálna </w:t>
            </w:r>
            <w:r w:rsidR="00772F14">
              <w:rPr>
                <w:sz w:val="22"/>
              </w:rPr>
              <w:t xml:space="preserve">DVT </w:t>
            </w:r>
            <w:r w:rsidR="00772F14">
              <w:rPr>
                <w:sz w:val="22"/>
                <w:vertAlign w:val="superscript"/>
              </w:rPr>
              <w:t>†</w:t>
            </w:r>
            <w:r w:rsidR="00772F14">
              <w:rPr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12B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 (0,7)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16F8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 (1,0)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64F259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53 (6,4)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AB21A66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0,11</w:t>
            </w:r>
          </w:p>
          <w:p w14:paraId="0DAB7B46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0,05; 0,26)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A4D319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  <w:p w14:paraId="7C430F11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0,07; 0,32)</w:t>
            </w:r>
          </w:p>
        </w:tc>
      </w:tr>
      <w:tr w:rsidR="00772F14" w:rsidRPr="00A731E1" w14:paraId="22250268" w14:textId="77777777" w:rsidTr="00772F14">
        <w:trPr>
          <w:trHeight w:val="510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91489B" w14:textId="203DF426" w:rsidR="00772F14" w:rsidRPr="00A731E1" w:rsidRDefault="003F4CEF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Nefatálna </w:t>
            </w:r>
            <w:r w:rsidR="00772F14">
              <w:rPr>
                <w:sz w:val="22"/>
              </w:rPr>
              <w:t>PE</w:t>
            </w:r>
            <w:r w:rsidR="00772F14">
              <w:rPr>
                <w:sz w:val="22"/>
                <w:vertAlign w:val="superscript"/>
              </w:rPr>
              <w:t>†</w:t>
            </w:r>
            <w:r w:rsidR="00772F14">
              <w:rPr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9B56C0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 (1,0)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5BC1B8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 (0,5)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B236BA3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 (1,8)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5241C" w14:textId="77777777" w:rsidR="00BA77E4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0,51 </w:t>
            </w:r>
          </w:p>
          <w:p w14:paraId="79A6FC1E" w14:textId="77777777" w:rsidR="00772F14" w:rsidRPr="00174CED" w:rsidRDefault="00772F14" w:rsidP="0073232F">
            <w:pPr>
              <w:spacing w:after="0" w:line="240" w:lineRule="auto"/>
              <w:ind w:left="0" w:right="-99" w:firstLine="0"/>
              <w:jc w:val="center"/>
              <w:rPr>
                <w:sz w:val="22"/>
              </w:rPr>
            </w:pPr>
            <w:r>
              <w:rPr>
                <w:sz w:val="22"/>
              </w:rPr>
              <w:t>(0,22; 1,21)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62302B6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0,27</w:t>
            </w:r>
          </w:p>
          <w:p w14:paraId="582BC4A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0,09; 0,80)</w:t>
            </w:r>
          </w:p>
        </w:tc>
      </w:tr>
      <w:tr w:rsidR="00772F14" w:rsidRPr="00A731E1" w14:paraId="7B227E43" w14:textId="77777777" w:rsidTr="00772F14">
        <w:trPr>
          <w:trHeight w:val="510"/>
        </w:trPr>
        <w:tc>
          <w:tcPr>
            <w:tcW w:w="2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0DA164B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Úmrtie súvisiace s VTE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95EBC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 (0,2)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83E5ED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(0,4)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A187ADB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 (0,8)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E0184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0,28</w:t>
            </w:r>
          </w:p>
          <w:p w14:paraId="77FD1C9C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(0,06; 1,37)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3F8FF2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  <w:p w14:paraId="558219BE" w14:textId="77777777" w:rsidR="00772F14" w:rsidRPr="00174CED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(0,12; 1,71)</w:t>
            </w:r>
          </w:p>
        </w:tc>
      </w:tr>
    </w:tbl>
    <w:p w14:paraId="7552D449" w14:textId="03CC1952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  <w:vertAlign w:val="superscript"/>
        </w:rPr>
        <w:t xml:space="preserve">¥ </w:t>
      </w:r>
      <w:r>
        <w:rPr>
          <w:sz w:val="22"/>
        </w:rPr>
        <w:t xml:space="preserve">hodnota </w:t>
      </w:r>
      <w:r w:rsidR="0084697C">
        <w:rPr>
          <w:sz w:val="22"/>
        </w:rPr>
        <w:t>p</w:t>
      </w:r>
      <w:r>
        <w:rPr>
          <w:sz w:val="22"/>
        </w:rPr>
        <w:t xml:space="preserve"> &lt; 0,0001</w:t>
      </w:r>
    </w:p>
    <w:p w14:paraId="05A6EFC8" w14:textId="57E58ED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*U pacientov s viac ako jednou príhodou </w:t>
      </w:r>
      <w:proofErr w:type="spellStart"/>
      <w:r>
        <w:rPr>
          <w:sz w:val="22"/>
        </w:rPr>
        <w:t>prispievajúcou</w:t>
      </w:r>
      <w:proofErr w:type="spellEnd"/>
      <w:r>
        <w:rPr>
          <w:sz w:val="22"/>
        </w:rPr>
        <w:t xml:space="preserve"> k</w:t>
      </w:r>
      <w:r w:rsidR="0084697C">
        <w:rPr>
          <w:sz w:val="22"/>
        </w:rPr>
        <w:t xml:space="preserve"> </w:t>
      </w:r>
      <w:r w:rsidR="00E565FA">
        <w:rPr>
          <w:sz w:val="22"/>
        </w:rPr>
        <w:t>zloženému</w:t>
      </w:r>
      <w:r>
        <w:rPr>
          <w:sz w:val="22"/>
        </w:rPr>
        <w:t xml:space="preserve"> cieľovému ukazovateľu sa hlásila len prvá príhoda (napr. ak sa u </w:t>
      </w:r>
      <w:r w:rsidR="00E565FA">
        <w:rPr>
          <w:sz w:val="22"/>
        </w:rPr>
        <w:t>účastníka</w:t>
      </w:r>
      <w:r>
        <w:rPr>
          <w:sz w:val="22"/>
        </w:rPr>
        <w:t xml:space="preserve"> objavila DVT a potom aj PE, hlásila sa len DVT)</w:t>
      </w:r>
    </w:p>
    <w:p w14:paraId="7049777D" w14:textId="1CA5AF9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†U konkrétnych </w:t>
      </w:r>
      <w:r w:rsidR="00E565FA">
        <w:rPr>
          <w:sz w:val="22"/>
        </w:rPr>
        <w:t>účastníkov</w:t>
      </w:r>
      <w:r>
        <w:rPr>
          <w:sz w:val="22"/>
        </w:rPr>
        <w:t xml:space="preserve"> sa mohla objaviť viac ako jedna udalosť a mohla byť uvedená v obidvoch klasifikáciách.</w:t>
      </w:r>
    </w:p>
    <w:p w14:paraId="4D79DA37" w14:textId="77777777" w:rsidR="00B07789" w:rsidRPr="007E6137" w:rsidRDefault="00B07789" w:rsidP="00833B71">
      <w:pPr>
        <w:spacing w:after="0" w:line="240" w:lineRule="auto"/>
        <w:ind w:left="0" w:firstLine="0"/>
        <w:rPr>
          <w:sz w:val="22"/>
        </w:rPr>
      </w:pPr>
    </w:p>
    <w:p w14:paraId="56B547B8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Účinnosť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prevenciu </w:t>
      </w:r>
      <w:proofErr w:type="spellStart"/>
      <w:r>
        <w:rPr>
          <w:sz w:val="22"/>
        </w:rPr>
        <w:t>rekurentnej</w:t>
      </w:r>
      <w:proofErr w:type="spellEnd"/>
      <w:r>
        <w:rPr>
          <w:sz w:val="22"/>
        </w:rPr>
        <w:t xml:space="preserve"> VTE sa naprieč podskupinami zahŕňajúcimi vek, pohlavie, BMI a funkciu obličiek zachovala. </w:t>
      </w:r>
    </w:p>
    <w:p w14:paraId="038D5296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FA5F7D1" w14:textId="6E627A20" w:rsidR="00B07789" w:rsidRPr="00A731E1" w:rsidRDefault="00D25089" w:rsidP="00833B71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Primárnym cieľovým ukazovateľom bezpečnosti bolo závažné krvácanie počas obdobia liečby. Výskyt závažného krvácania pri obidvoch dávkach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sa v štúdii štatisticky neodlišoval od placeba. Neobjavil sa žiadny štatisticky významný rozdiel vo výskyte závažného + CRNM krvácania, nezávažného krvácania a všetkých krvácaní medzi pacientmi liečenými 2,5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dvakrát denne a pacientmi užívajúcimi placebo (pozri tabuľku 11). </w:t>
      </w:r>
    </w:p>
    <w:p w14:paraId="7D20F705" w14:textId="77777777" w:rsidR="00407F1A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4B182CF" w14:textId="5A3D1011" w:rsidR="00B07789" w:rsidRPr="00C44F30" w:rsidRDefault="00D25089" w:rsidP="00833B71">
      <w:pPr>
        <w:keepNext/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Tabuľka 11: Výsledky krvácania v štúdii AMPLIFY- EXT </w:t>
      </w:r>
    </w:p>
    <w:tbl>
      <w:tblPr>
        <w:tblStyle w:val="TableGrid"/>
        <w:tblW w:w="9547" w:type="dxa"/>
        <w:tblInd w:w="-53" w:type="dxa"/>
        <w:tblCellMar>
          <w:top w:w="111" w:type="dxa"/>
          <w:left w:w="101" w:type="dxa"/>
          <w:right w:w="109" w:type="dxa"/>
        </w:tblCellMar>
        <w:tblLook w:val="04A0" w:firstRow="1" w:lastRow="0" w:firstColumn="1" w:lastColumn="0" w:noHBand="0" w:noVBand="1"/>
      </w:tblPr>
      <w:tblGrid>
        <w:gridCol w:w="1475"/>
        <w:gridCol w:w="1482"/>
        <w:gridCol w:w="1482"/>
        <w:gridCol w:w="1482"/>
        <w:gridCol w:w="1813"/>
        <w:gridCol w:w="1813"/>
      </w:tblGrid>
      <w:tr w:rsidR="00772F14" w:rsidRPr="00A731E1" w14:paraId="7A2A4612" w14:textId="77777777" w:rsidTr="0073232F">
        <w:trPr>
          <w:trHeight w:val="361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F4331D" w14:textId="77777777" w:rsidR="00772F14" w:rsidRPr="007E6137" w:rsidRDefault="00772F14" w:rsidP="0073232F">
            <w:pPr>
              <w:keepNext/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59B960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29698C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Apixabán</w:t>
            </w:r>
            <w:proofErr w:type="spellEnd"/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C2F940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Placebo</w:t>
            </w:r>
          </w:p>
        </w:tc>
        <w:tc>
          <w:tcPr>
            <w:tcW w:w="1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E0DA7A" w14:textId="77777777" w:rsidR="00772F14" w:rsidRPr="00A731E1" w:rsidRDefault="00772F14" w:rsidP="0073232F">
            <w:pPr>
              <w:keepNext/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Relatívne riziko (95 % IS)</w:t>
            </w:r>
          </w:p>
        </w:tc>
      </w:tr>
      <w:tr w:rsidR="00772F14" w:rsidRPr="00A731E1" w14:paraId="3F317721" w14:textId="77777777" w:rsidTr="0073232F">
        <w:trPr>
          <w:trHeight w:val="655"/>
        </w:trPr>
        <w:tc>
          <w:tcPr>
            <w:tcW w:w="14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CF12E1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1422C6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2,5 mg </w:t>
            </w:r>
          </w:p>
          <w:p w14:paraId="2886C206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(N = 840)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4CE2D94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5,0 mg </w:t>
            </w:r>
          </w:p>
          <w:p w14:paraId="04B778F6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(N = 811)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DA821F4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062B440B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(N = 826)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E0887" w14:textId="77777777" w:rsidR="00772F14" w:rsidRDefault="00772F14" w:rsidP="0073232F">
            <w:pPr>
              <w:tabs>
                <w:tab w:val="left" w:pos="84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 2,5 mg </w:t>
            </w:r>
          </w:p>
          <w:p w14:paraId="14F9F52B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porovnaní s placebom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43F2918" w14:textId="77777777" w:rsidR="00772F14" w:rsidRDefault="00772F14" w:rsidP="0073232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Apix</w:t>
            </w:r>
            <w:proofErr w:type="spellEnd"/>
            <w:r>
              <w:rPr>
                <w:b/>
                <w:sz w:val="22"/>
              </w:rPr>
              <w:t xml:space="preserve"> 5,0 mg </w:t>
            </w:r>
          </w:p>
          <w:p w14:paraId="16185995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porovnaní s placebom </w:t>
            </w:r>
          </w:p>
        </w:tc>
      </w:tr>
      <w:tr w:rsidR="00772F14" w:rsidRPr="00A731E1" w14:paraId="18D3032C" w14:textId="77777777" w:rsidTr="0073232F">
        <w:trPr>
          <w:trHeight w:val="361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7B40A32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F81EDF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C50A68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 (%)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2D16DE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314D9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D38646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  <w:lang w:val="en-GB"/>
              </w:rPr>
            </w:pPr>
          </w:p>
        </w:tc>
      </w:tr>
      <w:tr w:rsidR="00772F14" w:rsidRPr="00A731E1" w14:paraId="0249D4BE" w14:textId="77777777" w:rsidTr="0073232F">
        <w:trPr>
          <w:trHeight w:val="419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2D7D5B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2F0C1C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 (0,2)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F07858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 (0,1)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45B091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 (0,5)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D939A64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0,49 (0,09; 2,64)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96E7DC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0,25 (0,03; 2,24)</w:t>
            </w:r>
          </w:p>
        </w:tc>
      </w:tr>
      <w:tr w:rsidR="00772F14" w:rsidRPr="00A731E1" w14:paraId="2E374414" w14:textId="77777777" w:rsidTr="0073232F">
        <w:trPr>
          <w:trHeight w:val="450"/>
        </w:trPr>
        <w:tc>
          <w:tcPr>
            <w:tcW w:w="1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732D20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Závažné + CRNM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9715FF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 (3,2)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339B4C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35 (4,3)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D98D46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 (2,7)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0D8807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1,20 (0,69; 2,10)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22846F8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1,62 (0,96; 2,73)</w:t>
            </w:r>
          </w:p>
        </w:tc>
      </w:tr>
      <w:tr w:rsidR="00772F14" w:rsidRPr="00A731E1" w14:paraId="0DB1A1D1" w14:textId="77777777" w:rsidTr="0073232F">
        <w:trPr>
          <w:trHeight w:val="449"/>
        </w:trPr>
        <w:tc>
          <w:tcPr>
            <w:tcW w:w="14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93B7EA5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Nezávažné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A764F71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75 (8,9)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D2712D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98 (12,1)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F4C9DFE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58 (7,0)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60086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1,26 (0,91; 1,75)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35EFA36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1,70 (1,25; 2,31)</w:t>
            </w:r>
          </w:p>
        </w:tc>
      </w:tr>
      <w:tr w:rsidR="00772F14" w:rsidRPr="00A731E1" w14:paraId="25D80688" w14:textId="77777777" w:rsidTr="0073232F">
        <w:trPr>
          <w:trHeight w:val="445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998B3E" w14:textId="77777777" w:rsidR="00772F14" w:rsidRPr="00A731E1" w:rsidRDefault="00772F14" w:rsidP="0073232F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Všetky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77FABD5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94 (11,2)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EFC9D8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121 (14,9)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51F378A" w14:textId="77777777" w:rsidR="00772F14" w:rsidRPr="00A731E1" w:rsidRDefault="00772F14" w:rsidP="0073232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74 (9,0)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27B55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1,24 (0,93; 1,65)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622952" w14:textId="77777777" w:rsidR="00772F14" w:rsidRPr="00A731E1" w:rsidRDefault="00772F14" w:rsidP="0073232F">
            <w:pPr>
              <w:spacing w:after="0" w:line="240" w:lineRule="auto"/>
              <w:ind w:left="0" w:right="-154" w:firstLine="0"/>
              <w:jc w:val="center"/>
              <w:rPr>
                <w:sz w:val="22"/>
              </w:rPr>
            </w:pPr>
            <w:r>
              <w:rPr>
                <w:sz w:val="22"/>
              </w:rPr>
              <w:t>1,65 (1,26; 2,16)</w:t>
            </w:r>
          </w:p>
        </w:tc>
      </w:tr>
    </w:tbl>
    <w:p w14:paraId="6B7F5DC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03D9B59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Posudzované závažné ISTH </w:t>
      </w:r>
      <w:proofErr w:type="spellStart"/>
      <w:r>
        <w:rPr>
          <w:sz w:val="22"/>
        </w:rPr>
        <w:t>gastrointestinálne</w:t>
      </w:r>
      <w:proofErr w:type="spellEnd"/>
      <w:r>
        <w:rPr>
          <w:sz w:val="22"/>
        </w:rPr>
        <w:t xml:space="preserve"> krvácanie sa objavilo u 1 (0,1 %) pacienta liečeného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 v dávke 5 mg dvakrát denne, v dávke 2,5 mg dvakrát denne sa takéto krvácanie neobjavilo u žiadneho pacienta a objavilo sa u 1 (0,1 %) pacienta užívajúceho placebo. </w:t>
      </w:r>
    </w:p>
    <w:p w14:paraId="267D6925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43772AE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Pediatrická populácia</w:t>
      </w:r>
      <w:r>
        <w:rPr>
          <w:sz w:val="22"/>
          <w:u w:val="none"/>
        </w:rPr>
        <w:t xml:space="preserve"> </w:t>
      </w:r>
    </w:p>
    <w:p w14:paraId="4E374691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99AFBD9" w14:textId="33433A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Európska lieková agentúra udelila odklad z povinnosti predložiť výsledky štúdií s </w:t>
      </w:r>
      <w:proofErr w:type="spellStart"/>
      <w:r w:rsidR="0084697C">
        <w:rPr>
          <w:sz w:val="22"/>
        </w:rPr>
        <w:t>apixabánom</w:t>
      </w:r>
      <w:proofErr w:type="spellEnd"/>
      <w:r>
        <w:rPr>
          <w:sz w:val="22"/>
        </w:rPr>
        <w:t xml:space="preserve"> v jednej alebo vo viacerých podskupinách pediatrickej populácie v prípade </w:t>
      </w:r>
      <w:proofErr w:type="spellStart"/>
      <w:r>
        <w:rPr>
          <w:sz w:val="22"/>
        </w:rPr>
        <w:t>venóznej</w:t>
      </w:r>
      <w:proofErr w:type="spellEnd"/>
      <w:r>
        <w:rPr>
          <w:sz w:val="22"/>
        </w:rPr>
        <w:t xml:space="preserve"> alebo </w:t>
      </w:r>
      <w:r w:rsidR="003A74B4">
        <w:rPr>
          <w:sz w:val="22"/>
        </w:rPr>
        <w:t>artériovej</w:t>
      </w:r>
      <w:r>
        <w:rPr>
          <w:sz w:val="22"/>
        </w:rPr>
        <w:t xml:space="preserve"> embólie a trombózy (informácie o použití v pediatrickej populácii, pozri časť 4.2). </w:t>
      </w:r>
    </w:p>
    <w:p w14:paraId="09BC7F23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 </w:t>
      </w:r>
    </w:p>
    <w:p w14:paraId="1F662A3F" w14:textId="77777777" w:rsidR="00B07789" w:rsidRPr="00A731E1" w:rsidRDefault="00D25089" w:rsidP="000E7AF5">
      <w:pPr>
        <w:keepNext/>
        <w:tabs>
          <w:tab w:val="center" w:pos="1813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5.2.</w:t>
      </w:r>
      <w:r>
        <w:rPr>
          <w:b/>
          <w:sz w:val="22"/>
        </w:rPr>
        <w:tab/>
        <w:t xml:space="preserve">Farmakokinetické vlastnosti </w:t>
      </w:r>
    </w:p>
    <w:p w14:paraId="2D6F8622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A7998A0" w14:textId="77777777" w:rsidR="00B07789" w:rsidRPr="00A731E1" w:rsidRDefault="00D25089" w:rsidP="000E7AF5">
      <w:pPr>
        <w:pStyle w:val="Nadpis2"/>
        <w:keepLines w:val="0"/>
        <w:spacing w:after="0" w:line="240" w:lineRule="auto"/>
        <w:ind w:left="0"/>
        <w:rPr>
          <w:sz w:val="22"/>
        </w:rPr>
      </w:pPr>
      <w:r>
        <w:rPr>
          <w:sz w:val="22"/>
        </w:rPr>
        <w:t>Absorpcia</w:t>
      </w:r>
      <w:r>
        <w:rPr>
          <w:sz w:val="22"/>
          <w:u w:val="none"/>
        </w:rPr>
        <w:t xml:space="preserve"> </w:t>
      </w:r>
    </w:p>
    <w:p w14:paraId="15E0F68A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Absolútna biologická dostupnosť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je približne 50 % pri dávkach do 10 mg.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sa absorbuje rýchlo s maximálnymi koncentráciami (C</w:t>
      </w:r>
      <w:r>
        <w:rPr>
          <w:sz w:val="22"/>
          <w:vertAlign w:val="subscript"/>
        </w:rPr>
        <w:t>max</w:t>
      </w:r>
      <w:r>
        <w:rPr>
          <w:sz w:val="22"/>
        </w:rPr>
        <w:t>) objavujúcimi sa 3 až 4 hodiny po užití tablety. Pri dávke 10 mg užitie s jedlom neovplyvňuje AUC alebo C</w:t>
      </w:r>
      <w:r>
        <w:rPr>
          <w:sz w:val="22"/>
          <w:vertAlign w:val="subscript"/>
        </w:rPr>
        <w:t xml:space="preserve">max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sa môže užívať s jedlom alebo bez jedla. </w:t>
      </w:r>
    </w:p>
    <w:p w14:paraId="725EB963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6FB0014" w14:textId="59825CB2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vykazuje lineárnu </w:t>
      </w:r>
      <w:proofErr w:type="spellStart"/>
      <w:r>
        <w:rPr>
          <w:sz w:val="22"/>
        </w:rPr>
        <w:t>farmakokinetiku</w:t>
      </w:r>
      <w:proofErr w:type="spellEnd"/>
      <w:r>
        <w:rPr>
          <w:sz w:val="22"/>
        </w:rPr>
        <w:t xml:space="preserve"> so zvyšovaním expozície priamo úmerne </w:t>
      </w:r>
      <w:r w:rsidR="00EA09DA">
        <w:rPr>
          <w:sz w:val="22"/>
        </w:rPr>
        <w:t>s</w:t>
      </w:r>
      <w:r>
        <w:rPr>
          <w:sz w:val="22"/>
        </w:rPr>
        <w:t xml:space="preserve"> dávk</w:t>
      </w:r>
      <w:r w:rsidR="00EA09DA">
        <w:rPr>
          <w:sz w:val="22"/>
        </w:rPr>
        <w:t>ou</w:t>
      </w:r>
      <w:r>
        <w:rPr>
          <w:sz w:val="22"/>
        </w:rPr>
        <w:t xml:space="preserve"> pri perorálnych dávkach do 10 mg. Pri dávkach ≥ 25 mg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vykazuje absorpciu limitovanú </w:t>
      </w:r>
      <w:proofErr w:type="spellStart"/>
      <w:r w:rsidR="00EA09DA">
        <w:rPr>
          <w:sz w:val="22"/>
        </w:rPr>
        <w:t>disolúciou</w:t>
      </w:r>
      <w:proofErr w:type="spellEnd"/>
      <w:r>
        <w:rPr>
          <w:sz w:val="22"/>
        </w:rPr>
        <w:t xml:space="preserve"> so zníženou biologickou dostupnosťou. Parametre expozície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vykazujú nízku až strednú variabilitu, čo sa odráža v </w:t>
      </w:r>
      <w:proofErr w:type="spellStart"/>
      <w:r>
        <w:rPr>
          <w:sz w:val="22"/>
        </w:rPr>
        <w:t>intraindividuálnej</w:t>
      </w:r>
      <w:proofErr w:type="spellEnd"/>
      <w:r>
        <w:rPr>
          <w:sz w:val="22"/>
        </w:rPr>
        <w:t xml:space="preserve"> (~ 20 % CV) a </w:t>
      </w:r>
      <w:proofErr w:type="spellStart"/>
      <w:r>
        <w:rPr>
          <w:sz w:val="22"/>
        </w:rPr>
        <w:t>interindividuálnej</w:t>
      </w:r>
      <w:proofErr w:type="spellEnd"/>
      <w:r>
        <w:rPr>
          <w:sz w:val="22"/>
        </w:rPr>
        <w:t xml:space="preserve"> variabilite (~ 30 % CV). </w:t>
      </w:r>
    </w:p>
    <w:p w14:paraId="563ED58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391B8B0" w14:textId="23F29E6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podaní 10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perorálne vo forme 2 rozdrvených 5 mg tabliet rozpustených v 30 ml vody bola expozícia porovnateľná s expozíciou po perorálnom podaní 2 celých 5 mg tabliet. Po podaní 10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perorálne vo forme 2 rozdrvených 5 mg tabliet rozmiešaných v 30 g jabl</w:t>
      </w:r>
      <w:r w:rsidR="003E075E">
        <w:rPr>
          <w:sz w:val="22"/>
        </w:rPr>
        <w:t>kového</w:t>
      </w:r>
      <w:r>
        <w:rPr>
          <w:sz w:val="22"/>
        </w:rPr>
        <w:t xml:space="preserve"> pyré bola C</w:t>
      </w:r>
      <w:r>
        <w:rPr>
          <w:sz w:val="22"/>
          <w:vertAlign w:val="subscript"/>
        </w:rPr>
        <w:t xml:space="preserve">max </w:t>
      </w:r>
      <w:r>
        <w:rPr>
          <w:sz w:val="22"/>
        </w:rPr>
        <w:t xml:space="preserve">o 21 % nižšia a AUC o 16 % nižšia v porovnaní s podaním 2 celých 5 mg tabliet. Zníženie expozície sa nepovažuje za klinicky relevantné. </w:t>
      </w:r>
    </w:p>
    <w:p w14:paraId="48671752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5F68765" w14:textId="212B664C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Po podaní rozdrvenej 5 mg tablety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rozpustenej v 60 ml D5W a podanej cez </w:t>
      </w:r>
      <w:proofErr w:type="spellStart"/>
      <w:r>
        <w:rPr>
          <w:sz w:val="22"/>
        </w:rPr>
        <w:t>nazogastrickú</w:t>
      </w:r>
      <w:proofErr w:type="spellEnd"/>
      <w:r>
        <w:rPr>
          <w:sz w:val="22"/>
        </w:rPr>
        <w:t xml:space="preserve"> </w:t>
      </w:r>
      <w:r w:rsidR="00CC5089">
        <w:rPr>
          <w:sz w:val="22"/>
        </w:rPr>
        <w:t>sondu</w:t>
      </w:r>
      <w:r>
        <w:rPr>
          <w:sz w:val="22"/>
        </w:rPr>
        <w:t xml:space="preserve"> bola expozícia podobná ako expozícia pozorovaná v iných klinických štúdiách zahŕňajúcich zdravých </w:t>
      </w:r>
      <w:r w:rsidR="00337D51">
        <w:rPr>
          <w:sz w:val="22"/>
        </w:rPr>
        <w:t>účastníkov</w:t>
      </w:r>
      <w:r>
        <w:rPr>
          <w:sz w:val="22"/>
        </w:rPr>
        <w:t xml:space="preserve">, ktorí dostávali jednorazovú dávku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5 mg perorálne. </w:t>
      </w:r>
    </w:p>
    <w:p w14:paraId="4DB5090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5283B7E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Na základe predpokladaného </w:t>
      </w:r>
      <w:proofErr w:type="spellStart"/>
      <w:r>
        <w:rPr>
          <w:sz w:val="22"/>
        </w:rPr>
        <w:t>farmakokinetického</w:t>
      </w:r>
      <w:proofErr w:type="spellEnd"/>
      <w:r>
        <w:rPr>
          <w:sz w:val="22"/>
        </w:rPr>
        <w:t xml:space="preserve"> profilu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v závislosti od dávky sú výsledky biologickej dostupnosti z vykonaných štúdií použiteľné pri nižších dávkach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</w:t>
      </w:r>
    </w:p>
    <w:p w14:paraId="637F2477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FA6E550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Distribúcia</w:t>
      </w:r>
      <w:r>
        <w:rPr>
          <w:sz w:val="22"/>
          <w:u w:val="none"/>
        </w:rPr>
        <w:t xml:space="preserve"> </w:t>
      </w:r>
    </w:p>
    <w:p w14:paraId="60B8001B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Väzba na plazmatické proteíny u ľudí je približne 87 %. Distribučný objem (</w:t>
      </w:r>
      <w:proofErr w:type="spellStart"/>
      <w:r>
        <w:rPr>
          <w:sz w:val="22"/>
        </w:rPr>
        <w:t>Vss</w:t>
      </w:r>
      <w:proofErr w:type="spellEnd"/>
      <w:r>
        <w:rPr>
          <w:sz w:val="22"/>
        </w:rPr>
        <w:t xml:space="preserve">) je približne 21 litrov. </w:t>
      </w:r>
    </w:p>
    <w:p w14:paraId="0DE9080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3FE6479E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Biotransformácia a eliminácia</w:t>
      </w:r>
      <w:r>
        <w:rPr>
          <w:sz w:val="22"/>
          <w:u w:val="none"/>
        </w:rPr>
        <w:t xml:space="preserve"> </w:t>
      </w:r>
    </w:p>
    <w:p w14:paraId="00564607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má viacero spôsobov eliminácie. Z podanej dávky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u ľudí sa približne 25 % mení na metabolity, väčšina metabolitov sa vylučuje stolicou. Renálna exkrécia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tvorí približne 27 % celkového </w:t>
      </w:r>
      <w:proofErr w:type="spellStart"/>
      <w:r>
        <w:rPr>
          <w:sz w:val="22"/>
        </w:rPr>
        <w:t>klírensu</w:t>
      </w:r>
      <w:proofErr w:type="spellEnd"/>
      <w:r>
        <w:rPr>
          <w:sz w:val="22"/>
        </w:rPr>
        <w:t xml:space="preserve">. V klinických a predklinických štúdiách sa pozorovali ďalšie spôsoby exkrécie – biliárna a priama </w:t>
      </w:r>
      <w:proofErr w:type="spellStart"/>
      <w:r>
        <w:rPr>
          <w:sz w:val="22"/>
        </w:rPr>
        <w:t>intestinálna</w:t>
      </w:r>
      <w:proofErr w:type="spellEnd"/>
      <w:r>
        <w:rPr>
          <w:sz w:val="22"/>
        </w:rPr>
        <w:t xml:space="preserve">. </w:t>
      </w:r>
    </w:p>
    <w:p w14:paraId="08C934E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9FFBB98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má celkový klírens okolo 3,3 l/h a eliminačný polčas približne 12 hodín. </w:t>
      </w:r>
    </w:p>
    <w:p w14:paraId="52CC7C1E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9C2678D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O</w:t>
      </w:r>
      <w:r>
        <w:rPr>
          <w:sz w:val="22"/>
        </w:rPr>
        <w:noBreakHyphen/>
      </w:r>
      <w:proofErr w:type="spellStart"/>
      <w:r>
        <w:rPr>
          <w:sz w:val="22"/>
        </w:rPr>
        <w:t>demetylácia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hydroxylácia</w:t>
      </w:r>
      <w:proofErr w:type="spellEnd"/>
      <w:r>
        <w:rPr>
          <w:sz w:val="22"/>
        </w:rPr>
        <w:t xml:space="preserve"> na mieste 3</w:t>
      </w:r>
      <w:r>
        <w:rPr>
          <w:sz w:val="22"/>
        </w:rPr>
        <w:noBreakHyphen/>
        <w:t xml:space="preserve">oxopiperidinylu sú hlavnými miestami </w:t>
      </w:r>
      <w:proofErr w:type="spellStart"/>
      <w:r>
        <w:rPr>
          <w:sz w:val="22"/>
        </w:rPr>
        <w:t>biotransformácie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sa metabolizuje najmä prostredníctvom CYP3A4/5, s miernym prispením CYP1A2, 2C8, 2C9, 2C19 a 2J2. V ľudskej plazme je najdôležitejšou zložkou nezmenený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bez prítomnosti aktívnych cirkulujúcich metabolitov.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je substrátom transportných proteínov, P</w:t>
      </w:r>
      <w:r>
        <w:rPr>
          <w:sz w:val="22"/>
        </w:rPr>
        <w:noBreakHyphen/>
      </w:r>
      <w:proofErr w:type="spellStart"/>
      <w:r>
        <w:rPr>
          <w:sz w:val="22"/>
        </w:rPr>
        <w:t>gp</w:t>
      </w:r>
      <w:proofErr w:type="spellEnd"/>
      <w:r>
        <w:rPr>
          <w:sz w:val="22"/>
        </w:rPr>
        <w:t xml:space="preserve"> a proteínu zodpovedného za rezistenciu pri rakovine prsníka (</w:t>
      </w:r>
      <w:proofErr w:type="spellStart"/>
      <w:r>
        <w:rPr>
          <w:sz w:val="22"/>
        </w:rPr>
        <w:t>breast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cancer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resistance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protein</w:t>
      </w:r>
      <w:proofErr w:type="spellEnd"/>
      <w:r>
        <w:rPr>
          <w:sz w:val="22"/>
        </w:rPr>
        <w:t xml:space="preserve">, BCRP). </w:t>
      </w:r>
    </w:p>
    <w:p w14:paraId="020B4386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52A211C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Porucha funkcie obličiek</w:t>
      </w:r>
      <w:r>
        <w:rPr>
          <w:sz w:val="22"/>
          <w:u w:val="none"/>
        </w:rPr>
        <w:t xml:space="preserve"> </w:t>
      </w:r>
    </w:p>
    <w:p w14:paraId="3C44CFD8" w14:textId="3474407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Nepozoroval sa žiadny vplyv poru</w:t>
      </w:r>
      <w:r w:rsidR="00FE6664">
        <w:rPr>
          <w:sz w:val="22"/>
        </w:rPr>
        <w:t>chy</w:t>
      </w:r>
      <w:r>
        <w:rPr>
          <w:sz w:val="22"/>
        </w:rPr>
        <w:t xml:space="preserve"> funkcie obličiek na maximálnu plazmatickú koncentráciu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. Stanovením </w:t>
      </w:r>
      <w:proofErr w:type="spellStart"/>
      <w:r>
        <w:rPr>
          <w:sz w:val="22"/>
        </w:rPr>
        <w:t>klírensu</w:t>
      </w:r>
      <w:proofErr w:type="spellEnd"/>
      <w:r>
        <w:rPr>
          <w:sz w:val="22"/>
        </w:rPr>
        <w:t xml:space="preserve"> kreatinínu sa zistilo, že zvýšenie expozície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korelovalo so znížením funkcie obličiek. U </w:t>
      </w:r>
      <w:r w:rsidR="00FE6664">
        <w:rPr>
          <w:sz w:val="22"/>
        </w:rPr>
        <w:t>osôb</w:t>
      </w:r>
      <w:r>
        <w:rPr>
          <w:sz w:val="22"/>
        </w:rPr>
        <w:t xml:space="preserve"> s </w:t>
      </w:r>
      <w:r w:rsidR="00FE6664">
        <w:rPr>
          <w:sz w:val="22"/>
        </w:rPr>
        <w:t>miernou</w:t>
      </w:r>
      <w:r>
        <w:rPr>
          <w:sz w:val="22"/>
        </w:rPr>
        <w:t xml:space="preserve"> (klírens kreatinínu 51 – 80 ml/min), stredne </w:t>
      </w:r>
      <w:r w:rsidR="00FE6664">
        <w:rPr>
          <w:sz w:val="22"/>
        </w:rPr>
        <w:t>závažnou</w:t>
      </w:r>
      <w:r>
        <w:rPr>
          <w:sz w:val="22"/>
        </w:rPr>
        <w:t xml:space="preserve"> (klírens kreatinínu 30 – 50 ml/min) a </w:t>
      </w:r>
      <w:r w:rsidR="00FE6664">
        <w:rPr>
          <w:sz w:val="22"/>
        </w:rPr>
        <w:t>závažnou</w:t>
      </w:r>
      <w:r>
        <w:rPr>
          <w:sz w:val="22"/>
        </w:rPr>
        <w:t xml:space="preserve"> (klírens kreatinínu 15 – 29 ml/min) poruchou funkcie obličiek sa plazmatické koncentrácie (AUC)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, v porovnaní s </w:t>
      </w:r>
      <w:r w:rsidR="00FE6664">
        <w:rPr>
          <w:sz w:val="22"/>
        </w:rPr>
        <w:t>osobami</w:t>
      </w:r>
      <w:r>
        <w:rPr>
          <w:sz w:val="22"/>
        </w:rPr>
        <w:t xml:space="preserve"> s normálnym </w:t>
      </w:r>
      <w:proofErr w:type="spellStart"/>
      <w:r>
        <w:rPr>
          <w:sz w:val="22"/>
        </w:rPr>
        <w:t>klírensom</w:t>
      </w:r>
      <w:proofErr w:type="spellEnd"/>
      <w:r>
        <w:rPr>
          <w:sz w:val="22"/>
        </w:rPr>
        <w:t xml:space="preserve"> kreatinínu, zvýšili o 16, 29 a 44 % v uvedenom poradí. Porucha funkcie obličiek nemala žiadny evidentný vplyv na vzťah medzi plazmatickou koncentráciou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aktivitou. </w:t>
      </w:r>
    </w:p>
    <w:p w14:paraId="36E6636F" w14:textId="6ADA0D90" w:rsidR="00B07789" w:rsidRPr="00A731E1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F8158F0" w14:textId="4A474293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lastRenderedPageBreak/>
        <w:t>U osôb s terminálnym štádiom ochorenia obličiek (end-</w:t>
      </w:r>
      <w:proofErr w:type="spellStart"/>
      <w:r>
        <w:rPr>
          <w:sz w:val="22"/>
        </w:rPr>
        <w:t>stage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disease</w:t>
      </w:r>
      <w:proofErr w:type="spellEnd"/>
      <w:r w:rsidR="00FE6664">
        <w:rPr>
          <w:sz w:val="22"/>
        </w:rPr>
        <w:t>,</w:t>
      </w:r>
      <w:r>
        <w:rPr>
          <w:sz w:val="22"/>
        </w:rPr>
        <w:t xml:space="preserve"> ESRD) sa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zvýšila o 36 %, keď sa podávala jednorazová dávka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5 mg bezprostredne po hemodialýze v porovnaní s AUC pozorovanou u osôb s normálnou funkciou obličiek. Hemodialýza, ktorá začala dve hodiny po podaní jednorazovej dávky 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, znížila AUC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o 14 % u týchto pacientov s ESRD, čo zodpovedá </w:t>
      </w:r>
      <w:proofErr w:type="spellStart"/>
      <w:r>
        <w:rPr>
          <w:sz w:val="22"/>
        </w:rPr>
        <w:t>klírensu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dialýzou 18 ml/min. Preto je nepravdepodobné, že by hemodialýza bola účinným prostriedkom pri liečbe predávkovania </w:t>
      </w:r>
      <w:proofErr w:type="spellStart"/>
      <w:r>
        <w:rPr>
          <w:sz w:val="22"/>
        </w:rPr>
        <w:t>apixabánom</w:t>
      </w:r>
      <w:proofErr w:type="spellEnd"/>
      <w:r>
        <w:rPr>
          <w:sz w:val="22"/>
        </w:rPr>
        <w:t xml:space="preserve">. </w:t>
      </w:r>
    </w:p>
    <w:p w14:paraId="603DD131" w14:textId="2AD1E595" w:rsidR="00B07789" w:rsidRPr="00A731E1" w:rsidRDefault="00B07789" w:rsidP="00833B71">
      <w:pPr>
        <w:spacing w:after="0" w:line="240" w:lineRule="auto"/>
        <w:ind w:left="0" w:firstLine="0"/>
        <w:rPr>
          <w:sz w:val="22"/>
        </w:rPr>
      </w:pPr>
    </w:p>
    <w:p w14:paraId="3E8F351E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Porucha funkcie pečene</w:t>
      </w:r>
      <w:r>
        <w:rPr>
          <w:sz w:val="22"/>
          <w:u w:val="none"/>
        </w:rPr>
        <w:t xml:space="preserve"> </w:t>
      </w:r>
    </w:p>
    <w:p w14:paraId="16F5A474" w14:textId="39D329C4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V štúdii, ktorá porovnávala 8 </w:t>
      </w:r>
      <w:r w:rsidR="00FE6664">
        <w:rPr>
          <w:sz w:val="22"/>
        </w:rPr>
        <w:t>osôb</w:t>
      </w:r>
      <w:r>
        <w:rPr>
          <w:sz w:val="22"/>
        </w:rPr>
        <w:t xml:space="preserve"> s </w:t>
      </w:r>
      <w:r w:rsidR="00FE6664">
        <w:rPr>
          <w:sz w:val="22"/>
        </w:rPr>
        <w:t>miernou</w:t>
      </w:r>
      <w:r>
        <w:rPr>
          <w:sz w:val="22"/>
        </w:rPr>
        <w:t xml:space="preserve"> poruchou funkcie pečene, </w:t>
      </w:r>
      <w:proofErr w:type="spellStart"/>
      <w:r>
        <w:rPr>
          <w:sz w:val="22"/>
        </w:rPr>
        <w:t>Childovo</w:t>
      </w:r>
      <w:r>
        <w:rPr>
          <w:sz w:val="22"/>
        </w:rPr>
        <w:noBreakHyphen/>
        <w:t>Pughovo</w:t>
      </w:r>
      <w:proofErr w:type="spellEnd"/>
      <w:r>
        <w:rPr>
          <w:sz w:val="22"/>
        </w:rPr>
        <w:t xml:space="preserve"> skóre 5 (n = 6) a 6 (n = 2), a 8 </w:t>
      </w:r>
      <w:r w:rsidR="00FE6664">
        <w:rPr>
          <w:sz w:val="22"/>
        </w:rPr>
        <w:t>osôb</w:t>
      </w:r>
      <w:r>
        <w:rPr>
          <w:sz w:val="22"/>
        </w:rPr>
        <w:t xml:space="preserve"> so stredne </w:t>
      </w:r>
      <w:r w:rsidR="00FE6664">
        <w:rPr>
          <w:sz w:val="22"/>
        </w:rPr>
        <w:t>závažnou</w:t>
      </w:r>
      <w:r>
        <w:rPr>
          <w:sz w:val="22"/>
        </w:rPr>
        <w:t xml:space="preserve"> poruchou funkcie pečene, </w:t>
      </w:r>
      <w:proofErr w:type="spellStart"/>
      <w:r>
        <w:rPr>
          <w:sz w:val="22"/>
        </w:rPr>
        <w:t>Childovo</w:t>
      </w:r>
      <w:r>
        <w:rPr>
          <w:sz w:val="22"/>
        </w:rPr>
        <w:noBreakHyphen/>
        <w:t>Pughovo</w:t>
      </w:r>
      <w:proofErr w:type="spellEnd"/>
      <w:r>
        <w:rPr>
          <w:sz w:val="22"/>
        </w:rPr>
        <w:t xml:space="preserve"> skóre B 7 (n = 6) a 8 (n = 2), so 16 zdravými </w:t>
      </w:r>
      <w:r w:rsidR="00FE6664">
        <w:rPr>
          <w:sz w:val="22"/>
        </w:rPr>
        <w:t>osobami</w:t>
      </w:r>
      <w:r>
        <w:rPr>
          <w:sz w:val="22"/>
        </w:rPr>
        <w:t xml:space="preserve"> kontrolnej skupiny sa </w:t>
      </w:r>
      <w:proofErr w:type="spellStart"/>
      <w:r>
        <w:rPr>
          <w:sz w:val="22"/>
        </w:rPr>
        <w:t>farmakokinetika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farmakodynamika</w:t>
      </w:r>
      <w:proofErr w:type="spellEnd"/>
      <w:r>
        <w:rPr>
          <w:sz w:val="22"/>
        </w:rPr>
        <w:t xml:space="preserve"> dávky 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u </w:t>
      </w:r>
      <w:r w:rsidR="00FE6664">
        <w:rPr>
          <w:sz w:val="22"/>
        </w:rPr>
        <w:t>osôb</w:t>
      </w:r>
      <w:r>
        <w:rPr>
          <w:sz w:val="22"/>
        </w:rPr>
        <w:t xml:space="preserve"> s poruchou funkcie pečene nezmenila. Zmeny v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aktivite a INR boli medzi </w:t>
      </w:r>
      <w:r w:rsidR="00FE6664">
        <w:rPr>
          <w:sz w:val="22"/>
        </w:rPr>
        <w:t>osobami</w:t>
      </w:r>
      <w:r>
        <w:rPr>
          <w:sz w:val="22"/>
        </w:rPr>
        <w:t xml:space="preserve"> s </w:t>
      </w:r>
      <w:r w:rsidR="00FE6664">
        <w:rPr>
          <w:sz w:val="22"/>
        </w:rPr>
        <w:t>miernou</w:t>
      </w:r>
      <w:r>
        <w:rPr>
          <w:sz w:val="22"/>
        </w:rPr>
        <w:t xml:space="preserve"> až stredne </w:t>
      </w:r>
      <w:r w:rsidR="00FE6664">
        <w:rPr>
          <w:sz w:val="22"/>
        </w:rPr>
        <w:t>závažnou</w:t>
      </w:r>
      <w:r>
        <w:rPr>
          <w:sz w:val="22"/>
        </w:rPr>
        <w:t xml:space="preserve"> poruchou funkcie pečene a zdravými </w:t>
      </w:r>
      <w:r w:rsidR="00FE6664">
        <w:rPr>
          <w:sz w:val="22"/>
        </w:rPr>
        <w:t>osobami</w:t>
      </w:r>
      <w:r>
        <w:rPr>
          <w:sz w:val="22"/>
        </w:rPr>
        <w:t xml:space="preserve"> porovnateľné. </w:t>
      </w:r>
    </w:p>
    <w:p w14:paraId="68B2C6D6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D82F1A2" w14:textId="6CFE7E3C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 xml:space="preserve">Starší </w:t>
      </w:r>
      <w:r w:rsidR="006216B2">
        <w:rPr>
          <w:sz w:val="22"/>
        </w:rPr>
        <w:t>pacienti</w:t>
      </w:r>
    </w:p>
    <w:p w14:paraId="137CB14A" w14:textId="7777777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Starší pacienti (nad 65 rokov) vykazovali vyššie plazmatické koncentrácie ako mladší pacienti s priemernými hodnotami AUC vyššími približne o 32 % a žiadny rozdiel v C</w:t>
      </w:r>
      <w:r>
        <w:rPr>
          <w:sz w:val="22"/>
          <w:vertAlign w:val="subscript"/>
        </w:rPr>
        <w:t>max.</w:t>
      </w:r>
      <w:r>
        <w:rPr>
          <w:sz w:val="22"/>
        </w:rPr>
        <w:t xml:space="preserve"> </w:t>
      </w:r>
    </w:p>
    <w:p w14:paraId="31AA2AC4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8377499" w14:textId="77777777" w:rsidR="00B07789" w:rsidRPr="00A731E1" w:rsidRDefault="00D25089" w:rsidP="00144850">
      <w:pPr>
        <w:spacing w:after="0" w:line="240" w:lineRule="auto"/>
        <w:ind w:left="0"/>
        <w:rPr>
          <w:sz w:val="22"/>
        </w:rPr>
      </w:pPr>
      <w:r>
        <w:rPr>
          <w:sz w:val="22"/>
          <w:u w:val="single" w:color="000000"/>
        </w:rPr>
        <w:t>Pohlavie</w:t>
      </w:r>
      <w:r>
        <w:rPr>
          <w:sz w:val="22"/>
        </w:rPr>
        <w:t xml:space="preserve"> </w:t>
      </w:r>
    </w:p>
    <w:p w14:paraId="3280F1CB" w14:textId="77777777" w:rsidR="00B07789" w:rsidRPr="00A731E1" w:rsidRDefault="00D25089" w:rsidP="00144850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Expozícia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bola približne o 18 % vyššia u žien ako u mužov. </w:t>
      </w:r>
    </w:p>
    <w:p w14:paraId="17C8B4E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9D14961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Etnický pôvod a rasa</w:t>
      </w:r>
      <w:r>
        <w:rPr>
          <w:sz w:val="22"/>
          <w:u w:val="none"/>
        </w:rPr>
        <w:t xml:space="preserve"> </w:t>
      </w:r>
    </w:p>
    <w:p w14:paraId="3CF8D5F2" w14:textId="6939D753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Výsledky v štúdiách fázy I neukázali odlíšiteľné rozdiely vo farmakokinetike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medzi </w:t>
      </w:r>
      <w:r w:rsidR="006216B2">
        <w:rPr>
          <w:sz w:val="22"/>
        </w:rPr>
        <w:t>pacientmi bielej, žltej a čiernej rasy</w:t>
      </w:r>
      <w:r>
        <w:rPr>
          <w:sz w:val="22"/>
        </w:rPr>
        <w:t xml:space="preserve">. Závery z analýzy </w:t>
      </w:r>
      <w:proofErr w:type="spellStart"/>
      <w:r>
        <w:rPr>
          <w:sz w:val="22"/>
        </w:rPr>
        <w:t>farmakokinetiky</w:t>
      </w:r>
      <w:proofErr w:type="spellEnd"/>
      <w:r>
        <w:rPr>
          <w:sz w:val="22"/>
        </w:rPr>
        <w:t xml:space="preserve"> u pacientov, ktorým sa podal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, boli zvyčajne konzistentné s výsledkami fázy I. </w:t>
      </w:r>
    </w:p>
    <w:p w14:paraId="3134783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44F56F09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r>
        <w:rPr>
          <w:sz w:val="22"/>
        </w:rPr>
        <w:t>Telesná hmotnosť</w:t>
      </w:r>
      <w:r>
        <w:rPr>
          <w:sz w:val="22"/>
          <w:u w:val="none"/>
        </w:rPr>
        <w:t xml:space="preserve"> </w:t>
      </w:r>
    </w:p>
    <w:p w14:paraId="16B192ED" w14:textId="7325FDB9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 porovnaní s expozíciou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u </w:t>
      </w:r>
      <w:r w:rsidR="006216B2">
        <w:rPr>
          <w:sz w:val="22"/>
        </w:rPr>
        <w:t>osôb</w:t>
      </w:r>
      <w:r>
        <w:rPr>
          <w:sz w:val="22"/>
        </w:rPr>
        <w:t xml:space="preserve"> s telesnou hmotnosťou 65 až 85 kg, u </w:t>
      </w:r>
      <w:r w:rsidR="006216B2">
        <w:rPr>
          <w:sz w:val="22"/>
        </w:rPr>
        <w:t>osôb</w:t>
      </w:r>
      <w:r>
        <w:rPr>
          <w:sz w:val="22"/>
        </w:rPr>
        <w:t xml:space="preserve"> s telesnou hmotnosťou &gt; 120 kg bola expozícia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približne o 30 % nižšia a</w:t>
      </w:r>
      <w:r w:rsidR="006216B2">
        <w:rPr>
          <w:sz w:val="22"/>
        </w:rPr>
        <w:t> </w:t>
      </w:r>
      <w:r>
        <w:rPr>
          <w:sz w:val="22"/>
        </w:rPr>
        <w:t xml:space="preserve">u </w:t>
      </w:r>
      <w:r w:rsidR="006216B2">
        <w:rPr>
          <w:sz w:val="22"/>
        </w:rPr>
        <w:t>osôb</w:t>
      </w:r>
      <w:r>
        <w:rPr>
          <w:sz w:val="22"/>
        </w:rPr>
        <w:t xml:space="preserve"> s hmotnosťou &lt; 50 kg bola expozícia približne o 30 % vyššia. </w:t>
      </w:r>
    </w:p>
    <w:p w14:paraId="355E3BBB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B264029" w14:textId="77777777" w:rsidR="00B07789" w:rsidRPr="00A731E1" w:rsidRDefault="00D25089" w:rsidP="00833B71">
      <w:pPr>
        <w:pStyle w:val="Nadpis2"/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Farmakokinetický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farmakodynamický</w:t>
      </w:r>
      <w:proofErr w:type="spellEnd"/>
      <w:r>
        <w:rPr>
          <w:sz w:val="22"/>
        </w:rPr>
        <w:t xml:space="preserve"> vzťah</w:t>
      </w:r>
      <w:r>
        <w:rPr>
          <w:sz w:val="22"/>
          <w:u w:val="none"/>
        </w:rPr>
        <w:t xml:space="preserve"> </w:t>
      </w:r>
    </w:p>
    <w:p w14:paraId="05784CD3" w14:textId="18AD3835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Vzťah </w:t>
      </w:r>
      <w:proofErr w:type="spellStart"/>
      <w:r>
        <w:rPr>
          <w:sz w:val="22"/>
        </w:rPr>
        <w:t>farmakokinetiky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farmakodynamiky</w:t>
      </w:r>
      <w:proofErr w:type="spellEnd"/>
      <w:r>
        <w:rPr>
          <w:sz w:val="22"/>
        </w:rPr>
        <w:t xml:space="preserve"> (FK/FD) medzi </w:t>
      </w:r>
      <w:r w:rsidR="006216B2">
        <w:rPr>
          <w:sz w:val="22"/>
        </w:rPr>
        <w:t xml:space="preserve">plazmatickou </w:t>
      </w:r>
      <w:r>
        <w:rPr>
          <w:sz w:val="22"/>
        </w:rPr>
        <w:t xml:space="preserve">koncentráciou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a niekoľkými </w:t>
      </w:r>
      <w:proofErr w:type="spellStart"/>
      <w:r>
        <w:rPr>
          <w:sz w:val="22"/>
        </w:rPr>
        <w:t>farmakodynamickými</w:t>
      </w:r>
      <w:proofErr w:type="spellEnd"/>
      <w:r>
        <w:rPr>
          <w:sz w:val="22"/>
        </w:rPr>
        <w:t xml:space="preserve"> </w:t>
      </w:r>
      <w:r w:rsidR="006216B2">
        <w:rPr>
          <w:sz w:val="22"/>
        </w:rPr>
        <w:t>cieľovými</w:t>
      </w:r>
      <w:r>
        <w:rPr>
          <w:sz w:val="22"/>
        </w:rPr>
        <w:t xml:space="preserve"> ukazovateľmi (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aktivita, INR, PT, </w:t>
      </w:r>
      <w:proofErr w:type="spellStart"/>
      <w:r>
        <w:rPr>
          <w:sz w:val="22"/>
        </w:rPr>
        <w:t>aPTT</w:t>
      </w:r>
      <w:proofErr w:type="spellEnd"/>
      <w:r>
        <w:rPr>
          <w:sz w:val="22"/>
        </w:rPr>
        <w:t xml:space="preserve">) sa hodnotil po podaní širokého rozpätia dávok (0,5 – 50 mg). Vzťah medzi </w:t>
      </w:r>
      <w:r w:rsidR="006216B2">
        <w:rPr>
          <w:sz w:val="22"/>
        </w:rPr>
        <w:t xml:space="preserve">plazmatickou </w:t>
      </w:r>
      <w:r>
        <w:rPr>
          <w:sz w:val="22"/>
        </w:rPr>
        <w:t xml:space="preserve">koncentráciou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 a </w:t>
      </w:r>
      <w:proofErr w:type="spellStart"/>
      <w:r>
        <w:rPr>
          <w:sz w:val="22"/>
        </w:rPr>
        <w:t>anti</w:t>
      </w:r>
      <w:r>
        <w:rPr>
          <w:sz w:val="22"/>
        </w:rPr>
        <w:noBreakHyphen/>
        <w:t>FXa</w:t>
      </w:r>
      <w:proofErr w:type="spellEnd"/>
      <w:r>
        <w:rPr>
          <w:sz w:val="22"/>
        </w:rPr>
        <w:t xml:space="preserve"> aktivitou sa najlepšie popísal lineárnym modelom. Vzťah FK/FD pozorovaný u pacientov bol </w:t>
      </w:r>
      <w:r w:rsidR="001C252C">
        <w:rPr>
          <w:sz w:val="22"/>
        </w:rPr>
        <w:t>zhodný</w:t>
      </w:r>
      <w:r>
        <w:rPr>
          <w:sz w:val="22"/>
        </w:rPr>
        <w:t xml:space="preserve"> s výsledkami u zdravých </w:t>
      </w:r>
      <w:r w:rsidR="001C252C">
        <w:rPr>
          <w:sz w:val="22"/>
        </w:rPr>
        <w:t>osôb</w:t>
      </w:r>
      <w:r>
        <w:rPr>
          <w:sz w:val="22"/>
        </w:rPr>
        <w:t xml:space="preserve">. </w:t>
      </w:r>
    </w:p>
    <w:p w14:paraId="7327EBBA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D8B3DCC" w14:textId="77777777" w:rsidR="00B07789" w:rsidRPr="00A731E1" w:rsidRDefault="00D25089" w:rsidP="001F3856">
      <w:pPr>
        <w:pStyle w:val="Nadpis3"/>
        <w:tabs>
          <w:tab w:val="center" w:pos="1559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>5.3</w:t>
      </w:r>
      <w:r>
        <w:rPr>
          <w:sz w:val="22"/>
        </w:rPr>
        <w:tab/>
        <w:t>Predklinické údaje o bezpečnosti</w:t>
      </w:r>
      <w:r>
        <w:rPr>
          <w:b w:val="0"/>
          <w:sz w:val="22"/>
        </w:rPr>
        <w:t xml:space="preserve"> </w:t>
      </w:r>
    </w:p>
    <w:p w14:paraId="41CEA56F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FAD6380" w14:textId="388DB2F8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Predklinické údaje získané na základe obvyklých farmakologických štúdií bezpečnosti, toxicity po opakovanom podávaní, genotoxicity, karcinogénneho potenciálu, fertility a embryo</w:t>
      </w:r>
      <w:r>
        <w:rPr>
          <w:sz w:val="22"/>
        </w:rPr>
        <w:noBreakHyphen/>
      </w:r>
      <w:proofErr w:type="spellStart"/>
      <w:r>
        <w:rPr>
          <w:sz w:val="22"/>
        </w:rPr>
        <w:t>fetálneho</w:t>
      </w:r>
      <w:proofErr w:type="spellEnd"/>
      <w:r>
        <w:rPr>
          <w:sz w:val="22"/>
        </w:rPr>
        <w:t xml:space="preserve"> výv</w:t>
      </w:r>
      <w:r w:rsidR="00E17CF1">
        <w:rPr>
          <w:sz w:val="22"/>
        </w:rPr>
        <w:t>inu</w:t>
      </w:r>
      <w:r>
        <w:rPr>
          <w:sz w:val="22"/>
        </w:rPr>
        <w:t xml:space="preserve"> a juvenilnej toxicity neodhalili žiadne osobitné riziko pre ľudí. </w:t>
      </w:r>
    </w:p>
    <w:p w14:paraId="29CEE69D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171E8F6" w14:textId="7790C047" w:rsidR="00B07789" w:rsidRPr="00A731E1" w:rsidRDefault="00D25089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Najvýznamnejšie pozorované účinky v štúdiách toxicity po opakovanom podávaní boli také, ktoré súviseli s farmakologickým pôsobením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 xml:space="preserve"> na koagulačné parametre krvi. V štúdiách toxicity sa zistilo malé až žiadne zvýšenie tendencie ku krvácavosti. Keďže to môže byť spôsobené nižšou citlivosťou druhov použitých predklinických štúdiách v porovnaní s ľuďmi, pri </w:t>
      </w:r>
      <w:proofErr w:type="spellStart"/>
      <w:r>
        <w:rPr>
          <w:sz w:val="22"/>
        </w:rPr>
        <w:t>extrapolácii</w:t>
      </w:r>
      <w:proofErr w:type="spellEnd"/>
      <w:r>
        <w:rPr>
          <w:sz w:val="22"/>
        </w:rPr>
        <w:t xml:space="preserve"> na ľudí sa má tento výsledok interpretovať s opatrnosťou. </w:t>
      </w:r>
    </w:p>
    <w:p w14:paraId="0A02C344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709CD64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 </w:t>
      </w:r>
    </w:p>
    <w:p w14:paraId="3E193175" w14:textId="77777777" w:rsidR="00B07789" w:rsidRPr="00A731E1" w:rsidRDefault="00D25089" w:rsidP="000E7AF5">
      <w:pPr>
        <w:pStyle w:val="Nadpis1"/>
        <w:keepLines w:val="0"/>
        <w:tabs>
          <w:tab w:val="center" w:pos="2367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6. </w:t>
      </w:r>
      <w:r>
        <w:rPr>
          <w:sz w:val="22"/>
        </w:rPr>
        <w:tab/>
        <w:t xml:space="preserve">FARMACEUTICKÉ ÚDAJE </w:t>
      </w:r>
    </w:p>
    <w:p w14:paraId="678B3992" w14:textId="77777777" w:rsidR="00B07789" w:rsidRPr="00A731E1" w:rsidRDefault="00D25089" w:rsidP="000E7AF5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32C72F3" w14:textId="77777777" w:rsidR="00B07789" w:rsidRPr="00A731E1" w:rsidRDefault="00D25089" w:rsidP="000E7AF5">
      <w:pPr>
        <w:pStyle w:val="Nadpis2"/>
        <w:keepLines w:val="0"/>
        <w:tabs>
          <w:tab w:val="center" w:pos="1329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  <w:u w:val="none"/>
        </w:rPr>
        <w:t>6.1</w:t>
      </w:r>
      <w:r>
        <w:rPr>
          <w:b/>
          <w:sz w:val="22"/>
          <w:u w:val="none"/>
        </w:rPr>
        <w:tab/>
        <w:t xml:space="preserve">Zoznam pomocných látok </w:t>
      </w:r>
    </w:p>
    <w:p w14:paraId="3B42B71C" w14:textId="77777777" w:rsidR="00B07789" w:rsidRPr="00A731E1" w:rsidRDefault="00D25089" w:rsidP="00833B71">
      <w:pPr>
        <w:spacing w:after="0" w:line="240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0977770E" w14:textId="77777777" w:rsidR="009A5A46" w:rsidRPr="00A731E1" w:rsidRDefault="009A5A46" w:rsidP="00833B71">
      <w:pPr>
        <w:spacing w:after="0" w:line="240" w:lineRule="auto"/>
        <w:ind w:left="0"/>
        <w:rPr>
          <w:sz w:val="22"/>
        </w:rPr>
      </w:pPr>
      <w:r>
        <w:rPr>
          <w:sz w:val="22"/>
          <w:u w:val="single" w:color="000000"/>
        </w:rPr>
        <w:t>Jadro tablety:</w:t>
      </w:r>
      <w:r>
        <w:rPr>
          <w:sz w:val="22"/>
        </w:rPr>
        <w:t xml:space="preserve"> </w:t>
      </w:r>
    </w:p>
    <w:p w14:paraId="4C040A32" w14:textId="77777777" w:rsidR="009A5A46" w:rsidRPr="008578C6" w:rsidRDefault="00E17CF1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m</w:t>
      </w:r>
      <w:r w:rsidR="009A5A46">
        <w:rPr>
          <w:sz w:val="22"/>
        </w:rPr>
        <w:t>anitol</w:t>
      </w:r>
      <w:proofErr w:type="spellEnd"/>
    </w:p>
    <w:p w14:paraId="0D01AA85" w14:textId="702A4594" w:rsidR="009A5A46" w:rsidRPr="008578C6" w:rsidRDefault="00E17CF1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m</w:t>
      </w:r>
      <w:r w:rsidR="009A5A46">
        <w:rPr>
          <w:sz w:val="22"/>
        </w:rPr>
        <w:t>ikrokryštalická celulóza</w:t>
      </w:r>
    </w:p>
    <w:p w14:paraId="41292BF0" w14:textId="77777777" w:rsidR="009A5A46" w:rsidRPr="008578C6" w:rsidRDefault="009A5A46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lauryls</w:t>
      </w:r>
      <w:r w:rsidR="00E17CF1">
        <w:rPr>
          <w:sz w:val="22"/>
        </w:rPr>
        <w:t>íran</w:t>
      </w:r>
      <w:proofErr w:type="spellEnd"/>
      <w:r w:rsidR="00E17CF1">
        <w:rPr>
          <w:sz w:val="22"/>
        </w:rPr>
        <w:t xml:space="preserve"> sodný</w:t>
      </w:r>
      <w:r>
        <w:rPr>
          <w:sz w:val="22"/>
        </w:rPr>
        <w:t xml:space="preserve"> </w:t>
      </w:r>
    </w:p>
    <w:p w14:paraId="18488B8E" w14:textId="2A3454ED" w:rsidR="009A5A46" w:rsidRDefault="00E17CF1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s</w:t>
      </w:r>
      <w:r w:rsidR="009A5A46">
        <w:rPr>
          <w:sz w:val="22"/>
        </w:rPr>
        <w:t xml:space="preserve">odná soľ kroskarmelózy </w:t>
      </w:r>
    </w:p>
    <w:p w14:paraId="321E7BB6" w14:textId="34AADC3E" w:rsidR="009A5A46" w:rsidRDefault="009A5A46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stearát</w:t>
      </w:r>
      <w:proofErr w:type="spellEnd"/>
      <w:r w:rsidR="00E17CF1">
        <w:rPr>
          <w:sz w:val="22"/>
        </w:rPr>
        <w:t xml:space="preserve"> horečnatý</w:t>
      </w:r>
      <w:r>
        <w:rPr>
          <w:sz w:val="22"/>
        </w:rPr>
        <w:t xml:space="preserve"> </w:t>
      </w:r>
    </w:p>
    <w:p w14:paraId="567CC6A3" w14:textId="77777777" w:rsidR="009A5A46" w:rsidRPr="007E6137" w:rsidRDefault="009A5A46" w:rsidP="00833B71">
      <w:pPr>
        <w:spacing w:after="0" w:line="240" w:lineRule="auto"/>
        <w:ind w:left="0" w:firstLine="0"/>
        <w:rPr>
          <w:sz w:val="22"/>
        </w:rPr>
      </w:pPr>
    </w:p>
    <w:p w14:paraId="0BDD4D09" w14:textId="77777777" w:rsidR="009A5A46" w:rsidRDefault="009A5A46" w:rsidP="00833B71">
      <w:pPr>
        <w:spacing w:after="0" w:line="240" w:lineRule="auto"/>
        <w:ind w:left="0"/>
        <w:rPr>
          <w:sz w:val="22"/>
        </w:rPr>
      </w:pPr>
      <w:r>
        <w:rPr>
          <w:sz w:val="22"/>
          <w:u w:val="single" w:color="000000"/>
        </w:rPr>
        <w:t>Filmový obal:</w:t>
      </w:r>
      <w:r>
        <w:rPr>
          <w:sz w:val="22"/>
        </w:rPr>
        <w:t xml:space="preserve"> </w:t>
      </w:r>
    </w:p>
    <w:p w14:paraId="43E10260" w14:textId="19D00FB1" w:rsidR="009A5A46" w:rsidRPr="008578C6" w:rsidRDefault="00E17CF1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h</w:t>
      </w:r>
      <w:r w:rsidR="009A5A46">
        <w:rPr>
          <w:sz w:val="22"/>
        </w:rPr>
        <w:t>ypromelóza</w:t>
      </w:r>
      <w:proofErr w:type="spellEnd"/>
      <w:r w:rsidR="009A5A46">
        <w:rPr>
          <w:sz w:val="22"/>
        </w:rPr>
        <w:t xml:space="preserve"> typu 2910/6  </w:t>
      </w:r>
    </w:p>
    <w:p w14:paraId="2A24E7E1" w14:textId="5DF6B29F" w:rsidR="009A5A46" w:rsidRDefault="00E17CF1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>o</w:t>
      </w:r>
      <w:r w:rsidR="009A5A46">
        <w:rPr>
          <w:sz w:val="22"/>
        </w:rPr>
        <w:t xml:space="preserve">xid titaničitý (E171) </w:t>
      </w:r>
    </w:p>
    <w:p w14:paraId="64E075C2" w14:textId="1EFE6398" w:rsidR="009A5A46" w:rsidRDefault="00E17CF1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m</w:t>
      </w:r>
      <w:r w:rsidR="009A5A46">
        <w:rPr>
          <w:sz w:val="22"/>
        </w:rPr>
        <w:t>onohydrát</w:t>
      </w:r>
      <w:proofErr w:type="spellEnd"/>
      <w:r w:rsidR="009A5A46">
        <w:rPr>
          <w:sz w:val="22"/>
        </w:rPr>
        <w:t xml:space="preserve"> laktózy </w:t>
      </w:r>
    </w:p>
    <w:p w14:paraId="12127736" w14:textId="203F834E" w:rsidR="009A5A46" w:rsidRPr="008578C6" w:rsidRDefault="00E17CF1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m</w:t>
      </w:r>
      <w:r w:rsidR="009A5A46">
        <w:rPr>
          <w:sz w:val="22"/>
        </w:rPr>
        <w:t>akrogol</w:t>
      </w:r>
      <w:proofErr w:type="spellEnd"/>
      <w:r w:rsidR="009A5A46">
        <w:rPr>
          <w:sz w:val="22"/>
        </w:rPr>
        <w:t xml:space="preserve"> 3350</w:t>
      </w:r>
    </w:p>
    <w:p w14:paraId="3C82C8A5" w14:textId="77777777" w:rsidR="009A5A46" w:rsidRDefault="00E17CF1" w:rsidP="00833B71">
      <w:pPr>
        <w:spacing w:after="0" w:line="240" w:lineRule="auto"/>
        <w:ind w:left="0"/>
        <w:rPr>
          <w:sz w:val="22"/>
        </w:rPr>
      </w:pPr>
      <w:proofErr w:type="spellStart"/>
      <w:r>
        <w:rPr>
          <w:sz w:val="22"/>
        </w:rPr>
        <w:t>t</w:t>
      </w:r>
      <w:r w:rsidR="009A5A46">
        <w:rPr>
          <w:sz w:val="22"/>
        </w:rPr>
        <w:t>riacetín</w:t>
      </w:r>
      <w:proofErr w:type="spellEnd"/>
      <w:r w:rsidR="009A5A46">
        <w:rPr>
          <w:sz w:val="22"/>
        </w:rPr>
        <w:t xml:space="preserve"> </w:t>
      </w:r>
    </w:p>
    <w:p w14:paraId="1542580B" w14:textId="5460EF5A" w:rsidR="00C85EEB" w:rsidRDefault="00C85EEB" w:rsidP="00AB378D">
      <w:pPr>
        <w:ind w:left="0" w:firstLine="0"/>
        <w:rPr>
          <w:sz w:val="22"/>
        </w:rPr>
      </w:pPr>
      <w:r>
        <w:rPr>
          <w:sz w:val="22"/>
        </w:rPr>
        <w:t>žltý oxid železitý (E172)</w:t>
      </w:r>
    </w:p>
    <w:p w14:paraId="2A45C4CA" w14:textId="5A1CE3DD" w:rsidR="00AB378D" w:rsidRDefault="00AB378D" w:rsidP="00AB378D">
      <w:pPr>
        <w:ind w:left="0" w:firstLine="0"/>
        <w:rPr>
          <w:sz w:val="22"/>
        </w:rPr>
      </w:pPr>
      <w:r>
        <w:rPr>
          <w:sz w:val="22"/>
        </w:rPr>
        <w:t>červený oxid železitý (E172)</w:t>
      </w:r>
    </w:p>
    <w:p w14:paraId="2F0D00F3" w14:textId="773E36DB" w:rsidR="009A5A46" w:rsidRPr="009A5A46" w:rsidRDefault="00D313C5" w:rsidP="00AB378D">
      <w:pPr>
        <w:ind w:left="0" w:firstLine="0"/>
        <w:rPr>
          <w:sz w:val="22"/>
        </w:rPr>
      </w:pPr>
      <w:r>
        <w:rPr>
          <w:sz w:val="22"/>
        </w:rPr>
        <w:t>čierny</w:t>
      </w:r>
      <w:r w:rsidR="00F920B1">
        <w:rPr>
          <w:sz w:val="22"/>
        </w:rPr>
        <w:t xml:space="preserve"> oxid železitý</w:t>
      </w:r>
      <w:r w:rsidR="009A5A46">
        <w:rPr>
          <w:sz w:val="22"/>
        </w:rPr>
        <w:t xml:space="preserve"> (E172)</w:t>
      </w:r>
    </w:p>
    <w:p w14:paraId="20EA3189" w14:textId="77777777" w:rsidR="00B07789" w:rsidRPr="00A731E1" w:rsidRDefault="00D25089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37B24A4" w14:textId="77777777" w:rsidR="00836D5C" w:rsidRPr="00A731E1" w:rsidRDefault="00836D5C" w:rsidP="00144850">
      <w:pPr>
        <w:tabs>
          <w:tab w:val="center" w:pos="1329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6.2</w:t>
      </w:r>
      <w:r>
        <w:rPr>
          <w:b/>
          <w:sz w:val="22"/>
        </w:rPr>
        <w:tab/>
        <w:t>Inkompatibility</w:t>
      </w:r>
      <w:r>
        <w:rPr>
          <w:sz w:val="22"/>
        </w:rPr>
        <w:t xml:space="preserve"> </w:t>
      </w:r>
    </w:p>
    <w:p w14:paraId="3639998C" w14:textId="77777777" w:rsidR="00836D5C" w:rsidRPr="00A731E1" w:rsidRDefault="00836D5C" w:rsidP="0014485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AC44DE6" w14:textId="77777777" w:rsidR="00836D5C" w:rsidRPr="00A731E1" w:rsidRDefault="00836D5C" w:rsidP="00144850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Neaplikovateľné </w:t>
      </w:r>
    </w:p>
    <w:p w14:paraId="37ED59AE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27963BFC" w14:textId="77777777" w:rsidR="00836D5C" w:rsidRPr="00A731E1" w:rsidRDefault="00836D5C" w:rsidP="001F3856">
      <w:pPr>
        <w:tabs>
          <w:tab w:val="center" w:pos="970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6.3</w:t>
      </w:r>
      <w:r>
        <w:rPr>
          <w:b/>
          <w:sz w:val="22"/>
        </w:rPr>
        <w:tab/>
        <w:t>Čas použiteľnosti</w:t>
      </w:r>
      <w:r>
        <w:rPr>
          <w:sz w:val="22"/>
        </w:rPr>
        <w:t xml:space="preserve"> </w:t>
      </w:r>
    </w:p>
    <w:p w14:paraId="4987E8DF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1484D6F" w14:textId="3CF1D1C6" w:rsidR="00836D5C" w:rsidRDefault="00457E21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2 roky </w:t>
      </w:r>
    </w:p>
    <w:p w14:paraId="24098055" w14:textId="77777777" w:rsidR="00600D70" w:rsidRPr="007E6137" w:rsidRDefault="00600D70" w:rsidP="00833B71">
      <w:pPr>
        <w:spacing w:after="0" w:line="240" w:lineRule="auto"/>
        <w:ind w:left="0" w:firstLine="0"/>
        <w:rPr>
          <w:sz w:val="22"/>
        </w:rPr>
      </w:pPr>
    </w:p>
    <w:p w14:paraId="4DCF517F" w14:textId="77777777" w:rsidR="00836D5C" w:rsidRPr="00A731E1" w:rsidRDefault="00836D5C" w:rsidP="001F3856">
      <w:pPr>
        <w:tabs>
          <w:tab w:val="center" w:pos="1948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</w:rPr>
        <w:t>6.4</w:t>
      </w:r>
      <w:r>
        <w:rPr>
          <w:b/>
          <w:sz w:val="22"/>
        </w:rPr>
        <w:tab/>
        <w:t>Špeciálne upozornenia na uchovávanie</w:t>
      </w:r>
      <w:r>
        <w:rPr>
          <w:sz w:val="22"/>
        </w:rPr>
        <w:t xml:space="preserve"> </w:t>
      </w:r>
    </w:p>
    <w:p w14:paraId="25765B7E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6FA38884" w14:textId="77777777" w:rsidR="00457E21" w:rsidRDefault="00457E21" w:rsidP="00457E2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5834011E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5E1BB19D" w14:textId="77777777" w:rsidR="00836D5C" w:rsidRPr="00A731E1" w:rsidRDefault="00836D5C" w:rsidP="001F3856">
      <w:pPr>
        <w:pStyle w:val="Nadpis2"/>
        <w:tabs>
          <w:tab w:val="center" w:pos="2037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  <w:u w:val="none"/>
        </w:rPr>
        <w:t>6.5</w:t>
      </w:r>
      <w:r>
        <w:rPr>
          <w:b/>
          <w:sz w:val="22"/>
          <w:u w:val="none"/>
        </w:rPr>
        <w:tab/>
        <w:t xml:space="preserve">Druh obalu a obsah balenia </w:t>
      </w:r>
    </w:p>
    <w:p w14:paraId="6779CC71" w14:textId="1D92843D" w:rsidR="00836D5C" w:rsidRPr="007E6137" w:rsidRDefault="00836D5C" w:rsidP="000B4880">
      <w:pPr>
        <w:spacing w:after="0" w:line="240" w:lineRule="auto"/>
        <w:ind w:left="0"/>
        <w:rPr>
          <w:sz w:val="22"/>
          <w:lang w:val="pl-PL"/>
        </w:rPr>
      </w:pPr>
    </w:p>
    <w:p w14:paraId="44153524" w14:textId="429FD201" w:rsidR="00836D5C" w:rsidRPr="000B4880" w:rsidRDefault="000B4880" w:rsidP="000B4880">
      <w:pPr>
        <w:spacing w:after="0" w:line="240" w:lineRule="auto"/>
        <w:ind w:left="0"/>
        <w:rPr>
          <w:sz w:val="22"/>
        </w:rPr>
      </w:pPr>
      <w:bookmarkStart w:id="2" w:name="_Hlk3302125"/>
      <w:bookmarkStart w:id="3" w:name="_Hlk3302525"/>
      <w:proofErr w:type="spellStart"/>
      <w:r>
        <w:rPr>
          <w:sz w:val="22"/>
        </w:rPr>
        <w:t>Blistre</w:t>
      </w:r>
      <w:proofErr w:type="spellEnd"/>
      <w:r>
        <w:rPr>
          <w:sz w:val="22"/>
        </w:rPr>
        <w:t xml:space="preserve"> Al//PVC/PVDC. </w:t>
      </w:r>
      <w:r>
        <w:t>Škatuľky po 14, 20, 28, 56, 60, 168 a 200 filmom obalených tabliet</w:t>
      </w:r>
      <w:bookmarkEnd w:id="2"/>
      <w:r>
        <w:rPr>
          <w:sz w:val="22"/>
        </w:rPr>
        <w:t>.</w:t>
      </w:r>
      <w:bookmarkEnd w:id="3"/>
    </w:p>
    <w:p w14:paraId="7CA473B3" w14:textId="77777777" w:rsidR="00836D5C" w:rsidRPr="00A731E1" w:rsidRDefault="00836D5C" w:rsidP="00833B71">
      <w:pPr>
        <w:spacing w:after="0" w:line="240" w:lineRule="auto"/>
        <w:ind w:left="0" w:right="1229"/>
        <w:rPr>
          <w:sz w:val="22"/>
        </w:rPr>
      </w:pPr>
      <w:r>
        <w:rPr>
          <w:sz w:val="22"/>
        </w:rPr>
        <w:t xml:space="preserve">Na trh nemusia byť uvedené všetky veľkosti balenia. </w:t>
      </w:r>
    </w:p>
    <w:p w14:paraId="4BF7A11F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5ED0F48" w14:textId="77777777" w:rsidR="00836D5C" w:rsidRPr="00A731E1" w:rsidRDefault="00836D5C" w:rsidP="001F3856">
      <w:pPr>
        <w:pStyle w:val="Nadpis2"/>
        <w:tabs>
          <w:tab w:val="center" w:pos="1982"/>
        </w:tabs>
        <w:spacing w:after="0" w:line="240" w:lineRule="auto"/>
        <w:ind w:left="567" w:hanging="567"/>
        <w:rPr>
          <w:sz w:val="22"/>
        </w:rPr>
      </w:pPr>
      <w:r>
        <w:rPr>
          <w:b/>
          <w:sz w:val="22"/>
          <w:u w:val="none"/>
        </w:rPr>
        <w:t>6.6</w:t>
      </w:r>
      <w:r>
        <w:rPr>
          <w:b/>
          <w:sz w:val="22"/>
          <w:u w:val="none"/>
        </w:rPr>
        <w:tab/>
        <w:t xml:space="preserve">Špeciálne opatrenia na likvidáciu </w:t>
      </w:r>
    </w:p>
    <w:p w14:paraId="22702203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2D59373" w14:textId="77777777" w:rsidR="00836D5C" w:rsidRPr="00A731E1" w:rsidRDefault="00836D5C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Žiadne zvláštne požiadavky. </w:t>
      </w:r>
    </w:p>
    <w:p w14:paraId="16866BC3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DE0C82B" w14:textId="7420EF61" w:rsidR="00836D5C" w:rsidRPr="00A731E1" w:rsidRDefault="00836D5C" w:rsidP="00833B71">
      <w:pPr>
        <w:spacing w:after="0" w:line="240" w:lineRule="auto"/>
        <w:ind w:left="0"/>
        <w:rPr>
          <w:sz w:val="22"/>
        </w:rPr>
      </w:pPr>
      <w:r>
        <w:rPr>
          <w:sz w:val="22"/>
        </w:rPr>
        <w:t xml:space="preserve">Všetok nepoužitý liek alebo odpad vzniknutý z lieku </w:t>
      </w:r>
      <w:r w:rsidR="00A1491D">
        <w:rPr>
          <w:sz w:val="22"/>
        </w:rPr>
        <w:t xml:space="preserve">sa </w:t>
      </w:r>
      <w:r>
        <w:rPr>
          <w:sz w:val="22"/>
        </w:rPr>
        <w:t>má  zlikvidova</w:t>
      </w:r>
      <w:r w:rsidR="00A1491D">
        <w:rPr>
          <w:sz w:val="22"/>
        </w:rPr>
        <w:t>ť</w:t>
      </w:r>
      <w:r>
        <w:rPr>
          <w:sz w:val="22"/>
        </w:rPr>
        <w:t xml:space="preserve"> v súlade s národnými požiadavkami. </w:t>
      </w:r>
    </w:p>
    <w:p w14:paraId="736BF987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0509D11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FA653BD" w14:textId="45B1EC37" w:rsidR="00836D5C" w:rsidRDefault="00836D5C" w:rsidP="00833B71">
      <w:pPr>
        <w:pStyle w:val="Nadpis1"/>
        <w:tabs>
          <w:tab w:val="center" w:pos="2635"/>
        </w:tabs>
        <w:spacing w:after="0" w:line="240" w:lineRule="auto"/>
        <w:ind w:left="0" w:firstLine="0"/>
        <w:rPr>
          <w:b w:val="0"/>
          <w:sz w:val="22"/>
        </w:rPr>
      </w:pPr>
      <w:r>
        <w:rPr>
          <w:sz w:val="22"/>
        </w:rPr>
        <w:t xml:space="preserve">7. </w:t>
      </w:r>
      <w:r>
        <w:rPr>
          <w:sz w:val="22"/>
        </w:rPr>
        <w:tab/>
        <w:t>DRŽITE</w:t>
      </w:r>
      <w:r w:rsidR="0039318C">
        <w:rPr>
          <w:sz w:val="22"/>
        </w:rPr>
        <w:t>Ľ</w:t>
      </w:r>
      <w:r>
        <w:rPr>
          <w:sz w:val="22"/>
        </w:rPr>
        <w:t xml:space="preserve"> ROZHODNUT</w:t>
      </w:r>
      <w:r w:rsidR="0039318C">
        <w:rPr>
          <w:sz w:val="22"/>
        </w:rPr>
        <w:t>IA</w:t>
      </w:r>
      <w:r>
        <w:rPr>
          <w:sz w:val="22"/>
        </w:rPr>
        <w:t xml:space="preserve"> O</w:t>
      </w:r>
      <w:r w:rsidR="0039318C">
        <w:rPr>
          <w:sz w:val="22"/>
        </w:rPr>
        <w:t> </w:t>
      </w:r>
      <w:r>
        <w:rPr>
          <w:sz w:val="22"/>
        </w:rPr>
        <w:t>REGISTR</w:t>
      </w:r>
      <w:r w:rsidR="0039318C">
        <w:rPr>
          <w:sz w:val="22"/>
        </w:rPr>
        <w:t>Á</w:t>
      </w:r>
      <w:r>
        <w:rPr>
          <w:sz w:val="22"/>
        </w:rPr>
        <w:t>CI</w:t>
      </w:r>
      <w:r w:rsidR="0039318C">
        <w:rPr>
          <w:sz w:val="22"/>
        </w:rPr>
        <w:t>I</w:t>
      </w:r>
      <w:r>
        <w:rPr>
          <w:b w:val="0"/>
          <w:sz w:val="22"/>
        </w:rPr>
        <w:t xml:space="preserve"> </w:t>
      </w:r>
    </w:p>
    <w:p w14:paraId="295460E4" w14:textId="77777777" w:rsidR="00CD137B" w:rsidRPr="00CD137B" w:rsidRDefault="00CD137B" w:rsidP="00CD137B"/>
    <w:p w14:paraId="15DD984B" w14:textId="77777777" w:rsidR="00CD137B" w:rsidRPr="00CD137B" w:rsidRDefault="00CD137B" w:rsidP="00CD137B">
      <w:pPr>
        <w:spacing w:after="0" w:line="240" w:lineRule="auto"/>
        <w:ind w:left="0"/>
        <w:rPr>
          <w:noProof/>
          <w:sz w:val="22"/>
        </w:rPr>
      </w:pPr>
      <w:r w:rsidRPr="00CD137B">
        <w:rPr>
          <w:noProof/>
          <w:sz w:val="22"/>
        </w:rPr>
        <w:t>Warszawskie Zakłady Farmaceutyczne Polfa S.A.</w:t>
      </w:r>
    </w:p>
    <w:p w14:paraId="71282652" w14:textId="77777777" w:rsidR="00CD137B" w:rsidRPr="00CD137B" w:rsidRDefault="00CD137B" w:rsidP="00CD137B">
      <w:pPr>
        <w:spacing w:after="0" w:line="240" w:lineRule="auto"/>
        <w:ind w:left="0"/>
        <w:rPr>
          <w:noProof/>
          <w:sz w:val="22"/>
        </w:rPr>
      </w:pPr>
      <w:r w:rsidRPr="00CD137B">
        <w:rPr>
          <w:noProof/>
          <w:sz w:val="22"/>
        </w:rPr>
        <w:t>ul. Karolkowa 22/24</w:t>
      </w:r>
    </w:p>
    <w:p w14:paraId="2C531705" w14:textId="77777777" w:rsidR="00CD137B" w:rsidRPr="00CD137B" w:rsidRDefault="00CD137B" w:rsidP="00CD137B">
      <w:pPr>
        <w:spacing w:after="0" w:line="240" w:lineRule="auto"/>
        <w:ind w:left="0"/>
        <w:rPr>
          <w:noProof/>
          <w:sz w:val="22"/>
        </w:rPr>
      </w:pPr>
      <w:r w:rsidRPr="00CD137B">
        <w:rPr>
          <w:noProof/>
          <w:sz w:val="22"/>
        </w:rPr>
        <w:t xml:space="preserve">01-207 Warszawa, </w:t>
      </w:r>
      <w:r w:rsidRPr="00CD137B">
        <w:rPr>
          <w:noProof/>
          <w:sz w:val="22"/>
          <w:lang w:val="en-US"/>
        </w:rPr>
        <w:t>Poľsko</w:t>
      </w:r>
    </w:p>
    <w:p w14:paraId="744F5BFB" w14:textId="77777777" w:rsidR="00F920B1" w:rsidRPr="00CD137B" w:rsidRDefault="00F920B1" w:rsidP="00CD137B">
      <w:pPr>
        <w:spacing w:after="0" w:line="240" w:lineRule="auto"/>
        <w:ind w:left="0"/>
        <w:rPr>
          <w:sz w:val="22"/>
        </w:rPr>
      </w:pPr>
    </w:p>
    <w:p w14:paraId="003A266F" w14:textId="2C12A446" w:rsidR="00836D5C" w:rsidRPr="00CD137B" w:rsidRDefault="00836D5C" w:rsidP="00CD137B">
      <w:pPr>
        <w:spacing w:after="0" w:line="240" w:lineRule="auto"/>
        <w:ind w:left="0" w:firstLine="0"/>
        <w:rPr>
          <w:sz w:val="22"/>
        </w:rPr>
      </w:pPr>
      <w:r w:rsidRPr="00CD137B">
        <w:rPr>
          <w:sz w:val="22"/>
        </w:rPr>
        <w:lastRenderedPageBreak/>
        <w:t xml:space="preserve"> </w:t>
      </w:r>
    </w:p>
    <w:p w14:paraId="51E12A2B" w14:textId="15461D97" w:rsidR="00836D5C" w:rsidRPr="00A731E1" w:rsidRDefault="00836D5C" w:rsidP="000E7AF5">
      <w:pPr>
        <w:pStyle w:val="Nadpis1"/>
        <w:keepLines w:val="0"/>
        <w:tabs>
          <w:tab w:val="center" w:pos="2773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8. </w:t>
      </w:r>
      <w:r>
        <w:rPr>
          <w:sz w:val="22"/>
        </w:rPr>
        <w:tab/>
        <w:t>REGISTRAČNÉ ČÍSL</w:t>
      </w:r>
      <w:r w:rsidR="0051264C">
        <w:rPr>
          <w:sz w:val="22"/>
        </w:rPr>
        <w:t>O</w:t>
      </w:r>
      <w:r>
        <w:rPr>
          <w:sz w:val="22"/>
        </w:rPr>
        <w:t xml:space="preserve"> </w:t>
      </w:r>
    </w:p>
    <w:p w14:paraId="2B5C38ED" w14:textId="408ECECB" w:rsidR="00836D5C" w:rsidRPr="00CD137B" w:rsidRDefault="00836D5C" w:rsidP="00CD137B">
      <w:pPr>
        <w:keepNext/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C009F03" w14:textId="5A286660" w:rsidR="00836D5C" w:rsidRDefault="00E00DEB" w:rsidP="00833B71">
      <w:pPr>
        <w:spacing w:after="0" w:line="240" w:lineRule="auto"/>
        <w:ind w:left="0" w:firstLine="0"/>
        <w:rPr>
          <w:sz w:val="22"/>
        </w:rPr>
      </w:pPr>
      <w:r w:rsidRPr="00E00DEB">
        <w:rPr>
          <w:sz w:val="22"/>
        </w:rPr>
        <w:t>16/0221/20-S</w:t>
      </w:r>
    </w:p>
    <w:p w14:paraId="5AEC4910" w14:textId="77777777" w:rsidR="00E00DEB" w:rsidRPr="007E6137" w:rsidRDefault="00E00DEB" w:rsidP="00833B71">
      <w:pPr>
        <w:spacing w:after="0" w:line="240" w:lineRule="auto"/>
        <w:ind w:left="0" w:firstLine="0"/>
        <w:rPr>
          <w:sz w:val="22"/>
        </w:rPr>
      </w:pPr>
    </w:p>
    <w:p w14:paraId="0EE0F170" w14:textId="77777777" w:rsidR="00836D5C" w:rsidRPr="007E6137" w:rsidRDefault="00836D5C" w:rsidP="00833B71">
      <w:pPr>
        <w:spacing w:after="0" w:line="240" w:lineRule="auto"/>
        <w:ind w:left="0" w:firstLine="0"/>
        <w:rPr>
          <w:sz w:val="22"/>
        </w:rPr>
      </w:pPr>
    </w:p>
    <w:p w14:paraId="669B03C4" w14:textId="7747FA53" w:rsidR="00836D5C" w:rsidRPr="00A731E1" w:rsidRDefault="00836D5C" w:rsidP="001F3856">
      <w:pPr>
        <w:pStyle w:val="Nadpis1"/>
        <w:tabs>
          <w:tab w:val="center" w:pos="4182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9. </w:t>
      </w:r>
      <w:r>
        <w:rPr>
          <w:sz w:val="22"/>
        </w:rPr>
        <w:tab/>
        <w:t>D</w:t>
      </w:r>
      <w:r w:rsidR="0039318C">
        <w:rPr>
          <w:sz w:val="22"/>
        </w:rPr>
        <w:t>Á</w:t>
      </w:r>
      <w:r>
        <w:rPr>
          <w:sz w:val="22"/>
        </w:rPr>
        <w:t>TUM PRV</w:t>
      </w:r>
      <w:r w:rsidR="0039318C">
        <w:rPr>
          <w:sz w:val="22"/>
        </w:rPr>
        <w:t>EJ</w:t>
      </w:r>
      <w:r>
        <w:rPr>
          <w:sz w:val="22"/>
        </w:rPr>
        <w:t xml:space="preserve"> REGISTR</w:t>
      </w:r>
      <w:r w:rsidR="0039318C">
        <w:rPr>
          <w:sz w:val="22"/>
        </w:rPr>
        <w:t>Á</w:t>
      </w:r>
      <w:r>
        <w:rPr>
          <w:sz w:val="22"/>
        </w:rPr>
        <w:t>C</w:t>
      </w:r>
      <w:r w:rsidR="0039318C">
        <w:rPr>
          <w:sz w:val="22"/>
        </w:rPr>
        <w:t>I</w:t>
      </w:r>
      <w:r>
        <w:rPr>
          <w:sz w:val="22"/>
        </w:rPr>
        <w:t>E/PR</w:t>
      </w:r>
      <w:r w:rsidR="0039318C">
        <w:rPr>
          <w:sz w:val="22"/>
        </w:rPr>
        <w:t>E</w:t>
      </w:r>
      <w:r>
        <w:rPr>
          <w:sz w:val="22"/>
        </w:rPr>
        <w:t>D</w:t>
      </w:r>
      <w:r w:rsidR="0039318C">
        <w:rPr>
          <w:sz w:val="22"/>
        </w:rPr>
        <w:t>Ĺ</w:t>
      </w:r>
      <w:r>
        <w:rPr>
          <w:sz w:val="22"/>
        </w:rPr>
        <w:t>ŽEN</w:t>
      </w:r>
      <w:r w:rsidR="0039318C">
        <w:rPr>
          <w:sz w:val="22"/>
        </w:rPr>
        <w:t>IA</w:t>
      </w:r>
      <w:r>
        <w:rPr>
          <w:sz w:val="22"/>
        </w:rPr>
        <w:t xml:space="preserve"> REGISTR</w:t>
      </w:r>
      <w:r w:rsidR="0039318C">
        <w:rPr>
          <w:sz w:val="22"/>
        </w:rPr>
        <w:t>Á</w:t>
      </w:r>
      <w:r>
        <w:rPr>
          <w:sz w:val="22"/>
        </w:rPr>
        <w:t>C</w:t>
      </w:r>
      <w:r w:rsidR="0039318C">
        <w:rPr>
          <w:sz w:val="22"/>
        </w:rPr>
        <w:t>I</w:t>
      </w:r>
      <w:r>
        <w:rPr>
          <w:sz w:val="22"/>
        </w:rPr>
        <w:t>E</w:t>
      </w:r>
      <w:r>
        <w:rPr>
          <w:b w:val="0"/>
          <w:sz w:val="22"/>
        </w:rPr>
        <w:t xml:space="preserve"> </w:t>
      </w:r>
    </w:p>
    <w:p w14:paraId="63EC6B3D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i/>
          <w:sz w:val="22"/>
        </w:rPr>
        <w:t xml:space="preserve"> </w:t>
      </w:r>
    </w:p>
    <w:p w14:paraId="0C053B99" w14:textId="3FA8D1DE" w:rsidR="00F920B1" w:rsidRDefault="00F920B1" w:rsidP="00F920B1">
      <w:r w:rsidRPr="00B13F68">
        <w:rPr>
          <w:noProof/>
        </w:rPr>
        <w:t>Dátum prvej registrácie:</w:t>
      </w:r>
      <w:r>
        <w:rPr>
          <w:noProof/>
        </w:rPr>
        <w:t xml:space="preserve"> </w:t>
      </w:r>
    </w:p>
    <w:p w14:paraId="3FCC0CC3" w14:textId="16706706" w:rsidR="00F920B1" w:rsidRDefault="00F920B1" w:rsidP="00F920B1">
      <w:pPr>
        <w:rPr>
          <w:noProof/>
        </w:rPr>
      </w:pPr>
    </w:p>
    <w:p w14:paraId="0E84AAD3" w14:textId="75605762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</w:p>
    <w:p w14:paraId="129A1D6C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D6777A0" w14:textId="09612227" w:rsidR="00836D5C" w:rsidRPr="00A731E1" w:rsidRDefault="00836D5C" w:rsidP="001F3856">
      <w:pPr>
        <w:pStyle w:val="Nadpis1"/>
        <w:tabs>
          <w:tab w:val="center" w:pos="2298"/>
        </w:tabs>
        <w:spacing w:after="0" w:line="240" w:lineRule="auto"/>
        <w:ind w:left="567" w:hanging="567"/>
        <w:rPr>
          <w:sz w:val="22"/>
        </w:rPr>
      </w:pPr>
      <w:r>
        <w:rPr>
          <w:sz w:val="22"/>
        </w:rPr>
        <w:t xml:space="preserve">10. </w:t>
      </w:r>
      <w:r>
        <w:rPr>
          <w:sz w:val="22"/>
        </w:rPr>
        <w:tab/>
        <w:t>D</w:t>
      </w:r>
      <w:r w:rsidR="0039318C">
        <w:rPr>
          <w:sz w:val="22"/>
        </w:rPr>
        <w:t>Á</w:t>
      </w:r>
      <w:r>
        <w:rPr>
          <w:sz w:val="22"/>
        </w:rPr>
        <w:t>TUM REV</w:t>
      </w:r>
      <w:r w:rsidR="0039318C">
        <w:rPr>
          <w:sz w:val="22"/>
        </w:rPr>
        <w:t>Í</w:t>
      </w:r>
      <w:r>
        <w:rPr>
          <w:sz w:val="22"/>
        </w:rPr>
        <w:t>Z</w:t>
      </w:r>
      <w:r w:rsidR="0039318C">
        <w:rPr>
          <w:sz w:val="22"/>
        </w:rPr>
        <w:t>I</w:t>
      </w:r>
      <w:r>
        <w:rPr>
          <w:sz w:val="22"/>
        </w:rPr>
        <w:t xml:space="preserve">E TEXTU </w:t>
      </w:r>
    </w:p>
    <w:p w14:paraId="5C6AB610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</w:p>
    <w:p w14:paraId="04D75F27" w14:textId="24EFC4F3" w:rsidR="00836D5C" w:rsidRDefault="00F01ACC" w:rsidP="00833B71">
      <w:pPr>
        <w:numPr>
          <w:ilvl w:val="12"/>
          <w:numId w:val="0"/>
        </w:numPr>
        <w:spacing w:line="240" w:lineRule="auto"/>
        <w:ind w:right="-2"/>
        <w:rPr>
          <w:iCs/>
          <w:color w:val="auto"/>
          <w:sz w:val="22"/>
        </w:rPr>
      </w:pPr>
      <w:r>
        <w:rPr>
          <w:iCs/>
          <w:color w:val="auto"/>
          <w:sz w:val="22"/>
        </w:rPr>
        <w:t>10</w:t>
      </w:r>
      <w:r w:rsidR="0051264C">
        <w:rPr>
          <w:iCs/>
          <w:color w:val="auto"/>
          <w:sz w:val="22"/>
        </w:rPr>
        <w:t>/2020</w:t>
      </w:r>
    </w:p>
    <w:p w14:paraId="4565023A" w14:textId="77777777" w:rsidR="00836D5C" w:rsidRPr="00A731E1" w:rsidRDefault="00836D5C" w:rsidP="00833B71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F134163" w14:textId="4A88184D" w:rsidR="00836D5C" w:rsidRDefault="00836D5C" w:rsidP="00833B71">
      <w:pPr>
        <w:numPr>
          <w:ilvl w:val="12"/>
          <w:numId w:val="0"/>
        </w:numPr>
        <w:spacing w:line="240" w:lineRule="auto"/>
        <w:ind w:right="-2"/>
        <w:rPr>
          <w:iCs/>
          <w:color w:val="auto"/>
          <w:sz w:val="22"/>
        </w:rPr>
      </w:pPr>
    </w:p>
    <w:p w14:paraId="5DBF3BF4" w14:textId="77777777" w:rsidR="00B07789" w:rsidRPr="007E6137" w:rsidRDefault="00B07789" w:rsidP="00833B71">
      <w:pPr>
        <w:tabs>
          <w:tab w:val="center" w:pos="1329"/>
        </w:tabs>
        <w:spacing w:after="0" w:line="240" w:lineRule="auto"/>
        <w:ind w:left="0" w:firstLine="0"/>
        <w:rPr>
          <w:sz w:val="22"/>
        </w:rPr>
      </w:pPr>
    </w:p>
    <w:sectPr w:rsidR="00B07789" w:rsidRPr="007E6137" w:rsidSect="009A6F8E">
      <w:headerReference w:type="default" r:id="rId12"/>
      <w:footerReference w:type="default" r:id="rId13"/>
      <w:headerReference w:type="first" r:id="rId14"/>
      <w:pgSz w:w="12240" w:h="15840"/>
      <w:pgMar w:top="1134" w:right="1418" w:bottom="1134" w:left="1418" w:header="709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9A1D5" w14:textId="77777777" w:rsidR="007C49D4" w:rsidRDefault="007C49D4">
      <w:pPr>
        <w:spacing w:after="0" w:line="240" w:lineRule="auto"/>
      </w:pPr>
      <w:r>
        <w:separator/>
      </w:r>
    </w:p>
  </w:endnote>
  <w:endnote w:type="continuationSeparator" w:id="0">
    <w:p w14:paraId="4FA87361" w14:textId="77777777" w:rsidR="007C49D4" w:rsidRDefault="007C49D4">
      <w:pPr>
        <w:spacing w:after="0" w:line="240" w:lineRule="auto"/>
      </w:pPr>
      <w:r>
        <w:continuationSeparator/>
      </w:r>
    </w:p>
  </w:endnote>
  <w:endnote w:type="continuationNotice" w:id="1">
    <w:p w14:paraId="389C216C" w14:textId="77777777" w:rsidR="007C49D4" w:rsidRDefault="007C4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36828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p w14:paraId="519AB05B" w14:textId="7C6EB91F" w:rsidR="006D26A7" w:rsidRPr="000E7AF5" w:rsidRDefault="006D26A7">
        <w:pPr>
          <w:pStyle w:val="Pta"/>
          <w:jc w:val="right"/>
          <w:rPr>
            <w:sz w:val="22"/>
            <w:szCs w:val="24"/>
          </w:rPr>
        </w:pPr>
        <w:r w:rsidRPr="000E7AF5">
          <w:rPr>
            <w:sz w:val="22"/>
          </w:rPr>
          <w:fldChar w:fldCharType="begin"/>
        </w:r>
        <w:r w:rsidRPr="000E7AF5">
          <w:rPr>
            <w:sz w:val="22"/>
          </w:rPr>
          <w:instrText>PAGE   \* MERGEFORMAT</w:instrText>
        </w:r>
        <w:r w:rsidRPr="000E7AF5">
          <w:rPr>
            <w:sz w:val="22"/>
          </w:rPr>
          <w:fldChar w:fldCharType="separate"/>
        </w:r>
        <w:r w:rsidR="00323F24">
          <w:rPr>
            <w:noProof/>
            <w:sz w:val="22"/>
          </w:rPr>
          <w:t>22</w:t>
        </w:r>
        <w:r w:rsidRPr="000E7AF5">
          <w:rPr>
            <w:sz w:val="22"/>
          </w:rPr>
          <w:fldChar w:fldCharType="end"/>
        </w:r>
      </w:p>
    </w:sdtContent>
  </w:sdt>
  <w:p w14:paraId="664E9970" w14:textId="77777777" w:rsidR="006D26A7" w:rsidRDefault="006D26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F758" w14:textId="77777777" w:rsidR="007C49D4" w:rsidRDefault="007C49D4">
      <w:pPr>
        <w:spacing w:after="0" w:line="240" w:lineRule="auto"/>
      </w:pPr>
      <w:r>
        <w:separator/>
      </w:r>
    </w:p>
  </w:footnote>
  <w:footnote w:type="continuationSeparator" w:id="0">
    <w:p w14:paraId="0BA93339" w14:textId="77777777" w:rsidR="007C49D4" w:rsidRDefault="007C49D4">
      <w:pPr>
        <w:spacing w:after="0" w:line="240" w:lineRule="auto"/>
      </w:pPr>
      <w:r>
        <w:continuationSeparator/>
      </w:r>
    </w:p>
  </w:footnote>
  <w:footnote w:type="continuationNotice" w:id="1">
    <w:p w14:paraId="3B650C61" w14:textId="77777777" w:rsidR="007C49D4" w:rsidRDefault="007C4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2DEF" w14:textId="77777777" w:rsidR="00323F24" w:rsidRDefault="00323F24" w:rsidP="00323F24">
    <w:pPr>
      <w:pStyle w:val="Hlavika"/>
      <w:rPr>
        <w:color w:val="auto"/>
        <w:sz w:val="22"/>
      </w:rPr>
    </w:pPr>
    <w:r>
      <w:rPr>
        <w:sz w:val="18"/>
        <w:szCs w:val="18"/>
      </w:rPr>
      <w:t>Schválený text k rozhodnutiu o registrácii, ev. č. 2019/03011-REG</w:t>
    </w:r>
  </w:p>
  <w:p w14:paraId="725D082F" w14:textId="77777777" w:rsidR="00323F24" w:rsidRDefault="00323F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D4227" w14:textId="6B13EEA0" w:rsidR="006D26A7" w:rsidRDefault="006D26A7" w:rsidP="00953454">
    <w:pPr>
      <w:pStyle w:val="Hlavika"/>
      <w:rPr>
        <w:color w:val="auto"/>
        <w:sz w:val="22"/>
      </w:rPr>
    </w:pPr>
    <w:r>
      <w:rPr>
        <w:sz w:val="18"/>
        <w:szCs w:val="18"/>
      </w:rPr>
      <w:t>Schválený text k rozhodnutiu o registrácii, ev. č. 2019/03011-REG</w:t>
    </w:r>
  </w:p>
  <w:p w14:paraId="766F9F00" w14:textId="77777777" w:rsidR="006D26A7" w:rsidRDefault="006D26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1AB4"/>
    <w:multiLevelType w:val="hybridMultilevel"/>
    <w:tmpl w:val="63507120"/>
    <w:lvl w:ilvl="0" w:tplc="7F58D51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7406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6AE0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6813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E608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C20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34B4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5016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1005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D7F55"/>
    <w:multiLevelType w:val="hybridMultilevel"/>
    <w:tmpl w:val="529EFE98"/>
    <w:lvl w:ilvl="0" w:tplc="D6B2113E">
      <w:start w:val="1"/>
      <w:numFmt w:val="decimal"/>
      <w:lvlText w:val="%1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D67A8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D74AC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BCF21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EF1C8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FEFA7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C8F04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B23C2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85AA5E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C782F0D"/>
    <w:multiLevelType w:val="hybridMultilevel"/>
    <w:tmpl w:val="87F09F30"/>
    <w:lvl w:ilvl="0" w:tplc="7F58D510">
      <w:start w:val="1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B3B7FEA"/>
    <w:multiLevelType w:val="hybridMultilevel"/>
    <w:tmpl w:val="03F412F0"/>
    <w:lvl w:ilvl="0" w:tplc="092EAA1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F6C9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06E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AF0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B83F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46C4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845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23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DC56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220313"/>
    <w:multiLevelType w:val="hybridMultilevel"/>
    <w:tmpl w:val="60202CB0"/>
    <w:lvl w:ilvl="0" w:tplc="E61E9A2A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56D0B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4853B4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2854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489FD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E680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56D1E8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D4921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F4AB36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15ABD"/>
    <w:multiLevelType w:val="hybridMultilevel"/>
    <w:tmpl w:val="A718DE88"/>
    <w:lvl w:ilvl="0" w:tplc="9E82474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7406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6AE0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6813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E608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C20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34B4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5016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1005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F242CE"/>
    <w:multiLevelType w:val="hybridMultilevel"/>
    <w:tmpl w:val="2982A520"/>
    <w:lvl w:ilvl="0" w:tplc="04150001">
      <w:start w:val="1"/>
      <w:numFmt w:val="bullet"/>
      <w:lvlText w:val=""/>
      <w:lvlJc w:val="left"/>
      <w:pPr>
        <w:ind w:left="726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56D0B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4853B4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2854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489FD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E680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56D1E8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D4921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F4AB36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682BFE"/>
    <w:multiLevelType w:val="hybridMultilevel"/>
    <w:tmpl w:val="D7D838CE"/>
    <w:lvl w:ilvl="0" w:tplc="7F58D51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7085E8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B67AC6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B04AA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8CC5D6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AEB3C2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E0D9A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4861B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7EF416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B816BE"/>
    <w:multiLevelType w:val="hybridMultilevel"/>
    <w:tmpl w:val="6064547A"/>
    <w:lvl w:ilvl="0" w:tplc="0415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F6C9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06E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AF0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B83F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46C4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845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23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DC56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9"/>
    <w:rsid w:val="000005EA"/>
    <w:rsid w:val="00015918"/>
    <w:rsid w:val="0002017F"/>
    <w:rsid w:val="00031A5F"/>
    <w:rsid w:val="00044390"/>
    <w:rsid w:val="00053585"/>
    <w:rsid w:val="00060339"/>
    <w:rsid w:val="00062785"/>
    <w:rsid w:val="00073552"/>
    <w:rsid w:val="00073A99"/>
    <w:rsid w:val="00087A8B"/>
    <w:rsid w:val="00090703"/>
    <w:rsid w:val="000B4880"/>
    <w:rsid w:val="000E696D"/>
    <w:rsid w:val="000E7AF5"/>
    <w:rsid w:val="000F01C9"/>
    <w:rsid w:val="000F14D2"/>
    <w:rsid w:val="000F58DF"/>
    <w:rsid w:val="000F5FBF"/>
    <w:rsid w:val="00124A19"/>
    <w:rsid w:val="00130A72"/>
    <w:rsid w:val="00144850"/>
    <w:rsid w:val="0018643C"/>
    <w:rsid w:val="00186931"/>
    <w:rsid w:val="0018760E"/>
    <w:rsid w:val="001B0738"/>
    <w:rsid w:val="001C252C"/>
    <w:rsid w:val="001C736D"/>
    <w:rsid w:val="001C79BF"/>
    <w:rsid w:val="001E4E84"/>
    <w:rsid w:val="001F259E"/>
    <w:rsid w:val="001F3856"/>
    <w:rsid w:val="001F7E19"/>
    <w:rsid w:val="002013DA"/>
    <w:rsid w:val="00205666"/>
    <w:rsid w:val="00212A97"/>
    <w:rsid w:val="0021474E"/>
    <w:rsid w:val="00217294"/>
    <w:rsid w:val="00221401"/>
    <w:rsid w:val="0023749C"/>
    <w:rsid w:val="002422BC"/>
    <w:rsid w:val="00242C4E"/>
    <w:rsid w:val="00244659"/>
    <w:rsid w:val="00251C0E"/>
    <w:rsid w:val="00251F0B"/>
    <w:rsid w:val="00265FFF"/>
    <w:rsid w:val="00282308"/>
    <w:rsid w:val="002824D6"/>
    <w:rsid w:val="002901A4"/>
    <w:rsid w:val="002967BA"/>
    <w:rsid w:val="002B2D8E"/>
    <w:rsid w:val="002B3E3E"/>
    <w:rsid w:val="002B6999"/>
    <w:rsid w:val="002B6F73"/>
    <w:rsid w:val="002D37F0"/>
    <w:rsid w:val="002D7499"/>
    <w:rsid w:val="002E599E"/>
    <w:rsid w:val="002F7708"/>
    <w:rsid w:val="00304E77"/>
    <w:rsid w:val="003103E5"/>
    <w:rsid w:val="00313F87"/>
    <w:rsid w:val="003217E9"/>
    <w:rsid w:val="00323A37"/>
    <w:rsid w:val="00323F24"/>
    <w:rsid w:val="00330A35"/>
    <w:rsid w:val="00337D51"/>
    <w:rsid w:val="00347294"/>
    <w:rsid w:val="003531E1"/>
    <w:rsid w:val="00353ECF"/>
    <w:rsid w:val="00362F65"/>
    <w:rsid w:val="0039318C"/>
    <w:rsid w:val="003A14E3"/>
    <w:rsid w:val="003A74B4"/>
    <w:rsid w:val="003C1FD9"/>
    <w:rsid w:val="003C7E3E"/>
    <w:rsid w:val="003D582B"/>
    <w:rsid w:val="003E075E"/>
    <w:rsid w:val="003E2168"/>
    <w:rsid w:val="003E299A"/>
    <w:rsid w:val="003E695B"/>
    <w:rsid w:val="003F0AB2"/>
    <w:rsid w:val="003F42D8"/>
    <w:rsid w:val="003F457A"/>
    <w:rsid w:val="003F4CEF"/>
    <w:rsid w:val="003F5E6E"/>
    <w:rsid w:val="00407F1A"/>
    <w:rsid w:val="00414741"/>
    <w:rsid w:val="0041756C"/>
    <w:rsid w:val="00422C81"/>
    <w:rsid w:val="004245EA"/>
    <w:rsid w:val="00444737"/>
    <w:rsid w:val="00457470"/>
    <w:rsid w:val="00457E21"/>
    <w:rsid w:val="004667FC"/>
    <w:rsid w:val="0047508E"/>
    <w:rsid w:val="0048182E"/>
    <w:rsid w:val="00484A17"/>
    <w:rsid w:val="004957C4"/>
    <w:rsid w:val="004A4149"/>
    <w:rsid w:val="004A66DB"/>
    <w:rsid w:val="004B1EED"/>
    <w:rsid w:val="004B7500"/>
    <w:rsid w:val="004C011C"/>
    <w:rsid w:val="004C3C07"/>
    <w:rsid w:val="004C735A"/>
    <w:rsid w:val="004E2EDA"/>
    <w:rsid w:val="004E714A"/>
    <w:rsid w:val="004F4058"/>
    <w:rsid w:val="004F796E"/>
    <w:rsid w:val="0051264C"/>
    <w:rsid w:val="00513A1F"/>
    <w:rsid w:val="00513BD2"/>
    <w:rsid w:val="00513DA0"/>
    <w:rsid w:val="005146F6"/>
    <w:rsid w:val="005203A2"/>
    <w:rsid w:val="005261E7"/>
    <w:rsid w:val="00531E30"/>
    <w:rsid w:val="00553F35"/>
    <w:rsid w:val="005602AD"/>
    <w:rsid w:val="005735EC"/>
    <w:rsid w:val="00580B14"/>
    <w:rsid w:val="00592DED"/>
    <w:rsid w:val="00593ECA"/>
    <w:rsid w:val="005A2179"/>
    <w:rsid w:val="005B4827"/>
    <w:rsid w:val="005B6710"/>
    <w:rsid w:val="005D201F"/>
    <w:rsid w:val="005F6250"/>
    <w:rsid w:val="00600D70"/>
    <w:rsid w:val="00605709"/>
    <w:rsid w:val="0061257F"/>
    <w:rsid w:val="00615F93"/>
    <w:rsid w:val="006205F7"/>
    <w:rsid w:val="006216B2"/>
    <w:rsid w:val="0062562D"/>
    <w:rsid w:val="00635B73"/>
    <w:rsid w:val="00636E1B"/>
    <w:rsid w:val="006420A0"/>
    <w:rsid w:val="00643692"/>
    <w:rsid w:val="00646118"/>
    <w:rsid w:val="00650239"/>
    <w:rsid w:val="00653F4D"/>
    <w:rsid w:val="006571DA"/>
    <w:rsid w:val="006627E7"/>
    <w:rsid w:val="0067724D"/>
    <w:rsid w:val="00682AEC"/>
    <w:rsid w:val="0068373C"/>
    <w:rsid w:val="0068674C"/>
    <w:rsid w:val="00697D04"/>
    <w:rsid w:val="006A162E"/>
    <w:rsid w:val="006A6E84"/>
    <w:rsid w:val="006B0E77"/>
    <w:rsid w:val="006B2733"/>
    <w:rsid w:val="006B451E"/>
    <w:rsid w:val="006C44AC"/>
    <w:rsid w:val="006D26A7"/>
    <w:rsid w:val="006D49D6"/>
    <w:rsid w:val="006D7628"/>
    <w:rsid w:val="006F46E0"/>
    <w:rsid w:val="00705C37"/>
    <w:rsid w:val="00710C94"/>
    <w:rsid w:val="00716387"/>
    <w:rsid w:val="00716885"/>
    <w:rsid w:val="0073232F"/>
    <w:rsid w:val="007449AC"/>
    <w:rsid w:val="00750926"/>
    <w:rsid w:val="0076313B"/>
    <w:rsid w:val="0076665A"/>
    <w:rsid w:val="00772F14"/>
    <w:rsid w:val="00777D3E"/>
    <w:rsid w:val="007876C1"/>
    <w:rsid w:val="00790351"/>
    <w:rsid w:val="007926E2"/>
    <w:rsid w:val="007A4B0F"/>
    <w:rsid w:val="007B23BB"/>
    <w:rsid w:val="007B5E2E"/>
    <w:rsid w:val="007B6381"/>
    <w:rsid w:val="007C2A00"/>
    <w:rsid w:val="007C49D4"/>
    <w:rsid w:val="007C57B2"/>
    <w:rsid w:val="007C78F1"/>
    <w:rsid w:val="007D012B"/>
    <w:rsid w:val="007D0DB3"/>
    <w:rsid w:val="007D393E"/>
    <w:rsid w:val="007D47FF"/>
    <w:rsid w:val="007D7480"/>
    <w:rsid w:val="007E0FCA"/>
    <w:rsid w:val="007E6137"/>
    <w:rsid w:val="007F17B0"/>
    <w:rsid w:val="00802229"/>
    <w:rsid w:val="00824B4C"/>
    <w:rsid w:val="008253EC"/>
    <w:rsid w:val="00833B71"/>
    <w:rsid w:val="00836D5C"/>
    <w:rsid w:val="0084697C"/>
    <w:rsid w:val="008476C2"/>
    <w:rsid w:val="00853C45"/>
    <w:rsid w:val="00857692"/>
    <w:rsid w:val="00863EFA"/>
    <w:rsid w:val="008829A8"/>
    <w:rsid w:val="00884F62"/>
    <w:rsid w:val="00897619"/>
    <w:rsid w:val="008A2069"/>
    <w:rsid w:val="008A37E3"/>
    <w:rsid w:val="008B3B0F"/>
    <w:rsid w:val="008C7906"/>
    <w:rsid w:val="008D3A74"/>
    <w:rsid w:val="008D6505"/>
    <w:rsid w:val="008D77FA"/>
    <w:rsid w:val="008E570A"/>
    <w:rsid w:val="008F6FAD"/>
    <w:rsid w:val="009104D0"/>
    <w:rsid w:val="00931AE5"/>
    <w:rsid w:val="0093257A"/>
    <w:rsid w:val="009437AE"/>
    <w:rsid w:val="00953454"/>
    <w:rsid w:val="009605AC"/>
    <w:rsid w:val="00965C2C"/>
    <w:rsid w:val="00971773"/>
    <w:rsid w:val="00975B59"/>
    <w:rsid w:val="00976418"/>
    <w:rsid w:val="00980C22"/>
    <w:rsid w:val="009A5A46"/>
    <w:rsid w:val="009A6F8E"/>
    <w:rsid w:val="009B1C08"/>
    <w:rsid w:val="009B217A"/>
    <w:rsid w:val="009B2753"/>
    <w:rsid w:val="009C2829"/>
    <w:rsid w:val="009E1735"/>
    <w:rsid w:val="009E1FE5"/>
    <w:rsid w:val="009F4F85"/>
    <w:rsid w:val="00A1491D"/>
    <w:rsid w:val="00A1722B"/>
    <w:rsid w:val="00A21DFD"/>
    <w:rsid w:val="00A372B7"/>
    <w:rsid w:val="00A43B7C"/>
    <w:rsid w:val="00A43D4A"/>
    <w:rsid w:val="00A451CE"/>
    <w:rsid w:val="00A5475A"/>
    <w:rsid w:val="00A63830"/>
    <w:rsid w:val="00A70ACD"/>
    <w:rsid w:val="00A731E1"/>
    <w:rsid w:val="00A97587"/>
    <w:rsid w:val="00AA00E2"/>
    <w:rsid w:val="00AB378D"/>
    <w:rsid w:val="00AF46E0"/>
    <w:rsid w:val="00B07789"/>
    <w:rsid w:val="00B07B77"/>
    <w:rsid w:val="00B20E03"/>
    <w:rsid w:val="00B32E98"/>
    <w:rsid w:val="00B4082E"/>
    <w:rsid w:val="00B423B4"/>
    <w:rsid w:val="00B428D0"/>
    <w:rsid w:val="00B506A5"/>
    <w:rsid w:val="00B63632"/>
    <w:rsid w:val="00B64328"/>
    <w:rsid w:val="00B823EA"/>
    <w:rsid w:val="00B836EA"/>
    <w:rsid w:val="00BA3643"/>
    <w:rsid w:val="00BA4E5F"/>
    <w:rsid w:val="00BA77E4"/>
    <w:rsid w:val="00BB2915"/>
    <w:rsid w:val="00BB4AC0"/>
    <w:rsid w:val="00BB6836"/>
    <w:rsid w:val="00BC1F1C"/>
    <w:rsid w:val="00BC273F"/>
    <w:rsid w:val="00C00B17"/>
    <w:rsid w:val="00C036AC"/>
    <w:rsid w:val="00C139D8"/>
    <w:rsid w:val="00C22708"/>
    <w:rsid w:val="00C2586E"/>
    <w:rsid w:val="00C33B1E"/>
    <w:rsid w:val="00C34163"/>
    <w:rsid w:val="00C41668"/>
    <w:rsid w:val="00C42C08"/>
    <w:rsid w:val="00C44F30"/>
    <w:rsid w:val="00C47482"/>
    <w:rsid w:val="00C529B2"/>
    <w:rsid w:val="00C556B8"/>
    <w:rsid w:val="00C61C25"/>
    <w:rsid w:val="00C84BBF"/>
    <w:rsid w:val="00C85EEB"/>
    <w:rsid w:val="00CA08B9"/>
    <w:rsid w:val="00CA7D89"/>
    <w:rsid w:val="00CB5A3E"/>
    <w:rsid w:val="00CC5089"/>
    <w:rsid w:val="00CD137B"/>
    <w:rsid w:val="00CE52B5"/>
    <w:rsid w:val="00CF1822"/>
    <w:rsid w:val="00CF571F"/>
    <w:rsid w:val="00D007D9"/>
    <w:rsid w:val="00D151BC"/>
    <w:rsid w:val="00D15ED6"/>
    <w:rsid w:val="00D168BE"/>
    <w:rsid w:val="00D25089"/>
    <w:rsid w:val="00D313C5"/>
    <w:rsid w:val="00D379F7"/>
    <w:rsid w:val="00D547BA"/>
    <w:rsid w:val="00D56390"/>
    <w:rsid w:val="00D8073F"/>
    <w:rsid w:val="00D824F6"/>
    <w:rsid w:val="00D91109"/>
    <w:rsid w:val="00D93CC8"/>
    <w:rsid w:val="00D94116"/>
    <w:rsid w:val="00D95C30"/>
    <w:rsid w:val="00DA510E"/>
    <w:rsid w:val="00DA5EC2"/>
    <w:rsid w:val="00DA722B"/>
    <w:rsid w:val="00DC3053"/>
    <w:rsid w:val="00DC72C1"/>
    <w:rsid w:val="00DD5C72"/>
    <w:rsid w:val="00DD7718"/>
    <w:rsid w:val="00DE0B64"/>
    <w:rsid w:val="00E00DEB"/>
    <w:rsid w:val="00E02C06"/>
    <w:rsid w:val="00E079AF"/>
    <w:rsid w:val="00E17CF1"/>
    <w:rsid w:val="00E267FD"/>
    <w:rsid w:val="00E4410C"/>
    <w:rsid w:val="00E478FD"/>
    <w:rsid w:val="00E565FA"/>
    <w:rsid w:val="00E6104A"/>
    <w:rsid w:val="00E6224F"/>
    <w:rsid w:val="00E62962"/>
    <w:rsid w:val="00E70EDB"/>
    <w:rsid w:val="00E72FBE"/>
    <w:rsid w:val="00E74078"/>
    <w:rsid w:val="00E74BCD"/>
    <w:rsid w:val="00E74C4F"/>
    <w:rsid w:val="00E8372B"/>
    <w:rsid w:val="00E8374C"/>
    <w:rsid w:val="00E86B07"/>
    <w:rsid w:val="00EA0379"/>
    <w:rsid w:val="00EA09DA"/>
    <w:rsid w:val="00EA0E67"/>
    <w:rsid w:val="00EA123B"/>
    <w:rsid w:val="00EA124E"/>
    <w:rsid w:val="00EA39FA"/>
    <w:rsid w:val="00EB0609"/>
    <w:rsid w:val="00EC0EB2"/>
    <w:rsid w:val="00EC13A8"/>
    <w:rsid w:val="00EC4342"/>
    <w:rsid w:val="00EE0C10"/>
    <w:rsid w:val="00EE1CCB"/>
    <w:rsid w:val="00EE68B4"/>
    <w:rsid w:val="00EF7480"/>
    <w:rsid w:val="00F01ACC"/>
    <w:rsid w:val="00F23FDD"/>
    <w:rsid w:val="00F255BA"/>
    <w:rsid w:val="00F31769"/>
    <w:rsid w:val="00F44E9B"/>
    <w:rsid w:val="00F516E4"/>
    <w:rsid w:val="00F5521D"/>
    <w:rsid w:val="00F664D9"/>
    <w:rsid w:val="00F77943"/>
    <w:rsid w:val="00F77A41"/>
    <w:rsid w:val="00F84CB0"/>
    <w:rsid w:val="00F920B1"/>
    <w:rsid w:val="00FA51D0"/>
    <w:rsid w:val="00FB06C6"/>
    <w:rsid w:val="00FB7C7B"/>
    <w:rsid w:val="00FD2432"/>
    <w:rsid w:val="00FD5167"/>
    <w:rsid w:val="00FE1B63"/>
    <w:rsid w:val="00FE4E94"/>
    <w:rsid w:val="00FE6664"/>
    <w:rsid w:val="00FF0224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5307"/>
  <w15:docId w15:val="{C378D598-BBDE-4707-9B9E-908A387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8" w:lineRule="auto"/>
      <w:ind w:left="58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57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48" w:lineRule="auto"/>
      <w:ind w:left="58" w:hanging="10"/>
      <w:outlineLvl w:val="1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3" w:line="249" w:lineRule="auto"/>
      <w:ind w:left="57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3531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32F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622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22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22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22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224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F4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8C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7906"/>
    <w:rPr>
      <w:rFonts w:ascii="Times New Roman" w:eastAsia="Times New Roman" w:hAnsi="Times New Roman" w:cs="Times New Roman"/>
      <w:color w:val="000000"/>
      <w:sz w:val="21"/>
    </w:rPr>
  </w:style>
  <w:style w:type="paragraph" w:styleId="Pta">
    <w:name w:val="footer"/>
    <w:basedOn w:val="Normlny"/>
    <w:link w:val="PtaChar"/>
    <w:uiPriority w:val="99"/>
    <w:unhideWhenUsed/>
    <w:rsid w:val="008C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7906"/>
    <w:rPr>
      <w:rFonts w:ascii="Times New Roman" w:eastAsia="Times New Roman" w:hAnsi="Times New Roman" w:cs="Times New Roman"/>
      <w:color w:val="000000"/>
      <w:sz w:val="21"/>
    </w:rPr>
  </w:style>
  <w:style w:type="character" w:styleId="Hypertextovprepojenie">
    <w:name w:val="Hyperlink"/>
    <w:uiPriority w:val="99"/>
    <w:rsid w:val="00971773"/>
    <w:rPr>
      <w:color w:val="0000FF"/>
      <w:u w:val="single"/>
    </w:rPr>
  </w:style>
  <w:style w:type="paragraph" w:styleId="Revzia">
    <w:name w:val="Revision"/>
    <w:hidden/>
    <w:uiPriority w:val="99"/>
    <w:semiHidden/>
    <w:rsid w:val="00971773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DC25-7613-4A92-B925-0BB544506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68AC5-2011-45C3-AACE-1335E166F0F4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0AF11B7-7119-4758-A0C5-A05A16485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9A54E-15D2-4633-87E9-279FB865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9702</Words>
  <Characters>55305</Characters>
  <Application>Microsoft Office Word</Application>
  <DocSecurity>0</DocSecurity>
  <Lines>460</Lines>
  <Paragraphs>129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Eliquis, INN-apixaban</vt:lpstr>
      <vt:lpstr>Eliquis, INN-apixaban</vt:lpstr>
      <vt:lpstr>Eliquis, INN-apixaban</vt:lpstr>
    </vt:vector>
  </TitlesOfParts>
  <Company/>
  <LinksUpToDate>false</LinksUpToDate>
  <CharactersWithSpaces>64878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Eliquis, INN-apixaban</dc:title>
  <dc:subject>EPAR</dc:subject>
  <dc:creator>CHMP</dc:creator>
  <cp:keywords>Eliquis, INN-apixaban</cp:keywords>
  <cp:lastModifiedBy>PM</cp:lastModifiedBy>
  <cp:revision>33</cp:revision>
  <cp:lastPrinted>2020-10-12T12:19:00Z</cp:lastPrinted>
  <dcterms:created xsi:type="dcterms:W3CDTF">2020-06-01T15:25:00Z</dcterms:created>
  <dcterms:modified xsi:type="dcterms:W3CDTF">2020-10-12T12:25:00Z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