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790CA" w14:textId="77777777" w:rsidR="00812D16" w:rsidRPr="00A72672" w:rsidRDefault="0091265E" w:rsidP="00043D79">
      <w:pPr>
        <w:spacing w:line="240" w:lineRule="auto"/>
        <w:jc w:val="center"/>
        <w:outlineLvl w:val="0"/>
      </w:pPr>
      <w:r w:rsidRPr="00A72672">
        <w:rPr>
          <w:b/>
        </w:rPr>
        <w:t>SÚHRN CHARAKTERISTICKÝCH VLASTNOSTÍ LIEKU</w:t>
      </w:r>
    </w:p>
    <w:p w14:paraId="070CA435" w14:textId="77777777" w:rsidR="00033D26" w:rsidRPr="00891D76" w:rsidRDefault="00033D26" w:rsidP="00043D79">
      <w:pPr>
        <w:spacing w:line="240" w:lineRule="auto"/>
      </w:pPr>
    </w:p>
    <w:p w14:paraId="0B0446BF" w14:textId="77777777" w:rsidR="00033D26" w:rsidRPr="0082445A" w:rsidRDefault="00033D26" w:rsidP="00043D79">
      <w:pPr>
        <w:spacing w:line="240" w:lineRule="auto"/>
      </w:pPr>
    </w:p>
    <w:p w14:paraId="3E1AB76C" w14:textId="77777777" w:rsidR="00812D16" w:rsidRPr="00BF5AB0" w:rsidRDefault="0091265E" w:rsidP="00043D79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NÁZOV LIEKU</w:t>
      </w:r>
    </w:p>
    <w:p w14:paraId="21FB8041" w14:textId="77777777" w:rsidR="00812D16" w:rsidRPr="00BF5AB0" w:rsidRDefault="00812D16" w:rsidP="00043D79">
      <w:pPr>
        <w:keepNext/>
        <w:spacing w:line="240" w:lineRule="auto"/>
      </w:pPr>
    </w:p>
    <w:p w14:paraId="4874052B" w14:textId="43017FAB" w:rsidR="00812D16" w:rsidRPr="0082445A" w:rsidRDefault="00E1662F" w:rsidP="00043D79">
      <w:pPr>
        <w:widowControl w:val="0"/>
        <w:spacing w:line="240" w:lineRule="auto"/>
      </w:pPr>
      <w:r>
        <w:t>U</w:t>
      </w:r>
      <w:r w:rsidR="00F45C0C">
        <w:t>rsogrix</w:t>
      </w:r>
      <w:r>
        <w:t xml:space="preserve"> 250 mg tvrdé kapsuly</w:t>
      </w:r>
    </w:p>
    <w:p w14:paraId="25F72E5F" w14:textId="77777777" w:rsidR="00812D16" w:rsidRPr="00A72672" w:rsidRDefault="00812D16" w:rsidP="00043D79">
      <w:pPr>
        <w:spacing w:line="240" w:lineRule="auto"/>
      </w:pPr>
    </w:p>
    <w:p w14:paraId="16BAADA2" w14:textId="77777777" w:rsidR="00812D16" w:rsidRPr="00A72672" w:rsidRDefault="00812D16" w:rsidP="00043D79">
      <w:pPr>
        <w:spacing w:line="240" w:lineRule="auto"/>
      </w:pPr>
    </w:p>
    <w:p w14:paraId="12A3DF65" w14:textId="77777777" w:rsidR="00812D16" w:rsidRPr="00BF5AB0" w:rsidRDefault="0091265E" w:rsidP="00043D79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KVALITATÍVNE A</w:t>
      </w:r>
      <w:r w:rsidR="0082445A">
        <w:rPr>
          <w:b/>
          <w:noProof/>
        </w:rPr>
        <w:t> </w:t>
      </w:r>
      <w:r w:rsidRPr="00BF5AB0">
        <w:rPr>
          <w:b/>
        </w:rPr>
        <w:t>KVANTITATÍVNE ZLOŽENIE</w:t>
      </w:r>
    </w:p>
    <w:p w14:paraId="761F3F65" w14:textId="77777777" w:rsidR="00E1662F" w:rsidRDefault="00E1662F" w:rsidP="00043D79">
      <w:pPr>
        <w:spacing w:line="240" w:lineRule="auto"/>
        <w:outlineLvl w:val="0"/>
      </w:pPr>
    </w:p>
    <w:p w14:paraId="5DF56176" w14:textId="180A78B0" w:rsidR="00E1662F" w:rsidRDefault="00E1662F" w:rsidP="00043D79">
      <w:pPr>
        <w:spacing w:line="240" w:lineRule="auto"/>
        <w:outlineLvl w:val="0"/>
      </w:pPr>
      <w:r>
        <w:t>Každá tvrdá kapsula obsahuje 250 mg kyseliny ur</w:t>
      </w:r>
      <w:r w:rsidR="001D6F2B">
        <w:t>z</w:t>
      </w:r>
      <w:r>
        <w:t>odeoxycholovej.</w:t>
      </w:r>
    </w:p>
    <w:p w14:paraId="29A8DD16" w14:textId="77777777" w:rsidR="00E1662F" w:rsidRDefault="00E1662F" w:rsidP="00043D79">
      <w:pPr>
        <w:spacing w:line="240" w:lineRule="auto"/>
        <w:outlineLvl w:val="0"/>
      </w:pPr>
    </w:p>
    <w:p w14:paraId="42733011" w14:textId="72737474" w:rsidR="00812D16" w:rsidRPr="00BF5AB0" w:rsidRDefault="00E1662F" w:rsidP="00043D79">
      <w:pPr>
        <w:spacing w:line="240" w:lineRule="auto"/>
        <w:outlineLvl w:val="0"/>
      </w:pPr>
      <w:r>
        <w:t>Úplný zoznam pomocných látok, pozri časť 6.1.</w:t>
      </w:r>
    </w:p>
    <w:p w14:paraId="5807D171" w14:textId="77777777" w:rsidR="00812D16" w:rsidRPr="00891D76" w:rsidRDefault="00812D16" w:rsidP="00043D79">
      <w:pPr>
        <w:spacing w:line="240" w:lineRule="auto"/>
      </w:pPr>
    </w:p>
    <w:p w14:paraId="3EFAD104" w14:textId="77777777" w:rsidR="00812D16" w:rsidRPr="0082445A" w:rsidRDefault="00812D16" w:rsidP="00043D79">
      <w:pPr>
        <w:spacing w:line="240" w:lineRule="auto"/>
      </w:pPr>
    </w:p>
    <w:p w14:paraId="37314EAF" w14:textId="77777777" w:rsidR="00812D16" w:rsidRPr="00BF5AB0" w:rsidRDefault="0091265E" w:rsidP="00043D79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F5AB0">
        <w:rPr>
          <w:b/>
        </w:rPr>
        <w:t>LIEKOVÁ FORMA</w:t>
      </w:r>
    </w:p>
    <w:p w14:paraId="79A46D4E" w14:textId="77777777" w:rsidR="00812D16" w:rsidRPr="00BF5AB0" w:rsidRDefault="00812D16" w:rsidP="00043D79">
      <w:pPr>
        <w:keepNext/>
        <w:spacing w:line="240" w:lineRule="auto"/>
      </w:pPr>
    </w:p>
    <w:p w14:paraId="5EDF7C40" w14:textId="77777777" w:rsidR="00E1662F" w:rsidRDefault="00E1662F" w:rsidP="00043D79">
      <w:pPr>
        <w:spacing w:line="240" w:lineRule="auto"/>
      </w:pPr>
      <w:r>
        <w:t>Kapsula, tvrdá.</w:t>
      </w:r>
    </w:p>
    <w:p w14:paraId="3EAE7CDD" w14:textId="77777777" w:rsidR="00E1662F" w:rsidRDefault="00E1662F" w:rsidP="00043D79">
      <w:pPr>
        <w:spacing w:line="240" w:lineRule="auto"/>
      </w:pPr>
    </w:p>
    <w:p w14:paraId="46F90D6A" w14:textId="77777777" w:rsidR="00E1662F" w:rsidRDefault="00E1662F" w:rsidP="00B216ED">
      <w:pPr>
        <w:spacing w:line="240" w:lineRule="auto"/>
      </w:pPr>
      <w:r>
        <w:t>Biele tvrdé želatínové kapsuly veľkosti 0, približne 21,7 mm x 7,64 mm. Obsah - biely alebo takmer biely prášok.</w:t>
      </w:r>
    </w:p>
    <w:p w14:paraId="1770D671" w14:textId="77777777" w:rsidR="00E1662F" w:rsidRPr="00891D76" w:rsidRDefault="00E1662F" w:rsidP="00B216ED">
      <w:pPr>
        <w:spacing w:line="240" w:lineRule="auto"/>
      </w:pPr>
    </w:p>
    <w:p w14:paraId="03659BAF" w14:textId="77777777" w:rsidR="00812D16" w:rsidRPr="0082445A" w:rsidRDefault="00812D16" w:rsidP="00B216ED">
      <w:pPr>
        <w:spacing w:line="240" w:lineRule="auto"/>
      </w:pPr>
    </w:p>
    <w:p w14:paraId="6C122A5D" w14:textId="77777777" w:rsidR="00812D16" w:rsidRPr="00BF5AB0" w:rsidRDefault="0091265E" w:rsidP="00B216ED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F5AB0">
        <w:rPr>
          <w:b/>
        </w:rPr>
        <w:t>KLINICKÉ ÚDAJE</w:t>
      </w:r>
    </w:p>
    <w:p w14:paraId="0FF02EEB" w14:textId="77777777" w:rsidR="00812D16" w:rsidRPr="00BF5AB0" w:rsidRDefault="00812D16" w:rsidP="00B216ED">
      <w:pPr>
        <w:keepNext/>
        <w:spacing w:line="240" w:lineRule="auto"/>
      </w:pPr>
    </w:p>
    <w:p w14:paraId="0C44AE0A" w14:textId="77777777" w:rsidR="00812D16" w:rsidRPr="00BF5AB0" w:rsidRDefault="0091265E" w:rsidP="00B216ED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Terapeutické indikácie</w:t>
      </w:r>
    </w:p>
    <w:p w14:paraId="41D55FBE" w14:textId="77777777" w:rsidR="00812D16" w:rsidRPr="00BF5AB0" w:rsidRDefault="00812D16" w:rsidP="00B216ED">
      <w:pPr>
        <w:keepNext/>
        <w:spacing w:line="240" w:lineRule="auto"/>
      </w:pPr>
    </w:p>
    <w:p w14:paraId="4D38D615" w14:textId="184AAE55" w:rsidR="00E1662F" w:rsidRDefault="00E1662F" w:rsidP="00B216ED">
      <w:pPr>
        <w:pStyle w:val="Odsekzoznamu"/>
        <w:numPr>
          <w:ilvl w:val="0"/>
          <w:numId w:val="14"/>
        </w:numPr>
        <w:spacing w:line="240" w:lineRule="auto"/>
        <w:ind w:left="284" w:hanging="284"/>
      </w:pPr>
      <w:r>
        <w:t>Rozpúšťanie cholesterolových žlčových kameňov u</w:t>
      </w:r>
      <w:r w:rsidR="00041886">
        <w:t> </w:t>
      </w:r>
      <w:r>
        <w:t>pacientov:</w:t>
      </w:r>
    </w:p>
    <w:p w14:paraId="1879CBB5" w14:textId="55A4765E" w:rsidR="00E1662F" w:rsidRDefault="00041886" w:rsidP="00B216ED">
      <w:pPr>
        <w:pStyle w:val="Odsekzoznamu"/>
        <w:numPr>
          <w:ilvl w:val="0"/>
          <w:numId w:val="12"/>
        </w:numPr>
        <w:tabs>
          <w:tab w:val="clear" w:pos="567"/>
          <w:tab w:val="left" w:pos="709"/>
        </w:tabs>
        <w:spacing w:line="240" w:lineRule="auto"/>
      </w:pPr>
      <w:r>
        <w:t xml:space="preserve">ktorí </w:t>
      </w:r>
      <w:r w:rsidR="00E1662F">
        <w:t xml:space="preserve">majú </w:t>
      </w:r>
      <w:bookmarkStart w:id="0" w:name="_Hlk36563791"/>
      <w:r>
        <w:t xml:space="preserve">v normálne fungujúcom žlčníku </w:t>
      </w:r>
      <w:r w:rsidR="00E1662F">
        <w:t>jeden alebo viac žlčových kameňov</w:t>
      </w:r>
      <w:r>
        <w:t xml:space="preserve"> nezobrazujúcich sa na </w:t>
      </w:r>
      <w:r w:rsidRPr="004C3B94">
        <w:rPr>
          <w:szCs w:val="22"/>
        </w:rPr>
        <w:t xml:space="preserve">röntgenovej snímke </w:t>
      </w:r>
      <w:r>
        <w:t>(rádio</w:t>
      </w:r>
      <w:r w:rsidR="00D903C4">
        <w:t>logicky</w:t>
      </w:r>
      <w:r>
        <w:t xml:space="preserve"> negatívnych)</w:t>
      </w:r>
      <w:r w:rsidR="00E1662F">
        <w:t>, pokiaľ možno s priemerom najviac 2 cm</w:t>
      </w:r>
      <w:bookmarkEnd w:id="0"/>
      <w:r w:rsidR="00E1662F">
        <w:t>;</w:t>
      </w:r>
    </w:p>
    <w:p w14:paraId="13889DB2" w14:textId="64C4B29B" w:rsidR="00E1662F" w:rsidRDefault="00041886" w:rsidP="00B216ED">
      <w:pPr>
        <w:pStyle w:val="Odsekzoznamu"/>
        <w:numPr>
          <w:ilvl w:val="0"/>
          <w:numId w:val="12"/>
        </w:numPr>
        <w:tabs>
          <w:tab w:val="clear" w:pos="567"/>
          <w:tab w:val="left" w:pos="709"/>
        </w:tabs>
        <w:spacing w:line="240" w:lineRule="auto"/>
      </w:pPr>
      <w:r>
        <w:t xml:space="preserve">ktorí </w:t>
      </w:r>
      <w:r w:rsidR="00E1662F">
        <w:t>odmiet</w:t>
      </w:r>
      <w:r>
        <w:t>ajú</w:t>
      </w:r>
      <w:r w:rsidR="00E1662F">
        <w:t xml:space="preserve"> chirurgick</w:t>
      </w:r>
      <w:r>
        <w:t>ý</w:t>
      </w:r>
      <w:r w:rsidR="00E1662F">
        <w:t xml:space="preserve"> zákrok alebo u ktorých </w:t>
      </w:r>
      <w:r>
        <w:t xml:space="preserve">chirurgický zákrok </w:t>
      </w:r>
      <w:r w:rsidR="00E1662F">
        <w:t xml:space="preserve">nie </w:t>
      </w:r>
      <w:r w:rsidR="00D903C4">
        <w:t>je</w:t>
      </w:r>
      <w:r w:rsidR="00E1662F">
        <w:t xml:space="preserve"> indikovan</w:t>
      </w:r>
      <w:r>
        <w:t>ý</w:t>
      </w:r>
      <w:r w:rsidR="00E1662F">
        <w:t>;</w:t>
      </w:r>
    </w:p>
    <w:p w14:paraId="7B167F51" w14:textId="14822AB3" w:rsidR="00E1662F" w:rsidRDefault="00E1662F" w:rsidP="00B216ED">
      <w:pPr>
        <w:pStyle w:val="Odsekzoznamu"/>
        <w:numPr>
          <w:ilvl w:val="0"/>
          <w:numId w:val="12"/>
        </w:numPr>
        <w:tabs>
          <w:tab w:val="clear" w:pos="567"/>
          <w:tab w:val="left" w:pos="709"/>
        </w:tabs>
        <w:spacing w:line="240" w:lineRule="auto"/>
      </w:pPr>
      <w:r>
        <w:t xml:space="preserve">u ktorých sa </w:t>
      </w:r>
      <w:r w:rsidR="00041886">
        <w:t>nadmerná saturácia</w:t>
      </w:r>
      <w:r>
        <w:t xml:space="preserve"> cholesterolom preukázal</w:t>
      </w:r>
      <w:r w:rsidR="00041886">
        <w:t>a</w:t>
      </w:r>
      <w:r>
        <w:t xml:space="preserve"> chemickým testom žlči získan</w:t>
      </w:r>
      <w:r w:rsidR="00041886">
        <w:t>ej</w:t>
      </w:r>
      <w:r>
        <w:t xml:space="preserve"> duodenálnou drenážou.</w:t>
      </w:r>
    </w:p>
    <w:p w14:paraId="291F3579" w14:textId="6904C6C3" w:rsidR="00E1662F" w:rsidRDefault="00E1662F" w:rsidP="00B216ED">
      <w:pPr>
        <w:pStyle w:val="Odsekzoznamu"/>
        <w:numPr>
          <w:ilvl w:val="0"/>
          <w:numId w:val="14"/>
        </w:numPr>
        <w:spacing w:line="240" w:lineRule="auto"/>
        <w:ind w:left="284" w:hanging="284"/>
      </w:pPr>
      <w:r>
        <w:t xml:space="preserve">Ako adjuvantný liek pred a po rozpustení </w:t>
      </w:r>
      <w:r w:rsidR="00041886">
        <w:t>žlč</w:t>
      </w:r>
      <w:r w:rsidR="00D903C4">
        <w:t>o</w:t>
      </w:r>
      <w:r w:rsidR="00041886">
        <w:t xml:space="preserve">vých kameňov </w:t>
      </w:r>
      <w:r>
        <w:t>rázov</w:t>
      </w:r>
      <w:r w:rsidR="00B11A38">
        <w:t>ou</w:t>
      </w:r>
      <w:r>
        <w:t xml:space="preserve"> vln</w:t>
      </w:r>
      <w:r w:rsidR="00B11A38">
        <w:t>ou</w:t>
      </w:r>
      <w:r>
        <w:t xml:space="preserve"> (litotripsia).</w:t>
      </w:r>
    </w:p>
    <w:p w14:paraId="58C5F5D6" w14:textId="4122590E" w:rsidR="00E1662F" w:rsidRDefault="00E1662F" w:rsidP="00B216ED">
      <w:pPr>
        <w:pStyle w:val="Odsekzoznamu"/>
        <w:numPr>
          <w:ilvl w:val="0"/>
          <w:numId w:val="14"/>
        </w:numPr>
        <w:tabs>
          <w:tab w:val="clear" w:pos="567"/>
          <w:tab w:val="left" w:pos="284"/>
        </w:tabs>
        <w:spacing w:line="240" w:lineRule="auto"/>
        <w:ind w:left="284" w:hanging="284"/>
      </w:pPr>
      <w:r>
        <w:t>Primárna biliárna cholangitída (</w:t>
      </w:r>
      <w:r w:rsidR="00D903C4">
        <w:t>p</w:t>
      </w:r>
      <w:r w:rsidR="00D903C4" w:rsidRPr="00D903C4">
        <w:t>rimary biliary cholangitis</w:t>
      </w:r>
      <w:r w:rsidR="00D903C4">
        <w:t xml:space="preserve">, </w:t>
      </w:r>
      <w:r>
        <w:t>PBC, známa tiež ako primárna biliárna cirhóza).</w:t>
      </w:r>
    </w:p>
    <w:p w14:paraId="48B36CAA" w14:textId="5382071E" w:rsidR="00E1662F" w:rsidRDefault="00E1662F" w:rsidP="00B216ED">
      <w:pPr>
        <w:spacing w:line="240" w:lineRule="auto"/>
      </w:pPr>
    </w:p>
    <w:p w14:paraId="4CEB19C8" w14:textId="77777777" w:rsidR="0034126C" w:rsidRPr="00536A7B" w:rsidRDefault="0034126C" w:rsidP="00B216ED">
      <w:pPr>
        <w:rPr>
          <w:szCs w:val="22"/>
          <w:u w:val="single"/>
        </w:rPr>
      </w:pPr>
      <w:r>
        <w:rPr>
          <w:szCs w:val="22"/>
          <w:u w:val="single"/>
        </w:rPr>
        <w:t>Pediatrická populácia</w:t>
      </w:r>
    </w:p>
    <w:p w14:paraId="7248DBF4" w14:textId="27B5953C" w:rsidR="0034126C" w:rsidRPr="00536A7B" w:rsidRDefault="0034126C" w:rsidP="00B216ED">
      <w:pPr>
        <w:rPr>
          <w:szCs w:val="22"/>
        </w:rPr>
      </w:pPr>
      <w:r w:rsidRPr="00D264FB">
        <w:rPr>
          <w:szCs w:val="22"/>
        </w:rPr>
        <w:t xml:space="preserve">Hepatobiliárne poruchy </w:t>
      </w:r>
      <w:r w:rsidR="00D903C4">
        <w:rPr>
          <w:szCs w:val="22"/>
        </w:rPr>
        <w:t xml:space="preserve">ako následok </w:t>
      </w:r>
      <w:r w:rsidRPr="00D264FB">
        <w:rPr>
          <w:szCs w:val="22"/>
        </w:rPr>
        <w:t>cystick</w:t>
      </w:r>
      <w:r w:rsidR="00D903C4">
        <w:rPr>
          <w:szCs w:val="22"/>
        </w:rPr>
        <w:t>ej</w:t>
      </w:r>
      <w:r w:rsidRPr="00D264FB">
        <w:rPr>
          <w:szCs w:val="22"/>
        </w:rPr>
        <w:t xml:space="preserve"> fibróz</w:t>
      </w:r>
      <w:r w:rsidR="00D903C4">
        <w:rPr>
          <w:szCs w:val="22"/>
        </w:rPr>
        <w:t>y u detí a dospievajúcich</w:t>
      </w:r>
      <w:r w:rsidRPr="00D264FB">
        <w:rPr>
          <w:szCs w:val="22"/>
        </w:rPr>
        <w:t xml:space="preserve"> vo veku od </w:t>
      </w:r>
      <w:r>
        <w:rPr>
          <w:szCs w:val="22"/>
        </w:rPr>
        <w:t>6 rokov</w:t>
      </w:r>
      <w:r w:rsidRPr="00D264FB">
        <w:rPr>
          <w:szCs w:val="22"/>
        </w:rPr>
        <w:t xml:space="preserve"> do 18 rokov. </w:t>
      </w:r>
    </w:p>
    <w:p w14:paraId="1F7480E8" w14:textId="77777777" w:rsidR="0034126C" w:rsidRPr="00A72672" w:rsidRDefault="0034126C" w:rsidP="00B216ED">
      <w:pPr>
        <w:spacing w:line="240" w:lineRule="auto"/>
      </w:pPr>
    </w:p>
    <w:p w14:paraId="3C38289F" w14:textId="77777777" w:rsidR="00812D16" w:rsidRPr="00BF5AB0" w:rsidRDefault="0091265E" w:rsidP="00B216ED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Dávkovanie a spôsob podávania</w:t>
      </w:r>
    </w:p>
    <w:p w14:paraId="517B38AC" w14:textId="77777777" w:rsidR="00812D16" w:rsidRPr="00BF5AB0" w:rsidRDefault="00812D16" w:rsidP="00B216ED">
      <w:pPr>
        <w:keepNext/>
        <w:spacing w:line="240" w:lineRule="auto"/>
      </w:pPr>
    </w:p>
    <w:p w14:paraId="7F3A0150" w14:textId="77777777" w:rsidR="00812D16" w:rsidRPr="0082445A" w:rsidRDefault="0091265E" w:rsidP="00B216ED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Dávkovanie</w:t>
      </w:r>
    </w:p>
    <w:p w14:paraId="6F514A4D" w14:textId="155A7EB3" w:rsidR="00812D16" w:rsidRDefault="00812D16" w:rsidP="00B216ED">
      <w:pPr>
        <w:spacing w:line="240" w:lineRule="auto"/>
      </w:pPr>
    </w:p>
    <w:p w14:paraId="177902DB" w14:textId="150B41BD" w:rsidR="0034126C" w:rsidRPr="0034126C" w:rsidRDefault="0034126C" w:rsidP="00B216ED">
      <w:pPr>
        <w:spacing w:line="240" w:lineRule="auto"/>
        <w:rPr>
          <w:i/>
          <w:iCs/>
        </w:rPr>
      </w:pPr>
      <w:bookmarkStart w:id="1" w:name="_Hlk36566041"/>
      <w:r w:rsidRPr="0034126C">
        <w:rPr>
          <w:i/>
          <w:iCs/>
        </w:rPr>
        <w:t>Rozpúšťanie žlčových kameňov (samostatne alebo v kombinácii s litotripsiou).</w:t>
      </w:r>
    </w:p>
    <w:bookmarkEnd w:id="1"/>
    <w:p w14:paraId="186F481A" w14:textId="77777777" w:rsidR="0034126C" w:rsidRDefault="0034126C" w:rsidP="00B216ED">
      <w:pPr>
        <w:spacing w:line="240" w:lineRule="auto"/>
      </w:pPr>
    </w:p>
    <w:p w14:paraId="002DDE4C" w14:textId="7C2AD44B" w:rsidR="0034126C" w:rsidRDefault="0034126C" w:rsidP="00B216ED">
      <w:pPr>
        <w:spacing w:line="240" w:lineRule="auto"/>
      </w:pPr>
      <w:bookmarkStart w:id="2" w:name="_Hlk36566081"/>
      <w:r>
        <w:t>Odporúčaná denná dávka je 8</w:t>
      </w:r>
      <w:r w:rsidR="005D3CE8">
        <w:t>-</w:t>
      </w:r>
      <w:r>
        <w:t>10 mg/kg telesnej hmotnosti kyseliny ur</w:t>
      </w:r>
      <w:r w:rsidR="001D6F2B">
        <w:t>z</w:t>
      </w:r>
      <w:r>
        <w:t xml:space="preserve">odeoxycholovej, čo zodpovedá </w:t>
      </w:r>
      <w:r w:rsidR="005D3CE8">
        <w:t>2</w:t>
      </w:r>
      <w:r>
        <w:t>-4 kapsulám, ktoré sa majú užiť s jedlom:</w:t>
      </w:r>
    </w:p>
    <w:p w14:paraId="7AB5BCB5" w14:textId="60AD9181" w:rsidR="0034126C" w:rsidRDefault="0034126C" w:rsidP="00B216ED">
      <w:pPr>
        <w:pStyle w:val="Odsekzoznamu"/>
        <w:numPr>
          <w:ilvl w:val="0"/>
          <w:numId w:val="15"/>
        </w:numPr>
        <w:spacing w:line="240" w:lineRule="auto"/>
      </w:pPr>
      <w:r>
        <w:t>pri dennej dávke 2 kapsuly: obe kapsuly s večerným jedlom;</w:t>
      </w:r>
    </w:p>
    <w:p w14:paraId="29156750" w14:textId="4F67908F" w:rsidR="0034126C" w:rsidRDefault="0034126C" w:rsidP="00B216ED">
      <w:pPr>
        <w:pStyle w:val="Odsekzoznamu"/>
        <w:numPr>
          <w:ilvl w:val="0"/>
          <w:numId w:val="15"/>
        </w:numPr>
        <w:spacing w:line="240" w:lineRule="auto"/>
      </w:pPr>
      <w:r>
        <w:t>pri dennej dávke 3 kapsuly: 1 ráno a 2 večer;</w:t>
      </w:r>
    </w:p>
    <w:p w14:paraId="35293E28" w14:textId="07826013" w:rsidR="0034126C" w:rsidRDefault="0034126C" w:rsidP="00B216ED">
      <w:pPr>
        <w:pStyle w:val="Odsekzoznamu"/>
        <w:numPr>
          <w:ilvl w:val="0"/>
          <w:numId w:val="15"/>
        </w:numPr>
        <w:spacing w:line="240" w:lineRule="auto"/>
      </w:pPr>
      <w:r>
        <w:t>pri dennej dávke 4 kapsuly: 2 ráno a 2 večer.</w:t>
      </w:r>
    </w:p>
    <w:bookmarkEnd w:id="2"/>
    <w:p w14:paraId="0A42530F" w14:textId="77777777" w:rsidR="0034126C" w:rsidRDefault="0034126C" w:rsidP="00B216ED">
      <w:pPr>
        <w:spacing w:line="240" w:lineRule="auto"/>
      </w:pPr>
    </w:p>
    <w:p w14:paraId="2D7927B7" w14:textId="25570E8B" w:rsidR="0034126C" w:rsidRDefault="0034126C" w:rsidP="00B216ED">
      <w:pPr>
        <w:spacing w:line="240" w:lineRule="auto"/>
      </w:pPr>
      <w:r>
        <w:t>Proces rozpúšťania t</w:t>
      </w:r>
      <w:r w:rsidR="00BE7D06">
        <w:t>ýmto</w:t>
      </w:r>
      <w:r>
        <w:t xml:space="preserve"> liek</w:t>
      </w:r>
      <w:r w:rsidR="00BE7D06">
        <w:t>om</w:t>
      </w:r>
      <w:r>
        <w:t xml:space="preserve"> trvá 6 mesiacov až 2 roky, v závislosti od počiatočnej veľkosti kameňov. Na správne vyhodnotenie terapeutického výsledku je potrebné na začiatku liečby presne </w:t>
      </w:r>
      <w:r>
        <w:lastRenderedPageBreak/>
        <w:t>určiť veľkosť existujúcich kameňov a následne ich pravidelne sledovať, napríklad každé 3 4 mesiace, röntgen</w:t>
      </w:r>
      <w:r w:rsidR="00B2691A">
        <w:t xml:space="preserve">ologicky </w:t>
      </w:r>
      <w:r>
        <w:t xml:space="preserve">a/alebo </w:t>
      </w:r>
      <w:r w:rsidR="00B2691A" w:rsidRPr="00395B97">
        <w:t>sonograficky</w:t>
      </w:r>
      <w:r w:rsidRPr="00395B97">
        <w:t>.</w:t>
      </w:r>
    </w:p>
    <w:p w14:paraId="1BF552FA" w14:textId="77777777" w:rsidR="0034126C" w:rsidRDefault="0034126C" w:rsidP="00B216ED">
      <w:pPr>
        <w:spacing w:line="240" w:lineRule="auto"/>
      </w:pPr>
    </w:p>
    <w:p w14:paraId="2D7CFCD7" w14:textId="19A8DA0D" w:rsidR="0034126C" w:rsidRDefault="0034126C" w:rsidP="00B216ED">
      <w:pPr>
        <w:spacing w:line="240" w:lineRule="auto"/>
      </w:pPr>
      <w:r>
        <w:t xml:space="preserve">U pacientov, ktorých kamene sa </w:t>
      </w:r>
      <w:r w:rsidR="00B2691A">
        <w:t xml:space="preserve">po 6 mesiacoch liečby pri stanovenej dávke </w:t>
      </w:r>
      <w:r>
        <w:t>nezmen</w:t>
      </w:r>
      <w:r w:rsidR="00B2691A">
        <w:t>š</w:t>
      </w:r>
      <w:r>
        <w:t xml:space="preserve">ili, sa odporúča stanoviť biliárny litogénny index pomocou </w:t>
      </w:r>
      <w:r w:rsidR="00B2691A">
        <w:t>duodenálnej</w:t>
      </w:r>
      <w:r>
        <w:t xml:space="preserve"> drenáže. Ak má žlč index</w:t>
      </w:r>
      <w:r w:rsidR="00B2691A">
        <w:t xml:space="preserve"> </w:t>
      </w:r>
      <w:r>
        <w:t>&gt; 1,0</w:t>
      </w:r>
      <w:r w:rsidR="00B2691A">
        <w:t xml:space="preserve"> potom</w:t>
      </w:r>
      <w:r>
        <w:t xml:space="preserve"> je nepravdepodobné, že </w:t>
      </w:r>
      <w:r w:rsidR="00B2691A">
        <w:t>by bol</w:t>
      </w:r>
      <w:r>
        <w:t xml:space="preserve"> dosiahn</w:t>
      </w:r>
      <w:r w:rsidR="00B2691A">
        <w:t xml:space="preserve">utý </w:t>
      </w:r>
      <w:r>
        <w:t>priaznivý výsledok a je lepšie zvážiť inú formu liečby žlčových kameňov. Liečba musí pokračovať 3 až 4 mesiace potom, ako ultrazvukové vyšetrenie potvrdí úplné rozpustenie žlčových kameňov.</w:t>
      </w:r>
    </w:p>
    <w:p w14:paraId="2EFC8A8A" w14:textId="77777777" w:rsidR="0034126C" w:rsidRDefault="0034126C" w:rsidP="00B216ED">
      <w:pPr>
        <w:spacing w:line="240" w:lineRule="auto"/>
      </w:pPr>
    </w:p>
    <w:p w14:paraId="295BA015" w14:textId="77777777" w:rsidR="0034126C" w:rsidRPr="00B2691A" w:rsidRDefault="0034126C" w:rsidP="00B216ED">
      <w:pPr>
        <w:spacing w:line="240" w:lineRule="auto"/>
        <w:rPr>
          <w:u w:val="single"/>
        </w:rPr>
      </w:pPr>
      <w:r w:rsidRPr="00B2691A">
        <w:rPr>
          <w:u w:val="single"/>
        </w:rPr>
        <w:t>Ukončenie liečby</w:t>
      </w:r>
    </w:p>
    <w:p w14:paraId="3B191833" w14:textId="280B5C51" w:rsidR="0034126C" w:rsidRDefault="0034126C" w:rsidP="00B216ED">
      <w:pPr>
        <w:spacing w:line="240" w:lineRule="auto"/>
      </w:pPr>
      <w:r>
        <w:t>Prerušenie liečby na 3</w:t>
      </w:r>
      <w:r w:rsidR="005D3CE8">
        <w:t>-</w:t>
      </w:r>
      <w:r>
        <w:t xml:space="preserve">4 týždne vedie k návratu </w:t>
      </w:r>
      <w:r w:rsidR="00B2691A">
        <w:t>nadmernej saturácie</w:t>
      </w:r>
      <w:r>
        <w:t xml:space="preserve"> žlče a predlžuje celkové trvanie liečby. </w:t>
      </w:r>
      <w:r w:rsidR="001D6F2B">
        <w:t>Po p</w:t>
      </w:r>
      <w:r>
        <w:t>rerušen</w:t>
      </w:r>
      <w:r w:rsidR="001D6F2B">
        <w:t>í</w:t>
      </w:r>
      <w:r>
        <w:t xml:space="preserve"> liečby </w:t>
      </w:r>
      <w:r w:rsidR="00B2691A">
        <w:t xml:space="preserve">po rozpustení </w:t>
      </w:r>
      <w:r>
        <w:t>žlčový</w:t>
      </w:r>
      <w:r w:rsidR="00B2691A">
        <w:t>ch</w:t>
      </w:r>
      <w:r>
        <w:t xml:space="preserve"> kameň</w:t>
      </w:r>
      <w:r w:rsidR="00B2691A">
        <w:t>ov</w:t>
      </w:r>
      <w:r>
        <w:t xml:space="preserve"> môže </w:t>
      </w:r>
      <w:r w:rsidR="001D6F2B">
        <w:t>dôjsť k</w:t>
      </w:r>
      <w:r w:rsidR="00B2691A">
        <w:t xml:space="preserve"> </w:t>
      </w:r>
      <w:r>
        <w:t>relaps</w:t>
      </w:r>
      <w:r w:rsidR="001D6F2B">
        <w:t>u</w:t>
      </w:r>
      <w:r>
        <w:t>.</w:t>
      </w:r>
    </w:p>
    <w:p w14:paraId="4CC23CCF" w14:textId="77777777" w:rsidR="0034126C" w:rsidRDefault="0034126C" w:rsidP="00B216ED">
      <w:pPr>
        <w:spacing w:line="240" w:lineRule="auto"/>
      </w:pPr>
    </w:p>
    <w:p w14:paraId="52A3BAB3" w14:textId="77777777" w:rsidR="0034126C" w:rsidRPr="00B2691A" w:rsidRDefault="0034126C" w:rsidP="00B216ED">
      <w:pPr>
        <w:spacing w:line="240" w:lineRule="auto"/>
        <w:rPr>
          <w:i/>
          <w:iCs/>
        </w:rPr>
      </w:pPr>
      <w:bookmarkStart w:id="3" w:name="_Hlk36566358"/>
      <w:r w:rsidRPr="00B2691A">
        <w:rPr>
          <w:i/>
          <w:iCs/>
        </w:rPr>
        <w:t>Liečba primárnej biliárnej cholangitídy (PBC).</w:t>
      </w:r>
    </w:p>
    <w:bookmarkEnd w:id="3"/>
    <w:p w14:paraId="6E3E3546" w14:textId="77777777" w:rsidR="0034126C" w:rsidRDefault="0034126C" w:rsidP="00B216ED">
      <w:pPr>
        <w:spacing w:line="240" w:lineRule="auto"/>
      </w:pPr>
    </w:p>
    <w:p w14:paraId="638EACDF" w14:textId="7F113495" w:rsidR="0034126C" w:rsidRDefault="0076162D" w:rsidP="00B216ED">
      <w:pPr>
        <w:spacing w:line="240" w:lineRule="auto"/>
      </w:pPr>
      <w:r>
        <w:t>Štádium</w:t>
      </w:r>
      <w:r w:rsidR="0034126C">
        <w:t xml:space="preserve"> I-III</w:t>
      </w:r>
    </w:p>
    <w:p w14:paraId="738ADD52" w14:textId="77777777" w:rsidR="0034126C" w:rsidRDefault="0034126C" w:rsidP="00B216ED">
      <w:pPr>
        <w:spacing w:line="240" w:lineRule="auto"/>
      </w:pPr>
    </w:p>
    <w:p w14:paraId="31598BB9" w14:textId="56E144B3" w:rsidR="0034126C" w:rsidRDefault="0034126C" w:rsidP="00B216ED">
      <w:pPr>
        <w:spacing w:line="240" w:lineRule="auto"/>
      </w:pPr>
      <w:bookmarkStart w:id="4" w:name="_Hlk36566437"/>
      <w:r>
        <w:t>Denná dávka závisí od telesnej hmotnosti a pohybuje sa od 12</w:t>
      </w:r>
      <w:r w:rsidR="00B2691A">
        <w:t>-</w:t>
      </w:r>
      <w:r>
        <w:t xml:space="preserve">16 mg/kg kyseliny </w:t>
      </w:r>
      <w:r w:rsidR="001D6F2B">
        <w:t>urzodeo</w:t>
      </w:r>
      <w:r>
        <w:t>xycholovej (3</w:t>
      </w:r>
      <w:r w:rsidR="00B2691A">
        <w:t>-</w:t>
      </w:r>
      <w:r>
        <w:t>7 kapsúl).</w:t>
      </w:r>
    </w:p>
    <w:p w14:paraId="4BBB4DC7" w14:textId="1F098CA0" w:rsidR="0034126C" w:rsidRDefault="0034126C" w:rsidP="00B216ED">
      <w:pPr>
        <w:spacing w:line="240" w:lineRule="auto"/>
      </w:pPr>
      <w:r>
        <w:t>Počas prvých 3 mesiacov liečby sa má tento liek užívať v rozdelených dávkach po</w:t>
      </w:r>
      <w:r w:rsidR="001D6F2B">
        <w:t>čas</w:t>
      </w:r>
      <w:r>
        <w:t xml:space="preserve"> cel</w:t>
      </w:r>
      <w:r w:rsidR="001D6F2B">
        <w:t>ého</w:t>
      </w:r>
      <w:r>
        <w:t xml:space="preserve"> d</w:t>
      </w:r>
      <w:r w:rsidR="001D6F2B">
        <w:t>ňa</w:t>
      </w:r>
      <w:r>
        <w:t>. Ak sa funkcia pečene zlepší, celková denná dávka sa môže užiť jedenkrát denne večer.</w:t>
      </w:r>
    </w:p>
    <w:p w14:paraId="174E3FD1" w14:textId="2FF2EA5A" w:rsidR="00B2691A" w:rsidRDefault="00B2691A" w:rsidP="00043D79">
      <w:pPr>
        <w:spacing w:line="240" w:lineRule="auto"/>
      </w:pPr>
    </w:p>
    <w:tbl>
      <w:tblPr>
        <w:tblW w:w="89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843"/>
        <w:gridCol w:w="1276"/>
        <w:gridCol w:w="1275"/>
        <w:gridCol w:w="993"/>
        <w:gridCol w:w="1701"/>
      </w:tblGrid>
      <w:tr w:rsidR="00B2691A" w:rsidRPr="00334E71" w14:paraId="685A2523" w14:textId="77777777" w:rsidTr="008B3157">
        <w:trPr>
          <w:trHeight w:hRule="exact" w:val="445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EDCF" w14:textId="3BB0C9F8" w:rsidR="00B2691A" w:rsidRPr="008B3157" w:rsidRDefault="006E4A4C" w:rsidP="00B216ED">
            <w:pPr>
              <w:autoSpaceDE w:val="0"/>
              <w:autoSpaceDN w:val="0"/>
              <w:adjustRightInd w:val="0"/>
              <w:spacing w:line="240" w:lineRule="auto"/>
              <w:ind w:firstLine="10"/>
              <w:jc w:val="center"/>
              <w:rPr>
                <w:b/>
                <w:bCs/>
                <w:color w:val="000000"/>
              </w:rPr>
            </w:pPr>
            <w:r w:rsidRPr="008B3157">
              <w:rPr>
                <w:b/>
                <w:bCs/>
                <w:color w:val="000000"/>
              </w:rPr>
              <w:t>Telesná hmotnosť</w:t>
            </w:r>
          </w:p>
          <w:p w14:paraId="7AB5E501" w14:textId="77777777" w:rsidR="00B2691A" w:rsidRPr="008B3157" w:rsidRDefault="00B2691A" w:rsidP="00B216ED">
            <w:pPr>
              <w:autoSpaceDE w:val="0"/>
              <w:autoSpaceDN w:val="0"/>
              <w:adjustRightInd w:val="0"/>
              <w:spacing w:line="240" w:lineRule="auto"/>
              <w:ind w:firstLine="10"/>
              <w:jc w:val="center"/>
              <w:rPr>
                <w:b/>
                <w:bCs/>
                <w:color w:val="000000"/>
              </w:rPr>
            </w:pPr>
            <w:r w:rsidRPr="008B3157">
              <w:rPr>
                <w:b/>
                <w:bCs/>
                <w:color w:val="000000"/>
              </w:rPr>
              <w:t>(kg)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4A28" w14:textId="2C59BD0C" w:rsidR="00B2691A" w:rsidRPr="008B3157" w:rsidRDefault="006E4A4C" w:rsidP="00B216ED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B3157">
              <w:rPr>
                <w:b/>
                <w:bCs/>
                <w:color w:val="000000"/>
              </w:rPr>
              <w:t>Denná dávka</w:t>
            </w:r>
          </w:p>
          <w:p w14:paraId="5E6C9E7F" w14:textId="198C7F52" w:rsidR="00B2691A" w:rsidRPr="008B3157" w:rsidRDefault="00B2691A" w:rsidP="00B216ED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B3157">
              <w:rPr>
                <w:b/>
                <w:bCs/>
                <w:color w:val="000000"/>
              </w:rPr>
              <w:t xml:space="preserve">(mg/kg </w:t>
            </w:r>
            <w:r w:rsidR="006E4A4C" w:rsidRPr="008B3157">
              <w:rPr>
                <w:b/>
                <w:bCs/>
                <w:color w:val="000000"/>
              </w:rPr>
              <w:t>telesnej hmotnosti</w:t>
            </w:r>
            <w:r w:rsidRPr="008B3157">
              <w:rPr>
                <w:b/>
                <w:bCs/>
                <w:color w:val="000000"/>
              </w:rPr>
              <w:t>)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504C" w14:textId="08D84167" w:rsidR="00B2691A" w:rsidRPr="008B3157" w:rsidRDefault="006E4A4C" w:rsidP="00B216ED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b/>
                <w:bCs/>
                <w:color w:val="000000"/>
              </w:rPr>
            </w:pPr>
            <w:r w:rsidRPr="008B3157">
              <w:rPr>
                <w:b/>
                <w:bCs/>
                <w:color w:val="000000"/>
              </w:rPr>
              <w:t>Kapsuly</w:t>
            </w:r>
          </w:p>
        </w:tc>
      </w:tr>
      <w:tr w:rsidR="00B2691A" w:rsidRPr="00334E71" w14:paraId="7A1780CD" w14:textId="77777777" w:rsidTr="008B3157">
        <w:trPr>
          <w:trHeight w:hRule="exact" w:val="424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8C06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B9F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B09C2" w14:textId="35F60BA3" w:rsidR="00B2691A" w:rsidRPr="00865612" w:rsidRDefault="006E4A4C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Prvé 3 mesiace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23210" w14:textId="14A0A68A" w:rsidR="00B2691A" w:rsidRPr="00334E71" w:rsidRDefault="006E4A4C" w:rsidP="00B216ED">
            <w:pPr>
              <w:autoSpaceDE w:val="0"/>
              <w:autoSpaceDN w:val="0"/>
              <w:adjustRightInd w:val="0"/>
              <w:spacing w:line="240" w:lineRule="auto"/>
              <w:ind w:firstLine="3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Následne</w:t>
            </w:r>
          </w:p>
        </w:tc>
      </w:tr>
      <w:tr w:rsidR="006E4A4C" w:rsidRPr="00334E71" w14:paraId="1794810B" w14:textId="77777777" w:rsidTr="008B3157">
        <w:trPr>
          <w:trHeight w:hRule="exact" w:val="561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3560" w14:textId="77777777" w:rsidR="006E4A4C" w:rsidRPr="00334E71" w:rsidRDefault="006E4A4C" w:rsidP="00B216ED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D9C49" w14:textId="77777777" w:rsidR="006E4A4C" w:rsidRPr="00334E71" w:rsidRDefault="006E4A4C" w:rsidP="00B216ED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7276" w14:textId="582F4DA4" w:rsidR="006E4A4C" w:rsidRPr="00334E71" w:rsidRDefault="006E4A4C" w:rsidP="00B216ED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hanging="32"/>
              <w:jc w:val="center"/>
              <w:rPr>
                <w:color w:val="000000"/>
              </w:rPr>
            </w:pPr>
            <w:r w:rsidRPr="00836351">
              <w:rPr>
                <w:szCs w:val="22"/>
              </w:rPr>
              <w:t>Ráno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FD1" w14:textId="2965B4C9" w:rsidR="006E4A4C" w:rsidRPr="00334E71" w:rsidRDefault="00F61BA7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szCs w:val="22"/>
              </w:rPr>
              <w:t>Poobede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4CC" w14:textId="5753C933" w:rsidR="006E4A4C" w:rsidRPr="00334E71" w:rsidRDefault="006E4A4C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836351">
              <w:rPr>
                <w:szCs w:val="22"/>
              </w:rPr>
              <w:t>Večer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973" w14:textId="71A02D0C" w:rsidR="008B3157" w:rsidRDefault="006E4A4C" w:rsidP="00B216E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szCs w:val="22"/>
              </w:rPr>
            </w:pPr>
            <w:r w:rsidRPr="00836351">
              <w:rPr>
                <w:szCs w:val="22"/>
              </w:rPr>
              <w:t>Večer</w:t>
            </w:r>
          </w:p>
          <w:p w14:paraId="12E9349F" w14:textId="0D5E17B2" w:rsidR="006E4A4C" w:rsidRPr="00334E71" w:rsidRDefault="006E4A4C" w:rsidP="00B216E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836351">
              <w:rPr>
                <w:szCs w:val="22"/>
              </w:rPr>
              <w:t>(jedenkrát</w:t>
            </w:r>
            <w:r w:rsidR="008B3157">
              <w:rPr>
                <w:szCs w:val="22"/>
              </w:rPr>
              <w:t xml:space="preserve"> </w:t>
            </w:r>
            <w:r w:rsidRPr="00836351">
              <w:rPr>
                <w:szCs w:val="22"/>
              </w:rPr>
              <w:t>denne)</w:t>
            </w:r>
          </w:p>
        </w:tc>
      </w:tr>
      <w:tr w:rsidR="00B2691A" w:rsidRPr="00334E71" w14:paraId="4FD2AD3C" w14:textId="77777777" w:rsidTr="008B3157">
        <w:trPr>
          <w:trHeight w:hRule="exact" w:val="2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4F33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47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26F3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12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26CC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36F3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F61F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E80A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3</w:t>
            </w:r>
          </w:p>
        </w:tc>
      </w:tr>
      <w:tr w:rsidR="00B2691A" w:rsidRPr="00334E71" w14:paraId="0F752077" w14:textId="77777777" w:rsidTr="008B3157">
        <w:trPr>
          <w:trHeight w:hRule="exact" w:val="2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BC53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63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9AB5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13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1ACC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E67D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3635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5F34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4</w:t>
            </w:r>
          </w:p>
        </w:tc>
      </w:tr>
      <w:tr w:rsidR="00B2691A" w:rsidRPr="00334E71" w14:paraId="16F1594D" w14:textId="77777777" w:rsidTr="008B3157">
        <w:trPr>
          <w:trHeight w:hRule="exact" w:val="2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2F27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79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AE4D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13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B695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60A6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9726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5449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5</w:t>
            </w:r>
          </w:p>
        </w:tc>
      </w:tr>
      <w:tr w:rsidR="00B2691A" w:rsidRPr="00334E71" w14:paraId="6BDA9DB9" w14:textId="77777777" w:rsidTr="008B3157">
        <w:trPr>
          <w:trHeight w:hRule="exact" w:val="22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9E36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94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6326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14</w:t>
            </w:r>
            <w:r>
              <w:rPr>
                <w:color w:val="000000"/>
              </w:rPr>
              <w:noBreakHyphen/>
            </w:r>
            <w:r w:rsidRPr="00334E71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6101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1FA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3885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5C8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6</w:t>
            </w:r>
          </w:p>
        </w:tc>
      </w:tr>
      <w:tr w:rsidR="00B2691A" w:rsidRPr="00334E71" w14:paraId="64C9718A" w14:textId="77777777" w:rsidTr="008B3157">
        <w:trPr>
          <w:trHeight w:hRule="exact" w:val="23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BAC4" w14:textId="73A8CBB8" w:rsidR="00B2691A" w:rsidRPr="00334E71" w:rsidRDefault="006E4A4C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Viac ako</w:t>
            </w:r>
            <w:r w:rsidR="00B2691A" w:rsidRPr="00334E71">
              <w:rPr>
                <w:color w:val="000000"/>
              </w:rPr>
              <w:t xml:space="preserve"> 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D515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6556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84DC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ind w:firstLine="36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C60F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1AF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34E71">
              <w:rPr>
                <w:color w:val="000000"/>
              </w:rPr>
              <w:t>7</w:t>
            </w:r>
          </w:p>
        </w:tc>
      </w:tr>
    </w:tbl>
    <w:p w14:paraId="151545BB" w14:textId="6C20D1E6" w:rsidR="00B2691A" w:rsidRDefault="00B2691A" w:rsidP="00043D79">
      <w:pPr>
        <w:spacing w:line="240" w:lineRule="auto"/>
      </w:pPr>
    </w:p>
    <w:bookmarkEnd w:id="4"/>
    <w:p w14:paraId="7994A91E" w14:textId="195E4A5F" w:rsidR="00B2691A" w:rsidRDefault="00A10F4E" w:rsidP="00043D79">
      <w:pPr>
        <w:spacing w:line="240" w:lineRule="auto"/>
      </w:pPr>
      <w:r>
        <w:t>Š</w:t>
      </w:r>
      <w:r w:rsidR="0076162D">
        <w:t>tádium</w:t>
      </w:r>
      <w:r w:rsidR="00B2691A">
        <w:t xml:space="preserve"> IV</w:t>
      </w:r>
    </w:p>
    <w:p w14:paraId="5728D411" w14:textId="77777777" w:rsidR="00B2691A" w:rsidRDefault="00B2691A" w:rsidP="00B216ED">
      <w:pPr>
        <w:spacing w:line="240" w:lineRule="auto"/>
      </w:pPr>
    </w:p>
    <w:p w14:paraId="545C66DE" w14:textId="262D4ADA" w:rsidR="00B2691A" w:rsidRDefault="00B2691A" w:rsidP="00B216ED">
      <w:pPr>
        <w:spacing w:line="240" w:lineRule="auto"/>
      </w:pPr>
      <w:r>
        <w:t>V kombinácii so zvýšenými hladinami bilirubínu v sére (&gt; 40 μg/l; konjugovan</w:t>
      </w:r>
      <w:r w:rsidR="006E4A4C">
        <w:t>ý</w:t>
      </w:r>
      <w:r>
        <w:t xml:space="preserve">) </w:t>
      </w:r>
      <w:r w:rsidR="00F61BA7">
        <w:t xml:space="preserve">sa má </w:t>
      </w:r>
      <w:r>
        <w:t xml:space="preserve">na začiatku podať iba polovica normálnej dávky (pozri dávku pre </w:t>
      </w:r>
      <w:r w:rsidR="0076162D">
        <w:t>štádium</w:t>
      </w:r>
      <w:r>
        <w:t xml:space="preserve"> I III) (6</w:t>
      </w:r>
      <w:r w:rsidR="006E4A4C">
        <w:t>-</w:t>
      </w:r>
      <w:r>
        <w:t xml:space="preserve">8 mg/kg/deň kyseliny </w:t>
      </w:r>
      <w:r w:rsidR="001D6F2B">
        <w:t>urzodeo</w:t>
      </w:r>
      <w:r>
        <w:t xml:space="preserve">xycholovej, čo </w:t>
      </w:r>
      <w:r w:rsidR="00F61BA7">
        <w:t>zodpovedá</w:t>
      </w:r>
      <w:r>
        <w:t xml:space="preserve"> približne 2</w:t>
      </w:r>
      <w:r w:rsidR="006E4A4C">
        <w:t>-</w:t>
      </w:r>
      <w:r>
        <w:t>3 kapsul</w:t>
      </w:r>
      <w:r w:rsidR="00F61BA7">
        <w:t>ám</w:t>
      </w:r>
      <w:r>
        <w:t>).</w:t>
      </w:r>
    </w:p>
    <w:p w14:paraId="77E3328E" w14:textId="77777777" w:rsidR="00B2691A" w:rsidRDefault="00B2691A" w:rsidP="00B216ED">
      <w:pPr>
        <w:spacing w:line="240" w:lineRule="auto"/>
      </w:pPr>
    </w:p>
    <w:p w14:paraId="62175E9B" w14:textId="329D52F4" w:rsidR="00B2691A" w:rsidRDefault="00B2691A" w:rsidP="00B216ED">
      <w:pPr>
        <w:spacing w:line="240" w:lineRule="auto"/>
      </w:pPr>
      <w:r>
        <w:t xml:space="preserve">Potom </w:t>
      </w:r>
      <w:r w:rsidR="006E4A4C">
        <w:t>je potrebné riadne sledovať</w:t>
      </w:r>
      <w:r>
        <w:t xml:space="preserve"> funkci</w:t>
      </w:r>
      <w:r w:rsidR="006E4A4C">
        <w:t>u</w:t>
      </w:r>
      <w:r>
        <w:t xml:space="preserve"> pečene niekoľko týždňov (raz za 2 týždne počas 6 týždňov). Ak nedôjde k zhoršeniu funkcie pečene (AP, ALT, AST, </w:t>
      </w:r>
      <w:r w:rsidR="006E4A4C">
        <w:t>G</w:t>
      </w:r>
      <w:r w:rsidR="00F61BA7">
        <w:t>G</w:t>
      </w:r>
      <w:r>
        <w:t xml:space="preserve">T, bilirubín) a ak nedôjde k </w:t>
      </w:r>
      <w:r w:rsidR="006E4A4C">
        <w:t>zhorše</w:t>
      </w:r>
      <w:r>
        <w:t xml:space="preserve">niu svrbenia, môže sa dávka ďalej zvyšovať na obvyklú úroveň. Funkcia pečene by sa však mala opäť dôkladne sledovať niekoľko týždňov. Ak opäť nedôjde k zhoršeniu funkcie pečene, môže pacient dlhodobo </w:t>
      </w:r>
      <w:r w:rsidR="0076162D">
        <w:t>dostávať normálnu udržiavaciu dávku</w:t>
      </w:r>
      <w:r>
        <w:t>.</w:t>
      </w:r>
    </w:p>
    <w:p w14:paraId="3595453D" w14:textId="77777777" w:rsidR="00B2691A" w:rsidRDefault="00B2691A" w:rsidP="00B216ED">
      <w:pPr>
        <w:spacing w:line="240" w:lineRule="auto"/>
      </w:pPr>
    </w:p>
    <w:p w14:paraId="3A8E0256" w14:textId="58843899" w:rsidR="00B2691A" w:rsidRDefault="00B2691A" w:rsidP="00B216ED">
      <w:pPr>
        <w:spacing w:line="240" w:lineRule="auto"/>
      </w:pPr>
      <w:r>
        <w:t xml:space="preserve">Pacienti s primárnou biliárnou cholangitídou (štádium IV) bez zvýšených hladín bilirubínu v sére môžu dostať normálnu </w:t>
      </w:r>
      <w:r w:rsidR="00A35971">
        <w:t>za</w:t>
      </w:r>
      <w:r>
        <w:t>čiatočnú dávku okamžite (pozri dávkov</w:t>
      </w:r>
      <w:r w:rsidR="0076162D">
        <w:t>anie v štádiu</w:t>
      </w:r>
      <w:r>
        <w:t xml:space="preserve"> I</w:t>
      </w:r>
      <w:r w:rsidR="006823E4">
        <w:t>-</w:t>
      </w:r>
      <w:r>
        <w:t>III).</w:t>
      </w:r>
    </w:p>
    <w:p w14:paraId="74FC7A86" w14:textId="77777777" w:rsidR="00B2691A" w:rsidRDefault="00B2691A" w:rsidP="00B216ED">
      <w:pPr>
        <w:spacing w:line="240" w:lineRule="auto"/>
      </w:pPr>
    </w:p>
    <w:p w14:paraId="14F56C5B" w14:textId="198B524E" w:rsidR="00B2691A" w:rsidRDefault="00B2691A" w:rsidP="00B216ED">
      <w:pPr>
        <w:spacing w:line="240" w:lineRule="auto"/>
      </w:pPr>
      <w:r>
        <w:t>V takýchto prípadoch je však rovnako možné použiť dôkladné monitorovanie funkcie pečene, ako je opísané vyššie; liečba PBC sa bude musieť pravidelne hodnotiť na základe parametrov pečene (laboratórn</w:t>
      </w:r>
      <w:bookmarkStart w:id="5" w:name="_GoBack"/>
      <w:bookmarkEnd w:id="5"/>
      <w:r w:rsidR="00A35971">
        <w:t>ych</w:t>
      </w:r>
      <w:r>
        <w:t>) a klinických nálezov.</w:t>
      </w:r>
    </w:p>
    <w:p w14:paraId="264A9456" w14:textId="30465070" w:rsidR="00B2691A" w:rsidRDefault="00B2691A" w:rsidP="00B216ED">
      <w:pPr>
        <w:spacing w:line="240" w:lineRule="auto"/>
      </w:pPr>
      <w:r>
        <w:t xml:space="preserve">Použitie tohto lieku </w:t>
      </w:r>
      <w:r w:rsidR="00A35971">
        <w:t>pri</w:t>
      </w:r>
      <w:r>
        <w:t xml:space="preserve"> PBC nie je časovo obmedzené.</w:t>
      </w:r>
    </w:p>
    <w:p w14:paraId="16296057" w14:textId="77777777" w:rsidR="00B2691A" w:rsidRDefault="00B2691A" w:rsidP="00B216ED">
      <w:pPr>
        <w:spacing w:line="240" w:lineRule="auto"/>
      </w:pPr>
    </w:p>
    <w:p w14:paraId="4C61ACD1" w14:textId="77777777" w:rsidR="00B2691A" w:rsidRPr="00B2691A" w:rsidRDefault="00B2691A" w:rsidP="00B216ED">
      <w:pPr>
        <w:keepNext/>
        <w:spacing w:line="240" w:lineRule="auto"/>
        <w:rPr>
          <w:i/>
        </w:rPr>
      </w:pPr>
      <w:r w:rsidRPr="00B2691A">
        <w:rPr>
          <w:i/>
        </w:rPr>
        <w:t>Pediatrická populácia</w:t>
      </w:r>
    </w:p>
    <w:p w14:paraId="5A2FA524" w14:textId="77777777" w:rsidR="00B2691A" w:rsidRDefault="00B2691A" w:rsidP="00B216ED">
      <w:pPr>
        <w:spacing w:line="240" w:lineRule="auto"/>
      </w:pPr>
    </w:p>
    <w:p w14:paraId="70DF4066" w14:textId="77777777" w:rsidR="00B2691A" w:rsidRDefault="00B2691A" w:rsidP="00B216ED">
      <w:pPr>
        <w:spacing w:line="240" w:lineRule="auto"/>
      </w:pPr>
      <w:r>
        <w:t>Deti a dospievajúci s cystickou fibrózou vo veku 6 až 18 rokov:</w:t>
      </w:r>
    </w:p>
    <w:p w14:paraId="422162E2" w14:textId="14889528" w:rsidR="00B2691A" w:rsidRDefault="00B2691A" w:rsidP="00B216ED">
      <w:pPr>
        <w:spacing w:line="240" w:lineRule="auto"/>
      </w:pPr>
      <w:r>
        <w:lastRenderedPageBreak/>
        <w:t xml:space="preserve">20 mg/kg/deň kyseliny </w:t>
      </w:r>
      <w:r w:rsidR="001D6F2B">
        <w:t>urzodeo</w:t>
      </w:r>
      <w:r>
        <w:t xml:space="preserve">xycholovej v 2 až 3 rozdelených dávkach, </w:t>
      </w:r>
      <w:r w:rsidR="00823C6A">
        <w:t xml:space="preserve">a </w:t>
      </w:r>
      <w:r w:rsidR="006E4A4C">
        <w:t>a</w:t>
      </w:r>
      <w:r w:rsidR="006E4A4C" w:rsidRPr="006E4A4C">
        <w:t xml:space="preserve">k je to potrebné, </w:t>
      </w:r>
      <w:r w:rsidR="006E4A4C">
        <w:t xml:space="preserve">je </w:t>
      </w:r>
      <w:r w:rsidR="006E4A4C" w:rsidRPr="006E4A4C">
        <w:t>možn</w:t>
      </w:r>
      <w:r w:rsidR="006E4A4C">
        <w:t>é</w:t>
      </w:r>
      <w:r w:rsidR="006E4A4C" w:rsidRPr="006E4A4C">
        <w:t xml:space="preserve"> dávku zvýšiť na 30</w:t>
      </w:r>
      <w:r w:rsidR="006823E4">
        <w:t xml:space="preserve"> </w:t>
      </w:r>
      <w:r w:rsidR="006E4A4C" w:rsidRPr="006E4A4C">
        <w:t>mg/kg/deň.</w:t>
      </w:r>
    </w:p>
    <w:p w14:paraId="1B534BAC" w14:textId="1C346B33" w:rsidR="00B2691A" w:rsidRDefault="00B2691A" w:rsidP="00B216ED">
      <w:pPr>
        <w:spacing w:line="240" w:lineRule="auto"/>
      </w:pPr>
    </w:p>
    <w:tbl>
      <w:tblPr>
        <w:tblpPr w:leftFromText="180" w:rightFromText="180" w:vertAnchor="text" w:tblpX="191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2288"/>
        <w:gridCol w:w="1889"/>
        <w:gridCol w:w="1682"/>
        <w:gridCol w:w="1675"/>
      </w:tblGrid>
      <w:tr w:rsidR="006E4A4C" w:rsidRPr="00334E71" w14:paraId="182B0FB9" w14:textId="77777777" w:rsidTr="003265B7">
        <w:trPr>
          <w:trHeight w:val="660"/>
        </w:trPr>
        <w:tc>
          <w:tcPr>
            <w:tcW w:w="1538" w:type="dxa"/>
          </w:tcPr>
          <w:p w14:paraId="24F843E8" w14:textId="6AD5BC24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bookmarkStart w:id="6" w:name="_Hlk36566873"/>
            <w:r>
              <w:rPr>
                <w:b/>
              </w:rPr>
              <w:t>Telesná hmotnosť</w:t>
            </w:r>
          </w:p>
          <w:p w14:paraId="6351DEDD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334E71">
              <w:rPr>
                <w:b/>
              </w:rPr>
              <w:t>(kg)</w:t>
            </w:r>
          </w:p>
        </w:tc>
        <w:tc>
          <w:tcPr>
            <w:tcW w:w="2318" w:type="dxa"/>
          </w:tcPr>
          <w:p w14:paraId="56DFBE58" w14:textId="52CE2E37" w:rsidR="00B2691A" w:rsidRPr="00334E71" w:rsidRDefault="006E4A4C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Denná dávka</w:t>
            </w:r>
            <w:r w:rsidR="00B2691A" w:rsidRPr="00334E71">
              <w:rPr>
                <w:b/>
                <w:bCs/>
                <w:color w:val="000000"/>
              </w:rPr>
              <w:t xml:space="preserve"> (mg/kg</w:t>
            </w:r>
          </w:p>
          <w:p w14:paraId="60960BAF" w14:textId="17A60348" w:rsidR="00B2691A" w:rsidRPr="00334E71" w:rsidRDefault="006E4A4C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telesnej hmotnosti</w:t>
            </w:r>
            <w:r w:rsidR="00B2691A" w:rsidRPr="00334E71">
              <w:rPr>
                <w:b/>
                <w:bCs/>
                <w:color w:val="000000"/>
              </w:rPr>
              <w:t>)</w:t>
            </w:r>
          </w:p>
          <w:p w14:paraId="774B30FB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5324" w:type="dxa"/>
            <w:gridSpan w:val="3"/>
          </w:tcPr>
          <w:p w14:paraId="1AA3096B" w14:textId="0B40EEFF" w:rsidR="00B2691A" w:rsidRPr="00935967" w:rsidRDefault="006E4A4C" w:rsidP="00B216ED">
            <w:pPr>
              <w:spacing w:line="240" w:lineRule="auto"/>
              <w:jc w:val="center"/>
              <w:rPr>
                <w:b/>
                <w:noProof/>
              </w:rPr>
            </w:pPr>
            <w:r>
              <w:rPr>
                <w:b/>
                <w:szCs w:val="24"/>
              </w:rPr>
              <w:t>U</w:t>
            </w:r>
            <w:r w:rsidR="00F830C7">
              <w:rPr>
                <w:b/>
                <w:szCs w:val="24"/>
              </w:rPr>
              <w:t>rsogrix</w:t>
            </w:r>
            <w:r w:rsidR="00B2691A" w:rsidRPr="00055209">
              <w:rPr>
                <w:b/>
                <w:szCs w:val="24"/>
              </w:rPr>
              <w:t xml:space="preserve"> </w:t>
            </w:r>
            <w:r w:rsidR="00B2691A" w:rsidRPr="00935967">
              <w:rPr>
                <w:b/>
                <w:noProof/>
              </w:rPr>
              <w:t xml:space="preserve">250 mg </w:t>
            </w:r>
            <w:r>
              <w:rPr>
                <w:b/>
                <w:noProof/>
              </w:rPr>
              <w:t>tvrdé kapsuly</w:t>
            </w:r>
          </w:p>
          <w:p w14:paraId="7BAD07A3" w14:textId="77777777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  <w:p w14:paraId="380AFA24" w14:textId="77777777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</w:tr>
      <w:tr w:rsidR="006E4A4C" w:rsidRPr="00334E71" w14:paraId="62919CB9" w14:textId="77777777" w:rsidTr="003265B7">
        <w:trPr>
          <w:trHeight w:val="382"/>
        </w:trPr>
        <w:tc>
          <w:tcPr>
            <w:tcW w:w="1538" w:type="dxa"/>
          </w:tcPr>
          <w:p w14:paraId="4706DB1D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318" w:type="dxa"/>
          </w:tcPr>
          <w:p w14:paraId="6D10B622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22" w:type="dxa"/>
          </w:tcPr>
          <w:p w14:paraId="352824F2" w14:textId="49D7B256" w:rsidR="00B2691A" w:rsidRPr="00334E71" w:rsidRDefault="006E4A4C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Ráno</w:t>
            </w:r>
          </w:p>
        </w:tc>
        <w:tc>
          <w:tcPr>
            <w:tcW w:w="1701" w:type="dxa"/>
          </w:tcPr>
          <w:p w14:paraId="601E35A6" w14:textId="5ADD3EBB" w:rsidR="00B2691A" w:rsidRPr="00334E71" w:rsidRDefault="00823C6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Poobede</w:t>
            </w:r>
          </w:p>
        </w:tc>
        <w:tc>
          <w:tcPr>
            <w:tcW w:w="1701" w:type="dxa"/>
          </w:tcPr>
          <w:p w14:paraId="01FD0410" w14:textId="5D7A58D8" w:rsidR="00B2691A" w:rsidRPr="00334E71" w:rsidRDefault="006E4A4C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Večer</w:t>
            </w:r>
          </w:p>
        </w:tc>
      </w:tr>
      <w:tr w:rsidR="006E4A4C" w:rsidRPr="00334E71" w14:paraId="6BDCDAA5" w14:textId="77777777" w:rsidTr="003265B7">
        <w:trPr>
          <w:trHeight w:val="382"/>
        </w:trPr>
        <w:tc>
          <w:tcPr>
            <w:tcW w:w="1538" w:type="dxa"/>
          </w:tcPr>
          <w:p w14:paraId="073646EB" w14:textId="77777777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20</w:t>
            </w:r>
            <w:r>
              <w:noBreakHyphen/>
            </w:r>
            <w:r w:rsidRPr="00935967">
              <w:t>29</w:t>
            </w:r>
          </w:p>
        </w:tc>
        <w:tc>
          <w:tcPr>
            <w:tcW w:w="2318" w:type="dxa"/>
          </w:tcPr>
          <w:p w14:paraId="484B6A74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17</w:t>
            </w:r>
            <w:r>
              <w:rPr>
                <w:bCs/>
                <w:color w:val="000000"/>
              </w:rPr>
              <w:noBreakHyphen/>
            </w:r>
            <w:r w:rsidRPr="00334E71">
              <w:rPr>
                <w:bCs/>
                <w:color w:val="000000"/>
              </w:rPr>
              <w:t>25</w:t>
            </w:r>
          </w:p>
        </w:tc>
        <w:tc>
          <w:tcPr>
            <w:tcW w:w="1922" w:type="dxa"/>
          </w:tcPr>
          <w:p w14:paraId="103FD01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14:paraId="7B1FB88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--</w:t>
            </w:r>
          </w:p>
        </w:tc>
        <w:tc>
          <w:tcPr>
            <w:tcW w:w="1701" w:type="dxa"/>
          </w:tcPr>
          <w:p w14:paraId="0AF81F7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</w:t>
            </w:r>
          </w:p>
        </w:tc>
      </w:tr>
      <w:tr w:rsidR="006E4A4C" w:rsidRPr="00334E71" w14:paraId="49BEADF5" w14:textId="77777777" w:rsidTr="003265B7">
        <w:trPr>
          <w:trHeight w:val="382"/>
        </w:trPr>
        <w:tc>
          <w:tcPr>
            <w:tcW w:w="1538" w:type="dxa"/>
          </w:tcPr>
          <w:p w14:paraId="12BCDCC9" w14:textId="77777777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30</w:t>
            </w:r>
            <w:r>
              <w:noBreakHyphen/>
            </w:r>
            <w:r w:rsidRPr="00935967">
              <w:t>39</w:t>
            </w:r>
          </w:p>
        </w:tc>
        <w:tc>
          <w:tcPr>
            <w:tcW w:w="2318" w:type="dxa"/>
          </w:tcPr>
          <w:p w14:paraId="726ED3C6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19</w:t>
            </w:r>
            <w:r>
              <w:rPr>
                <w:bCs/>
                <w:color w:val="000000"/>
              </w:rPr>
              <w:noBreakHyphen/>
            </w:r>
            <w:r w:rsidRPr="00334E71">
              <w:rPr>
                <w:bCs/>
                <w:color w:val="000000"/>
              </w:rPr>
              <w:t>25</w:t>
            </w:r>
          </w:p>
        </w:tc>
        <w:tc>
          <w:tcPr>
            <w:tcW w:w="1922" w:type="dxa"/>
          </w:tcPr>
          <w:p w14:paraId="20BF3B15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14:paraId="634A5AAF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14:paraId="3685E569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</w:t>
            </w:r>
          </w:p>
        </w:tc>
      </w:tr>
      <w:tr w:rsidR="006E4A4C" w:rsidRPr="00334E71" w14:paraId="7CFA8343" w14:textId="77777777" w:rsidTr="003265B7">
        <w:trPr>
          <w:trHeight w:val="382"/>
        </w:trPr>
        <w:tc>
          <w:tcPr>
            <w:tcW w:w="1538" w:type="dxa"/>
          </w:tcPr>
          <w:p w14:paraId="33246E6A" w14:textId="3CCDBEDD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40</w:t>
            </w:r>
            <w:r>
              <w:noBreakHyphen/>
            </w:r>
            <w:r w:rsidRPr="00935967">
              <w:t>49</w:t>
            </w:r>
          </w:p>
        </w:tc>
        <w:tc>
          <w:tcPr>
            <w:tcW w:w="2318" w:type="dxa"/>
          </w:tcPr>
          <w:p w14:paraId="17ACAD41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noBreakHyphen/>
            </w:r>
            <w:r w:rsidRPr="00334E71">
              <w:rPr>
                <w:bCs/>
                <w:color w:val="000000"/>
              </w:rPr>
              <w:t>25</w:t>
            </w:r>
          </w:p>
        </w:tc>
        <w:tc>
          <w:tcPr>
            <w:tcW w:w="1922" w:type="dxa"/>
          </w:tcPr>
          <w:p w14:paraId="567F5ACC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14:paraId="6ECB292F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14:paraId="02F7F18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</w:t>
            </w:r>
          </w:p>
        </w:tc>
      </w:tr>
      <w:tr w:rsidR="006E4A4C" w:rsidRPr="00334E71" w14:paraId="137A6594" w14:textId="77777777" w:rsidTr="003265B7">
        <w:trPr>
          <w:trHeight w:val="382"/>
        </w:trPr>
        <w:tc>
          <w:tcPr>
            <w:tcW w:w="1538" w:type="dxa"/>
          </w:tcPr>
          <w:p w14:paraId="318AA7C4" w14:textId="3C200B63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50</w:t>
            </w:r>
            <w:r>
              <w:noBreakHyphen/>
            </w:r>
            <w:r w:rsidRPr="00935967">
              <w:t>59</w:t>
            </w:r>
          </w:p>
        </w:tc>
        <w:tc>
          <w:tcPr>
            <w:tcW w:w="2318" w:type="dxa"/>
          </w:tcPr>
          <w:p w14:paraId="2F52CF83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noBreakHyphen/>
            </w:r>
            <w:r w:rsidRPr="00334E71">
              <w:rPr>
                <w:bCs/>
                <w:color w:val="000000"/>
              </w:rPr>
              <w:t>25</w:t>
            </w:r>
          </w:p>
        </w:tc>
        <w:tc>
          <w:tcPr>
            <w:tcW w:w="1922" w:type="dxa"/>
          </w:tcPr>
          <w:p w14:paraId="16EFAF1B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1</w:t>
            </w:r>
          </w:p>
        </w:tc>
        <w:tc>
          <w:tcPr>
            <w:tcW w:w="1701" w:type="dxa"/>
          </w:tcPr>
          <w:p w14:paraId="041D6279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14:paraId="76577041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</w:t>
            </w:r>
          </w:p>
        </w:tc>
      </w:tr>
      <w:tr w:rsidR="006E4A4C" w:rsidRPr="00334E71" w14:paraId="0B124393" w14:textId="77777777" w:rsidTr="003265B7">
        <w:trPr>
          <w:trHeight w:val="382"/>
        </w:trPr>
        <w:tc>
          <w:tcPr>
            <w:tcW w:w="1538" w:type="dxa"/>
          </w:tcPr>
          <w:p w14:paraId="59978AE6" w14:textId="3461AC68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60</w:t>
            </w:r>
            <w:r>
              <w:noBreakHyphen/>
            </w:r>
            <w:r w:rsidRPr="00935967">
              <w:t>69</w:t>
            </w:r>
          </w:p>
        </w:tc>
        <w:tc>
          <w:tcPr>
            <w:tcW w:w="2318" w:type="dxa"/>
          </w:tcPr>
          <w:p w14:paraId="25B872DF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22</w:t>
            </w:r>
            <w:r>
              <w:rPr>
                <w:bCs/>
                <w:color w:val="000000"/>
              </w:rPr>
              <w:noBreakHyphen/>
            </w:r>
            <w:r w:rsidRPr="00334E71">
              <w:rPr>
                <w:bCs/>
                <w:color w:val="000000"/>
              </w:rPr>
              <w:t>25</w:t>
            </w:r>
          </w:p>
        </w:tc>
        <w:tc>
          <w:tcPr>
            <w:tcW w:w="1922" w:type="dxa"/>
          </w:tcPr>
          <w:p w14:paraId="301B9C45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14:paraId="2E46D2F1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14:paraId="6E173327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</w:t>
            </w:r>
          </w:p>
        </w:tc>
      </w:tr>
      <w:tr w:rsidR="006E4A4C" w:rsidRPr="00334E71" w14:paraId="0F640F4C" w14:textId="77777777" w:rsidTr="003265B7">
        <w:trPr>
          <w:trHeight w:val="382"/>
        </w:trPr>
        <w:tc>
          <w:tcPr>
            <w:tcW w:w="1538" w:type="dxa"/>
          </w:tcPr>
          <w:p w14:paraId="56B7212A" w14:textId="221FEAA6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70</w:t>
            </w:r>
            <w:r>
              <w:noBreakHyphen/>
            </w:r>
            <w:r w:rsidRPr="00935967">
              <w:t>79</w:t>
            </w:r>
          </w:p>
        </w:tc>
        <w:tc>
          <w:tcPr>
            <w:tcW w:w="2318" w:type="dxa"/>
          </w:tcPr>
          <w:p w14:paraId="4A801C07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22</w:t>
            </w:r>
            <w:r>
              <w:rPr>
                <w:bCs/>
                <w:color w:val="000000"/>
              </w:rPr>
              <w:noBreakHyphen/>
            </w:r>
            <w:r w:rsidRPr="00334E71">
              <w:rPr>
                <w:bCs/>
                <w:color w:val="000000"/>
              </w:rPr>
              <w:t>25</w:t>
            </w:r>
          </w:p>
        </w:tc>
        <w:tc>
          <w:tcPr>
            <w:tcW w:w="1922" w:type="dxa"/>
          </w:tcPr>
          <w:p w14:paraId="2FC0153B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14:paraId="76FB465B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14:paraId="20C70DAB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3</w:t>
            </w:r>
          </w:p>
        </w:tc>
      </w:tr>
      <w:tr w:rsidR="006E4A4C" w:rsidRPr="00334E71" w14:paraId="3D3C98BF" w14:textId="77777777" w:rsidTr="003265B7">
        <w:trPr>
          <w:trHeight w:val="382"/>
        </w:trPr>
        <w:tc>
          <w:tcPr>
            <w:tcW w:w="1538" w:type="dxa"/>
          </w:tcPr>
          <w:p w14:paraId="0CAB969A" w14:textId="3D79A61E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80</w:t>
            </w:r>
            <w:r>
              <w:noBreakHyphen/>
            </w:r>
            <w:r w:rsidRPr="00935967">
              <w:t>89</w:t>
            </w:r>
          </w:p>
        </w:tc>
        <w:tc>
          <w:tcPr>
            <w:tcW w:w="2318" w:type="dxa"/>
          </w:tcPr>
          <w:p w14:paraId="2DBD4A11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22</w:t>
            </w:r>
            <w:r>
              <w:rPr>
                <w:bCs/>
                <w:color w:val="000000"/>
              </w:rPr>
              <w:noBreakHyphen/>
            </w:r>
            <w:r w:rsidRPr="00334E71">
              <w:rPr>
                <w:bCs/>
                <w:color w:val="000000"/>
              </w:rPr>
              <w:t>25</w:t>
            </w:r>
          </w:p>
        </w:tc>
        <w:tc>
          <w:tcPr>
            <w:tcW w:w="1922" w:type="dxa"/>
          </w:tcPr>
          <w:p w14:paraId="51CF49E3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</w:tcPr>
          <w:p w14:paraId="18526FE5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14:paraId="2D9B6348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3</w:t>
            </w:r>
          </w:p>
        </w:tc>
      </w:tr>
      <w:tr w:rsidR="006E4A4C" w:rsidRPr="00334E71" w14:paraId="32B9D685" w14:textId="77777777" w:rsidTr="003265B7">
        <w:trPr>
          <w:trHeight w:val="382"/>
        </w:trPr>
        <w:tc>
          <w:tcPr>
            <w:tcW w:w="1538" w:type="dxa"/>
          </w:tcPr>
          <w:p w14:paraId="58BCBE30" w14:textId="7EE68F22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90</w:t>
            </w:r>
            <w:r>
              <w:noBreakHyphen/>
            </w:r>
            <w:r w:rsidRPr="00935967">
              <w:t>99</w:t>
            </w:r>
          </w:p>
        </w:tc>
        <w:tc>
          <w:tcPr>
            <w:tcW w:w="2318" w:type="dxa"/>
          </w:tcPr>
          <w:p w14:paraId="5BD9195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23</w:t>
            </w:r>
            <w:r>
              <w:rPr>
                <w:bCs/>
                <w:color w:val="000000"/>
              </w:rPr>
              <w:noBreakHyphen/>
            </w:r>
            <w:r w:rsidRPr="00334E71">
              <w:rPr>
                <w:bCs/>
                <w:color w:val="000000"/>
              </w:rPr>
              <w:t>25</w:t>
            </w:r>
          </w:p>
        </w:tc>
        <w:tc>
          <w:tcPr>
            <w:tcW w:w="1922" w:type="dxa"/>
          </w:tcPr>
          <w:p w14:paraId="32AF1480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14:paraId="01B234D1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14:paraId="2CA0DFE3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3</w:t>
            </w:r>
          </w:p>
        </w:tc>
      </w:tr>
      <w:tr w:rsidR="006E4A4C" w:rsidRPr="00334E71" w14:paraId="75AD7611" w14:textId="77777777" w:rsidTr="003265B7">
        <w:trPr>
          <w:trHeight w:val="382"/>
        </w:trPr>
        <w:tc>
          <w:tcPr>
            <w:tcW w:w="1538" w:type="dxa"/>
          </w:tcPr>
          <w:p w14:paraId="1E6768A3" w14:textId="6E0DFB11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100</w:t>
            </w:r>
            <w:r>
              <w:noBreakHyphen/>
            </w:r>
            <w:r w:rsidRPr="00935967">
              <w:t>109</w:t>
            </w:r>
          </w:p>
        </w:tc>
        <w:tc>
          <w:tcPr>
            <w:tcW w:w="2318" w:type="dxa"/>
          </w:tcPr>
          <w:p w14:paraId="0025F129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23</w:t>
            </w:r>
            <w:r>
              <w:rPr>
                <w:bCs/>
                <w:color w:val="000000"/>
              </w:rPr>
              <w:noBreakHyphen/>
            </w:r>
            <w:r w:rsidRPr="00334E71">
              <w:rPr>
                <w:bCs/>
                <w:color w:val="000000"/>
              </w:rPr>
              <w:t>25</w:t>
            </w:r>
          </w:p>
        </w:tc>
        <w:tc>
          <w:tcPr>
            <w:tcW w:w="1922" w:type="dxa"/>
          </w:tcPr>
          <w:p w14:paraId="4AA1715C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14:paraId="2E86AA7F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14:paraId="7F47845A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4</w:t>
            </w:r>
          </w:p>
        </w:tc>
      </w:tr>
      <w:tr w:rsidR="006E4A4C" w:rsidRPr="00334E71" w14:paraId="383490BC" w14:textId="77777777" w:rsidTr="00B93597">
        <w:trPr>
          <w:trHeight w:val="267"/>
        </w:trPr>
        <w:tc>
          <w:tcPr>
            <w:tcW w:w="1538" w:type="dxa"/>
          </w:tcPr>
          <w:p w14:paraId="1A97504E" w14:textId="77777777" w:rsidR="00B2691A" w:rsidRPr="00935967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935967">
              <w:t>&gt;110</w:t>
            </w:r>
          </w:p>
        </w:tc>
        <w:tc>
          <w:tcPr>
            <w:tcW w:w="2318" w:type="dxa"/>
          </w:tcPr>
          <w:p w14:paraId="39F089F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922" w:type="dxa"/>
          </w:tcPr>
          <w:p w14:paraId="5BEA9DF4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3</w:t>
            </w:r>
          </w:p>
        </w:tc>
        <w:tc>
          <w:tcPr>
            <w:tcW w:w="1701" w:type="dxa"/>
          </w:tcPr>
          <w:p w14:paraId="52BA7AD2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</w:tcPr>
          <w:p w14:paraId="5706BAAE" w14:textId="77777777" w:rsidR="00B2691A" w:rsidRPr="00334E71" w:rsidRDefault="00B2691A" w:rsidP="00B216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 w:rsidRPr="00334E71">
              <w:rPr>
                <w:bCs/>
                <w:color w:val="000000"/>
              </w:rPr>
              <w:t>4</w:t>
            </w:r>
          </w:p>
        </w:tc>
      </w:tr>
      <w:bookmarkEnd w:id="6"/>
    </w:tbl>
    <w:p w14:paraId="22013FC6" w14:textId="77777777" w:rsidR="00B2691A" w:rsidRDefault="00B2691A" w:rsidP="00B216ED">
      <w:pPr>
        <w:spacing w:line="240" w:lineRule="auto"/>
      </w:pPr>
    </w:p>
    <w:p w14:paraId="20D9DA5C" w14:textId="77777777" w:rsidR="009921E6" w:rsidRPr="00BF5AB0" w:rsidRDefault="009921E6" w:rsidP="00B216ED">
      <w:pPr>
        <w:spacing w:line="240" w:lineRule="auto"/>
        <w:rPr>
          <w:u w:val="single"/>
        </w:rPr>
      </w:pPr>
    </w:p>
    <w:p w14:paraId="609ACE71" w14:textId="77777777" w:rsidR="00812D16" w:rsidRPr="00085939" w:rsidRDefault="0091265E" w:rsidP="00B216ED">
      <w:pPr>
        <w:keepNext/>
        <w:spacing w:line="240" w:lineRule="auto"/>
        <w:rPr>
          <w:u w:val="single"/>
        </w:rPr>
      </w:pPr>
      <w:r w:rsidRPr="00891D76">
        <w:rPr>
          <w:u w:val="single"/>
        </w:rPr>
        <w:t>Spôsob podávania</w:t>
      </w:r>
    </w:p>
    <w:p w14:paraId="2DEEA8C8" w14:textId="77777777" w:rsidR="00812D16" w:rsidRPr="0076162D" w:rsidRDefault="00812D16" w:rsidP="00B216ED">
      <w:pPr>
        <w:spacing w:line="240" w:lineRule="auto"/>
      </w:pPr>
    </w:p>
    <w:p w14:paraId="7C06E6D4" w14:textId="77777777" w:rsidR="0076162D" w:rsidRPr="0076162D" w:rsidRDefault="0076162D" w:rsidP="00B216ED">
      <w:pPr>
        <w:spacing w:line="240" w:lineRule="auto"/>
      </w:pPr>
      <w:r w:rsidRPr="0076162D">
        <w:t>Na perorálne použitie.</w:t>
      </w:r>
    </w:p>
    <w:p w14:paraId="2FD25B16" w14:textId="77777777" w:rsidR="0076162D" w:rsidRPr="0076162D" w:rsidRDefault="0076162D" w:rsidP="00B216ED">
      <w:pPr>
        <w:spacing w:line="240" w:lineRule="auto"/>
      </w:pPr>
    </w:p>
    <w:p w14:paraId="33FD2F70" w14:textId="1906FB63" w:rsidR="0076162D" w:rsidRPr="0076162D" w:rsidRDefault="0076162D" w:rsidP="00B216ED">
      <w:pPr>
        <w:spacing w:line="240" w:lineRule="auto"/>
      </w:pPr>
      <w:r w:rsidRPr="0076162D">
        <w:t>Kapsuly sa majú prehltnúť celé a zapiť tekutin</w:t>
      </w:r>
      <w:r w:rsidR="00161E49">
        <w:t>ou</w:t>
      </w:r>
      <w:r w:rsidRPr="0076162D">
        <w:t>. Tento liek by sa mal užívať pravidelne.</w:t>
      </w:r>
    </w:p>
    <w:p w14:paraId="457E1D29" w14:textId="15252CEB" w:rsidR="0076162D" w:rsidRPr="0076162D" w:rsidRDefault="0076162D" w:rsidP="00B216ED">
      <w:pPr>
        <w:spacing w:line="240" w:lineRule="auto"/>
      </w:pPr>
      <w:r w:rsidRPr="0076162D">
        <w:t>Ak má pacient vzhľadom na veľkosť kapsuly ťažkosti s prehĺtaním, kapsula sa v</w:t>
      </w:r>
      <w:r>
        <w:t xml:space="preserve"> </w:t>
      </w:r>
      <w:r w:rsidRPr="0076162D">
        <w:t>prípade potreby môže otvoriť a obsah pridať napríklad do jogurtu.</w:t>
      </w:r>
    </w:p>
    <w:p w14:paraId="3B80CF8C" w14:textId="77777777" w:rsidR="00812D16" w:rsidRPr="00A72672" w:rsidRDefault="00812D16" w:rsidP="00B216ED">
      <w:pPr>
        <w:spacing w:line="240" w:lineRule="auto"/>
      </w:pPr>
    </w:p>
    <w:p w14:paraId="57A6FDBC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Kontra</w:t>
      </w:r>
      <w:r w:rsidRPr="00914289">
        <w:rPr>
          <w:b/>
        </w:rPr>
        <w:t>indi</w:t>
      </w:r>
      <w:r w:rsidRPr="00BF5AB0">
        <w:rPr>
          <w:b/>
        </w:rPr>
        <w:t>kácie</w:t>
      </w:r>
    </w:p>
    <w:p w14:paraId="3C60EC5D" w14:textId="6317F699" w:rsidR="00812D16" w:rsidRDefault="00812D16" w:rsidP="00B216ED">
      <w:pPr>
        <w:spacing w:line="240" w:lineRule="auto"/>
      </w:pPr>
    </w:p>
    <w:p w14:paraId="0BB9D8A1" w14:textId="29648CF7" w:rsidR="0076162D" w:rsidRDefault="0076162D" w:rsidP="00B216ED">
      <w:pPr>
        <w:pStyle w:val="Odsekzoznamu"/>
        <w:numPr>
          <w:ilvl w:val="0"/>
          <w:numId w:val="16"/>
        </w:numPr>
        <w:spacing w:line="240" w:lineRule="auto"/>
        <w:ind w:left="567" w:hanging="567"/>
      </w:pPr>
      <w:r>
        <w:t>Precitlivenosť na liečivo, žlčové kyseliny alebo na ktorúkoľvek z pomocných látok uvedených v časti 6.1;</w:t>
      </w:r>
    </w:p>
    <w:p w14:paraId="7505C52D" w14:textId="2ABDA516" w:rsidR="00B93597" w:rsidRPr="00B93597" w:rsidRDefault="00B93597" w:rsidP="00B216ED">
      <w:pPr>
        <w:pStyle w:val="Odsekzoznamu"/>
        <w:numPr>
          <w:ilvl w:val="0"/>
          <w:numId w:val="16"/>
        </w:numPr>
        <w:ind w:left="567" w:hanging="567"/>
        <w:rPr>
          <w:bCs/>
          <w:szCs w:val="22"/>
        </w:rPr>
      </w:pPr>
      <w:r w:rsidRPr="00B93597">
        <w:rPr>
          <w:bCs/>
          <w:szCs w:val="22"/>
        </w:rPr>
        <w:t>akútny zápal žlčníka alebo žlčových ciest</w:t>
      </w:r>
      <w:r>
        <w:rPr>
          <w:bCs/>
          <w:szCs w:val="22"/>
        </w:rPr>
        <w:t>;</w:t>
      </w:r>
    </w:p>
    <w:p w14:paraId="796A3313" w14:textId="53B97913" w:rsidR="00B93597" w:rsidRPr="00B93597" w:rsidRDefault="00B93597" w:rsidP="00B216ED">
      <w:pPr>
        <w:pStyle w:val="Odsekzoznamu"/>
        <w:numPr>
          <w:ilvl w:val="0"/>
          <w:numId w:val="16"/>
        </w:numPr>
        <w:ind w:left="567" w:hanging="567"/>
        <w:rPr>
          <w:bCs/>
          <w:szCs w:val="22"/>
        </w:rPr>
      </w:pPr>
      <w:r w:rsidRPr="00B93597">
        <w:rPr>
          <w:bCs/>
          <w:szCs w:val="22"/>
        </w:rPr>
        <w:t>obštrukci</w:t>
      </w:r>
      <w:r>
        <w:rPr>
          <w:bCs/>
          <w:szCs w:val="22"/>
        </w:rPr>
        <w:t>a</w:t>
      </w:r>
      <w:r w:rsidRPr="00B93597">
        <w:rPr>
          <w:bCs/>
          <w:szCs w:val="22"/>
        </w:rPr>
        <w:t xml:space="preserve"> žlčových ciest (obštrukcia </w:t>
      </w:r>
      <w:r w:rsidR="00FB787E">
        <w:rPr>
          <w:bCs/>
          <w:szCs w:val="22"/>
        </w:rPr>
        <w:t>hlavného žlčovodu</w:t>
      </w:r>
      <w:r w:rsidRPr="00B93597">
        <w:rPr>
          <w:bCs/>
          <w:szCs w:val="22"/>
        </w:rPr>
        <w:t xml:space="preserve"> a</w:t>
      </w:r>
      <w:r w:rsidR="00FB787E">
        <w:rPr>
          <w:bCs/>
          <w:szCs w:val="22"/>
        </w:rPr>
        <w:t> vývodu žlčníka</w:t>
      </w:r>
      <w:r w:rsidRPr="00B93597">
        <w:rPr>
          <w:bCs/>
          <w:szCs w:val="22"/>
        </w:rPr>
        <w:t>)</w:t>
      </w:r>
      <w:r>
        <w:rPr>
          <w:bCs/>
          <w:szCs w:val="22"/>
        </w:rPr>
        <w:t>;</w:t>
      </w:r>
    </w:p>
    <w:p w14:paraId="7A36571C" w14:textId="38297F95" w:rsidR="00B93597" w:rsidRPr="00B93597" w:rsidRDefault="00FB787E" w:rsidP="00B216ED">
      <w:pPr>
        <w:pStyle w:val="Odsekzoznamu"/>
        <w:numPr>
          <w:ilvl w:val="0"/>
          <w:numId w:val="16"/>
        </w:numPr>
        <w:ind w:left="567" w:hanging="567"/>
        <w:rPr>
          <w:bCs/>
          <w:szCs w:val="22"/>
        </w:rPr>
      </w:pPr>
      <w:r>
        <w:rPr>
          <w:bCs/>
          <w:szCs w:val="22"/>
        </w:rPr>
        <w:t>opakované</w:t>
      </w:r>
      <w:r w:rsidR="00B93597">
        <w:rPr>
          <w:bCs/>
          <w:szCs w:val="22"/>
        </w:rPr>
        <w:t xml:space="preserve"> </w:t>
      </w:r>
      <w:r w:rsidR="00B93597" w:rsidRPr="00B93597">
        <w:rPr>
          <w:bCs/>
          <w:szCs w:val="22"/>
        </w:rPr>
        <w:t>záchvat</w:t>
      </w:r>
      <w:r w:rsidR="00B93597">
        <w:rPr>
          <w:bCs/>
          <w:szCs w:val="22"/>
        </w:rPr>
        <w:t>y</w:t>
      </w:r>
      <w:r w:rsidR="00B93597" w:rsidRPr="00B93597">
        <w:rPr>
          <w:bCs/>
          <w:szCs w:val="22"/>
        </w:rPr>
        <w:t xml:space="preserve"> žlčníkovej koliky</w:t>
      </w:r>
      <w:r w:rsidR="00B93597">
        <w:rPr>
          <w:bCs/>
          <w:szCs w:val="22"/>
        </w:rPr>
        <w:t>;</w:t>
      </w:r>
    </w:p>
    <w:p w14:paraId="11B8CD14" w14:textId="29CE84FC" w:rsidR="00B93597" w:rsidRPr="00B93597" w:rsidRDefault="00B93597" w:rsidP="00B216ED">
      <w:pPr>
        <w:pStyle w:val="Odsekzoznamu"/>
        <w:numPr>
          <w:ilvl w:val="0"/>
          <w:numId w:val="16"/>
        </w:numPr>
        <w:ind w:left="567" w:hanging="567"/>
        <w:rPr>
          <w:bCs/>
          <w:szCs w:val="22"/>
        </w:rPr>
      </w:pPr>
      <w:r w:rsidRPr="00B93597">
        <w:rPr>
          <w:bCs/>
          <w:szCs w:val="22"/>
        </w:rPr>
        <w:t xml:space="preserve">rádiologicky </w:t>
      </w:r>
      <w:r w:rsidR="00FB787E">
        <w:rPr>
          <w:bCs/>
          <w:szCs w:val="22"/>
        </w:rPr>
        <w:t>kontrastné</w:t>
      </w:r>
      <w:r w:rsidRPr="00B93597">
        <w:rPr>
          <w:bCs/>
          <w:szCs w:val="22"/>
        </w:rPr>
        <w:t xml:space="preserve"> kalcifikovan</w:t>
      </w:r>
      <w:r>
        <w:rPr>
          <w:bCs/>
          <w:szCs w:val="22"/>
        </w:rPr>
        <w:t>é</w:t>
      </w:r>
      <w:r w:rsidRPr="00B93597">
        <w:rPr>
          <w:bCs/>
          <w:szCs w:val="22"/>
        </w:rPr>
        <w:t xml:space="preserve"> žlčníkov</w:t>
      </w:r>
      <w:r>
        <w:rPr>
          <w:bCs/>
          <w:szCs w:val="22"/>
        </w:rPr>
        <w:t>é</w:t>
      </w:r>
      <w:r w:rsidRPr="00B93597">
        <w:rPr>
          <w:bCs/>
          <w:szCs w:val="22"/>
        </w:rPr>
        <w:t xml:space="preserve"> kame</w:t>
      </w:r>
      <w:r>
        <w:rPr>
          <w:bCs/>
          <w:szCs w:val="22"/>
        </w:rPr>
        <w:t>ne;</w:t>
      </w:r>
      <w:r w:rsidRPr="00B93597">
        <w:rPr>
          <w:bCs/>
          <w:szCs w:val="22"/>
        </w:rPr>
        <w:t xml:space="preserve"> </w:t>
      </w:r>
    </w:p>
    <w:p w14:paraId="74C7B356" w14:textId="455B3D52" w:rsidR="0076162D" w:rsidRDefault="00B93597" w:rsidP="00B216ED">
      <w:pPr>
        <w:pStyle w:val="Odsekzoznamu"/>
        <w:numPr>
          <w:ilvl w:val="0"/>
          <w:numId w:val="16"/>
        </w:numPr>
        <w:spacing w:line="240" w:lineRule="auto"/>
        <w:ind w:left="567" w:hanging="567"/>
      </w:pPr>
      <w:r w:rsidRPr="00B93597">
        <w:rPr>
          <w:bCs/>
          <w:szCs w:val="22"/>
        </w:rPr>
        <w:t>narušen</w:t>
      </w:r>
      <w:r>
        <w:rPr>
          <w:bCs/>
          <w:szCs w:val="22"/>
        </w:rPr>
        <w:t>á</w:t>
      </w:r>
      <w:r w:rsidRPr="00B93597">
        <w:rPr>
          <w:bCs/>
          <w:szCs w:val="22"/>
        </w:rPr>
        <w:t xml:space="preserve"> kontraktilit</w:t>
      </w:r>
      <w:r>
        <w:rPr>
          <w:bCs/>
          <w:szCs w:val="22"/>
        </w:rPr>
        <w:t>a</w:t>
      </w:r>
      <w:r w:rsidRPr="00B93597">
        <w:rPr>
          <w:bCs/>
          <w:szCs w:val="22"/>
        </w:rPr>
        <w:t xml:space="preserve"> žlčníka</w:t>
      </w:r>
      <w:r>
        <w:rPr>
          <w:bCs/>
          <w:szCs w:val="22"/>
        </w:rPr>
        <w:t>.</w:t>
      </w:r>
    </w:p>
    <w:p w14:paraId="672CCA93" w14:textId="77777777" w:rsidR="00B93597" w:rsidRDefault="00B93597" w:rsidP="00B216ED">
      <w:pPr>
        <w:spacing w:line="240" w:lineRule="auto"/>
        <w:rPr>
          <w:u w:val="single"/>
        </w:rPr>
      </w:pPr>
    </w:p>
    <w:p w14:paraId="2C37E9D9" w14:textId="78F842EF" w:rsidR="0076162D" w:rsidRPr="0076162D" w:rsidRDefault="0076162D" w:rsidP="00B216ED">
      <w:pPr>
        <w:spacing w:line="240" w:lineRule="auto"/>
        <w:rPr>
          <w:u w:val="single"/>
        </w:rPr>
      </w:pPr>
      <w:r w:rsidRPr="0076162D">
        <w:rPr>
          <w:u w:val="single"/>
        </w:rPr>
        <w:t>Pediatrická populácia:</w:t>
      </w:r>
    </w:p>
    <w:p w14:paraId="295C341C" w14:textId="3BDF1A14" w:rsidR="0076162D" w:rsidRDefault="0076162D" w:rsidP="00B216ED">
      <w:pPr>
        <w:pStyle w:val="Odsekzoznamu"/>
        <w:numPr>
          <w:ilvl w:val="0"/>
          <w:numId w:val="16"/>
        </w:numPr>
        <w:spacing w:line="240" w:lineRule="auto"/>
        <w:ind w:left="567" w:hanging="567"/>
      </w:pPr>
      <w:r>
        <w:t>neúspešná portoenterostómia alebo chýbajúce obnovenie normálneho toku žlče u detí s biliárnou atréziou.</w:t>
      </w:r>
    </w:p>
    <w:p w14:paraId="4A47C83F" w14:textId="77777777" w:rsidR="0076162D" w:rsidRPr="0082445A" w:rsidRDefault="0076162D" w:rsidP="00B216ED">
      <w:pPr>
        <w:spacing w:line="240" w:lineRule="auto"/>
      </w:pPr>
    </w:p>
    <w:p w14:paraId="02B6A7C9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Osobitné upozornenia a opatrenia pri používaní</w:t>
      </w:r>
    </w:p>
    <w:p w14:paraId="344F7EB2" w14:textId="77777777" w:rsidR="00812D16" w:rsidRPr="0079480E" w:rsidRDefault="00812D16" w:rsidP="00B216ED">
      <w:pPr>
        <w:keepNext/>
        <w:spacing w:line="240" w:lineRule="auto"/>
        <w:ind w:left="567" w:hanging="567"/>
      </w:pPr>
    </w:p>
    <w:p w14:paraId="593AE498" w14:textId="72D08EE9" w:rsidR="00B93597" w:rsidRPr="00B93597" w:rsidRDefault="00B93597" w:rsidP="00B216ED">
      <w:pPr>
        <w:spacing w:line="240" w:lineRule="auto"/>
        <w:rPr>
          <w:noProof/>
        </w:rPr>
      </w:pPr>
      <w:r w:rsidRPr="00B93597">
        <w:rPr>
          <w:noProof/>
        </w:rPr>
        <w:t xml:space="preserve">Kyselina </w:t>
      </w:r>
      <w:r w:rsidR="001D6F2B">
        <w:rPr>
          <w:noProof/>
        </w:rPr>
        <w:t>urzodeo</w:t>
      </w:r>
      <w:r w:rsidRPr="00B93597">
        <w:rPr>
          <w:noProof/>
        </w:rPr>
        <w:t>xycholová sa má po</w:t>
      </w:r>
      <w:r>
        <w:rPr>
          <w:noProof/>
        </w:rPr>
        <w:t>užívať</w:t>
      </w:r>
      <w:r w:rsidRPr="00B93597">
        <w:rPr>
          <w:noProof/>
        </w:rPr>
        <w:t xml:space="preserve"> pod dohľadom lekár</w:t>
      </w:r>
      <w:r>
        <w:rPr>
          <w:noProof/>
        </w:rPr>
        <w:t>a</w:t>
      </w:r>
      <w:r w:rsidRPr="00B93597">
        <w:rPr>
          <w:noProof/>
        </w:rPr>
        <w:t>.</w:t>
      </w:r>
    </w:p>
    <w:p w14:paraId="4360768F" w14:textId="77777777" w:rsidR="00B93597" w:rsidRPr="00B93597" w:rsidRDefault="00B93597" w:rsidP="00B216ED">
      <w:pPr>
        <w:spacing w:line="240" w:lineRule="auto"/>
        <w:rPr>
          <w:noProof/>
        </w:rPr>
      </w:pPr>
    </w:p>
    <w:p w14:paraId="66B11DEB" w14:textId="460778E8" w:rsidR="00B93597" w:rsidRPr="00B93597" w:rsidRDefault="00B93597" w:rsidP="00B216ED">
      <w:pPr>
        <w:spacing w:line="240" w:lineRule="auto"/>
        <w:rPr>
          <w:noProof/>
        </w:rPr>
      </w:pPr>
      <w:r w:rsidRPr="00B93597">
        <w:rPr>
          <w:noProof/>
        </w:rPr>
        <w:t>Počas prvých 3 mesiacov liečby má lekár monitorovať parametre funkcie pečene AST (SGOT), ALT (SGPT), ALP a G</w:t>
      </w:r>
      <w:r w:rsidR="00C26CF2">
        <w:rPr>
          <w:noProof/>
        </w:rPr>
        <w:t>G</w:t>
      </w:r>
      <w:r w:rsidRPr="00B93597">
        <w:rPr>
          <w:noProof/>
        </w:rPr>
        <w:t>T každé 4 týždne a potom každé 3 mesiace. Okrem umožnenia diferenciácie medzi pacientmi reagujúcimi na liečbu a pacientmi nereagujúcimi na liečbu PBC umožňuje toto monitorovanie tiež včasné zistenie potenciálneho zhoršenia funkcie pečene, najmä u pacientov s pokročil</w:t>
      </w:r>
      <w:r>
        <w:rPr>
          <w:noProof/>
        </w:rPr>
        <w:t>ou</w:t>
      </w:r>
      <w:r w:rsidRPr="00B93597">
        <w:rPr>
          <w:noProof/>
        </w:rPr>
        <w:t xml:space="preserve"> PBC.</w:t>
      </w:r>
    </w:p>
    <w:p w14:paraId="33D5B5A3" w14:textId="77777777" w:rsidR="00B93597" w:rsidRPr="00B93597" w:rsidRDefault="00B93597" w:rsidP="00B216ED">
      <w:pPr>
        <w:spacing w:line="240" w:lineRule="auto"/>
        <w:rPr>
          <w:noProof/>
        </w:rPr>
      </w:pPr>
    </w:p>
    <w:p w14:paraId="4BBD0516" w14:textId="27B6244A" w:rsidR="00B93597" w:rsidRPr="00E802C2" w:rsidRDefault="00B93597" w:rsidP="00B216ED">
      <w:pPr>
        <w:spacing w:line="240" w:lineRule="auto"/>
        <w:rPr>
          <w:noProof/>
          <w:u w:val="single"/>
        </w:rPr>
      </w:pPr>
      <w:r w:rsidRPr="00E802C2">
        <w:rPr>
          <w:szCs w:val="22"/>
          <w:u w:val="single"/>
        </w:rPr>
        <w:t>V prípade rozpúšťania žlčových kameňov</w:t>
      </w:r>
      <w:r w:rsidRPr="00E802C2">
        <w:rPr>
          <w:noProof/>
          <w:u w:val="single"/>
        </w:rPr>
        <w:t xml:space="preserve"> </w:t>
      </w:r>
    </w:p>
    <w:p w14:paraId="0059E342" w14:textId="7E314B81" w:rsidR="00B93597" w:rsidRPr="00B93597" w:rsidRDefault="008E2B17" w:rsidP="00B216ED">
      <w:pPr>
        <w:spacing w:line="240" w:lineRule="auto"/>
        <w:rPr>
          <w:noProof/>
        </w:rPr>
      </w:pPr>
      <w:r>
        <w:rPr>
          <w:noProof/>
        </w:rPr>
        <w:t>Na</w:t>
      </w:r>
      <w:r w:rsidR="00B93597" w:rsidRPr="00B93597">
        <w:rPr>
          <w:noProof/>
        </w:rPr>
        <w:t xml:space="preserve"> vyhodnot</w:t>
      </w:r>
      <w:r>
        <w:rPr>
          <w:noProof/>
        </w:rPr>
        <w:t>enie</w:t>
      </w:r>
      <w:r w:rsidR="00B93597" w:rsidRPr="00B93597">
        <w:rPr>
          <w:noProof/>
        </w:rPr>
        <w:t xml:space="preserve"> terapeutick</w:t>
      </w:r>
      <w:r>
        <w:rPr>
          <w:noProof/>
        </w:rPr>
        <w:t>ého</w:t>
      </w:r>
      <w:r w:rsidR="00B93597" w:rsidRPr="00B93597">
        <w:rPr>
          <w:noProof/>
        </w:rPr>
        <w:t xml:space="preserve"> progres</w:t>
      </w:r>
      <w:r>
        <w:rPr>
          <w:noProof/>
        </w:rPr>
        <w:t>u</w:t>
      </w:r>
      <w:r w:rsidR="00B93597" w:rsidRPr="00B93597">
        <w:rPr>
          <w:noProof/>
        </w:rPr>
        <w:t xml:space="preserve"> rozpúšťania žlčových kameňov a</w:t>
      </w:r>
      <w:r>
        <w:rPr>
          <w:noProof/>
        </w:rPr>
        <w:t> na rýchle</w:t>
      </w:r>
      <w:r w:rsidR="00B93597" w:rsidRPr="00B93597">
        <w:rPr>
          <w:noProof/>
        </w:rPr>
        <w:t xml:space="preserve"> zist</w:t>
      </w:r>
      <w:r>
        <w:rPr>
          <w:noProof/>
        </w:rPr>
        <w:t>enie</w:t>
      </w:r>
      <w:r w:rsidR="00B93597" w:rsidRPr="00B93597">
        <w:rPr>
          <w:noProof/>
        </w:rPr>
        <w:t xml:space="preserve"> ak</w:t>
      </w:r>
      <w:r>
        <w:rPr>
          <w:noProof/>
        </w:rPr>
        <w:t>ejkoľvek</w:t>
      </w:r>
      <w:r w:rsidR="00B93597" w:rsidRPr="00B93597">
        <w:rPr>
          <w:noProof/>
        </w:rPr>
        <w:t xml:space="preserve"> kalcifikáci</w:t>
      </w:r>
      <w:r>
        <w:rPr>
          <w:noProof/>
        </w:rPr>
        <w:t>e</w:t>
      </w:r>
      <w:r w:rsidR="00B93597" w:rsidRPr="00B93597">
        <w:rPr>
          <w:noProof/>
        </w:rPr>
        <w:t xml:space="preserve"> žlčových kameňov, sa </w:t>
      </w:r>
      <w:r w:rsidR="00C26CF2">
        <w:rPr>
          <w:noProof/>
        </w:rPr>
        <w:t xml:space="preserve">má </w:t>
      </w:r>
      <w:r w:rsidR="00B93597" w:rsidRPr="00B93597">
        <w:rPr>
          <w:noProof/>
        </w:rPr>
        <w:t xml:space="preserve">žlčník vizualizovať (perorálna cholecystografia) 6-10 mesiacov po začiatku liečby, v závislosti od veľkosti kameňa, </w:t>
      </w:r>
      <w:r w:rsidR="00394C4C">
        <w:rPr>
          <w:noProof/>
        </w:rPr>
        <w:t>zobrazením</w:t>
      </w:r>
      <w:r w:rsidR="00C26CF2">
        <w:rPr>
          <w:noProof/>
        </w:rPr>
        <w:t xml:space="preserve"> celkového</w:t>
      </w:r>
      <w:r w:rsidR="00B93597" w:rsidRPr="00B93597">
        <w:rPr>
          <w:noProof/>
        </w:rPr>
        <w:t xml:space="preserve"> </w:t>
      </w:r>
      <w:r w:rsidR="00394C4C">
        <w:rPr>
          <w:noProof/>
        </w:rPr>
        <w:t>pohľadu</w:t>
      </w:r>
      <w:r w:rsidR="00B93597" w:rsidRPr="00B93597">
        <w:rPr>
          <w:noProof/>
        </w:rPr>
        <w:t xml:space="preserve"> a oklúzi</w:t>
      </w:r>
      <w:r w:rsidR="00394C4C">
        <w:rPr>
          <w:noProof/>
        </w:rPr>
        <w:t>í</w:t>
      </w:r>
      <w:r w:rsidR="00B93597" w:rsidRPr="00B93597">
        <w:rPr>
          <w:noProof/>
        </w:rPr>
        <w:t xml:space="preserve"> v stoji a</w:t>
      </w:r>
      <w:r w:rsidR="00394C4C">
        <w:rPr>
          <w:noProof/>
        </w:rPr>
        <w:t xml:space="preserve"> v </w:t>
      </w:r>
      <w:r w:rsidR="00B93597" w:rsidRPr="00B93597">
        <w:rPr>
          <w:noProof/>
        </w:rPr>
        <w:t>poloh</w:t>
      </w:r>
      <w:r w:rsidR="00394C4C">
        <w:rPr>
          <w:noProof/>
        </w:rPr>
        <w:t>e</w:t>
      </w:r>
      <w:r w:rsidR="00B93597" w:rsidRPr="00B93597">
        <w:rPr>
          <w:noProof/>
        </w:rPr>
        <w:t xml:space="preserve"> na chrbte (ultrazvuková kontrola).</w:t>
      </w:r>
    </w:p>
    <w:p w14:paraId="137018DF" w14:textId="77777777" w:rsidR="00B93597" w:rsidRPr="00B93597" w:rsidRDefault="00B93597" w:rsidP="00B216ED">
      <w:pPr>
        <w:spacing w:line="240" w:lineRule="auto"/>
        <w:rPr>
          <w:noProof/>
        </w:rPr>
      </w:pPr>
    </w:p>
    <w:p w14:paraId="4E76D7D6" w14:textId="77777777" w:rsidR="00B93597" w:rsidRPr="00B93597" w:rsidRDefault="00B93597" w:rsidP="00B216ED">
      <w:pPr>
        <w:spacing w:line="240" w:lineRule="auto"/>
        <w:rPr>
          <w:noProof/>
        </w:rPr>
      </w:pPr>
      <w:r w:rsidRPr="00B93597">
        <w:rPr>
          <w:noProof/>
        </w:rPr>
        <w:t>Ak sa žlčník nemôže vizualizovať na röntgenových snímkach alebo v prípade kalcifikovaných žlčových kameňov, zhoršenej kontraktility žlčníka alebo častých epizód žlčovej koliky, liečba týmto liekom sa musí prerušiť.</w:t>
      </w:r>
    </w:p>
    <w:p w14:paraId="4043171F" w14:textId="77777777" w:rsidR="00B93597" w:rsidRPr="00B93597" w:rsidRDefault="00B93597" w:rsidP="00B216ED">
      <w:pPr>
        <w:spacing w:line="240" w:lineRule="auto"/>
        <w:rPr>
          <w:noProof/>
        </w:rPr>
      </w:pPr>
    </w:p>
    <w:p w14:paraId="68DADF45" w14:textId="442A86CE" w:rsidR="00B93597" w:rsidRPr="00B93597" w:rsidRDefault="00B93597" w:rsidP="00B216ED">
      <w:pPr>
        <w:spacing w:line="240" w:lineRule="auto"/>
        <w:rPr>
          <w:noProof/>
        </w:rPr>
      </w:pPr>
      <w:r w:rsidRPr="00B93597">
        <w:rPr>
          <w:noProof/>
        </w:rPr>
        <w:t xml:space="preserve">Pacientky užívajúce tento liek na rozpúšťanie žlčových kameňov </w:t>
      </w:r>
      <w:r w:rsidR="00394C4C">
        <w:rPr>
          <w:noProof/>
        </w:rPr>
        <w:t>majú</w:t>
      </w:r>
      <w:r w:rsidRPr="00B93597">
        <w:rPr>
          <w:noProof/>
        </w:rPr>
        <w:t xml:space="preserve"> používať účinnú nehormonálnu antikoncepciu, pretože hormonálna antikoncepcia môže podporovať tvorbu žlčových kameňov (pozri časti 4.5 a 4.6).</w:t>
      </w:r>
    </w:p>
    <w:p w14:paraId="2FB44032" w14:textId="77777777" w:rsidR="00B93597" w:rsidRPr="00B93597" w:rsidRDefault="00B93597" w:rsidP="00B216ED">
      <w:pPr>
        <w:spacing w:line="240" w:lineRule="auto"/>
        <w:rPr>
          <w:noProof/>
        </w:rPr>
      </w:pPr>
    </w:p>
    <w:p w14:paraId="310F87BF" w14:textId="684022C0" w:rsidR="00B93597" w:rsidRPr="00E802C2" w:rsidRDefault="00B93597" w:rsidP="00B216ED">
      <w:pPr>
        <w:spacing w:line="240" w:lineRule="auto"/>
        <w:rPr>
          <w:iCs/>
          <w:noProof/>
          <w:u w:val="single"/>
        </w:rPr>
      </w:pPr>
      <w:r w:rsidRPr="00E802C2">
        <w:rPr>
          <w:iCs/>
          <w:noProof/>
          <w:u w:val="single"/>
        </w:rPr>
        <w:t>Pri použití na liečbu pacientov s pokročil</w:t>
      </w:r>
      <w:r w:rsidR="008E2B17" w:rsidRPr="00E802C2">
        <w:rPr>
          <w:iCs/>
          <w:noProof/>
          <w:u w:val="single"/>
        </w:rPr>
        <w:t>ou</w:t>
      </w:r>
      <w:r w:rsidRPr="00E802C2">
        <w:rPr>
          <w:iCs/>
          <w:noProof/>
          <w:u w:val="single"/>
        </w:rPr>
        <w:t xml:space="preserve"> PBC</w:t>
      </w:r>
    </w:p>
    <w:p w14:paraId="3BD76C19" w14:textId="77777777" w:rsidR="00B93597" w:rsidRPr="00B93597" w:rsidRDefault="00B93597" w:rsidP="00B216ED">
      <w:pPr>
        <w:spacing w:line="240" w:lineRule="auto"/>
        <w:rPr>
          <w:noProof/>
        </w:rPr>
      </w:pPr>
      <w:r w:rsidRPr="00B93597">
        <w:rPr>
          <w:noProof/>
        </w:rPr>
        <w:t>Vo veľmi zriedkavých prípadoch sa pozorovala dekompenzácia cirhózy pečene, ktorá po prerušení liečby čiastočne ustúpila.</w:t>
      </w:r>
    </w:p>
    <w:p w14:paraId="525AE062" w14:textId="77777777" w:rsidR="00B93597" w:rsidRPr="00B93597" w:rsidRDefault="00B93597" w:rsidP="00B216ED">
      <w:pPr>
        <w:spacing w:line="240" w:lineRule="auto"/>
        <w:rPr>
          <w:noProof/>
        </w:rPr>
      </w:pPr>
    </w:p>
    <w:p w14:paraId="035EFFA0" w14:textId="3B9943D1" w:rsidR="00B93597" w:rsidRPr="00B93597" w:rsidRDefault="00B93597" w:rsidP="00B216ED">
      <w:pPr>
        <w:spacing w:line="240" w:lineRule="auto"/>
        <w:rPr>
          <w:noProof/>
        </w:rPr>
      </w:pPr>
      <w:r w:rsidRPr="00B93597">
        <w:rPr>
          <w:noProof/>
        </w:rPr>
        <w:t>U pacientov s PBC sa môžu klinické príznaky na začiatku liečby v zriedkavých prípadoch zhoršiť, napr. svrbenie sa môže zv</w:t>
      </w:r>
      <w:r w:rsidR="008E2B17">
        <w:rPr>
          <w:noProof/>
        </w:rPr>
        <w:t>ýrazniť</w:t>
      </w:r>
      <w:r w:rsidRPr="00B93597">
        <w:rPr>
          <w:noProof/>
        </w:rPr>
        <w:t xml:space="preserve">. V tomto prípade sa dávka tohto lieku môže znížiť na jednu 250 mg kapsulu denne a následne by sa mala postupne zvyšovať na odporúčanú dávku, ako je </w:t>
      </w:r>
      <w:r w:rsidR="008E2B17">
        <w:rPr>
          <w:noProof/>
        </w:rPr>
        <w:t>uvede</w:t>
      </w:r>
      <w:r w:rsidRPr="00B93597">
        <w:rPr>
          <w:noProof/>
        </w:rPr>
        <w:t>né v časti 4.2.</w:t>
      </w:r>
    </w:p>
    <w:p w14:paraId="6E813F71" w14:textId="77777777" w:rsidR="00B93597" w:rsidRPr="00B93597" w:rsidRDefault="00B93597" w:rsidP="00B216ED">
      <w:pPr>
        <w:spacing w:line="240" w:lineRule="auto"/>
        <w:rPr>
          <w:noProof/>
        </w:rPr>
      </w:pPr>
    </w:p>
    <w:p w14:paraId="11AA62A0" w14:textId="056517B3" w:rsidR="0079480E" w:rsidRDefault="00B93597" w:rsidP="00B216ED">
      <w:pPr>
        <w:spacing w:line="240" w:lineRule="auto"/>
        <w:rPr>
          <w:noProof/>
          <w:u w:val="single"/>
        </w:rPr>
      </w:pPr>
      <w:r w:rsidRPr="00B93597">
        <w:rPr>
          <w:noProof/>
        </w:rPr>
        <w:t xml:space="preserve">Ak sa </w:t>
      </w:r>
      <w:r w:rsidRPr="008E2B17">
        <w:rPr>
          <w:noProof/>
        </w:rPr>
        <w:t xml:space="preserve">vyskytne hnačka, </w:t>
      </w:r>
      <w:r w:rsidR="008E2B17" w:rsidRPr="008E2B17">
        <w:rPr>
          <w:noProof/>
        </w:rPr>
        <w:t xml:space="preserve">dávka sa </w:t>
      </w:r>
      <w:r w:rsidRPr="008E2B17">
        <w:rPr>
          <w:noProof/>
        </w:rPr>
        <w:t>musí znížiť</w:t>
      </w:r>
      <w:r w:rsidR="008E2B17">
        <w:rPr>
          <w:noProof/>
        </w:rPr>
        <w:t xml:space="preserve">, </w:t>
      </w:r>
      <w:r w:rsidRPr="008E2B17">
        <w:rPr>
          <w:noProof/>
        </w:rPr>
        <w:t>a v prípade pretrvávajúcej hnačky sa musí liečba prerušiť.</w:t>
      </w:r>
    </w:p>
    <w:p w14:paraId="55BC40E1" w14:textId="3211D5D9" w:rsidR="00B93597" w:rsidRDefault="00B93597" w:rsidP="00B216ED">
      <w:pPr>
        <w:spacing w:line="240" w:lineRule="auto"/>
        <w:rPr>
          <w:noProof/>
          <w:u w:val="single"/>
        </w:rPr>
      </w:pPr>
    </w:p>
    <w:p w14:paraId="68B6C266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Liekové a iné interakcie</w:t>
      </w:r>
    </w:p>
    <w:p w14:paraId="464CB4DF" w14:textId="77777777" w:rsidR="00812D16" w:rsidRPr="0082445A" w:rsidRDefault="00812D16" w:rsidP="00B216ED">
      <w:pPr>
        <w:keepNext/>
        <w:spacing w:line="240" w:lineRule="auto"/>
      </w:pPr>
    </w:p>
    <w:p w14:paraId="44360CF8" w14:textId="01960F0C" w:rsidR="008E2B17" w:rsidRDefault="008E2B17" w:rsidP="00B216ED">
      <w:r>
        <w:t xml:space="preserve">Tento liek </w:t>
      </w:r>
      <w:r w:rsidR="007B3840">
        <w:t>sa nemá</w:t>
      </w:r>
      <w:r>
        <w:t xml:space="preserve"> používať súbežne s </w:t>
      </w:r>
      <w:r w:rsidR="007B3840">
        <w:t>k</w:t>
      </w:r>
      <w:r>
        <w:t xml:space="preserve">olestyramínom, </w:t>
      </w:r>
      <w:r w:rsidR="0016341B">
        <w:t>k</w:t>
      </w:r>
      <w:r>
        <w:t>olestipolom alebo antac</w:t>
      </w:r>
      <w:r w:rsidR="007B3840">
        <w:t>i</w:t>
      </w:r>
      <w:r>
        <w:t>dami obsahujúcimi hydroxid hlinitý a/alebo smekti</w:t>
      </w:r>
      <w:r w:rsidR="007B3840">
        <w:t>t</w:t>
      </w:r>
      <w:r>
        <w:t xml:space="preserve"> (oxid hlinitý), pretože tieto látky môžu v čreve viazať </w:t>
      </w:r>
      <w:bookmarkStart w:id="7" w:name="_Hlk36558690"/>
      <w:r>
        <w:t>U</w:t>
      </w:r>
      <w:r w:rsidR="00F62393">
        <w:t>rsogrix</w:t>
      </w:r>
      <w:bookmarkEnd w:id="7"/>
      <w:r>
        <w:t xml:space="preserve">, čím </w:t>
      </w:r>
      <w:r w:rsidR="0037669B">
        <w:t xml:space="preserve">sa </w:t>
      </w:r>
      <w:r>
        <w:t>znižuj</w:t>
      </w:r>
      <w:r w:rsidR="0037669B">
        <w:t>e</w:t>
      </w:r>
      <w:r>
        <w:t xml:space="preserve"> absorpci</w:t>
      </w:r>
      <w:r w:rsidR="0037669B">
        <w:t>a</w:t>
      </w:r>
      <w:r>
        <w:t xml:space="preserve"> a účinnosť. Ak je potrebné použitie ktoréhokoľvek z týchto liekov, musí sa užiť najmenej 2 hodiny pred alebo po </w:t>
      </w:r>
      <w:r w:rsidR="0037669B">
        <w:t xml:space="preserve">užití </w:t>
      </w:r>
      <w:r w:rsidRPr="008E2B17">
        <w:t>U</w:t>
      </w:r>
      <w:r w:rsidR="00F62393" w:rsidRPr="008E2B17">
        <w:t>rsogrix</w:t>
      </w:r>
      <w:r w:rsidR="00CE44F9">
        <w:t>u</w:t>
      </w:r>
      <w:r>
        <w:t>.</w:t>
      </w:r>
    </w:p>
    <w:p w14:paraId="689C68B2" w14:textId="77777777" w:rsidR="008E2B17" w:rsidRDefault="008E2B17" w:rsidP="00B216ED">
      <w:pPr>
        <w:spacing w:line="240" w:lineRule="auto"/>
      </w:pPr>
    </w:p>
    <w:p w14:paraId="5369765D" w14:textId="1DEB517B" w:rsidR="008E2B17" w:rsidRDefault="008E2B17" w:rsidP="00B216ED">
      <w:pPr>
        <w:spacing w:line="240" w:lineRule="auto"/>
      </w:pPr>
      <w:r>
        <w:t xml:space="preserve">Tento liek môže ovplyvniť vstrebávanie cyklosporínu z čreva. U pacientov liečených cyklosporínom musí preto lekár sledovať </w:t>
      </w:r>
      <w:r w:rsidR="0037669B">
        <w:t>jeho koncentráciu v krvi</w:t>
      </w:r>
      <w:r>
        <w:t xml:space="preserve"> a podľa potreby upravovať dávku cyklosporínu.</w:t>
      </w:r>
    </w:p>
    <w:p w14:paraId="0FEEB7BD" w14:textId="74CBE891" w:rsidR="008E2B17" w:rsidRDefault="008E2B17" w:rsidP="00B216ED">
      <w:pPr>
        <w:spacing w:line="240" w:lineRule="auto"/>
      </w:pPr>
      <w:r>
        <w:t xml:space="preserve">V dôsledku účinku kyseliny </w:t>
      </w:r>
      <w:r w:rsidR="001D6F2B">
        <w:t>urzodeo</w:t>
      </w:r>
      <w:r>
        <w:t>xycholovej</w:t>
      </w:r>
      <w:r w:rsidR="00E655D8">
        <w:t xml:space="preserve"> </w:t>
      </w:r>
      <w:r>
        <w:t>na sekréciu žlčových kyselín existuje teoretická možnosť, že by mohla byť ovplyvnená absorpcia iných lipofilných látok.</w:t>
      </w:r>
    </w:p>
    <w:p w14:paraId="540B7AFE" w14:textId="77777777" w:rsidR="008E2B17" w:rsidRDefault="008E2B17" w:rsidP="00B216ED">
      <w:pPr>
        <w:spacing w:line="240" w:lineRule="auto"/>
      </w:pPr>
    </w:p>
    <w:p w14:paraId="577A37FE" w14:textId="4DA5FF22" w:rsidR="008E2B17" w:rsidRDefault="008E2B17" w:rsidP="00B216ED">
      <w:pPr>
        <w:spacing w:line="240" w:lineRule="auto"/>
      </w:pPr>
      <w:r>
        <w:t xml:space="preserve">V ojedinelých prípadoch môže </w:t>
      </w:r>
      <w:r w:rsidRPr="008E2B17">
        <w:t>U</w:t>
      </w:r>
      <w:r w:rsidR="00E655D8" w:rsidRPr="008E2B17">
        <w:t>rsogrix</w:t>
      </w:r>
      <w:r>
        <w:t xml:space="preserve"> znížiť absorpciu ciprofloxacínu.</w:t>
      </w:r>
    </w:p>
    <w:p w14:paraId="06C2DD53" w14:textId="77777777" w:rsidR="008E2B17" w:rsidRDefault="008E2B17" w:rsidP="00B216ED">
      <w:pPr>
        <w:spacing w:line="240" w:lineRule="auto"/>
      </w:pPr>
    </w:p>
    <w:p w14:paraId="7CB168A7" w14:textId="36D6F857" w:rsidR="008E2B17" w:rsidRDefault="008E2B17" w:rsidP="00B216ED">
      <w:pPr>
        <w:spacing w:line="240" w:lineRule="auto"/>
      </w:pPr>
      <w:r>
        <w:t>V klinickej štúdii so zdravými dobrovoľníkmi malo súčasné užitie tohto lieku (500 mg/deň) a rosuvastatínu (20 mg/deň) za následok mierne zvýšené plazmatické hladiny rosuvastatínu. Klinický význam tejto interakcie aj s ohľadom na iné statíny</w:t>
      </w:r>
      <w:r w:rsidR="0037669B">
        <w:t>,</w:t>
      </w:r>
      <w:r>
        <w:t xml:space="preserve"> nie je známy.</w:t>
      </w:r>
    </w:p>
    <w:p w14:paraId="3D08D504" w14:textId="77777777" w:rsidR="008E2B17" w:rsidRDefault="008E2B17" w:rsidP="00B216ED">
      <w:pPr>
        <w:spacing w:line="240" w:lineRule="auto"/>
      </w:pPr>
    </w:p>
    <w:p w14:paraId="16E0C828" w14:textId="7C0E03F5" w:rsidR="008E2B17" w:rsidRDefault="008E2B17" w:rsidP="00B216ED">
      <w:pPr>
        <w:spacing w:line="240" w:lineRule="auto"/>
      </w:pPr>
      <w:r>
        <w:t>Tento liek znižuje maximálnu plazmatickú koncentráciu (C</w:t>
      </w:r>
      <w:r w:rsidRPr="0037669B">
        <w:rPr>
          <w:vertAlign w:val="subscript"/>
        </w:rPr>
        <w:t>max</w:t>
      </w:r>
      <w:r>
        <w:t xml:space="preserve">) a plochu pod krivkou (AUC) antagonistu vápnikového </w:t>
      </w:r>
      <w:r w:rsidR="00CE44F9">
        <w:t>kanála</w:t>
      </w:r>
      <w:r w:rsidR="007B3840">
        <w:t xml:space="preserve"> </w:t>
      </w:r>
      <w:r>
        <w:t>nitrendipínu</w:t>
      </w:r>
      <w:r w:rsidR="0037669B" w:rsidRPr="0037669B">
        <w:t xml:space="preserve"> </w:t>
      </w:r>
      <w:r w:rsidR="0037669B">
        <w:t>u zdravých dobrovoľníkov</w:t>
      </w:r>
      <w:r>
        <w:t xml:space="preserve">. Odporúča sa </w:t>
      </w:r>
      <w:r w:rsidR="0037669B">
        <w:t>dôsledné monitorovanie</w:t>
      </w:r>
      <w:r>
        <w:t xml:space="preserve"> výsledku súbežného používania nitrendipínu a </w:t>
      </w:r>
      <w:r w:rsidRPr="008E2B17">
        <w:t>U</w:t>
      </w:r>
      <w:r w:rsidR="001F5912" w:rsidRPr="008E2B17">
        <w:t>rsogrix</w:t>
      </w:r>
      <w:r w:rsidR="00CE44F9">
        <w:t>u</w:t>
      </w:r>
      <w:r>
        <w:t>.</w:t>
      </w:r>
      <w:r w:rsidRPr="008E2B17">
        <w:t xml:space="preserve"> </w:t>
      </w:r>
      <w:r>
        <w:t>Môže byť potrebné zvýšiť dávku nitrendipínu. Bola hlásená aj interakcia s daps</w:t>
      </w:r>
      <w:r w:rsidR="00CE44F9">
        <w:t>ó</w:t>
      </w:r>
      <w:r>
        <w:t xml:space="preserve">nom so znížením jeho terapeutického účinku. Tieto pozorovania spolu s údajmi </w:t>
      </w:r>
      <w:r w:rsidRPr="001F5912">
        <w:rPr>
          <w:i/>
          <w:iCs/>
        </w:rPr>
        <w:t>in vitro</w:t>
      </w:r>
      <w:r>
        <w:t xml:space="preserve"> môžu naznačovať, že </w:t>
      </w:r>
      <w:r w:rsidRPr="008E2B17">
        <w:t>U</w:t>
      </w:r>
      <w:r w:rsidR="001F5912" w:rsidRPr="008E2B17">
        <w:t>rsogrix</w:t>
      </w:r>
      <w:r>
        <w:t xml:space="preserve"> môže indukovať enzýmy cytochrómu P450 3A. </w:t>
      </w:r>
      <w:r w:rsidR="0037669B">
        <w:t>Avšak v</w:t>
      </w:r>
      <w:r w:rsidR="004E28B9">
        <w:t> dobre navrhnutej</w:t>
      </w:r>
      <w:r>
        <w:t xml:space="preserve"> interakčnej štúdii s budezonidom, známym substrátom cytochrómu P450 3A sa indukcia nepozorovala.</w:t>
      </w:r>
    </w:p>
    <w:p w14:paraId="486B67DE" w14:textId="77777777" w:rsidR="008E2B17" w:rsidRDefault="008E2B17" w:rsidP="00B216ED">
      <w:pPr>
        <w:spacing w:line="240" w:lineRule="auto"/>
      </w:pPr>
    </w:p>
    <w:p w14:paraId="7DFB0311" w14:textId="563EC2EE" w:rsidR="00812D16" w:rsidRDefault="008E2B17" w:rsidP="00B216ED">
      <w:pPr>
        <w:spacing w:line="240" w:lineRule="auto"/>
      </w:pPr>
      <w:r>
        <w:t xml:space="preserve">Estrogény a látky znižujúce hladinu cholesterolu v krvi, ako je </w:t>
      </w:r>
      <w:r w:rsidR="0037669B">
        <w:t>k</w:t>
      </w:r>
      <w:r>
        <w:t>lofibrát, zvyšujú sekréciu cholesterolu v pečeni, a tým môžu stimulovať tvorbu žlčových kameňov</w:t>
      </w:r>
      <w:r w:rsidR="0037669B">
        <w:t>,</w:t>
      </w:r>
      <w:r>
        <w:t xml:space="preserve"> </w:t>
      </w:r>
      <w:r w:rsidR="0037669B" w:rsidRPr="0037669B">
        <w:t xml:space="preserve">čo je opačný účinok </w:t>
      </w:r>
      <w:r w:rsidR="004E28B9">
        <w:t xml:space="preserve">ako účinok tohto lieku </w:t>
      </w:r>
      <w:r w:rsidR="0037669B" w:rsidRPr="0037669B">
        <w:t>na rozpúšťanie žlčových kameňov</w:t>
      </w:r>
      <w:r>
        <w:t>.</w:t>
      </w:r>
    </w:p>
    <w:p w14:paraId="068EADEE" w14:textId="77777777" w:rsidR="008E2B17" w:rsidRPr="0082445A" w:rsidRDefault="008E2B17" w:rsidP="00B216ED">
      <w:pPr>
        <w:spacing w:line="240" w:lineRule="auto"/>
      </w:pPr>
    </w:p>
    <w:p w14:paraId="21B19C0A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Fertilita, gravidita a laktácia</w:t>
      </w:r>
    </w:p>
    <w:p w14:paraId="7F34AC57" w14:textId="1A20E88C" w:rsidR="00812D16" w:rsidRDefault="00812D16" w:rsidP="00B216ED">
      <w:pPr>
        <w:spacing w:line="240" w:lineRule="auto"/>
        <w:rPr>
          <w:iCs/>
        </w:rPr>
      </w:pPr>
    </w:p>
    <w:p w14:paraId="2052C142" w14:textId="4A667BEF" w:rsidR="0037669B" w:rsidRPr="00A72672" w:rsidRDefault="0037669B" w:rsidP="00B216ED">
      <w:pPr>
        <w:spacing w:line="240" w:lineRule="auto"/>
      </w:pPr>
      <w:r w:rsidRPr="00A72672">
        <w:rPr>
          <w:u w:val="single"/>
        </w:rPr>
        <w:t>Gravidita</w:t>
      </w:r>
    </w:p>
    <w:p w14:paraId="16E9119B" w14:textId="75CCD4B9" w:rsidR="0037669B" w:rsidRPr="0037669B" w:rsidRDefault="0037669B" w:rsidP="00B216ED">
      <w:r w:rsidRPr="0037669B">
        <w:t>Nie sú k dispozícii alebo sú obmedzené údaje o použití U</w:t>
      </w:r>
      <w:r w:rsidR="00FC5556" w:rsidRPr="0037669B">
        <w:t>rsogrix</w:t>
      </w:r>
      <w:r w:rsidR="004E28B9">
        <w:t xml:space="preserve">u </w:t>
      </w:r>
      <w:r w:rsidRPr="0037669B">
        <w:t xml:space="preserve">u tehotných žien. Štúdie na zvieratách preukázali reprodukčnú toxicitu počas skorej fázy gravidity (pozri časť 5.3). Preto sa tento liek </w:t>
      </w:r>
      <w:r w:rsidR="0072096B">
        <w:t>nemá</w:t>
      </w:r>
      <w:r w:rsidRPr="0037669B">
        <w:t xml:space="preserve"> používať počas tehotenstva, pokiaľ to nie je nevyhnutné.</w:t>
      </w:r>
    </w:p>
    <w:p w14:paraId="065522F5" w14:textId="77777777" w:rsidR="0037669B" w:rsidRPr="0037669B" w:rsidRDefault="0037669B" w:rsidP="00B216ED">
      <w:pPr>
        <w:spacing w:line="240" w:lineRule="auto"/>
        <w:rPr>
          <w:iCs/>
        </w:rPr>
      </w:pPr>
    </w:p>
    <w:p w14:paraId="0B2AB499" w14:textId="77777777" w:rsidR="0037669B" w:rsidRPr="00DA7FB2" w:rsidRDefault="0037669B" w:rsidP="00B216ED">
      <w:pPr>
        <w:spacing w:line="240" w:lineRule="auto"/>
        <w:rPr>
          <w:iCs/>
          <w:u w:val="single"/>
        </w:rPr>
      </w:pPr>
      <w:r w:rsidRPr="00DA7FB2">
        <w:rPr>
          <w:iCs/>
          <w:u w:val="single"/>
        </w:rPr>
        <w:t>Ženy vo fertilnom veku</w:t>
      </w:r>
    </w:p>
    <w:p w14:paraId="005F0FC7" w14:textId="7C5833C6" w:rsidR="0037669B" w:rsidRPr="0037669B" w:rsidRDefault="0037669B" w:rsidP="00B216ED">
      <w:pPr>
        <w:spacing w:line="240" w:lineRule="auto"/>
        <w:rPr>
          <w:iCs/>
        </w:rPr>
      </w:pPr>
      <w:r w:rsidRPr="0037669B">
        <w:rPr>
          <w:iCs/>
        </w:rPr>
        <w:t xml:space="preserve">Ženy vo fertilnom veku môžu byť liečené </w:t>
      </w:r>
      <w:r w:rsidR="00DA7FB2" w:rsidRPr="008E2B17">
        <w:t>U</w:t>
      </w:r>
      <w:r w:rsidR="00FC5556" w:rsidRPr="008E2B17">
        <w:t>rsogrix</w:t>
      </w:r>
      <w:r w:rsidR="0072096B">
        <w:t>om</w:t>
      </w:r>
      <w:r w:rsidRPr="0037669B">
        <w:rPr>
          <w:iCs/>
        </w:rPr>
        <w:t xml:space="preserve">, iba ak používajú spoľahlivú antikoncepciu: odporúča sa nehormonálna antikoncepcia alebo perorálna antikoncepcia s nízkou dávkou estrogénu. U pacientov, ktorí používajú tento liek na rozpúšťanie žlčových kameňov, sa však </w:t>
      </w:r>
      <w:r w:rsidR="0072096B">
        <w:rPr>
          <w:iCs/>
        </w:rPr>
        <w:t>má</w:t>
      </w:r>
      <w:r w:rsidRPr="0037669B">
        <w:rPr>
          <w:iCs/>
        </w:rPr>
        <w:t xml:space="preserve"> používať účinná nehormonálna antikoncepcia, pretože hormonáln</w:t>
      </w:r>
      <w:r w:rsidR="00DA7FB2">
        <w:rPr>
          <w:iCs/>
        </w:rPr>
        <w:t>a</w:t>
      </w:r>
      <w:r w:rsidRPr="0037669B">
        <w:rPr>
          <w:iCs/>
        </w:rPr>
        <w:t xml:space="preserve"> peroráln</w:t>
      </w:r>
      <w:r w:rsidR="00DA7FB2">
        <w:rPr>
          <w:iCs/>
        </w:rPr>
        <w:t>a antikoncepcia</w:t>
      </w:r>
      <w:r w:rsidRPr="0037669B">
        <w:rPr>
          <w:iCs/>
        </w:rPr>
        <w:t xml:space="preserve"> môž</w:t>
      </w:r>
      <w:r w:rsidR="00DA7FB2">
        <w:rPr>
          <w:iCs/>
        </w:rPr>
        <w:t>e</w:t>
      </w:r>
      <w:r w:rsidRPr="0037669B">
        <w:rPr>
          <w:iCs/>
        </w:rPr>
        <w:t xml:space="preserve"> zvýšiť tvorbu žlčových kameňov (pozri časť 4.4).</w:t>
      </w:r>
    </w:p>
    <w:p w14:paraId="59ECEFA0" w14:textId="493E36C0" w:rsidR="0037669B" w:rsidRPr="0037669B" w:rsidRDefault="0037669B" w:rsidP="00B216ED">
      <w:pPr>
        <w:spacing w:line="240" w:lineRule="auto"/>
        <w:rPr>
          <w:iCs/>
        </w:rPr>
      </w:pPr>
      <w:r w:rsidRPr="0037669B">
        <w:rPr>
          <w:iCs/>
        </w:rPr>
        <w:t xml:space="preserve">Pred začiatkom liečby musí byť </w:t>
      </w:r>
      <w:r w:rsidR="00DA7FB2" w:rsidRPr="0037669B">
        <w:rPr>
          <w:iCs/>
        </w:rPr>
        <w:t>možn</w:t>
      </w:r>
      <w:r w:rsidR="00DA7FB2">
        <w:rPr>
          <w:iCs/>
        </w:rPr>
        <w:t xml:space="preserve">é tehotenstvo </w:t>
      </w:r>
      <w:r w:rsidRPr="0037669B">
        <w:rPr>
          <w:iCs/>
        </w:rPr>
        <w:t>vylúčen</w:t>
      </w:r>
      <w:r w:rsidR="00DA7FB2">
        <w:rPr>
          <w:iCs/>
        </w:rPr>
        <w:t>é</w:t>
      </w:r>
      <w:r w:rsidRPr="0037669B">
        <w:rPr>
          <w:iCs/>
        </w:rPr>
        <w:t>.</w:t>
      </w:r>
    </w:p>
    <w:p w14:paraId="71B1BF04" w14:textId="77777777" w:rsidR="0037669B" w:rsidRPr="0037669B" w:rsidRDefault="0037669B" w:rsidP="00B216ED">
      <w:pPr>
        <w:spacing w:line="240" w:lineRule="auto"/>
        <w:rPr>
          <w:iCs/>
        </w:rPr>
      </w:pPr>
    </w:p>
    <w:p w14:paraId="4AF9E846" w14:textId="5371C21B" w:rsidR="0037669B" w:rsidRPr="00DA7FB2" w:rsidRDefault="00DA7FB2" w:rsidP="00B216ED">
      <w:pPr>
        <w:spacing w:line="240" w:lineRule="auto"/>
        <w:rPr>
          <w:iCs/>
          <w:u w:val="single"/>
        </w:rPr>
      </w:pPr>
      <w:r w:rsidRPr="00DA7FB2">
        <w:rPr>
          <w:iCs/>
          <w:u w:val="single"/>
        </w:rPr>
        <w:t>D</w:t>
      </w:r>
      <w:r w:rsidR="0037669B" w:rsidRPr="00DA7FB2">
        <w:rPr>
          <w:iCs/>
          <w:u w:val="single"/>
        </w:rPr>
        <w:t>ojčenie</w:t>
      </w:r>
    </w:p>
    <w:p w14:paraId="7050ADF4" w14:textId="17F95405" w:rsidR="0037669B" w:rsidRPr="0037669B" w:rsidRDefault="0037669B" w:rsidP="00B216ED">
      <w:pPr>
        <w:spacing w:line="240" w:lineRule="auto"/>
        <w:rPr>
          <w:iCs/>
        </w:rPr>
      </w:pPr>
      <w:r w:rsidRPr="0037669B">
        <w:rPr>
          <w:iCs/>
        </w:rPr>
        <w:t xml:space="preserve">Podľa niekoľkých zdokumentovaných prípadov dojčiacich žien bolo množstvo </w:t>
      </w:r>
      <w:r w:rsidR="00DA7FB2" w:rsidRPr="00DA7FB2">
        <w:rPr>
          <w:iCs/>
        </w:rPr>
        <w:t>U</w:t>
      </w:r>
      <w:r w:rsidR="0072096B">
        <w:rPr>
          <w:iCs/>
        </w:rPr>
        <w:t>rsogrixu</w:t>
      </w:r>
      <w:r w:rsidR="00DA7FB2" w:rsidRPr="00DA7FB2">
        <w:rPr>
          <w:iCs/>
        </w:rPr>
        <w:t xml:space="preserve"> </w:t>
      </w:r>
      <w:r w:rsidRPr="0037669B">
        <w:rPr>
          <w:iCs/>
        </w:rPr>
        <w:t xml:space="preserve">v mlieku veľmi nízke a u dojčených detí sa neočakávajú žiadne </w:t>
      </w:r>
      <w:r w:rsidR="0072096B">
        <w:rPr>
          <w:iCs/>
        </w:rPr>
        <w:t>nežiaduce</w:t>
      </w:r>
      <w:r w:rsidRPr="0037669B">
        <w:rPr>
          <w:iCs/>
        </w:rPr>
        <w:t xml:space="preserve"> reakcie.</w:t>
      </w:r>
    </w:p>
    <w:p w14:paraId="622E5263" w14:textId="77777777" w:rsidR="0037669B" w:rsidRPr="0037669B" w:rsidRDefault="0037669B" w:rsidP="00B216ED">
      <w:pPr>
        <w:spacing w:line="240" w:lineRule="auto"/>
        <w:rPr>
          <w:iCs/>
        </w:rPr>
      </w:pPr>
    </w:p>
    <w:p w14:paraId="261B9DC5" w14:textId="43B24952" w:rsidR="0037669B" w:rsidRPr="00DA7FB2" w:rsidRDefault="00DA7FB2" w:rsidP="00B216ED">
      <w:pPr>
        <w:spacing w:line="240" w:lineRule="auto"/>
        <w:rPr>
          <w:iCs/>
          <w:u w:val="single"/>
        </w:rPr>
      </w:pPr>
      <w:r w:rsidRPr="00DA7FB2">
        <w:rPr>
          <w:iCs/>
          <w:u w:val="single"/>
        </w:rPr>
        <w:t>Fertilita</w:t>
      </w:r>
    </w:p>
    <w:p w14:paraId="7B86040B" w14:textId="4E2B312A" w:rsidR="0037669B" w:rsidRDefault="0037669B" w:rsidP="00B216ED">
      <w:pPr>
        <w:spacing w:line="240" w:lineRule="auto"/>
        <w:rPr>
          <w:iCs/>
        </w:rPr>
      </w:pPr>
      <w:r w:rsidRPr="0037669B">
        <w:rPr>
          <w:iCs/>
        </w:rPr>
        <w:t>Štúdie na zvieratách nepreukázali žiadny účinok tohto lieku na fertilitu (pozri časť 5.3). Údaje o účinkoch na fertilitu ľudí po liečbe týmto liekom nie sú k dispozícii.</w:t>
      </w:r>
    </w:p>
    <w:p w14:paraId="05602678" w14:textId="77777777" w:rsidR="0037669B" w:rsidRPr="0037669B" w:rsidRDefault="0037669B" w:rsidP="00B216ED">
      <w:pPr>
        <w:spacing w:line="240" w:lineRule="auto"/>
        <w:rPr>
          <w:iCs/>
        </w:rPr>
      </w:pPr>
    </w:p>
    <w:p w14:paraId="22C4807D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Ovplyvnenie schopnosti viesť vozidlá a obsluhovať stroje</w:t>
      </w:r>
    </w:p>
    <w:p w14:paraId="6782110D" w14:textId="77777777" w:rsidR="00812D16" w:rsidRPr="0082445A" w:rsidRDefault="00812D16" w:rsidP="00B216ED">
      <w:pPr>
        <w:keepNext/>
        <w:spacing w:line="240" w:lineRule="auto"/>
      </w:pPr>
    </w:p>
    <w:p w14:paraId="03D5112B" w14:textId="15A84106" w:rsidR="00812D16" w:rsidRPr="00BF5AB0" w:rsidRDefault="00DA7FB2" w:rsidP="00B216ED">
      <w:pPr>
        <w:spacing w:line="240" w:lineRule="auto"/>
      </w:pPr>
      <w:r w:rsidRPr="008E2B17">
        <w:t>U</w:t>
      </w:r>
      <w:r w:rsidR="00FC5556" w:rsidRPr="008E2B17">
        <w:t>rsogrix</w:t>
      </w:r>
      <w:r w:rsidRPr="008E2B17">
        <w:t xml:space="preserve"> 250 mg tvrdé kapsuly</w:t>
      </w:r>
      <w:r w:rsidRPr="00A72672">
        <w:t xml:space="preserve"> </w:t>
      </w:r>
      <w:r w:rsidR="0091265E" w:rsidRPr="00A72672">
        <w:t>nemá žiadny alebo má zanedbateľný vplyv na schopnosť viesť vozidlá a obsluhovať stroje.</w:t>
      </w:r>
    </w:p>
    <w:p w14:paraId="20005240" w14:textId="77777777" w:rsidR="00B64B2F" w:rsidRPr="00891D76" w:rsidRDefault="00B64B2F" w:rsidP="00B216ED">
      <w:pPr>
        <w:spacing w:line="240" w:lineRule="auto"/>
      </w:pPr>
    </w:p>
    <w:p w14:paraId="1385FE7F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Nežiaduce účinky</w:t>
      </w:r>
    </w:p>
    <w:p w14:paraId="168112D9" w14:textId="77777777" w:rsidR="00812D16" w:rsidRPr="0082445A" w:rsidRDefault="00812D16" w:rsidP="00B216ED">
      <w:pPr>
        <w:autoSpaceDE w:val="0"/>
        <w:autoSpaceDN w:val="0"/>
        <w:adjustRightInd w:val="0"/>
        <w:spacing w:line="240" w:lineRule="auto"/>
      </w:pPr>
    </w:p>
    <w:p w14:paraId="0D5F3C62" w14:textId="02761576" w:rsidR="003265B7" w:rsidRPr="003265B7" w:rsidRDefault="0072096B" w:rsidP="00B216ED">
      <w:pPr>
        <w:autoSpaceDE w:val="0"/>
        <w:autoSpaceDN w:val="0"/>
        <w:adjustRightInd w:val="0"/>
        <w:spacing w:line="240" w:lineRule="auto"/>
        <w:rPr>
          <w:bCs/>
        </w:rPr>
      </w:pPr>
      <w:r>
        <w:rPr>
          <w:bCs/>
        </w:rPr>
        <w:t>Hodnotenie</w:t>
      </w:r>
      <w:r w:rsidR="003265B7" w:rsidRPr="003265B7">
        <w:rPr>
          <w:bCs/>
        </w:rPr>
        <w:t xml:space="preserve"> </w:t>
      </w:r>
      <w:r>
        <w:rPr>
          <w:bCs/>
        </w:rPr>
        <w:t xml:space="preserve">nežiaducich účinkov </w:t>
      </w:r>
      <w:r w:rsidR="003265B7" w:rsidRPr="003265B7">
        <w:rPr>
          <w:bCs/>
        </w:rPr>
        <w:t xml:space="preserve">je </w:t>
      </w:r>
      <w:r>
        <w:rPr>
          <w:bCs/>
        </w:rPr>
        <w:t>založené na nasledovných frekvenciách</w:t>
      </w:r>
      <w:r w:rsidR="003265B7" w:rsidRPr="003265B7">
        <w:rPr>
          <w:bCs/>
        </w:rPr>
        <w:t>: veľmi časté (≥</w:t>
      </w:r>
      <w:r>
        <w:rPr>
          <w:bCs/>
        </w:rPr>
        <w:t> </w:t>
      </w:r>
      <w:r w:rsidR="003265B7" w:rsidRPr="003265B7">
        <w:rPr>
          <w:bCs/>
        </w:rPr>
        <w:t>1/10), časté (≥ /100 až &lt; 1/10), menej časté (≥ 1/1 000 až &lt; 1/100), zriedkavé (≥ 1/10 000 až &lt;</w:t>
      </w:r>
      <w:r>
        <w:rPr>
          <w:bCs/>
        </w:rPr>
        <w:t> </w:t>
      </w:r>
      <w:r w:rsidR="003265B7" w:rsidRPr="003265B7">
        <w:rPr>
          <w:bCs/>
        </w:rPr>
        <w:t>1/1</w:t>
      </w:r>
      <w:r>
        <w:rPr>
          <w:bCs/>
        </w:rPr>
        <w:t> </w:t>
      </w:r>
      <w:r w:rsidR="003265B7" w:rsidRPr="003265B7">
        <w:rPr>
          <w:bCs/>
        </w:rPr>
        <w:t>000), veľmi zriedkavé (&lt; 1/10 000), neznáme (z dostupných údajov).</w:t>
      </w:r>
    </w:p>
    <w:p w14:paraId="70483DEB" w14:textId="77777777" w:rsidR="003265B7" w:rsidRDefault="003265B7" w:rsidP="00B216ED">
      <w:pPr>
        <w:autoSpaceDE w:val="0"/>
        <w:autoSpaceDN w:val="0"/>
        <w:adjustRightInd w:val="0"/>
        <w:spacing w:line="240" w:lineRule="auto"/>
      </w:pPr>
    </w:p>
    <w:p w14:paraId="1E7C5B68" w14:textId="2EC887D7" w:rsidR="003265B7" w:rsidRPr="003265B7" w:rsidRDefault="003265B7" w:rsidP="00B216ED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3265B7">
        <w:rPr>
          <w:i/>
          <w:iCs/>
        </w:rPr>
        <w:t>Poruchy gastrointestinálneho traktu</w:t>
      </w:r>
    </w:p>
    <w:p w14:paraId="23CB6226" w14:textId="072212A2" w:rsidR="003265B7" w:rsidRDefault="003265B7" w:rsidP="00B216ED">
      <w:pPr>
        <w:autoSpaceDE w:val="0"/>
        <w:autoSpaceDN w:val="0"/>
        <w:adjustRightInd w:val="0"/>
        <w:spacing w:line="240" w:lineRule="auto"/>
      </w:pPr>
      <w:r>
        <w:t xml:space="preserve">Časté: </w:t>
      </w:r>
      <w:r w:rsidR="0072096B">
        <w:t>kašovitá</w:t>
      </w:r>
      <w:r>
        <w:t xml:space="preserve"> stolica alebo hnačka.</w:t>
      </w:r>
    </w:p>
    <w:p w14:paraId="4C811C94" w14:textId="22C59DA9" w:rsidR="003265B7" w:rsidRDefault="003265B7" w:rsidP="00B216ED">
      <w:pPr>
        <w:autoSpaceDE w:val="0"/>
        <w:autoSpaceDN w:val="0"/>
        <w:adjustRightInd w:val="0"/>
        <w:spacing w:line="240" w:lineRule="auto"/>
      </w:pPr>
      <w:r>
        <w:t>Veľmi zriedkavé: počas liečby PBC sa vyskytla silná bolesť prav</w:t>
      </w:r>
      <w:r w:rsidR="00F354C4">
        <w:t>e</w:t>
      </w:r>
      <w:r w:rsidR="0072096B">
        <w:t>j hornej časti</w:t>
      </w:r>
      <w:r>
        <w:t xml:space="preserve"> brucha.</w:t>
      </w:r>
    </w:p>
    <w:p w14:paraId="10322C44" w14:textId="77777777" w:rsidR="003265B7" w:rsidRDefault="003265B7" w:rsidP="00B216ED">
      <w:pPr>
        <w:autoSpaceDE w:val="0"/>
        <w:autoSpaceDN w:val="0"/>
        <w:adjustRightInd w:val="0"/>
        <w:spacing w:line="240" w:lineRule="auto"/>
      </w:pPr>
    </w:p>
    <w:p w14:paraId="6FD8DFA7" w14:textId="77777777" w:rsidR="003265B7" w:rsidRPr="00D86431" w:rsidRDefault="003265B7" w:rsidP="00B216ED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D86431">
        <w:rPr>
          <w:i/>
          <w:iCs/>
        </w:rPr>
        <w:t>Poruchy pečene a žlčových ciest</w:t>
      </w:r>
    </w:p>
    <w:p w14:paraId="6E08F749" w14:textId="77777777" w:rsidR="003265B7" w:rsidRDefault="003265B7" w:rsidP="00B216ED">
      <w:pPr>
        <w:autoSpaceDE w:val="0"/>
        <w:autoSpaceDN w:val="0"/>
        <w:adjustRightInd w:val="0"/>
        <w:spacing w:line="240" w:lineRule="auto"/>
      </w:pPr>
      <w:r>
        <w:t>Veľmi zriedkavé: kalcifikácia žlčových kameňov; dekompenzácia cirhózy pečene (počas liečby pokročilých štádií PBC), ktorá čiastočne ustúpila po prerušení liečby.</w:t>
      </w:r>
    </w:p>
    <w:p w14:paraId="6903A1D4" w14:textId="77777777" w:rsidR="003265B7" w:rsidRDefault="003265B7" w:rsidP="00B216ED">
      <w:pPr>
        <w:autoSpaceDE w:val="0"/>
        <w:autoSpaceDN w:val="0"/>
        <w:adjustRightInd w:val="0"/>
        <w:spacing w:line="240" w:lineRule="auto"/>
      </w:pPr>
    </w:p>
    <w:p w14:paraId="4B643B06" w14:textId="77777777" w:rsidR="003265B7" w:rsidRPr="00D86431" w:rsidRDefault="003265B7" w:rsidP="00B216ED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D86431">
        <w:rPr>
          <w:i/>
          <w:iCs/>
        </w:rPr>
        <w:t>Poruchy kože a podkožného tkaniva:</w:t>
      </w:r>
    </w:p>
    <w:p w14:paraId="17B5DD00" w14:textId="123E11F9" w:rsidR="00033D26" w:rsidRDefault="003265B7" w:rsidP="00B216ED">
      <w:pPr>
        <w:autoSpaceDE w:val="0"/>
        <w:autoSpaceDN w:val="0"/>
        <w:adjustRightInd w:val="0"/>
        <w:spacing w:line="240" w:lineRule="auto"/>
      </w:pPr>
      <w:r>
        <w:t>Veľmi zriedkav</w:t>
      </w:r>
      <w:r w:rsidR="0072096B">
        <w:t>é</w:t>
      </w:r>
      <w:r>
        <w:t xml:space="preserve">: </w:t>
      </w:r>
      <w:r w:rsidR="00D86431">
        <w:t>urtikária</w:t>
      </w:r>
      <w:r>
        <w:t>.</w:t>
      </w:r>
    </w:p>
    <w:p w14:paraId="16B5DD56" w14:textId="59F8E9E8" w:rsidR="00D86431" w:rsidRDefault="00D86431" w:rsidP="00B216ED">
      <w:pPr>
        <w:autoSpaceDE w:val="0"/>
        <w:autoSpaceDN w:val="0"/>
        <w:adjustRightInd w:val="0"/>
        <w:spacing w:line="240" w:lineRule="auto"/>
      </w:pPr>
    </w:p>
    <w:p w14:paraId="3D3255EE" w14:textId="77777777" w:rsidR="00D86431" w:rsidRPr="001960DE" w:rsidRDefault="00D86431" w:rsidP="00B216ED">
      <w:pPr>
        <w:autoSpaceDE w:val="0"/>
        <w:autoSpaceDN w:val="0"/>
        <w:adjustRightInd w:val="0"/>
        <w:spacing w:line="240" w:lineRule="auto"/>
      </w:pPr>
    </w:p>
    <w:p w14:paraId="36EBFA61" w14:textId="77777777" w:rsidR="00B12D42" w:rsidRPr="00853C5F" w:rsidRDefault="0091265E" w:rsidP="00B216ED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BF5AB0">
        <w:rPr>
          <w:u w:val="single"/>
        </w:rPr>
        <w:t>Hlásenie podozrení na nežiaduce reakcie</w:t>
      </w:r>
    </w:p>
    <w:p w14:paraId="2083F16F" w14:textId="65946C18" w:rsidR="00517FE2" w:rsidRPr="00517FE2" w:rsidRDefault="00517FE2" w:rsidP="00B216ED">
      <w:pPr>
        <w:suppressLineNumbers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bidi="ar-SA"/>
        </w:rPr>
      </w:pPr>
      <w:r w:rsidRPr="00517FE2">
        <w:rPr>
          <w:noProof/>
          <w:szCs w:val="22"/>
          <w:lang w:bidi="ar-SA"/>
        </w:rPr>
        <w:t>Hlásenie podozrení na nežiaduce reakcie po registrácii lieku je dôležité.</w:t>
      </w:r>
      <w:r w:rsidRPr="00517FE2">
        <w:rPr>
          <w:szCs w:val="22"/>
          <w:lang w:bidi="ar-SA"/>
        </w:rPr>
        <w:t xml:space="preserve"> </w:t>
      </w:r>
      <w:r w:rsidRPr="00517FE2">
        <w:rPr>
          <w:noProof/>
          <w:szCs w:val="22"/>
          <w:lang w:bidi="ar-SA"/>
        </w:rPr>
        <w:t>Umožňuje priebežné monitorovanie pomeru prínosu a rizika lieku.</w:t>
      </w:r>
      <w:r w:rsidRPr="00517FE2">
        <w:rPr>
          <w:szCs w:val="22"/>
          <w:lang w:bidi="ar-SA"/>
        </w:rPr>
        <w:t xml:space="preserve"> Od </w:t>
      </w:r>
      <w:r w:rsidRPr="00517FE2">
        <w:rPr>
          <w:noProof/>
          <w:szCs w:val="22"/>
          <w:lang w:bidi="ar-SA"/>
        </w:rPr>
        <w:t xml:space="preserve">zdravotníckych pracovníkov sa vyžaduje, aby hlásili akékoľvek podozrenia na nežiaduce reakcie </w:t>
      </w:r>
      <w:r w:rsidR="00043D79">
        <w:rPr>
          <w:noProof/>
          <w:szCs w:val="22"/>
          <w:lang w:bidi="ar-SA"/>
        </w:rPr>
        <w:t>na</w:t>
      </w:r>
      <w:r w:rsidRPr="00517FE2">
        <w:rPr>
          <w:noProof/>
          <w:szCs w:val="22"/>
          <w:lang w:bidi="ar-SA"/>
        </w:rPr>
        <w:t xml:space="preserve"> </w:t>
      </w:r>
      <w:r w:rsidRPr="00517FE2">
        <w:rPr>
          <w:noProof/>
          <w:szCs w:val="22"/>
          <w:highlight w:val="lightGray"/>
          <w:lang w:bidi="ar-SA"/>
        </w:rPr>
        <w:t xml:space="preserve">národné </w:t>
      </w:r>
      <w:r w:rsidR="00043D79">
        <w:rPr>
          <w:noProof/>
          <w:szCs w:val="22"/>
          <w:highlight w:val="lightGray"/>
          <w:lang w:bidi="ar-SA"/>
        </w:rPr>
        <w:t>centrum</w:t>
      </w:r>
      <w:r w:rsidRPr="00517FE2">
        <w:rPr>
          <w:noProof/>
          <w:szCs w:val="22"/>
          <w:highlight w:val="lightGray"/>
          <w:lang w:bidi="ar-SA"/>
        </w:rPr>
        <w:t xml:space="preserve"> hlásenia uvedené v </w:t>
      </w:r>
      <w:hyperlink r:id="rId8" w:history="1">
        <w:r w:rsidR="00EA4AD6" w:rsidRPr="00EA4AD6">
          <w:rPr>
            <w:noProof/>
            <w:color w:val="0000FF"/>
            <w:szCs w:val="22"/>
            <w:highlight w:val="lightGray"/>
            <w:u w:val="single"/>
            <w:lang w:bidi="ar-SA"/>
          </w:rPr>
          <w:t>Prílohe V</w:t>
        </w:r>
      </w:hyperlink>
      <w:r w:rsidRPr="00517FE2">
        <w:rPr>
          <w:noProof/>
          <w:szCs w:val="22"/>
          <w:lang w:bidi="ar-SA"/>
        </w:rPr>
        <w:t>.</w:t>
      </w:r>
    </w:p>
    <w:p w14:paraId="6C3AF5F7" w14:textId="77777777" w:rsidR="008D35AD" w:rsidRPr="00891D76" w:rsidRDefault="008D35AD" w:rsidP="00B216ED">
      <w:pPr>
        <w:spacing w:line="240" w:lineRule="auto"/>
      </w:pPr>
    </w:p>
    <w:p w14:paraId="2CFAF892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Predávkovanie</w:t>
      </w:r>
    </w:p>
    <w:p w14:paraId="331ECBFC" w14:textId="77777777" w:rsidR="00812D16" w:rsidRPr="0082445A" w:rsidRDefault="00812D16" w:rsidP="00B216ED">
      <w:pPr>
        <w:spacing w:line="240" w:lineRule="auto"/>
      </w:pPr>
    </w:p>
    <w:p w14:paraId="71495A2B" w14:textId="13C20A2D" w:rsidR="00A30655" w:rsidRDefault="00A30655" w:rsidP="00B216ED">
      <w:pPr>
        <w:spacing w:line="240" w:lineRule="auto"/>
      </w:pPr>
      <w:r>
        <w:t>Pri predávkovaní sa môže vyskytnúť hnačka. Vo všeobecnosti sú ďalšie príznaky predávkovania nepravdepodobné, pretože absorpcia tohto lieku klesá so zvyšujúcou sa dávkou, a preto sa viac vylúči stolicou.</w:t>
      </w:r>
    </w:p>
    <w:p w14:paraId="26151510" w14:textId="77777777" w:rsidR="00A30655" w:rsidRDefault="00A30655" w:rsidP="00B216ED">
      <w:pPr>
        <w:spacing w:line="240" w:lineRule="auto"/>
      </w:pPr>
    </w:p>
    <w:p w14:paraId="11D5E0F4" w14:textId="77777777" w:rsidR="00A30655" w:rsidRDefault="00A30655" w:rsidP="00B216ED">
      <w:pPr>
        <w:spacing w:line="240" w:lineRule="auto"/>
      </w:pPr>
      <w:r w:rsidRPr="0082014A">
        <w:t>Nie</w:t>
      </w:r>
      <w:r>
        <w:t xml:space="preserve"> sú potrebné žiadne konkrétne opatrenia a následky hnačky sa musia liečiť symptomaticky s obnovením rovnováhy tekutín a elektrolytov.</w:t>
      </w:r>
    </w:p>
    <w:p w14:paraId="30B989B6" w14:textId="77777777" w:rsidR="00A30655" w:rsidRDefault="00A30655" w:rsidP="00B216ED">
      <w:pPr>
        <w:spacing w:line="240" w:lineRule="auto"/>
      </w:pPr>
    </w:p>
    <w:p w14:paraId="58E4CFE6" w14:textId="72442C0F" w:rsidR="00A30655" w:rsidRPr="00E802C2" w:rsidRDefault="00897C47" w:rsidP="00B216ED">
      <w:pPr>
        <w:spacing w:before="120"/>
        <w:rPr>
          <w:szCs w:val="22"/>
          <w:u w:val="single"/>
        </w:rPr>
      </w:pPr>
      <w:r w:rsidRPr="00897C47">
        <w:rPr>
          <w:szCs w:val="22"/>
          <w:u w:val="single"/>
        </w:rPr>
        <w:t xml:space="preserve">Ďalšie informácie </w:t>
      </w:r>
      <w:r w:rsidR="00A30655" w:rsidRPr="00E802C2">
        <w:rPr>
          <w:szCs w:val="22"/>
          <w:u w:val="single"/>
        </w:rPr>
        <w:t>pre osobitné skupiny pacientov</w:t>
      </w:r>
    </w:p>
    <w:p w14:paraId="168D4F58" w14:textId="1B320034" w:rsidR="007E4269" w:rsidRDefault="00A30655" w:rsidP="00B216ED">
      <w:pPr>
        <w:spacing w:line="240" w:lineRule="auto"/>
      </w:pPr>
      <w:r>
        <w:t>Dlhodobé používanie vysokých dávok tohto lieku (28-30 mg/kg/deň) u pacientov s primárnou sklerotizujúcou cholangitídou (použitie mimo schválených indikácií) je spojené s vyšším výskytom závažných nežiaducich účinkov.</w:t>
      </w:r>
    </w:p>
    <w:p w14:paraId="2B729F3D" w14:textId="6753A92B" w:rsidR="00A30655" w:rsidRDefault="00A30655" w:rsidP="00B216ED">
      <w:pPr>
        <w:spacing w:line="240" w:lineRule="auto"/>
      </w:pPr>
    </w:p>
    <w:p w14:paraId="0F8DD7CD" w14:textId="77777777" w:rsidR="00A30655" w:rsidRDefault="00A30655" w:rsidP="00B216ED">
      <w:pPr>
        <w:spacing w:line="240" w:lineRule="auto"/>
      </w:pPr>
    </w:p>
    <w:p w14:paraId="46299971" w14:textId="77777777" w:rsidR="00812D16" w:rsidRPr="0082445A" w:rsidRDefault="0091265E" w:rsidP="00B216ED">
      <w:pPr>
        <w:keepNext/>
        <w:numPr>
          <w:ilvl w:val="0"/>
          <w:numId w:val="6"/>
        </w:numPr>
        <w:suppressAutoHyphens/>
        <w:spacing w:line="240" w:lineRule="auto"/>
      </w:pPr>
      <w:r w:rsidRPr="00BF5AB0">
        <w:rPr>
          <w:b/>
        </w:rPr>
        <w:t>FARM</w:t>
      </w:r>
      <w:r w:rsidRPr="00891D76">
        <w:rPr>
          <w:b/>
        </w:rPr>
        <w:t>AKOLOGICKÉ VLASTNOSTI</w:t>
      </w:r>
    </w:p>
    <w:p w14:paraId="44F05FEA" w14:textId="77777777" w:rsidR="00812D16" w:rsidRPr="0082445A" w:rsidRDefault="00812D16" w:rsidP="00B216ED">
      <w:pPr>
        <w:keepNext/>
        <w:spacing w:line="240" w:lineRule="auto"/>
      </w:pPr>
    </w:p>
    <w:p w14:paraId="549C6202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Farmakodynamické vlastnosti</w:t>
      </w:r>
    </w:p>
    <w:p w14:paraId="0E68C3F1" w14:textId="77777777" w:rsidR="00812D16" w:rsidRPr="0082445A" w:rsidRDefault="00812D16" w:rsidP="00B216ED">
      <w:pPr>
        <w:keepNext/>
        <w:spacing w:line="240" w:lineRule="auto"/>
      </w:pPr>
    </w:p>
    <w:p w14:paraId="578E3922" w14:textId="0A5C6AF6" w:rsidR="006E507B" w:rsidRPr="006E507B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 xml:space="preserve">Farmakoterapeutická skupina: </w:t>
      </w:r>
      <w:r w:rsidR="00897C47">
        <w:t>l</w:t>
      </w:r>
      <w:r w:rsidRPr="006E507B">
        <w:t>iečivá na žlčové cesty</w:t>
      </w:r>
      <w:r w:rsidR="00897C47">
        <w:t>,</w:t>
      </w:r>
      <w:r w:rsidRPr="006E507B">
        <w:t xml:space="preserve"> </w:t>
      </w:r>
      <w:r w:rsidR="00897C47">
        <w:t>l</w:t>
      </w:r>
      <w:r w:rsidRPr="006E507B">
        <w:t xml:space="preserve">ieky obsahujúce žlčové kyseliny. </w:t>
      </w:r>
    </w:p>
    <w:p w14:paraId="0632A373" w14:textId="77777777" w:rsidR="006E507B" w:rsidRPr="006E507B" w:rsidRDefault="006E507B" w:rsidP="00B216ED">
      <w:pPr>
        <w:numPr>
          <w:ilvl w:val="12"/>
          <w:numId w:val="0"/>
        </w:numPr>
        <w:spacing w:line="240" w:lineRule="auto"/>
        <w:ind w:right="-2"/>
      </w:pPr>
      <w:r w:rsidRPr="006E507B">
        <w:rPr>
          <w:iCs/>
        </w:rPr>
        <w:t>ATC-kód</w:t>
      </w:r>
      <w:r w:rsidRPr="006E507B">
        <w:t xml:space="preserve">: </w:t>
      </w:r>
      <w:r w:rsidRPr="006E507B">
        <w:rPr>
          <w:bCs/>
        </w:rPr>
        <w:t xml:space="preserve">A05AA02 </w:t>
      </w:r>
    </w:p>
    <w:p w14:paraId="68516873" w14:textId="77777777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</w:p>
    <w:p w14:paraId="1620FC44" w14:textId="168025BA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 xml:space="preserve">Žlčové kyseliny sú najdôležitejšími zložkami žlče a zohrávajú úlohu pri stimulácii produkcie žlče. Žlčové kyseliny sú tiež dôležité na udržanie cholesterolu rozpusteného v žlči. U zdravých jedincov je pomer medzi koncentráciami cholesterolu a žlčových kyselín v žlči taký, že cholesterol je po väčšinu dňa rozpustený. Preto sa nemôžu tvoriť žiadne žlčové kamene (žlč nie je litogénna). U pacientov s cholesterolovými kameňmi </w:t>
      </w:r>
      <w:r w:rsidR="00897C47">
        <w:t xml:space="preserve">v žlčníku </w:t>
      </w:r>
      <w:r>
        <w:t>je tento pomer zmenený a žlč je presýtená cholesterolom (žlč</w:t>
      </w:r>
      <w:r w:rsidR="00A30655">
        <w:t xml:space="preserve"> je litogénna</w:t>
      </w:r>
      <w:r>
        <w:t>). Po určitom čase to môže spôsobiť vyzrážanie kryštálov cholesterolu a tvorbu žlčových kameňov. Tento liek môže konvertovať litogénnu žlč na ne</w:t>
      </w:r>
      <w:r w:rsidR="00A30655">
        <w:t>lito</w:t>
      </w:r>
      <w:r>
        <w:t xml:space="preserve">génnu žlč a tiež postupne rozpúšťať </w:t>
      </w:r>
      <w:r w:rsidR="00A30655">
        <w:t xml:space="preserve">cholesterolové </w:t>
      </w:r>
      <w:r>
        <w:t>žlčové kamene.</w:t>
      </w:r>
    </w:p>
    <w:p w14:paraId="4306AA38" w14:textId="77777777" w:rsidR="00897C47" w:rsidRDefault="00897C47" w:rsidP="00B216ED">
      <w:pPr>
        <w:numPr>
          <w:ilvl w:val="12"/>
          <w:numId w:val="0"/>
        </w:numPr>
        <w:spacing w:line="240" w:lineRule="auto"/>
        <w:ind w:right="-2"/>
      </w:pPr>
    </w:p>
    <w:p w14:paraId="16A16136" w14:textId="62C50CEA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>Štúdie</w:t>
      </w:r>
      <w:r w:rsidR="00A30655">
        <w:t>,</w:t>
      </w:r>
      <w:r>
        <w:t xml:space="preserve"> týkajúce sa účinku tohto lieku na cholestázu u pacientov s poruchou dren</w:t>
      </w:r>
      <w:r w:rsidR="006609CB">
        <w:t>áže</w:t>
      </w:r>
      <w:r>
        <w:t xml:space="preserve"> žlčových ciest a na klinické príznaky u pacientov s biliárnou cirhózou a cystickou fibrózou</w:t>
      </w:r>
      <w:r w:rsidR="00A30655">
        <w:t>,</w:t>
      </w:r>
      <w:r>
        <w:t xml:space="preserve"> preukázali rýchly pokles cholestatických príznakov v krvi (merané zvýšenými hladinami alkalickej fosfatázy (AP), </w:t>
      </w:r>
      <w:r w:rsidR="00A30655">
        <w:t>G</w:t>
      </w:r>
      <w:r w:rsidR="00897C47">
        <w:t>G</w:t>
      </w:r>
      <w:r w:rsidR="00A30655">
        <w:t>T</w:t>
      </w:r>
      <w:r>
        <w:t xml:space="preserve"> a bilirubín</w:t>
      </w:r>
      <w:r w:rsidR="00897C47">
        <w:t>u</w:t>
      </w:r>
      <w:r>
        <w:t>) a svrbeni</w:t>
      </w:r>
      <w:r w:rsidR="00A30655">
        <w:t>a</w:t>
      </w:r>
      <w:r>
        <w:t>, ako aj zníženú únavu u väčšiny pacientov.</w:t>
      </w:r>
    </w:p>
    <w:p w14:paraId="481B229E" w14:textId="77777777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</w:p>
    <w:p w14:paraId="540BE49C" w14:textId="77777777" w:rsidR="006E507B" w:rsidRPr="00A30655" w:rsidRDefault="006E507B" w:rsidP="00B216ED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30655">
        <w:rPr>
          <w:u w:val="single"/>
        </w:rPr>
        <w:t>Pediatrická populácia</w:t>
      </w:r>
    </w:p>
    <w:p w14:paraId="674E0D03" w14:textId="77777777" w:rsidR="006E507B" w:rsidRPr="00A30655" w:rsidRDefault="006E507B" w:rsidP="00B216ED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A30655">
        <w:rPr>
          <w:u w:val="single"/>
        </w:rPr>
        <w:t>Cystická fibróza</w:t>
      </w:r>
    </w:p>
    <w:p w14:paraId="44403492" w14:textId="2B3DE366" w:rsidR="00812D16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 xml:space="preserve">Z klinických </w:t>
      </w:r>
      <w:r w:rsidR="00A30655">
        <w:t>štúdií</w:t>
      </w:r>
      <w:r>
        <w:t xml:space="preserve"> sú dostupné dlhodobé skúsenosti s liečbou </w:t>
      </w:r>
      <w:r w:rsidR="00A30655">
        <w:t xml:space="preserve">kyselinou </w:t>
      </w:r>
      <w:r w:rsidR="001D6F2B">
        <w:t>urzodeo</w:t>
      </w:r>
      <w:r w:rsidR="00A30655">
        <w:t>xycholovou</w:t>
      </w:r>
      <w:r>
        <w:t xml:space="preserve"> u </w:t>
      </w:r>
      <w:r w:rsidR="006609CB">
        <w:t>pediatrických</w:t>
      </w:r>
      <w:r>
        <w:t xml:space="preserve"> pacientov s hepatobiliárnymi poruchami v dôsledku cystickej fibrózy (CFAHD) viac ako 10 rokov. Ukázalo sa, že liečba </w:t>
      </w:r>
      <w:r w:rsidR="006609CB">
        <w:t>kyselinou urzodeoxycholovou</w:t>
      </w:r>
      <w:r>
        <w:t xml:space="preserve"> môže znížiť proliferáciu žlčovodov, zastaviť progresiu histologického poškodenia a dokonca zvrátiť hepatobiliárne zmeny, keď sa podáva v ranom štádiu CFAHD. Liečba týmto liekom sa musí začať ihneď po stanovení diagnózy CFAHD, aby sa optimalizoval účinok liečby.</w:t>
      </w:r>
    </w:p>
    <w:p w14:paraId="619CCFD2" w14:textId="77777777" w:rsidR="00A30655" w:rsidRPr="00BF5AB0" w:rsidRDefault="00A30655" w:rsidP="00B216ED">
      <w:pPr>
        <w:numPr>
          <w:ilvl w:val="12"/>
          <w:numId w:val="0"/>
        </w:numPr>
        <w:spacing w:line="240" w:lineRule="auto"/>
        <w:ind w:right="-2"/>
      </w:pPr>
    </w:p>
    <w:p w14:paraId="6E2D9E34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Farmakokinetické vlastnosti</w:t>
      </w:r>
    </w:p>
    <w:p w14:paraId="671B1092" w14:textId="77777777" w:rsidR="00812D16" w:rsidRPr="001960DE" w:rsidRDefault="00812D16" w:rsidP="00B216ED">
      <w:pPr>
        <w:keepNext/>
        <w:spacing w:line="240" w:lineRule="auto"/>
        <w:ind w:left="567" w:hanging="567"/>
        <w:outlineLvl w:val="0"/>
      </w:pPr>
    </w:p>
    <w:p w14:paraId="16157F3A" w14:textId="55071352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 xml:space="preserve">Asi 60 - 80% </w:t>
      </w:r>
      <w:r w:rsidR="006609CB">
        <w:t>perorálne</w:t>
      </w:r>
      <w:r>
        <w:t xml:space="preserve"> podanej kyseliny </w:t>
      </w:r>
      <w:r w:rsidR="001D6F2B">
        <w:t>urzodeo</w:t>
      </w:r>
      <w:r>
        <w:t>xycholovej sa rýchlo absorbuje v jej</w:t>
      </w:r>
      <w:r w:rsidR="006609CB">
        <w:t>ú</w:t>
      </w:r>
      <w:r>
        <w:t>ne a hornom ileu pasívnou difúziou a v terminálnom ileu aktívnym transportom.</w:t>
      </w:r>
    </w:p>
    <w:p w14:paraId="51BE81B3" w14:textId="77777777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</w:p>
    <w:p w14:paraId="1482A19F" w14:textId="0128704E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 xml:space="preserve">Po absorpcii prechádza kyselina </w:t>
      </w:r>
      <w:r w:rsidR="001D6F2B">
        <w:t>urzodeo</w:t>
      </w:r>
      <w:r>
        <w:t xml:space="preserve">xycholová do pečene (existuje výrazný „first-pass-effect“), kde je konjugovaná s glycínom alebo taurínom a následne sa vylučuje do žlčových ciest. V systémovom obehu sa nachádza iba malá časť kyseliny </w:t>
      </w:r>
      <w:r w:rsidR="001D6F2B">
        <w:t>urzodeo</w:t>
      </w:r>
      <w:r>
        <w:t xml:space="preserve">xycholovej a táto sa vylučuje obličkami. Kyselina </w:t>
      </w:r>
      <w:r w:rsidR="001D6F2B">
        <w:t>urzodeo</w:t>
      </w:r>
      <w:r>
        <w:t xml:space="preserve">xycholová sa, s výnimkou konjugácie, nemetabolizuje. </w:t>
      </w:r>
      <w:r w:rsidR="00285A1C">
        <w:t>Avšak p</w:t>
      </w:r>
      <w:r>
        <w:t xml:space="preserve">o každom enterohepatickom obehu malé množstvo perorálne podanej kyseliny </w:t>
      </w:r>
      <w:r w:rsidR="001D6F2B">
        <w:t>urzodeo</w:t>
      </w:r>
      <w:r>
        <w:t xml:space="preserve">xycholovej </w:t>
      </w:r>
      <w:r w:rsidR="006609CB">
        <w:t>podlieha</w:t>
      </w:r>
      <w:r>
        <w:t xml:space="preserve"> bakteriáln</w:t>
      </w:r>
      <w:r w:rsidR="006609CB">
        <w:t>ej konverzii</w:t>
      </w:r>
      <w:r>
        <w:t xml:space="preserve"> na </w:t>
      </w:r>
      <w:r w:rsidR="006609CB">
        <w:t xml:space="preserve">kyselinu </w:t>
      </w:r>
      <w:r>
        <w:t>7</w:t>
      </w:r>
      <w:r w:rsidR="006609CB">
        <w:t>-</w:t>
      </w:r>
      <w:r>
        <w:t xml:space="preserve">keto-litocholovú alebo </w:t>
      </w:r>
      <w:r w:rsidR="006609CB">
        <w:t xml:space="preserve">kyselinu </w:t>
      </w:r>
      <w:r>
        <w:t>litocholovú</w:t>
      </w:r>
      <w:r w:rsidR="00285A1C">
        <w:t>, pričom v duodéne tiež prebieha bakteriálna dekonjugácia</w:t>
      </w:r>
      <w:r>
        <w:t>.</w:t>
      </w:r>
    </w:p>
    <w:p w14:paraId="727F1252" w14:textId="7AA06A6C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 xml:space="preserve">Pretože kyselina </w:t>
      </w:r>
      <w:r w:rsidR="001D6F2B">
        <w:t>urzodeo</w:t>
      </w:r>
      <w:r>
        <w:t>xycholová, kyselina 7</w:t>
      </w:r>
      <w:r w:rsidR="00285A1C">
        <w:t>-</w:t>
      </w:r>
      <w:r>
        <w:t xml:space="preserve">keto-litocholová a kyselina litocholová sú relatívne slabo rozpustné vo vode, veľké množstvo sa vylučuje žlčou do stolice. Absorbovaná kyselina </w:t>
      </w:r>
      <w:r w:rsidR="001D6F2B">
        <w:t>urzodeo</w:t>
      </w:r>
      <w:r>
        <w:t>xycholová sa v pečeni opäť konjuguje; 80% kyseliny litocholovej produkovanej v dvanástniku sa vylučuje stolicou, ale zvyšných 20% sa sulf</w:t>
      </w:r>
      <w:r w:rsidR="009E2333">
        <w:t>á</w:t>
      </w:r>
      <w:r>
        <w:t xml:space="preserve">tuje po absorpcii v pečeni do nerozpustných </w:t>
      </w:r>
      <w:r w:rsidR="009E2333">
        <w:t xml:space="preserve">litocholových </w:t>
      </w:r>
      <w:r>
        <w:t>konjugátov, ktoré sa potom vylučujú žlčou a stolicou. Absorbovaná kyselina 7-keto</w:t>
      </w:r>
      <w:r w:rsidR="009E2333">
        <w:t>-</w:t>
      </w:r>
      <w:r>
        <w:t>litocholová sa v pečeni redukuje na kyselinu chenodeoxycholovú.</w:t>
      </w:r>
    </w:p>
    <w:p w14:paraId="0FEED186" w14:textId="77777777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</w:p>
    <w:p w14:paraId="57E8AD5D" w14:textId="15966B0F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>Keď pečeň nie je schopná sulf</w:t>
      </w:r>
      <w:r w:rsidR="009E2333">
        <w:t>á</w:t>
      </w:r>
      <w:r>
        <w:t xml:space="preserve">tovať kyselinu litocholovú, kyselina litocholová môže spôsobiť cholestatické poškodenie pečene. Aj keď sa u niektorých pacientov zistila znížená kapacita na sulfátovanie kyseliny litocholovej v pečeni, nie sú zatiaľ k dispozícii žiadne klinické dôkazy, ktoré by naznačovali, že cholestatické poškodenie pečene môže byť spojené s liečbou kyselinou </w:t>
      </w:r>
      <w:r w:rsidR="001D6F2B">
        <w:t>urzodeo</w:t>
      </w:r>
      <w:r>
        <w:t>xycholovou.</w:t>
      </w:r>
    </w:p>
    <w:p w14:paraId="144F9EA8" w14:textId="77777777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</w:p>
    <w:p w14:paraId="4D864CA7" w14:textId="3F9366E6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 xml:space="preserve">Po opakovanom dávkovaní dosiahne koncentrácia kyseliny </w:t>
      </w:r>
      <w:r w:rsidR="001D6F2B">
        <w:t>urzodeo</w:t>
      </w:r>
      <w:r>
        <w:t xml:space="preserve">xycholovej v žlči ustálený stav asi po 3 týždňoch: celková koncentrácia kyseliny </w:t>
      </w:r>
      <w:r w:rsidR="001D6F2B">
        <w:t>urzodeo</w:t>
      </w:r>
      <w:r>
        <w:t xml:space="preserve">xycholovej však nikdy nie je vyššia ako asi 60% celkovej koncentrácie </w:t>
      </w:r>
      <w:r w:rsidR="009E2333">
        <w:t>žlčových kyselín</w:t>
      </w:r>
      <w:r>
        <w:t xml:space="preserve"> v žlči, a to ani pri vysokých dávkach.</w:t>
      </w:r>
    </w:p>
    <w:p w14:paraId="3437704B" w14:textId="77777777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</w:p>
    <w:p w14:paraId="4DDBCDFA" w14:textId="0B55CEB4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 xml:space="preserve">Po ukončení liečby </w:t>
      </w:r>
      <w:r w:rsidR="001D6F2B">
        <w:t>urzodeo</w:t>
      </w:r>
      <w:r>
        <w:t xml:space="preserve">xycholovou kyselinou sa koncentrácia kyseliny </w:t>
      </w:r>
      <w:r w:rsidR="001D6F2B">
        <w:t>urzodeo</w:t>
      </w:r>
      <w:r>
        <w:t>xycholovej v žlči po 1 týždni rýchlo zníži na 5</w:t>
      </w:r>
      <w:r w:rsidR="00F60596">
        <w:t>-</w:t>
      </w:r>
      <w:r>
        <w:t>10% koncentrácie</w:t>
      </w:r>
      <w:r w:rsidR="004F69F3">
        <w:t xml:space="preserve"> v rovnovážnom stave</w:t>
      </w:r>
      <w:r>
        <w:t>.</w:t>
      </w:r>
    </w:p>
    <w:p w14:paraId="0479DCC5" w14:textId="77777777" w:rsidR="006E507B" w:rsidRDefault="006E507B" w:rsidP="00B216ED">
      <w:pPr>
        <w:numPr>
          <w:ilvl w:val="12"/>
          <w:numId w:val="0"/>
        </w:numPr>
        <w:spacing w:line="240" w:lineRule="auto"/>
        <w:ind w:right="-2"/>
      </w:pPr>
    </w:p>
    <w:p w14:paraId="02800EE5" w14:textId="75E776CD" w:rsidR="00812D16" w:rsidRDefault="006E507B" w:rsidP="00B216ED">
      <w:pPr>
        <w:numPr>
          <w:ilvl w:val="12"/>
          <w:numId w:val="0"/>
        </w:numPr>
        <w:spacing w:line="240" w:lineRule="auto"/>
        <w:ind w:right="-2"/>
      </w:pPr>
      <w:r>
        <w:t xml:space="preserve">Biologický polčas kyseliny </w:t>
      </w:r>
      <w:r w:rsidR="001D6F2B">
        <w:t>urzodeo</w:t>
      </w:r>
      <w:r>
        <w:t xml:space="preserve">xycholovej je približne 3,5 </w:t>
      </w:r>
      <w:r w:rsidR="004F69F3">
        <w:t xml:space="preserve">- </w:t>
      </w:r>
      <w:r>
        <w:t>5,8 dňa.</w:t>
      </w:r>
    </w:p>
    <w:p w14:paraId="1A0F30E1" w14:textId="77777777" w:rsidR="006E507B" w:rsidRPr="00BF5AB0" w:rsidRDefault="006E507B" w:rsidP="00B216ED">
      <w:pPr>
        <w:numPr>
          <w:ilvl w:val="12"/>
          <w:numId w:val="0"/>
        </w:numPr>
        <w:spacing w:line="240" w:lineRule="auto"/>
        <w:ind w:right="-2"/>
      </w:pPr>
    </w:p>
    <w:p w14:paraId="05C80D7C" w14:textId="77777777" w:rsidR="00812D16" w:rsidRPr="00891D76" w:rsidRDefault="0091265E" w:rsidP="00B216ED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Predklinické údaje o bezpečnosti</w:t>
      </w:r>
    </w:p>
    <w:p w14:paraId="66B9FA8E" w14:textId="77777777" w:rsidR="00812D16" w:rsidRPr="0082445A" w:rsidRDefault="00812D16" w:rsidP="00B216ED">
      <w:pPr>
        <w:keepNext/>
        <w:spacing w:line="240" w:lineRule="auto"/>
      </w:pPr>
    </w:p>
    <w:p w14:paraId="22B2F785" w14:textId="73919ADB" w:rsidR="00EA25A3" w:rsidRDefault="00EA25A3" w:rsidP="00B216ED">
      <w:pPr>
        <w:spacing w:line="240" w:lineRule="auto"/>
      </w:pPr>
      <w:r>
        <w:t>Predklinické údaje</w:t>
      </w:r>
      <w:r w:rsidR="004F69F3">
        <w:t xml:space="preserve"> získané</w:t>
      </w:r>
      <w:r>
        <w:t xml:space="preserve"> na základe obvyklých </w:t>
      </w:r>
      <w:r w:rsidR="004F69F3">
        <w:t xml:space="preserve">farmakologických </w:t>
      </w:r>
      <w:r>
        <w:t>štúdií bezpečnosti, toxicity po opakovanom podaní, genotoxicity a karcinogénneho potenciálu, neodhalili žiadne osobitné riziko pre ľudí.</w:t>
      </w:r>
    </w:p>
    <w:p w14:paraId="46CE7DFC" w14:textId="77777777" w:rsidR="00EA25A3" w:rsidRDefault="00EA25A3" w:rsidP="00B216ED">
      <w:pPr>
        <w:spacing w:line="240" w:lineRule="auto"/>
      </w:pPr>
    </w:p>
    <w:p w14:paraId="7AC41020" w14:textId="77777777" w:rsidR="00EA25A3" w:rsidRPr="00EA25A3" w:rsidRDefault="00EA25A3" w:rsidP="00B216ED">
      <w:pPr>
        <w:spacing w:line="240" w:lineRule="auto"/>
        <w:rPr>
          <w:i/>
          <w:iCs/>
        </w:rPr>
      </w:pPr>
      <w:r w:rsidRPr="00EA25A3">
        <w:rPr>
          <w:i/>
          <w:iCs/>
        </w:rPr>
        <w:t>Akútna toxicita</w:t>
      </w:r>
    </w:p>
    <w:p w14:paraId="4EAB84D3" w14:textId="6489EBAF" w:rsidR="00EA25A3" w:rsidRDefault="00EA25A3" w:rsidP="00B216ED">
      <w:pPr>
        <w:spacing w:line="240" w:lineRule="auto"/>
      </w:pPr>
      <w:r>
        <w:t>Štúdie akútnej toxicity na zvieratách neodhalili žiadne toxické poškodenia.</w:t>
      </w:r>
    </w:p>
    <w:p w14:paraId="25136D64" w14:textId="77777777" w:rsidR="00EA25A3" w:rsidRDefault="00EA25A3" w:rsidP="00B216ED">
      <w:pPr>
        <w:spacing w:line="240" w:lineRule="auto"/>
      </w:pPr>
    </w:p>
    <w:p w14:paraId="75586DE4" w14:textId="77777777" w:rsidR="00EA25A3" w:rsidRPr="00EA25A3" w:rsidRDefault="00EA25A3" w:rsidP="00B216ED">
      <w:pPr>
        <w:spacing w:line="240" w:lineRule="auto"/>
        <w:rPr>
          <w:i/>
          <w:iCs/>
        </w:rPr>
      </w:pPr>
      <w:r w:rsidRPr="00EA25A3">
        <w:rPr>
          <w:i/>
          <w:iCs/>
        </w:rPr>
        <w:t>Chronická toxicita</w:t>
      </w:r>
    </w:p>
    <w:p w14:paraId="5C7CB87D" w14:textId="54AB60CB" w:rsidR="00EA25A3" w:rsidRDefault="00EA25A3" w:rsidP="00B216ED">
      <w:pPr>
        <w:spacing w:line="240" w:lineRule="auto"/>
      </w:pPr>
      <w:r>
        <w:t xml:space="preserve">Štúdie subchronickej toxicity na opiciach odhalili hepatotoxické účinky v skupinách liečených vyššími dávkami. Tieto účinky sa týkali funkčných zmien (ako sú zmeny pečeňových enzýmov) a morfologických zmien, ako je proliferácia žlčových ciest, </w:t>
      </w:r>
      <w:r w:rsidRPr="0071460A">
        <w:t>portál</w:t>
      </w:r>
      <w:r w:rsidR="004F69F3" w:rsidRPr="0071460A">
        <w:t>ny</w:t>
      </w:r>
      <w:r w:rsidRPr="0071460A">
        <w:t xml:space="preserve"> zápa</w:t>
      </w:r>
      <w:r w:rsidR="004F69F3" w:rsidRPr="0071460A">
        <w:t>l</w:t>
      </w:r>
      <w:r>
        <w:t xml:space="preserve"> a hepatocelulárna nekróza. Tieto toxické účinky najpravdepodobnejšie súvisia s kyselinou litocholovou, metabolitom kyseliny </w:t>
      </w:r>
      <w:r w:rsidR="001D6F2B">
        <w:t>urzodeo</w:t>
      </w:r>
      <w:r>
        <w:t>xycholovej, ktorá sa u opíc (na rozdiel od ľudí) nedegraduje. Klinické skúsenosti potvrdzujú, že opísané hepatotoxické účinky nemajú u ľudí žiadny zjavný význam.</w:t>
      </w:r>
    </w:p>
    <w:p w14:paraId="37BE8C92" w14:textId="77777777" w:rsidR="00EA25A3" w:rsidRDefault="00EA25A3" w:rsidP="00B216ED">
      <w:pPr>
        <w:spacing w:line="240" w:lineRule="auto"/>
      </w:pPr>
    </w:p>
    <w:p w14:paraId="24238BDE" w14:textId="6CF9941B" w:rsidR="00EA25A3" w:rsidRPr="00EA25A3" w:rsidRDefault="00EA25A3" w:rsidP="00B216ED">
      <w:pPr>
        <w:spacing w:line="240" w:lineRule="auto"/>
        <w:rPr>
          <w:i/>
          <w:iCs/>
        </w:rPr>
      </w:pPr>
      <w:r w:rsidRPr="00EA25A3">
        <w:rPr>
          <w:i/>
          <w:iCs/>
        </w:rPr>
        <w:t>Ka</w:t>
      </w:r>
      <w:r>
        <w:rPr>
          <w:i/>
          <w:iCs/>
        </w:rPr>
        <w:t>ncer</w:t>
      </w:r>
      <w:r w:rsidRPr="00EA25A3">
        <w:rPr>
          <w:i/>
          <w:iCs/>
        </w:rPr>
        <w:t>ogénny a mutagénny potenciál</w:t>
      </w:r>
    </w:p>
    <w:p w14:paraId="02B97A6D" w14:textId="4DAD2E6D" w:rsidR="00EA25A3" w:rsidRDefault="00EA25A3" w:rsidP="00B216ED">
      <w:pPr>
        <w:spacing w:line="240" w:lineRule="auto"/>
      </w:pPr>
      <w:r>
        <w:t xml:space="preserve">Dlhodobé štúdie na myšiach a potkanoch neodhalili žiadne dôkazy o tom, že by kyselina </w:t>
      </w:r>
      <w:r w:rsidR="001D6F2B">
        <w:t>urzodeo</w:t>
      </w:r>
      <w:r>
        <w:t>xycholová mala kancerogénny alebo mutagénny potenciál.</w:t>
      </w:r>
    </w:p>
    <w:p w14:paraId="209A529C" w14:textId="77777777" w:rsidR="00EA25A3" w:rsidRDefault="00EA25A3" w:rsidP="00B216ED">
      <w:pPr>
        <w:spacing w:line="240" w:lineRule="auto"/>
      </w:pPr>
    </w:p>
    <w:p w14:paraId="5B5FE830" w14:textId="77777777" w:rsidR="00EA25A3" w:rsidRPr="00EA25A3" w:rsidRDefault="00EA25A3" w:rsidP="00B216ED">
      <w:pPr>
        <w:spacing w:line="240" w:lineRule="auto"/>
        <w:rPr>
          <w:i/>
          <w:iCs/>
        </w:rPr>
      </w:pPr>
      <w:r w:rsidRPr="00EA25A3">
        <w:rPr>
          <w:i/>
          <w:iCs/>
        </w:rPr>
        <w:t>Reprodukčná toxicita</w:t>
      </w:r>
    </w:p>
    <w:p w14:paraId="095B6F27" w14:textId="74E59CBE" w:rsidR="00EA25A3" w:rsidRDefault="00EA25A3" w:rsidP="00B216ED">
      <w:pPr>
        <w:spacing w:line="240" w:lineRule="auto"/>
      </w:pPr>
      <w:r>
        <w:t xml:space="preserve">V štúdiách na potkanoch sa vyskytli pri vysokej dávke, 2 000 mg/kg kyseliny </w:t>
      </w:r>
      <w:r w:rsidR="001D6F2B">
        <w:t>urzodeo</w:t>
      </w:r>
      <w:r>
        <w:t>xycholovej, malformácie chvostov.</w:t>
      </w:r>
    </w:p>
    <w:p w14:paraId="62BDDB4B" w14:textId="2B4E0B06" w:rsidR="00812D16" w:rsidRDefault="00EA25A3" w:rsidP="00B216ED">
      <w:pPr>
        <w:spacing w:line="240" w:lineRule="auto"/>
      </w:pPr>
      <w:r>
        <w:t>U králikov sa nezistili žiadne teratogénne účinky, hoci pri vysokých dávkach 100 mg/kg alebo vyšších, sa pozorovali embryotoxické účinky. Tento liek nemal žiadny vplyv na fertilitu potkanov a nemal žiadny vplyv na perinatálny a postnatálny vývoj potomstva u potkanov.</w:t>
      </w:r>
    </w:p>
    <w:p w14:paraId="526DD8D0" w14:textId="5B2390F5" w:rsidR="00EA25A3" w:rsidRDefault="00EA25A3" w:rsidP="00043D79">
      <w:pPr>
        <w:spacing w:line="240" w:lineRule="auto"/>
      </w:pPr>
    </w:p>
    <w:p w14:paraId="7E7CE855" w14:textId="77777777" w:rsidR="00EA25A3" w:rsidRPr="00A72672" w:rsidRDefault="00EA25A3" w:rsidP="00043D79">
      <w:pPr>
        <w:spacing w:line="240" w:lineRule="auto"/>
      </w:pPr>
    </w:p>
    <w:p w14:paraId="2892BD77" w14:textId="77777777" w:rsidR="00812D16" w:rsidRPr="00891D76" w:rsidRDefault="0091265E" w:rsidP="00043D79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BF5AB0">
        <w:rPr>
          <w:b/>
        </w:rPr>
        <w:t>FARMACEUTICKÉ INFORMÁCIE</w:t>
      </w:r>
    </w:p>
    <w:p w14:paraId="207B4351" w14:textId="77777777" w:rsidR="00812D16" w:rsidRPr="0082445A" w:rsidRDefault="00812D16">
      <w:pPr>
        <w:keepNext/>
        <w:spacing w:line="240" w:lineRule="auto"/>
      </w:pPr>
    </w:p>
    <w:p w14:paraId="33D24009" w14:textId="77777777" w:rsidR="00812D16" w:rsidRPr="00891D76" w:rsidRDefault="0091265E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Zoznam pomocných látok</w:t>
      </w:r>
    </w:p>
    <w:p w14:paraId="23EF694C" w14:textId="77777777" w:rsidR="00812D16" w:rsidRPr="00085939" w:rsidRDefault="00812D16">
      <w:pPr>
        <w:keepNext/>
        <w:spacing w:line="240" w:lineRule="auto"/>
        <w:rPr>
          <w:i/>
        </w:rPr>
      </w:pPr>
    </w:p>
    <w:p w14:paraId="1D79442D" w14:textId="77777777" w:rsidR="00EA25A3" w:rsidRPr="0071460A" w:rsidRDefault="00EA25A3">
      <w:pPr>
        <w:spacing w:line="240" w:lineRule="auto"/>
      </w:pPr>
      <w:r w:rsidRPr="0071460A">
        <w:t>Kukuričný škrob</w:t>
      </w:r>
    </w:p>
    <w:p w14:paraId="50392BE4" w14:textId="77777777" w:rsidR="00EA25A3" w:rsidRPr="0071460A" w:rsidRDefault="00EA25A3">
      <w:pPr>
        <w:spacing w:line="240" w:lineRule="auto"/>
      </w:pPr>
      <w:r w:rsidRPr="0071460A">
        <w:t>Oxid kremičitý (E 551)</w:t>
      </w:r>
    </w:p>
    <w:p w14:paraId="3C55B6D9" w14:textId="50B29DD9" w:rsidR="00EA25A3" w:rsidRPr="0071460A" w:rsidRDefault="00EA25A3">
      <w:pPr>
        <w:spacing w:line="240" w:lineRule="auto"/>
      </w:pPr>
      <w:r w:rsidRPr="0071460A">
        <w:t>Stear</w:t>
      </w:r>
      <w:r w:rsidR="0071460A">
        <w:t>át</w:t>
      </w:r>
      <w:r w:rsidRPr="0071460A">
        <w:t xml:space="preserve"> horečnatý (E 470B)</w:t>
      </w:r>
    </w:p>
    <w:p w14:paraId="3F5487B0" w14:textId="77777777" w:rsidR="00EA25A3" w:rsidRPr="0071460A" w:rsidRDefault="00EA25A3">
      <w:pPr>
        <w:spacing w:line="240" w:lineRule="auto"/>
      </w:pPr>
    </w:p>
    <w:p w14:paraId="28E63126" w14:textId="77777777" w:rsidR="00EA25A3" w:rsidRPr="0071460A" w:rsidRDefault="00EA25A3">
      <w:pPr>
        <w:spacing w:line="240" w:lineRule="auto"/>
        <w:rPr>
          <w:i/>
          <w:iCs/>
        </w:rPr>
      </w:pPr>
      <w:r w:rsidRPr="0071460A">
        <w:rPr>
          <w:i/>
          <w:iCs/>
        </w:rPr>
        <w:t>Tvrdá želatínová kapsula</w:t>
      </w:r>
    </w:p>
    <w:p w14:paraId="21F839DA" w14:textId="21B08E3D" w:rsidR="00EA25A3" w:rsidRPr="0071460A" w:rsidRDefault="00EA25A3">
      <w:pPr>
        <w:spacing w:line="240" w:lineRule="auto"/>
        <w:rPr>
          <w:i/>
          <w:iCs/>
        </w:rPr>
      </w:pPr>
      <w:r w:rsidRPr="0071460A">
        <w:rPr>
          <w:i/>
          <w:iCs/>
        </w:rPr>
        <w:t>Zloženie tela a uzáveru</w:t>
      </w:r>
    </w:p>
    <w:p w14:paraId="4AD018C4" w14:textId="77777777" w:rsidR="00EA25A3" w:rsidRPr="0071460A" w:rsidRDefault="00EA25A3">
      <w:pPr>
        <w:spacing w:line="240" w:lineRule="auto"/>
      </w:pPr>
      <w:r w:rsidRPr="0071460A">
        <w:t>Oxid titaničitý (E 171)</w:t>
      </w:r>
    </w:p>
    <w:p w14:paraId="51605D78" w14:textId="2C52F65D" w:rsidR="00EA25A3" w:rsidRPr="00891D76" w:rsidRDefault="00EA25A3">
      <w:pPr>
        <w:spacing w:line="240" w:lineRule="auto"/>
      </w:pPr>
      <w:r w:rsidRPr="0071460A">
        <w:t>Želatína (E 441)</w:t>
      </w:r>
    </w:p>
    <w:p w14:paraId="54AD6A2E" w14:textId="77777777" w:rsidR="00812D16" w:rsidRPr="0082445A" w:rsidRDefault="00812D16">
      <w:pPr>
        <w:spacing w:line="240" w:lineRule="auto"/>
      </w:pPr>
    </w:p>
    <w:p w14:paraId="1BCF5096" w14:textId="77777777" w:rsidR="00812D16" w:rsidRPr="00891D76" w:rsidRDefault="0091265E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Inkompatibility</w:t>
      </w:r>
    </w:p>
    <w:p w14:paraId="7B535737" w14:textId="77777777" w:rsidR="00812D16" w:rsidRPr="0082445A" w:rsidRDefault="00812D16">
      <w:pPr>
        <w:keepNext/>
        <w:spacing w:line="240" w:lineRule="auto"/>
      </w:pPr>
    </w:p>
    <w:p w14:paraId="4745D92F" w14:textId="417255DA" w:rsidR="00812D16" w:rsidRPr="00BF5AB0" w:rsidRDefault="0091265E">
      <w:pPr>
        <w:spacing w:line="240" w:lineRule="auto"/>
      </w:pPr>
      <w:r w:rsidRPr="00A72672">
        <w:t>Neaplikovateľné.</w:t>
      </w:r>
    </w:p>
    <w:p w14:paraId="381760E3" w14:textId="77777777" w:rsidR="00812D16" w:rsidRPr="0082445A" w:rsidRDefault="00812D16">
      <w:pPr>
        <w:spacing w:line="240" w:lineRule="auto"/>
      </w:pPr>
    </w:p>
    <w:p w14:paraId="73ECB0BD" w14:textId="77777777" w:rsidR="00812D16" w:rsidRPr="00891D76" w:rsidRDefault="0091265E">
      <w:pPr>
        <w:keepNext/>
        <w:numPr>
          <w:ilvl w:val="1"/>
          <w:numId w:val="6"/>
        </w:numPr>
        <w:spacing w:line="240" w:lineRule="auto"/>
        <w:outlineLvl w:val="0"/>
      </w:pPr>
      <w:r w:rsidRPr="00BF5AB0">
        <w:rPr>
          <w:b/>
        </w:rPr>
        <w:t>Čas použiteľnosti</w:t>
      </w:r>
    </w:p>
    <w:p w14:paraId="5A453F6A" w14:textId="77777777" w:rsidR="00812D16" w:rsidRPr="0082445A" w:rsidRDefault="00812D16">
      <w:pPr>
        <w:keepNext/>
        <w:spacing w:line="240" w:lineRule="auto"/>
      </w:pPr>
    </w:p>
    <w:p w14:paraId="2D9EAFFB" w14:textId="1E3054D9" w:rsidR="00812D16" w:rsidRPr="00A72672" w:rsidRDefault="00EA25A3">
      <w:pPr>
        <w:spacing w:line="240" w:lineRule="auto"/>
      </w:pPr>
      <w:r>
        <w:t>4</w:t>
      </w:r>
      <w:r w:rsidR="0091265E" w:rsidRPr="00A72672">
        <w:t> roky</w:t>
      </w:r>
      <w:r>
        <w:t>.</w:t>
      </w:r>
    </w:p>
    <w:p w14:paraId="3BD20E4B" w14:textId="77777777" w:rsidR="00812D16" w:rsidRPr="00A72672" w:rsidRDefault="00812D16">
      <w:pPr>
        <w:spacing w:line="240" w:lineRule="auto"/>
      </w:pPr>
    </w:p>
    <w:p w14:paraId="047B327C" w14:textId="77777777" w:rsidR="00812D16" w:rsidRPr="00891D76" w:rsidRDefault="0091265E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F5AB0">
        <w:rPr>
          <w:b/>
        </w:rPr>
        <w:t>Špeciálne upozornenia na uchovávanie</w:t>
      </w:r>
    </w:p>
    <w:p w14:paraId="054C6D5B" w14:textId="77777777" w:rsidR="005108A3" w:rsidRPr="0082445A" w:rsidRDefault="005108A3">
      <w:pPr>
        <w:keepNext/>
        <w:spacing w:line="240" w:lineRule="auto"/>
        <w:ind w:left="567" w:hanging="567"/>
        <w:outlineLvl w:val="0"/>
      </w:pPr>
    </w:p>
    <w:p w14:paraId="27AAACDA" w14:textId="353E945C" w:rsidR="00043D79" w:rsidRDefault="00043D79" w:rsidP="00043D79">
      <w:pPr>
        <w:spacing w:line="240" w:lineRule="auto"/>
        <w:rPr>
          <w:szCs w:val="22"/>
        </w:rPr>
      </w:pPr>
      <w:r w:rsidRPr="00043D79">
        <w:rPr>
          <w:szCs w:val="22"/>
        </w:rPr>
        <w:t>Uchovávajte pri teplote do 30</w:t>
      </w:r>
      <w:r>
        <w:rPr>
          <w:szCs w:val="22"/>
        </w:rPr>
        <w:t> </w:t>
      </w:r>
      <w:r w:rsidRPr="00043D79">
        <w:rPr>
          <w:szCs w:val="22"/>
        </w:rPr>
        <w:t>°C</w:t>
      </w:r>
      <w:r>
        <w:rPr>
          <w:szCs w:val="22"/>
        </w:rPr>
        <w:t>.</w:t>
      </w:r>
    </w:p>
    <w:p w14:paraId="4666DBA1" w14:textId="57EFF065" w:rsidR="00812D16" w:rsidRDefault="00043D79" w:rsidP="00043D79">
      <w:pPr>
        <w:spacing w:line="240" w:lineRule="auto"/>
      </w:pPr>
      <w:r>
        <w:rPr>
          <w:szCs w:val="22"/>
        </w:rPr>
        <w:t>U</w:t>
      </w:r>
      <w:r w:rsidR="00EA4AD6" w:rsidRPr="000E492A">
        <w:rPr>
          <w:szCs w:val="22"/>
        </w:rPr>
        <w:t>chovávajte v</w:t>
      </w:r>
      <w:r w:rsidR="00EA4AD6">
        <w:rPr>
          <w:szCs w:val="22"/>
        </w:rPr>
        <w:t> </w:t>
      </w:r>
      <w:r w:rsidR="00EA4AD6" w:rsidRPr="000E492A">
        <w:rPr>
          <w:szCs w:val="22"/>
        </w:rPr>
        <w:t>pôvodnom obale</w:t>
      </w:r>
      <w:r w:rsidR="00EA4AD6">
        <w:rPr>
          <w:szCs w:val="22"/>
        </w:rPr>
        <w:t xml:space="preserve"> na ochranu pred vlhkosťou.</w:t>
      </w:r>
    </w:p>
    <w:p w14:paraId="0C3165A6" w14:textId="77777777" w:rsidR="00DA7FB2" w:rsidRPr="00A72672" w:rsidRDefault="00DA7FB2" w:rsidP="00043D79">
      <w:pPr>
        <w:spacing w:line="240" w:lineRule="auto"/>
      </w:pPr>
    </w:p>
    <w:p w14:paraId="73048A39" w14:textId="62E27283" w:rsidR="00812D16" w:rsidRPr="0082445A" w:rsidRDefault="0091265E" w:rsidP="00043D79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BF5AB0">
        <w:rPr>
          <w:b/>
        </w:rPr>
        <w:t>Druh obalu a</w:t>
      </w:r>
      <w:r w:rsidR="00851AE0">
        <w:rPr>
          <w:b/>
        </w:rPr>
        <w:t> </w:t>
      </w:r>
      <w:r w:rsidRPr="00BF5AB0">
        <w:rPr>
          <w:b/>
        </w:rPr>
        <w:t>obsah balenia</w:t>
      </w:r>
    </w:p>
    <w:p w14:paraId="1037ABA4" w14:textId="77777777" w:rsidR="00812D16" w:rsidRPr="003F7DA0" w:rsidRDefault="00812D16">
      <w:pPr>
        <w:keepNext/>
        <w:spacing w:line="240" w:lineRule="auto"/>
        <w:outlineLvl w:val="0"/>
      </w:pPr>
    </w:p>
    <w:p w14:paraId="5E18E158" w14:textId="5F0F2B23" w:rsidR="00DA7FB2" w:rsidRDefault="00DA7FB2">
      <w:pPr>
        <w:spacing w:line="240" w:lineRule="auto"/>
      </w:pPr>
      <w:r>
        <w:t>Kapsuly sú balené v PVC/hliníkových blistroch.</w:t>
      </w:r>
    </w:p>
    <w:p w14:paraId="6B0B37A6" w14:textId="7B89E081" w:rsidR="00DA7FB2" w:rsidRDefault="00DA7FB2">
      <w:pPr>
        <w:spacing w:line="240" w:lineRule="auto"/>
      </w:pPr>
      <w:r>
        <w:t xml:space="preserve">10 kapsúl v blistri. V </w:t>
      </w:r>
      <w:r w:rsidRPr="0071460A">
        <w:t>kartónove</w:t>
      </w:r>
      <w:r>
        <w:t>j škatuli je balených 5, 6 alebo 10 blistrov (50, 60 alebo 100 kapsúl).</w:t>
      </w:r>
    </w:p>
    <w:p w14:paraId="00033547" w14:textId="77777777" w:rsidR="004F69F3" w:rsidRDefault="004F69F3">
      <w:pPr>
        <w:spacing w:line="240" w:lineRule="auto"/>
      </w:pPr>
    </w:p>
    <w:p w14:paraId="737A9CBF" w14:textId="1C2215D2" w:rsidR="00DA7FB2" w:rsidRDefault="0091265E">
      <w:pPr>
        <w:spacing w:line="240" w:lineRule="auto"/>
      </w:pPr>
      <w:r w:rsidRPr="00BF5AB0">
        <w:t>Na trh nemusia byť uvedené všetky veľkosti balenia.</w:t>
      </w:r>
    </w:p>
    <w:p w14:paraId="68630C6A" w14:textId="77777777" w:rsidR="00812D16" w:rsidRPr="0082445A" w:rsidRDefault="00812D16">
      <w:pPr>
        <w:spacing w:line="240" w:lineRule="auto"/>
      </w:pPr>
    </w:p>
    <w:p w14:paraId="3AE0247C" w14:textId="55863142" w:rsidR="00812D16" w:rsidRPr="00891D76" w:rsidRDefault="0091265E">
      <w:pPr>
        <w:keepNext/>
        <w:numPr>
          <w:ilvl w:val="1"/>
          <w:numId w:val="6"/>
        </w:numPr>
        <w:spacing w:line="240" w:lineRule="auto"/>
        <w:outlineLvl w:val="0"/>
      </w:pPr>
      <w:bookmarkStart w:id="8" w:name="OLE_LINK1"/>
      <w:r w:rsidRPr="00BF5AB0">
        <w:rPr>
          <w:b/>
        </w:rPr>
        <w:t>Špeciálne opatrenia na likvidáciu</w:t>
      </w:r>
    </w:p>
    <w:p w14:paraId="43E48B0E" w14:textId="77777777" w:rsidR="00812D16" w:rsidRPr="0082445A" w:rsidRDefault="00812D16">
      <w:pPr>
        <w:keepNext/>
        <w:spacing w:line="240" w:lineRule="auto"/>
      </w:pPr>
    </w:p>
    <w:p w14:paraId="1C7C4823" w14:textId="0D0F05FA" w:rsidR="00812D16" w:rsidRPr="00891D76" w:rsidRDefault="0091265E">
      <w:pPr>
        <w:spacing w:line="240" w:lineRule="auto"/>
      </w:pPr>
      <w:r w:rsidRPr="00BF5AB0">
        <w:t>Žiadne zvláštne požiadavky</w:t>
      </w:r>
      <w:r w:rsidR="00DA7FB2">
        <w:t>.</w:t>
      </w:r>
    </w:p>
    <w:bookmarkEnd w:id="8"/>
    <w:p w14:paraId="43411140" w14:textId="77777777" w:rsidR="00812D16" w:rsidRPr="00891D76" w:rsidRDefault="00812D16">
      <w:pPr>
        <w:spacing w:line="240" w:lineRule="auto"/>
      </w:pPr>
    </w:p>
    <w:p w14:paraId="323F97CC" w14:textId="77777777" w:rsidR="00812D16" w:rsidRPr="0082445A" w:rsidRDefault="00812D16">
      <w:pPr>
        <w:spacing w:line="240" w:lineRule="auto"/>
      </w:pPr>
    </w:p>
    <w:p w14:paraId="4CAF34E4" w14:textId="77777777" w:rsidR="00812D16" w:rsidRPr="00891D76" w:rsidRDefault="0091265E">
      <w:pPr>
        <w:keepNext/>
        <w:numPr>
          <w:ilvl w:val="0"/>
          <w:numId w:val="6"/>
        </w:numPr>
        <w:spacing w:line="240" w:lineRule="auto"/>
      </w:pPr>
      <w:r w:rsidRPr="00BF5AB0">
        <w:rPr>
          <w:b/>
        </w:rPr>
        <w:t>DRŽITEĽ ROZHODNUTIA O</w:t>
      </w:r>
      <w:r>
        <w:rPr>
          <w:b/>
          <w:noProof/>
        </w:rPr>
        <w:t> </w:t>
      </w:r>
      <w:r w:rsidRPr="00BF5AB0">
        <w:rPr>
          <w:b/>
        </w:rPr>
        <w:t>REGISTRÁCII</w:t>
      </w:r>
    </w:p>
    <w:p w14:paraId="788CE91D" w14:textId="77777777" w:rsidR="00812D16" w:rsidRPr="0082445A" w:rsidRDefault="00812D16">
      <w:pPr>
        <w:keepNext/>
        <w:spacing w:line="240" w:lineRule="auto"/>
      </w:pPr>
    </w:p>
    <w:p w14:paraId="0E58C73D" w14:textId="77777777" w:rsidR="000C3CA3" w:rsidRPr="0071460A" w:rsidRDefault="000C3CA3">
      <w:pPr>
        <w:spacing w:line="240" w:lineRule="auto"/>
      </w:pPr>
      <w:r w:rsidRPr="0071460A">
        <w:t>AS GRINDEKS.</w:t>
      </w:r>
    </w:p>
    <w:p w14:paraId="7EE018BE" w14:textId="77777777" w:rsidR="000C3CA3" w:rsidRPr="0071460A" w:rsidRDefault="000C3CA3">
      <w:pPr>
        <w:spacing w:line="240" w:lineRule="auto"/>
      </w:pPr>
      <w:r w:rsidRPr="0071460A">
        <w:t>Krustpils iela 53, Rīga, LV-1057, Lotyšsko</w:t>
      </w:r>
    </w:p>
    <w:p w14:paraId="762229F4" w14:textId="77777777" w:rsidR="000C3CA3" w:rsidRPr="0071460A" w:rsidRDefault="000C3CA3">
      <w:pPr>
        <w:spacing w:line="240" w:lineRule="auto"/>
      </w:pPr>
      <w:r w:rsidRPr="0071460A">
        <w:t xml:space="preserve">Tel.: +371 67083205 </w:t>
      </w:r>
    </w:p>
    <w:p w14:paraId="17B07C70" w14:textId="77777777" w:rsidR="000C3CA3" w:rsidRPr="0071460A" w:rsidRDefault="000C3CA3">
      <w:pPr>
        <w:spacing w:line="240" w:lineRule="auto"/>
      </w:pPr>
      <w:r w:rsidRPr="0071460A">
        <w:t xml:space="preserve">Fax: +371 67083505 </w:t>
      </w:r>
    </w:p>
    <w:p w14:paraId="344C80C1" w14:textId="68A2A5D5" w:rsidR="00812D16" w:rsidRPr="00A72672" w:rsidRDefault="000C3CA3">
      <w:pPr>
        <w:spacing w:line="240" w:lineRule="auto"/>
      </w:pPr>
      <w:r w:rsidRPr="0071460A">
        <w:t>E-mail: grindeks@grindeks.lv</w:t>
      </w:r>
    </w:p>
    <w:p w14:paraId="75F431DE" w14:textId="77777777" w:rsidR="00812D16" w:rsidRDefault="00812D16">
      <w:pPr>
        <w:spacing w:line="240" w:lineRule="auto"/>
      </w:pPr>
    </w:p>
    <w:p w14:paraId="368C9299" w14:textId="77777777" w:rsidR="00823C6A" w:rsidRPr="00A72672" w:rsidRDefault="00823C6A">
      <w:pPr>
        <w:spacing w:line="240" w:lineRule="auto"/>
      </w:pPr>
    </w:p>
    <w:p w14:paraId="342A15F9" w14:textId="0DAC7807" w:rsidR="00812D16" w:rsidRPr="00BF5AB0" w:rsidRDefault="0091265E">
      <w:pPr>
        <w:keepNext/>
        <w:numPr>
          <w:ilvl w:val="0"/>
          <w:numId w:val="6"/>
        </w:numPr>
        <w:spacing w:line="240" w:lineRule="auto"/>
        <w:rPr>
          <w:b/>
        </w:rPr>
      </w:pPr>
      <w:r w:rsidRPr="00BF5AB0">
        <w:rPr>
          <w:b/>
        </w:rPr>
        <w:t>REGISTRAČNÉ ČÍSLO</w:t>
      </w:r>
    </w:p>
    <w:p w14:paraId="4D99C2E7" w14:textId="77777777" w:rsidR="00812D16" w:rsidRDefault="00812D16">
      <w:pPr>
        <w:keepNext/>
        <w:spacing w:line="240" w:lineRule="auto"/>
      </w:pPr>
    </w:p>
    <w:p w14:paraId="5F913DAD" w14:textId="6115B9F2" w:rsidR="00B216ED" w:rsidRDefault="00B216ED">
      <w:pPr>
        <w:keepNext/>
        <w:spacing w:line="240" w:lineRule="auto"/>
      </w:pPr>
      <w:r w:rsidRPr="00B216ED">
        <w:t>43/0231/20-S</w:t>
      </w:r>
    </w:p>
    <w:p w14:paraId="61F7EDE3" w14:textId="77777777" w:rsidR="00B216ED" w:rsidRPr="00891D76" w:rsidRDefault="00B216ED">
      <w:pPr>
        <w:keepNext/>
        <w:spacing w:line="240" w:lineRule="auto"/>
      </w:pPr>
    </w:p>
    <w:p w14:paraId="1ED702C5" w14:textId="77777777" w:rsidR="00812D16" w:rsidRPr="0082445A" w:rsidRDefault="00812D16">
      <w:pPr>
        <w:spacing w:line="240" w:lineRule="auto"/>
      </w:pPr>
    </w:p>
    <w:p w14:paraId="3991F3CB" w14:textId="77777777" w:rsidR="00812D16" w:rsidRPr="0082445A" w:rsidRDefault="0091265E">
      <w:pPr>
        <w:keepNext/>
        <w:numPr>
          <w:ilvl w:val="0"/>
          <w:numId w:val="6"/>
        </w:numPr>
        <w:spacing w:line="240" w:lineRule="auto"/>
      </w:pPr>
      <w:r w:rsidRPr="00BF5AB0">
        <w:rPr>
          <w:b/>
        </w:rPr>
        <w:t>DÁTUM PRVEJ REGISTRÁCIE/PREDĹŽENIA REGISTRÁ</w:t>
      </w:r>
      <w:r w:rsidRPr="00891D76">
        <w:rPr>
          <w:b/>
        </w:rPr>
        <w:t>CIE</w:t>
      </w:r>
    </w:p>
    <w:p w14:paraId="2F427D60" w14:textId="77777777" w:rsidR="00812D16" w:rsidRPr="00085939" w:rsidRDefault="00812D16">
      <w:pPr>
        <w:keepNext/>
        <w:spacing w:line="240" w:lineRule="auto"/>
        <w:rPr>
          <w:i/>
        </w:rPr>
      </w:pPr>
    </w:p>
    <w:p w14:paraId="0A6D915F" w14:textId="77777777" w:rsidR="00812D16" w:rsidRPr="00A72672" w:rsidRDefault="00812D16">
      <w:pPr>
        <w:spacing w:line="240" w:lineRule="auto"/>
      </w:pPr>
    </w:p>
    <w:p w14:paraId="286EA754" w14:textId="77777777" w:rsidR="00812D16" w:rsidRPr="00A72672" w:rsidRDefault="00812D16">
      <w:pPr>
        <w:spacing w:line="240" w:lineRule="auto"/>
      </w:pPr>
    </w:p>
    <w:p w14:paraId="381615BC" w14:textId="77777777" w:rsidR="00812D16" w:rsidRPr="00891D76" w:rsidRDefault="0091265E">
      <w:pPr>
        <w:keepNext/>
        <w:numPr>
          <w:ilvl w:val="0"/>
          <w:numId w:val="6"/>
        </w:numPr>
        <w:spacing w:line="240" w:lineRule="auto"/>
        <w:rPr>
          <w:b/>
        </w:rPr>
      </w:pPr>
      <w:r w:rsidRPr="00BF5AB0">
        <w:rPr>
          <w:b/>
        </w:rPr>
        <w:t>DÁTUM REVÍZIE TEXTU</w:t>
      </w:r>
    </w:p>
    <w:p w14:paraId="424CAD6E" w14:textId="77777777" w:rsidR="00812D16" w:rsidRPr="0082445A" w:rsidRDefault="00812D16">
      <w:pPr>
        <w:keepNext/>
        <w:spacing w:line="240" w:lineRule="auto"/>
      </w:pPr>
    </w:p>
    <w:p w14:paraId="12A63087" w14:textId="00FF1F97" w:rsidR="00812D16" w:rsidRPr="00A72672" w:rsidRDefault="00823C6A">
      <w:pPr>
        <w:spacing w:line="240" w:lineRule="auto"/>
      </w:pPr>
      <w:r>
        <w:t>10/2020</w:t>
      </w:r>
    </w:p>
    <w:p w14:paraId="02CE8246" w14:textId="77777777" w:rsidR="00812D16" w:rsidRPr="00A72672" w:rsidRDefault="00812D16">
      <w:pPr>
        <w:spacing w:line="240" w:lineRule="auto"/>
      </w:pPr>
    </w:p>
    <w:p w14:paraId="4768589F" w14:textId="77777777" w:rsidR="00812D16" w:rsidRPr="00A72672" w:rsidRDefault="00812D16">
      <w:pPr>
        <w:numPr>
          <w:ilvl w:val="12"/>
          <w:numId w:val="0"/>
        </w:numPr>
        <w:spacing w:line="240" w:lineRule="auto"/>
        <w:ind w:right="-2"/>
      </w:pPr>
    </w:p>
    <w:sectPr w:rsidR="00812D16" w:rsidRPr="00A72672" w:rsidSect="00085939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AC4C1" w14:textId="77777777" w:rsidR="00F45302" w:rsidRDefault="00F45302">
      <w:pPr>
        <w:spacing w:line="240" w:lineRule="auto"/>
      </w:pPr>
      <w:r>
        <w:separator/>
      </w:r>
    </w:p>
  </w:endnote>
  <w:endnote w:type="continuationSeparator" w:id="0">
    <w:p w14:paraId="246DCCDC" w14:textId="77777777" w:rsidR="00F45302" w:rsidRDefault="00F45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114AC" w14:textId="77777777" w:rsidR="004F69F3" w:rsidRPr="00A72672" w:rsidRDefault="004F69F3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B216ED">
      <w:rPr>
        <w:rStyle w:val="slostrany1"/>
      </w:rPr>
      <w:t>8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5836F" w14:textId="77777777" w:rsidR="004F69F3" w:rsidRDefault="004F69F3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D0ADD" w14:textId="77777777" w:rsidR="00F45302" w:rsidRDefault="00F45302">
      <w:pPr>
        <w:spacing w:line="240" w:lineRule="auto"/>
      </w:pPr>
      <w:r>
        <w:separator/>
      </w:r>
    </w:p>
  </w:footnote>
  <w:footnote w:type="continuationSeparator" w:id="0">
    <w:p w14:paraId="6A95B6B9" w14:textId="77777777" w:rsidR="00F45302" w:rsidRDefault="00F45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EDC04" w14:textId="713E00EE" w:rsidR="004F69F3" w:rsidRPr="00CF5493" w:rsidRDefault="004F69F3" w:rsidP="00D903C4">
    <w:pPr>
      <w:pStyle w:val="Normlnywebov"/>
      <w:spacing w:before="0" w:beforeAutospacing="0" w:after="0" w:afterAutospacing="0"/>
      <w:jc w:val="both"/>
      <w:rPr>
        <w:sz w:val="18"/>
        <w:szCs w:val="18"/>
      </w:rPr>
    </w:pPr>
    <w:r w:rsidRPr="00CF5493">
      <w:rPr>
        <w:sz w:val="18"/>
        <w:szCs w:val="18"/>
      </w:rPr>
      <w:t>Schválen</w:t>
    </w:r>
    <w:r>
      <w:rPr>
        <w:sz w:val="18"/>
        <w:szCs w:val="18"/>
      </w:rPr>
      <w:t xml:space="preserve">ý text k rozhodnutiu o registrácii, ev. č.: </w:t>
    </w:r>
    <w:r w:rsidRPr="00D903C4">
      <w:rPr>
        <w:sz w:val="18"/>
        <w:szCs w:val="18"/>
      </w:rPr>
      <w:t>2020/01594-REG</w:t>
    </w:r>
  </w:p>
  <w:p w14:paraId="62F03E2A" w14:textId="77777777" w:rsidR="004F69F3" w:rsidRDefault="004F69F3">
    <w:pPr>
      <w:pStyle w:val="Hlavik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F21A3"/>
    <w:multiLevelType w:val="hybridMultilevel"/>
    <w:tmpl w:val="3CB09E6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C9B4A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082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CE7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8F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8DB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A805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6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CA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491"/>
    <w:multiLevelType w:val="hybridMultilevel"/>
    <w:tmpl w:val="469EB2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2F4A"/>
    <w:multiLevelType w:val="hybridMultilevel"/>
    <w:tmpl w:val="BEF07D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E7F96"/>
    <w:multiLevelType w:val="hybridMultilevel"/>
    <w:tmpl w:val="1806E65A"/>
    <w:lvl w:ilvl="0" w:tplc="BB4846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E220877E" w:tentative="1">
      <w:start w:val="1"/>
      <w:numFmt w:val="lowerLetter"/>
      <w:lvlText w:val="%2."/>
      <w:lvlJc w:val="left"/>
      <w:pPr>
        <w:ind w:left="1440" w:hanging="360"/>
      </w:pPr>
    </w:lvl>
    <w:lvl w:ilvl="2" w:tplc="6144D9E0" w:tentative="1">
      <w:start w:val="1"/>
      <w:numFmt w:val="lowerRoman"/>
      <w:lvlText w:val="%3."/>
      <w:lvlJc w:val="right"/>
      <w:pPr>
        <w:ind w:left="2160" w:hanging="180"/>
      </w:pPr>
    </w:lvl>
    <w:lvl w:ilvl="3" w:tplc="170EECAE" w:tentative="1">
      <w:start w:val="1"/>
      <w:numFmt w:val="decimal"/>
      <w:lvlText w:val="%4."/>
      <w:lvlJc w:val="left"/>
      <w:pPr>
        <w:ind w:left="2880" w:hanging="360"/>
      </w:pPr>
    </w:lvl>
    <w:lvl w:ilvl="4" w:tplc="5216A75A" w:tentative="1">
      <w:start w:val="1"/>
      <w:numFmt w:val="lowerLetter"/>
      <w:lvlText w:val="%5."/>
      <w:lvlJc w:val="left"/>
      <w:pPr>
        <w:ind w:left="3600" w:hanging="360"/>
      </w:pPr>
    </w:lvl>
    <w:lvl w:ilvl="5" w:tplc="B09025CA" w:tentative="1">
      <w:start w:val="1"/>
      <w:numFmt w:val="lowerRoman"/>
      <w:lvlText w:val="%6."/>
      <w:lvlJc w:val="right"/>
      <w:pPr>
        <w:ind w:left="4320" w:hanging="180"/>
      </w:pPr>
    </w:lvl>
    <w:lvl w:ilvl="6" w:tplc="1CAAEB26" w:tentative="1">
      <w:start w:val="1"/>
      <w:numFmt w:val="decimal"/>
      <w:lvlText w:val="%7."/>
      <w:lvlJc w:val="left"/>
      <w:pPr>
        <w:ind w:left="5040" w:hanging="360"/>
      </w:pPr>
    </w:lvl>
    <w:lvl w:ilvl="7" w:tplc="B4AA56AC" w:tentative="1">
      <w:start w:val="1"/>
      <w:numFmt w:val="lowerLetter"/>
      <w:lvlText w:val="%8."/>
      <w:lvlJc w:val="left"/>
      <w:pPr>
        <w:ind w:left="5760" w:hanging="360"/>
      </w:pPr>
    </w:lvl>
    <w:lvl w:ilvl="8" w:tplc="72603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F14CF"/>
    <w:multiLevelType w:val="hybridMultilevel"/>
    <w:tmpl w:val="6FC0A652"/>
    <w:lvl w:ilvl="0" w:tplc="1EFAB6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E03E46D8" w:tentative="1">
      <w:start w:val="1"/>
      <w:numFmt w:val="lowerLetter"/>
      <w:lvlText w:val="%2."/>
      <w:lvlJc w:val="left"/>
      <w:pPr>
        <w:ind w:left="1440" w:hanging="360"/>
      </w:pPr>
    </w:lvl>
    <w:lvl w:ilvl="2" w:tplc="41B62DEE" w:tentative="1">
      <w:start w:val="1"/>
      <w:numFmt w:val="lowerRoman"/>
      <w:lvlText w:val="%3."/>
      <w:lvlJc w:val="right"/>
      <w:pPr>
        <w:ind w:left="2160" w:hanging="180"/>
      </w:pPr>
    </w:lvl>
    <w:lvl w:ilvl="3" w:tplc="91FE4A72" w:tentative="1">
      <w:start w:val="1"/>
      <w:numFmt w:val="decimal"/>
      <w:lvlText w:val="%4."/>
      <w:lvlJc w:val="left"/>
      <w:pPr>
        <w:ind w:left="2880" w:hanging="360"/>
      </w:pPr>
    </w:lvl>
    <w:lvl w:ilvl="4" w:tplc="49604F54" w:tentative="1">
      <w:start w:val="1"/>
      <w:numFmt w:val="lowerLetter"/>
      <w:lvlText w:val="%5."/>
      <w:lvlJc w:val="left"/>
      <w:pPr>
        <w:ind w:left="3600" w:hanging="360"/>
      </w:pPr>
    </w:lvl>
    <w:lvl w:ilvl="5" w:tplc="ADE6D9D4" w:tentative="1">
      <w:start w:val="1"/>
      <w:numFmt w:val="lowerRoman"/>
      <w:lvlText w:val="%6."/>
      <w:lvlJc w:val="right"/>
      <w:pPr>
        <w:ind w:left="4320" w:hanging="180"/>
      </w:pPr>
    </w:lvl>
    <w:lvl w:ilvl="6" w:tplc="52308720" w:tentative="1">
      <w:start w:val="1"/>
      <w:numFmt w:val="decimal"/>
      <w:lvlText w:val="%7."/>
      <w:lvlJc w:val="left"/>
      <w:pPr>
        <w:ind w:left="5040" w:hanging="360"/>
      </w:pPr>
    </w:lvl>
    <w:lvl w:ilvl="7" w:tplc="607CCDAA" w:tentative="1">
      <w:start w:val="1"/>
      <w:numFmt w:val="lowerLetter"/>
      <w:lvlText w:val="%8."/>
      <w:lvlJc w:val="left"/>
      <w:pPr>
        <w:ind w:left="5760" w:hanging="360"/>
      </w:pPr>
    </w:lvl>
    <w:lvl w:ilvl="8" w:tplc="7A9AE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C0446"/>
    <w:multiLevelType w:val="hybridMultilevel"/>
    <w:tmpl w:val="B20E620E"/>
    <w:lvl w:ilvl="0" w:tplc="D050352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AF0E4708" w:tentative="1">
      <w:start w:val="1"/>
      <w:numFmt w:val="lowerLetter"/>
      <w:lvlText w:val="%2."/>
      <w:lvlJc w:val="left"/>
      <w:pPr>
        <w:ind w:left="1440" w:hanging="360"/>
      </w:pPr>
    </w:lvl>
    <w:lvl w:ilvl="2" w:tplc="93128F10" w:tentative="1">
      <w:start w:val="1"/>
      <w:numFmt w:val="lowerRoman"/>
      <w:lvlText w:val="%3."/>
      <w:lvlJc w:val="right"/>
      <w:pPr>
        <w:ind w:left="2160" w:hanging="180"/>
      </w:pPr>
    </w:lvl>
    <w:lvl w:ilvl="3" w:tplc="FA50908A" w:tentative="1">
      <w:start w:val="1"/>
      <w:numFmt w:val="decimal"/>
      <w:lvlText w:val="%4."/>
      <w:lvlJc w:val="left"/>
      <w:pPr>
        <w:ind w:left="2880" w:hanging="360"/>
      </w:pPr>
    </w:lvl>
    <w:lvl w:ilvl="4" w:tplc="883A995E" w:tentative="1">
      <w:start w:val="1"/>
      <w:numFmt w:val="lowerLetter"/>
      <w:lvlText w:val="%5."/>
      <w:lvlJc w:val="left"/>
      <w:pPr>
        <w:ind w:left="3600" w:hanging="360"/>
      </w:pPr>
    </w:lvl>
    <w:lvl w:ilvl="5" w:tplc="4288CCB8" w:tentative="1">
      <w:start w:val="1"/>
      <w:numFmt w:val="lowerRoman"/>
      <w:lvlText w:val="%6."/>
      <w:lvlJc w:val="right"/>
      <w:pPr>
        <w:ind w:left="4320" w:hanging="180"/>
      </w:pPr>
    </w:lvl>
    <w:lvl w:ilvl="6" w:tplc="53321024" w:tentative="1">
      <w:start w:val="1"/>
      <w:numFmt w:val="decimal"/>
      <w:lvlText w:val="%7."/>
      <w:lvlJc w:val="left"/>
      <w:pPr>
        <w:ind w:left="5040" w:hanging="360"/>
      </w:pPr>
    </w:lvl>
    <w:lvl w:ilvl="7" w:tplc="78CA7E86" w:tentative="1">
      <w:start w:val="1"/>
      <w:numFmt w:val="lowerLetter"/>
      <w:lvlText w:val="%8."/>
      <w:lvlJc w:val="left"/>
      <w:pPr>
        <w:ind w:left="5760" w:hanging="360"/>
      </w:pPr>
    </w:lvl>
    <w:lvl w:ilvl="8" w:tplc="724AF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E72CE"/>
    <w:multiLevelType w:val="hybridMultilevel"/>
    <w:tmpl w:val="4670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B7869"/>
    <w:multiLevelType w:val="hybridMultilevel"/>
    <w:tmpl w:val="6C6850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0A91"/>
    <w:multiLevelType w:val="hybridMultilevel"/>
    <w:tmpl w:val="2272E4E2"/>
    <w:lvl w:ilvl="0" w:tplc="2F2C081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E8968716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F52C22F4" w:tentative="1">
      <w:start w:val="1"/>
      <w:numFmt w:val="lowerRoman"/>
      <w:lvlText w:val="%3."/>
      <w:lvlJc w:val="right"/>
      <w:pPr>
        <w:ind w:left="2793" w:hanging="180"/>
      </w:pPr>
    </w:lvl>
    <w:lvl w:ilvl="3" w:tplc="5B8C94C0" w:tentative="1">
      <w:start w:val="1"/>
      <w:numFmt w:val="decimal"/>
      <w:lvlText w:val="%4."/>
      <w:lvlJc w:val="left"/>
      <w:pPr>
        <w:ind w:left="3513" w:hanging="360"/>
      </w:pPr>
    </w:lvl>
    <w:lvl w:ilvl="4" w:tplc="F0D830A0" w:tentative="1">
      <w:start w:val="1"/>
      <w:numFmt w:val="lowerLetter"/>
      <w:lvlText w:val="%5."/>
      <w:lvlJc w:val="left"/>
      <w:pPr>
        <w:ind w:left="4233" w:hanging="360"/>
      </w:pPr>
    </w:lvl>
    <w:lvl w:ilvl="5" w:tplc="D71CD0E6" w:tentative="1">
      <w:start w:val="1"/>
      <w:numFmt w:val="lowerRoman"/>
      <w:lvlText w:val="%6."/>
      <w:lvlJc w:val="right"/>
      <w:pPr>
        <w:ind w:left="4953" w:hanging="180"/>
      </w:pPr>
    </w:lvl>
    <w:lvl w:ilvl="6" w:tplc="C3DC89BC" w:tentative="1">
      <w:start w:val="1"/>
      <w:numFmt w:val="decimal"/>
      <w:lvlText w:val="%7."/>
      <w:lvlJc w:val="left"/>
      <w:pPr>
        <w:ind w:left="5673" w:hanging="360"/>
      </w:pPr>
    </w:lvl>
    <w:lvl w:ilvl="7" w:tplc="7292AC6E" w:tentative="1">
      <w:start w:val="1"/>
      <w:numFmt w:val="lowerLetter"/>
      <w:lvlText w:val="%8."/>
      <w:lvlJc w:val="left"/>
      <w:pPr>
        <w:ind w:left="6393" w:hanging="360"/>
      </w:pPr>
    </w:lvl>
    <w:lvl w:ilvl="8" w:tplc="968C1A2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6F9337D0"/>
    <w:multiLevelType w:val="hybridMultilevel"/>
    <w:tmpl w:val="B6C885E6"/>
    <w:lvl w:ilvl="0" w:tplc="AD761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48D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D2C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9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A1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745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85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AF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5212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00D28"/>
    <w:multiLevelType w:val="hybridMultilevel"/>
    <w:tmpl w:val="2F94C0BA"/>
    <w:lvl w:ilvl="0" w:tplc="6E3A028C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40637F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061CC24E" w:tentative="1">
      <w:start w:val="1"/>
      <w:numFmt w:val="lowerRoman"/>
      <w:lvlText w:val="%3."/>
      <w:lvlJc w:val="right"/>
      <w:pPr>
        <w:ind w:left="2160" w:hanging="180"/>
      </w:pPr>
    </w:lvl>
    <w:lvl w:ilvl="3" w:tplc="A8568D92" w:tentative="1">
      <w:start w:val="1"/>
      <w:numFmt w:val="decimal"/>
      <w:lvlText w:val="%4."/>
      <w:lvlJc w:val="left"/>
      <w:pPr>
        <w:ind w:left="2880" w:hanging="360"/>
      </w:pPr>
    </w:lvl>
    <w:lvl w:ilvl="4" w:tplc="AAE8FE30" w:tentative="1">
      <w:start w:val="1"/>
      <w:numFmt w:val="lowerLetter"/>
      <w:lvlText w:val="%5."/>
      <w:lvlJc w:val="left"/>
      <w:pPr>
        <w:ind w:left="3600" w:hanging="360"/>
      </w:pPr>
    </w:lvl>
    <w:lvl w:ilvl="5" w:tplc="2BA6FF9C" w:tentative="1">
      <w:start w:val="1"/>
      <w:numFmt w:val="lowerRoman"/>
      <w:lvlText w:val="%6."/>
      <w:lvlJc w:val="right"/>
      <w:pPr>
        <w:ind w:left="4320" w:hanging="180"/>
      </w:pPr>
    </w:lvl>
    <w:lvl w:ilvl="6" w:tplc="C4069CF0" w:tentative="1">
      <w:start w:val="1"/>
      <w:numFmt w:val="decimal"/>
      <w:lvlText w:val="%7."/>
      <w:lvlJc w:val="left"/>
      <w:pPr>
        <w:ind w:left="5040" w:hanging="360"/>
      </w:pPr>
    </w:lvl>
    <w:lvl w:ilvl="7" w:tplc="3D16C9EA" w:tentative="1">
      <w:start w:val="1"/>
      <w:numFmt w:val="lowerLetter"/>
      <w:lvlText w:val="%8."/>
      <w:lvlJc w:val="left"/>
      <w:pPr>
        <w:ind w:left="5760" w:hanging="360"/>
      </w:pPr>
    </w:lvl>
    <w:lvl w:ilvl="8" w:tplc="A6A8EC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2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1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4ED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1886"/>
    <w:rsid w:val="00042263"/>
    <w:rsid w:val="00042C8C"/>
    <w:rsid w:val="00043505"/>
    <w:rsid w:val="00043C70"/>
    <w:rsid w:val="00043D79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88C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3CA3"/>
    <w:rsid w:val="000C428B"/>
    <w:rsid w:val="000C5A4E"/>
    <w:rsid w:val="000C6225"/>
    <w:rsid w:val="000C635D"/>
    <w:rsid w:val="000C6D5B"/>
    <w:rsid w:val="000C7F49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F94"/>
    <w:rsid w:val="000F4279"/>
    <w:rsid w:val="000F5235"/>
    <w:rsid w:val="000F5B21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49"/>
    <w:rsid w:val="00161E87"/>
    <w:rsid w:val="00162098"/>
    <w:rsid w:val="0016341B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4AB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2B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546E"/>
    <w:rsid w:val="001F5912"/>
    <w:rsid w:val="001F6423"/>
    <w:rsid w:val="001F6D16"/>
    <w:rsid w:val="001F7494"/>
    <w:rsid w:val="00201213"/>
    <w:rsid w:val="0020165E"/>
    <w:rsid w:val="002019D5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19F"/>
    <w:rsid w:val="00285A1C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088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5B7"/>
    <w:rsid w:val="00326948"/>
    <w:rsid w:val="00327052"/>
    <w:rsid w:val="003336BB"/>
    <w:rsid w:val="0033486D"/>
    <w:rsid w:val="00335228"/>
    <w:rsid w:val="003367C4"/>
    <w:rsid w:val="00336D8E"/>
    <w:rsid w:val="003376B3"/>
    <w:rsid w:val="00340BF3"/>
    <w:rsid w:val="00340C09"/>
    <w:rsid w:val="0034126C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7669B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4C4C"/>
    <w:rsid w:val="00395B97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C7F67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E58"/>
    <w:rsid w:val="00416231"/>
    <w:rsid w:val="004208AB"/>
    <w:rsid w:val="00420F63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3677"/>
    <w:rsid w:val="0043384D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980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28B9"/>
    <w:rsid w:val="004E5418"/>
    <w:rsid w:val="004E5C4A"/>
    <w:rsid w:val="004E63E5"/>
    <w:rsid w:val="004E6B76"/>
    <w:rsid w:val="004F0272"/>
    <w:rsid w:val="004F1437"/>
    <w:rsid w:val="004F29DB"/>
    <w:rsid w:val="004F3540"/>
    <w:rsid w:val="004F52DB"/>
    <w:rsid w:val="004F5624"/>
    <w:rsid w:val="004F5DA4"/>
    <w:rsid w:val="004F62B2"/>
    <w:rsid w:val="004F6424"/>
    <w:rsid w:val="004F69F3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17FE2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D11B2"/>
    <w:rsid w:val="005D33D8"/>
    <w:rsid w:val="005D3CE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09CB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23E4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6114"/>
    <w:rsid w:val="006C68C0"/>
    <w:rsid w:val="006C6C6A"/>
    <w:rsid w:val="006D2288"/>
    <w:rsid w:val="006D4464"/>
    <w:rsid w:val="006D4EF4"/>
    <w:rsid w:val="006D5E91"/>
    <w:rsid w:val="006D7E87"/>
    <w:rsid w:val="006E10B2"/>
    <w:rsid w:val="006E14E6"/>
    <w:rsid w:val="006E1AEE"/>
    <w:rsid w:val="006E2F52"/>
    <w:rsid w:val="006E32A9"/>
    <w:rsid w:val="006E3B9C"/>
    <w:rsid w:val="006E3E10"/>
    <w:rsid w:val="006E4A4C"/>
    <w:rsid w:val="006E507B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60A"/>
    <w:rsid w:val="00714E3F"/>
    <w:rsid w:val="0071558B"/>
    <w:rsid w:val="0071776A"/>
    <w:rsid w:val="00717893"/>
    <w:rsid w:val="007207E5"/>
    <w:rsid w:val="0072096B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162D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3840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2F4A"/>
    <w:rsid w:val="0081315F"/>
    <w:rsid w:val="00816C51"/>
    <w:rsid w:val="008175B3"/>
    <w:rsid w:val="0082014A"/>
    <w:rsid w:val="00820708"/>
    <w:rsid w:val="00821865"/>
    <w:rsid w:val="008225EB"/>
    <w:rsid w:val="0082327D"/>
    <w:rsid w:val="00823C6A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97C47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3157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2B17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65E"/>
    <w:rsid w:val="00912B9F"/>
    <w:rsid w:val="00912BFD"/>
    <w:rsid w:val="00912E25"/>
    <w:rsid w:val="00914289"/>
    <w:rsid w:val="00914BE6"/>
    <w:rsid w:val="00914E0E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564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1F1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2333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0F4E"/>
    <w:rsid w:val="00A110EA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655"/>
    <w:rsid w:val="00A30F9A"/>
    <w:rsid w:val="00A3136F"/>
    <w:rsid w:val="00A3237A"/>
    <w:rsid w:val="00A34D0C"/>
    <w:rsid w:val="00A34D76"/>
    <w:rsid w:val="00A35971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8"/>
    <w:rsid w:val="00B11A3D"/>
    <w:rsid w:val="00B121B0"/>
    <w:rsid w:val="00B12D42"/>
    <w:rsid w:val="00B13B87"/>
    <w:rsid w:val="00B17FAB"/>
    <w:rsid w:val="00B21221"/>
    <w:rsid w:val="00B216ED"/>
    <w:rsid w:val="00B22C5F"/>
    <w:rsid w:val="00B230A3"/>
    <w:rsid w:val="00B23487"/>
    <w:rsid w:val="00B23687"/>
    <w:rsid w:val="00B25710"/>
    <w:rsid w:val="00B2691A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341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597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3287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E4ED6"/>
    <w:rsid w:val="00BE54F3"/>
    <w:rsid w:val="00BE5F67"/>
    <w:rsid w:val="00BE7920"/>
    <w:rsid w:val="00BE7D06"/>
    <w:rsid w:val="00BF1E46"/>
    <w:rsid w:val="00BF22CD"/>
    <w:rsid w:val="00BF2A3A"/>
    <w:rsid w:val="00BF2CD1"/>
    <w:rsid w:val="00BF4B6A"/>
    <w:rsid w:val="00BF5135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9B0"/>
    <w:rsid w:val="00C2015D"/>
    <w:rsid w:val="00C20245"/>
    <w:rsid w:val="00C20CA6"/>
    <w:rsid w:val="00C226F9"/>
    <w:rsid w:val="00C22A7F"/>
    <w:rsid w:val="00C23398"/>
    <w:rsid w:val="00C233E9"/>
    <w:rsid w:val="00C23B23"/>
    <w:rsid w:val="00C2428B"/>
    <w:rsid w:val="00C25BB2"/>
    <w:rsid w:val="00C26C22"/>
    <w:rsid w:val="00C26CF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44F9"/>
    <w:rsid w:val="00CE52B8"/>
    <w:rsid w:val="00CE6A0B"/>
    <w:rsid w:val="00CE7BF6"/>
    <w:rsid w:val="00CF055E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31"/>
    <w:rsid w:val="00D864C7"/>
    <w:rsid w:val="00D86EB7"/>
    <w:rsid w:val="00D903C4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A7FB2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47D5"/>
    <w:rsid w:val="00E14C0E"/>
    <w:rsid w:val="00E1662F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55D8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02C2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25A3"/>
    <w:rsid w:val="00EA4AD6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B7AD4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0790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4C4"/>
    <w:rsid w:val="00F35D19"/>
    <w:rsid w:val="00F377AE"/>
    <w:rsid w:val="00F40712"/>
    <w:rsid w:val="00F41269"/>
    <w:rsid w:val="00F41319"/>
    <w:rsid w:val="00F44A39"/>
    <w:rsid w:val="00F44B13"/>
    <w:rsid w:val="00F44D47"/>
    <w:rsid w:val="00F45302"/>
    <w:rsid w:val="00F45BE7"/>
    <w:rsid w:val="00F45C0C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596"/>
    <w:rsid w:val="00F6086A"/>
    <w:rsid w:val="00F6169B"/>
    <w:rsid w:val="00F61BA7"/>
    <w:rsid w:val="00F62393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30C7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B787E"/>
    <w:rsid w:val="00FC34DF"/>
    <w:rsid w:val="00FC5556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926C3F"/>
  <w15:docId w15:val="{1DE6C1E4-F554-480C-B73A-06622550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4AD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Odsekzoznamu">
    <w:name w:val="List Paragraph"/>
    <w:basedOn w:val="Normlny"/>
    <w:uiPriority w:val="34"/>
    <w:qFormat/>
    <w:rsid w:val="00E1662F"/>
    <w:pPr>
      <w:ind w:left="720"/>
      <w:contextualSpacing/>
    </w:pPr>
  </w:style>
  <w:style w:type="paragraph" w:styleId="Textbubliny">
    <w:name w:val="Balloon Text"/>
    <w:basedOn w:val="Normlny"/>
    <w:link w:val="TextbublinyChar1"/>
    <w:uiPriority w:val="99"/>
    <w:rsid w:val="006E4A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6E4A4C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D86431"/>
    <w:rPr>
      <w:color w:val="0000FF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643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D903C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1D6F2B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1D6F2B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D6F2B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1D6F2B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D6F2B"/>
    <w:rPr>
      <w:rFonts w:eastAsia="Times New Roman"/>
      <w:b/>
      <w:bCs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019D5"/>
    <w:rPr>
      <w:color w:val="800080" w:themeColor="followedHyperlink"/>
      <w:u w:val="single"/>
    </w:rPr>
  </w:style>
  <w:style w:type="paragraph" w:styleId="Hlavika">
    <w:name w:val="header"/>
    <w:basedOn w:val="Normlny"/>
    <w:link w:val="HlavikaChar1"/>
    <w:uiPriority w:val="99"/>
    <w:unhideWhenUsed/>
    <w:rsid w:val="00B6734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B67341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B67341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B67341"/>
    <w:rPr>
      <w:rFonts w:eastAsia="Times New Roman"/>
      <w:sz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AA06-7854-4254-AA80-37952AD9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2658</Words>
  <Characters>16373</Characters>
  <Application>Microsoft Office Word</Application>
  <DocSecurity>0</DocSecurity>
  <Lines>136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18994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Lacková, Beáta</cp:lastModifiedBy>
  <cp:revision>6</cp:revision>
  <cp:lastPrinted>2019-06-11T20:08:00Z</cp:lastPrinted>
  <dcterms:created xsi:type="dcterms:W3CDTF">2020-10-07T12:58:00Z</dcterms:created>
  <dcterms:modified xsi:type="dcterms:W3CDTF">2020-10-12T13:55:00Z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