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CC74" w14:textId="77777777" w:rsidR="005E36C4" w:rsidRPr="0014319E" w:rsidRDefault="001A48B7" w:rsidP="00970EA9">
      <w:pPr>
        <w:pStyle w:val="SPCaPILhlavika"/>
        <w:rPr>
          <w:szCs w:val="22"/>
          <w:lang w:val="sk-SK"/>
        </w:rPr>
      </w:pPr>
      <w:r w:rsidRPr="0014319E">
        <w:rPr>
          <w:szCs w:val="22"/>
          <w:lang w:val="sk-SK"/>
        </w:rPr>
        <w:t>SÚHRN CHARAKTERISTICKÝCH VLASTNOSTÍ LIEKU</w:t>
      </w:r>
    </w:p>
    <w:p w14:paraId="2A4A3B35" w14:textId="77777777" w:rsidR="001A48B7" w:rsidRPr="0014319E" w:rsidRDefault="001A48B7" w:rsidP="00970EA9">
      <w:pPr>
        <w:pStyle w:val="Styl1"/>
        <w:rPr>
          <w:noProof w:val="0"/>
          <w:szCs w:val="22"/>
          <w:lang w:val="sk-SK"/>
        </w:rPr>
      </w:pPr>
      <w:r w:rsidRPr="0014319E">
        <w:rPr>
          <w:noProof w:val="0"/>
          <w:szCs w:val="22"/>
          <w:lang w:val="sk-SK"/>
        </w:rPr>
        <w:t xml:space="preserve"> NÁZOV LIEKU</w:t>
      </w:r>
    </w:p>
    <w:p w14:paraId="7CCE3B83" w14:textId="77777777" w:rsidR="001A48B7" w:rsidRPr="0014319E" w:rsidRDefault="001A48B7" w:rsidP="00211C59">
      <w:pPr>
        <w:pStyle w:val="Normlndobloku"/>
      </w:pPr>
      <w:r w:rsidRPr="0014319E">
        <w:t>ULCERAN 40</w:t>
      </w:r>
    </w:p>
    <w:p w14:paraId="0ECE19F0" w14:textId="77777777" w:rsidR="00865C15" w:rsidRDefault="009F2FCB" w:rsidP="00E9077F">
      <w:pPr>
        <w:pStyle w:val="Normlndobloku"/>
      </w:pPr>
      <w:r w:rsidRPr="0014319E">
        <w:t>40 mg</w:t>
      </w:r>
      <w:r w:rsidR="008C4185">
        <w:t xml:space="preserve"> </w:t>
      </w:r>
    </w:p>
    <w:p w14:paraId="13C5BDB8" w14:textId="77777777" w:rsidR="0066341E" w:rsidRPr="0014319E" w:rsidRDefault="00B332EF" w:rsidP="00E9077F">
      <w:pPr>
        <w:pStyle w:val="Normlndobloku"/>
      </w:pPr>
      <w:r w:rsidRPr="0014319E">
        <w:t>filmom obalené t</w:t>
      </w:r>
      <w:r w:rsidR="001A48B7" w:rsidRPr="0014319E">
        <w:t>ablety</w:t>
      </w:r>
    </w:p>
    <w:p w14:paraId="240BF1CB" w14:textId="77777777" w:rsidR="001A48B7" w:rsidRPr="0014319E" w:rsidRDefault="001A48B7" w:rsidP="00970EA9">
      <w:pPr>
        <w:pStyle w:val="Styl1"/>
        <w:rPr>
          <w:noProof w:val="0"/>
          <w:szCs w:val="22"/>
          <w:lang w:val="sk-SK"/>
        </w:rPr>
      </w:pPr>
      <w:r w:rsidRPr="0014319E">
        <w:rPr>
          <w:noProof w:val="0"/>
          <w:szCs w:val="22"/>
          <w:lang w:val="sk-SK"/>
        </w:rPr>
        <w:t>KVALITATÍVNE A KVANTITATÍVNE ZLOŽENIE</w:t>
      </w:r>
    </w:p>
    <w:p w14:paraId="7947CA31" w14:textId="77777777" w:rsidR="00B332EF" w:rsidRPr="0014319E" w:rsidRDefault="00B332EF" w:rsidP="00E9077F">
      <w:pPr>
        <w:pStyle w:val="Normlndobloku"/>
      </w:pPr>
      <w:r w:rsidRPr="0014319E">
        <w:t>Jedna tableta obsahuje 40 mg famotidínu.</w:t>
      </w:r>
    </w:p>
    <w:p w14:paraId="5224A4A6" w14:textId="77777777" w:rsidR="00753006" w:rsidRPr="0014319E" w:rsidRDefault="000A2960" w:rsidP="00970EA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Pomocné látky</w:t>
      </w:r>
      <w:r w:rsidR="00316CA1" w:rsidRPr="00211C59">
        <w:rPr>
          <w:rFonts w:ascii="Times New Roman" w:hAnsi="Times New Roman" w:cs="Times New Roman"/>
          <w:noProof w:val="0"/>
          <w:szCs w:val="22"/>
          <w:lang w:val="sk-SK"/>
        </w:rPr>
        <w:t xml:space="preserve"> so známym účinkom:</w:t>
      </w:r>
    </w:p>
    <w:p w14:paraId="62CD4F0B" w14:textId="77777777" w:rsidR="000A2960" w:rsidRPr="0014319E" w:rsidRDefault="000A2960" w:rsidP="00E9077F">
      <w:pPr>
        <w:pStyle w:val="Normlndobloku"/>
      </w:pPr>
      <w:r w:rsidRPr="0014319E">
        <w:t xml:space="preserve">Jedna tableta obsahuje </w:t>
      </w:r>
      <w:r w:rsidR="00484684" w:rsidRPr="0014319E">
        <w:t xml:space="preserve">140 </w:t>
      </w:r>
      <w:r w:rsidRPr="0014319E">
        <w:t>mg monohydrátu laktózy.</w:t>
      </w:r>
    </w:p>
    <w:p w14:paraId="795E318F" w14:textId="77777777" w:rsidR="001A48B7" w:rsidRPr="0014319E" w:rsidRDefault="001A48B7" w:rsidP="00E9077F">
      <w:pPr>
        <w:pStyle w:val="Normlndobloku"/>
      </w:pPr>
      <w:r w:rsidRPr="0014319E">
        <w:t>Úplný zoznam pomocných látok, pozri časť 6.1.</w:t>
      </w:r>
    </w:p>
    <w:p w14:paraId="2DA02F9D" w14:textId="77777777" w:rsidR="005F3200" w:rsidRPr="0014319E" w:rsidRDefault="001A48B7" w:rsidP="00970EA9">
      <w:pPr>
        <w:pStyle w:val="Styl1"/>
        <w:rPr>
          <w:noProof w:val="0"/>
          <w:szCs w:val="22"/>
          <w:lang w:val="sk-SK"/>
        </w:rPr>
      </w:pPr>
      <w:r w:rsidRPr="0014319E">
        <w:rPr>
          <w:noProof w:val="0"/>
          <w:szCs w:val="22"/>
          <w:lang w:val="sk-SK"/>
        </w:rPr>
        <w:t xml:space="preserve"> </w:t>
      </w:r>
      <w:r w:rsidR="005F3200" w:rsidRPr="0014319E">
        <w:rPr>
          <w:noProof w:val="0"/>
          <w:szCs w:val="22"/>
          <w:lang w:val="sk-SK"/>
        </w:rPr>
        <w:t>LIEKOVÁ FORMA</w:t>
      </w:r>
    </w:p>
    <w:p w14:paraId="754F6CD4" w14:textId="77777777" w:rsidR="00B332EF" w:rsidRPr="0014319E" w:rsidRDefault="001A48B7" w:rsidP="00E9077F">
      <w:pPr>
        <w:pStyle w:val="Normlndobloku"/>
      </w:pPr>
      <w:r w:rsidRPr="0014319E">
        <w:t>Filmom obalen</w:t>
      </w:r>
      <w:r w:rsidR="0087719C" w:rsidRPr="0014319E">
        <w:t>á</w:t>
      </w:r>
      <w:r w:rsidRPr="0014319E">
        <w:t xml:space="preserve"> tablet</w:t>
      </w:r>
      <w:r w:rsidR="0087719C" w:rsidRPr="0014319E">
        <w:t>a</w:t>
      </w:r>
    </w:p>
    <w:p w14:paraId="030EF635" w14:textId="77777777" w:rsidR="005E36C4" w:rsidRPr="0014319E" w:rsidRDefault="00B332EF" w:rsidP="00E9077F">
      <w:pPr>
        <w:pStyle w:val="Normlndobloku"/>
      </w:pPr>
      <w:r w:rsidRPr="0014319E">
        <w:t xml:space="preserve">Hnedé okrúhle </w:t>
      </w:r>
      <w:r w:rsidR="000A1F05" w:rsidRPr="00E57054">
        <w:t>bi</w:t>
      </w:r>
      <w:r w:rsidRPr="0014319E">
        <w:t>konvexn</w:t>
      </w:r>
      <w:r w:rsidR="000A1F05" w:rsidRPr="0014319E">
        <w:t>é</w:t>
      </w:r>
      <w:r w:rsidRPr="0014319E">
        <w:t xml:space="preserve"> filmom obalené tablety</w:t>
      </w:r>
      <w:r w:rsidR="000A1F05" w:rsidRPr="0014319E">
        <w:t xml:space="preserve"> s priemerom jadra 9,5 mm.</w:t>
      </w:r>
    </w:p>
    <w:p w14:paraId="70080606" w14:textId="77777777" w:rsidR="00B81CCF" w:rsidRPr="0014319E" w:rsidRDefault="00B81CCF" w:rsidP="00970EA9">
      <w:pPr>
        <w:pStyle w:val="Styl1"/>
        <w:rPr>
          <w:noProof w:val="0"/>
          <w:szCs w:val="22"/>
          <w:lang w:val="sk-SK"/>
        </w:rPr>
      </w:pPr>
      <w:r w:rsidRPr="0014319E">
        <w:rPr>
          <w:noProof w:val="0"/>
          <w:szCs w:val="22"/>
          <w:lang w:val="sk-SK"/>
        </w:rPr>
        <w:t>KLINICKÉ ÚDAJE</w:t>
      </w:r>
    </w:p>
    <w:p w14:paraId="7EDC0BEA" w14:textId="77777777" w:rsidR="005E36C4" w:rsidRPr="00211C59" w:rsidRDefault="001A48B7" w:rsidP="00970EA9">
      <w:pPr>
        <w:pStyle w:val="Styl2"/>
        <w:rPr>
          <w:lang w:val="sk-SK"/>
        </w:rPr>
      </w:pPr>
      <w:r w:rsidRPr="00211C59">
        <w:rPr>
          <w:lang w:val="sk-SK"/>
        </w:rPr>
        <w:t>Terapeutické indikácie</w:t>
      </w:r>
    </w:p>
    <w:p w14:paraId="5AC20AF7" w14:textId="77777777" w:rsidR="00E57765" w:rsidRPr="0014319E" w:rsidRDefault="001A48B7" w:rsidP="00E9077F">
      <w:pPr>
        <w:pStyle w:val="Normlndoblokusodrkami"/>
      </w:pPr>
      <w:r w:rsidRPr="0014319E">
        <w:t>Benígny vred žalúdka.</w:t>
      </w:r>
    </w:p>
    <w:p w14:paraId="612B826A" w14:textId="77777777" w:rsidR="005E36C4" w:rsidRPr="0014319E" w:rsidRDefault="001A48B7" w:rsidP="00E9077F">
      <w:pPr>
        <w:pStyle w:val="Normlndoblokusodrkami"/>
      </w:pPr>
      <w:r w:rsidRPr="0014319E">
        <w:t>Dvanástnikový vred a prevencia jeho relapsu.</w:t>
      </w:r>
    </w:p>
    <w:p w14:paraId="5D3710CC" w14:textId="77777777" w:rsidR="005E36C4" w:rsidRPr="0014319E" w:rsidRDefault="001A48B7" w:rsidP="00E9077F">
      <w:pPr>
        <w:pStyle w:val="Normlndoblokusodrkami"/>
      </w:pPr>
      <w:r w:rsidRPr="0014319E">
        <w:t>Liečba gastroezofageálneho refluxu a prevencia relapsu jeho príznakov.</w:t>
      </w:r>
    </w:p>
    <w:p w14:paraId="248C385B" w14:textId="77777777" w:rsidR="005E36C4" w:rsidRPr="0014319E" w:rsidRDefault="001A48B7" w:rsidP="00E9077F">
      <w:pPr>
        <w:pStyle w:val="Normlndoblokusodrkami"/>
      </w:pPr>
      <w:r w:rsidRPr="0014319E">
        <w:t>Prevencia a liečba vredových zmien na pažeráku pri gastroezofageálnom refluxe.</w:t>
      </w:r>
    </w:p>
    <w:p w14:paraId="325AB128" w14:textId="77777777" w:rsidR="005E36C4" w:rsidRPr="0014319E" w:rsidRDefault="001A48B7" w:rsidP="00E9077F">
      <w:pPr>
        <w:pStyle w:val="Normlndoblokusodrkami"/>
      </w:pPr>
      <w:r w:rsidRPr="0014319E">
        <w:t>Liečba Zollinger-Ellisonovho syndrómu a iných stavov s hypersekréciou žalúdočnej kyseliny.</w:t>
      </w:r>
    </w:p>
    <w:p w14:paraId="5C4B2AEA" w14:textId="77777777" w:rsidR="005E36C4" w:rsidRPr="00211C59" w:rsidRDefault="001A48B7" w:rsidP="00970EA9">
      <w:pPr>
        <w:pStyle w:val="Styl2"/>
        <w:rPr>
          <w:lang w:val="sk-SK"/>
        </w:rPr>
      </w:pPr>
      <w:r w:rsidRPr="00211C59">
        <w:rPr>
          <w:lang w:val="sk-SK"/>
        </w:rPr>
        <w:t>Dávkovanie a spôsob podávania</w:t>
      </w:r>
    </w:p>
    <w:p w14:paraId="4ABA359D" w14:textId="77777777" w:rsidR="001F6678" w:rsidRPr="00211C59" w:rsidRDefault="001F6678" w:rsidP="00211C5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Dávkovanie</w:t>
      </w:r>
    </w:p>
    <w:p w14:paraId="64A7A35F" w14:textId="77777777" w:rsidR="005E36C4" w:rsidRPr="00211C59" w:rsidRDefault="001A48B7" w:rsidP="00211C5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Dospelí</w:t>
      </w:r>
    </w:p>
    <w:p w14:paraId="0E335D77" w14:textId="77777777" w:rsidR="00753006" w:rsidRPr="0014319E" w:rsidRDefault="001A48B7" w:rsidP="00E9077F">
      <w:pPr>
        <w:pStyle w:val="Normlndobloku"/>
      </w:pPr>
      <w:r w:rsidRPr="00211C59">
        <w:rPr>
          <w:rStyle w:val="Bacil"/>
          <w:rFonts w:ascii="Times New Roman" w:hAnsi="Times New Roman" w:cs="Times New Roman"/>
        </w:rPr>
        <w:t>Benígny vred žalúdka:</w:t>
      </w:r>
      <w:r w:rsidRPr="0014319E">
        <w:t xml:space="preserve"> Jedna tableta (40 mg) na noc. Liečba by mala trvať štyri až osem týždňov, pokiaľ endoskopické vyšetrenie nepotvrdí kompletné vyhojenie skôr.</w:t>
      </w:r>
    </w:p>
    <w:p w14:paraId="63954B8F" w14:textId="77777777" w:rsidR="005E36C4" w:rsidRPr="0014319E" w:rsidRDefault="001A48B7" w:rsidP="00E9077F">
      <w:pPr>
        <w:pStyle w:val="Normlndobloku"/>
      </w:pPr>
      <w:r w:rsidRPr="0014319E">
        <w:rPr>
          <w:i/>
          <w:iCs/>
        </w:rPr>
        <w:t xml:space="preserve">Dvanástnikový vred: </w:t>
      </w:r>
      <w:r w:rsidRPr="0014319E">
        <w:t>Jedna tableta (40 mg) na noc. Liečba by mala trvať štyri až osem týždňov. U</w:t>
      </w:r>
      <w:r w:rsidR="001331B9" w:rsidRPr="0014319E">
        <w:t> </w:t>
      </w:r>
      <w:r w:rsidRPr="0014319E">
        <w:t>väčšiny pacientov prichádza k vyhojeniu vredu do štyroch týždňov. Ak sa kompletné vyhojenie nedosiahne, možno liečbu predĺžiť o ďalšie štyri týždne.</w:t>
      </w:r>
    </w:p>
    <w:p w14:paraId="7180A907" w14:textId="77777777" w:rsidR="005E36C4" w:rsidRPr="0014319E" w:rsidRDefault="001A48B7" w:rsidP="00E9077F">
      <w:pPr>
        <w:pStyle w:val="Normlndobloku"/>
      </w:pPr>
      <w:r w:rsidRPr="00211C59">
        <w:rPr>
          <w:rStyle w:val="Bacil"/>
          <w:rFonts w:ascii="Times New Roman" w:hAnsi="Times New Roman" w:cs="Times New Roman"/>
        </w:rPr>
        <w:t>Prevencia relapsu dvanástnikového vredu (udržiavacia liečba):</w:t>
      </w:r>
      <w:r w:rsidRPr="0014319E">
        <w:t xml:space="preserve"> 20 mg famotidínu (pol tablety na noc).</w:t>
      </w:r>
    </w:p>
    <w:p w14:paraId="6FE169F3" w14:textId="77777777" w:rsidR="005E36C4" w:rsidRPr="0014319E" w:rsidRDefault="001A48B7" w:rsidP="00E9077F">
      <w:pPr>
        <w:pStyle w:val="Normlndobloku"/>
      </w:pPr>
      <w:r w:rsidRPr="00211C59">
        <w:rPr>
          <w:rStyle w:val="Bacil"/>
          <w:rFonts w:ascii="Times New Roman" w:hAnsi="Times New Roman" w:cs="Times New Roman"/>
        </w:rPr>
        <w:t>Refluxná choroba pažeráka:</w:t>
      </w:r>
      <w:r w:rsidRPr="0014319E">
        <w:rPr>
          <w:i/>
          <w:iCs/>
        </w:rPr>
        <w:t xml:space="preserve"> </w:t>
      </w:r>
      <w:r w:rsidRPr="0014319E">
        <w:t>20 mg famotidínu (pol tablety) dvakrát denne po dobu šesť až dvanásť týždňov. Ak je ochorenie spojené so vznikom poškodenia sliznice pažeráka alebo vredových zmien na pažeráku, podáva sa 40 mg tableta dvakrát denne po dobu šesť až dvanásť týždňov.</w:t>
      </w:r>
    </w:p>
    <w:p w14:paraId="35AA8B96" w14:textId="77777777" w:rsidR="005E36C4" w:rsidRPr="0014319E" w:rsidRDefault="001A48B7" w:rsidP="00E9077F">
      <w:pPr>
        <w:pStyle w:val="Normlndobloku"/>
      </w:pPr>
      <w:r w:rsidRPr="00211C59">
        <w:rPr>
          <w:rStyle w:val="Bacil"/>
          <w:rFonts w:ascii="Times New Roman" w:hAnsi="Times New Roman" w:cs="Times New Roman"/>
        </w:rPr>
        <w:t>Prevencia relapsu refluxnej choroby pažeráka (udržiavacia liečba):</w:t>
      </w:r>
      <w:r w:rsidRPr="0014319E">
        <w:t xml:space="preserve"> 20 mg famotidínu (pol tablety) dvakrát denne.</w:t>
      </w:r>
    </w:p>
    <w:p w14:paraId="6AB9BA27" w14:textId="77777777" w:rsidR="005E36C4" w:rsidRPr="0014319E" w:rsidRDefault="001A48B7" w:rsidP="00E9077F">
      <w:pPr>
        <w:pStyle w:val="Normlndobloku"/>
      </w:pPr>
      <w:r w:rsidRPr="00211C59">
        <w:rPr>
          <w:rStyle w:val="Bacil"/>
          <w:rFonts w:ascii="Times New Roman" w:hAnsi="Times New Roman" w:cs="Times New Roman"/>
        </w:rPr>
        <w:t>Zollinger-Ellisonov syndróm:</w:t>
      </w:r>
      <w:r w:rsidRPr="0014319E">
        <w:rPr>
          <w:i/>
          <w:iCs/>
        </w:rPr>
        <w:t xml:space="preserve"> </w:t>
      </w:r>
      <w:r w:rsidRPr="0014319E">
        <w:t xml:space="preserve">Liečba by mala začať podávaním 20 mg famotidínu (pol tablety) každých šesť hodín. Dávka sa ďalej upravuje podľa individuálnej odpovede pacienta. Denné dávky až do 800 mg </w:t>
      </w:r>
      <w:r w:rsidRPr="0014319E">
        <w:lastRenderedPageBreak/>
        <w:t>denne sa podávali bez výskytu významnejších nežiaducich účinkov alebo tachyfylaxie. U</w:t>
      </w:r>
      <w:r w:rsidR="001331B9" w:rsidRPr="0014319E">
        <w:t> </w:t>
      </w:r>
      <w:r w:rsidRPr="0014319E">
        <w:t xml:space="preserve">pacientov prechádzajúcich na </w:t>
      </w:r>
      <w:r w:rsidR="00E91573" w:rsidRPr="0014319E">
        <w:rPr>
          <w:iCs/>
        </w:rPr>
        <w:t>ULCERAN 40</w:t>
      </w:r>
      <w:r w:rsidR="00E91573" w:rsidRPr="0014319E">
        <w:rPr>
          <w:i/>
          <w:iCs/>
        </w:rPr>
        <w:t xml:space="preserve"> </w:t>
      </w:r>
      <w:r w:rsidRPr="0014319E">
        <w:t>po užívaní iného antagonistu H2 receptorov by mala byť úvodná dávka vyššia, v závislosti od závažnosti príznakov a dávkovania predtým užívaného lieku.</w:t>
      </w:r>
    </w:p>
    <w:p w14:paraId="72276100" w14:textId="77777777" w:rsidR="00E91573" w:rsidRPr="00211C59" w:rsidRDefault="001A48B7" w:rsidP="00211C5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 xml:space="preserve">Starší </w:t>
      </w:r>
      <w:r w:rsidR="002A5682" w:rsidRPr="00211C59">
        <w:rPr>
          <w:rFonts w:ascii="Times New Roman" w:hAnsi="Times New Roman" w:cs="Times New Roman"/>
          <w:noProof w:val="0"/>
          <w:szCs w:val="22"/>
          <w:lang w:val="sk-SK"/>
        </w:rPr>
        <w:t>pacienti</w:t>
      </w:r>
    </w:p>
    <w:p w14:paraId="6BC14059" w14:textId="77777777" w:rsidR="005E36C4" w:rsidRPr="0014319E" w:rsidRDefault="00E91573" w:rsidP="00E9077F">
      <w:pPr>
        <w:pStyle w:val="Normlndobloku"/>
      </w:pPr>
      <w:r w:rsidRPr="0014319E">
        <w:t>D</w:t>
      </w:r>
      <w:r w:rsidR="001A48B7" w:rsidRPr="0014319E">
        <w:t>ávkovanie u jednotlivých ochorení je rovnaké ako u dospelých, ale treba brať do úvahy, že pacienti vo vyššom veku častejšie trpia po</w:t>
      </w:r>
      <w:r w:rsidR="00F52D38" w:rsidRPr="0014319E">
        <w:t xml:space="preserve">ruchou </w:t>
      </w:r>
      <w:r w:rsidR="001A48B7" w:rsidRPr="0014319E">
        <w:t>funkci</w:t>
      </w:r>
      <w:r w:rsidR="00F52D38" w:rsidRPr="0014319E">
        <w:t>e obličiek</w:t>
      </w:r>
      <w:r w:rsidR="001A48B7" w:rsidRPr="0014319E">
        <w:t>.</w:t>
      </w:r>
    </w:p>
    <w:p w14:paraId="6FCE8034" w14:textId="77777777" w:rsidR="005E36C4" w:rsidRPr="0014319E" w:rsidRDefault="00F52D38" w:rsidP="00E9077F">
      <w:pPr>
        <w:pStyle w:val="Normlndobloku"/>
      </w:pPr>
      <w:r w:rsidRPr="00211C59">
        <w:rPr>
          <w:rStyle w:val="Bacil"/>
          <w:rFonts w:ascii="Times New Roman" w:hAnsi="Times New Roman" w:cs="Times New Roman"/>
        </w:rPr>
        <w:t xml:space="preserve">Porucha funkcie </w:t>
      </w:r>
      <w:r w:rsidR="001A48B7" w:rsidRPr="00211C59">
        <w:rPr>
          <w:rStyle w:val="Bacil"/>
          <w:rFonts w:ascii="Times New Roman" w:hAnsi="Times New Roman" w:cs="Times New Roman"/>
        </w:rPr>
        <w:t>oblič</w:t>
      </w:r>
      <w:r w:rsidRPr="00211C59">
        <w:rPr>
          <w:rStyle w:val="Bacil"/>
          <w:rFonts w:ascii="Times New Roman" w:hAnsi="Times New Roman" w:cs="Times New Roman"/>
        </w:rPr>
        <w:t>ie</w:t>
      </w:r>
      <w:r w:rsidR="001A48B7" w:rsidRPr="00211C59">
        <w:rPr>
          <w:rStyle w:val="Bacil"/>
          <w:rFonts w:ascii="Times New Roman" w:hAnsi="Times New Roman" w:cs="Times New Roman"/>
        </w:rPr>
        <w:t>k:</w:t>
      </w:r>
      <w:r w:rsidR="001A48B7" w:rsidRPr="0014319E">
        <w:rPr>
          <w:i/>
          <w:iCs/>
        </w:rPr>
        <w:t xml:space="preserve"> </w:t>
      </w:r>
      <w:r w:rsidR="001A48B7" w:rsidRPr="0014319E">
        <w:t>Famotidín sa vylučuje predovšetkým obličkami, preto u pacientov s</w:t>
      </w:r>
      <w:r w:rsidR="00025274" w:rsidRPr="0014319E">
        <w:t> </w:t>
      </w:r>
      <w:r w:rsidRPr="0014319E">
        <w:t xml:space="preserve">poruchou </w:t>
      </w:r>
      <w:r w:rsidR="001A48B7" w:rsidRPr="0014319E">
        <w:t>funkci</w:t>
      </w:r>
      <w:r w:rsidRPr="0014319E">
        <w:t>e obličiek</w:t>
      </w:r>
      <w:r w:rsidR="001A48B7" w:rsidRPr="0014319E">
        <w:t xml:space="preserve"> je potrebná zvýšená opatrnosť.</w:t>
      </w:r>
    </w:p>
    <w:p w14:paraId="60193E0E" w14:textId="77777777" w:rsidR="005E36C4" w:rsidRPr="0014319E" w:rsidRDefault="001A48B7" w:rsidP="00E9077F">
      <w:pPr>
        <w:pStyle w:val="Normlndobloku"/>
      </w:pPr>
      <w:r w:rsidRPr="0014319E">
        <w:t>U pacientov s ťažkým poškodením obličiek (klírens kreatinínu pod 10 ml za minútu) sa odporúča redukcia dávky na 20 mg famotidínu (pol tablety na noc).</w:t>
      </w:r>
    </w:p>
    <w:p w14:paraId="436E7FF8" w14:textId="77777777" w:rsidR="00753006" w:rsidRPr="0014319E" w:rsidRDefault="00226B7A" w:rsidP="00970EA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Pediatrická populácia</w:t>
      </w:r>
    </w:p>
    <w:p w14:paraId="0130219E" w14:textId="77777777" w:rsidR="005E36C4" w:rsidRPr="0014319E" w:rsidRDefault="001A48B7" w:rsidP="00E9077F">
      <w:pPr>
        <w:pStyle w:val="Normlndobloku"/>
      </w:pPr>
      <w:r w:rsidRPr="0014319E">
        <w:t xml:space="preserve">Podávanie </w:t>
      </w:r>
      <w:r w:rsidR="00E91573" w:rsidRPr="0014319E">
        <w:rPr>
          <w:iCs/>
        </w:rPr>
        <w:t>ULCERANU 40</w:t>
      </w:r>
      <w:r w:rsidR="005E36C4" w:rsidRPr="0014319E">
        <w:rPr>
          <w:iCs/>
        </w:rPr>
        <w:t xml:space="preserve"> </w:t>
      </w:r>
      <w:r w:rsidRPr="0014319E">
        <w:t>sa neodporúča.</w:t>
      </w:r>
    </w:p>
    <w:p w14:paraId="2E8659AE" w14:textId="77777777" w:rsidR="000676E1" w:rsidRPr="00211C59" w:rsidRDefault="000676E1" w:rsidP="00211C5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Spôsob podávania</w:t>
      </w:r>
    </w:p>
    <w:p w14:paraId="732B334A" w14:textId="77777777" w:rsidR="000676E1" w:rsidRPr="0014319E" w:rsidRDefault="000676E1" w:rsidP="00E9077F">
      <w:pPr>
        <w:pStyle w:val="Normlndobloku"/>
      </w:pPr>
      <w:r w:rsidRPr="0014319E">
        <w:rPr>
          <w:iCs/>
        </w:rPr>
        <w:t>ULCERAN 40</w:t>
      </w:r>
      <w:r w:rsidRPr="0014319E">
        <w:rPr>
          <w:i/>
          <w:iCs/>
        </w:rPr>
        <w:t xml:space="preserve"> </w:t>
      </w:r>
      <w:r w:rsidRPr="0014319E">
        <w:t>tablety sú určené na perorálne podávanie. Majú sa prehltnúť celé s malým množstvom vody.</w:t>
      </w:r>
    </w:p>
    <w:p w14:paraId="5B5B835F" w14:textId="77777777" w:rsidR="005E36C4" w:rsidRPr="00211C59" w:rsidRDefault="001A48B7" w:rsidP="00970EA9">
      <w:pPr>
        <w:pStyle w:val="Styl2"/>
        <w:rPr>
          <w:lang w:val="sk-SK"/>
        </w:rPr>
      </w:pPr>
      <w:r w:rsidRPr="00211C59">
        <w:rPr>
          <w:lang w:val="sk-SK"/>
        </w:rPr>
        <w:t>Kontraindikácie</w:t>
      </w:r>
    </w:p>
    <w:p w14:paraId="60CBC1E1" w14:textId="2AB70263" w:rsidR="00DB461D" w:rsidRPr="0014319E" w:rsidRDefault="00B52C5B" w:rsidP="00211C59">
      <w:pPr>
        <w:pStyle w:val="Normlndoblokusodrkami"/>
      </w:pPr>
      <w:r w:rsidRPr="0014319E">
        <w:t>p</w:t>
      </w:r>
      <w:r w:rsidR="00DB461D" w:rsidRPr="0014319E">
        <w:t xml:space="preserve">recitlivenosť </w:t>
      </w:r>
      <w:r w:rsidR="001A48B7" w:rsidRPr="0014319E">
        <w:t xml:space="preserve">na famotidín alebo na </w:t>
      </w:r>
      <w:r w:rsidR="00CF55AC">
        <w:t>ktorúkoľvek</w:t>
      </w:r>
      <w:r w:rsidR="00CF55AC" w:rsidRPr="0014319E">
        <w:t xml:space="preserve"> </w:t>
      </w:r>
      <w:r w:rsidR="00DB461D" w:rsidRPr="0014319E">
        <w:t>z pomocných látok uvedených v časti 6.1.</w:t>
      </w:r>
    </w:p>
    <w:p w14:paraId="03D9C3F0" w14:textId="77777777" w:rsidR="00DB461D" w:rsidRPr="00211C59" w:rsidRDefault="00B52C5B" w:rsidP="00211C59">
      <w:pPr>
        <w:pStyle w:val="Normlndoblokusodrkami"/>
      </w:pPr>
      <w:r w:rsidRPr="00211C59">
        <w:t>laktácia</w:t>
      </w:r>
    </w:p>
    <w:p w14:paraId="543E7094" w14:textId="77777777" w:rsidR="005E36C4" w:rsidRPr="0014319E" w:rsidRDefault="00B52C5B" w:rsidP="00211C59">
      <w:pPr>
        <w:pStyle w:val="Normlndoblokusodrkami"/>
      </w:pPr>
      <w:r w:rsidRPr="0014319E">
        <w:t>v</w:t>
      </w:r>
      <w:r w:rsidRPr="00211C59">
        <w:t>ek do 18 rokov</w:t>
      </w:r>
    </w:p>
    <w:p w14:paraId="7A71C5EA" w14:textId="77777777" w:rsidR="005E36C4" w:rsidRPr="00211C59" w:rsidRDefault="00B81CCF" w:rsidP="00970EA9">
      <w:pPr>
        <w:pStyle w:val="Styl2"/>
        <w:rPr>
          <w:lang w:val="sk-SK"/>
        </w:rPr>
      </w:pPr>
      <w:r w:rsidRPr="00211C59">
        <w:rPr>
          <w:noProof w:val="0"/>
          <w:lang w:val="sk-SK"/>
        </w:rPr>
        <w:t>Osobitné</w:t>
      </w:r>
      <w:r w:rsidRPr="00211C59">
        <w:rPr>
          <w:lang w:val="sk-SK"/>
        </w:rPr>
        <w:t xml:space="preserve"> upozornenia </w:t>
      </w:r>
      <w:r w:rsidRPr="00211C59">
        <w:rPr>
          <w:noProof w:val="0"/>
          <w:lang w:val="sk-SK"/>
        </w:rPr>
        <w:t>a opatrenia pri používaní</w:t>
      </w:r>
    </w:p>
    <w:p w14:paraId="79C28E47" w14:textId="77777777" w:rsidR="005E36C4" w:rsidRPr="0014319E" w:rsidRDefault="001A48B7" w:rsidP="00E9077F">
      <w:pPr>
        <w:pStyle w:val="Normlndobloku"/>
      </w:pPr>
      <w:r w:rsidRPr="0014319E">
        <w:t>Pri liečbe antagonistom H2-receptorov sa môžu maskovať príznaky karcinómu žalúdka a diagnóza karcinómu sa môže oneskoriť. Ak je vred žalúdka podozrivý z malignity, malignita sa musí vylúčiť pred začatím liečby. Nakoľko famotidín sa vylučuje obličkami, jeho plazmatické hladiny sa zvyšujú u</w:t>
      </w:r>
      <w:r w:rsidR="003E61C1" w:rsidRPr="0014319E">
        <w:t> </w:t>
      </w:r>
      <w:r w:rsidRPr="0014319E">
        <w:t>pacientov s ťažkou poruchou funkcie obličiek. V týchto prípadoch sa odporúča redukcia dávky</w:t>
      </w:r>
      <w:r w:rsidR="003E61C1" w:rsidRPr="0014319E">
        <w:t xml:space="preserve"> </w:t>
      </w:r>
      <w:r w:rsidRPr="0014319E">
        <w:t>-</w:t>
      </w:r>
      <w:r w:rsidR="001331B9" w:rsidRPr="0014319E">
        <w:t> </w:t>
      </w:r>
      <w:r w:rsidRPr="0014319E">
        <w:t>pozri dávkovanie a spôsob podávania.</w:t>
      </w:r>
    </w:p>
    <w:p w14:paraId="7DD82708" w14:textId="05A97CCE" w:rsidR="001A3C77" w:rsidRPr="0014319E" w:rsidRDefault="000C1C94" w:rsidP="001A3C77">
      <w:pPr>
        <w:pStyle w:val="Normlndobloku"/>
      </w:pPr>
      <w:r w:rsidRPr="0014319E">
        <w:t xml:space="preserve">Liek obsahuje monohydrát laktózy. </w:t>
      </w:r>
      <w:r w:rsidR="001A3C77" w:rsidRPr="0014319E">
        <w:t>Pacienti so zriedkavými dedičnými problémami galaktózovej intolerancie, laponského deficitu laktázy alebo glukózo-galaktózovej malabsorpcie nesmú užívať tento liek.</w:t>
      </w:r>
      <w:bookmarkStart w:id="0" w:name="_GoBack"/>
      <w:bookmarkEnd w:id="0"/>
    </w:p>
    <w:p w14:paraId="208AA04E" w14:textId="77777777" w:rsidR="005E36C4" w:rsidRPr="00211C59" w:rsidRDefault="001A48B7" w:rsidP="001A3C77">
      <w:pPr>
        <w:pStyle w:val="Styl2"/>
        <w:rPr>
          <w:lang w:val="sk-SK"/>
        </w:rPr>
      </w:pPr>
      <w:r w:rsidRPr="00211C59">
        <w:rPr>
          <w:lang w:val="sk-SK"/>
        </w:rPr>
        <w:t>Liekové a iné interakcie</w:t>
      </w:r>
    </w:p>
    <w:p w14:paraId="01348A7C" w14:textId="2CAE80C1" w:rsidR="005E36C4" w:rsidRDefault="001A48B7" w:rsidP="00E9077F">
      <w:pPr>
        <w:pStyle w:val="Normlndobloku"/>
      </w:pPr>
      <w:r w:rsidRPr="0014319E">
        <w:t>Klinicky dôležité liekové interakcie sa nezaznamenali. Famotidín neovplyvňuje metabolizmus liekov závislých od cytochrómu P450. Nedokázalo sa ani ovplyvnenie krvného prietoku pečeňou pri podávaní famotidínu.</w:t>
      </w:r>
    </w:p>
    <w:p w14:paraId="3D8E36E4" w14:textId="73234CCF" w:rsidR="004F587B" w:rsidRPr="0014319E" w:rsidRDefault="004F587B" w:rsidP="00E9077F">
      <w:pPr>
        <w:pStyle w:val="Normlndobloku"/>
      </w:pPr>
      <w:r w:rsidRPr="004F587B">
        <w:t>Riziko straty účinnosti uhličitanu vápenatého, ak sa podáva ako viazač fosfátov súbežne s famotidínom u pacientov podstupujúcich hemodialýzu</w:t>
      </w:r>
      <w:r>
        <w:t>.</w:t>
      </w:r>
    </w:p>
    <w:p w14:paraId="57B168B9" w14:textId="77777777" w:rsidR="00B81CCF" w:rsidRPr="00211C59" w:rsidRDefault="001F6678" w:rsidP="00970EA9">
      <w:pPr>
        <w:pStyle w:val="Styl2"/>
        <w:rPr>
          <w:noProof w:val="0"/>
          <w:lang w:val="sk-SK"/>
        </w:rPr>
      </w:pPr>
      <w:r w:rsidRPr="00211C59">
        <w:rPr>
          <w:noProof w:val="0"/>
          <w:lang w:val="sk-SK"/>
        </w:rPr>
        <w:t>Fertilita, g</w:t>
      </w:r>
      <w:r w:rsidR="00B81CCF" w:rsidRPr="00211C59">
        <w:rPr>
          <w:noProof w:val="0"/>
          <w:lang w:val="sk-SK"/>
        </w:rPr>
        <w:t>ravidita a laktácia</w:t>
      </w:r>
    </w:p>
    <w:p w14:paraId="4C0B6B75" w14:textId="77777777" w:rsidR="001A48B7" w:rsidRPr="00211C59" w:rsidRDefault="001F6678" w:rsidP="00211C5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Gravidita</w:t>
      </w:r>
    </w:p>
    <w:p w14:paraId="6D263C2C" w14:textId="77777777" w:rsidR="005E36C4" w:rsidRPr="0014319E" w:rsidRDefault="00E91573" w:rsidP="00E9077F">
      <w:pPr>
        <w:pStyle w:val="Normlndobloku"/>
      </w:pPr>
      <w:r w:rsidRPr="0014319E">
        <w:rPr>
          <w:iCs/>
        </w:rPr>
        <w:t>ULCERAN</w:t>
      </w:r>
      <w:r w:rsidR="00BD6312" w:rsidRPr="0014319E">
        <w:rPr>
          <w:iCs/>
        </w:rPr>
        <w:t xml:space="preserve"> </w:t>
      </w:r>
      <w:r w:rsidRPr="0014319E">
        <w:rPr>
          <w:iCs/>
        </w:rPr>
        <w:t>40</w:t>
      </w:r>
      <w:r w:rsidR="001A48B7" w:rsidRPr="0014319E">
        <w:rPr>
          <w:i/>
          <w:iCs/>
        </w:rPr>
        <w:t xml:space="preserve"> </w:t>
      </w:r>
      <w:r w:rsidR="001A48B7" w:rsidRPr="0014319E">
        <w:t xml:space="preserve">sa neodporúča </w:t>
      </w:r>
      <w:r w:rsidR="00BD6312" w:rsidRPr="0014319E">
        <w:t xml:space="preserve">užívať </w:t>
      </w:r>
      <w:r w:rsidR="001A48B7" w:rsidRPr="0014319E">
        <w:t xml:space="preserve">počas </w:t>
      </w:r>
      <w:r w:rsidR="00BD6312" w:rsidRPr="0014319E">
        <w:t>gravidity</w:t>
      </w:r>
      <w:r w:rsidR="001A48B7" w:rsidRPr="0014319E">
        <w:t xml:space="preserve">. </w:t>
      </w:r>
      <w:r w:rsidR="00BD6312" w:rsidRPr="0014319E">
        <w:t xml:space="preserve">O užívaní ULCERANU 40 sa má uvažovať, iba ak je to </w:t>
      </w:r>
      <w:r w:rsidR="001A48B7" w:rsidRPr="0014319E">
        <w:t xml:space="preserve">nevyhnutné, pričom </w:t>
      </w:r>
      <w:r w:rsidR="00B1521E" w:rsidRPr="0014319E">
        <w:t>sa</w:t>
      </w:r>
      <w:r w:rsidR="001A48B7" w:rsidRPr="0014319E">
        <w:t xml:space="preserve"> musí zvážiť, či očakávaný </w:t>
      </w:r>
      <w:r w:rsidR="006F4E0F" w:rsidRPr="0014319E">
        <w:t xml:space="preserve">prínos </w:t>
      </w:r>
      <w:r w:rsidR="001A48B7" w:rsidRPr="0014319E">
        <w:t>liečby je väčší než potenciálne riziká.</w:t>
      </w:r>
    </w:p>
    <w:p w14:paraId="6EDF4790" w14:textId="77777777" w:rsidR="001F6678" w:rsidRPr="00211C59" w:rsidRDefault="001F6678" w:rsidP="00211C59">
      <w:pPr>
        <w:pStyle w:val="Styl3"/>
        <w:jc w:val="left"/>
        <w:rPr>
          <w:rFonts w:ascii="Times New Roman" w:hAnsi="Times New Roman" w:cs="Times New Roman"/>
          <w:noProof w:val="0"/>
          <w:szCs w:val="22"/>
          <w:lang w:val="sk-SK"/>
        </w:rPr>
      </w:pPr>
      <w:r w:rsidRPr="00211C59">
        <w:rPr>
          <w:rFonts w:ascii="Times New Roman" w:hAnsi="Times New Roman" w:cs="Times New Roman"/>
          <w:noProof w:val="0"/>
          <w:szCs w:val="22"/>
          <w:lang w:val="sk-SK"/>
        </w:rPr>
        <w:t>Laktácia</w:t>
      </w:r>
    </w:p>
    <w:p w14:paraId="06C94897" w14:textId="77777777" w:rsidR="005E36C4" w:rsidRPr="0014319E" w:rsidRDefault="001A48B7" w:rsidP="00E9077F">
      <w:pPr>
        <w:pStyle w:val="Normlndobloku"/>
      </w:pPr>
      <w:r w:rsidRPr="0014319E">
        <w:t xml:space="preserve">Famotidín sa vylučuje do materského mlieka. </w:t>
      </w:r>
      <w:r w:rsidR="0046594C" w:rsidRPr="0014319E">
        <w:t>ULCERAN 40 je kontraindikovaný počas laktácie</w:t>
      </w:r>
      <w:r w:rsidR="000479A5" w:rsidRPr="0014319E">
        <w:t xml:space="preserve"> </w:t>
      </w:r>
      <w:r w:rsidR="0046594C" w:rsidRPr="0014319E">
        <w:t>(pozri časť 4.3)</w:t>
      </w:r>
      <w:r w:rsidRPr="0014319E">
        <w:t>.</w:t>
      </w:r>
    </w:p>
    <w:p w14:paraId="72F28445" w14:textId="77777777" w:rsidR="00B81CCF" w:rsidRPr="00211C59" w:rsidRDefault="00B81CCF" w:rsidP="00970EA9">
      <w:pPr>
        <w:pStyle w:val="Styl2"/>
        <w:rPr>
          <w:lang w:val="sk-SK"/>
        </w:rPr>
      </w:pPr>
      <w:r w:rsidRPr="00211C59">
        <w:rPr>
          <w:lang w:val="sk-SK"/>
        </w:rPr>
        <w:lastRenderedPageBreak/>
        <w:t>Ovplyvnenie schopnosti viesť vozidlá a obsluhovať stroje</w:t>
      </w:r>
    </w:p>
    <w:p w14:paraId="5CC94CD7" w14:textId="77777777" w:rsidR="005E36C4" w:rsidRPr="0014319E" w:rsidRDefault="001A48B7" w:rsidP="00E9077F">
      <w:pPr>
        <w:pStyle w:val="Normlndobloku"/>
      </w:pPr>
      <w:r w:rsidRPr="0014319E">
        <w:t xml:space="preserve">Pri užívaní </w:t>
      </w:r>
      <w:r w:rsidR="004B67FA" w:rsidRPr="0014319E">
        <w:rPr>
          <w:iCs/>
        </w:rPr>
        <w:t>ULCERANU 40</w:t>
      </w:r>
      <w:r w:rsidR="005E36C4" w:rsidRPr="0014319E">
        <w:rPr>
          <w:i/>
          <w:iCs/>
        </w:rPr>
        <w:t xml:space="preserve"> </w:t>
      </w:r>
      <w:r w:rsidRPr="0014319E">
        <w:t xml:space="preserve">sa zriedkavo môže dostaviť únava, závraty a ospalosť </w:t>
      </w:r>
      <w:r w:rsidR="00753006" w:rsidRPr="0014319E">
        <w:t>-</w:t>
      </w:r>
      <w:r w:rsidRPr="0014319E">
        <w:t xml:space="preserve"> pozri</w:t>
      </w:r>
      <w:r w:rsidR="003C1DD9" w:rsidRPr="0014319E">
        <w:t xml:space="preserve"> časť</w:t>
      </w:r>
      <w:r w:rsidRPr="0014319E">
        <w:t xml:space="preserve"> 4.8 Nežiaduce účinky. Pacienti, u ktorých sa tieto nežiaduce účinky objavia, nesmú viesť motorové vozidlo ani obsluhovať stroje.</w:t>
      </w:r>
    </w:p>
    <w:p w14:paraId="3195C506" w14:textId="77777777" w:rsidR="005E36C4" w:rsidRPr="00211C59" w:rsidRDefault="001A48B7" w:rsidP="00970EA9">
      <w:pPr>
        <w:pStyle w:val="Styl2"/>
        <w:rPr>
          <w:lang w:val="sk-SK"/>
        </w:rPr>
      </w:pPr>
      <w:r w:rsidRPr="00211C59">
        <w:rPr>
          <w:lang w:val="sk-SK"/>
        </w:rPr>
        <w:t>Nežiaduce účinky</w:t>
      </w:r>
    </w:p>
    <w:p w14:paraId="59B446C1" w14:textId="77777777" w:rsidR="00A2488A" w:rsidRPr="00211C59" w:rsidRDefault="00A2488A" w:rsidP="00211C59">
      <w:pPr>
        <w:rPr>
          <w:rFonts w:ascii="Times New Roman" w:hAnsi="Times New Roman"/>
          <w:bCs/>
          <w:lang w:val="sk-SK"/>
        </w:rPr>
      </w:pPr>
      <w:r w:rsidRPr="00211C59">
        <w:rPr>
          <w:rFonts w:ascii="Times New Roman" w:hAnsi="Times New Roman"/>
          <w:lang w:val="sk-SK"/>
        </w:rPr>
        <w:t xml:space="preserve">Nežiaduce </w:t>
      </w:r>
      <w:r w:rsidRPr="0014319E">
        <w:rPr>
          <w:rStyle w:val="FontStyle28"/>
          <w:rFonts w:ascii="Times New Roman" w:hAnsi="Times New Roman" w:cs="Times New Roman"/>
          <w:sz w:val="22"/>
          <w:szCs w:val="22"/>
          <w:lang w:val="sk-SK"/>
        </w:rPr>
        <w:t>účinky</w:t>
      </w:r>
      <w:r w:rsidRPr="00211C59">
        <w:rPr>
          <w:rFonts w:ascii="Times New Roman" w:hAnsi="Times New Roman"/>
          <w:lang w:val="sk-SK"/>
        </w:rPr>
        <w:t xml:space="preserve"> sú uvedené podľa </w:t>
      </w:r>
      <w:r w:rsidRPr="0014319E">
        <w:rPr>
          <w:rStyle w:val="FontStyle28"/>
          <w:rFonts w:ascii="Times New Roman" w:hAnsi="Times New Roman" w:cs="Times New Roman"/>
          <w:sz w:val="22"/>
          <w:szCs w:val="22"/>
          <w:lang w:val="sk-SK"/>
        </w:rPr>
        <w:t>klasifikácie</w:t>
      </w:r>
      <w:r w:rsidRPr="00211C59">
        <w:rPr>
          <w:rFonts w:ascii="Times New Roman" w:hAnsi="Times New Roman"/>
          <w:lang w:val="sk-SK"/>
        </w:rPr>
        <w:t xml:space="preserve"> tried orgánových systémov</w:t>
      </w:r>
      <w:r w:rsidRPr="0014319E">
        <w:rPr>
          <w:rStyle w:val="FontStyle28"/>
          <w:rFonts w:ascii="Times New Roman" w:hAnsi="Times New Roman" w:cs="Times New Roman"/>
          <w:sz w:val="22"/>
          <w:szCs w:val="22"/>
          <w:lang w:val="sk-SK"/>
        </w:rPr>
        <w:t xml:space="preserve"> MedDRA</w:t>
      </w:r>
      <w:r w:rsidRPr="00211C59">
        <w:rPr>
          <w:rFonts w:ascii="Times New Roman" w:hAnsi="Times New Roman"/>
          <w:lang w:val="sk-SK"/>
        </w:rPr>
        <w:t xml:space="preserve">. Frekvencia výskytu je definovaná podľa konvencií nasledovne: veľmi časté (≥ 1/10), časté (≥ </w:t>
      </w:r>
      <w:r w:rsidR="0014319E" w:rsidRPr="0014319E">
        <w:rPr>
          <w:rFonts w:ascii="Times New Roman" w:hAnsi="Times New Roman"/>
          <w:lang w:val="sk-SK"/>
        </w:rPr>
        <w:t>1</w:t>
      </w:r>
      <w:r w:rsidRPr="00211C59">
        <w:rPr>
          <w:rFonts w:ascii="Times New Roman" w:hAnsi="Times New Roman"/>
          <w:lang w:val="sk-SK"/>
        </w:rPr>
        <w:t>/100 až &lt; 1/10), menej časté (≥ 1/1 000 až &lt; 1/100), zriedkavé (≥ 1/10 000 až &lt; 1/1 000), veľmi zriedkavé (&lt; 1/10 000), neznáme (z dostupných údajov).</w:t>
      </w:r>
    </w:p>
    <w:p w14:paraId="740B3034" w14:textId="77777777" w:rsidR="00753006" w:rsidRPr="0014319E" w:rsidRDefault="004B67FA" w:rsidP="00E9077F">
      <w:pPr>
        <w:pStyle w:val="Normlndobloku"/>
      </w:pPr>
      <w:r w:rsidRPr="0014319E">
        <w:rPr>
          <w:iCs/>
        </w:rPr>
        <w:t>ULCERAN 40</w:t>
      </w:r>
      <w:r w:rsidRPr="0014319E">
        <w:rPr>
          <w:i/>
          <w:iCs/>
        </w:rPr>
        <w:t xml:space="preserve"> </w:t>
      </w:r>
      <w:r w:rsidR="001A48B7" w:rsidRPr="0014319E">
        <w:t>sa vo všeobecnosti dobre toleruje.</w:t>
      </w:r>
    </w:p>
    <w:p w14:paraId="6C452FC7" w14:textId="77777777" w:rsidR="00C32E8A" w:rsidRPr="00211C59" w:rsidRDefault="00C32E8A" w:rsidP="00C32E8A">
      <w:pPr>
        <w:pStyle w:val="Styl3"/>
        <w:rPr>
          <w:lang w:val="sk-SK"/>
        </w:rPr>
      </w:pPr>
      <w:r w:rsidRPr="00211C59">
        <w:rPr>
          <w:lang w:val="sk-SK"/>
        </w:rPr>
        <w:t>Poruchy nervového systému</w:t>
      </w:r>
    </w:p>
    <w:p w14:paraId="3546CCEB" w14:textId="77777777" w:rsidR="00C32E8A" w:rsidRPr="0014319E" w:rsidRDefault="00C32E8A" w:rsidP="00E9077F">
      <w:pPr>
        <w:pStyle w:val="Normlndobloku"/>
        <w:rPr>
          <w:rFonts w:ascii="Times New Roman" w:hAnsi="Times New Roman" w:cs="Times New Roman"/>
        </w:rPr>
      </w:pPr>
      <w:r w:rsidRPr="0014319E">
        <w:rPr>
          <w:rStyle w:val="Bacil"/>
        </w:rPr>
        <w:t>Zriedkavé:</w:t>
      </w:r>
      <w:r w:rsidRPr="0014319E">
        <w:rPr>
          <w:szCs w:val="18"/>
        </w:rPr>
        <w:t xml:space="preserve"> bolesť hlavy, </w:t>
      </w:r>
      <w:r w:rsidRPr="0014319E">
        <w:rPr>
          <w:rFonts w:ascii="Times New Roman" w:hAnsi="Times New Roman" w:cs="Times New Roman"/>
        </w:rPr>
        <w:t>ospalosť</w:t>
      </w:r>
    </w:p>
    <w:p w14:paraId="7830354D" w14:textId="77777777" w:rsidR="00C32E8A" w:rsidRPr="00211C59" w:rsidRDefault="00C32E8A" w:rsidP="00C32E8A">
      <w:pPr>
        <w:pStyle w:val="Styl3"/>
        <w:rPr>
          <w:lang w:val="sk-SK"/>
        </w:rPr>
      </w:pPr>
      <w:r w:rsidRPr="00211C59">
        <w:rPr>
          <w:lang w:val="sk-SK"/>
        </w:rPr>
        <w:t>Poruchy gastrointestinálneho traktu</w:t>
      </w:r>
    </w:p>
    <w:p w14:paraId="6C79B452" w14:textId="5B642A10" w:rsidR="00C32E8A" w:rsidRPr="0014319E" w:rsidRDefault="00C32E8A" w:rsidP="00E9077F">
      <w:pPr>
        <w:pStyle w:val="Normlndobloku"/>
      </w:pPr>
      <w:r w:rsidRPr="0014319E">
        <w:rPr>
          <w:rStyle w:val="Bacil"/>
        </w:rPr>
        <w:t>Menej časté:</w:t>
      </w:r>
      <w:r w:rsidRPr="0014319E">
        <w:t xml:space="preserve"> sucho v ústach, nauzea, zvracanie, brušný dyskomfort, meteorizmus, nechutenstvo</w:t>
      </w:r>
      <w:r w:rsidR="004F587B">
        <w:t>, flatulencia</w:t>
      </w:r>
    </w:p>
    <w:p w14:paraId="1407969E" w14:textId="77777777" w:rsidR="00FB28A0" w:rsidRPr="00211C59" w:rsidRDefault="00FB28A0" w:rsidP="00E9077F">
      <w:pPr>
        <w:pStyle w:val="Normlndobloku"/>
        <w:rPr>
          <w:szCs w:val="18"/>
        </w:rPr>
      </w:pPr>
      <w:r w:rsidRPr="0014319E">
        <w:rPr>
          <w:rStyle w:val="Bacil"/>
        </w:rPr>
        <w:t>Zriedkavé:</w:t>
      </w:r>
      <w:r w:rsidRPr="0014319E">
        <w:t xml:space="preserve"> hnačkovité stolice a obstipácia</w:t>
      </w:r>
    </w:p>
    <w:p w14:paraId="0229E360" w14:textId="77777777" w:rsidR="00C32E8A" w:rsidRPr="00211C59" w:rsidRDefault="00C32E8A" w:rsidP="00C32E8A">
      <w:pPr>
        <w:pStyle w:val="Styl3"/>
        <w:rPr>
          <w:lang w:val="sk-SK"/>
        </w:rPr>
      </w:pPr>
      <w:r w:rsidRPr="00211C59">
        <w:rPr>
          <w:lang w:val="sk-SK"/>
        </w:rPr>
        <w:t>Poruchy kože a podkožného tkaniva</w:t>
      </w:r>
    </w:p>
    <w:p w14:paraId="1C04814A" w14:textId="77777777" w:rsidR="00C32E8A" w:rsidRPr="0014319E" w:rsidRDefault="00C32E8A" w:rsidP="00E9077F">
      <w:pPr>
        <w:pStyle w:val="Normlndobloku"/>
      </w:pPr>
      <w:r w:rsidRPr="0014319E">
        <w:rPr>
          <w:rStyle w:val="Bacil"/>
        </w:rPr>
        <w:t>Menej časté:</w:t>
      </w:r>
      <w:r w:rsidRPr="0014319E">
        <w:t xml:space="preserve"> erytém, žihľavka a svrbenie kože</w:t>
      </w:r>
    </w:p>
    <w:p w14:paraId="73E0BC30" w14:textId="52DC04C3" w:rsidR="00F81B7B" w:rsidRPr="0014319E" w:rsidRDefault="00F81B7B" w:rsidP="00E9077F">
      <w:pPr>
        <w:pStyle w:val="Normlndobloku"/>
      </w:pPr>
      <w:r w:rsidRPr="0014319E">
        <w:rPr>
          <w:rStyle w:val="Bacil"/>
        </w:rPr>
        <w:t>Veľmi zriedkavé:</w:t>
      </w:r>
      <w:r w:rsidRPr="0014319E">
        <w:t xml:space="preserve"> toxická epidermálna nekrolýza</w:t>
      </w:r>
      <w:r w:rsidR="004F587B">
        <w:t>, alopécia</w:t>
      </w:r>
    </w:p>
    <w:p w14:paraId="0FA07926" w14:textId="77777777" w:rsidR="006D0CAD" w:rsidRPr="00211C59" w:rsidRDefault="006D0CAD" w:rsidP="006D0CAD">
      <w:pPr>
        <w:pStyle w:val="Styl3"/>
        <w:rPr>
          <w:lang w:val="sk-SK"/>
        </w:rPr>
      </w:pPr>
      <w:r w:rsidRPr="00211C59">
        <w:rPr>
          <w:lang w:val="sk-SK"/>
        </w:rPr>
        <w:t>Poruchy pečene a žlčových ciest</w:t>
      </w:r>
    </w:p>
    <w:p w14:paraId="1A545616" w14:textId="77777777" w:rsidR="006D0CAD" w:rsidRPr="0014319E" w:rsidRDefault="006D0CAD" w:rsidP="00E9077F">
      <w:pPr>
        <w:pStyle w:val="Normlndobloku"/>
      </w:pPr>
      <w:r w:rsidRPr="0014319E">
        <w:rPr>
          <w:rStyle w:val="Bacil"/>
        </w:rPr>
        <w:t>Menej časté:</w:t>
      </w:r>
      <w:r w:rsidRPr="0014319E">
        <w:t xml:space="preserve"> abnormality pečeňových enzýmov, cholestáza až ikterus</w:t>
      </w:r>
    </w:p>
    <w:p w14:paraId="30775512" w14:textId="6919D4CA" w:rsidR="00983B6D" w:rsidRPr="0014319E" w:rsidRDefault="00652DD3" w:rsidP="00E9077F">
      <w:pPr>
        <w:pStyle w:val="Normlndobloku"/>
      </w:pPr>
      <w:r w:rsidRPr="009F03DB">
        <w:rPr>
          <w:rStyle w:val="Bacil"/>
        </w:rPr>
        <w:t>Neznáme:</w:t>
      </w:r>
      <w:r w:rsidR="00983B6D" w:rsidRPr="009F03DB">
        <w:t xml:space="preserve"> ojedinelé prípady</w:t>
      </w:r>
      <w:r w:rsidR="00983B6D" w:rsidRPr="0014319E">
        <w:t xml:space="preserve"> zhoršenia existujúceho ochorenia pečene, ale jednoznačná súvislosť s</w:t>
      </w:r>
      <w:r w:rsidR="00090F5D">
        <w:t> </w:t>
      </w:r>
      <w:r w:rsidR="00983B6D" w:rsidRPr="0014319E">
        <w:t>liečbou famotidínom sa nedokázala</w:t>
      </w:r>
    </w:p>
    <w:p w14:paraId="6D076D87" w14:textId="77777777" w:rsidR="006D0CAD" w:rsidRPr="00211C59" w:rsidRDefault="006D0CAD" w:rsidP="006D0CAD">
      <w:pPr>
        <w:pStyle w:val="Styl3"/>
        <w:rPr>
          <w:lang w:val="sk-SK"/>
        </w:rPr>
      </w:pPr>
      <w:r w:rsidRPr="00211C59">
        <w:rPr>
          <w:lang w:val="sk-SK"/>
        </w:rPr>
        <w:t>Celkové poruchy a reakcie v mieste podania</w:t>
      </w:r>
    </w:p>
    <w:p w14:paraId="5101B3A7" w14:textId="77777777" w:rsidR="006D0CAD" w:rsidRPr="0014319E" w:rsidRDefault="006D0CAD" w:rsidP="00E9077F">
      <w:pPr>
        <w:pStyle w:val="Normlndobloku"/>
        <w:rPr>
          <w:rFonts w:ascii="Times New Roman" w:hAnsi="Times New Roman" w:cs="Times New Roman"/>
        </w:rPr>
      </w:pPr>
      <w:r w:rsidRPr="0014319E">
        <w:rPr>
          <w:rStyle w:val="Bacil"/>
        </w:rPr>
        <w:t>Menej časté:</w:t>
      </w:r>
      <w:r w:rsidRPr="0014319E">
        <w:rPr>
          <w:rFonts w:ascii="Times New Roman" w:hAnsi="Times New Roman" w:cs="Times New Roman"/>
        </w:rPr>
        <w:t xml:space="preserve"> únava</w:t>
      </w:r>
    </w:p>
    <w:p w14:paraId="4955DED1" w14:textId="77777777" w:rsidR="006D0CAD" w:rsidRPr="00211C59" w:rsidRDefault="00A356A4" w:rsidP="00211C59">
      <w:pPr>
        <w:pStyle w:val="Styl3"/>
        <w:rPr>
          <w:lang w:val="sk-SK"/>
        </w:rPr>
      </w:pPr>
      <w:r w:rsidRPr="00211C59">
        <w:rPr>
          <w:lang w:val="sk-SK"/>
        </w:rPr>
        <w:t>Poruchy imunitného systému</w:t>
      </w:r>
    </w:p>
    <w:p w14:paraId="7E51C6E6" w14:textId="77777777" w:rsidR="00A356A4" w:rsidRPr="0014319E" w:rsidRDefault="00A356A4" w:rsidP="00E9077F">
      <w:pPr>
        <w:pStyle w:val="Normlndobloku"/>
      </w:pPr>
      <w:r w:rsidRPr="0014319E">
        <w:rPr>
          <w:rStyle w:val="Bacil"/>
        </w:rPr>
        <w:t>Menej časté:</w:t>
      </w:r>
      <w:r w:rsidR="008E3712" w:rsidRPr="0014319E">
        <w:rPr>
          <w:rStyle w:val="Bacil"/>
        </w:rPr>
        <w:t xml:space="preserve"> </w:t>
      </w:r>
      <w:r w:rsidRPr="0014319E">
        <w:t>anafylaxia, angioedém</w:t>
      </w:r>
    </w:p>
    <w:p w14:paraId="224850A1" w14:textId="77777777" w:rsidR="00A356A4" w:rsidRPr="00211C59" w:rsidRDefault="00A356A4" w:rsidP="00211C59">
      <w:pPr>
        <w:pStyle w:val="Styl3"/>
        <w:rPr>
          <w:lang w:val="sk-SK"/>
        </w:rPr>
      </w:pPr>
      <w:r w:rsidRPr="00211C59">
        <w:rPr>
          <w:lang w:val="sk-SK"/>
        </w:rPr>
        <w:t>Poruchy kostrovej a svalovej sústavy a spojivového tkaniva</w:t>
      </w:r>
    </w:p>
    <w:p w14:paraId="4B49F9B1" w14:textId="77777777" w:rsidR="00A356A4" w:rsidRPr="00211C59" w:rsidRDefault="00A356A4" w:rsidP="00E9077F">
      <w:pPr>
        <w:pStyle w:val="Normlndobloku"/>
        <w:rPr>
          <w:rStyle w:val="Bacil"/>
        </w:rPr>
      </w:pPr>
      <w:r w:rsidRPr="0014319E">
        <w:rPr>
          <w:rStyle w:val="Bacil"/>
        </w:rPr>
        <w:t>Menej časté:</w:t>
      </w:r>
      <w:r w:rsidRPr="00211C59">
        <w:rPr>
          <w:rStyle w:val="Bacil"/>
        </w:rPr>
        <w:t xml:space="preserve"> </w:t>
      </w:r>
      <w:r w:rsidRPr="0014319E">
        <w:t>bolesti kĺbov, svalové kŕče</w:t>
      </w:r>
    </w:p>
    <w:p w14:paraId="6FFCE6E5" w14:textId="77777777" w:rsidR="00A356A4" w:rsidRPr="00211C59" w:rsidRDefault="00A356A4" w:rsidP="00A356A4">
      <w:pPr>
        <w:pStyle w:val="Styl3"/>
        <w:rPr>
          <w:lang w:val="sk-SK"/>
        </w:rPr>
      </w:pPr>
      <w:r w:rsidRPr="00211C59">
        <w:rPr>
          <w:lang w:val="sk-SK"/>
        </w:rPr>
        <w:t>Psychické poruchy</w:t>
      </w:r>
    </w:p>
    <w:p w14:paraId="5432D919" w14:textId="77777777" w:rsidR="00A356A4" w:rsidRPr="0014319E" w:rsidRDefault="00A356A4" w:rsidP="00E9077F">
      <w:pPr>
        <w:pStyle w:val="Normlndobloku"/>
      </w:pPr>
      <w:r w:rsidRPr="0014319E">
        <w:rPr>
          <w:rStyle w:val="Bacil"/>
        </w:rPr>
        <w:t xml:space="preserve">Menej časté: </w:t>
      </w:r>
      <w:r w:rsidRPr="0014319E">
        <w:t>reverzibilné psychické zmeny (vrátane depresie, úzkosti, agitovanosti, porúch vedomia a</w:t>
      </w:r>
      <w:r w:rsidR="001331B9" w:rsidRPr="0014319E">
        <w:t> </w:t>
      </w:r>
      <w:r w:rsidRPr="0014319E">
        <w:t>halucinácií)</w:t>
      </w:r>
    </w:p>
    <w:p w14:paraId="3DBF824D" w14:textId="77777777" w:rsidR="00B82AAB" w:rsidRPr="00211C59" w:rsidRDefault="00B82AAB" w:rsidP="00211C59">
      <w:pPr>
        <w:pStyle w:val="Styl3"/>
        <w:rPr>
          <w:lang w:val="sk-SK"/>
        </w:rPr>
      </w:pPr>
      <w:r w:rsidRPr="00211C59">
        <w:rPr>
          <w:lang w:val="sk-SK"/>
        </w:rPr>
        <w:t>Poruchy krvi a lymfatického systému</w:t>
      </w:r>
    </w:p>
    <w:p w14:paraId="76F6A53A" w14:textId="77777777" w:rsidR="00B82AAB" w:rsidRPr="0014319E" w:rsidRDefault="00B82AAB" w:rsidP="00E9077F">
      <w:pPr>
        <w:pStyle w:val="Normlndobloku"/>
      </w:pPr>
      <w:r w:rsidRPr="009F03DB">
        <w:rPr>
          <w:rStyle w:val="Bacil"/>
        </w:rPr>
        <w:t xml:space="preserve">Veľmi zriedkavé: </w:t>
      </w:r>
      <w:r w:rsidRPr="009F03DB">
        <w:t>pancytopénia, leukopénia</w:t>
      </w:r>
    </w:p>
    <w:p w14:paraId="6F2D996E" w14:textId="77777777" w:rsidR="00983B6D" w:rsidRPr="00211C59" w:rsidRDefault="00FF4265" w:rsidP="00211C59">
      <w:pPr>
        <w:pStyle w:val="Styl3"/>
        <w:rPr>
          <w:lang w:val="sk-SK"/>
        </w:rPr>
      </w:pPr>
      <w:r w:rsidRPr="00211C59">
        <w:rPr>
          <w:lang w:val="sk-SK"/>
        </w:rPr>
        <w:t>Poruchy reprodukčného systému a prsníkov</w:t>
      </w:r>
    </w:p>
    <w:p w14:paraId="4363F870" w14:textId="77777777" w:rsidR="00FF4265" w:rsidRPr="0014319E" w:rsidRDefault="00FF4265" w:rsidP="00E9077F">
      <w:pPr>
        <w:pStyle w:val="Normlndobloku"/>
      </w:pPr>
      <w:r w:rsidRPr="0014319E">
        <w:rPr>
          <w:rStyle w:val="Bacil"/>
        </w:rPr>
        <w:t>Zriedkavé:</w:t>
      </w:r>
      <w:r w:rsidRPr="0014319E">
        <w:t xml:space="preserve"> Gynekomastia - vo väčšine prípadov ustúpila po vysadení liečby.</w:t>
      </w:r>
    </w:p>
    <w:p w14:paraId="6D3EB4AE" w14:textId="77777777" w:rsidR="00FF4265" w:rsidRPr="00211C59" w:rsidRDefault="00FF4265" w:rsidP="00E9077F">
      <w:pPr>
        <w:pStyle w:val="Normlndobloku"/>
        <w:rPr>
          <w:rStyle w:val="Bacil"/>
          <w:i w:val="0"/>
        </w:rPr>
      </w:pPr>
    </w:p>
    <w:p w14:paraId="19A668CE" w14:textId="77777777" w:rsidR="00753006" w:rsidRPr="0014319E" w:rsidRDefault="001A48B7" w:rsidP="00E9077F">
      <w:pPr>
        <w:pStyle w:val="Normlndobloku"/>
      </w:pPr>
      <w:r w:rsidRPr="0014319E">
        <w:t>Nie sú žiadne správy o klinicky významných účinkoch famotidínu na endokrinnú alebo pohlavnú funkciu.</w:t>
      </w:r>
    </w:p>
    <w:p w14:paraId="200F6867" w14:textId="77777777" w:rsidR="009E1A28" w:rsidRPr="00211C59" w:rsidRDefault="009E1A28" w:rsidP="00211C59">
      <w:pPr>
        <w:pStyle w:val="Styl3"/>
        <w:rPr>
          <w:lang w:val="sk-SK"/>
        </w:rPr>
      </w:pPr>
      <w:r w:rsidRPr="00211C59">
        <w:rPr>
          <w:lang w:val="sk-SK"/>
        </w:rPr>
        <w:lastRenderedPageBreak/>
        <w:t>Hlásenie podozrení na nežiaduce reakcie</w:t>
      </w:r>
    </w:p>
    <w:p w14:paraId="0A24E86D" w14:textId="6E7E0737" w:rsidR="00226B7A" w:rsidRPr="0014319E" w:rsidRDefault="009E1A28" w:rsidP="00E9077F">
      <w:pPr>
        <w:pStyle w:val="Normlndobloku"/>
      </w:pPr>
      <w:r w:rsidRPr="0014319E">
        <w:t xml:space="preserve">Hlásenie podozrení na nežiaduce reakcie po registrácii lieku je dôležité. Umožňuje priebežné monitorovanie pomeru prínosu a rizika lieku. Od zdravotníckych pracovníkov sa vyžaduje, aby hlásili akékoľvek podozrenia na nežiaduce </w:t>
      </w:r>
      <w:r w:rsidR="004378DC" w:rsidRPr="0014319E">
        <w:t xml:space="preserve">reakcie prostredníctvom </w:t>
      </w:r>
      <w:r w:rsidR="004378DC" w:rsidRPr="0014319E">
        <w:rPr>
          <w:shd w:val="clear" w:color="auto" w:fill="D9D9D9"/>
        </w:rPr>
        <w:t>národného systému hlásenia uvedeného</w:t>
      </w:r>
      <w:r w:rsidR="004378DC" w:rsidRPr="00A643DA">
        <w:t xml:space="preserve"> </w:t>
      </w:r>
      <w:r w:rsidRPr="00154CA3">
        <w:rPr>
          <w:highlight w:val="lightGray"/>
        </w:rPr>
        <w:t>v </w:t>
      </w:r>
      <w:hyperlink r:id="rId8" w:history="1">
        <w:r w:rsidRPr="00154CA3">
          <w:rPr>
            <w:rStyle w:val="Hypertextovprepojenie"/>
            <w:rFonts w:ascii="Times New Roman" w:eastAsia="Calibri" w:hAnsi="Times New Roman" w:cs="Times New Roman"/>
            <w:bCs w:val="0"/>
            <w:noProof/>
            <w:highlight w:val="lightGray"/>
          </w:rPr>
          <w:t>Prílohe V</w:t>
        </w:r>
      </w:hyperlink>
      <w:r w:rsidRPr="0014319E">
        <w:t>.</w:t>
      </w:r>
    </w:p>
    <w:p w14:paraId="44F54922" w14:textId="77777777" w:rsidR="005E36C4" w:rsidRPr="00211C59" w:rsidRDefault="001A48B7" w:rsidP="00970EA9">
      <w:pPr>
        <w:pStyle w:val="Styl2"/>
        <w:rPr>
          <w:lang w:val="sk-SK"/>
        </w:rPr>
      </w:pPr>
      <w:r w:rsidRPr="00211C59">
        <w:rPr>
          <w:lang w:val="sk-SK"/>
        </w:rPr>
        <w:t>Predávkovanie</w:t>
      </w:r>
    </w:p>
    <w:p w14:paraId="11036549" w14:textId="73E7AEF4" w:rsidR="005E36C4" w:rsidRPr="0014319E" w:rsidRDefault="001A48B7" w:rsidP="00E9077F">
      <w:pPr>
        <w:pStyle w:val="Normlndobloku"/>
      </w:pPr>
      <w:r w:rsidRPr="0014319E">
        <w:t>Doteraz nebol popísaný prípad predávkovania famotidínom. Liečebný postup v takomto prípade zahŕňa odstránenie neresorbovaného materiálu z gastrointestinálneho traktu, klinické monitorovanie pacienta a</w:t>
      </w:r>
      <w:r w:rsidR="00A643DA">
        <w:t> </w:t>
      </w:r>
      <w:r w:rsidRPr="0014319E">
        <w:t>symptomatickú a podpornú liečbu. Pacienti s Zollinger-Ellisonovým syndrómom dobre tolerovali dávku 800 mg famotidínu denne po dobu viac ako jedného roka bez objavenia sa závažných nežiaducich účinkov.</w:t>
      </w:r>
    </w:p>
    <w:p w14:paraId="4A516362" w14:textId="77777777" w:rsidR="005E36C4" w:rsidRPr="0014319E" w:rsidRDefault="001A48B7" w:rsidP="00970EA9">
      <w:pPr>
        <w:pStyle w:val="Styl1"/>
        <w:rPr>
          <w:noProof w:val="0"/>
          <w:szCs w:val="22"/>
          <w:lang w:val="sk-SK"/>
        </w:rPr>
      </w:pPr>
      <w:r w:rsidRPr="0014319E">
        <w:rPr>
          <w:noProof w:val="0"/>
          <w:szCs w:val="22"/>
          <w:lang w:val="sk-SK"/>
        </w:rPr>
        <w:t>Farmakologické vlastnosti</w:t>
      </w:r>
    </w:p>
    <w:p w14:paraId="2F5E737B" w14:textId="77777777" w:rsidR="005E36C4" w:rsidRPr="00211C59" w:rsidRDefault="001A48B7" w:rsidP="00970EA9">
      <w:pPr>
        <w:pStyle w:val="Styl2"/>
        <w:rPr>
          <w:noProof w:val="0"/>
          <w:lang w:val="sk-SK"/>
        </w:rPr>
      </w:pPr>
      <w:r w:rsidRPr="00211C59">
        <w:rPr>
          <w:lang w:val="sk-SK"/>
        </w:rPr>
        <w:t>Farmakodynamické vlastnosti</w:t>
      </w:r>
    </w:p>
    <w:p w14:paraId="5580F718" w14:textId="77777777" w:rsidR="006D7351" w:rsidRPr="0014319E" w:rsidRDefault="005E45C6" w:rsidP="00E9077F">
      <w:pPr>
        <w:pStyle w:val="Normlndobloku"/>
      </w:pPr>
      <w:r w:rsidRPr="00211C59">
        <w:rPr>
          <w:rFonts w:ascii="Times New Roman" w:hAnsi="Times New Roman" w:cs="Times New Roman"/>
        </w:rPr>
        <w:t xml:space="preserve">Farmakoterapeutická skupina: </w:t>
      </w:r>
      <w:r w:rsidR="006D7351" w:rsidRPr="0014319E">
        <w:t>Liečivá pri poruchách acidity, antagonisty H2-receptorov</w:t>
      </w:r>
    </w:p>
    <w:p w14:paraId="4F944383" w14:textId="77777777" w:rsidR="005E36C4" w:rsidRPr="0014319E" w:rsidRDefault="005E45C6" w:rsidP="00E9077F">
      <w:pPr>
        <w:pStyle w:val="Normlndobloku"/>
      </w:pPr>
      <w:r w:rsidRPr="0014319E">
        <w:t>ATC kód: A02BA03</w:t>
      </w:r>
    </w:p>
    <w:p w14:paraId="05EED2BC" w14:textId="77777777" w:rsidR="005E36C4" w:rsidRPr="0014319E" w:rsidRDefault="00E91573" w:rsidP="00E9077F">
      <w:pPr>
        <w:pStyle w:val="Normlndobloku"/>
      </w:pPr>
      <w:r w:rsidRPr="0014319E">
        <w:rPr>
          <w:iCs/>
        </w:rPr>
        <w:t>ULCERAN</w:t>
      </w:r>
      <w:r w:rsidR="005E36C4" w:rsidRPr="0014319E">
        <w:rPr>
          <w:iCs/>
        </w:rPr>
        <w:t xml:space="preserve"> </w:t>
      </w:r>
      <w:r w:rsidR="004B67FA" w:rsidRPr="0014319E">
        <w:rPr>
          <w:iCs/>
        </w:rPr>
        <w:t>40</w:t>
      </w:r>
      <w:r w:rsidR="004B67FA" w:rsidRPr="0014319E">
        <w:rPr>
          <w:i/>
          <w:iCs/>
        </w:rPr>
        <w:t xml:space="preserve"> </w:t>
      </w:r>
      <w:r w:rsidR="001A48B7" w:rsidRPr="0014319E">
        <w:t>je vysoko špecifický a účinný kompetitívny antagonista H2-receptorov. Účinkuje ako reverzibilný kompetitívny blokátor histamínu na H2 receptoroch predovšetkým v parietálnych bunkách žalúdočnej sliznice. Antagonisty H2 receptorov nie sú anticholinergiká a neovplyvňujú H1 receptory. Antagonisty H2 receptorov tlmia všetky fázy žalúdočnej sekrécie vyvolanej vplyvom histamínu, muskarínových agonistov a gastrínu.</w:t>
      </w:r>
    </w:p>
    <w:p w14:paraId="3617171E" w14:textId="77777777" w:rsidR="005E36C4" w:rsidRPr="00211C59" w:rsidRDefault="001A48B7" w:rsidP="00970EA9">
      <w:pPr>
        <w:pStyle w:val="Styl2"/>
        <w:rPr>
          <w:lang w:val="sk-SK"/>
        </w:rPr>
      </w:pPr>
      <w:r w:rsidRPr="00211C59">
        <w:rPr>
          <w:lang w:val="sk-SK"/>
        </w:rPr>
        <w:t>Farmakokinetické vlastnosti</w:t>
      </w:r>
    </w:p>
    <w:p w14:paraId="2EDEA2CE" w14:textId="77777777" w:rsidR="005E36C4" w:rsidRPr="0014319E" w:rsidRDefault="00E91573" w:rsidP="00E9077F">
      <w:pPr>
        <w:pStyle w:val="Normlndobloku"/>
      </w:pPr>
      <w:r w:rsidRPr="0014319E">
        <w:rPr>
          <w:iCs/>
        </w:rPr>
        <w:t>ULCERAN</w:t>
      </w:r>
      <w:r w:rsidR="004B67FA" w:rsidRPr="0014319E">
        <w:rPr>
          <w:iCs/>
        </w:rPr>
        <w:t xml:space="preserve"> 40</w:t>
      </w:r>
      <w:r w:rsidRPr="0014319E">
        <w:rPr>
          <w:i/>
          <w:iCs/>
        </w:rPr>
        <w:t xml:space="preserve"> </w:t>
      </w:r>
      <w:r w:rsidR="001A48B7" w:rsidRPr="0014319E">
        <w:t>sa podáva perorálne. Prípravky famotidínu dosahujú vrchol plazmatickej koncentrácie do 1 až 3 hodín po podaní, pričom v prípade dávky 40 mg sa udáva v rozmedzí 0,076</w:t>
      </w:r>
      <w:r w:rsidR="00753006" w:rsidRPr="0014319E">
        <w:t xml:space="preserve"> </w:t>
      </w:r>
      <w:r w:rsidR="00997D5A" w:rsidRPr="0014319E">
        <w:t>–</w:t>
      </w:r>
      <w:r w:rsidR="00753006" w:rsidRPr="0014319E">
        <w:t xml:space="preserve"> </w:t>
      </w:r>
      <w:r w:rsidR="001A48B7" w:rsidRPr="0014319E">
        <w:t>0,1 μg/ml. Plazmatické hladiny po niekoľkých dávkach famotidínu sú podobné ako po samotnej jednej dávke. Famotidín sa eliminuje prevažne obličkami (65</w:t>
      </w:r>
      <w:r w:rsidR="00753006" w:rsidRPr="0014319E">
        <w:t xml:space="preserve"> </w:t>
      </w:r>
      <w:r w:rsidR="00997D5A" w:rsidRPr="0014319E">
        <w:t>–</w:t>
      </w:r>
      <w:r w:rsidR="00753006" w:rsidRPr="0014319E">
        <w:t xml:space="preserve"> </w:t>
      </w:r>
      <w:r w:rsidR="001A48B7" w:rsidRPr="0014319E">
        <w:t>70%), zvyšok sa metabolizuje (30</w:t>
      </w:r>
      <w:r w:rsidR="00753006" w:rsidRPr="0014319E">
        <w:t xml:space="preserve"> </w:t>
      </w:r>
      <w:r w:rsidR="00997D5A" w:rsidRPr="0014319E">
        <w:t>–</w:t>
      </w:r>
      <w:r w:rsidR="00753006" w:rsidRPr="0014319E">
        <w:t xml:space="preserve"> </w:t>
      </w:r>
      <w:r w:rsidR="001A48B7" w:rsidRPr="0014319E">
        <w:t>35%). Jediným dosiaľ identifikovaným metabolitom je S-oxid.</w:t>
      </w:r>
    </w:p>
    <w:p w14:paraId="2E188890" w14:textId="77777777" w:rsidR="005E36C4" w:rsidRPr="00211C59" w:rsidRDefault="001A48B7" w:rsidP="00970EA9">
      <w:pPr>
        <w:pStyle w:val="Styl2"/>
        <w:rPr>
          <w:lang w:val="sk-SK"/>
        </w:rPr>
      </w:pPr>
      <w:r w:rsidRPr="00211C59">
        <w:rPr>
          <w:lang w:val="sk-SK"/>
        </w:rPr>
        <w:t>Predklinické údaje o bezpečnosti</w:t>
      </w:r>
    </w:p>
    <w:p w14:paraId="7E3BB9FA" w14:textId="77777777" w:rsidR="005E36C4" w:rsidRPr="0014319E" w:rsidRDefault="001A48B7" w:rsidP="00E9077F">
      <w:pPr>
        <w:pStyle w:val="Normlndobloku"/>
      </w:pPr>
      <w:r w:rsidRPr="0014319E">
        <w:t>Žiadne ďalšie podstatné údaje.</w:t>
      </w:r>
    </w:p>
    <w:p w14:paraId="545A9877" w14:textId="77777777" w:rsidR="005E36C4" w:rsidRPr="0014319E" w:rsidRDefault="001A48B7" w:rsidP="00970EA9">
      <w:pPr>
        <w:pStyle w:val="Styl1"/>
        <w:rPr>
          <w:noProof w:val="0"/>
          <w:szCs w:val="22"/>
          <w:lang w:val="sk-SK"/>
        </w:rPr>
      </w:pPr>
      <w:r w:rsidRPr="0014319E">
        <w:rPr>
          <w:noProof w:val="0"/>
          <w:szCs w:val="22"/>
          <w:lang w:val="sk-SK"/>
        </w:rPr>
        <w:t>Farmaceutické informácie</w:t>
      </w:r>
    </w:p>
    <w:p w14:paraId="3297F5C2" w14:textId="77777777" w:rsidR="005E36C4" w:rsidRPr="00211C59" w:rsidRDefault="001A48B7" w:rsidP="00970EA9">
      <w:pPr>
        <w:pStyle w:val="Styl2"/>
        <w:rPr>
          <w:lang w:val="sk-SK"/>
        </w:rPr>
      </w:pPr>
      <w:r w:rsidRPr="00211C59">
        <w:rPr>
          <w:lang w:val="sk-SK"/>
        </w:rPr>
        <w:t>Zoznam pomocných látok</w:t>
      </w:r>
    </w:p>
    <w:p w14:paraId="0ABBD5DE" w14:textId="77777777" w:rsidR="00D80BF3" w:rsidRPr="00211C59" w:rsidRDefault="00D80BF3" w:rsidP="00211C59">
      <w:pPr>
        <w:pStyle w:val="Styl3"/>
        <w:jc w:val="left"/>
        <w:rPr>
          <w:rFonts w:ascii="Times New Roman" w:hAnsi="Times New Roman" w:cs="Times New Roman"/>
          <w:szCs w:val="22"/>
          <w:lang w:val="sk-SK"/>
        </w:rPr>
      </w:pPr>
      <w:r w:rsidRPr="00211C59">
        <w:rPr>
          <w:rFonts w:ascii="Times New Roman" w:hAnsi="Times New Roman" w:cs="Times New Roman"/>
          <w:szCs w:val="22"/>
          <w:lang w:val="sk-SK"/>
        </w:rPr>
        <w:t>Jadro tablety</w:t>
      </w:r>
    </w:p>
    <w:p w14:paraId="63085693" w14:textId="77777777" w:rsidR="005D2A72" w:rsidRPr="0014319E" w:rsidRDefault="005D2A72" w:rsidP="00E9077F">
      <w:pPr>
        <w:pStyle w:val="Normlndobloku"/>
      </w:pPr>
      <w:r w:rsidRPr="0014319E">
        <w:t>Monohydrát laktózy,</w:t>
      </w:r>
      <w:r w:rsidR="005E36C4" w:rsidRPr="0014319E">
        <w:t xml:space="preserve"> </w:t>
      </w:r>
      <w:r w:rsidRPr="0014319E">
        <w:t xml:space="preserve">mikrokryštalická celulóza, </w:t>
      </w:r>
      <w:r w:rsidR="00D80BF3" w:rsidRPr="0014319E">
        <w:t xml:space="preserve">sodná soľ </w:t>
      </w:r>
      <w:r w:rsidRPr="0014319E">
        <w:t>kroskarmelóz</w:t>
      </w:r>
      <w:r w:rsidR="00D80BF3" w:rsidRPr="0014319E">
        <w:t>y</w:t>
      </w:r>
      <w:r w:rsidR="002A5682" w:rsidRPr="0014319E">
        <w:t>,</w:t>
      </w:r>
      <w:r w:rsidR="005E36C4" w:rsidRPr="0014319E">
        <w:t xml:space="preserve"> </w:t>
      </w:r>
      <w:r w:rsidR="002A5682" w:rsidRPr="0014319E">
        <w:t>koloidný bezvodý oxid kremičitý</w:t>
      </w:r>
      <w:r w:rsidRPr="0014319E">
        <w:t xml:space="preserve">, </w:t>
      </w:r>
      <w:r w:rsidR="00D80BF3" w:rsidRPr="0014319E">
        <w:t>magnéziumstearát</w:t>
      </w:r>
    </w:p>
    <w:p w14:paraId="51EE36B1" w14:textId="77777777" w:rsidR="005E36C4" w:rsidRPr="00211C59" w:rsidRDefault="005D2A72" w:rsidP="00211C59">
      <w:pPr>
        <w:pStyle w:val="Styl3"/>
        <w:jc w:val="left"/>
        <w:rPr>
          <w:rFonts w:ascii="Times New Roman" w:hAnsi="Times New Roman" w:cs="Times New Roman"/>
          <w:szCs w:val="22"/>
          <w:lang w:val="sk-SK"/>
        </w:rPr>
      </w:pPr>
      <w:r w:rsidRPr="00211C59">
        <w:rPr>
          <w:rFonts w:ascii="Times New Roman" w:hAnsi="Times New Roman" w:cs="Times New Roman"/>
          <w:szCs w:val="22"/>
          <w:lang w:val="sk-SK"/>
        </w:rPr>
        <w:t>Obal</w:t>
      </w:r>
    </w:p>
    <w:p w14:paraId="3AB516B8" w14:textId="77777777" w:rsidR="00D80BF3" w:rsidRPr="0014319E" w:rsidRDefault="004C7AF9" w:rsidP="00E9077F">
      <w:pPr>
        <w:pStyle w:val="Normlndobloku"/>
      </w:pPr>
      <w:r w:rsidRPr="0014319E">
        <w:t>F</w:t>
      </w:r>
      <w:r w:rsidR="00DD015D" w:rsidRPr="0014319E">
        <w:t xml:space="preserve">ilmotvorná sústava </w:t>
      </w:r>
      <w:r w:rsidR="005D2A72" w:rsidRPr="0014319E">
        <w:t xml:space="preserve">Opadry Buff OY-3606, </w:t>
      </w:r>
      <w:r w:rsidR="00D80BF3" w:rsidRPr="0014319E">
        <w:t>makrogol 6000</w:t>
      </w:r>
    </w:p>
    <w:p w14:paraId="50355255" w14:textId="77777777" w:rsidR="00D80BF3" w:rsidRPr="0014319E" w:rsidRDefault="00D80BF3" w:rsidP="00E9077F">
      <w:pPr>
        <w:pStyle w:val="Normlndobloku"/>
      </w:pPr>
      <w:r w:rsidRPr="0014319E">
        <w:t>Opadry Buff OY-3606</w:t>
      </w:r>
      <w:r w:rsidR="005E36C4" w:rsidRPr="0014319E">
        <w:t xml:space="preserve"> </w:t>
      </w:r>
      <w:r w:rsidRPr="0014319E">
        <w:t>sa skladá z týchto zložiek:</w:t>
      </w:r>
    </w:p>
    <w:p w14:paraId="28A45747" w14:textId="77777777" w:rsidR="00D80BF3" w:rsidRPr="0014319E" w:rsidRDefault="004C7AF9" w:rsidP="00E9077F">
      <w:pPr>
        <w:pStyle w:val="Normlndobloku"/>
      </w:pPr>
      <w:r w:rsidRPr="0014319E">
        <w:t>H</w:t>
      </w:r>
      <w:r w:rsidR="00D80BF3" w:rsidRPr="0014319E">
        <w:t>ydroxypropylmetylcelul</w:t>
      </w:r>
      <w:r w:rsidR="0030435C" w:rsidRPr="0014319E">
        <w:t>ó</w:t>
      </w:r>
      <w:r w:rsidR="00D80BF3" w:rsidRPr="0014319E">
        <w:t>za</w:t>
      </w:r>
      <w:r w:rsidRPr="0014319E">
        <w:t xml:space="preserve">, </w:t>
      </w:r>
      <w:r w:rsidR="00D80BF3" w:rsidRPr="0014319E">
        <w:t>oxid titaničitý (E171)</w:t>
      </w:r>
      <w:r w:rsidRPr="0014319E">
        <w:t xml:space="preserve">, </w:t>
      </w:r>
      <w:r w:rsidR="00D80BF3" w:rsidRPr="0014319E">
        <w:t>makrogol 400</w:t>
      </w:r>
      <w:r w:rsidRPr="0014319E">
        <w:t xml:space="preserve">, </w:t>
      </w:r>
      <w:r w:rsidR="00D80BF3" w:rsidRPr="0014319E">
        <w:t>žltý oxid železitý (E172)</w:t>
      </w:r>
      <w:r w:rsidRPr="0014319E">
        <w:t xml:space="preserve">, </w:t>
      </w:r>
      <w:r w:rsidR="00D80BF3" w:rsidRPr="0014319E">
        <w:t>červený oxid železitý (E172)</w:t>
      </w:r>
      <w:r w:rsidRPr="0014319E">
        <w:t xml:space="preserve">, </w:t>
      </w:r>
      <w:r w:rsidR="00D80BF3" w:rsidRPr="0014319E">
        <w:t>čierny oxid železitý (E172)</w:t>
      </w:r>
    </w:p>
    <w:p w14:paraId="43B514D0" w14:textId="77777777" w:rsidR="005E36C4" w:rsidRPr="00211C59" w:rsidRDefault="001A48B7" w:rsidP="00970EA9">
      <w:pPr>
        <w:pStyle w:val="Styl2"/>
        <w:rPr>
          <w:lang w:val="sk-SK"/>
        </w:rPr>
      </w:pPr>
      <w:r w:rsidRPr="00211C59">
        <w:rPr>
          <w:lang w:val="sk-SK"/>
        </w:rPr>
        <w:t>Inkompatibility</w:t>
      </w:r>
    </w:p>
    <w:p w14:paraId="14EC371F" w14:textId="77777777" w:rsidR="005E36C4" w:rsidRPr="0014319E" w:rsidRDefault="001A48B7" w:rsidP="00E9077F">
      <w:pPr>
        <w:pStyle w:val="Normlndobloku"/>
      </w:pPr>
      <w:r w:rsidRPr="0014319E">
        <w:t>Ne</w:t>
      </w:r>
      <w:r w:rsidR="00EA04C6" w:rsidRPr="0014319E">
        <w:t>aplikovateľné</w:t>
      </w:r>
      <w:r w:rsidRPr="0014319E">
        <w:t>.</w:t>
      </w:r>
    </w:p>
    <w:p w14:paraId="450B65A5" w14:textId="77777777" w:rsidR="005E36C4" w:rsidRPr="00211C59" w:rsidRDefault="001A48B7" w:rsidP="00970EA9">
      <w:pPr>
        <w:pStyle w:val="Styl2"/>
        <w:rPr>
          <w:lang w:val="sk-SK"/>
        </w:rPr>
      </w:pPr>
      <w:r w:rsidRPr="00211C59">
        <w:rPr>
          <w:lang w:val="sk-SK"/>
        </w:rPr>
        <w:lastRenderedPageBreak/>
        <w:t>Čas použiteľnosti</w:t>
      </w:r>
    </w:p>
    <w:p w14:paraId="61474C6C" w14:textId="77777777" w:rsidR="005E36C4" w:rsidRPr="0014319E" w:rsidRDefault="001A48B7" w:rsidP="00E9077F">
      <w:pPr>
        <w:pStyle w:val="Normlndobloku"/>
      </w:pPr>
      <w:r w:rsidRPr="0014319E">
        <w:t>5 rokov</w:t>
      </w:r>
    </w:p>
    <w:p w14:paraId="074BB124" w14:textId="77777777" w:rsidR="00D002BC" w:rsidRPr="00211C59" w:rsidRDefault="00D002BC" w:rsidP="00970EA9">
      <w:pPr>
        <w:pStyle w:val="Styl2"/>
        <w:rPr>
          <w:lang w:val="sk-SK"/>
        </w:rPr>
      </w:pPr>
      <w:r w:rsidRPr="00211C59">
        <w:rPr>
          <w:noProof w:val="0"/>
          <w:lang w:val="sk-SK"/>
        </w:rPr>
        <w:t>Špeciálne</w:t>
      </w:r>
      <w:r w:rsidRPr="00211C59">
        <w:rPr>
          <w:lang w:val="sk-SK"/>
        </w:rPr>
        <w:t xml:space="preserve"> upozornenia na </w:t>
      </w:r>
      <w:r w:rsidRPr="00211C59">
        <w:rPr>
          <w:noProof w:val="0"/>
          <w:lang w:val="sk-SK"/>
        </w:rPr>
        <w:t>uchovávanie</w:t>
      </w:r>
    </w:p>
    <w:p w14:paraId="7DD766C0" w14:textId="77777777" w:rsidR="004516D6" w:rsidRPr="0014319E" w:rsidRDefault="004516D6" w:rsidP="00E9077F">
      <w:pPr>
        <w:pStyle w:val="Normlndobloku"/>
        <w:rPr>
          <w:noProof/>
          <w:lang w:eastAsia="en-US"/>
        </w:rPr>
      </w:pPr>
      <w:r w:rsidRPr="0014319E">
        <w:t>Uchovávajte pri teplote do 25°C v pôvodnom obale na ochranu pred svetlom.</w:t>
      </w:r>
    </w:p>
    <w:p w14:paraId="4B8DC830" w14:textId="77777777" w:rsidR="00D002BC" w:rsidRPr="00211C59" w:rsidRDefault="00D002BC" w:rsidP="00970EA9">
      <w:pPr>
        <w:pStyle w:val="Styl2"/>
        <w:rPr>
          <w:lang w:val="sk-SK"/>
        </w:rPr>
      </w:pPr>
      <w:r w:rsidRPr="00211C59">
        <w:rPr>
          <w:noProof w:val="0"/>
          <w:lang w:val="sk-SK"/>
        </w:rPr>
        <w:t>Druh</w:t>
      </w:r>
      <w:r w:rsidRPr="00211C59">
        <w:rPr>
          <w:lang w:val="sk-SK"/>
        </w:rPr>
        <w:t xml:space="preserve"> obalu</w:t>
      </w:r>
      <w:r w:rsidRPr="00211C59">
        <w:rPr>
          <w:noProof w:val="0"/>
          <w:lang w:val="sk-SK"/>
        </w:rPr>
        <w:t xml:space="preserve"> a obsah</w:t>
      </w:r>
      <w:r w:rsidRPr="00211C59">
        <w:rPr>
          <w:lang w:val="sk-SK"/>
        </w:rPr>
        <w:t xml:space="preserve"> balenia</w:t>
      </w:r>
    </w:p>
    <w:p w14:paraId="1945BDC5" w14:textId="77777777" w:rsidR="00753006" w:rsidRPr="0014319E" w:rsidRDefault="001A48B7" w:rsidP="00E9077F">
      <w:pPr>
        <w:pStyle w:val="Normlndobloku"/>
      </w:pPr>
      <w:r w:rsidRPr="0014319E">
        <w:t xml:space="preserve">a) PVC/Al blister, papierová </w:t>
      </w:r>
      <w:r w:rsidR="004516D6" w:rsidRPr="0014319E">
        <w:t>škatuľka</w:t>
      </w:r>
    </w:p>
    <w:p w14:paraId="238DEA5C" w14:textId="77777777" w:rsidR="00753006" w:rsidRPr="0014319E" w:rsidRDefault="001A48B7" w:rsidP="00E9077F">
      <w:pPr>
        <w:pStyle w:val="Normlndobloku"/>
      </w:pPr>
      <w:r w:rsidRPr="0014319E">
        <w:t xml:space="preserve">b) </w:t>
      </w:r>
      <w:r w:rsidR="003A429A" w:rsidRPr="0014319E">
        <w:t xml:space="preserve">PP </w:t>
      </w:r>
      <w:r w:rsidRPr="0014319E">
        <w:t xml:space="preserve">fľaša </w:t>
      </w:r>
      <w:r w:rsidR="003A429A" w:rsidRPr="0014319E">
        <w:t>s PE uzáverom (securitainer)</w:t>
      </w:r>
    </w:p>
    <w:p w14:paraId="1664A351" w14:textId="77777777" w:rsidR="004516D6" w:rsidRPr="00211C59" w:rsidRDefault="001A48B7" w:rsidP="00211C59">
      <w:pPr>
        <w:pStyle w:val="Styl3"/>
        <w:jc w:val="left"/>
        <w:rPr>
          <w:rFonts w:ascii="Times New Roman" w:hAnsi="Times New Roman" w:cs="Times New Roman"/>
          <w:szCs w:val="22"/>
          <w:lang w:val="sk-SK"/>
        </w:rPr>
      </w:pPr>
      <w:r w:rsidRPr="00211C59">
        <w:rPr>
          <w:rFonts w:ascii="Times New Roman" w:hAnsi="Times New Roman" w:cs="Times New Roman"/>
          <w:szCs w:val="22"/>
          <w:lang w:val="sk-SK"/>
        </w:rPr>
        <w:t>Veľkosť balenia</w:t>
      </w:r>
    </w:p>
    <w:p w14:paraId="2DDA1060" w14:textId="77777777" w:rsidR="005E45C6" w:rsidRPr="0014319E" w:rsidRDefault="001A48B7" w:rsidP="00E9077F">
      <w:pPr>
        <w:pStyle w:val="Normlndobloku"/>
      </w:pPr>
      <w:r w:rsidRPr="0014319E">
        <w:t xml:space="preserve">a) 10, 30, 60 </w:t>
      </w:r>
      <w:r w:rsidR="002C4AB8" w:rsidRPr="0014319E">
        <w:t>tabliet</w:t>
      </w:r>
    </w:p>
    <w:p w14:paraId="21B30453" w14:textId="77777777" w:rsidR="005E36C4" w:rsidRPr="0014319E" w:rsidRDefault="001A48B7" w:rsidP="00E9077F">
      <w:pPr>
        <w:pStyle w:val="Normlndobloku"/>
      </w:pPr>
      <w:r w:rsidRPr="0014319E">
        <w:t xml:space="preserve">b) 500, 1000 </w:t>
      </w:r>
      <w:r w:rsidR="002C4AB8" w:rsidRPr="0014319E">
        <w:t>tabliet</w:t>
      </w:r>
    </w:p>
    <w:p w14:paraId="6BB9A8A2" w14:textId="77777777" w:rsidR="005E45C6" w:rsidRPr="0014319E" w:rsidRDefault="001A55D1" w:rsidP="00E9077F">
      <w:pPr>
        <w:pStyle w:val="Normlndobloku"/>
      </w:pPr>
      <w:r w:rsidRPr="0014319E">
        <w:t xml:space="preserve">Na trh nemusia byť uvedené </w:t>
      </w:r>
      <w:r w:rsidR="005E45C6" w:rsidRPr="0014319E">
        <w:t>všetky veľkosti balenia.</w:t>
      </w:r>
    </w:p>
    <w:p w14:paraId="4C874FCD" w14:textId="77777777" w:rsidR="00D002BC" w:rsidRPr="00211C59" w:rsidRDefault="00D002BC" w:rsidP="00970EA9">
      <w:pPr>
        <w:pStyle w:val="Styl2"/>
        <w:rPr>
          <w:lang w:val="sk-SK"/>
        </w:rPr>
      </w:pPr>
      <w:r w:rsidRPr="00211C59">
        <w:rPr>
          <w:noProof w:val="0"/>
          <w:lang w:val="sk-SK"/>
        </w:rPr>
        <w:t>Špeciálne opatrenia na likvidáciu a iné zaobchádzanie</w:t>
      </w:r>
      <w:r w:rsidRPr="00211C59">
        <w:rPr>
          <w:lang w:val="sk-SK"/>
        </w:rPr>
        <w:t xml:space="preserve"> s</w:t>
      </w:r>
      <w:r w:rsidR="005E45C6" w:rsidRPr="00211C59">
        <w:rPr>
          <w:lang w:val="sk-SK"/>
        </w:rPr>
        <w:t> </w:t>
      </w:r>
      <w:r w:rsidRPr="00211C59">
        <w:rPr>
          <w:lang w:val="sk-SK"/>
        </w:rPr>
        <w:t>liekom</w:t>
      </w:r>
    </w:p>
    <w:p w14:paraId="7E0D5C89" w14:textId="77777777" w:rsidR="005E45C6" w:rsidRPr="00211C59" w:rsidRDefault="005E45C6" w:rsidP="00211C59">
      <w:pPr>
        <w:pStyle w:val="Normlndobloku"/>
      </w:pPr>
      <w:r w:rsidRPr="00211C59">
        <w:t>Žiadne</w:t>
      </w:r>
      <w:r w:rsidRPr="0014319E">
        <w:t xml:space="preserve"> zvláštne požiadavky.</w:t>
      </w:r>
    </w:p>
    <w:p w14:paraId="61A3F7A4" w14:textId="77777777" w:rsidR="005E36C4" w:rsidRPr="0014319E" w:rsidRDefault="001A48B7" w:rsidP="00970EA9">
      <w:pPr>
        <w:pStyle w:val="Styl1"/>
        <w:rPr>
          <w:noProof w:val="0"/>
          <w:szCs w:val="22"/>
          <w:lang w:val="sk-SK"/>
        </w:rPr>
      </w:pPr>
      <w:r w:rsidRPr="0014319E">
        <w:rPr>
          <w:noProof w:val="0"/>
          <w:szCs w:val="22"/>
          <w:lang w:val="sk-SK"/>
        </w:rPr>
        <w:t>Držiteľ rozhodnutia o registrácii</w:t>
      </w:r>
    </w:p>
    <w:p w14:paraId="6A6042CA" w14:textId="77777777" w:rsidR="005E45C6" w:rsidRPr="0014319E" w:rsidRDefault="004630D7" w:rsidP="00E9077F">
      <w:pPr>
        <w:pStyle w:val="Normlndobloku"/>
      </w:pPr>
      <w:r w:rsidRPr="0014319E">
        <w:t xml:space="preserve">MEDOCHEMIE </w:t>
      </w:r>
      <w:r w:rsidR="005E45C6" w:rsidRPr="0014319E">
        <w:t>Ltd.,</w:t>
      </w:r>
      <w:r w:rsidR="009E1A28" w:rsidRPr="0014319E">
        <w:t xml:space="preserve"> 1-10 Constantinoupoleos, 3011 </w:t>
      </w:r>
      <w:r w:rsidR="005E45C6" w:rsidRPr="0014319E">
        <w:t>Limassol, Cyprus</w:t>
      </w:r>
    </w:p>
    <w:p w14:paraId="09EF3506" w14:textId="77777777" w:rsidR="005E36C4" w:rsidRPr="0014319E" w:rsidRDefault="001A48B7" w:rsidP="00970EA9">
      <w:pPr>
        <w:pStyle w:val="Styl1"/>
        <w:rPr>
          <w:noProof w:val="0"/>
          <w:szCs w:val="22"/>
          <w:lang w:val="sk-SK"/>
        </w:rPr>
      </w:pPr>
      <w:r w:rsidRPr="0014319E">
        <w:rPr>
          <w:noProof w:val="0"/>
          <w:szCs w:val="22"/>
          <w:lang w:val="sk-SK"/>
        </w:rPr>
        <w:t>Registračné číslo</w:t>
      </w:r>
    </w:p>
    <w:p w14:paraId="38D1E166" w14:textId="77777777" w:rsidR="001A48B7" w:rsidRPr="0014319E" w:rsidRDefault="005E45C6" w:rsidP="00E9077F">
      <w:pPr>
        <w:pStyle w:val="Normlndobloku"/>
      </w:pPr>
      <w:r w:rsidRPr="0014319E">
        <w:t>09/0893/92-S</w:t>
      </w:r>
    </w:p>
    <w:p w14:paraId="66C0E510" w14:textId="77777777" w:rsidR="005E36C4" w:rsidRPr="0014319E" w:rsidRDefault="001A48B7" w:rsidP="00970EA9">
      <w:pPr>
        <w:pStyle w:val="Styl1"/>
        <w:rPr>
          <w:noProof w:val="0"/>
          <w:szCs w:val="22"/>
          <w:lang w:val="sk-SK"/>
        </w:rPr>
      </w:pPr>
      <w:r w:rsidRPr="0014319E">
        <w:rPr>
          <w:noProof w:val="0"/>
          <w:szCs w:val="22"/>
          <w:lang w:val="sk-SK"/>
        </w:rPr>
        <w:t xml:space="preserve">Dátum </w:t>
      </w:r>
      <w:r w:rsidR="00CE557A" w:rsidRPr="0014319E">
        <w:rPr>
          <w:noProof w:val="0"/>
          <w:szCs w:val="22"/>
          <w:lang w:val="sk-SK"/>
        </w:rPr>
        <w:t xml:space="preserve">PRVEJ </w:t>
      </w:r>
      <w:r w:rsidRPr="0014319E">
        <w:rPr>
          <w:noProof w:val="0"/>
          <w:szCs w:val="22"/>
          <w:lang w:val="sk-SK"/>
        </w:rPr>
        <w:t>registrácie/predĺženia registrácie</w:t>
      </w:r>
    </w:p>
    <w:p w14:paraId="11207CF1" w14:textId="77777777" w:rsidR="009E1A28" w:rsidRPr="00211C59" w:rsidRDefault="009E1A28" w:rsidP="00211C59">
      <w:pPr>
        <w:pStyle w:val="Normlndobloku"/>
      </w:pPr>
      <w:r w:rsidRPr="0014319E">
        <w:t>Dátum prvej</w:t>
      </w:r>
      <w:r w:rsidRPr="00211C59">
        <w:t xml:space="preserve"> registrácie</w:t>
      </w:r>
      <w:r w:rsidR="0099338B" w:rsidRPr="0014319E">
        <w:t>: 28. decembr</w:t>
      </w:r>
      <w:r w:rsidR="005B0295">
        <w:t>a</w:t>
      </w:r>
      <w:r w:rsidR="0099338B" w:rsidRPr="0014319E">
        <w:t xml:space="preserve"> 1992</w:t>
      </w:r>
    </w:p>
    <w:p w14:paraId="2665F322" w14:textId="77777777" w:rsidR="001A48B7" w:rsidRPr="0014319E" w:rsidRDefault="009E1A28" w:rsidP="00E9077F">
      <w:pPr>
        <w:pStyle w:val="Normlndobloku"/>
      </w:pPr>
      <w:r w:rsidRPr="0014319E">
        <w:t>Dátum posledného predĺženia registrácie:</w:t>
      </w:r>
      <w:r w:rsidR="00E91573" w:rsidRPr="0014319E">
        <w:t xml:space="preserve"> </w:t>
      </w:r>
      <w:r w:rsidR="00A21255" w:rsidRPr="0014319E">
        <w:t>20.</w:t>
      </w:r>
      <w:r w:rsidR="005B0295">
        <w:t xml:space="preserve"> júna </w:t>
      </w:r>
      <w:r w:rsidR="00A21255" w:rsidRPr="0014319E">
        <w:t>2005</w:t>
      </w:r>
    </w:p>
    <w:p w14:paraId="302D2111" w14:textId="77777777" w:rsidR="005E36C4" w:rsidRPr="0014319E" w:rsidRDefault="001A48B7" w:rsidP="00970EA9">
      <w:pPr>
        <w:pStyle w:val="Styl1"/>
        <w:rPr>
          <w:noProof w:val="0"/>
          <w:szCs w:val="22"/>
          <w:lang w:val="sk-SK"/>
        </w:rPr>
      </w:pPr>
      <w:r w:rsidRPr="0014319E">
        <w:rPr>
          <w:noProof w:val="0"/>
          <w:szCs w:val="22"/>
          <w:lang w:val="sk-SK"/>
        </w:rPr>
        <w:t>Dátum revízie textu</w:t>
      </w:r>
    </w:p>
    <w:p w14:paraId="4E5A481D" w14:textId="20918450" w:rsidR="001A48B7" w:rsidRPr="0014319E" w:rsidRDefault="001A3C77" w:rsidP="00A643DA">
      <w:pPr>
        <w:pStyle w:val="Normlndobloku"/>
      </w:pPr>
      <w:r>
        <w:t>10</w:t>
      </w:r>
      <w:r w:rsidR="00462962">
        <w:t>/</w:t>
      </w:r>
      <w:r w:rsidR="00907978">
        <w:t>2020</w:t>
      </w:r>
    </w:p>
    <w:sectPr w:rsidR="001A48B7" w:rsidRPr="0014319E" w:rsidSect="00154CA3">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DC3C6" w14:textId="77777777" w:rsidR="005F624F" w:rsidRDefault="005F624F">
      <w:r>
        <w:separator/>
      </w:r>
    </w:p>
  </w:endnote>
  <w:endnote w:type="continuationSeparator" w:id="0">
    <w:p w14:paraId="34F93A80" w14:textId="77777777" w:rsidR="005F624F" w:rsidRDefault="005F624F">
      <w:r>
        <w:continuationSeparator/>
      </w:r>
    </w:p>
  </w:endnote>
  <w:endnote w:type="continuationNotice" w:id="1">
    <w:p w14:paraId="154AA352" w14:textId="77777777" w:rsidR="005F624F" w:rsidRDefault="005F6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3A6DA" w14:textId="77777777" w:rsidR="003F5D6A" w:rsidRDefault="003F5D6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E808B" w14:textId="77777777" w:rsidR="0001639F" w:rsidRPr="00177C33" w:rsidRDefault="0001639F" w:rsidP="00637886">
    <w:pPr>
      <w:pStyle w:val="Pta"/>
      <w:jc w:val="center"/>
      <w:rPr>
        <w:rFonts w:ascii="Times New Roman" w:hAnsi="Times New Roman"/>
        <w:sz w:val="18"/>
        <w:szCs w:val="18"/>
      </w:rPr>
    </w:pPr>
    <w:r w:rsidRPr="00177C33">
      <w:rPr>
        <w:rFonts w:ascii="Times New Roman" w:hAnsi="Times New Roman"/>
        <w:sz w:val="18"/>
        <w:szCs w:val="18"/>
      </w:rPr>
      <w:fldChar w:fldCharType="begin"/>
    </w:r>
    <w:r w:rsidRPr="00177C33">
      <w:rPr>
        <w:rFonts w:ascii="Times New Roman" w:hAnsi="Times New Roman"/>
        <w:sz w:val="18"/>
        <w:szCs w:val="18"/>
      </w:rPr>
      <w:instrText>PAGE</w:instrText>
    </w:r>
    <w:r w:rsidRPr="00177C33">
      <w:rPr>
        <w:rFonts w:ascii="Times New Roman" w:hAnsi="Times New Roman"/>
        <w:sz w:val="18"/>
        <w:szCs w:val="18"/>
      </w:rPr>
      <w:fldChar w:fldCharType="separate"/>
    </w:r>
    <w:r w:rsidR="00177C33">
      <w:rPr>
        <w:rFonts w:ascii="Times New Roman" w:hAnsi="Times New Roman"/>
        <w:noProof/>
        <w:sz w:val="18"/>
        <w:szCs w:val="18"/>
      </w:rPr>
      <w:t>5</w:t>
    </w:r>
    <w:r w:rsidRPr="00177C33">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31B0" w14:textId="77777777" w:rsidR="0001639F" w:rsidRPr="004630D7" w:rsidRDefault="0001639F" w:rsidP="00E72B25">
    <w:pPr>
      <w:pStyle w:val="Pta"/>
      <w:jc w:val="center"/>
      <w:rPr>
        <w:rFonts w:ascii="Times New Roman" w:hAnsi="Times New Roman"/>
      </w:rPr>
    </w:pPr>
    <w:r w:rsidRPr="004630D7">
      <w:rPr>
        <w:rStyle w:val="slostrany"/>
        <w:rFonts w:ascii="Times New Roman" w:hAnsi="Times New Roman"/>
      </w:rPr>
      <w:fldChar w:fldCharType="begin"/>
    </w:r>
    <w:r w:rsidRPr="004630D7">
      <w:rPr>
        <w:rStyle w:val="slostrany"/>
        <w:rFonts w:ascii="Times New Roman" w:hAnsi="Times New Roman"/>
      </w:rPr>
      <w:instrText xml:space="preserve"> PAGE </w:instrText>
    </w:r>
    <w:r w:rsidRPr="004630D7">
      <w:rPr>
        <w:rStyle w:val="slostrany"/>
        <w:rFonts w:ascii="Times New Roman" w:hAnsi="Times New Roman"/>
      </w:rPr>
      <w:fldChar w:fldCharType="separate"/>
    </w:r>
    <w:r w:rsidR="00865C15">
      <w:rPr>
        <w:rStyle w:val="slostrany"/>
        <w:rFonts w:ascii="Times New Roman" w:hAnsi="Times New Roman"/>
        <w:noProof/>
      </w:rPr>
      <w:t>1</w:t>
    </w:r>
    <w:r w:rsidRPr="004630D7">
      <w:rPr>
        <w:rStyle w:val="slostrany"/>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85549" w14:textId="77777777" w:rsidR="005F624F" w:rsidRDefault="005F624F">
      <w:r>
        <w:separator/>
      </w:r>
    </w:p>
  </w:footnote>
  <w:footnote w:type="continuationSeparator" w:id="0">
    <w:p w14:paraId="7DB46727" w14:textId="77777777" w:rsidR="005F624F" w:rsidRDefault="005F624F">
      <w:r>
        <w:continuationSeparator/>
      </w:r>
    </w:p>
  </w:footnote>
  <w:footnote w:type="continuationNotice" w:id="1">
    <w:p w14:paraId="77C4CFEA" w14:textId="77777777" w:rsidR="005F624F" w:rsidRDefault="005F62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7DFC" w14:textId="77777777" w:rsidR="003F5D6A" w:rsidRDefault="003F5D6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746C" w14:textId="3EF9E6CD" w:rsidR="00166158" w:rsidRDefault="00907978">
    <w:pPr>
      <w:pStyle w:val="Hlavika"/>
    </w:pPr>
    <w:r w:rsidRPr="00C5060B">
      <w:rPr>
        <w:rFonts w:ascii="Times New Roman" w:hAnsi="Times New Roman"/>
        <w:sz w:val="18"/>
        <w:szCs w:val="18"/>
        <w:lang w:val="sk-SK"/>
      </w:rPr>
      <w:t xml:space="preserve">Príloha č.1 k notifikácii </w:t>
    </w:r>
    <w:r>
      <w:rPr>
        <w:rFonts w:ascii="Times New Roman" w:hAnsi="Times New Roman"/>
        <w:sz w:val="18"/>
        <w:szCs w:val="18"/>
        <w:lang w:val="sk-SK"/>
      </w:rPr>
      <w:t xml:space="preserve">o </w:t>
    </w:r>
    <w:r w:rsidRPr="00C5060B">
      <w:rPr>
        <w:rFonts w:ascii="Times New Roman" w:hAnsi="Times New Roman"/>
        <w:sz w:val="18"/>
        <w:szCs w:val="18"/>
        <w:lang w:val="sk-SK"/>
      </w:rPr>
      <w:t>zmen</w:t>
    </w:r>
    <w:r>
      <w:rPr>
        <w:rFonts w:ascii="Times New Roman" w:hAnsi="Times New Roman"/>
        <w:sz w:val="18"/>
        <w:szCs w:val="18"/>
        <w:lang w:val="sk-SK"/>
      </w:rPr>
      <w:t>e</w:t>
    </w:r>
    <w:r w:rsidRPr="00C5060B">
      <w:rPr>
        <w:rFonts w:ascii="Times New Roman" w:hAnsi="Times New Roman"/>
        <w:sz w:val="18"/>
        <w:szCs w:val="18"/>
        <w:lang w:val="sk-SK"/>
      </w:rPr>
      <w:t>, ev.</w:t>
    </w:r>
    <w:r w:rsidR="00002B38">
      <w:rPr>
        <w:rFonts w:ascii="Times New Roman" w:hAnsi="Times New Roman"/>
        <w:sz w:val="18"/>
        <w:szCs w:val="18"/>
        <w:lang w:val="sk-SK"/>
      </w:rPr>
      <w:t xml:space="preserve"> </w:t>
    </w:r>
    <w:r w:rsidRPr="00C5060B">
      <w:rPr>
        <w:rFonts w:ascii="Times New Roman" w:hAnsi="Times New Roman"/>
        <w:sz w:val="18"/>
        <w:szCs w:val="18"/>
        <w:lang w:val="sk-SK"/>
      </w:rPr>
      <w:t xml:space="preserve">č.: </w:t>
    </w:r>
    <w:r w:rsidRPr="006E3475">
      <w:rPr>
        <w:rFonts w:ascii="Times New Roman" w:hAnsi="Times New Roman"/>
        <w:sz w:val="18"/>
        <w:szCs w:val="18"/>
        <w:lang w:val="sk-SK"/>
      </w:rPr>
      <w:t>2020/04876-Z1A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5F433" w14:textId="77777777" w:rsidR="003F5D6A" w:rsidRDefault="003F5D6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428D58"/>
    <w:lvl w:ilvl="0">
      <w:start w:val="1"/>
      <w:numFmt w:val="decimal"/>
      <w:lvlText w:val="%1."/>
      <w:lvlJc w:val="left"/>
      <w:pPr>
        <w:tabs>
          <w:tab w:val="num" w:pos="1492"/>
        </w:tabs>
        <w:ind w:left="1492" w:hanging="360"/>
      </w:pPr>
    </w:lvl>
  </w:abstractNum>
  <w:abstractNum w:abstractNumId="1">
    <w:nsid w:val="FFFFFF7D"/>
    <w:multiLevelType w:val="singleLevel"/>
    <w:tmpl w:val="A1943D92"/>
    <w:lvl w:ilvl="0">
      <w:start w:val="1"/>
      <w:numFmt w:val="decimal"/>
      <w:lvlText w:val="%1."/>
      <w:lvlJc w:val="left"/>
      <w:pPr>
        <w:tabs>
          <w:tab w:val="num" w:pos="1209"/>
        </w:tabs>
        <w:ind w:left="1209" w:hanging="360"/>
      </w:pPr>
    </w:lvl>
  </w:abstractNum>
  <w:abstractNum w:abstractNumId="2">
    <w:nsid w:val="FFFFFF7E"/>
    <w:multiLevelType w:val="singleLevel"/>
    <w:tmpl w:val="261C4D7A"/>
    <w:lvl w:ilvl="0">
      <w:start w:val="1"/>
      <w:numFmt w:val="decimal"/>
      <w:lvlText w:val="%1."/>
      <w:lvlJc w:val="left"/>
      <w:pPr>
        <w:tabs>
          <w:tab w:val="num" w:pos="926"/>
        </w:tabs>
        <w:ind w:left="926" w:hanging="360"/>
      </w:pPr>
    </w:lvl>
  </w:abstractNum>
  <w:abstractNum w:abstractNumId="3">
    <w:nsid w:val="FFFFFF7F"/>
    <w:multiLevelType w:val="singleLevel"/>
    <w:tmpl w:val="276E2A24"/>
    <w:lvl w:ilvl="0">
      <w:start w:val="1"/>
      <w:numFmt w:val="decimal"/>
      <w:lvlText w:val="%1."/>
      <w:lvlJc w:val="left"/>
      <w:pPr>
        <w:tabs>
          <w:tab w:val="num" w:pos="643"/>
        </w:tabs>
        <w:ind w:left="643" w:hanging="360"/>
      </w:pPr>
    </w:lvl>
  </w:abstractNum>
  <w:abstractNum w:abstractNumId="4">
    <w:nsid w:val="FFFFFF80"/>
    <w:multiLevelType w:val="singleLevel"/>
    <w:tmpl w:val="9CA6F5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74F4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9C38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D868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C62BD6"/>
    <w:lvl w:ilvl="0">
      <w:start w:val="1"/>
      <w:numFmt w:val="decimal"/>
      <w:lvlText w:val="%1."/>
      <w:lvlJc w:val="left"/>
      <w:pPr>
        <w:tabs>
          <w:tab w:val="num" w:pos="360"/>
        </w:tabs>
        <w:ind w:left="360" w:hanging="360"/>
      </w:pPr>
    </w:lvl>
  </w:abstractNum>
  <w:abstractNum w:abstractNumId="9">
    <w:nsid w:val="FFFFFF89"/>
    <w:multiLevelType w:val="singleLevel"/>
    <w:tmpl w:val="ECD8DBB6"/>
    <w:lvl w:ilvl="0">
      <w:start w:val="1"/>
      <w:numFmt w:val="bullet"/>
      <w:lvlText w:val=""/>
      <w:lvlJc w:val="left"/>
      <w:pPr>
        <w:tabs>
          <w:tab w:val="num" w:pos="360"/>
        </w:tabs>
        <w:ind w:left="360" w:hanging="360"/>
      </w:pPr>
      <w:rPr>
        <w:rFonts w:ascii="Symbol" w:hAnsi="Symbol" w:hint="default"/>
      </w:rPr>
    </w:lvl>
  </w:abstractNum>
  <w:abstractNum w:abstractNumId="10">
    <w:nsid w:val="117B44DD"/>
    <w:multiLevelType w:val="multilevel"/>
    <w:tmpl w:val="1E5CFBC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2">
    <w:nsid w:val="174C7DB5"/>
    <w:multiLevelType w:val="hybridMultilevel"/>
    <w:tmpl w:val="A63A8B70"/>
    <w:lvl w:ilvl="0" w:tplc="A0EC0D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9D116F9"/>
    <w:multiLevelType w:val="hybridMultilevel"/>
    <w:tmpl w:val="BB5EB5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5">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16">
    <w:nsid w:val="346F504A"/>
    <w:multiLevelType w:val="multilevel"/>
    <w:tmpl w:val="A63A8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5AF10EE3"/>
    <w:multiLevelType w:val="multilevel"/>
    <w:tmpl w:val="862CE4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6AAD4AA7"/>
    <w:multiLevelType w:val="multilevel"/>
    <w:tmpl w:val="F378FB2A"/>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0523A16"/>
    <w:multiLevelType w:val="hybridMultilevel"/>
    <w:tmpl w:val="2F342422"/>
    <w:lvl w:ilvl="0" w:tplc="96D86B04">
      <w:start w:val="1"/>
      <w:numFmt w:val="bullet"/>
      <w:pStyle w:val="Normln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72491BC7"/>
    <w:multiLevelType w:val="singleLevel"/>
    <w:tmpl w:val="CBBCAA50"/>
    <w:lvl w:ilvl="0">
      <w:start w:val="750"/>
      <w:numFmt w:val="decimal"/>
      <w:lvlText w:val="%1"/>
      <w:lvlJc w:val="left"/>
      <w:pPr>
        <w:tabs>
          <w:tab w:val="num" w:pos="4080"/>
        </w:tabs>
        <w:ind w:left="4080" w:hanging="480"/>
      </w:pPr>
      <w:rPr>
        <w:rFonts w:hint="default"/>
      </w:rPr>
    </w:lvl>
  </w:abstractNum>
  <w:abstractNum w:abstractNumId="23">
    <w:nsid w:val="733456C6"/>
    <w:multiLevelType w:val="multilevel"/>
    <w:tmpl w:val="A63A8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5CF5128"/>
    <w:multiLevelType w:val="hybridMultilevel"/>
    <w:tmpl w:val="29FC1BA4"/>
    <w:lvl w:ilvl="0" w:tplc="D592BD00">
      <w:start w:val="1"/>
      <w:numFmt w:val="decimal"/>
      <w:lvlText w:val="%1."/>
      <w:lvlJc w:val="left"/>
      <w:pPr>
        <w:tabs>
          <w:tab w:val="num" w:pos="720"/>
        </w:tabs>
        <w:ind w:left="720" w:hanging="360"/>
      </w:pPr>
      <w:rPr>
        <w:rFonts w:hint="default"/>
      </w:rPr>
    </w:lvl>
    <w:lvl w:ilvl="1" w:tplc="1B0AB226">
      <w:numFmt w:val="none"/>
      <w:lvlText w:val=""/>
      <w:lvlJc w:val="left"/>
      <w:pPr>
        <w:tabs>
          <w:tab w:val="num" w:pos="360"/>
        </w:tabs>
      </w:pPr>
    </w:lvl>
    <w:lvl w:ilvl="2" w:tplc="056077C0">
      <w:numFmt w:val="none"/>
      <w:lvlText w:val=""/>
      <w:lvlJc w:val="left"/>
      <w:pPr>
        <w:tabs>
          <w:tab w:val="num" w:pos="360"/>
        </w:tabs>
      </w:pPr>
    </w:lvl>
    <w:lvl w:ilvl="3" w:tplc="64489090">
      <w:numFmt w:val="none"/>
      <w:lvlText w:val=""/>
      <w:lvlJc w:val="left"/>
      <w:pPr>
        <w:tabs>
          <w:tab w:val="num" w:pos="360"/>
        </w:tabs>
      </w:pPr>
    </w:lvl>
    <w:lvl w:ilvl="4" w:tplc="6204934E">
      <w:numFmt w:val="none"/>
      <w:lvlText w:val=""/>
      <w:lvlJc w:val="left"/>
      <w:pPr>
        <w:tabs>
          <w:tab w:val="num" w:pos="360"/>
        </w:tabs>
      </w:pPr>
    </w:lvl>
    <w:lvl w:ilvl="5" w:tplc="9E1AE784">
      <w:numFmt w:val="none"/>
      <w:lvlText w:val=""/>
      <w:lvlJc w:val="left"/>
      <w:pPr>
        <w:tabs>
          <w:tab w:val="num" w:pos="360"/>
        </w:tabs>
      </w:pPr>
    </w:lvl>
    <w:lvl w:ilvl="6" w:tplc="4C328554">
      <w:numFmt w:val="none"/>
      <w:lvlText w:val=""/>
      <w:lvlJc w:val="left"/>
      <w:pPr>
        <w:tabs>
          <w:tab w:val="num" w:pos="360"/>
        </w:tabs>
      </w:pPr>
    </w:lvl>
    <w:lvl w:ilvl="7" w:tplc="76ECC992">
      <w:numFmt w:val="none"/>
      <w:lvlText w:val=""/>
      <w:lvlJc w:val="left"/>
      <w:pPr>
        <w:tabs>
          <w:tab w:val="num" w:pos="360"/>
        </w:tabs>
      </w:pPr>
    </w:lvl>
    <w:lvl w:ilvl="8" w:tplc="621437DC">
      <w:numFmt w:val="none"/>
      <w:lvlText w:val=""/>
      <w:lvlJc w:val="left"/>
      <w:pPr>
        <w:tabs>
          <w:tab w:val="num" w:pos="360"/>
        </w:tabs>
      </w:pPr>
    </w:lvl>
  </w:abstractNum>
  <w:abstractNum w:abstractNumId="25">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9"/>
  </w:num>
  <w:num w:numId="2">
    <w:abstractNumId w:val="26"/>
  </w:num>
  <w:num w:numId="3">
    <w:abstractNumId w:val="11"/>
  </w:num>
  <w:num w:numId="4">
    <w:abstractNumId w:val="18"/>
  </w:num>
  <w:num w:numId="5">
    <w:abstractNumId w:val="14"/>
  </w:num>
  <w:num w:numId="6">
    <w:abstractNumId w:val="17"/>
  </w:num>
  <w:num w:numId="7">
    <w:abstractNumId w:val="15"/>
  </w:num>
  <w:num w:numId="8">
    <w:abstractNumId w:val="25"/>
  </w:num>
  <w:num w:numId="9">
    <w:abstractNumId w:val="2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0">
    <w:abstractNumId w:val="22"/>
  </w:num>
  <w:num w:numId="11">
    <w:abstractNumId w:val="10"/>
  </w:num>
  <w:num w:numId="12">
    <w:abstractNumId w:val="24"/>
  </w:num>
  <w:num w:numId="13">
    <w:abstractNumId w:val="20"/>
  </w:num>
  <w:num w:numId="14">
    <w:abstractNumId w:val="20"/>
  </w:num>
  <w:num w:numId="15">
    <w:abstractNumId w:val="20"/>
  </w:num>
  <w:num w:numId="16">
    <w:abstractNumId w:val="20"/>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2"/>
  </w:num>
  <w:num w:numId="28">
    <w:abstractNumId w:val="20"/>
  </w:num>
  <w:num w:numId="29">
    <w:abstractNumId w:val="20"/>
  </w:num>
  <w:num w:numId="30">
    <w:abstractNumId w:val="12"/>
  </w:num>
  <w:num w:numId="31">
    <w:abstractNumId w:val="20"/>
  </w:num>
  <w:num w:numId="32">
    <w:abstractNumId w:val="20"/>
  </w:num>
  <w:num w:numId="33">
    <w:abstractNumId w:val="13"/>
  </w:num>
  <w:num w:numId="34">
    <w:abstractNumId w:val="23"/>
  </w:num>
  <w:num w:numId="35">
    <w:abstractNumId w:val="16"/>
  </w:num>
  <w:num w:numId="36">
    <w:abstractNumId w:val="21"/>
  </w:num>
  <w:num w:numId="37">
    <w:abstractNumId w:val="2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BD"/>
    <w:rsid w:val="00002B38"/>
    <w:rsid w:val="00003AC2"/>
    <w:rsid w:val="0000677B"/>
    <w:rsid w:val="0001639F"/>
    <w:rsid w:val="00023CBF"/>
    <w:rsid w:val="000243D5"/>
    <w:rsid w:val="00025274"/>
    <w:rsid w:val="00027944"/>
    <w:rsid w:val="000314D6"/>
    <w:rsid w:val="00031EB6"/>
    <w:rsid w:val="00031F11"/>
    <w:rsid w:val="000341AE"/>
    <w:rsid w:val="00037381"/>
    <w:rsid w:val="00041A7E"/>
    <w:rsid w:val="000479A5"/>
    <w:rsid w:val="000479D9"/>
    <w:rsid w:val="000504BF"/>
    <w:rsid w:val="00054E39"/>
    <w:rsid w:val="00055354"/>
    <w:rsid w:val="00056D5E"/>
    <w:rsid w:val="00057397"/>
    <w:rsid w:val="00060236"/>
    <w:rsid w:val="00062293"/>
    <w:rsid w:val="000663B0"/>
    <w:rsid w:val="000676E1"/>
    <w:rsid w:val="00074055"/>
    <w:rsid w:val="0007521D"/>
    <w:rsid w:val="0008010B"/>
    <w:rsid w:val="00082023"/>
    <w:rsid w:val="000830F8"/>
    <w:rsid w:val="00084455"/>
    <w:rsid w:val="00084858"/>
    <w:rsid w:val="0008603B"/>
    <w:rsid w:val="00086578"/>
    <w:rsid w:val="00090A60"/>
    <w:rsid w:val="00090F5D"/>
    <w:rsid w:val="00090F98"/>
    <w:rsid w:val="00093477"/>
    <w:rsid w:val="00093C71"/>
    <w:rsid w:val="000A166A"/>
    <w:rsid w:val="000A1F05"/>
    <w:rsid w:val="000A2960"/>
    <w:rsid w:val="000A5758"/>
    <w:rsid w:val="000B1EC8"/>
    <w:rsid w:val="000B4433"/>
    <w:rsid w:val="000B7296"/>
    <w:rsid w:val="000C1C94"/>
    <w:rsid w:val="000C6488"/>
    <w:rsid w:val="000D0674"/>
    <w:rsid w:val="000D0B15"/>
    <w:rsid w:val="000D0DA7"/>
    <w:rsid w:val="000D7A09"/>
    <w:rsid w:val="000E282E"/>
    <w:rsid w:val="000E3957"/>
    <w:rsid w:val="00114F43"/>
    <w:rsid w:val="001215BF"/>
    <w:rsid w:val="00125228"/>
    <w:rsid w:val="001269B7"/>
    <w:rsid w:val="001331B9"/>
    <w:rsid w:val="00136098"/>
    <w:rsid w:val="001379E0"/>
    <w:rsid w:val="0014319E"/>
    <w:rsid w:val="00146CAA"/>
    <w:rsid w:val="00153224"/>
    <w:rsid w:val="00154CA3"/>
    <w:rsid w:val="001559B2"/>
    <w:rsid w:val="00166158"/>
    <w:rsid w:val="00167A26"/>
    <w:rsid w:val="00171ED3"/>
    <w:rsid w:val="001772C8"/>
    <w:rsid w:val="00177C33"/>
    <w:rsid w:val="0018392F"/>
    <w:rsid w:val="00191B25"/>
    <w:rsid w:val="0019270D"/>
    <w:rsid w:val="0019347B"/>
    <w:rsid w:val="001A0447"/>
    <w:rsid w:val="001A05C6"/>
    <w:rsid w:val="001A2180"/>
    <w:rsid w:val="001A3C77"/>
    <w:rsid w:val="001A48B7"/>
    <w:rsid w:val="001A522C"/>
    <w:rsid w:val="001A55D1"/>
    <w:rsid w:val="001B1C66"/>
    <w:rsid w:val="001B7D66"/>
    <w:rsid w:val="001B7DB7"/>
    <w:rsid w:val="001C4A2D"/>
    <w:rsid w:val="001C6BDE"/>
    <w:rsid w:val="001C74C5"/>
    <w:rsid w:val="001D294C"/>
    <w:rsid w:val="001D5345"/>
    <w:rsid w:val="001D75F0"/>
    <w:rsid w:val="001F485A"/>
    <w:rsid w:val="001F5C6A"/>
    <w:rsid w:val="001F6678"/>
    <w:rsid w:val="0020083A"/>
    <w:rsid w:val="00200DDC"/>
    <w:rsid w:val="00201608"/>
    <w:rsid w:val="002043D9"/>
    <w:rsid w:val="00204E83"/>
    <w:rsid w:val="00211C59"/>
    <w:rsid w:val="00217DEB"/>
    <w:rsid w:val="00226182"/>
    <w:rsid w:val="00226B7A"/>
    <w:rsid w:val="00231DA3"/>
    <w:rsid w:val="00234ADF"/>
    <w:rsid w:val="00240CF2"/>
    <w:rsid w:val="0024273D"/>
    <w:rsid w:val="00244665"/>
    <w:rsid w:val="002504C1"/>
    <w:rsid w:val="00270407"/>
    <w:rsid w:val="00275B40"/>
    <w:rsid w:val="00277393"/>
    <w:rsid w:val="00280EA6"/>
    <w:rsid w:val="00284342"/>
    <w:rsid w:val="0029146F"/>
    <w:rsid w:val="0029193F"/>
    <w:rsid w:val="0029716A"/>
    <w:rsid w:val="002A5682"/>
    <w:rsid w:val="002A6DDC"/>
    <w:rsid w:val="002B0679"/>
    <w:rsid w:val="002C1A9B"/>
    <w:rsid w:val="002C4959"/>
    <w:rsid w:val="002C4AB8"/>
    <w:rsid w:val="002C6697"/>
    <w:rsid w:val="002C677B"/>
    <w:rsid w:val="002D3DED"/>
    <w:rsid w:val="002E2826"/>
    <w:rsid w:val="002E4489"/>
    <w:rsid w:val="002F0397"/>
    <w:rsid w:val="002F079F"/>
    <w:rsid w:val="003005D0"/>
    <w:rsid w:val="0030435C"/>
    <w:rsid w:val="00306865"/>
    <w:rsid w:val="00316CA1"/>
    <w:rsid w:val="0031775A"/>
    <w:rsid w:val="00320618"/>
    <w:rsid w:val="00323B16"/>
    <w:rsid w:val="00325FD3"/>
    <w:rsid w:val="003378C0"/>
    <w:rsid w:val="00344842"/>
    <w:rsid w:val="0035136E"/>
    <w:rsid w:val="00353277"/>
    <w:rsid w:val="00364680"/>
    <w:rsid w:val="00367BEC"/>
    <w:rsid w:val="00382604"/>
    <w:rsid w:val="003837F0"/>
    <w:rsid w:val="003838BF"/>
    <w:rsid w:val="00384861"/>
    <w:rsid w:val="0038574E"/>
    <w:rsid w:val="00387CEC"/>
    <w:rsid w:val="00396337"/>
    <w:rsid w:val="003A00DB"/>
    <w:rsid w:val="003A429A"/>
    <w:rsid w:val="003A5029"/>
    <w:rsid w:val="003C1DD9"/>
    <w:rsid w:val="003C3470"/>
    <w:rsid w:val="003E10A6"/>
    <w:rsid w:val="003E61C1"/>
    <w:rsid w:val="003E7875"/>
    <w:rsid w:val="003E7B63"/>
    <w:rsid w:val="003E7F8E"/>
    <w:rsid w:val="003F030B"/>
    <w:rsid w:val="003F5D6A"/>
    <w:rsid w:val="003F67F0"/>
    <w:rsid w:val="003F742C"/>
    <w:rsid w:val="004004BB"/>
    <w:rsid w:val="00406500"/>
    <w:rsid w:val="00410A77"/>
    <w:rsid w:val="00417842"/>
    <w:rsid w:val="004335E2"/>
    <w:rsid w:val="004378DC"/>
    <w:rsid w:val="00440C5B"/>
    <w:rsid w:val="00442270"/>
    <w:rsid w:val="00444781"/>
    <w:rsid w:val="00451170"/>
    <w:rsid w:val="004516D6"/>
    <w:rsid w:val="00462962"/>
    <w:rsid w:val="004630D7"/>
    <w:rsid w:val="0046594C"/>
    <w:rsid w:val="00467F76"/>
    <w:rsid w:val="004705A6"/>
    <w:rsid w:val="00473868"/>
    <w:rsid w:val="00474BB8"/>
    <w:rsid w:val="00476031"/>
    <w:rsid w:val="00477881"/>
    <w:rsid w:val="0048047C"/>
    <w:rsid w:val="0048425C"/>
    <w:rsid w:val="00484684"/>
    <w:rsid w:val="00494FBD"/>
    <w:rsid w:val="00495506"/>
    <w:rsid w:val="00496E71"/>
    <w:rsid w:val="004A131F"/>
    <w:rsid w:val="004A1CBB"/>
    <w:rsid w:val="004A3087"/>
    <w:rsid w:val="004A308E"/>
    <w:rsid w:val="004A3EC7"/>
    <w:rsid w:val="004B343F"/>
    <w:rsid w:val="004B67FA"/>
    <w:rsid w:val="004C00DA"/>
    <w:rsid w:val="004C62E3"/>
    <w:rsid w:val="004C7AF9"/>
    <w:rsid w:val="004D0AE9"/>
    <w:rsid w:val="004D0AEA"/>
    <w:rsid w:val="004D169F"/>
    <w:rsid w:val="004D1961"/>
    <w:rsid w:val="004D299B"/>
    <w:rsid w:val="004D3A60"/>
    <w:rsid w:val="004D3EDF"/>
    <w:rsid w:val="004E2304"/>
    <w:rsid w:val="004E2A4B"/>
    <w:rsid w:val="004E4F6A"/>
    <w:rsid w:val="004E5C0A"/>
    <w:rsid w:val="004E7924"/>
    <w:rsid w:val="004F2059"/>
    <w:rsid w:val="004F587B"/>
    <w:rsid w:val="005045D5"/>
    <w:rsid w:val="005074D9"/>
    <w:rsid w:val="00510462"/>
    <w:rsid w:val="005203A9"/>
    <w:rsid w:val="005301B1"/>
    <w:rsid w:val="0053737D"/>
    <w:rsid w:val="005455A9"/>
    <w:rsid w:val="0054710D"/>
    <w:rsid w:val="0055141B"/>
    <w:rsid w:val="005544FF"/>
    <w:rsid w:val="005643BE"/>
    <w:rsid w:val="005647F1"/>
    <w:rsid w:val="00564D9E"/>
    <w:rsid w:val="00580996"/>
    <w:rsid w:val="00585869"/>
    <w:rsid w:val="00587216"/>
    <w:rsid w:val="00591196"/>
    <w:rsid w:val="00591FDB"/>
    <w:rsid w:val="00592A1C"/>
    <w:rsid w:val="005A3276"/>
    <w:rsid w:val="005A65BC"/>
    <w:rsid w:val="005B0295"/>
    <w:rsid w:val="005B1EB5"/>
    <w:rsid w:val="005B2EFE"/>
    <w:rsid w:val="005C1C16"/>
    <w:rsid w:val="005D0D77"/>
    <w:rsid w:val="005D0FD9"/>
    <w:rsid w:val="005D2A72"/>
    <w:rsid w:val="005E36C4"/>
    <w:rsid w:val="005E3C69"/>
    <w:rsid w:val="005E45C6"/>
    <w:rsid w:val="005E6B89"/>
    <w:rsid w:val="005F26F5"/>
    <w:rsid w:val="005F3200"/>
    <w:rsid w:val="005F624F"/>
    <w:rsid w:val="006016B8"/>
    <w:rsid w:val="00606A19"/>
    <w:rsid w:val="00616923"/>
    <w:rsid w:val="006244AF"/>
    <w:rsid w:val="00627D44"/>
    <w:rsid w:val="00630418"/>
    <w:rsid w:val="00632612"/>
    <w:rsid w:val="006326AB"/>
    <w:rsid w:val="0063432B"/>
    <w:rsid w:val="00637886"/>
    <w:rsid w:val="00641340"/>
    <w:rsid w:val="006419EE"/>
    <w:rsid w:val="00643C46"/>
    <w:rsid w:val="0064454C"/>
    <w:rsid w:val="00646CB9"/>
    <w:rsid w:val="00646F18"/>
    <w:rsid w:val="00647EE7"/>
    <w:rsid w:val="00652DD3"/>
    <w:rsid w:val="0066341E"/>
    <w:rsid w:val="00663E88"/>
    <w:rsid w:val="006656E4"/>
    <w:rsid w:val="006671CF"/>
    <w:rsid w:val="00671BC2"/>
    <w:rsid w:val="0067569F"/>
    <w:rsid w:val="0067645E"/>
    <w:rsid w:val="00682C82"/>
    <w:rsid w:val="006877D5"/>
    <w:rsid w:val="00687FE6"/>
    <w:rsid w:val="00690B52"/>
    <w:rsid w:val="00695C31"/>
    <w:rsid w:val="006A0F22"/>
    <w:rsid w:val="006A4092"/>
    <w:rsid w:val="006A471C"/>
    <w:rsid w:val="006B1E90"/>
    <w:rsid w:val="006B3277"/>
    <w:rsid w:val="006C7052"/>
    <w:rsid w:val="006D0839"/>
    <w:rsid w:val="006D0A08"/>
    <w:rsid w:val="006D0CAD"/>
    <w:rsid w:val="006D13FA"/>
    <w:rsid w:val="006D4F14"/>
    <w:rsid w:val="006D7351"/>
    <w:rsid w:val="006E00E3"/>
    <w:rsid w:val="006E1BD1"/>
    <w:rsid w:val="006E1C24"/>
    <w:rsid w:val="006E39CC"/>
    <w:rsid w:val="006E5D0F"/>
    <w:rsid w:val="006E6576"/>
    <w:rsid w:val="006F15DA"/>
    <w:rsid w:val="006F3473"/>
    <w:rsid w:val="006F4E0F"/>
    <w:rsid w:val="006F5ADE"/>
    <w:rsid w:val="006F77A0"/>
    <w:rsid w:val="00700604"/>
    <w:rsid w:val="00703C65"/>
    <w:rsid w:val="00707894"/>
    <w:rsid w:val="00715AC8"/>
    <w:rsid w:val="00721EF4"/>
    <w:rsid w:val="0072337F"/>
    <w:rsid w:val="00731546"/>
    <w:rsid w:val="007316B7"/>
    <w:rsid w:val="00732CD1"/>
    <w:rsid w:val="00747AFB"/>
    <w:rsid w:val="00753006"/>
    <w:rsid w:val="00767E5B"/>
    <w:rsid w:val="00785418"/>
    <w:rsid w:val="0079197D"/>
    <w:rsid w:val="00796EC4"/>
    <w:rsid w:val="007970D9"/>
    <w:rsid w:val="007A20AC"/>
    <w:rsid w:val="007A3CCD"/>
    <w:rsid w:val="007B0AA2"/>
    <w:rsid w:val="007B2645"/>
    <w:rsid w:val="007B7FB2"/>
    <w:rsid w:val="007C30DE"/>
    <w:rsid w:val="007D0728"/>
    <w:rsid w:val="007D4CE7"/>
    <w:rsid w:val="007F0460"/>
    <w:rsid w:val="007F3215"/>
    <w:rsid w:val="007F4F6E"/>
    <w:rsid w:val="007F538B"/>
    <w:rsid w:val="00810451"/>
    <w:rsid w:val="008166B1"/>
    <w:rsid w:val="00820288"/>
    <w:rsid w:val="00825404"/>
    <w:rsid w:val="00831E22"/>
    <w:rsid w:val="00832E44"/>
    <w:rsid w:val="00836A18"/>
    <w:rsid w:val="00836F87"/>
    <w:rsid w:val="008377AD"/>
    <w:rsid w:val="00842739"/>
    <w:rsid w:val="00843092"/>
    <w:rsid w:val="008476B2"/>
    <w:rsid w:val="00853293"/>
    <w:rsid w:val="008627C4"/>
    <w:rsid w:val="008651BE"/>
    <w:rsid w:val="008656AB"/>
    <w:rsid w:val="00865C15"/>
    <w:rsid w:val="008714DF"/>
    <w:rsid w:val="0087719C"/>
    <w:rsid w:val="00880E16"/>
    <w:rsid w:val="00881CAB"/>
    <w:rsid w:val="008846B1"/>
    <w:rsid w:val="008854C4"/>
    <w:rsid w:val="00885EF8"/>
    <w:rsid w:val="00896532"/>
    <w:rsid w:val="008A32C1"/>
    <w:rsid w:val="008A44AA"/>
    <w:rsid w:val="008A5B10"/>
    <w:rsid w:val="008B16A3"/>
    <w:rsid w:val="008B6942"/>
    <w:rsid w:val="008B6E88"/>
    <w:rsid w:val="008C4185"/>
    <w:rsid w:val="008C6BE7"/>
    <w:rsid w:val="008D36CD"/>
    <w:rsid w:val="008E07A6"/>
    <w:rsid w:val="008E3712"/>
    <w:rsid w:val="008E5294"/>
    <w:rsid w:val="008E67CB"/>
    <w:rsid w:val="008F5119"/>
    <w:rsid w:val="008F560C"/>
    <w:rsid w:val="00904663"/>
    <w:rsid w:val="00907978"/>
    <w:rsid w:val="0091487A"/>
    <w:rsid w:val="00916B50"/>
    <w:rsid w:val="00931778"/>
    <w:rsid w:val="0094007F"/>
    <w:rsid w:val="00951765"/>
    <w:rsid w:val="0096286B"/>
    <w:rsid w:val="0096479F"/>
    <w:rsid w:val="00965B95"/>
    <w:rsid w:val="00970EA9"/>
    <w:rsid w:val="00972864"/>
    <w:rsid w:val="00975D14"/>
    <w:rsid w:val="00980806"/>
    <w:rsid w:val="00980D8D"/>
    <w:rsid w:val="00983B6D"/>
    <w:rsid w:val="00986208"/>
    <w:rsid w:val="00990730"/>
    <w:rsid w:val="0099338B"/>
    <w:rsid w:val="00997D5A"/>
    <w:rsid w:val="009A1266"/>
    <w:rsid w:val="009B4A85"/>
    <w:rsid w:val="009B5D5B"/>
    <w:rsid w:val="009C6324"/>
    <w:rsid w:val="009C71FE"/>
    <w:rsid w:val="009E05CE"/>
    <w:rsid w:val="009E1A28"/>
    <w:rsid w:val="009E42B1"/>
    <w:rsid w:val="009E4616"/>
    <w:rsid w:val="009F03DB"/>
    <w:rsid w:val="009F2FCB"/>
    <w:rsid w:val="009F42D4"/>
    <w:rsid w:val="00A11B67"/>
    <w:rsid w:val="00A20CE4"/>
    <w:rsid w:val="00A21255"/>
    <w:rsid w:val="00A2488A"/>
    <w:rsid w:val="00A26230"/>
    <w:rsid w:val="00A27C59"/>
    <w:rsid w:val="00A30858"/>
    <w:rsid w:val="00A33C86"/>
    <w:rsid w:val="00A356A4"/>
    <w:rsid w:val="00A41CD6"/>
    <w:rsid w:val="00A43146"/>
    <w:rsid w:val="00A44CB5"/>
    <w:rsid w:val="00A46D95"/>
    <w:rsid w:val="00A50DCF"/>
    <w:rsid w:val="00A51E03"/>
    <w:rsid w:val="00A54EF9"/>
    <w:rsid w:val="00A643DA"/>
    <w:rsid w:val="00A70C64"/>
    <w:rsid w:val="00A724F7"/>
    <w:rsid w:val="00A72624"/>
    <w:rsid w:val="00A7402C"/>
    <w:rsid w:val="00A77212"/>
    <w:rsid w:val="00A81DE4"/>
    <w:rsid w:val="00A82250"/>
    <w:rsid w:val="00A96813"/>
    <w:rsid w:val="00AA043D"/>
    <w:rsid w:val="00AA0E39"/>
    <w:rsid w:val="00AB30AB"/>
    <w:rsid w:val="00AB43AA"/>
    <w:rsid w:val="00AB5F56"/>
    <w:rsid w:val="00AD0A40"/>
    <w:rsid w:val="00AD1B28"/>
    <w:rsid w:val="00AD31B8"/>
    <w:rsid w:val="00AD5357"/>
    <w:rsid w:val="00AD7013"/>
    <w:rsid w:val="00AD7320"/>
    <w:rsid w:val="00AE64D2"/>
    <w:rsid w:val="00AF05B4"/>
    <w:rsid w:val="00AF258B"/>
    <w:rsid w:val="00AF62A0"/>
    <w:rsid w:val="00AF65BE"/>
    <w:rsid w:val="00B04005"/>
    <w:rsid w:val="00B046A6"/>
    <w:rsid w:val="00B11E34"/>
    <w:rsid w:val="00B1284D"/>
    <w:rsid w:val="00B14C80"/>
    <w:rsid w:val="00B1521E"/>
    <w:rsid w:val="00B1536A"/>
    <w:rsid w:val="00B16E87"/>
    <w:rsid w:val="00B176E0"/>
    <w:rsid w:val="00B23378"/>
    <w:rsid w:val="00B23BC8"/>
    <w:rsid w:val="00B2405C"/>
    <w:rsid w:val="00B27A2C"/>
    <w:rsid w:val="00B332EF"/>
    <w:rsid w:val="00B34DC7"/>
    <w:rsid w:val="00B462D7"/>
    <w:rsid w:val="00B474CE"/>
    <w:rsid w:val="00B51317"/>
    <w:rsid w:val="00B52C5B"/>
    <w:rsid w:val="00B57FA3"/>
    <w:rsid w:val="00B61851"/>
    <w:rsid w:val="00B81CCF"/>
    <w:rsid w:val="00B8284B"/>
    <w:rsid w:val="00B82AAB"/>
    <w:rsid w:val="00B93EA1"/>
    <w:rsid w:val="00BA3961"/>
    <w:rsid w:val="00BA5DB7"/>
    <w:rsid w:val="00BB4D24"/>
    <w:rsid w:val="00BB5132"/>
    <w:rsid w:val="00BC3D21"/>
    <w:rsid w:val="00BC7614"/>
    <w:rsid w:val="00BD0DDC"/>
    <w:rsid w:val="00BD6312"/>
    <w:rsid w:val="00BE3BAD"/>
    <w:rsid w:val="00BE6AA7"/>
    <w:rsid w:val="00BE72DA"/>
    <w:rsid w:val="00BE77C8"/>
    <w:rsid w:val="00C00212"/>
    <w:rsid w:val="00C01D72"/>
    <w:rsid w:val="00C14348"/>
    <w:rsid w:val="00C14C0A"/>
    <w:rsid w:val="00C217D6"/>
    <w:rsid w:val="00C21928"/>
    <w:rsid w:val="00C32DCB"/>
    <w:rsid w:val="00C32E8A"/>
    <w:rsid w:val="00C3794D"/>
    <w:rsid w:val="00C4771D"/>
    <w:rsid w:val="00C5060B"/>
    <w:rsid w:val="00C5142A"/>
    <w:rsid w:val="00C5647E"/>
    <w:rsid w:val="00C670E0"/>
    <w:rsid w:val="00C7509A"/>
    <w:rsid w:val="00C75383"/>
    <w:rsid w:val="00C813F1"/>
    <w:rsid w:val="00C813FE"/>
    <w:rsid w:val="00C82BCF"/>
    <w:rsid w:val="00C91556"/>
    <w:rsid w:val="00C9658F"/>
    <w:rsid w:val="00CA5A02"/>
    <w:rsid w:val="00CA6291"/>
    <w:rsid w:val="00CA6460"/>
    <w:rsid w:val="00CB5B05"/>
    <w:rsid w:val="00CC0977"/>
    <w:rsid w:val="00CC5164"/>
    <w:rsid w:val="00CD32D6"/>
    <w:rsid w:val="00CD4313"/>
    <w:rsid w:val="00CE557A"/>
    <w:rsid w:val="00CF2FB0"/>
    <w:rsid w:val="00CF55AC"/>
    <w:rsid w:val="00D002BC"/>
    <w:rsid w:val="00D012CC"/>
    <w:rsid w:val="00D029DE"/>
    <w:rsid w:val="00D10211"/>
    <w:rsid w:val="00D103B4"/>
    <w:rsid w:val="00D20CC1"/>
    <w:rsid w:val="00D25E05"/>
    <w:rsid w:val="00D2664F"/>
    <w:rsid w:val="00D45DFA"/>
    <w:rsid w:val="00D46785"/>
    <w:rsid w:val="00D51B2F"/>
    <w:rsid w:val="00D601C0"/>
    <w:rsid w:val="00D61FB6"/>
    <w:rsid w:val="00D73237"/>
    <w:rsid w:val="00D746D9"/>
    <w:rsid w:val="00D7700A"/>
    <w:rsid w:val="00D80BF3"/>
    <w:rsid w:val="00D81C21"/>
    <w:rsid w:val="00D82DC4"/>
    <w:rsid w:val="00D83148"/>
    <w:rsid w:val="00D91F0B"/>
    <w:rsid w:val="00D9259D"/>
    <w:rsid w:val="00D930DE"/>
    <w:rsid w:val="00D946AE"/>
    <w:rsid w:val="00D95166"/>
    <w:rsid w:val="00DB461D"/>
    <w:rsid w:val="00DC43E8"/>
    <w:rsid w:val="00DC6D43"/>
    <w:rsid w:val="00DD015D"/>
    <w:rsid w:val="00DD6E5F"/>
    <w:rsid w:val="00DF1756"/>
    <w:rsid w:val="00DF38D7"/>
    <w:rsid w:val="00DF7D8E"/>
    <w:rsid w:val="00E009AD"/>
    <w:rsid w:val="00E00C41"/>
    <w:rsid w:val="00E01910"/>
    <w:rsid w:val="00E01982"/>
    <w:rsid w:val="00E04771"/>
    <w:rsid w:val="00E27686"/>
    <w:rsid w:val="00E32C65"/>
    <w:rsid w:val="00E335AD"/>
    <w:rsid w:val="00E35DFF"/>
    <w:rsid w:val="00E40539"/>
    <w:rsid w:val="00E40BD8"/>
    <w:rsid w:val="00E43D8F"/>
    <w:rsid w:val="00E46E4D"/>
    <w:rsid w:val="00E5098C"/>
    <w:rsid w:val="00E51EB6"/>
    <w:rsid w:val="00E5535C"/>
    <w:rsid w:val="00E56637"/>
    <w:rsid w:val="00E57054"/>
    <w:rsid w:val="00E57765"/>
    <w:rsid w:val="00E72B25"/>
    <w:rsid w:val="00E76947"/>
    <w:rsid w:val="00E8341D"/>
    <w:rsid w:val="00E84E74"/>
    <w:rsid w:val="00E8712E"/>
    <w:rsid w:val="00E9077F"/>
    <w:rsid w:val="00E90DBD"/>
    <w:rsid w:val="00E912F6"/>
    <w:rsid w:val="00E91573"/>
    <w:rsid w:val="00E93B66"/>
    <w:rsid w:val="00E941FB"/>
    <w:rsid w:val="00E95A1C"/>
    <w:rsid w:val="00E96113"/>
    <w:rsid w:val="00E972F3"/>
    <w:rsid w:val="00E97F8B"/>
    <w:rsid w:val="00EA04C6"/>
    <w:rsid w:val="00EA5D4B"/>
    <w:rsid w:val="00EA5FB2"/>
    <w:rsid w:val="00EB2BF4"/>
    <w:rsid w:val="00EB509F"/>
    <w:rsid w:val="00ED4F01"/>
    <w:rsid w:val="00EE2131"/>
    <w:rsid w:val="00EE6CF7"/>
    <w:rsid w:val="00EE766D"/>
    <w:rsid w:val="00F01CCD"/>
    <w:rsid w:val="00F01D9C"/>
    <w:rsid w:val="00F10FC4"/>
    <w:rsid w:val="00F3383E"/>
    <w:rsid w:val="00F407B2"/>
    <w:rsid w:val="00F52D38"/>
    <w:rsid w:val="00F53D48"/>
    <w:rsid w:val="00F62B79"/>
    <w:rsid w:val="00F63D79"/>
    <w:rsid w:val="00F718F0"/>
    <w:rsid w:val="00F7442E"/>
    <w:rsid w:val="00F766A2"/>
    <w:rsid w:val="00F8153A"/>
    <w:rsid w:val="00F81B7B"/>
    <w:rsid w:val="00F8298D"/>
    <w:rsid w:val="00F850BA"/>
    <w:rsid w:val="00F87B62"/>
    <w:rsid w:val="00F928A6"/>
    <w:rsid w:val="00F9485E"/>
    <w:rsid w:val="00FA2D4B"/>
    <w:rsid w:val="00FA3FE6"/>
    <w:rsid w:val="00FA728E"/>
    <w:rsid w:val="00FB0358"/>
    <w:rsid w:val="00FB28A0"/>
    <w:rsid w:val="00FD1722"/>
    <w:rsid w:val="00FD1E85"/>
    <w:rsid w:val="00FD2E78"/>
    <w:rsid w:val="00FD7C16"/>
    <w:rsid w:val="00FF1208"/>
    <w:rsid w:val="00FF193D"/>
    <w:rsid w:val="00FF3796"/>
    <w:rsid w:val="00FF42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970E9"/>
  <w15:docId w15:val="{1C2646FE-03ED-4064-B342-5DBDCB78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5682"/>
    <w:pPr>
      <w:spacing w:after="200" w:line="276" w:lineRule="auto"/>
    </w:pPr>
    <w:rPr>
      <w:rFonts w:ascii="Calibri" w:eastAsia="Calibri" w:hAnsi="Calibri"/>
      <w:sz w:val="22"/>
      <w:szCs w:val="22"/>
      <w:lang w:val="cs-CZ" w:eastAsia="en-US"/>
    </w:rPr>
  </w:style>
  <w:style w:type="paragraph" w:styleId="Nadpis1">
    <w:name w:val="heading 1"/>
    <w:basedOn w:val="Normlny"/>
    <w:next w:val="Normlny"/>
    <w:qFormat/>
    <w:pPr>
      <w:keepNext/>
      <w:outlineLvl w:val="0"/>
    </w:pPr>
    <w:rPr>
      <w:b/>
      <w:sz w:val="24"/>
    </w:rPr>
  </w:style>
  <w:style w:type="paragraph" w:styleId="Nadpis2">
    <w:name w:val="heading 2"/>
    <w:basedOn w:val="Normlny"/>
    <w:next w:val="Normlny"/>
    <w:qFormat/>
    <w:pPr>
      <w:keepNext/>
      <w:outlineLvl w:val="1"/>
    </w:pPr>
    <w:rPr>
      <w:i/>
      <w:sz w:val="24"/>
    </w:rPr>
  </w:style>
  <w:style w:type="paragraph" w:styleId="Nadpis3">
    <w:name w:val="heading 3"/>
    <w:basedOn w:val="Normlny"/>
    <w:next w:val="Normlny"/>
    <w:qFormat/>
    <w:pPr>
      <w:keepNext/>
      <w:jc w:val="right"/>
      <w:outlineLvl w:val="2"/>
    </w:pPr>
    <w:rPr>
      <w:i/>
      <w:sz w:val="24"/>
    </w:rPr>
  </w:style>
  <w:style w:type="paragraph" w:styleId="Nadpis4">
    <w:name w:val="heading 4"/>
    <w:basedOn w:val="Normlny"/>
    <w:next w:val="Normlny"/>
    <w:qFormat/>
    <w:pPr>
      <w:keepNext/>
      <w:jc w:val="right"/>
      <w:outlineLvl w:val="3"/>
    </w:pPr>
    <w:rPr>
      <w:sz w:val="24"/>
    </w:rPr>
  </w:style>
  <w:style w:type="paragraph" w:styleId="Nadpis5">
    <w:name w:val="heading 5"/>
    <w:basedOn w:val="Normlny"/>
    <w:next w:val="Normlny"/>
    <w:qFormat/>
    <w:pPr>
      <w:keepNext/>
      <w:outlineLvl w:val="4"/>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Pr>
      <w:sz w:val="24"/>
    </w:rPr>
  </w:style>
  <w:style w:type="paragraph" w:styleId="Zkladntext2">
    <w:name w:val="Body Text 2"/>
    <w:basedOn w:val="Normlny"/>
    <w:rPr>
      <w:i/>
      <w:sz w:val="24"/>
    </w:rPr>
  </w:style>
  <w:style w:type="paragraph" w:styleId="Zkladntext3">
    <w:name w:val="Body Text 3"/>
    <w:basedOn w:val="Normlny"/>
    <w:pPr>
      <w:jc w:val="both"/>
    </w:pPr>
    <w:rPr>
      <w:sz w:val="24"/>
    </w:rPr>
  </w:style>
  <w:style w:type="paragraph" w:styleId="Hlavika">
    <w:name w:val="header"/>
    <w:basedOn w:val="Normlny"/>
    <w:link w:val="HlavikaChar"/>
    <w:pPr>
      <w:tabs>
        <w:tab w:val="center" w:pos="4536"/>
        <w:tab w:val="right" w:pos="9072"/>
      </w:tabs>
    </w:pPr>
  </w:style>
  <w:style w:type="paragraph" w:styleId="Pta">
    <w:name w:val="footer"/>
    <w:basedOn w:val="Normlny"/>
    <w:link w:val="PtaChar"/>
    <w:pPr>
      <w:tabs>
        <w:tab w:val="center" w:pos="4536"/>
        <w:tab w:val="right" w:pos="9072"/>
      </w:tabs>
    </w:pPr>
  </w:style>
  <w:style w:type="character" w:styleId="slostrany">
    <w:name w:val="page number"/>
    <w:basedOn w:val="Predvolenpsmoodseku"/>
  </w:style>
  <w:style w:type="paragraph" w:styleId="Textbubliny">
    <w:name w:val="Balloon Text"/>
    <w:basedOn w:val="Normlny"/>
    <w:semiHidden/>
    <w:rsid w:val="00E90DBD"/>
    <w:rPr>
      <w:rFonts w:ascii="Tahoma" w:hAnsi="Tahoma" w:cs="Tahoma"/>
      <w:sz w:val="16"/>
      <w:szCs w:val="16"/>
    </w:rPr>
  </w:style>
  <w:style w:type="paragraph" w:customStyle="1" w:styleId="Styl1">
    <w:name w:val="Styl1"/>
    <w:basedOn w:val="Normlny"/>
    <w:autoRedefine/>
    <w:rsid w:val="00AF258B"/>
    <w:pPr>
      <w:keepNext/>
      <w:numPr>
        <w:numId w:val="32"/>
      </w:numPr>
      <w:tabs>
        <w:tab w:val="left" w:pos="567"/>
      </w:tabs>
      <w:spacing w:before="360" w:after="120" w:line="240" w:lineRule="auto"/>
    </w:pPr>
    <w:rPr>
      <w:rFonts w:ascii="Times New Roman" w:eastAsia="Times New Roman" w:hAnsi="Times New Roman"/>
      <w:b/>
      <w:bCs/>
      <w:caps/>
      <w:noProof/>
      <w:szCs w:val="24"/>
    </w:rPr>
  </w:style>
  <w:style w:type="paragraph" w:customStyle="1" w:styleId="Styl2">
    <w:name w:val="Styl2"/>
    <w:basedOn w:val="Normlny"/>
    <w:autoRedefine/>
    <w:rsid w:val="00AF258B"/>
    <w:pPr>
      <w:keepNext/>
      <w:numPr>
        <w:ilvl w:val="1"/>
        <w:numId w:val="32"/>
      </w:numPr>
      <w:suppressAutoHyphens/>
      <w:spacing w:before="240" w:after="120" w:line="240" w:lineRule="auto"/>
      <w:ind w:left="0" w:firstLine="0"/>
    </w:pPr>
    <w:rPr>
      <w:rFonts w:ascii="Times New Roman" w:eastAsia="Times New Roman" w:hAnsi="Times New Roman"/>
      <w:b/>
      <w:bCs/>
      <w:noProof/>
    </w:rPr>
  </w:style>
  <w:style w:type="paragraph" w:customStyle="1" w:styleId="Styl3">
    <w:name w:val="Styl3"/>
    <w:basedOn w:val="Normlny"/>
    <w:link w:val="Styl3Char"/>
    <w:autoRedefine/>
    <w:rsid w:val="002A5682"/>
    <w:pPr>
      <w:suppressAutoHyphens/>
      <w:spacing w:before="120" w:after="120" w:line="240" w:lineRule="auto"/>
      <w:jc w:val="both"/>
    </w:pPr>
    <w:rPr>
      <w:rFonts w:ascii="TimesNewRoman" w:eastAsia="Times New Roman" w:hAnsi="TimesNewRoman" w:cs="TimesNewRoman"/>
      <w:noProof/>
      <w:szCs w:val="24"/>
      <w:u w:val="single"/>
      <w:lang w:val="en-US" w:eastAsia="cs-CZ"/>
    </w:rPr>
  </w:style>
  <w:style w:type="paragraph" w:customStyle="1" w:styleId="Normlndobloku">
    <w:name w:val="Normální do bloku"/>
    <w:basedOn w:val="Normlny"/>
    <w:link w:val="NormlndoblokuChar"/>
    <w:autoRedefine/>
    <w:rsid w:val="00E9077F"/>
    <w:pPr>
      <w:suppressAutoHyphens/>
      <w:spacing w:after="120" w:line="240" w:lineRule="auto"/>
      <w:jc w:val="both"/>
    </w:pPr>
    <w:rPr>
      <w:rFonts w:ascii="TimesNewRoman" w:eastAsia="Times New Roman" w:hAnsi="TimesNewRoman" w:cs="TimesNewRoman"/>
      <w:bCs/>
      <w:lang w:val="sk-SK" w:eastAsia="cs-CZ"/>
    </w:rPr>
  </w:style>
  <w:style w:type="paragraph" w:customStyle="1" w:styleId="SPCaPILhlavika">
    <w:name w:val="SPC a PIL hlavička"/>
    <w:basedOn w:val="Normlny"/>
    <w:autoRedefine/>
    <w:qFormat/>
    <w:rsid w:val="002A5682"/>
    <w:pPr>
      <w:spacing w:before="240" w:after="120" w:line="240" w:lineRule="auto"/>
      <w:jc w:val="center"/>
    </w:pPr>
    <w:rPr>
      <w:rFonts w:ascii="Times New Roman" w:eastAsia="Times New Roman" w:hAnsi="Times New Roman"/>
      <w:b/>
      <w:szCs w:val="20"/>
    </w:rPr>
  </w:style>
  <w:style w:type="character" w:customStyle="1" w:styleId="ZkladntextChar">
    <w:name w:val="Základný text Char"/>
    <w:link w:val="Zkladntext"/>
    <w:rsid w:val="006F5ADE"/>
    <w:rPr>
      <w:sz w:val="24"/>
      <w:lang w:val="en-US" w:eastAsia="sk-SK"/>
    </w:rPr>
  </w:style>
  <w:style w:type="character" w:customStyle="1" w:styleId="Bacil">
    <w:name w:val="Bacil"/>
    <w:qFormat/>
    <w:rsid w:val="002A5682"/>
    <w:rPr>
      <w:i/>
    </w:rPr>
  </w:style>
  <w:style w:type="paragraph" w:customStyle="1" w:styleId="Normlndoblokusodrkami">
    <w:name w:val="Normální do bloku s odrážkami"/>
    <w:basedOn w:val="Normlndobloku"/>
    <w:next w:val="Normlndobloku"/>
    <w:autoRedefine/>
    <w:qFormat/>
    <w:rsid w:val="000830F8"/>
    <w:pPr>
      <w:numPr>
        <w:numId w:val="36"/>
      </w:numPr>
    </w:pPr>
    <w:rPr>
      <w:noProof/>
    </w:rPr>
  </w:style>
  <w:style w:type="character" w:customStyle="1" w:styleId="NormlndoblokuChar">
    <w:name w:val="Normální do bloku Char"/>
    <w:link w:val="Normlndobloku"/>
    <w:rsid w:val="00E9077F"/>
    <w:rPr>
      <w:rFonts w:ascii="TimesNewRoman" w:hAnsi="TimesNewRoman" w:cs="TimesNewRoman"/>
      <w:bCs/>
      <w:sz w:val="22"/>
      <w:szCs w:val="22"/>
      <w:lang w:eastAsia="cs-CZ"/>
    </w:rPr>
  </w:style>
  <w:style w:type="table" w:styleId="Mriekatabuky">
    <w:name w:val="Table Grid"/>
    <w:basedOn w:val="Normlnatabuka"/>
    <w:rsid w:val="00EE7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redvolenpsmoodseku"/>
    <w:rsid w:val="009B5D5B"/>
  </w:style>
  <w:style w:type="character" w:customStyle="1" w:styleId="gt-icon-text1">
    <w:name w:val="gt-icon-text1"/>
    <w:basedOn w:val="Predvolenpsmoodseku"/>
    <w:rsid w:val="009B5D5B"/>
  </w:style>
  <w:style w:type="character" w:customStyle="1" w:styleId="Styl3Char">
    <w:name w:val="Styl3 Char"/>
    <w:link w:val="Styl3"/>
    <w:rsid w:val="008E67CB"/>
    <w:rPr>
      <w:rFonts w:ascii="TimesNewRoman" w:hAnsi="TimesNewRoman" w:cs="TimesNewRoman"/>
      <w:noProof/>
      <w:sz w:val="22"/>
      <w:szCs w:val="24"/>
      <w:u w:val="single"/>
      <w:lang w:val="en-US"/>
    </w:rPr>
  </w:style>
  <w:style w:type="character" w:styleId="Odkaznakomentr">
    <w:name w:val="annotation reference"/>
    <w:rsid w:val="00396337"/>
    <w:rPr>
      <w:sz w:val="16"/>
      <w:szCs w:val="16"/>
    </w:rPr>
  </w:style>
  <w:style w:type="paragraph" w:styleId="Textkomentra">
    <w:name w:val="annotation text"/>
    <w:basedOn w:val="Normlny"/>
    <w:link w:val="TextkomentraChar"/>
    <w:rsid w:val="00396337"/>
  </w:style>
  <w:style w:type="character" w:customStyle="1" w:styleId="TextkomentraChar">
    <w:name w:val="Text komentára Char"/>
    <w:link w:val="Textkomentra"/>
    <w:rsid w:val="00396337"/>
    <w:rPr>
      <w:lang w:val="en-US" w:eastAsia="sk-SK"/>
    </w:rPr>
  </w:style>
  <w:style w:type="paragraph" w:styleId="Predmetkomentra">
    <w:name w:val="annotation subject"/>
    <w:basedOn w:val="Textkomentra"/>
    <w:next w:val="Textkomentra"/>
    <w:link w:val="PredmetkomentraChar"/>
    <w:rsid w:val="00396337"/>
    <w:rPr>
      <w:b/>
      <w:bCs/>
    </w:rPr>
  </w:style>
  <w:style w:type="character" w:customStyle="1" w:styleId="PredmetkomentraChar">
    <w:name w:val="Predmet komentára Char"/>
    <w:link w:val="Predmetkomentra"/>
    <w:rsid w:val="00396337"/>
    <w:rPr>
      <w:b/>
      <w:bCs/>
      <w:lang w:val="en-US" w:eastAsia="sk-SK"/>
    </w:rPr>
  </w:style>
  <w:style w:type="paragraph" w:styleId="Revzia">
    <w:name w:val="Revision"/>
    <w:hidden/>
    <w:uiPriority w:val="99"/>
    <w:semiHidden/>
    <w:rsid w:val="00396337"/>
    <w:rPr>
      <w:lang w:val="en-US"/>
    </w:rPr>
  </w:style>
  <w:style w:type="paragraph" w:customStyle="1" w:styleId="Default">
    <w:name w:val="Default"/>
    <w:rsid w:val="001A48B7"/>
    <w:pPr>
      <w:widowControl w:val="0"/>
      <w:autoSpaceDE w:val="0"/>
      <w:autoSpaceDN w:val="0"/>
      <w:adjustRightInd w:val="0"/>
    </w:pPr>
    <w:rPr>
      <w:rFonts w:ascii="Arial" w:eastAsia="SimSun" w:hAnsi="Arial" w:cs="Arial"/>
      <w:color w:val="000000"/>
      <w:sz w:val="24"/>
      <w:szCs w:val="24"/>
      <w:lang w:eastAsia="zh-CN"/>
    </w:rPr>
  </w:style>
  <w:style w:type="paragraph" w:customStyle="1" w:styleId="CM5">
    <w:name w:val="CM5"/>
    <w:basedOn w:val="Default"/>
    <w:next w:val="Default"/>
    <w:uiPriority w:val="99"/>
    <w:rsid w:val="001A48B7"/>
    <w:rPr>
      <w:color w:val="auto"/>
    </w:rPr>
  </w:style>
  <w:style w:type="paragraph" w:customStyle="1" w:styleId="CM6">
    <w:name w:val="CM6"/>
    <w:basedOn w:val="Default"/>
    <w:next w:val="Default"/>
    <w:uiPriority w:val="99"/>
    <w:rsid w:val="001A48B7"/>
    <w:rPr>
      <w:color w:val="auto"/>
    </w:rPr>
  </w:style>
  <w:style w:type="paragraph" w:customStyle="1" w:styleId="CM7">
    <w:name w:val="CM7"/>
    <w:basedOn w:val="Default"/>
    <w:next w:val="Default"/>
    <w:uiPriority w:val="99"/>
    <w:rsid w:val="001A48B7"/>
    <w:rPr>
      <w:color w:val="auto"/>
    </w:rPr>
  </w:style>
  <w:style w:type="paragraph" w:customStyle="1" w:styleId="CM2">
    <w:name w:val="CM2"/>
    <w:basedOn w:val="Default"/>
    <w:next w:val="Default"/>
    <w:uiPriority w:val="99"/>
    <w:rsid w:val="001A48B7"/>
    <w:pPr>
      <w:spacing w:line="231" w:lineRule="atLeast"/>
    </w:pPr>
    <w:rPr>
      <w:color w:val="auto"/>
    </w:rPr>
  </w:style>
  <w:style w:type="paragraph" w:customStyle="1" w:styleId="CM4">
    <w:name w:val="CM4"/>
    <w:basedOn w:val="Default"/>
    <w:next w:val="Default"/>
    <w:uiPriority w:val="99"/>
    <w:rsid w:val="001A48B7"/>
    <w:rPr>
      <w:color w:val="auto"/>
    </w:rPr>
  </w:style>
  <w:style w:type="character" w:customStyle="1" w:styleId="HlavikaChar">
    <w:name w:val="Hlavička Char"/>
    <w:link w:val="Hlavika"/>
    <w:rsid w:val="002B0679"/>
    <w:rPr>
      <w:rFonts w:ascii="Calibri" w:eastAsia="Calibri" w:hAnsi="Calibri"/>
      <w:sz w:val="22"/>
      <w:szCs w:val="22"/>
      <w:lang w:eastAsia="en-US"/>
    </w:rPr>
  </w:style>
  <w:style w:type="character" w:styleId="Hypertextovprepojenie">
    <w:name w:val="Hyperlink"/>
    <w:unhideWhenUsed/>
    <w:rsid w:val="009E1A28"/>
    <w:rPr>
      <w:color w:val="0000FF"/>
      <w:u w:val="single"/>
    </w:rPr>
  </w:style>
  <w:style w:type="character" w:customStyle="1" w:styleId="FontStyle28">
    <w:name w:val="Font Style28"/>
    <w:rsid w:val="00AD0A40"/>
    <w:rPr>
      <w:rFonts w:ascii="Arial" w:hAnsi="Arial" w:cs="Arial"/>
      <w:sz w:val="18"/>
      <w:szCs w:val="18"/>
    </w:rPr>
  </w:style>
  <w:style w:type="paragraph" w:customStyle="1" w:styleId="Revize">
    <w:name w:val="Revize"/>
    <w:hidden/>
    <w:uiPriority w:val="99"/>
    <w:semiHidden/>
    <w:rsid w:val="000676E1"/>
    <w:rPr>
      <w:rFonts w:ascii="Calibri" w:eastAsia="Calibri" w:hAnsi="Calibri"/>
      <w:sz w:val="22"/>
      <w:szCs w:val="22"/>
      <w:lang w:val="cs-CZ" w:eastAsia="en-US"/>
    </w:rPr>
  </w:style>
  <w:style w:type="character" w:customStyle="1" w:styleId="PtaChar">
    <w:name w:val="Päta Char"/>
    <w:link w:val="Pta"/>
    <w:rsid w:val="00637886"/>
    <w:rPr>
      <w:rFonts w:ascii="Calibri" w:eastAsia="Calibri" w:hAnsi="Calibri"/>
      <w:sz w:val="22"/>
      <w:szCs w:val="22"/>
      <w:lang w:eastAsia="en-US"/>
    </w:rPr>
  </w:style>
  <w:style w:type="character" w:styleId="PouitHypertextovPrepojenie">
    <w:name w:val="FollowedHyperlink"/>
    <w:basedOn w:val="Predvolenpsmoodseku"/>
    <w:rsid w:val="00090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568368">
      <w:bodyDiv w:val="1"/>
      <w:marLeft w:val="0"/>
      <w:marRight w:val="0"/>
      <w:marTop w:val="0"/>
      <w:marBottom w:val="0"/>
      <w:divBdr>
        <w:top w:val="none" w:sz="0" w:space="0" w:color="auto"/>
        <w:left w:val="none" w:sz="0" w:space="0" w:color="auto"/>
        <w:bottom w:val="none" w:sz="0" w:space="0" w:color="auto"/>
        <w:right w:val="none" w:sz="0" w:space="0" w:color="auto"/>
      </w:divBdr>
      <w:divsChild>
        <w:div w:id="871386392">
          <w:marLeft w:val="0"/>
          <w:marRight w:val="0"/>
          <w:marTop w:val="0"/>
          <w:marBottom w:val="0"/>
          <w:divBdr>
            <w:top w:val="none" w:sz="0" w:space="0" w:color="auto"/>
            <w:left w:val="none" w:sz="0" w:space="0" w:color="auto"/>
            <w:bottom w:val="none" w:sz="0" w:space="0" w:color="auto"/>
            <w:right w:val="none" w:sz="0" w:space="0" w:color="auto"/>
          </w:divBdr>
          <w:divsChild>
            <w:div w:id="935943489">
              <w:marLeft w:val="0"/>
              <w:marRight w:val="0"/>
              <w:marTop w:val="0"/>
              <w:marBottom w:val="0"/>
              <w:divBdr>
                <w:top w:val="none" w:sz="0" w:space="0" w:color="auto"/>
                <w:left w:val="none" w:sz="0" w:space="0" w:color="auto"/>
                <w:bottom w:val="none" w:sz="0" w:space="0" w:color="auto"/>
                <w:right w:val="none" w:sz="0" w:space="0" w:color="auto"/>
              </w:divBdr>
              <w:divsChild>
                <w:div w:id="1228498369">
                  <w:marLeft w:val="0"/>
                  <w:marRight w:val="0"/>
                  <w:marTop w:val="0"/>
                  <w:marBottom w:val="0"/>
                  <w:divBdr>
                    <w:top w:val="none" w:sz="0" w:space="0" w:color="auto"/>
                    <w:left w:val="none" w:sz="0" w:space="0" w:color="auto"/>
                    <w:bottom w:val="none" w:sz="0" w:space="0" w:color="auto"/>
                    <w:right w:val="none" w:sz="0" w:space="0" w:color="auto"/>
                  </w:divBdr>
                  <w:divsChild>
                    <w:div w:id="319696467">
                      <w:marLeft w:val="0"/>
                      <w:marRight w:val="0"/>
                      <w:marTop w:val="0"/>
                      <w:marBottom w:val="0"/>
                      <w:divBdr>
                        <w:top w:val="none" w:sz="0" w:space="0" w:color="auto"/>
                        <w:left w:val="none" w:sz="0" w:space="0" w:color="auto"/>
                        <w:bottom w:val="none" w:sz="0" w:space="0" w:color="auto"/>
                        <w:right w:val="none" w:sz="0" w:space="0" w:color="auto"/>
                      </w:divBdr>
                      <w:divsChild>
                        <w:div w:id="252128023">
                          <w:marLeft w:val="0"/>
                          <w:marRight w:val="0"/>
                          <w:marTop w:val="0"/>
                          <w:marBottom w:val="0"/>
                          <w:divBdr>
                            <w:top w:val="none" w:sz="0" w:space="0" w:color="auto"/>
                            <w:left w:val="none" w:sz="0" w:space="0" w:color="auto"/>
                            <w:bottom w:val="none" w:sz="0" w:space="0" w:color="auto"/>
                            <w:right w:val="none" w:sz="0" w:space="0" w:color="auto"/>
                          </w:divBdr>
                          <w:divsChild>
                            <w:div w:id="381098064">
                              <w:marLeft w:val="0"/>
                              <w:marRight w:val="0"/>
                              <w:marTop w:val="0"/>
                              <w:marBottom w:val="0"/>
                              <w:divBdr>
                                <w:top w:val="none" w:sz="0" w:space="0" w:color="auto"/>
                                <w:left w:val="none" w:sz="0" w:space="0" w:color="auto"/>
                                <w:bottom w:val="none" w:sz="0" w:space="0" w:color="auto"/>
                                <w:right w:val="none" w:sz="0" w:space="0" w:color="auto"/>
                              </w:divBdr>
                              <w:divsChild>
                                <w:div w:id="621767815">
                                  <w:marLeft w:val="0"/>
                                  <w:marRight w:val="0"/>
                                  <w:marTop w:val="0"/>
                                  <w:marBottom w:val="0"/>
                                  <w:divBdr>
                                    <w:top w:val="none" w:sz="0" w:space="0" w:color="auto"/>
                                    <w:left w:val="none" w:sz="0" w:space="0" w:color="auto"/>
                                    <w:bottom w:val="none" w:sz="0" w:space="0" w:color="auto"/>
                                    <w:right w:val="none" w:sz="0" w:space="0" w:color="auto"/>
                                  </w:divBdr>
                                </w:div>
                              </w:divsChild>
                            </w:div>
                            <w:div w:id="1167792867">
                              <w:marLeft w:val="0"/>
                              <w:marRight w:val="0"/>
                              <w:marTop w:val="240"/>
                              <w:marBottom w:val="0"/>
                              <w:divBdr>
                                <w:top w:val="none" w:sz="0" w:space="0" w:color="auto"/>
                                <w:left w:val="none" w:sz="0" w:space="0" w:color="auto"/>
                                <w:bottom w:val="none" w:sz="0" w:space="0" w:color="auto"/>
                                <w:right w:val="none" w:sz="0" w:space="0" w:color="auto"/>
                              </w:divBdr>
                            </w:div>
                            <w:div w:id="1248810042">
                              <w:marLeft w:val="0"/>
                              <w:marRight w:val="0"/>
                              <w:marTop w:val="0"/>
                              <w:marBottom w:val="0"/>
                              <w:divBdr>
                                <w:top w:val="none" w:sz="0" w:space="0" w:color="auto"/>
                                <w:left w:val="none" w:sz="0" w:space="0" w:color="auto"/>
                                <w:bottom w:val="none" w:sz="0" w:space="0" w:color="auto"/>
                                <w:right w:val="none" w:sz="0" w:space="0" w:color="auto"/>
                              </w:divBdr>
                            </w:div>
                            <w:div w:id="1250774153">
                              <w:marLeft w:val="0"/>
                              <w:marRight w:val="0"/>
                              <w:marTop w:val="228"/>
                              <w:marBottom w:val="0"/>
                              <w:divBdr>
                                <w:top w:val="none" w:sz="0" w:space="0" w:color="auto"/>
                                <w:left w:val="none" w:sz="0" w:space="0" w:color="auto"/>
                                <w:bottom w:val="none" w:sz="0" w:space="0" w:color="auto"/>
                                <w:right w:val="none" w:sz="0" w:space="0" w:color="auto"/>
                              </w:divBdr>
                              <w:divsChild>
                                <w:div w:id="173811963">
                                  <w:marLeft w:val="0"/>
                                  <w:marRight w:val="0"/>
                                  <w:marTop w:val="0"/>
                                  <w:marBottom w:val="0"/>
                                  <w:divBdr>
                                    <w:top w:val="none" w:sz="0" w:space="0" w:color="auto"/>
                                    <w:left w:val="none" w:sz="0" w:space="0" w:color="auto"/>
                                    <w:bottom w:val="none" w:sz="0" w:space="0" w:color="auto"/>
                                    <w:right w:val="none" w:sz="0" w:space="0" w:color="auto"/>
                                  </w:divBdr>
                                </w:div>
                                <w:div w:id="968051407">
                                  <w:marLeft w:val="0"/>
                                  <w:marRight w:val="0"/>
                                  <w:marTop w:val="0"/>
                                  <w:marBottom w:val="0"/>
                                  <w:divBdr>
                                    <w:top w:val="none" w:sz="0" w:space="0" w:color="auto"/>
                                    <w:left w:val="none" w:sz="0" w:space="0" w:color="auto"/>
                                    <w:bottom w:val="none" w:sz="0" w:space="0" w:color="auto"/>
                                    <w:right w:val="none" w:sz="0" w:space="0" w:color="auto"/>
                                  </w:divBdr>
                                </w:div>
                              </w:divsChild>
                            </w:div>
                            <w:div w:id="196125601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FF8F-7612-4E31-8D9D-22C63AB5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8063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SPC</vt:lpstr>
    </vt:vector>
  </TitlesOfParts>
  <Company>Medochemie</Company>
  <LinksUpToDate>false</LinksUpToDate>
  <CharactersWithSpaces>9459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creator>Litera</dc:creator>
  <cp:lastModifiedBy>Malychová, Daniela</cp:lastModifiedBy>
  <cp:revision>3</cp:revision>
  <cp:lastPrinted>2014-11-10T08:13:00Z</cp:lastPrinted>
  <dcterms:created xsi:type="dcterms:W3CDTF">2020-10-12T14:31:00Z</dcterms:created>
  <dcterms:modified xsi:type="dcterms:W3CDTF">2020-10-12T14:32:00Z</dcterms:modified>
</cp:coreProperties>
</file>