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8F821" w14:textId="77777777" w:rsidR="00BB1943" w:rsidRPr="009C5C64" w:rsidRDefault="00266F55" w:rsidP="000C2E1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C5C64">
        <w:rPr>
          <w:b/>
          <w:sz w:val="22"/>
          <w:szCs w:val="22"/>
        </w:rPr>
        <w:t>SÚHRN CHARAKTERISTICKÝCH VLASTNOSTÍ LIEKU</w:t>
      </w:r>
    </w:p>
    <w:p w14:paraId="0D98F822" w14:textId="77777777" w:rsidR="00BB1943" w:rsidRPr="009C5C64" w:rsidRDefault="00BB1943" w:rsidP="00A46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D98F823" w14:textId="77777777" w:rsidR="00A46734" w:rsidRPr="009C5C64" w:rsidRDefault="00A46734" w:rsidP="00A4673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D98F824" w14:textId="02B9FFAC" w:rsidR="00D836F6" w:rsidRPr="009C5C64" w:rsidRDefault="00266F55" w:rsidP="00241A9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1.</w:t>
      </w:r>
      <w:r w:rsidR="00A46734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NÁZOV LIEKU</w:t>
      </w:r>
    </w:p>
    <w:p w14:paraId="0D98F825" w14:textId="77777777" w:rsidR="00D836F6" w:rsidRPr="009C5C64" w:rsidRDefault="00D836F6" w:rsidP="00241A95">
      <w:pPr>
        <w:rPr>
          <w:sz w:val="22"/>
          <w:szCs w:val="22"/>
        </w:rPr>
      </w:pPr>
    </w:p>
    <w:p w14:paraId="0D98F826" w14:textId="096979C6" w:rsidR="00D836F6" w:rsidRPr="009C5C64" w:rsidRDefault="00ED4EA8" w:rsidP="00241A95">
      <w:pPr>
        <w:pStyle w:val="Zkladntext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Ambrisentan AOP</w:t>
      </w:r>
      <w:r w:rsidR="00403D78" w:rsidRPr="009C5C64">
        <w:rPr>
          <w:rFonts w:ascii="Times New Roman" w:hAnsi="Times New Roman"/>
          <w:szCs w:val="22"/>
        </w:rPr>
        <w:t xml:space="preserve"> 5</w:t>
      </w:r>
      <w:r w:rsidR="009F586B">
        <w:rPr>
          <w:rFonts w:ascii="Times New Roman" w:hAnsi="Times New Roman"/>
          <w:szCs w:val="22"/>
        </w:rPr>
        <w:t> </w:t>
      </w:r>
      <w:r w:rsidR="00403D78" w:rsidRPr="009C5C64">
        <w:rPr>
          <w:rFonts w:ascii="Times New Roman" w:hAnsi="Times New Roman"/>
          <w:szCs w:val="22"/>
        </w:rPr>
        <w:t>mg filmom obalené tablety</w:t>
      </w:r>
    </w:p>
    <w:p w14:paraId="0D98F827" w14:textId="4DD99EC7" w:rsidR="00403D78" w:rsidRPr="009C5C64" w:rsidRDefault="00ED4EA8" w:rsidP="00403D78">
      <w:pPr>
        <w:pStyle w:val="Zkladntext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Ambrisentan AOP</w:t>
      </w:r>
      <w:r w:rsidR="00403D78" w:rsidRPr="009C5C64">
        <w:rPr>
          <w:rFonts w:ascii="Times New Roman" w:hAnsi="Times New Roman"/>
          <w:szCs w:val="22"/>
        </w:rPr>
        <w:t xml:space="preserve"> 10</w:t>
      </w:r>
      <w:r w:rsidR="009F586B">
        <w:rPr>
          <w:rFonts w:ascii="Times New Roman" w:hAnsi="Times New Roman"/>
          <w:szCs w:val="22"/>
        </w:rPr>
        <w:t> </w:t>
      </w:r>
      <w:r w:rsidR="00403D78" w:rsidRPr="009C5C64">
        <w:rPr>
          <w:rFonts w:ascii="Times New Roman" w:hAnsi="Times New Roman"/>
          <w:szCs w:val="22"/>
        </w:rPr>
        <w:t>mg filmom obalené tablety</w:t>
      </w:r>
    </w:p>
    <w:p w14:paraId="0D98F828" w14:textId="77777777" w:rsidR="00D836F6" w:rsidRPr="009C5C64" w:rsidRDefault="00D836F6" w:rsidP="00241A95">
      <w:pPr>
        <w:rPr>
          <w:sz w:val="22"/>
          <w:szCs w:val="22"/>
        </w:rPr>
      </w:pPr>
    </w:p>
    <w:p w14:paraId="0D98F829" w14:textId="77777777" w:rsidR="00D836F6" w:rsidRPr="009C5C64" w:rsidRDefault="00D836F6" w:rsidP="00241A95">
      <w:pPr>
        <w:rPr>
          <w:sz w:val="22"/>
          <w:szCs w:val="22"/>
        </w:rPr>
      </w:pPr>
    </w:p>
    <w:p w14:paraId="0D98F82A" w14:textId="34922CD9" w:rsidR="00D836F6" w:rsidRPr="009C5C64" w:rsidRDefault="00266F55" w:rsidP="00241A9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2.</w:t>
      </w:r>
      <w:r w:rsidR="00A46734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KVALITATÍVNE A KVANTITATÍVNE ZLOŽENIE</w:t>
      </w:r>
    </w:p>
    <w:p w14:paraId="0D98F82B" w14:textId="77777777" w:rsidR="00D836F6" w:rsidRPr="009C5C64" w:rsidRDefault="00D836F6" w:rsidP="00241A95">
      <w:pPr>
        <w:rPr>
          <w:sz w:val="22"/>
          <w:szCs w:val="22"/>
        </w:rPr>
      </w:pPr>
    </w:p>
    <w:p w14:paraId="0D98F82C" w14:textId="7D43D580" w:rsidR="00403D78" w:rsidRPr="009C5C64" w:rsidRDefault="00ED4EA8" w:rsidP="00403D78">
      <w:pPr>
        <w:pStyle w:val="Zkladntext3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>Ambrisentan AOP</w:t>
      </w:r>
      <w:r w:rsidR="00403D78" w:rsidRPr="009C5C64">
        <w:rPr>
          <w:rFonts w:ascii="Times New Roman" w:hAnsi="Times New Roman"/>
          <w:szCs w:val="22"/>
          <w:u w:val="single"/>
        </w:rPr>
        <w:t xml:space="preserve"> 5</w:t>
      </w:r>
      <w:r w:rsidR="009F586B">
        <w:rPr>
          <w:rFonts w:ascii="Times New Roman" w:hAnsi="Times New Roman"/>
          <w:szCs w:val="22"/>
          <w:u w:val="single"/>
        </w:rPr>
        <w:t> </w:t>
      </w:r>
      <w:r w:rsidR="00403D78" w:rsidRPr="009C5C64">
        <w:rPr>
          <w:rFonts w:ascii="Times New Roman" w:hAnsi="Times New Roman"/>
          <w:szCs w:val="22"/>
          <w:u w:val="single"/>
        </w:rPr>
        <w:t>mg filmom obalené tablety</w:t>
      </w:r>
    </w:p>
    <w:p w14:paraId="0D98F82D" w14:textId="1D6E9924" w:rsidR="00403D78" w:rsidRPr="009C5C64" w:rsidRDefault="00403D78" w:rsidP="00403D78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Každá filmom obalená tableta obsahuje 5</w:t>
      </w:r>
      <w:r w:rsidR="009F586B">
        <w:rPr>
          <w:sz w:val="22"/>
          <w:szCs w:val="22"/>
        </w:rPr>
        <w:t> </w:t>
      </w:r>
      <w:r w:rsidRPr="009C5C64">
        <w:rPr>
          <w:sz w:val="22"/>
          <w:szCs w:val="22"/>
        </w:rPr>
        <w:t>mg ambrisent</w:t>
      </w:r>
      <w:r w:rsidR="00430259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nu. </w:t>
      </w:r>
    </w:p>
    <w:p w14:paraId="0D98F82E" w14:textId="77777777" w:rsidR="00403D78" w:rsidRPr="009C5C64" w:rsidRDefault="00403D78" w:rsidP="00403D78">
      <w:pPr>
        <w:pStyle w:val="Default"/>
        <w:rPr>
          <w:sz w:val="22"/>
          <w:szCs w:val="22"/>
        </w:rPr>
      </w:pPr>
    </w:p>
    <w:p w14:paraId="0D98F82F" w14:textId="288ECE4B" w:rsidR="00403D78" w:rsidRPr="009C5C64" w:rsidRDefault="00ED4EA8" w:rsidP="00403D78">
      <w:pPr>
        <w:pStyle w:val="Zkladntext3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>Ambrisentan AOP</w:t>
      </w:r>
      <w:r w:rsidR="00403D78" w:rsidRPr="009C5C64">
        <w:rPr>
          <w:rFonts w:ascii="Times New Roman" w:hAnsi="Times New Roman"/>
          <w:szCs w:val="22"/>
          <w:u w:val="single"/>
        </w:rPr>
        <w:t xml:space="preserve"> 10</w:t>
      </w:r>
      <w:r w:rsidR="009F586B">
        <w:rPr>
          <w:rFonts w:ascii="Times New Roman" w:hAnsi="Times New Roman"/>
          <w:szCs w:val="22"/>
          <w:u w:val="single"/>
        </w:rPr>
        <w:t> </w:t>
      </w:r>
      <w:r w:rsidR="00403D78" w:rsidRPr="009C5C64">
        <w:rPr>
          <w:rFonts w:ascii="Times New Roman" w:hAnsi="Times New Roman"/>
          <w:szCs w:val="22"/>
          <w:u w:val="single"/>
        </w:rPr>
        <w:t>mg filmom obalené tablety</w:t>
      </w:r>
    </w:p>
    <w:p w14:paraId="0D98F830" w14:textId="36F5CC5A" w:rsidR="00403D78" w:rsidRPr="009C5C64" w:rsidRDefault="00403D78" w:rsidP="00403D78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Každá filmom obalená tableta obsahuje 10</w:t>
      </w:r>
      <w:r w:rsidR="009F586B">
        <w:rPr>
          <w:sz w:val="22"/>
          <w:szCs w:val="22"/>
        </w:rPr>
        <w:t> </w:t>
      </w:r>
      <w:r w:rsidRPr="009C5C64">
        <w:rPr>
          <w:sz w:val="22"/>
          <w:szCs w:val="22"/>
        </w:rPr>
        <w:t>mg ambrisent</w:t>
      </w:r>
      <w:r w:rsidR="00430259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nu. </w:t>
      </w:r>
    </w:p>
    <w:p w14:paraId="0D98F831" w14:textId="77777777" w:rsidR="00403D78" w:rsidRPr="009C5C64" w:rsidRDefault="00403D78" w:rsidP="00403D78">
      <w:pPr>
        <w:pStyle w:val="Default"/>
        <w:rPr>
          <w:sz w:val="22"/>
          <w:szCs w:val="22"/>
        </w:rPr>
      </w:pPr>
    </w:p>
    <w:p w14:paraId="0D98F832" w14:textId="77777777" w:rsidR="00403D78" w:rsidRPr="009C5C64" w:rsidRDefault="00403D78" w:rsidP="00403D78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Pomocné látky so známym účinkom </w:t>
      </w:r>
    </w:p>
    <w:p w14:paraId="7BE8DCCC" w14:textId="77777777" w:rsidR="00430259" w:rsidRDefault="00430259" w:rsidP="00403D78">
      <w:pPr>
        <w:pStyle w:val="Zkladntext3"/>
        <w:rPr>
          <w:rFonts w:ascii="Times New Roman" w:hAnsi="Times New Roman"/>
          <w:szCs w:val="22"/>
          <w:u w:val="single"/>
        </w:rPr>
      </w:pPr>
    </w:p>
    <w:p w14:paraId="0D98F833" w14:textId="320F9FA1" w:rsidR="00403D78" w:rsidRPr="009C5C64" w:rsidRDefault="00ED4EA8" w:rsidP="00403D78">
      <w:pPr>
        <w:pStyle w:val="Zkladntext3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>Ambrisentan AOP</w:t>
      </w:r>
      <w:r w:rsidR="00403D78" w:rsidRPr="009C5C64">
        <w:rPr>
          <w:rFonts w:ascii="Times New Roman" w:hAnsi="Times New Roman"/>
          <w:szCs w:val="22"/>
          <w:u w:val="single"/>
        </w:rPr>
        <w:t xml:space="preserve"> 5</w:t>
      </w:r>
      <w:r w:rsidR="009F586B">
        <w:rPr>
          <w:rFonts w:ascii="Times New Roman" w:hAnsi="Times New Roman"/>
          <w:szCs w:val="22"/>
          <w:u w:val="single"/>
        </w:rPr>
        <w:t> </w:t>
      </w:r>
      <w:r w:rsidR="00403D78" w:rsidRPr="009C5C64">
        <w:rPr>
          <w:rFonts w:ascii="Times New Roman" w:hAnsi="Times New Roman"/>
          <w:szCs w:val="22"/>
          <w:u w:val="single"/>
        </w:rPr>
        <w:t>mg filmom obalené tablety</w:t>
      </w:r>
    </w:p>
    <w:p w14:paraId="0D98F834" w14:textId="0EAD5D1C" w:rsidR="00403D78" w:rsidRPr="009C5C64" w:rsidRDefault="00403D78" w:rsidP="00403D78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Každá tableta obsahuje približne 47,5</w:t>
      </w:r>
      <w:r w:rsidR="009F586B">
        <w:rPr>
          <w:sz w:val="22"/>
          <w:szCs w:val="22"/>
        </w:rPr>
        <w:t> </w:t>
      </w:r>
      <w:r w:rsidRPr="009C5C64">
        <w:rPr>
          <w:sz w:val="22"/>
          <w:szCs w:val="22"/>
        </w:rPr>
        <w:t>mg laktózy (vo forme monohydrátu), približne 0,14</w:t>
      </w:r>
      <w:r w:rsidR="009F586B">
        <w:rPr>
          <w:sz w:val="22"/>
          <w:szCs w:val="22"/>
        </w:rPr>
        <w:t> </w:t>
      </w:r>
      <w:r w:rsidRPr="009C5C64">
        <w:rPr>
          <w:sz w:val="22"/>
          <w:szCs w:val="22"/>
        </w:rPr>
        <w:t>mg lecitínu (sójového) (E322) a približne 0,02</w:t>
      </w:r>
      <w:r w:rsidR="009F586B">
        <w:rPr>
          <w:sz w:val="22"/>
          <w:szCs w:val="22"/>
        </w:rPr>
        <w:t> </w:t>
      </w:r>
      <w:r w:rsidRPr="009C5C64">
        <w:rPr>
          <w:sz w:val="22"/>
          <w:szCs w:val="22"/>
        </w:rPr>
        <w:t>mg červene Allura AC</w:t>
      </w:r>
      <w:r w:rsidR="00430259">
        <w:rPr>
          <w:sz w:val="22"/>
          <w:szCs w:val="22"/>
        </w:rPr>
        <w:t xml:space="preserve"> – hliníkový lak</w:t>
      </w:r>
      <w:r w:rsidRPr="009C5C64">
        <w:rPr>
          <w:sz w:val="22"/>
          <w:szCs w:val="22"/>
        </w:rPr>
        <w:t xml:space="preserve"> (E129). </w:t>
      </w:r>
    </w:p>
    <w:p w14:paraId="0D98F835" w14:textId="77777777" w:rsidR="00403D78" w:rsidRPr="009C5C64" w:rsidRDefault="00403D78" w:rsidP="00403D78">
      <w:pPr>
        <w:pStyle w:val="Default"/>
        <w:rPr>
          <w:sz w:val="22"/>
          <w:szCs w:val="22"/>
        </w:rPr>
      </w:pPr>
    </w:p>
    <w:p w14:paraId="0D98F836" w14:textId="0B6D0A88" w:rsidR="00403D78" w:rsidRPr="009C5C64" w:rsidRDefault="00ED4EA8" w:rsidP="00403D78">
      <w:pPr>
        <w:pStyle w:val="Zkladntext3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>Ambrisentan AOP</w:t>
      </w:r>
      <w:r w:rsidR="00403D78" w:rsidRPr="009C5C64">
        <w:rPr>
          <w:rFonts w:ascii="Times New Roman" w:hAnsi="Times New Roman"/>
          <w:szCs w:val="22"/>
          <w:u w:val="single"/>
        </w:rPr>
        <w:t xml:space="preserve"> 10</w:t>
      </w:r>
      <w:r w:rsidR="009F586B">
        <w:rPr>
          <w:rFonts w:ascii="Times New Roman" w:hAnsi="Times New Roman"/>
          <w:szCs w:val="22"/>
          <w:u w:val="single"/>
        </w:rPr>
        <w:t> </w:t>
      </w:r>
      <w:r w:rsidR="00403D78" w:rsidRPr="009C5C64">
        <w:rPr>
          <w:rFonts w:ascii="Times New Roman" w:hAnsi="Times New Roman"/>
          <w:szCs w:val="22"/>
          <w:u w:val="single"/>
        </w:rPr>
        <w:t>mg filmom obalené tablety</w:t>
      </w:r>
    </w:p>
    <w:p w14:paraId="0D98F837" w14:textId="2BD9A86E" w:rsidR="001B3E4E" w:rsidRPr="009C5C64" w:rsidRDefault="00403D78" w:rsidP="00403D78">
      <w:pPr>
        <w:autoSpaceDE w:val="0"/>
        <w:autoSpaceDN w:val="0"/>
        <w:adjustRightInd w:val="0"/>
        <w:rPr>
          <w:sz w:val="22"/>
          <w:szCs w:val="22"/>
        </w:rPr>
      </w:pPr>
      <w:r w:rsidRPr="009C5C64">
        <w:rPr>
          <w:sz w:val="22"/>
          <w:szCs w:val="22"/>
        </w:rPr>
        <w:t>Každá tableta obsahuje približne 95</w:t>
      </w:r>
      <w:r w:rsidR="009F586B">
        <w:rPr>
          <w:sz w:val="22"/>
          <w:szCs w:val="22"/>
        </w:rPr>
        <w:t> </w:t>
      </w:r>
      <w:r w:rsidRPr="009C5C64">
        <w:rPr>
          <w:sz w:val="22"/>
          <w:szCs w:val="22"/>
        </w:rPr>
        <w:t>mg laktózy (vo forme monohydrátu), približne 0,21</w:t>
      </w:r>
      <w:r w:rsidR="009F586B">
        <w:rPr>
          <w:sz w:val="22"/>
          <w:szCs w:val="22"/>
        </w:rPr>
        <w:t> </w:t>
      </w:r>
      <w:r w:rsidRPr="009C5C64">
        <w:rPr>
          <w:sz w:val="22"/>
          <w:szCs w:val="22"/>
        </w:rPr>
        <w:t>mg lecitínu (sójového) (E322) a približne 0,41</w:t>
      </w:r>
      <w:r w:rsidR="009F586B">
        <w:rPr>
          <w:sz w:val="22"/>
          <w:szCs w:val="22"/>
        </w:rPr>
        <w:t> </w:t>
      </w:r>
      <w:r w:rsidRPr="009C5C64">
        <w:rPr>
          <w:sz w:val="22"/>
          <w:szCs w:val="22"/>
        </w:rPr>
        <w:t>mg červene Allura AC</w:t>
      </w:r>
      <w:r w:rsidR="00430259">
        <w:rPr>
          <w:sz w:val="22"/>
          <w:szCs w:val="22"/>
        </w:rPr>
        <w:t xml:space="preserve"> – hliníkový lak</w:t>
      </w:r>
      <w:r w:rsidRPr="009C5C64">
        <w:rPr>
          <w:sz w:val="22"/>
          <w:szCs w:val="22"/>
        </w:rPr>
        <w:t xml:space="preserve"> (E129).</w:t>
      </w:r>
    </w:p>
    <w:p w14:paraId="0D98F838" w14:textId="77777777" w:rsidR="00403D78" w:rsidRPr="009C5C64" w:rsidRDefault="00403D78" w:rsidP="00403D7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D98F839" w14:textId="77777777" w:rsidR="00D836F6" w:rsidRPr="009C5C64" w:rsidRDefault="00266F55" w:rsidP="00241A9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9C5C64">
        <w:rPr>
          <w:color w:val="000000"/>
          <w:sz w:val="22"/>
          <w:szCs w:val="22"/>
        </w:rPr>
        <w:t>Úplný zoznam pomocných látok, pozri časť 6.1.</w:t>
      </w:r>
    </w:p>
    <w:p w14:paraId="0D98F83A" w14:textId="77777777" w:rsidR="00D836F6" w:rsidRPr="009C5C64" w:rsidRDefault="00D836F6" w:rsidP="00241A95">
      <w:pPr>
        <w:rPr>
          <w:sz w:val="22"/>
          <w:szCs w:val="22"/>
        </w:rPr>
      </w:pPr>
    </w:p>
    <w:p w14:paraId="0D98F83B" w14:textId="77777777" w:rsidR="00D836F6" w:rsidRPr="009C5C64" w:rsidRDefault="00D836F6" w:rsidP="00241A95">
      <w:pPr>
        <w:rPr>
          <w:sz w:val="22"/>
          <w:szCs w:val="22"/>
        </w:rPr>
      </w:pPr>
    </w:p>
    <w:p w14:paraId="0D98F83C" w14:textId="66CF3F9F" w:rsidR="00D836F6" w:rsidRPr="009C5C64" w:rsidRDefault="00266F55" w:rsidP="00241A9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3.</w:t>
      </w:r>
      <w:r w:rsidR="00A46734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LIEKOVÁ FORMA</w:t>
      </w:r>
    </w:p>
    <w:p w14:paraId="0D98F83D" w14:textId="77777777" w:rsidR="00D836F6" w:rsidRPr="009C5C64" w:rsidRDefault="00D836F6" w:rsidP="00241A9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D98F83E" w14:textId="77777777" w:rsidR="00D836F6" w:rsidRPr="009C5C64" w:rsidRDefault="00854E1B" w:rsidP="00241A95">
      <w:pPr>
        <w:rPr>
          <w:sz w:val="22"/>
          <w:szCs w:val="22"/>
        </w:rPr>
      </w:pPr>
      <w:r w:rsidRPr="009C5C64">
        <w:rPr>
          <w:sz w:val="22"/>
          <w:szCs w:val="22"/>
        </w:rPr>
        <w:t>Filmom obalená tableta (tableta).</w:t>
      </w:r>
    </w:p>
    <w:p w14:paraId="0D98F83F" w14:textId="77777777" w:rsidR="00D836F6" w:rsidRPr="009C5C64" w:rsidRDefault="00D836F6" w:rsidP="00241A95">
      <w:pPr>
        <w:rPr>
          <w:sz w:val="22"/>
          <w:szCs w:val="22"/>
        </w:rPr>
      </w:pPr>
    </w:p>
    <w:p w14:paraId="0D98F840" w14:textId="7E9E90BC" w:rsidR="00854E1B" w:rsidRPr="009C5C64" w:rsidRDefault="00ED4EA8" w:rsidP="00854E1B">
      <w:pPr>
        <w:pStyle w:val="Zkladntext3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>Ambrisentan AOP</w:t>
      </w:r>
      <w:r w:rsidR="00854E1B" w:rsidRPr="009C5C64">
        <w:rPr>
          <w:rFonts w:ascii="Times New Roman" w:hAnsi="Times New Roman"/>
          <w:szCs w:val="22"/>
          <w:u w:val="single"/>
        </w:rPr>
        <w:t xml:space="preserve"> 5</w:t>
      </w:r>
      <w:r w:rsidR="009F586B">
        <w:rPr>
          <w:rFonts w:ascii="Times New Roman" w:hAnsi="Times New Roman"/>
          <w:szCs w:val="22"/>
          <w:u w:val="single"/>
        </w:rPr>
        <w:t> </w:t>
      </w:r>
      <w:r w:rsidR="00854E1B" w:rsidRPr="009C5C64">
        <w:rPr>
          <w:rFonts w:ascii="Times New Roman" w:hAnsi="Times New Roman"/>
          <w:szCs w:val="22"/>
          <w:u w:val="single"/>
        </w:rPr>
        <w:t>mg filmom obalené tablety</w:t>
      </w:r>
    </w:p>
    <w:p w14:paraId="0D98F841" w14:textId="0154ED3D" w:rsidR="00854E1B" w:rsidRPr="009C5C64" w:rsidRDefault="00854E1B" w:rsidP="00854E1B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Svetloružová, štvorcová, konvexná, filmom obalená tableta s vyrazeným „5“ na jednej strane a plochá na druhej strane s nominálnou dĺžkou/šírkou približne 5,9</w:t>
      </w:r>
      <w:r w:rsidR="009F586B">
        <w:rPr>
          <w:sz w:val="22"/>
          <w:szCs w:val="22"/>
        </w:rPr>
        <w:t> </w:t>
      </w:r>
      <w:r w:rsidRPr="009C5C64">
        <w:rPr>
          <w:sz w:val="22"/>
          <w:szCs w:val="22"/>
        </w:rPr>
        <w:t>mm.</w:t>
      </w:r>
    </w:p>
    <w:p w14:paraId="0D98F842" w14:textId="77777777" w:rsidR="00854E1B" w:rsidRPr="009C5C64" w:rsidRDefault="00854E1B" w:rsidP="00854E1B">
      <w:pPr>
        <w:pStyle w:val="Default"/>
        <w:rPr>
          <w:sz w:val="22"/>
          <w:szCs w:val="22"/>
        </w:rPr>
      </w:pPr>
    </w:p>
    <w:p w14:paraId="0D98F843" w14:textId="4323BDB0" w:rsidR="00854E1B" w:rsidRPr="009C5C64" w:rsidRDefault="00ED4EA8" w:rsidP="00854E1B">
      <w:pPr>
        <w:pStyle w:val="Zkladntext3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>Ambrisentan AOP</w:t>
      </w:r>
      <w:r w:rsidR="00854E1B" w:rsidRPr="009C5C64">
        <w:rPr>
          <w:rFonts w:ascii="Times New Roman" w:hAnsi="Times New Roman"/>
          <w:szCs w:val="22"/>
          <w:u w:val="single"/>
        </w:rPr>
        <w:t xml:space="preserve"> 10</w:t>
      </w:r>
      <w:r w:rsidR="009F586B">
        <w:rPr>
          <w:rFonts w:ascii="Times New Roman" w:hAnsi="Times New Roman"/>
          <w:szCs w:val="22"/>
          <w:u w:val="single"/>
        </w:rPr>
        <w:t> </w:t>
      </w:r>
      <w:r w:rsidR="00854E1B" w:rsidRPr="009C5C64">
        <w:rPr>
          <w:rFonts w:ascii="Times New Roman" w:hAnsi="Times New Roman"/>
          <w:szCs w:val="22"/>
          <w:u w:val="single"/>
        </w:rPr>
        <w:t>mg filmom obalené tablety</w:t>
      </w:r>
    </w:p>
    <w:p w14:paraId="0D98F844" w14:textId="51D514A4" w:rsidR="00854E1B" w:rsidRPr="009C5C64" w:rsidRDefault="00854E1B" w:rsidP="00854E1B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Ružová, podlhovastá, bikonvexná, filmom obalená tableta s vyrazeným „10“ na jednej strane a plochá na druhej strane s nominálnou dĺžkou približne 11,1</w:t>
      </w:r>
      <w:r w:rsidR="009F586B">
        <w:rPr>
          <w:sz w:val="22"/>
          <w:szCs w:val="22"/>
        </w:rPr>
        <w:t> </w:t>
      </w:r>
      <w:r w:rsidRPr="009C5C64">
        <w:rPr>
          <w:sz w:val="22"/>
          <w:szCs w:val="22"/>
        </w:rPr>
        <w:t>mm a nominálnou šírkou približne 5,6</w:t>
      </w:r>
      <w:r w:rsidR="009F586B">
        <w:rPr>
          <w:sz w:val="22"/>
          <w:szCs w:val="22"/>
        </w:rPr>
        <w:t> </w:t>
      </w:r>
      <w:r w:rsidRPr="009C5C64">
        <w:rPr>
          <w:sz w:val="22"/>
          <w:szCs w:val="22"/>
        </w:rPr>
        <w:t>mm.</w:t>
      </w:r>
    </w:p>
    <w:p w14:paraId="0D98F845" w14:textId="77777777" w:rsidR="00854E1B" w:rsidRPr="009C5C64" w:rsidRDefault="00854E1B" w:rsidP="00241A95">
      <w:pPr>
        <w:rPr>
          <w:sz w:val="22"/>
          <w:szCs w:val="22"/>
        </w:rPr>
      </w:pPr>
    </w:p>
    <w:p w14:paraId="0D98F846" w14:textId="77777777" w:rsidR="00D836F6" w:rsidRPr="009C5C64" w:rsidRDefault="00D836F6" w:rsidP="00241A95">
      <w:pPr>
        <w:rPr>
          <w:sz w:val="22"/>
          <w:szCs w:val="22"/>
        </w:rPr>
      </w:pPr>
    </w:p>
    <w:p w14:paraId="0D98F847" w14:textId="1B3A675E" w:rsidR="00D836F6" w:rsidRPr="009C5C64" w:rsidRDefault="00266F55" w:rsidP="00241A95">
      <w:pPr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4.</w:t>
      </w:r>
      <w:r w:rsidR="00A46734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KLINICKÉ ÚDAJE</w:t>
      </w:r>
    </w:p>
    <w:p w14:paraId="0D98F848" w14:textId="77777777" w:rsidR="00D836F6" w:rsidRPr="009C5C64" w:rsidRDefault="00D836F6" w:rsidP="00241A95">
      <w:pPr>
        <w:rPr>
          <w:sz w:val="22"/>
          <w:szCs w:val="22"/>
        </w:rPr>
      </w:pPr>
    </w:p>
    <w:p w14:paraId="0D98F849" w14:textId="2A9C3274" w:rsidR="00D836F6" w:rsidRPr="009C5C64" w:rsidRDefault="00266F55" w:rsidP="00241A9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4.1</w:t>
      </w:r>
      <w:r w:rsidR="00A46734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Terapeutické indikácie</w:t>
      </w:r>
    </w:p>
    <w:p w14:paraId="0D98F84A" w14:textId="77777777" w:rsidR="00D836F6" w:rsidRPr="009C5C64" w:rsidRDefault="00D836F6" w:rsidP="00241A95">
      <w:pPr>
        <w:rPr>
          <w:sz w:val="22"/>
          <w:szCs w:val="22"/>
        </w:rPr>
      </w:pPr>
    </w:p>
    <w:p w14:paraId="0D98F84B" w14:textId="581F52B6" w:rsidR="00854E1B" w:rsidRPr="009C5C64" w:rsidRDefault="00ED4EA8" w:rsidP="00481644">
      <w:pPr>
        <w:pStyle w:val="EMEAEnBodyText"/>
        <w:spacing w:before="0" w:after="0"/>
        <w:jc w:val="left"/>
        <w:rPr>
          <w:szCs w:val="22"/>
        </w:rPr>
      </w:pPr>
      <w:r>
        <w:rPr>
          <w:szCs w:val="22"/>
        </w:rPr>
        <w:t>Ambrisentan AOP</w:t>
      </w:r>
      <w:r w:rsidR="00854E1B" w:rsidRPr="009C5C64">
        <w:rPr>
          <w:szCs w:val="22"/>
        </w:rPr>
        <w:t xml:space="preserve"> je indikovaný na liečbu pľúcnej artériovej hypertenzie (PAH) u dospelých pacientov vo funkčnej triede (FT) II až III podľa </w:t>
      </w:r>
      <w:r w:rsidR="00430259">
        <w:rPr>
          <w:szCs w:val="22"/>
        </w:rPr>
        <w:t>WHO</w:t>
      </w:r>
      <w:r w:rsidR="00854E1B" w:rsidRPr="009C5C64">
        <w:rPr>
          <w:szCs w:val="22"/>
        </w:rPr>
        <w:t xml:space="preserve">, vrátane použitia v kombinovanej liečbe (pozri časť 5.1). </w:t>
      </w:r>
    </w:p>
    <w:p w14:paraId="0D98F84C" w14:textId="77777777" w:rsidR="00D836F6" w:rsidRPr="009C5C64" w:rsidRDefault="00854E1B" w:rsidP="00481644">
      <w:pPr>
        <w:pStyle w:val="EMEAEnBodyText"/>
        <w:spacing w:before="0" w:after="0"/>
        <w:jc w:val="left"/>
        <w:rPr>
          <w:szCs w:val="22"/>
        </w:rPr>
      </w:pPr>
      <w:r w:rsidRPr="009C5C64">
        <w:rPr>
          <w:szCs w:val="22"/>
        </w:rPr>
        <w:t>Účinnosť bola preukázaná pri idiopatickej PAH (IPAH) a pri PAH spojenej s ochorením spojivového tkaniva.</w:t>
      </w:r>
    </w:p>
    <w:p w14:paraId="0D98F84D" w14:textId="77777777" w:rsidR="00854E1B" w:rsidRPr="009C5C64" w:rsidRDefault="00854E1B" w:rsidP="00481644">
      <w:pPr>
        <w:pStyle w:val="EMEAEnBodyText"/>
        <w:spacing w:before="0" w:after="0"/>
        <w:jc w:val="left"/>
        <w:rPr>
          <w:bCs/>
          <w:szCs w:val="22"/>
        </w:rPr>
      </w:pPr>
    </w:p>
    <w:p w14:paraId="0D98F84E" w14:textId="4548538C" w:rsidR="00D836F6" w:rsidRPr="009C5C64" w:rsidRDefault="00266F55" w:rsidP="00087242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4.2</w:t>
      </w:r>
      <w:r w:rsidR="00A46734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Dávkovanie a spôsob podávania</w:t>
      </w:r>
    </w:p>
    <w:p w14:paraId="0D98F84F" w14:textId="77777777" w:rsidR="00504BFA" w:rsidRPr="009C5C64" w:rsidRDefault="00504BFA" w:rsidP="002F1B3D">
      <w:pPr>
        <w:rPr>
          <w:sz w:val="22"/>
          <w:szCs w:val="22"/>
        </w:rPr>
      </w:pPr>
    </w:p>
    <w:p w14:paraId="0D98F850" w14:textId="77777777" w:rsidR="00854E1B" w:rsidRPr="009C5C64" w:rsidRDefault="00854E1B" w:rsidP="002F1B3D">
      <w:pPr>
        <w:rPr>
          <w:sz w:val="22"/>
          <w:szCs w:val="22"/>
        </w:rPr>
      </w:pPr>
      <w:r w:rsidRPr="009C5C64">
        <w:rPr>
          <w:sz w:val="22"/>
          <w:szCs w:val="22"/>
        </w:rPr>
        <w:t>Liečbu musí začať lekár so skúsenosťami v liečení PAH.</w:t>
      </w:r>
    </w:p>
    <w:p w14:paraId="0D98F851" w14:textId="77777777" w:rsidR="00854E1B" w:rsidRPr="009C5C64" w:rsidRDefault="00854E1B" w:rsidP="002F1B3D">
      <w:pPr>
        <w:rPr>
          <w:sz w:val="22"/>
          <w:szCs w:val="22"/>
          <w:u w:val="single"/>
        </w:rPr>
      </w:pPr>
    </w:p>
    <w:p w14:paraId="0D98F852" w14:textId="77777777" w:rsidR="00854E1B" w:rsidRPr="009C5C64" w:rsidRDefault="00854E1B" w:rsidP="00854E1B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Dávkovanie </w:t>
      </w:r>
    </w:p>
    <w:p w14:paraId="0D98F853" w14:textId="77777777" w:rsidR="00854E1B" w:rsidRPr="009C5C64" w:rsidRDefault="00854E1B" w:rsidP="00854E1B">
      <w:pPr>
        <w:pStyle w:val="Default"/>
        <w:rPr>
          <w:i/>
          <w:iCs/>
          <w:sz w:val="22"/>
          <w:szCs w:val="22"/>
        </w:rPr>
      </w:pPr>
    </w:p>
    <w:p w14:paraId="0D98F854" w14:textId="44B4E649" w:rsidR="00854E1B" w:rsidRPr="00666B8B" w:rsidRDefault="00854E1B" w:rsidP="00854E1B">
      <w:pPr>
        <w:pStyle w:val="Default"/>
        <w:rPr>
          <w:sz w:val="22"/>
          <w:szCs w:val="22"/>
        </w:rPr>
      </w:pPr>
      <w:r w:rsidRPr="005C6DAE">
        <w:rPr>
          <w:i/>
          <w:iCs/>
          <w:sz w:val="22"/>
          <w:szCs w:val="22"/>
        </w:rPr>
        <w:t>Ambrisent</w:t>
      </w:r>
      <w:r w:rsidR="00430259" w:rsidRPr="005C6DAE">
        <w:rPr>
          <w:i/>
          <w:iCs/>
          <w:sz w:val="22"/>
          <w:szCs w:val="22"/>
        </w:rPr>
        <w:t>á</w:t>
      </w:r>
      <w:r w:rsidRPr="005C6DAE">
        <w:rPr>
          <w:i/>
          <w:iCs/>
          <w:sz w:val="22"/>
          <w:szCs w:val="22"/>
        </w:rPr>
        <w:t xml:space="preserve">n v monoterapii </w:t>
      </w:r>
    </w:p>
    <w:p w14:paraId="0D98F855" w14:textId="2F6BA71E" w:rsidR="00854E1B" w:rsidRPr="009C5C64" w:rsidRDefault="00ED4EA8" w:rsidP="00854E1B">
      <w:pPr>
        <w:pStyle w:val="Default"/>
        <w:rPr>
          <w:sz w:val="22"/>
          <w:szCs w:val="22"/>
        </w:rPr>
      </w:pPr>
      <w:r w:rsidRPr="000C2E13">
        <w:rPr>
          <w:sz w:val="22"/>
          <w:szCs w:val="22"/>
        </w:rPr>
        <w:t>Ambrisentan AOP</w:t>
      </w:r>
      <w:r w:rsidR="003A78CA" w:rsidRPr="009C5C64">
        <w:rPr>
          <w:szCs w:val="22"/>
        </w:rPr>
        <w:t xml:space="preserve"> </w:t>
      </w:r>
      <w:r w:rsidR="00854E1B" w:rsidRPr="009C5C64">
        <w:rPr>
          <w:sz w:val="22"/>
          <w:szCs w:val="22"/>
        </w:rPr>
        <w:t>sa má začať užívať perorálne v dávke 5</w:t>
      </w:r>
      <w:r w:rsidR="009F586B">
        <w:rPr>
          <w:sz w:val="22"/>
          <w:szCs w:val="22"/>
        </w:rPr>
        <w:t> </w:t>
      </w:r>
      <w:r w:rsidR="00854E1B" w:rsidRPr="009C5C64">
        <w:rPr>
          <w:sz w:val="22"/>
          <w:szCs w:val="22"/>
        </w:rPr>
        <w:t>mg jedenkrát denne a môže sa zvýšiť na 10</w:t>
      </w:r>
      <w:r w:rsidR="009F586B">
        <w:rPr>
          <w:sz w:val="22"/>
          <w:szCs w:val="22"/>
        </w:rPr>
        <w:t> </w:t>
      </w:r>
      <w:r w:rsidR="00854E1B" w:rsidRPr="009C5C64">
        <w:rPr>
          <w:sz w:val="22"/>
          <w:szCs w:val="22"/>
        </w:rPr>
        <w:t xml:space="preserve">mg denne v závislosti od klinickej odpovede na liečbu a znášanlivosti liečby. </w:t>
      </w:r>
    </w:p>
    <w:p w14:paraId="0D98F856" w14:textId="77777777" w:rsidR="00854E1B" w:rsidRPr="009C5C64" w:rsidRDefault="00854E1B" w:rsidP="00854E1B">
      <w:pPr>
        <w:pStyle w:val="Default"/>
        <w:rPr>
          <w:sz w:val="22"/>
          <w:szCs w:val="22"/>
        </w:rPr>
      </w:pPr>
    </w:p>
    <w:p w14:paraId="0D98F857" w14:textId="6AF35403" w:rsidR="00854E1B" w:rsidRPr="009C5C64" w:rsidRDefault="00854E1B" w:rsidP="00854E1B">
      <w:pPr>
        <w:pStyle w:val="Default"/>
        <w:rPr>
          <w:sz w:val="22"/>
          <w:szCs w:val="22"/>
        </w:rPr>
      </w:pPr>
      <w:r w:rsidRPr="009C5C64">
        <w:rPr>
          <w:i/>
          <w:iCs/>
          <w:sz w:val="22"/>
          <w:szCs w:val="22"/>
        </w:rPr>
        <w:t>Ambrisent</w:t>
      </w:r>
      <w:r w:rsidR="00430259">
        <w:rPr>
          <w:i/>
          <w:iCs/>
          <w:sz w:val="22"/>
          <w:szCs w:val="22"/>
        </w:rPr>
        <w:t>á</w:t>
      </w:r>
      <w:r w:rsidRPr="009C5C64">
        <w:rPr>
          <w:i/>
          <w:iCs/>
          <w:sz w:val="22"/>
          <w:szCs w:val="22"/>
        </w:rPr>
        <w:t xml:space="preserve">n v kombinácii s tadalafilom </w:t>
      </w:r>
    </w:p>
    <w:p w14:paraId="0D98F858" w14:textId="4E356AEC" w:rsidR="00854E1B" w:rsidRPr="009C5C64" w:rsidRDefault="00854E1B" w:rsidP="00854E1B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Pri používaní v kombinácii s tadalafilom sa má dávka </w:t>
      </w:r>
      <w:r w:rsidR="003A78CA" w:rsidRPr="000C2E13">
        <w:rPr>
          <w:sz w:val="22"/>
          <w:szCs w:val="22"/>
        </w:rPr>
        <w:t>Ambrisentanu</w:t>
      </w:r>
      <w:r w:rsidR="001A788E" w:rsidRPr="000C2E13">
        <w:rPr>
          <w:sz w:val="22"/>
          <w:szCs w:val="22"/>
        </w:rPr>
        <w:t> </w:t>
      </w:r>
      <w:r w:rsidR="003A78CA" w:rsidRPr="000C2E13">
        <w:rPr>
          <w:sz w:val="22"/>
          <w:szCs w:val="22"/>
        </w:rPr>
        <w:t xml:space="preserve">AOP </w:t>
      </w:r>
      <w:r w:rsidRPr="009C5C64">
        <w:rPr>
          <w:sz w:val="22"/>
          <w:szCs w:val="22"/>
        </w:rPr>
        <w:t>titrovať na 10</w:t>
      </w:r>
      <w:r w:rsidR="009F586B">
        <w:rPr>
          <w:sz w:val="22"/>
          <w:szCs w:val="22"/>
        </w:rPr>
        <w:t> </w:t>
      </w:r>
      <w:r w:rsidRPr="009C5C64">
        <w:rPr>
          <w:sz w:val="22"/>
          <w:szCs w:val="22"/>
        </w:rPr>
        <w:t xml:space="preserve">mg jedenkrát denne. </w:t>
      </w:r>
    </w:p>
    <w:p w14:paraId="0D98F859" w14:textId="77777777" w:rsidR="00854E1B" w:rsidRPr="009C5C64" w:rsidRDefault="00854E1B" w:rsidP="00854E1B">
      <w:pPr>
        <w:pStyle w:val="Default"/>
        <w:rPr>
          <w:sz w:val="22"/>
          <w:szCs w:val="22"/>
        </w:rPr>
      </w:pPr>
    </w:p>
    <w:p w14:paraId="0D98F85A" w14:textId="6E7FA9A2" w:rsidR="00854E1B" w:rsidRPr="009C5C64" w:rsidRDefault="00854E1B" w:rsidP="00854E1B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V klinickej štúdii pacienti užívali 5</w:t>
      </w:r>
      <w:r w:rsidR="003308F0">
        <w:rPr>
          <w:sz w:val="22"/>
          <w:szCs w:val="22"/>
        </w:rPr>
        <w:t> </w:t>
      </w:r>
      <w:r w:rsidRPr="009C5C64">
        <w:rPr>
          <w:sz w:val="22"/>
          <w:szCs w:val="22"/>
        </w:rPr>
        <w:t>mg ambrisent</w:t>
      </w:r>
      <w:r w:rsidR="00430259">
        <w:rPr>
          <w:sz w:val="22"/>
          <w:szCs w:val="22"/>
        </w:rPr>
        <w:t>á</w:t>
      </w:r>
      <w:r w:rsidRPr="009C5C64">
        <w:rPr>
          <w:sz w:val="22"/>
          <w:szCs w:val="22"/>
        </w:rPr>
        <w:t>nu denne počas prvých 8 týždňov pred vytitrovaním dávky na 10</w:t>
      </w:r>
      <w:r w:rsidR="003308F0">
        <w:rPr>
          <w:sz w:val="22"/>
          <w:szCs w:val="22"/>
        </w:rPr>
        <w:t> </w:t>
      </w:r>
      <w:r w:rsidRPr="009C5C64">
        <w:rPr>
          <w:sz w:val="22"/>
          <w:szCs w:val="22"/>
        </w:rPr>
        <w:t>mg, a to v závislosti od znášanlivosti liečby (pozri časť 5.1). Pri používaní v kombinácii s tadalafilom pacienti začali liečbu 5</w:t>
      </w:r>
      <w:r w:rsidR="003308F0">
        <w:rPr>
          <w:sz w:val="22"/>
          <w:szCs w:val="22"/>
        </w:rPr>
        <w:t> </w:t>
      </w:r>
      <w:r w:rsidRPr="009C5C64">
        <w:rPr>
          <w:sz w:val="22"/>
          <w:szCs w:val="22"/>
        </w:rPr>
        <w:t>mg ambrisent</w:t>
      </w:r>
      <w:r w:rsidR="00430259">
        <w:rPr>
          <w:sz w:val="22"/>
          <w:szCs w:val="22"/>
        </w:rPr>
        <w:t>á</w:t>
      </w:r>
      <w:r w:rsidRPr="009C5C64">
        <w:rPr>
          <w:sz w:val="22"/>
          <w:szCs w:val="22"/>
        </w:rPr>
        <w:t>nu a</w:t>
      </w:r>
      <w:r w:rsidR="003308F0">
        <w:rPr>
          <w:sz w:val="22"/>
          <w:szCs w:val="22"/>
        </w:rPr>
        <w:t> </w:t>
      </w:r>
      <w:r w:rsidRPr="009C5C64">
        <w:rPr>
          <w:sz w:val="22"/>
          <w:szCs w:val="22"/>
        </w:rPr>
        <w:t>20</w:t>
      </w:r>
      <w:r w:rsidR="003308F0">
        <w:rPr>
          <w:sz w:val="22"/>
          <w:szCs w:val="22"/>
        </w:rPr>
        <w:t> </w:t>
      </w:r>
      <w:r w:rsidRPr="009C5C64">
        <w:rPr>
          <w:sz w:val="22"/>
          <w:szCs w:val="22"/>
        </w:rPr>
        <w:t>mg tadalafilu. V závislosti od znášanlivosti liečby sa dávka tadalafilu zvýšila na 40</w:t>
      </w:r>
      <w:r w:rsidR="003308F0">
        <w:rPr>
          <w:sz w:val="22"/>
          <w:szCs w:val="22"/>
        </w:rPr>
        <w:t> </w:t>
      </w:r>
      <w:r w:rsidRPr="009C5C64">
        <w:rPr>
          <w:sz w:val="22"/>
          <w:szCs w:val="22"/>
        </w:rPr>
        <w:t>mg po 4 týždňoch a dávka ambrisent</w:t>
      </w:r>
      <w:r w:rsidR="00430259">
        <w:rPr>
          <w:sz w:val="22"/>
          <w:szCs w:val="22"/>
        </w:rPr>
        <w:t>á</w:t>
      </w:r>
      <w:r w:rsidRPr="009C5C64">
        <w:rPr>
          <w:sz w:val="22"/>
          <w:szCs w:val="22"/>
        </w:rPr>
        <w:t>nu sa zvýšila na 10</w:t>
      </w:r>
      <w:r w:rsidR="003308F0">
        <w:rPr>
          <w:sz w:val="22"/>
          <w:szCs w:val="22"/>
        </w:rPr>
        <w:t> </w:t>
      </w:r>
      <w:r w:rsidRPr="009C5C64">
        <w:rPr>
          <w:sz w:val="22"/>
          <w:szCs w:val="22"/>
        </w:rPr>
        <w:t xml:space="preserve">mg po 8 týždňoch. Takéto dávkovanie sa dosiahlo u viac ako 90 % pacientov. Dávky sa tiež mohli znižovať v závislosti od znášanlivosti liečby. </w:t>
      </w:r>
    </w:p>
    <w:p w14:paraId="0D98F85B" w14:textId="77777777" w:rsidR="00D22E71" w:rsidRPr="009C5C64" w:rsidRDefault="00D22E71" w:rsidP="00854E1B">
      <w:pPr>
        <w:pStyle w:val="Default"/>
        <w:rPr>
          <w:sz w:val="22"/>
          <w:szCs w:val="22"/>
        </w:rPr>
      </w:pPr>
    </w:p>
    <w:p w14:paraId="0D98F85C" w14:textId="329BAA68" w:rsidR="00854E1B" w:rsidRPr="009C5C64" w:rsidRDefault="00854E1B" w:rsidP="00854E1B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Obmedzené údaje svedčia o tom, že náhle ukončenie liečby ambrisent</w:t>
      </w:r>
      <w:r w:rsidR="00430259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nom nie je spojené so zhoršením príznakov PAH (s „rebound“ fenoménom). </w:t>
      </w:r>
    </w:p>
    <w:p w14:paraId="0D98F85D" w14:textId="77777777" w:rsidR="00D22E71" w:rsidRPr="009C5C64" w:rsidRDefault="00D22E71" w:rsidP="00854E1B">
      <w:pPr>
        <w:pStyle w:val="Default"/>
        <w:rPr>
          <w:sz w:val="22"/>
          <w:szCs w:val="22"/>
        </w:rPr>
      </w:pPr>
    </w:p>
    <w:p w14:paraId="0D98F85E" w14:textId="18E529AE" w:rsidR="00854E1B" w:rsidRPr="009C5C64" w:rsidRDefault="00854E1B" w:rsidP="00854E1B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Pri súbežnom podávaní cyklosporínu A sa má dávka ambrisent</w:t>
      </w:r>
      <w:r w:rsidR="00430259">
        <w:rPr>
          <w:sz w:val="22"/>
          <w:szCs w:val="22"/>
        </w:rPr>
        <w:t>á</w:t>
      </w:r>
      <w:r w:rsidRPr="009C5C64">
        <w:rPr>
          <w:sz w:val="22"/>
          <w:szCs w:val="22"/>
        </w:rPr>
        <w:t>nu obmedziť na 5</w:t>
      </w:r>
      <w:r w:rsidR="003308F0">
        <w:rPr>
          <w:sz w:val="22"/>
          <w:szCs w:val="22"/>
        </w:rPr>
        <w:t> </w:t>
      </w:r>
      <w:r w:rsidRPr="009C5C64">
        <w:rPr>
          <w:sz w:val="22"/>
          <w:szCs w:val="22"/>
        </w:rPr>
        <w:t xml:space="preserve">mg jedenkrát denne a pacienti majú byť starostlivo sledovaní (pozri časti 4.5 a 5.2). </w:t>
      </w:r>
    </w:p>
    <w:p w14:paraId="0D98F85F" w14:textId="77777777" w:rsidR="00D22E71" w:rsidRPr="009C5C64" w:rsidRDefault="00D22E71" w:rsidP="00854E1B">
      <w:pPr>
        <w:pStyle w:val="Default"/>
        <w:rPr>
          <w:sz w:val="22"/>
          <w:szCs w:val="22"/>
        </w:rPr>
      </w:pPr>
    </w:p>
    <w:p w14:paraId="0D98F860" w14:textId="77777777" w:rsidR="00854E1B" w:rsidRPr="009C5C64" w:rsidRDefault="00854E1B" w:rsidP="00854E1B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Osobitné skupiny pacientov </w:t>
      </w:r>
    </w:p>
    <w:p w14:paraId="0D98F861" w14:textId="77777777" w:rsidR="00D22E71" w:rsidRPr="009C5C64" w:rsidRDefault="00D22E71" w:rsidP="00854E1B">
      <w:pPr>
        <w:pStyle w:val="Default"/>
        <w:rPr>
          <w:sz w:val="22"/>
          <w:szCs w:val="22"/>
        </w:rPr>
      </w:pPr>
    </w:p>
    <w:p w14:paraId="0D98F862" w14:textId="77777777" w:rsidR="00854E1B" w:rsidRPr="009C5C64" w:rsidRDefault="00854E1B" w:rsidP="00854E1B">
      <w:pPr>
        <w:pStyle w:val="Default"/>
        <w:rPr>
          <w:i/>
          <w:iCs/>
          <w:sz w:val="22"/>
          <w:szCs w:val="22"/>
          <w:u w:val="single"/>
        </w:rPr>
      </w:pPr>
      <w:r w:rsidRPr="009C5C64">
        <w:rPr>
          <w:i/>
          <w:iCs/>
          <w:sz w:val="22"/>
          <w:szCs w:val="22"/>
          <w:u w:val="single"/>
        </w:rPr>
        <w:t xml:space="preserve">Starší pacienti </w:t>
      </w:r>
    </w:p>
    <w:p w14:paraId="0D98F863" w14:textId="77777777" w:rsidR="00D22E71" w:rsidRPr="009C5C64" w:rsidRDefault="00D22E71" w:rsidP="00854E1B">
      <w:pPr>
        <w:pStyle w:val="Default"/>
        <w:rPr>
          <w:sz w:val="22"/>
          <w:szCs w:val="22"/>
        </w:rPr>
      </w:pPr>
    </w:p>
    <w:p w14:paraId="0D98F864" w14:textId="699E0921" w:rsidR="00854E1B" w:rsidRPr="009C5C64" w:rsidRDefault="00854E1B" w:rsidP="00854E1B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U pacientov starších ako 65</w:t>
      </w:r>
      <w:r w:rsidR="00244876">
        <w:rPr>
          <w:sz w:val="22"/>
          <w:szCs w:val="22"/>
        </w:rPr>
        <w:t> rokov</w:t>
      </w:r>
      <w:r w:rsidRPr="009C5C64">
        <w:rPr>
          <w:sz w:val="22"/>
          <w:szCs w:val="22"/>
        </w:rPr>
        <w:t xml:space="preserve"> nie je potrebná úprava dávky (pozri časť 5.2). </w:t>
      </w:r>
    </w:p>
    <w:p w14:paraId="0D98F865" w14:textId="77777777" w:rsidR="00D22E71" w:rsidRPr="009C5C64" w:rsidRDefault="00D22E71" w:rsidP="00854E1B">
      <w:pPr>
        <w:pStyle w:val="Default"/>
        <w:rPr>
          <w:sz w:val="22"/>
          <w:szCs w:val="22"/>
        </w:rPr>
      </w:pPr>
    </w:p>
    <w:p w14:paraId="0D98F866" w14:textId="77777777" w:rsidR="00854E1B" w:rsidRPr="009C5C64" w:rsidRDefault="00854E1B" w:rsidP="00854E1B">
      <w:pPr>
        <w:pStyle w:val="Default"/>
        <w:rPr>
          <w:sz w:val="22"/>
          <w:szCs w:val="22"/>
          <w:u w:val="single"/>
        </w:rPr>
      </w:pPr>
      <w:r w:rsidRPr="009C5C64">
        <w:rPr>
          <w:i/>
          <w:iCs/>
          <w:sz w:val="22"/>
          <w:szCs w:val="22"/>
          <w:u w:val="single"/>
        </w:rPr>
        <w:t xml:space="preserve">Pacienti s poruchou funkcie obličiek </w:t>
      </w:r>
    </w:p>
    <w:p w14:paraId="0D98F867" w14:textId="77777777" w:rsidR="00D22E71" w:rsidRPr="009C5C64" w:rsidRDefault="00D22E71" w:rsidP="00854E1B">
      <w:pPr>
        <w:pStyle w:val="Default"/>
        <w:rPr>
          <w:sz w:val="22"/>
          <w:szCs w:val="22"/>
        </w:rPr>
      </w:pPr>
    </w:p>
    <w:p w14:paraId="0D98F868" w14:textId="5DDF3636" w:rsidR="00854E1B" w:rsidRPr="009C5C64" w:rsidRDefault="00854E1B" w:rsidP="00854E1B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U pacientov s poruchou funkcie obličiek nie je potrebná úprava dávky (pozri časť 5.2). Skúsenosti s použitím ambrisent</w:t>
      </w:r>
      <w:r w:rsidR="00430259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nu u </w:t>
      </w:r>
      <w:r w:rsidR="00430259">
        <w:rPr>
          <w:sz w:val="22"/>
          <w:szCs w:val="22"/>
        </w:rPr>
        <w:t>osôb</w:t>
      </w:r>
      <w:r w:rsidR="00430259" w:rsidRPr="009C5C64">
        <w:rPr>
          <w:sz w:val="22"/>
          <w:szCs w:val="22"/>
        </w:rPr>
        <w:t xml:space="preserve"> </w:t>
      </w:r>
      <w:r w:rsidRPr="009C5C64">
        <w:rPr>
          <w:sz w:val="22"/>
          <w:szCs w:val="22"/>
        </w:rPr>
        <w:t>s ťažkou poruchou funkcie obličiek (klírens kreatinínu &lt;30 ml/min) sú obmedzené; v tejto podskupine pacientov sa má liečba začať opatrne a pri zvýšení dávky na 10</w:t>
      </w:r>
      <w:r w:rsidR="003308F0">
        <w:rPr>
          <w:sz w:val="22"/>
          <w:szCs w:val="22"/>
        </w:rPr>
        <w:t> </w:t>
      </w:r>
      <w:r w:rsidRPr="009C5C64">
        <w:rPr>
          <w:sz w:val="22"/>
          <w:szCs w:val="22"/>
        </w:rPr>
        <w:t>mg ambrisent</w:t>
      </w:r>
      <w:r w:rsidR="00430259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nu je potrebná osobitná opatrnosť. </w:t>
      </w:r>
    </w:p>
    <w:p w14:paraId="0D98F869" w14:textId="77777777" w:rsidR="00D22E71" w:rsidRPr="009C5C64" w:rsidRDefault="00D22E71" w:rsidP="00854E1B">
      <w:pPr>
        <w:pStyle w:val="Default"/>
        <w:rPr>
          <w:i/>
          <w:iCs/>
          <w:sz w:val="22"/>
          <w:szCs w:val="22"/>
        </w:rPr>
      </w:pPr>
    </w:p>
    <w:p w14:paraId="0D98F86A" w14:textId="77777777" w:rsidR="00854E1B" w:rsidRPr="009C5C64" w:rsidRDefault="00854E1B" w:rsidP="00854E1B">
      <w:pPr>
        <w:pStyle w:val="Default"/>
        <w:rPr>
          <w:sz w:val="22"/>
          <w:szCs w:val="22"/>
        </w:rPr>
      </w:pPr>
      <w:r w:rsidRPr="009C5C64">
        <w:rPr>
          <w:i/>
          <w:iCs/>
          <w:sz w:val="22"/>
          <w:szCs w:val="22"/>
        </w:rPr>
        <w:t xml:space="preserve">Pacienti s poruchou funkcie pečene </w:t>
      </w:r>
    </w:p>
    <w:p w14:paraId="0D98F86B" w14:textId="77777777" w:rsidR="00D22E71" w:rsidRPr="009C5C64" w:rsidRDefault="00D22E71" w:rsidP="00854E1B">
      <w:pPr>
        <w:rPr>
          <w:sz w:val="22"/>
          <w:szCs w:val="22"/>
        </w:rPr>
      </w:pPr>
    </w:p>
    <w:p w14:paraId="0D98F86C" w14:textId="52904CEB" w:rsidR="00D22E71" w:rsidRPr="009C5C64" w:rsidRDefault="00D22E71" w:rsidP="00D22E71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Ambrisent</w:t>
      </w:r>
      <w:r w:rsidR="00430259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 nebol skúmaný u </w:t>
      </w:r>
      <w:r w:rsidR="00430259">
        <w:rPr>
          <w:sz w:val="22"/>
          <w:szCs w:val="22"/>
        </w:rPr>
        <w:t>osôb</w:t>
      </w:r>
      <w:r w:rsidR="00430259" w:rsidRPr="009C5C64">
        <w:rPr>
          <w:sz w:val="22"/>
          <w:szCs w:val="22"/>
        </w:rPr>
        <w:t xml:space="preserve"> </w:t>
      </w:r>
      <w:r w:rsidRPr="009C5C64">
        <w:rPr>
          <w:sz w:val="22"/>
          <w:szCs w:val="22"/>
        </w:rPr>
        <w:t>s poruchou funkcie pečene (s cirhózou alebo bez nej). Vzhľadom na to, že hlavné cesty metabolizmu ambrisent</w:t>
      </w:r>
      <w:r w:rsidR="00430259">
        <w:rPr>
          <w:sz w:val="22"/>
          <w:szCs w:val="22"/>
        </w:rPr>
        <w:t>á</w:t>
      </w:r>
      <w:r w:rsidRPr="009C5C64">
        <w:rPr>
          <w:sz w:val="22"/>
          <w:szCs w:val="22"/>
        </w:rPr>
        <w:t>nu sú glukuronidácia a oxidácia s následným vylučovaním do žlče, je možné očakávať, že porucha funkcie pečene zvýši expozíciu (</w:t>
      </w:r>
      <w:r w:rsidR="00430259">
        <w:rPr>
          <w:sz w:val="22"/>
          <w:szCs w:val="22"/>
        </w:rPr>
        <w:t>c</w:t>
      </w:r>
      <w:r w:rsidR="00430259" w:rsidRPr="000C2E13">
        <w:rPr>
          <w:sz w:val="22"/>
          <w:szCs w:val="22"/>
          <w:vertAlign w:val="subscript"/>
        </w:rPr>
        <w:t>max</w:t>
      </w:r>
      <w:r w:rsidR="00430259" w:rsidRPr="009C5C64">
        <w:rPr>
          <w:sz w:val="22"/>
          <w:szCs w:val="22"/>
        </w:rPr>
        <w:t xml:space="preserve"> </w:t>
      </w:r>
      <w:r w:rsidRPr="009C5C64">
        <w:rPr>
          <w:sz w:val="22"/>
          <w:szCs w:val="22"/>
        </w:rPr>
        <w:t>a AUC) ambrisent</w:t>
      </w:r>
      <w:r w:rsidR="00430259">
        <w:rPr>
          <w:sz w:val="22"/>
          <w:szCs w:val="22"/>
        </w:rPr>
        <w:t>á</w:t>
      </w:r>
      <w:r w:rsidRPr="009C5C64">
        <w:rPr>
          <w:sz w:val="22"/>
          <w:szCs w:val="22"/>
        </w:rPr>
        <w:t>nu. Z tohto dôvodu sa liečba ambrisent</w:t>
      </w:r>
      <w:r w:rsidR="00430259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nom nesmie začať u pacientov s ťažkou poruchou funkcie pečene alebo s klinicky významne zvýšenými hodnotami pečeňových aminotransferáz (nad 3-násobok hornej hranice referenčného rozpätia (&gt;3xULN); pozri časti 4.3 a 4.4). </w:t>
      </w:r>
    </w:p>
    <w:p w14:paraId="0D98F86D" w14:textId="77777777" w:rsidR="00D22E71" w:rsidRPr="009C5C64" w:rsidRDefault="00D22E71" w:rsidP="00D22E71">
      <w:pPr>
        <w:pStyle w:val="Default"/>
        <w:rPr>
          <w:sz w:val="22"/>
          <w:szCs w:val="22"/>
        </w:rPr>
      </w:pPr>
    </w:p>
    <w:p w14:paraId="0D98F86E" w14:textId="77777777" w:rsidR="00D22E71" w:rsidRPr="009C5C64" w:rsidRDefault="00D22E71" w:rsidP="00D22E71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Pediatrická populácia </w:t>
      </w:r>
    </w:p>
    <w:p w14:paraId="0D98F86F" w14:textId="77777777" w:rsidR="00D22E71" w:rsidRPr="009C5C64" w:rsidRDefault="00D22E71" w:rsidP="00D22E71">
      <w:pPr>
        <w:pStyle w:val="Default"/>
        <w:rPr>
          <w:sz w:val="22"/>
          <w:szCs w:val="22"/>
        </w:rPr>
      </w:pPr>
    </w:p>
    <w:p w14:paraId="0D98F870" w14:textId="04E3B767" w:rsidR="00D22E71" w:rsidRPr="009C5C64" w:rsidRDefault="00D22E71" w:rsidP="00D22E71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Bezpečnosť a účinnosť ambrisent</w:t>
      </w:r>
      <w:r w:rsidR="00430259">
        <w:rPr>
          <w:sz w:val="22"/>
          <w:szCs w:val="22"/>
        </w:rPr>
        <w:t>á</w:t>
      </w:r>
      <w:r w:rsidRPr="009C5C64">
        <w:rPr>
          <w:sz w:val="22"/>
          <w:szCs w:val="22"/>
        </w:rPr>
        <w:t>nu u detí a dospievajúcich mladších ako 18</w:t>
      </w:r>
      <w:r w:rsidR="00244876">
        <w:rPr>
          <w:sz w:val="22"/>
          <w:szCs w:val="22"/>
        </w:rPr>
        <w:t> rokov</w:t>
      </w:r>
      <w:r w:rsidRPr="009C5C64">
        <w:rPr>
          <w:sz w:val="22"/>
          <w:szCs w:val="22"/>
        </w:rPr>
        <w:t xml:space="preserve"> neboli stanovené. K dispozícii nie sú žiadne klinické údaje (dostupné údaje týkajúce sa juvenilných zvierat, pozri časť 5.3). </w:t>
      </w:r>
    </w:p>
    <w:p w14:paraId="0D98F871" w14:textId="77777777" w:rsidR="00D22E71" w:rsidRPr="009C5C64" w:rsidRDefault="00D22E71" w:rsidP="00D22E71">
      <w:pPr>
        <w:pStyle w:val="Default"/>
        <w:rPr>
          <w:sz w:val="22"/>
          <w:szCs w:val="22"/>
        </w:rPr>
      </w:pPr>
    </w:p>
    <w:p w14:paraId="0D98F872" w14:textId="77777777" w:rsidR="00D22E71" w:rsidRPr="009C5C64" w:rsidRDefault="00D22E71" w:rsidP="00D22E71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lastRenderedPageBreak/>
        <w:t xml:space="preserve">Spôsob podávania </w:t>
      </w:r>
    </w:p>
    <w:p w14:paraId="0D98F873" w14:textId="77777777" w:rsidR="00D22E71" w:rsidRPr="009C5C64" w:rsidRDefault="00D22E71" w:rsidP="00D22E71">
      <w:pPr>
        <w:pStyle w:val="Default"/>
        <w:rPr>
          <w:sz w:val="22"/>
          <w:szCs w:val="22"/>
          <w:u w:val="single"/>
        </w:rPr>
      </w:pPr>
    </w:p>
    <w:p w14:paraId="0D98F874" w14:textId="77777777" w:rsidR="00D836F6" w:rsidRPr="009C5C64" w:rsidRDefault="00D22E71" w:rsidP="00D22E71">
      <w:pPr>
        <w:pStyle w:val="EMEAEnBodyText"/>
        <w:tabs>
          <w:tab w:val="left" w:pos="567"/>
        </w:tabs>
        <w:spacing w:before="0" w:after="0" w:line="260" w:lineRule="exact"/>
        <w:jc w:val="left"/>
        <w:rPr>
          <w:szCs w:val="22"/>
        </w:rPr>
      </w:pPr>
      <w:r w:rsidRPr="009C5C64">
        <w:rPr>
          <w:szCs w:val="22"/>
        </w:rPr>
        <w:t>Odporúča sa, aby sa tableta prehltla vcelku a môže sa užívať s jedlom alebo bez jedla. Odporúča sa tabletu nedeliť, nedrviť ani nežuť.</w:t>
      </w:r>
    </w:p>
    <w:p w14:paraId="0D98F875" w14:textId="77777777" w:rsidR="00D22E71" w:rsidRPr="009C5C64" w:rsidRDefault="00D22E71" w:rsidP="00D22E71">
      <w:pPr>
        <w:pStyle w:val="EMEAEnBodyText"/>
        <w:tabs>
          <w:tab w:val="left" w:pos="567"/>
        </w:tabs>
        <w:spacing w:before="0" w:after="0" w:line="260" w:lineRule="exact"/>
        <w:jc w:val="left"/>
        <w:rPr>
          <w:szCs w:val="22"/>
        </w:rPr>
      </w:pPr>
    </w:p>
    <w:p w14:paraId="0D98F876" w14:textId="77777777" w:rsidR="00D836F6" w:rsidRPr="009C5C64" w:rsidRDefault="00266F55" w:rsidP="004632AE">
      <w:pPr>
        <w:ind w:left="567" w:hanging="567"/>
        <w:rPr>
          <w:sz w:val="22"/>
          <w:szCs w:val="22"/>
        </w:rPr>
      </w:pPr>
      <w:r w:rsidRPr="009C5C64">
        <w:rPr>
          <w:b/>
          <w:sz w:val="22"/>
          <w:szCs w:val="22"/>
        </w:rPr>
        <w:t>4.3</w:t>
      </w:r>
      <w:r w:rsidRPr="009C5C64">
        <w:rPr>
          <w:b/>
          <w:sz w:val="22"/>
          <w:szCs w:val="22"/>
        </w:rPr>
        <w:tab/>
        <w:t>Kontraindikácie</w:t>
      </w:r>
    </w:p>
    <w:p w14:paraId="0D98F877" w14:textId="77777777" w:rsidR="00D836F6" w:rsidRPr="009C5C64" w:rsidRDefault="00D836F6" w:rsidP="004632AE">
      <w:pPr>
        <w:rPr>
          <w:sz w:val="22"/>
          <w:szCs w:val="22"/>
        </w:rPr>
      </w:pPr>
    </w:p>
    <w:p w14:paraId="0D98F878" w14:textId="77777777" w:rsidR="00D22E71" w:rsidRPr="009C5C64" w:rsidRDefault="00D22E71" w:rsidP="00D22E71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Precitlivenosť na liečivo, na sóju alebo na ktorúkoľvek z pomocných látok uvedených v časti 6.1. </w:t>
      </w:r>
    </w:p>
    <w:p w14:paraId="0D98F879" w14:textId="77777777" w:rsidR="00D22E71" w:rsidRPr="009C5C64" w:rsidRDefault="00D22E71" w:rsidP="00D22E71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Gravidita (pozri časť 4.6). </w:t>
      </w:r>
    </w:p>
    <w:p w14:paraId="0D98F87A" w14:textId="77777777" w:rsidR="00D22E71" w:rsidRPr="009C5C64" w:rsidRDefault="00D22E71" w:rsidP="00D22E71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Ženy vo fertilnom veku, ktoré nepoužívajú spoľahlivú antikoncepciu (pozri časti 4.4 a 4.6). </w:t>
      </w:r>
    </w:p>
    <w:p w14:paraId="0D98F87B" w14:textId="77777777" w:rsidR="00D22E71" w:rsidRPr="009C5C64" w:rsidRDefault="00D22E71" w:rsidP="00D22E71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Dojčenie (pozri časť 4.6). </w:t>
      </w:r>
    </w:p>
    <w:p w14:paraId="0D98F87C" w14:textId="77777777" w:rsidR="00D22E71" w:rsidRPr="009C5C64" w:rsidRDefault="00D22E71" w:rsidP="00D22E71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Ťažká porucha funkcie pečene (s cirhózou alebo bez nej) (pozri časť 4.2). </w:t>
      </w:r>
    </w:p>
    <w:p w14:paraId="0D98F87D" w14:textId="77777777" w:rsidR="00D22E71" w:rsidRPr="009C5C64" w:rsidRDefault="00D22E71" w:rsidP="00D22E71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Východiskové hodnoty pečeňových aminotransferáz (aspartátaminotransferázy (AST) a/alebo alanínaminotransferázy (ALT)) &gt;3xULN (pozri časti 4.2 a 4.4). </w:t>
      </w:r>
    </w:p>
    <w:p w14:paraId="0D98F87E" w14:textId="77777777" w:rsidR="00D836F6" w:rsidRPr="009C5C64" w:rsidRDefault="00D22E71" w:rsidP="00D22E71">
      <w:pPr>
        <w:tabs>
          <w:tab w:val="left" w:pos="0"/>
        </w:tabs>
        <w:rPr>
          <w:sz w:val="22"/>
          <w:szCs w:val="22"/>
        </w:rPr>
      </w:pPr>
      <w:r w:rsidRPr="009C5C64">
        <w:rPr>
          <w:sz w:val="22"/>
          <w:szCs w:val="22"/>
        </w:rPr>
        <w:t>Idiopatická pľúcna fibróza (IPF) so sekundárnou pľúcnou artériovou hypertenziou alebo bez nej (pozri časť 5.1).</w:t>
      </w:r>
    </w:p>
    <w:p w14:paraId="0D98F87F" w14:textId="77777777" w:rsidR="00D22E71" w:rsidRPr="009C5C64" w:rsidRDefault="00D22E71" w:rsidP="00D22E71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D98F880" w14:textId="37C8AFD9" w:rsidR="00D836F6" w:rsidRPr="009C5C64" w:rsidRDefault="00266F55" w:rsidP="004632A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4.4</w:t>
      </w:r>
      <w:r w:rsidR="00A46734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Osobitné upozornenia a opatrenia pri používaní</w:t>
      </w:r>
    </w:p>
    <w:p w14:paraId="0D98F881" w14:textId="77777777" w:rsidR="00D836F6" w:rsidRPr="009C5C64" w:rsidRDefault="00D836F6" w:rsidP="004632AE">
      <w:pPr>
        <w:rPr>
          <w:sz w:val="22"/>
          <w:szCs w:val="22"/>
        </w:rPr>
      </w:pPr>
    </w:p>
    <w:p w14:paraId="0D98F882" w14:textId="4668B0B0" w:rsidR="00D22E71" w:rsidRPr="009C5C64" w:rsidRDefault="00D22E71" w:rsidP="00D22E71">
      <w:pPr>
        <w:pStyle w:val="Default"/>
        <w:rPr>
          <w:sz w:val="22"/>
          <w:szCs w:val="22"/>
        </w:rPr>
      </w:pPr>
      <w:r w:rsidRPr="008C2F7C">
        <w:rPr>
          <w:sz w:val="22"/>
          <w:szCs w:val="22"/>
        </w:rPr>
        <w:t>Ambrisent</w:t>
      </w:r>
      <w:r w:rsidR="00667A5C" w:rsidRPr="008C2F7C">
        <w:rPr>
          <w:sz w:val="22"/>
          <w:szCs w:val="22"/>
        </w:rPr>
        <w:t>á</w:t>
      </w:r>
      <w:r w:rsidR="007854AF" w:rsidRPr="008C2F7C">
        <w:rPr>
          <w:sz w:val="22"/>
          <w:szCs w:val="22"/>
        </w:rPr>
        <w:t>n nebol skúmaný na dostatočnom počte</w:t>
      </w:r>
      <w:r w:rsidRPr="008C2F7C">
        <w:rPr>
          <w:sz w:val="22"/>
          <w:szCs w:val="22"/>
        </w:rPr>
        <w:t xml:space="preserve"> pacientov, aby bolo možné stanoviť</w:t>
      </w:r>
      <w:r w:rsidR="007854AF" w:rsidRPr="008C2F7C">
        <w:rPr>
          <w:sz w:val="22"/>
          <w:szCs w:val="22"/>
        </w:rPr>
        <w:t xml:space="preserve"> pomer</w:t>
      </w:r>
      <w:r w:rsidRPr="009C5C64">
        <w:rPr>
          <w:sz w:val="22"/>
          <w:szCs w:val="22"/>
        </w:rPr>
        <w:t xml:space="preserve"> medzi prínosom a rizikom pri PAH funkčnej triedy I podľa </w:t>
      </w:r>
      <w:r w:rsidR="00667A5C">
        <w:rPr>
          <w:sz w:val="22"/>
          <w:szCs w:val="22"/>
        </w:rPr>
        <w:t>WHO</w:t>
      </w:r>
      <w:r w:rsidRPr="009C5C64">
        <w:rPr>
          <w:sz w:val="22"/>
          <w:szCs w:val="22"/>
        </w:rPr>
        <w:t xml:space="preserve">. </w:t>
      </w:r>
    </w:p>
    <w:p w14:paraId="0D98F883" w14:textId="77777777" w:rsidR="00D22E71" w:rsidRPr="009C5C64" w:rsidRDefault="00D22E71" w:rsidP="00D22E71">
      <w:pPr>
        <w:pStyle w:val="Default"/>
        <w:rPr>
          <w:sz w:val="22"/>
          <w:szCs w:val="22"/>
        </w:rPr>
      </w:pPr>
    </w:p>
    <w:p w14:paraId="0D98F884" w14:textId="1017DBF8" w:rsidR="00D22E71" w:rsidRPr="009C5C64" w:rsidRDefault="00D22E71" w:rsidP="00D22E71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Účinnosť ambrisent</w:t>
      </w:r>
      <w:r w:rsidR="00667A5C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nu v monoterapii nebola stanovená u pacientov s PAH funkčnej triedy IV podľa </w:t>
      </w:r>
      <w:r w:rsidR="00667A5C">
        <w:rPr>
          <w:sz w:val="22"/>
          <w:szCs w:val="22"/>
        </w:rPr>
        <w:t>WHO</w:t>
      </w:r>
      <w:r w:rsidRPr="009C5C64">
        <w:rPr>
          <w:sz w:val="22"/>
          <w:szCs w:val="22"/>
        </w:rPr>
        <w:t xml:space="preserve">. Ak dôjde k zhoršeniu klinického stavu, má sa zvážiť liečba, ktorá je odporúčaná pre ťažké štádium ochorenia (napr. epoprostenol). </w:t>
      </w:r>
    </w:p>
    <w:p w14:paraId="0D98F885" w14:textId="77777777" w:rsidR="00D22E71" w:rsidRPr="009C5C64" w:rsidRDefault="00D22E71" w:rsidP="00D22E71">
      <w:pPr>
        <w:pStyle w:val="Default"/>
        <w:rPr>
          <w:sz w:val="22"/>
          <w:szCs w:val="22"/>
        </w:rPr>
      </w:pPr>
    </w:p>
    <w:p w14:paraId="0D98F886" w14:textId="04F7532C" w:rsidR="00D22E71" w:rsidRPr="009C5C64" w:rsidRDefault="00D22E71" w:rsidP="00D22E71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Funkcia pečene </w:t>
      </w:r>
    </w:p>
    <w:p w14:paraId="0D98F887" w14:textId="2464EA74" w:rsidR="00D22E71" w:rsidRPr="009C5C64" w:rsidRDefault="00D22E71" w:rsidP="00D22E71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PAH je spojená s </w:t>
      </w:r>
      <w:r w:rsidR="00667A5C">
        <w:rPr>
          <w:sz w:val="22"/>
          <w:szCs w:val="22"/>
        </w:rPr>
        <w:t xml:space="preserve">poruchami </w:t>
      </w:r>
      <w:r w:rsidRPr="009C5C64">
        <w:rPr>
          <w:sz w:val="22"/>
          <w:szCs w:val="22"/>
        </w:rPr>
        <w:t>funkcie pečene. Pri používaní ambrisent</w:t>
      </w:r>
      <w:r w:rsidR="00667A5C">
        <w:rPr>
          <w:sz w:val="22"/>
          <w:szCs w:val="22"/>
        </w:rPr>
        <w:t>á</w:t>
      </w:r>
      <w:r w:rsidRPr="009C5C64">
        <w:rPr>
          <w:sz w:val="22"/>
          <w:szCs w:val="22"/>
        </w:rPr>
        <w:t>nu boli pozorované prípady zodpovedajúce autoimunitnej hepatitíde, vrátane možnej exacerbácie už existujúcej autoimunitnej hepatitídy, poškodenia pečene a zvýšenia hodnôt pečeňových enzýmov potenciálne súvisiaceho s liečbou (pozri časti 4.8 a 5.1). Pred začiatkom liečby ambrisent</w:t>
      </w:r>
      <w:r w:rsidR="000C271B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nom sa preto majú stanoviť hodnoty pečeňových aminotransferáz (ALT a AST) a liečba sa nemá začať u pacientov s východiskovými hodnotami ALT a/alebo AST &gt;3xULN (pozri časť 4.3). </w:t>
      </w:r>
    </w:p>
    <w:p w14:paraId="0D98F888" w14:textId="77777777" w:rsidR="00D22E71" w:rsidRPr="009C5C64" w:rsidRDefault="00D22E71" w:rsidP="00D22E71">
      <w:pPr>
        <w:pStyle w:val="Default"/>
        <w:rPr>
          <w:sz w:val="22"/>
          <w:szCs w:val="22"/>
        </w:rPr>
      </w:pPr>
    </w:p>
    <w:p w14:paraId="0D98F889" w14:textId="1AFF0298" w:rsidR="00D22E71" w:rsidRPr="009C5C64" w:rsidRDefault="00D22E71" w:rsidP="00D22E71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Pacienti majú byť sledovaní kvôli prejavom poškodenia pečene a odporúča sa kontrolovať hodnoty ALT a AST raz za mesiac. Ak u pacienta dôjde k trvalému, neobjasnenému, klinicky významnému zvýšeniu hodnôt ALT a/alebo AST, alebo ak je zvýšenie hodnôt ALT a/alebo AST sprevádzané </w:t>
      </w:r>
      <w:r w:rsidR="000C271B">
        <w:rPr>
          <w:sz w:val="22"/>
          <w:szCs w:val="22"/>
        </w:rPr>
        <w:t>prejavmi</w:t>
      </w:r>
      <w:r w:rsidR="000C271B" w:rsidRPr="009C5C64">
        <w:rPr>
          <w:sz w:val="22"/>
          <w:szCs w:val="22"/>
        </w:rPr>
        <w:t xml:space="preserve"> </w:t>
      </w:r>
      <w:r w:rsidRPr="009C5C64">
        <w:rPr>
          <w:sz w:val="22"/>
          <w:szCs w:val="22"/>
        </w:rPr>
        <w:t>alebo príznakmi poškodenia pečene (napr. žltačka), liečba ambrisent</w:t>
      </w:r>
      <w:r w:rsidR="000C271B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nom sa má ukončiť. </w:t>
      </w:r>
    </w:p>
    <w:p w14:paraId="0D98F88A" w14:textId="77777777" w:rsidR="00D22E71" w:rsidRPr="009C5C64" w:rsidRDefault="00D22E71" w:rsidP="00D22E71">
      <w:pPr>
        <w:rPr>
          <w:sz w:val="22"/>
          <w:szCs w:val="22"/>
        </w:rPr>
      </w:pPr>
    </w:p>
    <w:p w14:paraId="0D98F88B" w14:textId="44133106" w:rsidR="00D836F6" w:rsidRPr="009C5C64" w:rsidRDefault="00D22E71" w:rsidP="00D22E71">
      <w:pPr>
        <w:rPr>
          <w:sz w:val="22"/>
          <w:szCs w:val="22"/>
        </w:rPr>
      </w:pPr>
      <w:r w:rsidRPr="009C5C64">
        <w:rPr>
          <w:sz w:val="22"/>
          <w:szCs w:val="22"/>
        </w:rPr>
        <w:t>U pacientov bez klinických príznakov poškodenia pečene alebo bez žltačky sa opätovné začatie liečby ambrisent</w:t>
      </w:r>
      <w:r w:rsidR="000C271B">
        <w:rPr>
          <w:sz w:val="22"/>
          <w:szCs w:val="22"/>
        </w:rPr>
        <w:t>á</w:t>
      </w:r>
      <w:r w:rsidRPr="009C5C64">
        <w:rPr>
          <w:sz w:val="22"/>
          <w:szCs w:val="22"/>
        </w:rPr>
        <w:t>nom môže zvážiť po normalizácii hodnôt pečeňových enzýmov. Odporúča sa vyšetrenie u hepatológa.</w:t>
      </w:r>
    </w:p>
    <w:p w14:paraId="0D98F88C" w14:textId="77777777" w:rsidR="00D22E71" w:rsidRPr="009C5C64" w:rsidRDefault="00D22E71" w:rsidP="00D22E71">
      <w:pPr>
        <w:rPr>
          <w:sz w:val="22"/>
          <w:szCs w:val="22"/>
        </w:rPr>
      </w:pPr>
    </w:p>
    <w:p w14:paraId="0D98F88D" w14:textId="77777777" w:rsidR="00D22E71" w:rsidRPr="009C5C64" w:rsidRDefault="00D22E71" w:rsidP="00D22E71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Koncentrácia hemoglobínu </w:t>
      </w:r>
    </w:p>
    <w:p w14:paraId="0D98F88E" w14:textId="50D2F924" w:rsidR="00D22E71" w:rsidRPr="009C5C64" w:rsidRDefault="00D22E71" w:rsidP="00D22E71">
      <w:pPr>
        <w:rPr>
          <w:sz w:val="22"/>
          <w:szCs w:val="22"/>
        </w:rPr>
      </w:pPr>
      <w:r w:rsidRPr="009C5C64">
        <w:rPr>
          <w:sz w:val="22"/>
          <w:szCs w:val="22"/>
        </w:rPr>
        <w:t>Používanie antagonistov endotelínových receptorov (ERA) vrátane ambrisent</w:t>
      </w:r>
      <w:r w:rsidR="000C271B">
        <w:rPr>
          <w:sz w:val="22"/>
          <w:szCs w:val="22"/>
        </w:rPr>
        <w:t>á</w:t>
      </w:r>
      <w:r w:rsidRPr="009C5C64">
        <w:rPr>
          <w:sz w:val="22"/>
          <w:szCs w:val="22"/>
        </w:rPr>
        <w:t>nu je spojené so znížením koncentrácií hemoglobínu a hematokritu. Znížené koncentrácie boli väčšinou zistené počas prvých 4 týždňov liečby a potom sa hemoglobín zvyčajne stabilizoval. Priemerné poklesy (v rozmedzí od 0,9 do 1,2 g/dl) koncentrácií hemoglobínu, v porovnaní s východiskovými koncentráciami, pretrvávali počas až 4</w:t>
      </w:r>
      <w:r w:rsidR="00244876">
        <w:rPr>
          <w:sz w:val="22"/>
          <w:szCs w:val="22"/>
        </w:rPr>
        <w:t> rokov</w:t>
      </w:r>
      <w:r w:rsidRPr="009C5C64">
        <w:rPr>
          <w:sz w:val="22"/>
          <w:szCs w:val="22"/>
        </w:rPr>
        <w:t xml:space="preserve"> liečby ambrisent</w:t>
      </w:r>
      <w:r w:rsidR="000C271B">
        <w:rPr>
          <w:sz w:val="22"/>
          <w:szCs w:val="22"/>
        </w:rPr>
        <w:t>á</w:t>
      </w:r>
      <w:r w:rsidRPr="009C5C64">
        <w:rPr>
          <w:sz w:val="22"/>
          <w:szCs w:val="22"/>
        </w:rPr>
        <w:t>nom v dlhodobom otvorenom predĺžení pivotných klinických štúdií fázy 3 originálneho lieku. V období po uvedení originálneho lieku na trh boli hlásené prípady anémie vyžadujúcej  transfúziu krvi (pozri časť 4.8).</w:t>
      </w:r>
    </w:p>
    <w:p w14:paraId="0D98F88F" w14:textId="77777777" w:rsidR="00D22E71" w:rsidRPr="009C5C64" w:rsidRDefault="00D22E71" w:rsidP="00D22E71">
      <w:pPr>
        <w:rPr>
          <w:sz w:val="22"/>
          <w:szCs w:val="22"/>
        </w:rPr>
      </w:pPr>
    </w:p>
    <w:p w14:paraId="0D98F890" w14:textId="59C654C6" w:rsidR="00D22E71" w:rsidRPr="009C5C64" w:rsidRDefault="00D22E71" w:rsidP="00D22E71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Neodporúča sa začať liečbu ambrisent</w:t>
      </w:r>
      <w:r w:rsidR="000C271B">
        <w:rPr>
          <w:sz w:val="22"/>
          <w:szCs w:val="22"/>
        </w:rPr>
        <w:t>á</w:t>
      </w:r>
      <w:r w:rsidRPr="009C5C64">
        <w:rPr>
          <w:sz w:val="22"/>
          <w:szCs w:val="22"/>
        </w:rPr>
        <w:t>nom u pacientov s klinicky významnou anémiou. Počas liečby ambrisent</w:t>
      </w:r>
      <w:r w:rsidR="000C271B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nom sa odporúča kontrolovať hladiny hemoglobínu a/alebo hematokritu, napríklad po 1 </w:t>
      </w:r>
      <w:r w:rsidRPr="009C5C64">
        <w:rPr>
          <w:sz w:val="22"/>
          <w:szCs w:val="22"/>
        </w:rPr>
        <w:lastRenderedPageBreak/>
        <w:t>mesiaci, 3 mesiacoch a potom v pravidelných intervaloch v súlade s klinickou praxou. Ak sa zistí klinicky významné zníženie hladín hemoglobínu alebo hematokritu a vylúčia sa iné príčiny, má sa zvážiť zníženie dávky alebo ukončenie liečby. Výskyt anémie bol zvýšený, keď sa ambrisent</w:t>
      </w:r>
      <w:r w:rsidR="000C271B">
        <w:rPr>
          <w:sz w:val="22"/>
          <w:szCs w:val="22"/>
        </w:rPr>
        <w:t>á</w:t>
      </w:r>
      <w:r w:rsidRPr="009C5C64">
        <w:rPr>
          <w:sz w:val="22"/>
          <w:szCs w:val="22"/>
        </w:rPr>
        <w:t>n podával v kombinácii s tadalafilom (15 % frekvencia výskytu tejto nežiaducej udalosti), v porovnaní s výskytom anémie, keď sa ambrisent</w:t>
      </w:r>
      <w:r w:rsidR="000C271B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 a tadalafil podávali v monoterapii (7 % a 11 %, v uvedenom poradí). </w:t>
      </w:r>
    </w:p>
    <w:p w14:paraId="0D98F891" w14:textId="77777777" w:rsidR="00F64258" w:rsidRPr="009C5C64" w:rsidRDefault="00F64258" w:rsidP="00D22E71">
      <w:pPr>
        <w:pStyle w:val="Default"/>
        <w:rPr>
          <w:sz w:val="22"/>
          <w:szCs w:val="22"/>
        </w:rPr>
      </w:pPr>
    </w:p>
    <w:p w14:paraId="0D98F892" w14:textId="77777777" w:rsidR="00D22E71" w:rsidRPr="009C5C64" w:rsidRDefault="00D22E71" w:rsidP="00D22E71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Retencia tekutín </w:t>
      </w:r>
    </w:p>
    <w:p w14:paraId="0D98F893" w14:textId="593AB688" w:rsidR="00D22E71" w:rsidRPr="009C5C64" w:rsidRDefault="00D22E71" w:rsidP="00D22E71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Pri používaní </w:t>
      </w:r>
      <w:r w:rsidRPr="007F3381">
        <w:rPr>
          <w:sz w:val="22"/>
          <w:szCs w:val="22"/>
        </w:rPr>
        <w:t>E</w:t>
      </w:r>
      <w:r w:rsidRPr="00862386">
        <w:rPr>
          <w:sz w:val="22"/>
          <w:szCs w:val="22"/>
        </w:rPr>
        <w:t>RA</w:t>
      </w:r>
      <w:r w:rsidRPr="009C5C64">
        <w:rPr>
          <w:sz w:val="22"/>
          <w:szCs w:val="22"/>
        </w:rPr>
        <w:t xml:space="preserve"> vrátane ambrisent</w:t>
      </w:r>
      <w:r w:rsidR="000C271B">
        <w:rPr>
          <w:sz w:val="22"/>
          <w:szCs w:val="22"/>
        </w:rPr>
        <w:t>á</w:t>
      </w:r>
      <w:r w:rsidRPr="009C5C64">
        <w:rPr>
          <w:sz w:val="22"/>
          <w:szCs w:val="22"/>
        </w:rPr>
        <w:t>nu sa pozoroval periférny edém. Väčšina prípadov periférneho edému v klinických štúdiách s ambrisent</w:t>
      </w:r>
      <w:r w:rsidR="000C271B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nom bola </w:t>
      </w:r>
      <w:r w:rsidR="000C271B">
        <w:rPr>
          <w:sz w:val="22"/>
          <w:szCs w:val="22"/>
        </w:rPr>
        <w:t>miernej</w:t>
      </w:r>
      <w:r w:rsidR="000C271B" w:rsidRPr="009C5C64">
        <w:rPr>
          <w:sz w:val="22"/>
          <w:szCs w:val="22"/>
        </w:rPr>
        <w:t xml:space="preserve"> </w:t>
      </w:r>
      <w:r w:rsidRPr="009C5C64">
        <w:rPr>
          <w:sz w:val="22"/>
          <w:szCs w:val="22"/>
        </w:rPr>
        <w:t>až stredne ťažkej závažnosti, aj keď sa môže vyskytnúť s väčšou frekvenciou a závažnosťou u pacientov ≥ 65</w:t>
      </w:r>
      <w:r w:rsidR="00244876">
        <w:rPr>
          <w:sz w:val="22"/>
          <w:szCs w:val="22"/>
        </w:rPr>
        <w:t> rokov</w:t>
      </w:r>
      <w:r w:rsidRPr="009C5C64">
        <w:rPr>
          <w:sz w:val="22"/>
          <w:szCs w:val="22"/>
        </w:rPr>
        <w:t>. V krátkodobých klinických štúdiách bol periférny edém hlásený častejšie pri podávaní 10</w:t>
      </w:r>
      <w:r w:rsidR="003308F0">
        <w:rPr>
          <w:sz w:val="22"/>
          <w:szCs w:val="22"/>
        </w:rPr>
        <w:t> </w:t>
      </w:r>
      <w:r w:rsidRPr="009C5C64">
        <w:rPr>
          <w:sz w:val="22"/>
          <w:szCs w:val="22"/>
        </w:rPr>
        <w:t>mg ambrisent</w:t>
      </w:r>
      <w:r w:rsidR="000C271B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nu (pozri časť 4.8). </w:t>
      </w:r>
    </w:p>
    <w:p w14:paraId="0D98F894" w14:textId="77777777" w:rsidR="00F64258" w:rsidRPr="009C5C64" w:rsidRDefault="00F64258" w:rsidP="00D22E71">
      <w:pPr>
        <w:pStyle w:val="Default"/>
        <w:rPr>
          <w:sz w:val="22"/>
          <w:szCs w:val="22"/>
        </w:rPr>
      </w:pPr>
    </w:p>
    <w:p w14:paraId="0D98F895" w14:textId="25372C3B" w:rsidR="00D22E71" w:rsidRPr="009C5C64" w:rsidRDefault="00D22E71" w:rsidP="00D22E71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Po uvedení </w:t>
      </w:r>
      <w:r w:rsidR="00F64258" w:rsidRPr="009C5C64">
        <w:rPr>
          <w:sz w:val="22"/>
          <w:szCs w:val="22"/>
        </w:rPr>
        <w:t xml:space="preserve">originálneho </w:t>
      </w:r>
      <w:r w:rsidRPr="009C5C64">
        <w:rPr>
          <w:sz w:val="22"/>
          <w:szCs w:val="22"/>
        </w:rPr>
        <w:t>lieku na trh boli hlásené prípady retencie tekutín vyskytujúcej sa v priebehu niekoľkých týždňov po začatí liečby ambrisent</w:t>
      </w:r>
      <w:r w:rsidR="000C271B">
        <w:rPr>
          <w:sz w:val="22"/>
          <w:szCs w:val="22"/>
        </w:rPr>
        <w:t>á</w:t>
      </w:r>
      <w:r w:rsidRPr="009C5C64">
        <w:rPr>
          <w:sz w:val="22"/>
          <w:szCs w:val="22"/>
        </w:rPr>
        <w:t>nom a v niektorých prípadoch liečba retencie tekutín alebo dekompenzovaného zlyh</w:t>
      </w:r>
      <w:r w:rsidR="000C271B">
        <w:rPr>
          <w:sz w:val="22"/>
          <w:szCs w:val="22"/>
        </w:rPr>
        <w:t>ávania srdca</w:t>
      </w:r>
      <w:r w:rsidRPr="009C5C64">
        <w:rPr>
          <w:sz w:val="22"/>
          <w:szCs w:val="22"/>
        </w:rPr>
        <w:t xml:space="preserve"> vyžadovala podanie diuretika alebo hospitalizáciu. Ak </w:t>
      </w:r>
      <w:r w:rsidR="000C271B">
        <w:rPr>
          <w:sz w:val="22"/>
          <w:szCs w:val="22"/>
        </w:rPr>
        <w:t xml:space="preserve">už sú </w:t>
      </w:r>
      <w:r w:rsidRPr="009C5C64">
        <w:rPr>
          <w:sz w:val="22"/>
          <w:szCs w:val="22"/>
        </w:rPr>
        <w:t xml:space="preserve">pacienti preťažení tekutinami, treba </w:t>
      </w:r>
      <w:r w:rsidR="000C271B">
        <w:rPr>
          <w:sz w:val="22"/>
          <w:szCs w:val="22"/>
        </w:rPr>
        <w:t>to</w:t>
      </w:r>
      <w:r w:rsidRPr="009C5C64">
        <w:rPr>
          <w:sz w:val="22"/>
          <w:szCs w:val="22"/>
        </w:rPr>
        <w:t xml:space="preserve"> zvládnuť klinicky vhodným spôsobom pred začatím liečby ambrisent</w:t>
      </w:r>
      <w:r w:rsidR="000C271B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nom. </w:t>
      </w:r>
    </w:p>
    <w:p w14:paraId="0D98F896" w14:textId="77777777" w:rsidR="00F64258" w:rsidRPr="009C5C64" w:rsidRDefault="00F64258" w:rsidP="00D22E71">
      <w:pPr>
        <w:pStyle w:val="Default"/>
        <w:rPr>
          <w:sz w:val="22"/>
          <w:szCs w:val="22"/>
        </w:rPr>
      </w:pPr>
    </w:p>
    <w:p w14:paraId="0D98F897" w14:textId="0ED51B64" w:rsidR="00D22E71" w:rsidRPr="009C5C64" w:rsidRDefault="00D22E71" w:rsidP="00D22E71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Ak počas liečby ambrisent</w:t>
      </w:r>
      <w:r w:rsidR="000C271B">
        <w:rPr>
          <w:sz w:val="22"/>
          <w:szCs w:val="22"/>
        </w:rPr>
        <w:t>á</w:t>
      </w:r>
      <w:r w:rsidRPr="009C5C64">
        <w:rPr>
          <w:sz w:val="22"/>
          <w:szCs w:val="22"/>
        </w:rPr>
        <w:t>nom vznikne klinicky významná retencia tekutín, ktorá je alebo nie je spojená s prírastkom telesnej hmotnosti, majú sa vykonať ďalšie vyšetrenia, aby sa určila príčina, napr. liečba ambrisent</w:t>
      </w:r>
      <w:r w:rsidR="000C271B">
        <w:rPr>
          <w:sz w:val="22"/>
          <w:szCs w:val="22"/>
        </w:rPr>
        <w:t>á</w:t>
      </w:r>
      <w:r w:rsidRPr="009C5C64">
        <w:rPr>
          <w:sz w:val="22"/>
          <w:szCs w:val="22"/>
        </w:rPr>
        <w:t>nom alebo už existujúce zlyh</w:t>
      </w:r>
      <w:r w:rsidR="000C271B">
        <w:rPr>
          <w:sz w:val="22"/>
          <w:szCs w:val="22"/>
        </w:rPr>
        <w:t>ávanie srdca</w:t>
      </w:r>
      <w:r w:rsidRPr="009C5C64">
        <w:rPr>
          <w:sz w:val="22"/>
          <w:szCs w:val="22"/>
        </w:rPr>
        <w:t>, a možná potreba špecifickej liečby alebo ukončenia liečby ambrisent</w:t>
      </w:r>
      <w:r w:rsidR="000C271B">
        <w:rPr>
          <w:sz w:val="22"/>
          <w:szCs w:val="22"/>
        </w:rPr>
        <w:t>á</w:t>
      </w:r>
      <w:r w:rsidRPr="009C5C64">
        <w:rPr>
          <w:sz w:val="22"/>
          <w:szCs w:val="22"/>
        </w:rPr>
        <w:t>nom. Výskyt periférneho edému bol zvýšený, keď sa ambrisent</w:t>
      </w:r>
      <w:r w:rsidR="000C271B">
        <w:rPr>
          <w:sz w:val="22"/>
          <w:szCs w:val="22"/>
        </w:rPr>
        <w:t>á</w:t>
      </w:r>
      <w:r w:rsidRPr="009C5C64">
        <w:rPr>
          <w:sz w:val="22"/>
          <w:szCs w:val="22"/>
        </w:rPr>
        <w:t>n podával v kombinácii s tadalafilom (45 % frekvencia výskytu tejto nežiaducej udalosti), v porovnaní s výskytom periférneho edému, keď sa ambrisent</w:t>
      </w:r>
      <w:r w:rsidR="000C271B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 a tadalafil podávali v monoterapii (38 % a 28 %, v uvedenom poradí). Výskyt periférneho edému bol najvyšší v priebehu prvého mesiaca po začatí liečby. </w:t>
      </w:r>
    </w:p>
    <w:p w14:paraId="0D98F898" w14:textId="77777777" w:rsidR="00F64258" w:rsidRPr="009C5C64" w:rsidRDefault="00F64258" w:rsidP="00D22E71">
      <w:pPr>
        <w:pStyle w:val="Default"/>
        <w:rPr>
          <w:sz w:val="22"/>
          <w:szCs w:val="22"/>
        </w:rPr>
      </w:pPr>
    </w:p>
    <w:p w14:paraId="0D98F899" w14:textId="77777777" w:rsidR="00D22E71" w:rsidRPr="009C5C64" w:rsidRDefault="00D22E71" w:rsidP="00D22E71">
      <w:pPr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>Ženy vo fertilnom veku</w:t>
      </w:r>
    </w:p>
    <w:p w14:paraId="0D98F89A" w14:textId="2088724B" w:rsidR="00F64258" w:rsidRPr="009C5C64" w:rsidRDefault="00F64258" w:rsidP="00F64258">
      <w:pPr>
        <w:pStyle w:val="Default"/>
        <w:rPr>
          <w:sz w:val="22"/>
          <w:szCs w:val="22"/>
        </w:rPr>
      </w:pPr>
      <w:r w:rsidRPr="00862386">
        <w:rPr>
          <w:sz w:val="22"/>
          <w:szCs w:val="22"/>
        </w:rPr>
        <w:t xml:space="preserve">Liečba </w:t>
      </w:r>
      <w:r w:rsidR="003A78CA" w:rsidRPr="000C2E13">
        <w:rPr>
          <w:sz w:val="22"/>
          <w:szCs w:val="22"/>
        </w:rPr>
        <w:t>Ambrisentanom</w:t>
      </w:r>
      <w:r w:rsidR="001A788E" w:rsidRPr="000C2E13">
        <w:rPr>
          <w:sz w:val="22"/>
          <w:szCs w:val="22"/>
        </w:rPr>
        <w:t> </w:t>
      </w:r>
      <w:r w:rsidR="003A78CA" w:rsidRPr="000C2E13">
        <w:rPr>
          <w:sz w:val="22"/>
          <w:szCs w:val="22"/>
        </w:rPr>
        <w:t>AOP</w:t>
      </w:r>
      <w:r w:rsidR="003A78CA" w:rsidRPr="009C5C64">
        <w:rPr>
          <w:szCs w:val="22"/>
        </w:rPr>
        <w:t xml:space="preserve"> </w:t>
      </w:r>
      <w:r w:rsidRPr="009C5C64">
        <w:rPr>
          <w:sz w:val="22"/>
          <w:szCs w:val="22"/>
        </w:rPr>
        <w:t>sa nesmie začať u žien vo fertilnom veku, pokiaľ výsledok tehotenského testu pred začiatkom liečby nie je negatívny a pokiaľ nepoužívajú spoľahlivú antikoncepciu. V prípade akýchkoľvek pochybností ohľadom toho, aká antikoncepcia sa má odporučiť konkrétnej pacientke, sa má zvážiť konzultácia s gynekológom. Počas liečby ambrisent</w:t>
      </w:r>
      <w:r w:rsidR="00254EB3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nom sa odporúča vykonávať tehotenské testy v mesačných intervaloch (pozri časti 4.3 a 4.6). </w:t>
      </w:r>
    </w:p>
    <w:p w14:paraId="0D98F89B" w14:textId="77777777" w:rsidR="00F64258" w:rsidRPr="009C5C64" w:rsidRDefault="00F64258" w:rsidP="00F64258">
      <w:pPr>
        <w:pStyle w:val="Default"/>
        <w:rPr>
          <w:sz w:val="22"/>
          <w:szCs w:val="22"/>
        </w:rPr>
      </w:pPr>
    </w:p>
    <w:p w14:paraId="0D98F89C" w14:textId="77777777" w:rsidR="00F64258" w:rsidRPr="009C5C64" w:rsidRDefault="00F64258" w:rsidP="00F64258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Pľúcna venookluzívna choroba </w:t>
      </w:r>
    </w:p>
    <w:p w14:paraId="0D98F89D" w14:textId="2D956C1B" w:rsidR="00F64258" w:rsidRPr="009C5C64" w:rsidRDefault="00F64258" w:rsidP="00F64258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Pri používaní vazodilatačných liekov, ako sú ERA, u pacientov s pľúcnou venookluzívnou chorobou boli zaznamenané prípady pľúcneho edému. V dôsledku toho, ak u pacientov s PAH vznikne akútny pľúcny edém počas liečby ambrisent</w:t>
      </w:r>
      <w:r w:rsidR="00254EB3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nom, je potrebné zvážiť možnosť pľúcnej venookluzívnej choroby. </w:t>
      </w:r>
    </w:p>
    <w:p w14:paraId="0D98F89E" w14:textId="77777777" w:rsidR="00F64258" w:rsidRPr="009C5C64" w:rsidRDefault="00F64258" w:rsidP="00F64258">
      <w:pPr>
        <w:pStyle w:val="Default"/>
        <w:rPr>
          <w:sz w:val="22"/>
          <w:szCs w:val="22"/>
        </w:rPr>
      </w:pPr>
    </w:p>
    <w:p w14:paraId="0D98F89F" w14:textId="77777777" w:rsidR="00F64258" w:rsidRPr="009C5C64" w:rsidRDefault="00F64258" w:rsidP="00F64258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Súbežné podávanie s inými liekmi </w:t>
      </w:r>
    </w:p>
    <w:p w14:paraId="0D98F8A0" w14:textId="58611EE0" w:rsidR="00F64258" w:rsidRPr="009C5C64" w:rsidRDefault="00F64258" w:rsidP="00F64258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Pacienti užívajúci ambrisent</w:t>
      </w:r>
      <w:r w:rsidR="00254EB3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 majú byť starostlivo sledovaní pri začatí liečby rifampicínom (pozri časti 4.5 a 5.2). </w:t>
      </w:r>
    </w:p>
    <w:p w14:paraId="0D98F8A1" w14:textId="77777777" w:rsidR="00F64258" w:rsidRPr="009C5C64" w:rsidRDefault="00F64258" w:rsidP="00F64258">
      <w:pPr>
        <w:pStyle w:val="Default"/>
        <w:rPr>
          <w:sz w:val="22"/>
          <w:szCs w:val="22"/>
        </w:rPr>
      </w:pPr>
    </w:p>
    <w:p w14:paraId="0D98F8A2" w14:textId="77777777" w:rsidR="00F64258" w:rsidRPr="009C5C64" w:rsidRDefault="00F64258" w:rsidP="00F64258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Pomocné látky </w:t>
      </w:r>
    </w:p>
    <w:p w14:paraId="0D98F8A3" w14:textId="7EAB7091" w:rsidR="00D22E71" w:rsidRPr="003D229C" w:rsidRDefault="00F64258" w:rsidP="00F64258">
      <w:pPr>
        <w:rPr>
          <w:sz w:val="22"/>
          <w:szCs w:val="22"/>
        </w:rPr>
      </w:pPr>
      <w:r w:rsidRPr="009C5C64">
        <w:rPr>
          <w:sz w:val="22"/>
          <w:szCs w:val="22"/>
        </w:rPr>
        <w:t>Tablet</w:t>
      </w:r>
      <w:r w:rsidRPr="00254EB3">
        <w:rPr>
          <w:sz w:val="22"/>
          <w:szCs w:val="22"/>
        </w:rPr>
        <w:t xml:space="preserve">y </w:t>
      </w:r>
      <w:r w:rsidR="003A78CA" w:rsidRPr="000C2E13">
        <w:rPr>
          <w:sz w:val="22"/>
          <w:szCs w:val="22"/>
        </w:rPr>
        <w:t>Ambrisentanu</w:t>
      </w:r>
      <w:r w:rsidR="001A788E" w:rsidRPr="000C2E13">
        <w:rPr>
          <w:sz w:val="22"/>
          <w:szCs w:val="22"/>
        </w:rPr>
        <w:t> </w:t>
      </w:r>
      <w:r w:rsidR="003A78CA" w:rsidRPr="000C2E13">
        <w:rPr>
          <w:sz w:val="22"/>
          <w:szCs w:val="22"/>
        </w:rPr>
        <w:t xml:space="preserve">AOP </w:t>
      </w:r>
      <w:r w:rsidRPr="00254EB3">
        <w:rPr>
          <w:sz w:val="22"/>
          <w:szCs w:val="22"/>
        </w:rPr>
        <w:t xml:space="preserve">obsahujú laktózu. Pacienti so zriedkavými dedičnými problémami galaktózovej intolerancie, </w:t>
      </w:r>
      <w:r w:rsidR="00967381">
        <w:rPr>
          <w:sz w:val="22"/>
          <w:szCs w:val="22"/>
        </w:rPr>
        <w:t>celkovým</w:t>
      </w:r>
      <w:r w:rsidR="00967381" w:rsidRPr="00254EB3">
        <w:rPr>
          <w:sz w:val="22"/>
          <w:szCs w:val="22"/>
        </w:rPr>
        <w:t xml:space="preserve"> </w:t>
      </w:r>
      <w:r w:rsidRPr="00254EB3">
        <w:rPr>
          <w:sz w:val="22"/>
          <w:szCs w:val="22"/>
        </w:rPr>
        <w:t>deficit</w:t>
      </w:r>
      <w:r w:rsidR="00967381">
        <w:rPr>
          <w:sz w:val="22"/>
          <w:szCs w:val="22"/>
        </w:rPr>
        <w:t>om</w:t>
      </w:r>
      <w:r w:rsidRPr="00254EB3">
        <w:rPr>
          <w:sz w:val="22"/>
          <w:szCs w:val="22"/>
        </w:rPr>
        <w:t xml:space="preserve"> laktázy alebo glukózo-galaktózov</w:t>
      </w:r>
      <w:r w:rsidR="00967381">
        <w:rPr>
          <w:sz w:val="22"/>
          <w:szCs w:val="22"/>
        </w:rPr>
        <w:t>ou</w:t>
      </w:r>
      <w:r w:rsidRPr="00254EB3">
        <w:rPr>
          <w:sz w:val="22"/>
          <w:szCs w:val="22"/>
        </w:rPr>
        <w:t xml:space="preserve"> malabsorpci</w:t>
      </w:r>
      <w:r w:rsidR="00967381">
        <w:rPr>
          <w:sz w:val="22"/>
          <w:szCs w:val="22"/>
        </w:rPr>
        <w:t>ou</w:t>
      </w:r>
      <w:r w:rsidRPr="00254EB3">
        <w:rPr>
          <w:sz w:val="22"/>
          <w:szCs w:val="22"/>
        </w:rPr>
        <w:t xml:space="preserve"> nesmú užívať tento liek.</w:t>
      </w:r>
    </w:p>
    <w:p w14:paraId="3EAF88A7" w14:textId="77777777" w:rsidR="00254EB3" w:rsidRPr="00967381" w:rsidRDefault="00254EB3" w:rsidP="00F64258">
      <w:pPr>
        <w:pStyle w:val="Default"/>
        <w:rPr>
          <w:sz w:val="22"/>
          <w:szCs w:val="22"/>
        </w:rPr>
      </w:pPr>
    </w:p>
    <w:p w14:paraId="0D98F8A4" w14:textId="31EA2B8F" w:rsidR="00F64258" w:rsidRPr="00967381" w:rsidRDefault="00F64258" w:rsidP="00F64258">
      <w:pPr>
        <w:pStyle w:val="Default"/>
        <w:rPr>
          <w:sz w:val="22"/>
          <w:szCs w:val="22"/>
        </w:rPr>
      </w:pPr>
      <w:r w:rsidRPr="00967381">
        <w:rPr>
          <w:sz w:val="22"/>
          <w:szCs w:val="22"/>
        </w:rPr>
        <w:t xml:space="preserve">Tablety </w:t>
      </w:r>
      <w:r w:rsidR="003A78CA" w:rsidRPr="000C2E13">
        <w:rPr>
          <w:sz w:val="22"/>
          <w:szCs w:val="22"/>
        </w:rPr>
        <w:t>Ambrisentanu</w:t>
      </w:r>
      <w:r w:rsidR="001A788E" w:rsidRPr="000C2E13">
        <w:rPr>
          <w:sz w:val="22"/>
          <w:szCs w:val="22"/>
        </w:rPr>
        <w:t> </w:t>
      </w:r>
      <w:r w:rsidR="003A78CA" w:rsidRPr="000C2E13">
        <w:rPr>
          <w:sz w:val="22"/>
          <w:szCs w:val="22"/>
        </w:rPr>
        <w:t xml:space="preserve">AOP </w:t>
      </w:r>
      <w:r w:rsidRPr="00254EB3">
        <w:rPr>
          <w:sz w:val="22"/>
          <w:szCs w:val="22"/>
        </w:rPr>
        <w:t xml:space="preserve">obsahujú azofarbivo </w:t>
      </w:r>
      <w:r w:rsidRPr="003D229C">
        <w:rPr>
          <w:sz w:val="22"/>
          <w:szCs w:val="22"/>
        </w:rPr>
        <w:t>červe</w:t>
      </w:r>
      <w:r w:rsidR="00254EB3" w:rsidRPr="003D229C">
        <w:rPr>
          <w:sz w:val="22"/>
          <w:szCs w:val="22"/>
        </w:rPr>
        <w:t>ň</w:t>
      </w:r>
      <w:r w:rsidRPr="003D229C">
        <w:rPr>
          <w:sz w:val="22"/>
          <w:szCs w:val="22"/>
        </w:rPr>
        <w:t xml:space="preserve"> Allura AC</w:t>
      </w:r>
      <w:r w:rsidR="00254EB3" w:rsidRPr="003D229C">
        <w:rPr>
          <w:sz w:val="22"/>
          <w:szCs w:val="22"/>
        </w:rPr>
        <w:t xml:space="preserve"> – hliníkový lak</w:t>
      </w:r>
      <w:r w:rsidRPr="003D229C">
        <w:rPr>
          <w:sz w:val="22"/>
          <w:szCs w:val="22"/>
        </w:rPr>
        <w:t xml:space="preserve"> (E129), ktoré môže vyvolať alergi</w:t>
      </w:r>
      <w:r w:rsidRPr="00967381">
        <w:rPr>
          <w:sz w:val="22"/>
          <w:szCs w:val="22"/>
        </w:rPr>
        <w:t xml:space="preserve">cké reakcie. </w:t>
      </w:r>
    </w:p>
    <w:p w14:paraId="6F1A437C" w14:textId="77777777" w:rsidR="00254EB3" w:rsidRPr="00967381" w:rsidRDefault="00254EB3" w:rsidP="00F64258">
      <w:pPr>
        <w:pStyle w:val="Default"/>
        <w:rPr>
          <w:sz w:val="22"/>
          <w:szCs w:val="22"/>
        </w:rPr>
      </w:pPr>
    </w:p>
    <w:p w14:paraId="0D98F8A5" w14:textId="7F95DF84" w:rsidR="00F64258" w:rsidRPr="00254EB3" w:rsidRDefault="00F64258" w:rsidP="00F64258">
      <w:pPr>
        <w:pStyle w:val="Default"/>
        <w:rPr>
          <w:sz w:val="22"/>
          <w:szCs w:val="22"/>
        </w:rPr>
      </w:pPr>
      <w:r w:rsidRPr="00967381">
        <w:rPr>
          <w:sz w:val="22"/>
          <w:szCs w:val="22"/>
        </w:rPr>
        <w:lastRenderedPageBreak/>
        <w:t xml:space="preserve">Tablety </w:t>
      </w:r>
      <w:r w:rsidR="003A78CA" w:rsidRPr="000C2E13">
        <w:rPr>
          <w:sz w:val="22"/>
          <w:szCs w:val="22"/>
        </w:rPr>
        <w:t>Ambrisentanu</w:t>
      </w:r>
      <w:r w:rsidR="001A788E" w:rsidRPr="000C2E13">
        <w:rPr>
          <w:sz w:val="22"/>
          <w:szCs w:val="22"/>
        </w:rPr>
        <w:t> </w:t>
      </w:r>
      <w:r w:rsidR="003A78CA" w:rsidRPr="000C2E13">
        <w:rPr>
          <w:sz w:val="22"/>
          <w:szCs w:val="22"/>
        </w:rPr>
        <w:t xml:space="preserve">AOP </w:t>
      </w:r>
      <w:r w:rsidRPr="00254EB3">
        <w:rPr>
          <w:sz w:val="22"/>
          <w:szCs w:val="22"/>
        </w:rPr>
        <w:t>obsahujú lecitín pochádzajúci zo sóje. Ak je pacient precitlivený na sóju, ambrisent</w:t>
      </w:r>
      <w:r w:rsidR="003D229C">
        <w:rPr>
          <w:sz w:val="22"/>
          <w:szCs w:val="22"/>
        </w:rPr>
        <w:t>á</w:t>
      </w:r>
      <w:r w:rsidRPr="00254EB3">
        <w:rPr>
          <w:sz w:val="22"/>
          <w:szCs w:val="22"/>
        </w:rPr>
        <w:t xml:space="preserve">n sa nesmie použiť (pozri časť 4.3). </w:t>
      </w:r>
    </w:p>
    <w:p w14:paraId="5D9BDD90" w14:textId="77777777" w:rsidR="00254EB3" w:rsidRPr="003D229C" w:rsidRDefault="00254EB3" w:rsidP="00F64258">
      <w:pPr>
        <w:rPr>
          <w:sz w:val="22"/>
          <w:szCs w:val="22"/>
        </w:rPr>
      </w:pPr>
    </w:p>
    <w:p w14:paraId="0D98F8A6" w14:textId="2ED1D707" w:rsidR="00F64258" w:rsidRDefault="00F64258" w:rsidP="00F64258">
      <w:pPr>
        <w:rPr>
          <w:sz w:val="22"/>
          <w:szCs w:val="22"/>
        </w:rPr>
      </w:pPr>
      <w:r w:rsidRPr="003D229C">
        <w:rPr>
          <w:sz w:val="22"/>
          <w:szCs w:val="22"/>
        </w:rPr>
        <w:t xml:space="preserve">Tablety </w:t>
      </w:r>
      <w:r w:rsidR="003A78CA" w:rsidRPr="000C2E13">
        <w:rPr>
          <w:sz w:val="22"/>
          <w:szCs w:val="22"/>
        </w:rPr>
        <w:t>Ambrisentanu</w:t>
      </w:r>
      <w:r w:rsidR="001A788E" w:rsidRPr="000C2E13">
        <w:rPr>
          <w:sz w:val="22"/>
          <w:szCs w:val="22"/>
        </w:rPr>
        <w:t> </w:t>
      </w:r>
      <w:r w:rsidR="003A78CA" w:rsidRPr="000C2E13">
        <w:rPr>
          <w:sz w:val="22"/>
          <w:szCs w:val="22"/>
        </w:rPr>
        <w:t xml:space="preserve">AOP </w:t>
      </w:r>
      <w:r w:rsidRPr="009C5C64">
        <w:rPr>
          <w:sz w:val="22"/>
          <w:szCs w:val="22"/>
        </w:rPr>
        <w:t>obsahujú menej ako 1 mmol sodíka (23</w:t>
      </w:r>
      <w:r w:rsidR="003308F0">
        <w:rPr>
          <w:sz w:val="22"/>
          <w:szCs w:val="22"/>
        </w:rPr>
        <w:t> </w:t>
      </w:r>
      <w:r w:rsidRPr="009C5C64">
        <w:rPr>
          <w:sz w:val="22"/>
          <w:szCs w:val="22"/>
        </w:rPr>
        <w:t>mg), t. j. v podstate zanedbateľné množstvo sodíka.</w:t>
      </w:r>
    </w:p>
    <w:p w14:paraId="0D98F8A7" w14:textId="77777777" w:rsidR="003A78CA" w:rsidRPr="009C5C64" w:rsidRDefault="003A78CA" w:rsidP="00F64258">
      <w:pPr>
        <w:rPr>
          <w:sz w:val="22"/>
          <w:szCs w:val="22"/>
        </w:rPr>
      </w:pPr>
    </w:p>
    <w:p w14:paraId="0D98F8A8" w14:textId="290EDFB1" w:rsidR="00D836F6" w:rsidRPr="009C5C64" w:rsidRDefault="00266F55" w:rsidP="004632A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4.5</w:t>
      </w:r>
      <w:r w:rsidR="00A46734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Liekové a iné interakcie</w:t>
      </w:r>
    </w:p>
    <w:p w14:paraId="0D98F8A9" w14:textId="77777777" w:rsidR="00D836F6" w:rsidRPr="009C5C64" w:rsidRDefault="00D836F6" w:rsidP="004632AE">
      <w:pPr>
        <w:rPr>
          <w:sz w:val="22"/>
          <w:szCs w:val="22"/>
        </w:rPr>
      </w:pPr>
    </w:p>
    <w:p w14:paraId="0D98F8AA" w14:textId="07F1C429" w:rsidR="00F64258" w:rsidRPr="009C5C64" w:rsidRDefault="00F64258" w:rsidP="00F64258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V predklinických štúdiách </w:t>
      </w:r>
      <w:r w:rsidRPr="009C5C64">
        <w:rPr>
          <w:i/>
          <w:iCs/>
          <w:sz w:val="22"/>
          <w:szCs w:val="22"/>
        </w:rPr>
        <w:t xml:space="preserve">in vitro </w:t>
      </w:r>
      <w:r w:rsidRPr="009C5C64">
        <w:rPr>
          <w:sz w:val="22"/>
          <w:szCs w:val="22"/>
        </w:rPr>
        <w:t xml:space="preserve">a </w:t>
      </w:r>
      <w:r w:rsidRPr="009C5C64">
        <w:rPr>
          <w:i/>
          <w:iCs/>
          <w:sz w:val="22"/>
          <w:szCs w:val="22"/>
        </w:rPr>
        <w:t xml:space="preserve">in vivo </w:t>
      </w:r>
      <w:r w:rsidRPr="009C5C64">
        <w:rPr>
          <w:sz w:val="22"/>
          <w:szCs w:val="22"/>
        </w:rPr>
        <w:t>ambrisent</w:t>
      </w:r>
      <w:r w:rsidR="00082006">
        <w:rPr>
          <w:sz w:val="22"/>
          <w:szCs w:val="22"/>
        </w:rPr>
        <w:t>á</w:t>
      </w:r>
      <w:r w:rsidRPr="009C5C64">
        <w:rPr>
          <w:sz w:val="22"/>
          <w:szCs w:val="22"/>
        </w:rPr>
        <w:t>n v klinicky významných koncentráciách neinhiboval ani neindukoval enzýmy I. alebo II. fázy metabolizácie liečiv, čo svedčí o nízkej schopnosti ambrisent</w:t>
      </w:r>
      <w:r w:rsidR="00082006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nu zmeniť profil liekov metabolizovaných týmito cestami. </w:t>
      </w:r>
    </w:p>
    <w:p w14:paraId="0D98F8AB" w14:textId="77777777" w:rsidR="00462577" w:rsidRPr="009C5C64" w:rsidRDefault="00462577" w:rsidP="00F64258">
      <w:pPr>
        <w:pStyle w:val="Default"/>
        <w:rPr>
          <w:sz w:val="22"/>
          <w:szCs w:val="22"/>
        </w:rPr>
      </w:pPr>
    </w:p>
    <w:p w14:paraId="0D98F8AC" w14:textId="3325CEB6" w:rsidR="00F64258" w:rsidRPr="009C5C64" w:rsidRDefault="00F64258" w:rsidP="00F64258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Schopnosť ambrisent</w:t>
      </w:r>
      <w:r w:rsidR="00082006">
        <w:rPr>
          <w:sz w:val="22"/>
          <w:szCs w:val="22"/>
        </w:rPr>
        <w:t>á</w:t>
      </w:r>
      <w:r w:rsidRPr="009C5C64">
        <w:rPr>
          <w:sz w:val="22"/>
          <w:szCs w:val="22"/>
        </w:rPr>
        <w:t>nu indukovať aktivitu CYP3A4 bola skúmaná u zdravých dobrovoľníkov a výsledky svedčia o nedostatočnom vplyve ambrisent</w:t>
      </w:r>
      <w:r w:rsidR="00082006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nu na indukciu izoenzýmu CYP3A4. </w:t>
      </w:r>
    </w:p>
    <w:p w14:paraId="0D98F8AD" w14:textId="77777777" w:rsidR="00462577" w:rsidRPr="009C5C64" w:rsidRDefault="00462577" w:rsidP="00F64258">
      <w:pPr>
        <w:pStyle w:val="Default"/>
        <w:rPr>
          <w:sz w:val="22"/>
          <w:szCs w:val="22"/>
        </w:rPr>
      </w:pPr>
    </w:p>
    <w:p w14:paraId="0D98F8AE" w14:textId="77777777" w:rsidR="00F64258" w:rsidRPr="009C5C64" w:rsidRDefault="00F64258" w:rsidP="00F64258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Cyklosporín A </w:t>
      </w:r>
    </w:p>
    <w:p w14:paraId="0D98F8AF" w14:textId="2C4D281E" w:rsidR="00F64258" w:rsidRPr="009C5C64" w:rsidRDefault="00F64258" w:rsidP="00F64258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Súbežné podávanie ambrisent</w:t>
      </w:r>
      <w:r w:rsidR="00082006">
        <w:rPr>
          <w:sz w:val="22"/>
          <w:szCs w:val="22"/>
        </w:rPr>
        <w:t>á</w:t>
      </w:r>
      <w:r w:rsidRPr="009C5C64">
        <w:rPr>
          <w:sz w:val="22"/>
          <w:szCs w:val="22"/>
        </w:rPr>
        <w:t>nu a cyklosporínu A v rovnovážnom stave viedlo u zdravých dobrovoľníkov k 2-násobnému zvýšeniu expozície ambrisent</w:t>
      </w:r>
      <w:r w:rsidR="00082006">
        <w:rPr>
          <w:sz w:val="22"/>
          <w:szCs w:val="22"/>
        </w:rPr>
        <w:t>á</w:t>
      </w:r>
      <w:r w:rsidRPr="009C5C64">
        <w:rPr>
          <w:sz w:val="22"/>
          <w:szCs w:val="22"/>
        </w:rPr>
        <w:t>nu. Toto môže byť spôsobené inhibíciou transportérov a metabolických enzýmov podieľajúcich sa na farmakokinetike ambrisent</w:t>
      </w:r>
      <w:r w:rsidR="00082006">
        <w:rPr>
          <w:sz w:val="22"/>
          <w:szCs w:val="22"/>
        </w:rPr>
        <w:t>á</w:t>
      </w:r>
      <w:r w:rsidRPr="009C5C64">
        <w:rPr>
          <w:sz w:val="22"/>
          <w:szCs w:val="22"/>
        </w:rPr>
        <w:t>nu cyklosporínom A. Z toho dôvodu sa má dávka ambrisent</w:t>
      </w:r>
      <w:r w:rsidR="00082006">
        <w:rPr>
          <w:sz w:val="22"/>
          <w:szCs w:val="22"/>
        </w:rPr>
        <w:t>á</w:t>
      </w:r>
      <w:r w:rsidRPr="009C5C64">
        <w:rPr>
          <w:sz w:val="22"/>
          <w:szCs w:val="22"/>
        </w:rPr>
        <w:t>nu obmedziť na 5</w:t>
      </w:r>
      <w:r w:rsidR="003308F0">
        <w:rPr>
          <w:sz w:val="22"/>
          <w:szCs w:val="22"/>
        </w:rPr>
        <w:t> </w:t>
      </w:r>
      <w:r w:rsidRPr="009C5C64">
        <w:rPr>
          <w:sz w:val="22"/>
          <w:szCs w:val="22"/>
        </w:rPr>
        <w:t>mg jedenkrát denne pri súbežnom podávaní s cyklosporínom A (pozri časť 4.2). Podávanie opakovaných dávok ambrisent</w:t>
      </w:r>
      <w:r w:rsidR="00082006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nu nemalo vplyv na expozíciu cyklosporínu A a úprava dávky cyklosporínu A nie je potrebná. </w:t>
      </w:r>
    </w:p>
    <w:p w14:paraId="0D98F8B0" w14:textId="77777777" w:rsidR="00462577" w:rsidRPr="009C5C64" w:rsidRDefault="00462577" w:rsidP="00F64258">
      <w:pPr>
        <w:pStyle w:val="Default"/>
        <w:rPr>
          <w:sz w:val="22"/>
          <w:szCs w:val="22"/>
        </w:rPr>
      </w:pPr>
    </w:p>
    <w:p w14:paraId="0D98F8B1" w14:textId="77777777" w:rsidR="00F64258" w:rsidRPr="009C5C64" w:rsidRDefault="00F64258" w:rsidP="00F64258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Rifampicín </w:t>
      </w:r>
    </w:p>
    <w:p w14:paraId="0D98F8B2" w14:textId="433FDBFA" w:rsidR="00F64258" w:rsidRPr="009C5C64" w:rsidRDefault="00F64258" w:rsidP="00F64258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Súbežné podávanie rifampicínu (inhibítor transportného polypeptidu organických aniónov [OATP], silný induktor CYP3A a 2C19 a induktor P-gp a</w:t>
      </w:r>
      <w:r w:rsidR="00082006">
        <w:rPr>
          <w:sz w:val="22"/>
          <w:szCs w:val="22"/>
        </w:rPr>
        <w:t> </w:t>
      </w:r>
      <w:r w:rsidRPr="009C5C64">
        <w:rPr>
          <w:sz w:val="22"/>
          <w:szCs w:val="22"/>
        </w:rPr>
        <w:t>uridíndifosfát</w:t>
      </w:r>
      <w:r w:rsidR="00082006">
        <w:rPr>
          <w:sz w:val="22"/>
          <w:szCs w:val="22"/>
        </w:rPr>
        <w:t>-</w:t>
      </w:r>
      <w:r w:rsidRPr="009C5C64">
        <w:rPr>
          <w:sz w:val="22"/>
          <w:szCs w:val="22"/>
        </w:rPr>
        <w:t>glukuronozyltransferáz [UGTs]) bolo spojené s prechodným (približne 2-násobným) zvýšením expozície ambrisent</w:t>
      </w:r>
      <w:r w:rsidR="00082006">
        <w:rPr>
          <w:sz w:val="22"/>
          <w:szCs w:val="22"/>
        </w:rPr>
        <w:t>á</w:t>
      </w:r>
      <w:r w:rsidRPr="009C5C64">
        <w:rPr>
          <w:sz w:val="22"/>
          <w:szCs w:val="22"/>
        </w:rPr>
        <w:t>nu po podaní úvodných dávok zdravým dobrovoľníkom. Podávanie rifampicínu v rovnovážnom stave však na 8. deň nemalo klinicky významný vplyv na expozíciu ambrisent</w:t>
      </w:r>
      <w:r w:rsidR="00082006">
        <w:rPr>
          <w:sz w:val="22"/>
          <w:szCs w:val="22"/>
        </w:rPr>
        <w:t>á</w:t>
      </w:r>
      <w:r w:rsidRPr="009C5C64">
        <w:rPr>
          <w:sz w:val="22"/>
          <w:szCs w:val="22"/>
        </w:rPr>
        <w:t>nu. Pacienti užívajúci ambrisent</w:t>
      </w:r>
      <w:r w:rsidR="00082006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 majú byť starostlivo sledovaní pri začatí liečby rifampicínom (pozri časti 4.4 a 5.2). </w:t>
      </w:r>
    </w:p>
    <w:p w14:paraId="0D98F8B3" w14:textId="77777777" w:rsidR="007D0B10" w:rsidRPr="009C5C64" w:rsidRDefault="007D0B10" w:rsidP="00F64258">
      <w:pPr>
        <w:pStyle w:val="Default"/>
        <w:rPr>
          <w:sz w:val="22"/>
          <w:szCs w:val="22"/>
        </w:rPr>
      </w:pPr>
    </w:p>
    <w:p w14:paraId="0D98F8B4" w14:textId="77777777" w:rsidR="00F64258" w:rsidRPr="009C5C64" w:rsidRDefault="00F64258" w:rsidP="00F64258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Inhibítory fosfodiesterázy </w:t>
      </w:r>
    </w:p>
    <w:p w14:paraId="0D98F8B5" w14:textId="4B6704D5" w:rsidR="00D836F6" w:rsidRPr="009C5C64" w:rsidRDefault="00F64258" w:rsidP="00F64258">
      <w:pPr>
        <w:rPr>
          <w:sz w:val="22"/>
          <w:szCs w:val="22"/>
        </w:rPr>
      </w:pPr>
      <w:r w:rsidRPr="009C5C64">
        <w:rPr>
          <w:sz w:val="22"/>
          <w:szCs w:val="22"/>
        </w:rPr>
        <w:t>Súbežné podávanie ambrisent</w:t>
      </w:r>
      <w:r w:rsidR="00082006">
        <w:rPr>
          <w:sz w:val="22"/>
          <w:szCs w:val="22"/>
        </w:rPr>
        <w:t>á</w:t>
      </w:r>
      <w:r w:rsidRPr="009C5C64">
        <w:rPr>
          <w:sz w:val="22"/>
          <w:szCs w:val="22"/>
        </w:rPr>
        <w:t>nu s inhibítorom fosfodiesterázy, buď so sildenafilom alebo tadalafilom (oba sú substráty pre CYP3A4), zdravým dobrovoľníkom významne neovplyvnilo farmakokinetiku inhibítora fosfodiesterázy alebo ambrisent</w:t>
      </w:r>
      <w:r w:rsidR="00082006">
        <w:rPr>
          <w:sz w:val="22"/>
          <w:szCs w:val="22"/>
        </w:rPr>
        <w:t>á</w:t>
      </w:r>
      <w:r w:rsidRPr="009C5C64">
        <w:rPr>
          <w:sz w:val="22"/>
          <w:szCs w:val="22"/>
        </w:rPr>
        <w:t>nu (pozri časť 5.2).</w:t>
      </w:r>
    </w:p>
    <w:p w14:paraId="0D98F8B6" w14:textId="77777777" w:rsidR="007D0B10" w:rsidRPr="009C5C64" w:rsidRDefault="007D0B10" w:rsidP="00F64258">
      <w:pPr>
        <w:rPr>
          <w:sz w:val="22"/>
          <w:szCs w:val="22"/>
        </w:rPr>
      </w:pPr>
    </w:p>
    <w:p w14:paraId="0D98F8B7" w14:textId="77777777" w:rsidR="007D0B10" w:rsidRPr="009C5C64" w:rsidRDefault="007D0B10" w:rsidP="007D0B10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Iné cielené liečby PAH </w:t>
      </w:r>
    </w:p>
    <w:p w14:paraId="0D98F8B8" w14:textId="4A3144D5" w:rsidR="007D0B10" w:rsidRPr="009C5C64" w:rsidRDefault="007D0B10" w:rsidP="007D0B10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Účinnosť a bezpečnosť ambrisent</w:t>
      </w:r>
      <w:r w:rsidR="00082006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nu, keď sa podával súbežne s inými liekmi na PAH (napr. s prostanoidmi a so stimulátormi rozpustnej guanylátcyklázy), sa špecificky nesledovali v kontrolovaných klinických skúšaniach u pacientov s PAH (pozri časť 5.1). Na základe známych údajov o biotransformácii sa nepredpokladajú žiadne špecifické liekové interakcie so stimulátormi rozpustnej guanylátcyklázy ani s prostanoidmi (pozri časť 5.2). S týmito liekmi sa však neuskutočnili žiadne štúdie špecifických liekových interakcií. V prípade ich súbežného podávania sa preto odporúča obozretnosť. </w:t>
      </w:r>
    </w:p>
    <w:p w14:paraId="0D98F8B9" w14:textId="77777777" w:rsidR="007D0B10" w:rsidRPr="009C5C64" w:rsidRDefault="007D0B10" w:rsidP="007D0B10">
      <w:pPr>
        <w:pStyle w:val="Default"/>
        <w:rPr>
          <w:sz w:val="22"/>
          <w:szCs w:val="22"/>
        </w:rPr>
      </w:pPr>
    </w:p>
    <w:p w14:paraId="0D98F8BA" w14:textId="77777777" w:rsidR="007D0B10" w:rsidRPr="009C5C64" w:rsidRDefault="007D0B10" w:rsidP="007D0B10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Perorálna antikoncepcia </w:t>
      </w:r>
    </w:p>
    <w:p w14:paraId="0D98F8BB" w14:textId="7B22EEE4" w:rsidR="007D0B10" w:rsidRPr="009C5C64" w:rsidRDefault="007D0B10" w:rsidP="007D0B10">
      <w:pPr>
        <w:rPr>
          <w:sz w:val="22"/>
          <w:szCs w:val="22"/>
        </w:rPr>
      </w:pPr>
      <w:r w:rsidRPr="009C5C64">
        <w:rPr>
          <w:sz w:val="22"/>
          <w:szCs w:val="22"/>
        </w:rPr>
        <w:t>V klinickej štúdii u zdravých dobrovoľníkov podávanie ambrisent</w:t>
      </w:r>
      <w:r w:rsidR="00082006">
        <w:rPr>
          <w:sz w:val="22"/>
          <w:szCs w:val="22"/>
        </w:rPr>
        <w:t>á</w:t>
      </w:r>
      <w:r w:rsidRPr="009C5C64">
        <w:rPr>
          <w:sz w:val="22"/>
          <w:szCs w:val="22"/>
        </w:rPr>
        <w:t>nu v rovnovážnom stave v dávke 10</w:t>
      </w:r>
      <w:r w:rsidR="00175E86">
        <w:rPr>
          <w:sz w:val="22"/>
          <w:szCs w:val="22"/>
        </w:rPr>
        <w:t> </w:t>
      </w:r>
      <w:r w:rsidRPr="009C5C64">
        <w:rPr>
          <w:sz w:val="22"/>
          <w:szCs w:val="22"/>
        </w:rPr>
        <w:t>mg jedenkrát denne významne nezmenilo farmakokinetiku jednorazovej dávky etinylestradiolu a noretindrónu obsiahnutých v kombinovanej perorálnej antikoncepcii (pozri časť 5.2). Na základe tejto farmakokinetickej štúdie sa neočakáva, že by ambrisent</w:t>
      </w:r>
      <w:r w:rsidR="00082006">
        <w:rPr>
          <w:sz w:val="22"/>
          <w:szCs w:val="22"/>
        </w:rPr>
        <w:t>á</w:t>
      </w:r>
      <w:r w:rsidRPr="009C5C64">
        <w:rPr>
          <w:sz w:val="22"/>
          <w:szCs w:val="22"/>
        </w:rPr>
        <w:t>n významne ovplyvnil expozíciu antikoncepcii založenej na estrogénoch alebo progestagéne.</w:t>
      </w:r>
    </w:p>
    <w:p w14:paraId="0D98F8BC" w14:textId="77777777" w:rsidR="007D0B10" w:rsidRPr="009C5C64" w:rsidRDefault="007D0B10" w:rsidP="007D0B10">
      <w:pPr>
        <w:rPr>
          <w:sz w:val="22"/>
          <w:szCs w:val="22"/>
        </w:rPr>
      </w:pPr>
    </w:p>
    <w:p w14:paraId="0D98F8BD" w14:textId="77777777" w:rsidR="007D0B10" w:rsidRPr="009C5C64" w:rsidRDefault="007D0B10" w:rsidP="007D0B10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Warfarín </w:t>
      </w:r>
    </w:p>
    <w:p w14:paraId="0D98F8BE" w14:textId="24F07038" w:rsidR="007D0B10" w:rsidRPr="009C5C64" w:rsidRDefault="007D0B10" w:rsidP="007D0B10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lastRenderedPageBreak/>
        <w:t>V štúdii u zdravých dobrovoľníkov nemal ambrisent</w:t>
      </w:r>
      <w:r w:rsidR="00082006">
        <w:rPr>
          <w:sz w:val="22"/>
          <w:szCs w:val="22"/>
        </w:rPr>
        <w:t>á</w:t>
      </w:r>
      <w:r w:rsidRPr="009C5C64">
        <w:rPr>
          <w:sz w:val="22"/>
          <w:szCs w:val="22"/>
        </w:rPr>
        <w:t>n žiadny vplyv na rovnovážne farmakokinetické parametre a antikoagulačný účinok warfarínu (pozri časť 5.2). Warfarín taktiež nemal klinicky významný vplyv na farmakokinetiku ambrisent</w:t>
      </w:r>
      <w:r w:rsidR="00F97E67">
        <w:rPr>
          <w:sz w:val="22"/>
          <w:szCs w:val="22"/>
        </w:rPr>
        <w:t>á</w:t>
      </w:r>
      <w:r w:rsidRPr="009C5C64">
        <w:rPr>
          <w:sz w:val="22"/>
          <w:szCs w:val="22"/>
        </w:rPr>
        <w:t>nu. Ambrisent</w:t>
      </w:r>
      <w:r w:rsidR="00F97E67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 okrem toho nemal u pacientov žiadny celkový vplyv na týždennú dávku antikoagulancia warfarínového typu, na protrombínový čas (Pothrombin Time, PT) a medzinárodný normalizovaný pomer (International Normalized Ratio, INR). </w:t>
      </w:r>
    </w:p>
    <w:p w14:paraId="0D98F8BF" w14:textId="77777777" w:rsidR="007D0B10" w:rsidRPr="009C5C64" w:rsidRDefault="007D0B10" w:rsidP="007D0B10">
      <w:pPr>
        <w:pStyle w:val="Default"/>
        <w:rPr>
          <w:sz w:val="22"/>
          <w:szCs w:val="22"/>
        </w:rPr>
      </w:pPr>
    </w:p>
    <w:p w14:paraId="0D98F8C0" w14:textId="77777777" w:rsidR="007D0B10" w:rsidRPr="009C5C64" w:rsidRDefault="007D0B10" w:rsidP="007D0B10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Ketokonazol </w:t>
      </w:r>
    </w:p>
    <w:p w14:paraId="0D98F8C1" w14:textId="370DE08C" w:rsidR="007D0B10" w:rsidRPr="009C5C64" w:rsidRDefault="007D0B10" w:rsidP="007D0B10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Podávanie ketokonazolu (silný inhibítor CYP3A4) v rovnovážnom stave neviedlo ku klinicky významnému zvýšeniu expozície ambrisent</w:t>
      </w:r>
      <w:r w:rsidR="00F97E67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nu (pozri časť 5.2). </w:t>
      </w:r>
    </w:p>
    <w:p w14:paraId="0D98F8C2" w14:textId="77777777" w:rsidR="007D0B10" w:rsidRPr="009C5C64" w:rsidRDefault="007D0B10" w:rsidP="007D0B10">
      <w:pPr>
        <w:pStyle w:val="Default"/>
        <w:rPr>
          <w:sz w:val="22"/>
          <w:szCs w:val="22"/>
        </w:rPr>
      </w:pPr>
    </w:p>
    <w:p w14:paraId="0D98F8C3" w14:textId="2A6C2A49" w:rsidR="007D0B10" w:rsidRPr="009C5C64" w:rsidRDefault="007D0B10" w:rsidP="007D0B10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>Vplyv ambrisent</w:t>
      </w:r>
      <w:r w:rsidR="00F97E67">
        <w:rPr>
          <w:sz w:val="22"/>
          <w:szCs w:val="22"/>
          <w:u w:val="single"/>
        </w:rPr>
        <w:t>á</w:t>
      </w:r>
      <w:r w:rsidRPr="009C5C64">
        <w:rPr>
          <w:sz w:val="22"/>
          <w:szCs w:val="22"/>
          <w:u w:val="single"/>
        </w:rPr>
        <w:t xml:space="preserve">nu na transportéry xenobiotík </w:t>
      </w:r>
    </w:p>
    <w:p w14:paraId="0D98F8C4" w14:textId="129EFAAE" w:rsidR="007D0B10" w:rsidRPr="009C5C64" w:rsidRDefault="007D0B10" w:rsidP="007D0B10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Ambrisent</w:t>
      </w:r>
      <w:r w:rsidR="00F97E67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 v klinicky významných koncentráciách nemá </w:t>
      </w:r>
      <w:r w:rsidRPr="009C5C64">
        <w:rPr>
          <w:i/>
          <w:iCs/>
          <w:sz w:val="22"/>
          <w:szCs w:val="22"/>
        </w:rPr>
        <w:t xml:space="preserve">in vitro </w:t>
      </w:r>
      <w:r w:rsidRPr="009C5C64">
        <w:rPr>
          <w:sz w:val="22"/>
          <w:szCs w:val="22"/>
        </w:rPr>
        <w:t xml:space="preserve">inhibičný vplyv na ľudské transportéry vrátane P-glykoproteínu (Pgp), proteínu zodpovedného za rezistenciu pri rakovine prsníka (breast cancer resistance protein, BCRP), proteínu 2 súvisiaceho s mnohopočetnou liekovou rezistenciou (multi-drug resistance related protein 2, MRP2), transportnej pumpy solí žlčových kyselín (bile salt export pump, BSEP), transportných polypeptidov organických aniónov (organic anion transporting polypeptides, OATP1B1 a OATP1B3) a kontransportného polypeptidu sodíka a taurocholátu (sodium-dependent taurocholate co-transporting polypeptide, NTCP). </w:t>
      </w:r>
    </w:p>
    <w:p w14:paraId="23C78161" w14:textId="77777777" w:rsidR="00F97E67" w:rsidRDefault="00F97E67" w:rsidP="007D0B10">
      <w:pPr>
        <w:pStyle w:val="Default"/>
        <w:rPr>
          <w:sz w:val="22"/>
          <w:szCs w:val="22"/>
        </w:rPr>
      </w:pPr>
    </w:p>
    <w:p w14:paraId="0D98F8C5" w14:textId="37D7CC62" w:rsidR="007D0B10" w:rsidRPr="009C5C64" w:rsidRDefault="007D0B10" w:rsidP="007D0B10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Ambrisent</w:t>
      </w:r>
      <w:r w:rsidR="00F97E67">
        <w:rPr>
          <w:sz w:val="22"/>
          <w:szCs w:val="22"/>
        </w:rPr>
        <w:t>á</w:t>
      </w:r>
      <w:r w:rsidRPr="009C5C64">
        <w:rPr>
          <w:sz w:val="22"/>
          <w:szCs w:val="22"/>
        </w:rPr>
        <w:t>n je substrát pre eflux</w:t>
      </w:r>
      <w:r w:rsidR="00F97E67">
        <w:rPr>
          <w:sz w:val="22"/>
          <w:szCs w:val="22"/>
        </w:rPr>
        <w:t xml:space="preserve"> sprostredkovaný Pgp</w:t>
      </w:r>
      <w:r w:rsidRPr="009C5C64">
        <w:rPr>
          <w:sz w:val="22"/>
          <w:szCs w:val="22"/>
        </w:rPr>
        <w:t xml:space="preserve">. </w:t>
      </w:r>
    </w:p>
    <w:p w14:paraId="35694D4E" w14:textId="77777777" w:rsidR="00F97E67" w:rsidRDefault="00F97E67" w:rsidP="007D0B10">
      <w:pPr>
        <w:pStyle w:val="Default"/>
        <w:rPr>
          <w:sz w:val="22"/>
          <w:szCs w:val="22"/>
        </w:rPr>
      </w:pPr>
    </w:p>
    <w:p w14:paraId="0D98F8C6" w14:textId="6A6A699E" w:rsidR="007D0B10" w:rsidRPr="009C5C64" w:rsidRDefault="007D0B10" w:rsidP="007D0B10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Štúdie </w:t>
      </w:r>
      <w:r w:rsidRPr="009C5C64">
        <w:rPr>
          <w:i/>
          <w:iCs/>
          <w:sz w:val="22"/>
          <w:szCs w:val="22"/>
        </w:rPr>
        <w:t xml:space="preserve">in vitro </w:t>
      </w:r>
      <w:r w:rsidRPr="009C5C64">
        <w:rPr>
          <w:sz w:val="22"/>
          <w:szCs w:val="22"/>
        </w:rPr>
        <w:t>na potkaních hepatocytoch taktiež ukázali, že ambrisent</w:t>
      </w:r>
      <w:r w:rsidR="00F97E67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 neindukoval expresiu proteínov Pgp, BSEP alebo MRP2. </w:t>
      </w:r>
    </w:p>
    <w:p w14:paraId="0D98F8C7" w14:textId="0F62BE99" w:rsidR="007D0B10" w:rsidRPr="009C5C64" w:rsidRDefault="007D0B10" w:rsidP="007D0B10">
      <w:pPr>
        <w:rPr>
          <w:sz w:val="22"/>
          <w:szCs w:val="22"/>
        </w:rPr>
      </w:pPr>
      <w:r w:rsidRPr="009C5C64">
        <w:rPr>
          <w:sz w:val="22"/>
          <w:szCs w:val="22"/>
        </w:rPr>
        <w:t>Ambrisent</w:t>
      </w:r>
      <w:r w:rsidR="00F97E67">
        <w:rPr>
          <w:sz w:val="22"/>
          <w:szCs w:val="22"/>
        </w:rPr>
        <w:t>á</w:t>
      </w:r>
      <w:r w:rsidRPr="009C5C64">
        <w:rPr>
          <w:sz w:val="22"/>
          <w:szCs w:val="22"/>
        </w:rPr>
        <w:t>n v rovnovážnom stave podávaný zdravým dobrovoľníkom nemal klinicky významný vplyv na farmakokinetiku jednorazovej dávky digoxínu, substrátu pre Pgp (pozri časť 5.2).</w:t>
      </w:r>
    </w:p>
    <w:p w14:paraId="0D98F8C8" w14:textId="77777777" w:rsidR="00F64258" w:rsidRPr="009C5C64" w:rsidRDefault="00F64258" w:rsidP="00AE187C">
      <w:pPr>
        <w:rPr>
          <w:sz w:val="22"/>
          <w:szCs w:val="22"/>
        </w:rPr>
      </w:pPr>
    </w:p>
    <w:p w14:paraId="0D98F8C9" w14:textId="3AA84432" w:rsidR="00D836F6" w:rsidRPr="009C5C64" w:rsidRDefault="00266F55" w:rsidP="00AE187C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4.6</w:t>
      </w:r>
      <w:r w:rsidR="00FE406D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Fertilita, gravidita a laktácia</w:t>
      </w:r>
    </w:p>
    <w:p w14:paraId="0D98F8CA" w14:textId="77777777" w:rsidR="00C143B2" w:rsidRPr="009C5C64" w:rsidRDefault="00C143B2" w:rsidP="0048164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D98F8CB" w14:textId="77777777" w:rsidR="007D0B10" w:rsidRPr="009C5C64" w:rsidRDefault="007D0B10" w:rsidP="007D0B10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Ženy vo fertilnom veku </w:t>
      </w:r>
    </w:p>
    <w:p w14:paraId="0D98F8CC" w14:textId="7F5D28FA" w:rsidR="007D0B10" w:rsidRPr="009C5C64" w:rsidRDefault="007D0B10" w:rsidP="007D0B10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Liečba ambrisent</w:t>
      </w:r>
      <w:r w:rsidR="003B6A97">
        <w:rPr>
          <w:sz w:val="22"/>
          <w:szCs w:val="22"/>
        </w:rPr>
        <w:t>á</w:t>
      </w:r>
      <w:r w:rsidRPr="009C5C64">
        <w:rPr>
          <w:sz w:val="22"/>
          <w:szCs w:val="22"/>
        </w:rPr>
        <w:t>nom sa nesmie začať u žien vo fertilnom veku, pokiaľ výsledok tehotenského testu pred začiatkom liečby nie je negatívny a pokiaľ nepoužívajú spoľahlivú antikoncepciu. Počas liečby ambrisent</w:t>
      </w:r>
      <w:r w:rsidR="003B6A97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nom sa odporúča vykonávať tehotenské testy v mesačných intervaloch. </w:t>
      </w:r>
    </w:p>
    <w:p w14:paraId="0D98F8CD" w14:textId="77777777" w:rsidR="007D0B10" w:rsidRPr="009C5C64" w:rsidRDefault="007D0B10" w:rsidP="007D0B10">
      <w:pPr>
        <w:pStyle w:val="Default"/>
        <w:rPr>
          <w:sz w:val="22"/>
          <w:szCs w:val="22"/>
        </w:rPr>
      </w:pPr>
    </w:p>
    <w:p w14:paraId="0D98F8CE" w14:textId="77777777" w:rsidR="007D0B10" w:rsidRPr="009C5C64" w:rsidRDefault="007D0B10" w:rsidP="007D0B10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Gravidita </w:t>
      </w:r>
    </w:p>
    <w:p w14:paraId="0D98F8CF" w14:textId="193D94FB" w:rsidR="007D0B10" w:rsidRPr="009C5C64" w:rsidRDefault="007D0B10" w:rsidP="007D0B10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Ambrisent</w:t>
      </w:r>
      <w:r w:rsidR="003B6A97">
        <w:rPr>
          <w:sz w:val="22"/>
          <w:szCs w:val="22"/>
        </w:rPr>
        <w:t>á</w:t>
      </w:r>
      <w:r w:rsidRPr="009C5C64">
        <w:rPr>
          <w:sz w:val="22"/>
          <w:szCs w:val="22"/>
        </w:rPr>
        <w:t>n je kontraindikovaný počas gravidity (pozri časť 4.3). Štúdie na zvieratách preukázali, že ambrisent</w:t>
      </w:r>
      <w:r w:rsidR="003B6A97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 je teratogénny. Nie sú k dispozícii skúsenosti s použitím u ľudí. </w:t>
      </w:r>
    </w:p>
    <w:p w14:paraId="11A6A722" w14:textId="77777777" w:rsidR="003B6A97" w:rsidRDefault="003B6A97" w:rsidP="007D0B10">
      <w:pPr>
        <w:pStyle w:val="Default"/>
        <w:rPr>
          <w:sz w:val="22"/>
          <w:szCs w:val="22"/>
        </w:rPr>
      </w:pPr>
    </w:p>
    <w:p w14:paraId="0D98F8D0" w14:textId="6A891D6C" w:rsidR="007D0B10" w:rsidRPr="009C5C64" w:rsidRDefault="007D0B10" w:rsidP="007D0B10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Ženy liečené ambrisent</w:t>
      </w:r>
      <w:r w:rsidR="003B6A97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nom musia byť informované o riziku poškodenia plodu a ak dôjde k otehotneniu, má sa začať alternatívna liečba (pozri časti 4.3, 4.4 a 5.3). </w:t>
      </w:r>
    </w:p>
    <w:p w14:paraId="0D98F8D1" w14:textId="77777777" w:rsidR="007D0B10" w:rsidRPr="009C5C64" w:rsidRDefault="007D0B10" w:rsidP="007D0B10">
      <w:pPr>
        <w:pStyle w:val="Default"/>
        <w:rPr>
          <w:sz w:val="22"/>
          <w:szCs w:val="22"/>
        </w:rPr>
      </w:pPr>
    </w:p>
    <w:p w14:paraId="0D98F8D2" w14:textId="77777777" w:rsidR="007D0B10" w:rsidRPr="009C5C64" w:rsidRDefault="007D0B10" w:rsidP="007D0B10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Dojčenie </w:t>
      </w:r>
    </w:p>
    <w:p w14:paraId="0D98F8D3" w14:textId="782A529F" w:rsidR="00D836F6" w:rsidRPr="009C5C64" w:rsidRDefault="007D0B10" w:rsidP="007D0B10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9C5C64">
        <w:rPr>
          <w:sz w:val="22"/>
          <w:szCs w:val="22"/>
        </w:rPr>
        <w:t>Nie je známe, či sa ambrisent</w:t>
      </w:r>
      <w:r w:rsidR="003B6A97">
        <w:rPr>
          <w:sz w:val="22"/>
          <w:szCs w:val="22"/>
        </w:rPr>
        <w:t>á</w:t>
      </w:r>
      <w:r w:rsidRPr="009C5C64">
        <w:rPr>
          <w:sz w:val="22"/>
          <w:szCs w:val="22"/>
        </w:rPr>
        <w:t>n vylučuje do ľudského materského mlieka. Vylučovanie ambrisent</w:t>
      </w:r>
      <w:r w:rsidR="003B6A97">
        <w:rPr>
          <w:sz w:val="22"/>
          <w:szCs w:val="22"/>
        </w:rPr>
        <w:t>á</w:t>
      </w:r>
      <w:r w:rsidRPr="009C5C64">
        <w:rPr>
          <w:sz w:val="22"/>
          <w:szCs w:val="22"/>
        </w:rPr>
        <w:t>nu do mlieka sa u zvierat neskúmalo. Z tohto dôvodu je dojčenie kontraindikáciou u pacientok užívajúcich ambrisent</w:t>
      </w:r>
      <w:r w:rsidR="003B6A97">
        <w:rPr>
          <w:sz w:val="22"/>
          <w:szCs w:val="22"/>
        </w:rPr>
        <w:t>á</w:t>
      </w:r>
      <w:r w:rsidRPr="009C5C64">
        <w:rPr>
          <w:sz w:val="22"/>
          <w:szCs w:val="22"/>
        </w:rPr>
        <w:t>n (pozri časť 4.3).</w:t>
      </w:r>
    </w:p>
    <w:p w14:paraId="0D98F8D4" w14:textId="77777777" w:rsidR="007D0B10" w:rsidRPr="009C5C64" w:rsidRDefault="007D0B10" w:rsidP="007D0B10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0D98F8D5" w14:textId="77777777" w:rsidR="007D0B10" w:rsidRPr="009C5C64" w:rsidRDefault="007D0B10" w:rsidP="007D0B10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Mužská fertilita </w:t>
      </w:r>
    </w:p>
    <w:p w14:paraId="0D98F8D6" w14:textId="18390E46" w:rsidR="007D0B10" w:rsidRPr="009C5C64" w:rsidRDefault="007D0B10" w:rsidP="007D0B10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9C5C64">
        <w:rPr>
          <w:sz w:val="22"/>
          <w:szCs w:val="22"/>
        </w:rPr>
        <w:t>Dlhodobé podávanie ERA, vrátane ambrisent</w:t>
      </w:r>
      <w:r w:rsidR="001B3CBB">
        <w:rPr>
          <w:sz w:val="22"/>
          <w:szCs w:val="22"/>
        </w:rPr>
        <w:t>á</w:t>
      </w:r>
      <w:r w:rsidRPr="009C5C64">
        <w:rPr>
          <w:sz w:val="22"/>
          <w:szCs w:val="22"/>
        </w:rPr>
        <w:t>nu, bolo u samcov spojené so vznikom atrofie semenníkových tubulov (pozri časť 5.3). Hoci sa v klinickej štúdii nezistili jasné dôkazy o škodlivom účinku dlhodobej expozície ambrisent</w:t>
      </w:r>
      <w:r w:rsidR="001B3CBB">
        <w:rPr>
          <w:sz w:val="22"/>
          <w:szCs w:val="22"/>
        </w:rPr>
        <w:t>á</w:t>
      </w:r>
      <w:r w:rsidRPr="009C5C64">
        <w:rPr>
          <w:sz w:val="22"/>
          <w:szCs w:val="22"/>
        </w:rPr>
        <w:t>nu na počet spermií, dlhodobé podávanie ambrisent</w:t>
      </w:r>
      <w:r w:rsidR="001B3CBB">
        <w:rPr>
          <w:sz w:val="22"/>
          <w:szCs w:val="22"/>
        </w:rPr>
        <w:t>á</w:t>
      </w:r>
      <w:r w:rsidRPr="009C5C64">
        <w:rPr>
          <w:sz w:val="22"/>
          <w:szCs w:val="22"/>
        </w:rPr>
        <w:t>nu sa spájalo so zmenami v markeroch spermatogenézy. Pozoroval sa pokles plazmatickej koncentrácie inhibínu B a zvýšenie plazmatickej koncentrácie FSH. Vplyv na mužskú fertilitu nie je známy, ale nie je možné vylúčiť zhoršenie spermatogenézy. V klinických štúdiách nebolo dlhodobé podávanie ambrisent</w:t>
      </w:r>
      <w:r w:rsidR="001B3CBB">
        <w:rPr>
          <w:sz w:val="22"/>
          <w:szCs w:val="22"/>
        </w:rPr>
        <w:t>á</w:t>
      </w:r>
      <w:r w:rsidRPr="009C5C64">
        <w:rPr>
          <w:sz w:val="22"/>
          <w:szCs w:val="22"/>
        </w:rPr>
        <w:t>nu spojené so zmenou plazmatických hladín testosterónu.</w:t>
      </w:r>
    </w:p>
    <w:p w14:paraId="0D98F8D7" w14:textId="77777777" w:rsidR="007D0B10" w:rsidRPr="009C5C64" w:rsidRDefault="007D0B10" w:rsidP="007D0B10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0D98F8D8" w14:textId="644D0329" w:rsidR="00D836F6" w:rsidRPr="009C5C64" w:rsidRDefault="00266F55" w:rsidP="00E6112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lastRenderedPageBreak/>
        <w:t>4.7</w:t>
      </w:r>
      <w:r w:rsidR="00FE406D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Ovplyvnenie schopnosti viesť vozidlá a obsluhovať stroje</w:t>
      </w:r>
    </w:p>
    <w:p w14:paraId="0D98F8D9" w14:textId="77777777" w:rsidR="00D836F6" w:rsidRPr="009C5C64" w:rsidRDefault="00D836F6" w:rsidP="00BC51B7">
      <w:pPr>
        <w:rPr>
          <w:sz w:val="22"/>
          <w:szCs w:val="22"/>
        </w:rPr>
      </w:pPr>
    </w:p>
    <w:p w14:paraId="0D98F8DA" w14:textId="2B48DCE0" w:rsidR="00D836F6" w:rsidRPr="009C5C64" w:rsidRDefault="007D0B10" w:rsidP="00AE187C">
      <w:pPr>
        <w:autoSpaceDE w:val="0"/>
        <w:autoSpaceDN w:val="0"/>
        <w:adjustRightInd w:val="0"/>
        <w:rPr>
          <w:sz w:val="22"/>
          <w:szCs w:val="22"/>
        </w:rPr>
      </w:pPr>
      <w:r w:rsidRPr="009C5C64">
        <w:rPr>
          <w:sz w:val="22"/>
          <w:szCs w:val="22"/>
        </w:rPr>
        <w:t>Ambrisent</w:t>
      </w:r>
      <w:r w:rsidR="0089194F">
        <w:rPr>
          <w:sz w:val="22"/>
          <w:szCs w:val="22"/>
        </w:rPr>
        <w:t>á</w:t>
      </w:r>
      <w:r w:rsidRPr="009C5C64">
        <w:rPr>
          <w:sz w:val="22"/>
          <w:szCs w:val="22"/>
        </w:rPr>
        <w:t>n má malý alebo mierny vplyv na schopnosť viesť vozidlá a obsluhovať stroje. Pri posudzovaní pacientovej schopnosti vykonávať činnosti, ktoré vyžadujú úsudok, motorické alebo kognitívne zručnosti, treba mať na pamäti klinický stav pacienta a profil nežiaducich reakcií na ambrisent</w:t>
      </w:r>
      <w:r w:rsidR="0089194F">
        <w:rPr>
          <w:sz w:val="22"/>
          <w:szCs w:val="22"/>
        </w:rPr>
        <w:t>á</w:t>
      </w:r>
      <w:r w:rsidRPr="009C5C64">
        <w:rPr>
          <w:sz w:val="22"/>
          <w:szCs w:val="22"/>
        </w:rPr>
        <w:t>n (akými sú hypotenzia, závraty, slabosť, únava) (pozri časť 4.8). Pred vedením vozidiel alebo obsluhou strojov majú pacienti vedieť, ako by ich ambrisent</w:t>
      </w:r>
      <w:r w:rsidR="0089194F">
        <w:rPr>
          <w:sz w:val="22"/>
          <w:szCs w:val="22"/>
        </w:rPr>
        <w:t>á</w:t>
      </w:r>
      <w:r w:rsidRPr="009C5C64">
        <w:rPr>
          <w:sz w:val="22"/>
          <w:szCs w:val="22"/>
        </w:rPr>
        <w:t>n mohol ovplyvniť.</w:t>
      </w:r>
    </w:p>
    <w:p w14:paraId="0D98F8DB" w14:textId="77777777" w:rsidR="007D0B10" w:rsidRPr="009C5C64" w:rsidRDefault="007D0B10" w:rsidP="00AE187C">
      <w:pPr>
        <w:autoSpaceDE w:val="0"/>
        <w:autoSpaceDN w:val="0"/>
        <w:adjustRightInd w:val="0"/>
        <w:rPr>
          <w:sz w:val="22"/>
          <w:szCs w:val="22"/>
        </w:rPr>
      </w:pPr>
    </w:p>
    <w:p w14:paraId="0D98F8DC" w14:textId="797F234B" w:rsidR="00D836F6" w:rsidRPr="009C5C64" w:rsidRDefault="00266F55" w:rsidP="00481644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4.8</w:t>
      </w:r>
      <w:r w:rsidR="00FE406D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Nežiaduce účinky</w:t>
      </w:r>
    </w:p>
    <w:p w14:paraId="0D98F8DD" w14:textId="77777777" w:rsidR="00D836F6" w:rsidRPr="009C5C64" w:rsidRDefault="00D836F6" w:rsidP="00087242">
      <w:pPr>
        <w:rPr>
          <w:sz w:val="22"/>
          <w:szCs w:val="22"/>
        </w:rPr>
      </w:pPr>
    </w:p>
    <w:p w14:paraId="0D98F8DE" w14:textId="77777777" w:rsidR="007D0B10" w:rsidRPr="009C5C64" w:rsidRDefault="007D0B10" w:rsidP="007D0B10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Súhrn bezpečnostného profilu </w:t>
      </w:r>
    </w:p>
    <w:p w14:paraId="0D98F8DF" w14:textId="77777777" w:rsidR="007D0B10" w:rsidRPr="009C5C64" w:rsidRDefault="007D0B10" w:rsidP="007D0B10">
      <w:pPr>
        <w:pStyle w:val="Default"/>
        <w:rPr>
          <w:sz w:val="22"/>
          <w:szCs w:val="22"/>
        </w:rPr>
      </w:pPr>
    </w:p>
    <w:p w14:paraId="0D98F8E0" w14:textId="7DF49AF2" w:rsidR="007D0B10" w:rsidRPr="009C5C64" w:rsidRDefault="007D0B10" w:rsidP="007D0B10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Bezpečnosť ambrisent</w:t>
      </w:r>
      <w:r w:rsidR="00D008C7">
        <w:rPr>
          <w:sz w:val="22"/>
          <w:szCs w:val="22"/>
        </w:rPr>
        <w:t>á</w:t>
      </w:r>
      <w:r w:rsidRPr="009C5C64">
        <w:rPr>
          <w:sz w:val="22"/>
          <w:szCs w:val="22"/>
        </w:rPr>
        <w:t>nu v monoterapii a/alebo v kombinovanej liečbe bola hodnotená v klinických skúšaniach u viac ako 1 200 pacientov s PAH (pozri časť 5.1). Nežiaduce reakcie zistené z údajov z 12-týždňových placebom kontrolovaných klinických skúšaní sú zahrnuté nižšie podľa triedy orgánových systémov a frekvencie. Nižšie sú zahrnu</w:t>
      </w:r>
      <w:r w:rsidR="00C87957">
        <w:rPr>
          <w:sz w:val="22"/>
          <w:szCs w:val="22"/>
        </w:rPr>
        <w:t xml:space="preserve">té aj </w:t>
      </w:r>
      <w:bookmarkStart w:id="0" w:name="_GoBack"/>
      <w:bookmarkEnd w:id="0"/>
      <w:r w:rsidR="00C87957" w:rsidRPr="00EA33F6">
        <w:rPr>
          <w:sz w:val="22"/>
          <w:szCs w:val="22"/>
        </w:rPr>
        <w:t>informácie z dlhodobých</w:t>
      </w:r>
      <w:r w:rsidRPr="00EA33F6">
        <w:rPr>
          <w:sz w:val="22"/>
          <w:szCs w:val="22"/>
        </w:rPr>
        <w:t xml:space="preserve"> klinických štúdií, ktoré neboli kontrolované placebom. Pri dlhodobej liečbe alebo pri podávaní ambrisent</w:t>
      </w:r>
      <w:r w:rsidR="00D008C7" w:rsidRPr="00EA33F6">
        <w:rPr>
          <w:sz w:val="22"/>
          <w:szCs w:val="22"/>
        </w:rPr>
        <w:t>á</w:t>
      </w:r>
      <w:r w:rsidRPr="00EA33F6">
        <w:rPr>
          <w:sz w:val="22"/>
          <w:szCs w:val="22"/>
        </w:rPr>
        <w:t>nu v kombinácii s tadalafilom sa nezistili žiadne predtým neznáme nežiadu</w:t>
      </w:r>
      <w:r w:rsidR="00C87957" w:rsidRPr="00EA33F6">
        <w:rPr>
          <w:sz w:val="22"/>
          <w:szCs w:val="22"/>
        </w:rPr>
        <w:t>ce reakcie. Počas dlhodobého</w:t>
      </w:r>
      <w:r w:rsidRPr="009C5C64">
        <w:rPr>
          <w:sz w:val="22"/>
          <w:szCs w:val="22"/>
        </w:rPr>
        <w:t xml:space="preserve"> pozorovania v nekontrolovaných štúdiách (priemerná doba pozorovania bola 79 týždňov) bol bezpečnostný profil podobný ako bezpečnostný profil pozorovaný v krátkodobých štúdiách. Uvedené sú aj údaje získané v rámci rutinného dohľadu nad originálnym liekom. </w:t>
      </w:r>
    </w:p>
    <w:p w14:paraId="0D98F8E1" w14:textId="77777777" w:rsidR="007D0B10" w:rsidRPr="009C5C64" w:rsidRDefault="007D0B10" w:rsidP="007D0B10">
      <w:pPr>
        <w:pStyle w:val="Default"/>
        <w:rPr>
          <w:sz w:val="22"/>
          <w:szCs w:val="22"/>
        </w:rPr>
      </w:pPr>
    </w:p>
    <w:p w14:paraId="0D98F8E2" w14:textId="2E5703EB" w:rsidR="007D0B10" w:rsidRPr="009C5C64" w:rsidRDefault="007D0B10" w:rsidP="007D0B10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Najčastejšie nežiaduce reakcie pozorované pri liečbe ambrisent</w:t>
      </w:r>
      <w:r w:rsidR="00D008C7">
        <w:rPr>
          <w:sz w:val="22"/>
          <w:szCs w:val="22"/>
        </w:rPr>
        <w:t>á</w:t>
      </w:r>
      <w:r w:rsidRPr="009C5C64">
        <w:rPr>
          <w:sz w:val="22"/>
          <w:szCs w:val="22"/>
        </w:rPr>
        <w:t>nom boli periférny edém, retencia tekutín a bolesť hlavy (vrátane bolesti hlavy v dôsledku sinusitídy, migrény). V krátkodobých klinických štúdiách sa liečba vyššou dávkou (10</w:t>
      </w:r>
      <w:r w:rsidR="00175E86">
        <w:rPr>
          <w:sz w:val="22"/>
          <w:szCs w:val="22"/>
        </w:rPr>
        <w:t> </w:t>
      </w:r>
      <w:r w:rsidRPr="009C5C64">
        <w:rPr>
          <w:sz w:val="22"/>
          <w:szCs w:val="22"/>
        </w:rPr>
        <w:t>mg) spájala s vyšším výskytom týchto nežiaducich reakcií a periférny edém bol zvyčajne závažnejší u pacientov ≥ 65</w:t>
      </w:r>
      <w:r w:rsidR="00244876">
        <w:rPr>
          <w:sz w:val="22"/>
          <w:szCs w:val="22"/>
        </w:rPr>
        <w:t> rokov</w:t>
      </w:r>
      <w:r w:rsidRPr="009C5C64">
        <w:rPr>
          <w:sz w:val="22"/>
          <w:szCs w:val="22"/>
        </w:rPr>
        <w:t xml:space="preserve"> (pozri časť 4.4). </w:t>
      </w:r>
    </w:p>
    <w:p w14:paraId="0D98F8E3" w14:textId="77777777" w:rsidR="007D0B10" w:rsidRPr="009C5C64" w:rsidRDefault="007D0B10" w:rsidP="007D0B10">
      <w:pPr>
        <w:pStyle w:val="Default"/>
        <w:rPr>
          <w:sz w:val="22"/>
          <w:szCs w:val="22"/>
        </w:rPr>
      </w:pPr>
    </w:p>
    <w:p w14:paraId="0D98F8E4" w14:textId="77777777" w:rsidR="007D0B10" w:rsidRPr="009C5C64" w:rsidRDefault="007D0B10" w:rsidP="007D0B10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Zoznam nežiaducich reakcií uvedený v tabuľke </w:t>
      </w:r>
    </w:p>
    <w:p w14:paraId="0D98F8E5" w14:textId="77777777" w:rsidR="007D0B10" w:rsidRPr="009C5C64" w:rsidRDefault="007D0B10" w:rsidP="007D0B10">
      <w:pPr>
        <w:pStyle w:val="Default"/>
        <w:rPr>
          <w:sz w:val="22"/>
          <w:szCs w:val="22"/>
        </w:rPr>
      </w:pPr>
    </w:p>
    <w:p w14:paraId="0D98F8E6" w14:textId="5B3E0B36" w:rsidR="007D0B10" w:rsidRPr="009C5C64" w:rsidRDefault="007D0B10" w:rsidP="007D0B10">
      <w:pPr>
        <w:rPr>
          <w:sz w:val="22"/>
          <w:szCs w:val="22"/>
        </w:rPr>
      </w:pPr>
      <w:r w:rsidRPr="009C5C64">
        <w:rPr>
          <w:sz w:val="22"/>
          <w:szCs w:val="22"/>
        </w:rPr>
        <w:t>Frekvencie sú definované ako: veľmi časté (≥ 1/10); časté (≥ 1/100 až &lt; 1/10); menej časté (≥ 1/1 000 až &lt; 1/100), zriedkavé (≥ 1/10 000 až &lt; 1/1 000); veľmi zriedkavé (&lt; 1/10 000) a neznáme (z dostupných údajov). U nežiaducich reakcií súvisiacich s dávkou sa kategória frekvencie vzťahuje na vyššiu dávku ambrisent</w:t>
      </w:r>
      <w:r w:rsidR="00D008C7">
        <w:rPr>
          <w:sz w:val="22"/>
          <w:szCs w:val="22"/>
        </w:rPr>
        <w:t>á</w:t>
      </w:r>
      <w:r w:rsidRPr="009C5C64">
        <w:rPr>
          <w:sz w:val="22"/>
          <w:szCs w:val="22"/>
        </w:rPr>
        <w:t>nu. Kategórie frekvencie nezohľadňujú ďalšie faktory zahŕňajúce rôznu dĺžku štúdie, už existujúce ochorenia a východiskové charakteristiky pacientov. Kategórie frekvencie nežiaducich reakcií priradené na základe skúseností z klinických skúšaní nemusia zobrazovať frekvenciu nežiaducich udalostí vyskytujúcu sa počas bežnej klinickej praxe. V rámci jednotlivých skupín frekvencií sú nežiaduce reakcie usporiadané v poradí klesajúcej závažnosti.</w:t>
      </w:r>
    </w:p>
    <w:p w14:paraId="0D98F8E7" w14:textId="77777777" w:rsidR="007D0B10" w:rsidRPr="009C5C64" w:rsidRDefault="007D0B10" w:rsidP="007D0B10">
      <w:pPr>
        <w:rPr>
          <w:sz w:val="22"/>
          <w:szCs w:val="22"/>
        </w:rPr>
      </w:pPr>
    </w:p>
    <w:tbl>
      <w:tblPr>
        <w:tblW w:w="896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91"/>
        <w:gridCol w:w="2031"/>
        <w:gridCol w:w="1796"/>
        <w:gridCol w:w="1843"/>
      </w:tblGrid>
      <w:tr w:rsidR="007D0B10" w:rsidRPr="009C5C64" w14:paraId="0D98F8EF" w14:textId="77777777" w:rsidTr="007D0B10">
        <w:trPr>
          <w:tblHeader/>
        </w:trPr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8E8" w14:textId="77777777" w:rsidR="007D0B10" w:rsidRPr="009C5C64" w:rsidRDefault="007D0B10" w:rsidP="007D0B10">
            <w:pPr>
              <w:keepNext/>
              <w:keepLines/>
              <w:spacing w:after="12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8E9" w14:textId="76410356" w:rsidR="007D0B10" w:rsidRPr="009C5C64" w:rsidRDefault="007D0B10" w:rsidP="007D0B10">
            <w:pPr>
              <w:keepNext/>
              <w:keepLines/>
              <w:spacing w:after="120"/>
              <w:rPr>
                <w:b/>
                <w:iCs/>
                <w:sz w:val="22"/>
                <w:szCs w:val="22"/>
              </w:rPr>
            </w:pPr>
            <w:r w:rsidRPr="009C5C64">
              <w:rPr>
                <w:b/>
                <w:iCs/>
                <w:sz w:val="22"/>
                <w:szCs w:val="22"/>
              </w:rPr>
              <w:t>Ambrisent</w:t>
            </w:r>
            <w:r w:rsidR="00D008C7">
              <w:rPr>
                <w:b/>
                <w:iCs/>
                <w:sz w:val="22"/>
                <w:szCs w:val="22"/>
              </w:rPr>
              <w:t>á</w:t>
            </w:r>
            <w:r w:rsidRPr="009C5C64">
              <w:rPr>
                <w:b/>
                <w:iCs/>
                <w:sz w:val="22"/>
                <w:szCs w:val="22"/>
              </w:rPr>
              <w:t>n</w:t>
            </w:r>
          </w:p>
          <w:p w14:paraId="0D98F8EA" w14:textId="77777777" w:rsidR="007D0B10" w:rsidRPr="009C5C64" w:rsidRDefault="007D0B10" w:rsidP="00ED4C94">
            <w:pPr>
              <w:keepNext/>
              <w:keepLines/>
              <w:spacing w:after="120"/>
              <w:rPr>
                <w:b/>
                <w:iCs/>
                <w:sz w:val="22"/>
                <w:szCs w:val="22"/>
              </w:rPr>
            </w:pPr>
            <w:r w:rsidRPr="009C5C64">
              <w:rPr>
                <w:b/>
                <w:iCs/>
                <w:sz w:val="22"/>
                <w:szCs w:val="22"/>
              </w:rPr>
              <w:t>(</w:t>
            </w:r>
            <w:r w:rsidR="00ED4C94" w:rsidRPr="009C5C64">
              <w:rPr>
                <w:b/>
                <w:iCs/>
                <w:sz w:val="22"/>
                <w:szCs w:val="22"/>
              </w:rPr>
              <w:t>kombinovaná analýza pivotnej fázy 3</w:t>
            </w:r>
            <w:r w:rsidRPr="009C5C64">
              <w:rPr>
                <w:b/>
                <w:iCs/>
                <w:sz w:val="22"/>
                <w:szCs w:val="22"/>
              </w:rPr>
              <w:t xml:space="preserve"> a obdobie po uvedení lieku na trh)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8EB" w14:textId="3729E996" w:rsidR="007D0B10" w:rsidRPr="009C5C64" w:rsidRDefault="007D0B10" w:rsidP="007D0B10">
            <w:pPr>
              <w:keepNext/>
              <w:keepLines/>
              <w:spacing w:after="120"/>
              <w:rPr>
                <w:b/>
                <w:iCs/>
                <w:sz w:val="22"/>
                <w:szCs w:val="22"/>
              </w:rPr>
            </w:pPr>
            <w:r w:rsidRPr="009C5C64">
              <w:rPr>
                <w:b/>
                <w:iCs/>
                <w:sz w:val="22"/>
                <w:szCs w:val="22"/>
              </w:rPr>
              <w:t>Ambrisent</w:t>
            </w:r>
            <w:r w:rsidR="00D008C7">
              <w:rPr>
                <w:b/>
                <w:iCs/>
                <w:sz w:val="22"/>
                <w:szCs w:val="22"/>
              </w:rPr>
              <w:t>á</w:t>
            </w:r>
            <w:r w:rsidRPr="009C5C64">
              <w:rPr>
                <w:b/>
                <w:iCs/>
                <w:sz w:val="22"/>
                <w:szCs w:val="22"/>
              </w:rPr>
              <w:t>n</w:t>
            </w:r>
          </w:p>
          <w:p w14:paraId="0D98F8EC" w14:textId="77777777" w:rsidR="007D0B10" w:rsidRPr="009C5C64" w:rsidRDefault="007D0B10" w:rsidP="00ED4C94">
            <w:pPr>
              <w:keepNext/>
              <w:keepLines/>
              <w:spacing w:after="120"/>
              <w:rPr>
                <w:b/>
                <w:iCs/>
                <w:sz w:val="22"/>
                <w:szCs w:val="22"/>
              </w:rPr>
            </w:pPr>
            <w:r w:rsidRPr="009C5C64">
              <w:rPr>
                <w:b/>
                <w:iCs/>
                <w:sz w:val="22"/>
                <w:szCs w:val="22"/>
              </w:rPr>
              <w:t>(</w:t>
            </w:r>
            <w:r w:rsidR="00ED4C94" w:rsidRPr="009C5C64">
              <w:rPr>
                <w:b/>
                <w:iCs/>
                <w:sz w:val="22"/>
                <w:szCs w:val="22"/>
              </w:rPr>
              <w:t>kombinácia a predĺženie štúdie</w:t>
            </w:r>
            <w:r w:rsidRPr="009C5C64">
              <w:rPr>
                <w:b/>
                <w:iCs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8ED" w14:textId="77777777" w:rsidR="007D0B10" w:rsidRPr="009C5C64" w:rsidRDefault="007D0B10" w:rsidP="007D0B10">
            <w:pPr>
              <w:keepNext/>
              <w:keepLines/>
              <w:spacing w:after="120"/>
              <w:rPr>
                <w:b/>
                <w:iCs/>
                <w:sz w:val="22"/>
                <w:szCs w:val="22"/>
              </w:rPr>
            </w:pPr>
            <w:r w:rsidRPr="009C5C64">
              <w:rPr>
                <w:b/>
                <w:iCs/>
                <w:sz w:val="22"/>
                <w:szCs w:val="22"/>
              </w:rPr>
              <w:t>Kombinácia s tadalafilom</w:t>
            </w:r>
          </w:p>
          <w:p w14:paraId="0D98F8EE" w14:textId="77777777" w:rsidR="007D0B10" w:rsidRPr="009C5C64" w:rsidRDefault="007D0B10" w:rsidP="007D0B10">
            <w:pPr>
              <w:keepNext/>
              <w:keepLines/>
              <w:spacing w:after="120"/>
              <w:rPr>
                <w:b/>
                <w:iCs/>
                <w:sz w:val="22"/>
                <w:szCs w:val="22"/>
              </w:rPr>
            </w:pPr>
          </w:p>
        </w:tc>
      </w:tr>
      <w:tr w:rsidR="007D0B10" w:rsidRPr="009C5C64" w14:paraId="0D98F8F1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8F0" w14:textId="77777777" w:rsidR="007D0B10" w:rsidRPr="009C5C64" w:rsidRDefault="007D0B10" w:rsidP="007D0B10">
            <w:pPr>
              <w:keepNext/>
              <w:keepLines/>
              <w:rPr>
                <w:i/>
                <w:iCs/>
                <w:sz w:val="22"/>
                <w:szCs w:val="22"/>
              </w:rPr>
            </w:pPr>
            <w:r w:rsidRPr="009C5C64">
              <w:rPr>
                <w:i/>
                <w:iCs/>
                <w:color w:val="000000"/>
                <w:sz w:val="22"/>
                <w:szCs w:val="22"/>
              </w:rPr>
              <w:t>Poruchy krvi a lymfatického systému</w:t>
            </w:r>
          </w:p>
        </w:tc>
      </w:tr>
      <w:tr w:rsidR="007D0B10" w:rsidRPr="009C5C64" w14:paraId="0D98F8F6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8F2" w14:textId="77777777" w:rsidR="007D0B10" w:rsidRPr="009C5C64" w:rsidRDefault="007D0B10" w:rsidP="007D0B10">
            <w:pPr>
              <w:keepNext/>
              <w:spacing w:after="120"/>
              <w:rPr>
                <w:sz w:val="22"/>
                <w:szCs w:val="22"/>
                <w:vertAlign w:val="superscript"/>
              </w:rPr>
            </w:pPr>
            <w:r w:rsidRPr="009C5C64">
              <w:rPr>
                <w:color w:val="000000"/>
                <w:sz w:val="22"/>
                <w:szCs w:val="22"/>
              </w:rPr>
              <w:t>Anémia (znížená hladina hemoglobínu, znížená hladina hematokritu</w:t>
            </w:r>
            <w:r w:rsidRPr="009C5C64">
              <w:rPr>
                <w:sz w:val="22"/>
                <w:szCs w:val="22"/>
              </w:rPr>
              <w:t>)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8F3" w14:textId="77777777" w:rsidR="007D0B10" w:rsidRPr="009C5C64" w:rsidRDefault="007D0B10" w:rsidP="007D0B10">
            <w:pPr>
              <w:keepNext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  <w:r w:rsidRPr="009C5C64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8F4" w14:textId="77777777" w:rsidR="007D0B10" w:rsidRPr="009C5C64" w:rsidRDefault="007D0B10" w:rsidP="007D0B10">
            <w:pPr>
              <w:keepNext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8F5" w14:textId="77777777" w:rsidR="007D0B10" w:rsidRPr="009C5C64" w:rsidRDefault="007D0B10" w:rsidP="007D0B10">
            <w:pPr>
              <w:keepNext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</w:tr>
      <w:tr w:rsidR="007D0B10" w:rsidRPr="009C5C64" w14:paraId="0D98F8F8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8F7" w14:textId="77777777" w:rsidR="007D0B10" w:rsidRPr="009C5C64" w:rsidRDefault="007D0B10" w:rsidP="007D0B10">
            <w:pPr>
              <w:keepNext/>
              <w:keepLines/>
              <w:rPr>
                <w:i/>
                <w:iCs/>
                <w:sz w:val="22"/>
                <w:szCs w:val="22"/>
              </w:rPr>
            </w:pPr>
          </w:p>
        </w:tc>
      </w:tr>
      <w:tr w:rsidR="007D0B10" w:rsidRPr="009C5C64" w14:paraId="0D98F8FA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8F9" w14:textId="77777777" w:rsidR="007D0B10" w:rsidRPr="009C5C64" w:rsidRDefault="007D0B10" w:rsidP="007D0B10">
            <w:pPr>
              <w:keepNext/>
              <w:keepLines/>
              <w:rPr>
                <w:sz w:val="22"/>
                <w:szCs w:val="22"/>
                <w:highlight w:val="yellow"/>
              </w:rPr>
            </w:pPr>
            <w:r w:rsidRPr="009C5C64">
              <w:rPr>
                <w:i/>
                <w:iCs/>
                <w:color w:val="000000"/>
                <w:sz w:val="22"/>
                <w:szCs w:val="22"/>
              </w:rPr>
              <w:t>Poruchy imunitného systému</w:t>
            </w:r>
          </w:p>
        </w:tc>
      </w:tr>
      <w:tr w:rsidR="007D0B10" w:rsidRPr="009C5C64" w14:paraId="0D98F8FF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8FB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color w:val="000000"/>
                <w:sz w:val="22"/>
                <w:szCs w:val="22"/>
              </w:rPr>
              <w:t xml:space="preserve">Reakcie z precitlivenosti (napr. </w:t>
            </w:r>
            <w:r w:rsidRPr="009C5C64">
              <w:rPr>
                <w:color w:val="000000"/>
                <w:sz w:val="22"/>
                <w:szCs w:val="22"/>
              </w:rPr>
              <w:lastRenderedPageBreak/>
              <w:t>angioedém, vyrážka, pruritus</w:t>
            </w:r>
            <w:r w:rsidRPr="009C5C64">
              <w:rPr>
                <w:sz w:val="22"/>
                <w:szCs w:val="22"/>
              </w:rPr>
              <w:t>)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8FC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lastRenderedPageBreak/>
              <w:t>Menej časté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8FD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8FE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</w:tr>
      <w:tr w:rsidR="007D0B10" w:rsidRPr="009C5C64" w14:paraId="0D98F901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00" w14:textId="77777777" w:rsidR="007D0B10" w:rsidRPr="009C5C64" w:rsidRDefault="007D0B10" w:rsidP="007D0B10">
            <w:pPr>
              <w:keepNext/>
              <w:keepLines/>
              <w:rPr>
                <w:i/>
                <w:iCs/>
                <w:sz w:val="22"/>
                <w:szCs w:val="22"/>
              </w:rPr>
            </w:pPr>
          </w:p>
        </w:tc>
      </w:tr>
      <w:tr w:rsidR="007D0B10" w:rsidRPr="009C5C64" w14:paraId="0D98F903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02" w14:textId="77777777" w:rsidR="007D0B10" w:rsidRPr="009C5C64" w:rsidRDefault="007D0B10" w:rsidP="007D0B10">
            <w:pPr>
              <w:keepNext/>
              <w:keepLines/>
              <w:rPr>
                <w:sz w:val="22"/>
                <w:szCs w:val="22"/>
                <w:highlight w:val="yellow"/>
              </w:rPr>
            </w:pPr>
            <w:r w:rsidRPr="009C5C64">
              <w:rPr>
                <w:i/>
                <w:iCs/>
                <w:color w:val="000000"/>
                <w:sz w:val="22"/>
                <w:szCs w:val="22"/>
              </w:rPr>
              <w:t>Poruchy nervového systému</w:t>
            </w:r>
          </w:p>
        </w:tc>
      </w:tr>
      <w:tr w:rsidR="007D0B10" w:rsidRPr="009C5C64" w14:paraId="0D98F908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04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color w:val="000000"/>
                <w:sz w:val="22"/>
                <w:szCs w:val="22"/>
              </w:rPr>
              <w:t>Bolesť hlavy (vrátane bolesti hlavy v dôsledku sinusitídy, migréna</w:t>
            </w:r>
            <w:r w:rsidRPr="009C5C64">
              <w:rPr>
                <w:sz w:val="22"/>
                <w:szCs w:val="22"/>
              </w:rPr>
              <w:t>)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05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  <w:r w:rsidRPr="009C5C6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06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07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</w:tr>
      <w:tr w:rsidR="007D0B10" w:rsidRPr="009C5C64" w14:paraId="0D98F90D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09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Závrat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0A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  <w:r w:rsidRPr="009C5C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0B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0C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</w:tr>
      <w:tr w:rsidR="007D0B10" w:rsidRPr="009C5C64" w14:paraId="0D98F90F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0E" w14:textId="77777777" w:rsidR="007D0B10" w:rsidRPr="009C5C64" w:rsidRDefault="007D0B10" w:rsidP="007D0B10">
            <w:pPr>
              <w:keepNext/>
              <w:keepLines/>
              <w:rPr>
                <w:i/>
                <w:iCs/>
                <w:sz w:val="22"/>
                <w:szCs w:val="22"/>
              </w:rPr>
            </w:pPr>
          </w:p>
        </w:tc>
      </w:tr>
      <w:tr w:rsidR="007D0B10" w:rsidRPr="009C5C64" w14:paraId="0D98F911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10" w14:textId="77777777" w:rsidR="007D0B10" w:rsidRPr="009C5C64" w:rsidRDefault="007D0B10" w:rsidP="007D0B10">
            <w:pPr>
              <w:keepNext/>
              <w:keepLines/>
              <w:rPr>
                <w:i/>
                <w:iCs/>
                <w:sz w:val="22"/>
                <w:szCs w:val="22"/>
              </w:rPr>
            </w:pPr>
            <w:r w:rsidRPr="009C5C64">
              <w:rPr>
                <w:i/>
                <w:color w:val="000000"/>
                <w:sz w:val="22"/>
                <w:szCs w:val="22"/>
              </w:rPr>
              <w:t>Poruchy oka</w:t>
            </w:r>
          </w:p>
        </w:tc>
      </w:tr>
      <w:tr w:rsidR="007D0B10" w:rsidRPr="009C5C64" w14:paraId="0D98F916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12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color w:val="000000"/>
                <w:sz w:val="22"/>
                <w:szCs w:val="22"/>
              </w:rPr>
              <w:t>Rozmazané videnie, porucha zraku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13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Neznáme</w:t>
            </w:r>
            <w:r w:rsidRPr="009C5C64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14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15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</w:tr>
      <w:tr w:rsidR="007D0B10" w:rsidRPr="009C5C64" w14:paraId="0D98F918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17" w14:textId="77777777" w:rsidR="007D0B10" w:rsidRPr="009C5C64" w:rsidRDefault="007D0B10" w:rsidP="007D0B10">
            <w:pPr>
              <w:keepNext/>
              <w:keepLines/>
              <w:rPr>
                <w:i/>
                <w:iCs/>
                <w:sz w:val="22"/>
                <w:szCs w:val="22"/>
              </w:rPr>
            </w:pPr>
          </w:p>
        </w:tc>
      </w:tr>
      <w:tr w:rsidR="007D0B10" w:rsidRPr="009C5C64" w14:paraId="0D98F91A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19" w14:textId="77777777" w:rsidR="007D0B10" w:rsidRPr="009C5C64" w:rsidRDefault="007D0B10" w:rsidP="007D0B10">
            <w:pPr>
              <w:keepNext/>
              <w:keepLines/>
              <w:rPr>
                <w:i/>
                <w:iCs/>
                <w:sz w:val="22"/>
                <w:szCs w:val="22"/>
              </w:rPr>
            </w:pPr>
            <w:r w:rsidRPr="009C5C64">
              <w:rPr>
                <w:i/>
                <w:iCs/>
                <w:color w:val="000000"/>
                <w:sz w:val="22"/>
                <w:szCs w:val="22"/>
              </w:rPr>
              <w:t xml:space="preserve">Poruchy ucha a </w:t>
            </w:r>
            <w:r w:rsidRPr="009C5C64">
              <w:rPr>
                <w:i/>
                <w:iCs/>
                <w:sz w:val="22"/>
                <w:szCs w:val="22"/>
              </w:rPr>
              <w:t>labyrintu</w:t>
            </w:r>
          </w:p>
        </w:tc>
      </w:tr>
      <w:tr w:rsidR="007D0B10" w:rsidRPr="009C5C64" w14:paraId="0D98F91F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1B" w14:textId="5DF2F655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  <w:vertAlign w:val="superscript"/>
              </w:rPr>
            </w:pPr>
            <w:r w:rsidRPr="009C5C64">
              <w:rPr>
                <w:sz w:val="22"/>
                <w:szCs w:val="22"/>
              </w:rPr>
              <w:t>Tinitus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1C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NR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1D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NR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1E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</w:tr>
      <w:tr w:rsidR="007D0B10" w:rsidRPr="009C5C64" w14:paraId="0D98F924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20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  <w:vertAlign w:val="superscript"/>
              </w:rPr>
            </w:pPr>
            <w:r w:rsidRPr="009C5C64">
              <w:rPr>
                <w:sz w:val="22"/>
                <w:szCs w:val="22"/>
              </w:rPr>
              <w:t>Náhla strata sluchu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21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NR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22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NR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23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Menej časté</w:t>
            </w:r>
          </w:p>
        </w:tc>
      </w:tr>
      <w:tr w:rsidR="007D0B10" w:rsidRPr="009C5C64" w14:paraId="0D98F926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25" w14:textId="77777777" w:rsidR="007D0B10" w:rsidRPr="009C5C64" w:rsidRDefault="007D0B10" w:rsidP="007D0B10">
            <w:pPr>
              <w:keepNext/>
              <w:keepLines/>
              <w:rPr>
                <w:i/>
                <w:iCs/>
                <w:sz w:val="22"/>
                <w:szCs w:val="22"/>
              </w:rPr>
            </w:pPr>
          </w:p>
        </w:tc>
      </w:tr>
      <w:tr w:rsidR="007D0B10" w:rsidRPr="009C5C64" w14:paraId="0D98F928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27" w14:textId="77777777" w:rsidR="007D0B10" w:rsidRPr="009C5C64" w:rsidRDefault="007D0B10" w:rsidP="007D0B10">
            <w:pPr>
              <w:keepNext/>
              <w:keepLines/>
              <w:rPr>
                <w:i/>
                <w:iCs/>
                <w:sz w:val="22"/>
                <w:szCs w:val="22"/>
              </w:rPr>
            </w:pPr>
            <w:r w:rsidRPr="009C5C64">
              <w:rPr>
                <w:i/>
                <w:iCs/>
                <w:color w:val="000000"/>
                <w:sz w:val="22"/>
                <w:szCs w:val="22"/>
              </w:rPr>
              <w:t>Poruchy srdca a srdcovej činnosti</w:t>
            </w:r>
          </w:p>
        </w:tc>
      </w:tr>
      <w:tr w:rsidR="007D0B10" w:rsidRPr="009C5C64" w14:paraId="0D98F92D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29" w14:textId="701885FC" w:rsidR="007D0B10" w:rsidRPr="009C5C64" w:rsidRDefault="00D008C7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7D0B10" w:rsidRPr="009C5C64">
              <w:rPr>
                <w:sz w:val="22"/>
                <w:szCs w:val="22"/>
              </w:rPr>
              <w:t>lyhanie</w:t>
            </w:r>
            <w:r>
              <w:rPr>
                <w:sz w:val="22"/>
                <w:szCs w:val="22"/>
              </w:rPr>
              <w:t xml:space="preserve"> srdca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2A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  <w:r w:rsidRPr="009C5C64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2B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2C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</w:tr>
      <w:tr w:rsidR="007D0B10" w:rsidRPr="009C5C64" w14:paraId="0D98F932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2E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Palpitácie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2F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30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31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</w:tr>
      <w:tr w:rsidR="007D0B10" w:rsidRPr="009C5C64" w14:paraId="0D98F934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33" w14:textId="77777777" w:rsidR="007D0B10" w:rsidRPr="009C5C64" w:rsidRDefault="007D0B10" w:rsidP="007D0B10">
            <w:pPr>
              <w:keepNext/>
              <w:keepLines/>
              <w:rPr>
                <w:i/>
                <w:iCs/>
                <w:sz w:val="22"/>
                <w:szCs w:val="22"/>
              </w:rPr>
            </w:pPr>
          </w:p>
        </w:tc>
      </w:tr>
      <w:tr w:rsidR="007D0B10" w:rsidRPr="009C5C64" w14:paraId="0D98F936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35" w14:textId="77777777" w:rsidR="007D0B10" w:rsidRPr="009C5C64" w:rsidRDefault="007D0B10" w:rsidP="007D0B10">
            <w:pPr>
              <w:keepNext/>
              <w:keepLines/>
              <w:rPr>
                <w:i/>
                <w:iCs/>
                <w:sz w:val="22"/>
                <w:szCs w:val="22"/>
              </w:rPr>
            </w:pPr>
            <w:r w:rsidRPr="009C5C64">
              <w:rPr>
                <w:i/>
                <w:iCs/>
                <w:color w:val="000000"/>
                <w:sz w:val="22"/>
                <w:szCs w:val="22"/>
              </w:rPr>
              <w:t>Poruchy ciev</w:t>
            </w:r>
          </w:p>
        </w:tc>
      </w:tr>
      <w:tr w:rsidR="007D0B10" w:rsidRPr="009C5C64" w14:paraId="0D98F93B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37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  <w:vertAlign w:val="superscript"/>
              </w:rPr>
            </w:pPr>
            <w:r w:rsidRPr="009C5C64">
              <w:rPr>
                <w:sz w:val="22"/>
                <w:szCs w:val="22"/>
              </w:rPr>
              <w:t>Hypotenzia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38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  <w:r w:rsidRPr="009C5C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39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3A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</w:tr>
      <w:tr w:rsidR="007D0B10" w:rsidRPr="009C5C64" w14:paraId="0D98F940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3C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color w:val="000000"/>
                <w:sz w:val="22"/>
                <w:szCs w:val="22"/>
              </w:rPr>
              <w:t>Návaly tepla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3D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3E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3F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</w:tr>
      <w:tr w:rsidR="007D0B10" w:rsidRPr="009C5C64" w14:paraId="0D98F945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41" w14:textId="77777777" w:rsidR="007D0B10" w:rsidRPr="009C5C64" w:rsidRDefault="007D0B10" w:rsidP="007D0B10">
            <w:pPr>
              <w:spacing w:after="120"/>
              <w:rPr>
                <w:sz w:val="22"/>
                <w:szCs w:val="22"/>
                <w:vertAlign w:val="superscript"/>
              </w:rPr>
            </w:pPr>
            <w:r w:rsidRPr="009C5C64">
              <w:rPr>
                <w:sz w:val="22"/>
                <w:szCs w:val="22"/>
              </w:rPr>
              <w:t>Synkopa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42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Menej časté</w:t>
            </w:r>
            <w:r w:rsidRPr="009C5C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43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44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</w:tr>
      <w:tr w:rsidR="007D0B10" w:rsidRPr="009C5C64" w14:paraId="0D98F947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46" w14:textId="77777777" w:rsidR="007D0B10" w:rsidRPr="009C5C64" w:rsidRDefault="007D0B10" w:rsidP="007D0B10">
            <w:pPr>
              <w:keepNext/>
              <w:keepLines/>
              <w:rPr>
                <w:i/>
                <w:iCs/>
                <w:sz w:val="22"/>
                <w:szCs w:val="22"/>
              </w:rPr>
            </w:pPr>
          </w:p>
        </w:tc>
      </w:tr>
      <w:tr w:rsidR="007D0B10" w:rsidRPr="009C5C64" w14:paraId="0D98F949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48" w14:textId="77777777" w:rsidR="007D0B10" w:rsidRPr="009C5C64" w:rsidRDefault="007D0B10" w:rsidP="007D0B10">
            <w:pPr>
              <w:keepNext/>
              <w:keepLines/>
              <w:rPr>
                <w:i/>
                <w:iCs/>
                <w:sz w:val="22"/>
                <w:szCs w:val="22"/>
              </w:rPr>
            </w:pPr>
            <w:r w:rsidRPr="009C5C64">
              <w:rPr>
                <w:i/>
                <w:iCs/>
                <w:color w:val="000000"/>
                <w:sz w:val="22"/>
                <w:szCs w:val="22"/>
              </w:rPr>
              <w:t>Poruchy dýchacej sústavy, hrudníka a mediastína</w:t>
            </w:r>
          </w:p>
        </w:tc>
      </w:tr>
      <w:tr w:rsidR="007D0B10" w:rsidRPr="009C5C64" w14:paraId="0D98F94E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4A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Epistaxa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4B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  <w:r w:rsidRPr="009C5C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4C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4D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</w:tr>
      <w:tr w:rsidR="007D0B10" w:rsidRPr="009C5C64" w14:paraId="0D98F953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4F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Dyspnoe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50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  <w:r w:rsidRPr="009C5C64">
              <w:rPr>
                <w:sz w:val="22"/>
                <w:szCs w:val="22"/>
                <w:vertAlign w:val="superscript"/>
              </w:rPr>
              <w:t>3,6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51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52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</w:tr>
      <w:tr w:rsidR="007D0B10" w:rsidRPr="009C5C64" w14:paraId="0D98F958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54" w14:textId="77D8FA26" w:rsidR="007D0B10" w:rsidRPr="009C5C64" w:rsidRDefault="007D0B10" w:rsidP="00D008C7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color w:val="000000"/>
                <w:sz w:val="22"/>
                <w:szCs w:val="22"/>
              </w:rPr>
              <w:t>Kongescia v oblasti horných dýchacích ciest (napr. kongescia sliznice prinosových dutín), sinusitída, nazofaryngitída, rinitída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55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  <w:r w:rsidRPr="009C5C64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56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57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</w:p>
        </w:tc>
      </w:tr>
      <w:tr w:rsidR="007D0B10" w:rsidRPr="009C5C64" w14:paraId="0D98F95D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59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Nazofaryngitída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5A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5B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5C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</w:tr>
      <w:tr w:rsidR="007D0B10" w:rsidRPr="009C5C64" w14:paraId="0D98F962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5E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Sinusitída, rinitída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5F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60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61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</w:tr>
      <w:tr w:rsidR="007D0B10" w:rsidRPr="009C5C64" w14:paraId="0D98F967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63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color w:val="000000"/>
                <w:sz w:val="22"/>
                <w:szCs w:val="22"/>
              </w:rPr>
              <w:lastRenderedPageBreak/>
              <w:t>Kongescia nosovej sliznice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64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65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66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</w:tr>
      <w:tr w:rsidR="007D0B10" w:rsidRPr="009C5C64" w14:paraId="0D98F969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68" w14:textId="77777777" w:rsidR="007D0B10" w:rsidRPr="009C5C64" w:rsidRDefault="007D0B10" w:rsidP="007D0B10">
            <w:pPr>
              <w:keepNext/>
              <w:keepLines/>
              <w:rPr>
                <w:i/>
                <w:iCs/>
                <w:sz w:val="22"/>
                <w:szCs w:val="22"/>
              </w:rPr>
            </w:pPr>
          </w:p>
        </w:tc>
      </w:tr>
      <w:tr w:rsidR="007D0B10" w:rsidRPr="009C5C64" w14:paraId="0D98F96B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6A" w14:textId="77777777" w:rsidR="007D0B10" w:rsidRPr="009C5C64" w:rsidRDefault="007D0B10" w:rsidP="007D0B10">
            <w:pPr>
              <w:rPr>
                <w:i/>
                <w:iCs/>
                <w:sz w:val="22"/>
                <w:szCs w:val="22"/>
              </w:rPr>
            </w:pPr>
            <w:r w:rsidRPr="009C5C64">
              <w:rPr>
                <w:i/>
                <w:iCs/>
                <w:color w:val="000000"/>
                <w:sz w:val="22"/>
                <w:szCs w:val="22"/>
              </w:rPr>
              <w:t>Poruchy gastrointestinálneho traktu</w:t>
            </w:r>
          </w:p>
        </w:tc>
      </w:tr>
      <w:tr w:rsidR="007D0B10" w:rsidRPr="009C5C64" w14:paraId="0D98F970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6C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color w:val="000000"/>
                <w:sz w:val="22"/>
                <w:szCs w:val="22"/>
              </w:rPr>
              <w:t>Nauzea, vracanie, hnačka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6D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  <w:r w:rsidRPr="009C5C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6E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6F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</w:p>
        </w:tc>
      </w:tr>
      <w:tr w:rsidR="007D0B10" w:rsidRPr="009C5C64" w14:paraId="0D98F975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71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Nauzea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72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73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74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</w:tr>
      <w:tr w:rsidR="007D0B10" w:rsidRPr="009C5C64" w14:paraId="0D98F97A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76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Vracanie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77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78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79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</w:tr>
      <w:tr w:rsidR="007D0B10" w:rsidRPr="009C5C64" w14:paraId="0D98F97F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7B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Hnačka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7C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7D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7E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</w:tr>
      <w:tr w:rsidR="007D0B10" w:rsidRPr="009C5C64" w14:paraId="0D98F984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80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Bolesť brucha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81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82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83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</w:tr>
      <w:tr w:rsidR="007D0B10" w:rsidRPr="009C5C64" w14:paraId="0D98F989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85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Zápcha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86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87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88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</w:tr>
      <w:tr w:rsidR="007D0B10" w:rsidRPr="009C5C64" w14:paraId="0D98F98B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8A" w14:textId="77777777" w:rsidR="007D0B10" w:rsidRPr="009C5C64" w:rsidRDefault="007D0B10" w:rsidP="007D0B10">
            <w:pPr>
              <w:keepNext/>
              <w:rPr>
                <w:i/>
                <w:iCs/>
                <w:sz w:val="22"/>
                <w:szCs w:val="22"/>
              </w:rPr>
            </w:pPr>
          </w:p>
        </w:tc>
      </w:tr>
      <w:tr w:rsidR="007D0B10" w:rsidRPr="009C5C64" w14:paraId="0D98F98D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8C" w14:textId="77777777" w:rsidR="007D0B10" w:rsidRPr="009C5C64" w:rsidRDefault="007D0B10" w:rsidP="007D0B10">
            <w:pPr>
              <w:rPr>
                <w:i/>
                <w:iCs/>
                <w:sz w:val="22"/>
                <w:szCs w:val="22"/>
              </w:rPr>
            </w:pPr>
            <w:r w:rsidRPr="009C5C64">
              <w:rPr>
                <w:i/>
                <w:iCs/>
                <w:sz w:val="22"/>
                <w:szCs w:val="22"/>
              </w:rPr>
              <w:t>Poruchy pečene a žlčových ciest</w:t>
            </w:r>
          </w:p>
        </w:tc>
      </w:tr>
      <w:tr w:rsidR="007D0B10" w:rsidRPr="009C5C64" w14:paraId="0D98F992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8E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Poškodenie pečene (pozri časť 4.4)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8F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Menej časté</w:t>
            </w:r>
            <w:r w:rsidRPr="009C5C64">
              <w:rPr>
                <w:sz w:val="22"/>
                <w:szCs w:val="22"/>
                <w:vertAlign w:val="superscript"/>
              </w:rPr>
              <w:t>3,8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90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NR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91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NR</w:t>
            </w:r>
          </w:p>
        </w:tc>
      </w:tr>
      <w:tr w:rsidR="007D0B10" w:rsidRPr="009C5C64" w14:paraId="0D98F997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93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Autoimunitná hepatitída (pozri časť 4.4)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94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Menej časté</w:t>
            </w:r>
            <w:r w:rsidRPr="009C5C64">
              <w:rPr>
                <w:sz w:val="22"/>
                <w:szCs w:val="22"/>
                <w:vertAlign w:val="superscript"/>
              </w:rPr>
              <w:t xml:space="preserve"> 3,8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95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NR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96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NR</w:t>
            </w:r>
          </w:p>
        </w:tc>
      </w:tr>
      <w:tr w:rsidR="007D0B10" w:rsidRPr="009C5C64" w14:paraId="0D98F99C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98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color w:val="000000"/>
                <w:sz w:val="22"/>
                <w:szCs w:val="22"/>
              </w:rPr>
              <w:t>Zvýšené hladiny pečeňových transamináz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99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  <w:r w:rsidRPr="009C5C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9A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NR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9B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NR</w:t>
            </w:r>
          </w:p>
        </w:tc>
      </w:tr>
      <w:tr w:rsidR="007D0B10" w:rsidRPr="009C5C64" w14:paraId="0D98F99E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9D" w14:textId="77777777" w:rsidR="007D0B10" w:rsidRPr="009C5C64" w:rsidRDefault="007D0B10" w:rsidP="007D0B10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D0B10" w:rsidRPr="009C5C64" w14:paraId="0D98F9A0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9F" w14:textId="77777777" w:rsidR="007D0B10" w:rsidRPr="009C5C64" w:rsidRDefault="007D0B10" w:rsidP="007D0B10">
            <w:pPr>
              <w:rPr>
                <w:i/>
                <w:iCs/>
                <w:sz w:val="22"/>
                <w:szCs w:val="22"/>
              </w:rPr>
            </w:pPr>
            <w:r w:rsidRPr="009C5C64">
              <w:rPr>
                <w:i/>
                <w:iCs/>
                <w:sz w:val="22"/>
                <w:szCs w:val="22"/>
              </w:rPr>
              <w:t>Poruchy kože a podkožného tkaniva</w:t>
            </w:r>
          </w:p>
        </w:tc>
      </w:tr>
      <w:tr w:rsidR="007D0B10" w:rsidRPr="009C5C64" w14:paraId="0D98F9A5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A1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Vyrážka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A2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NR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A3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  <w:r w:rsidRPr="009C5C64">
              <w:rPr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A4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  <w:r w:rsidRPr="009C5C64">
              <w:rPr>
                <w:sz w:val="22"/>
                <w:szCs w:val="22"/>
                <w:vertAlign w:val="superscript"/>
              </w:rPr>
              <w:t>9</w:t>
            </w:r>
          </w:p>
        </w:tc>
      </w:tr>
      <w:tr w:rsidR="007D0B10" w:rsidRPr="009C5C64" w14:paraId="0D98F9A7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A6" w14:textId="77777777" w:rsidR="007D0B10" w:rsidRPr="009C5C64" w:rsidRDefault="007D0B10" w:rsidP="007D0B10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D0B10" w:rsidRPr="009C5C64" w14:paraId="0D98F9A9" w14:textId="77777777" w:rsidTr="007D0B10">
        <w:tc>
          <w:tcPr>
            <w:tcW w:w="89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A8" w14:textId="77777777" w:rsidR="007D0B10" w:rsidRPr="009C5C64" w:rsidRDefault="007D0B10" w:rsidP="007D0B10">
            <w:pPr>
              <w:keepNext/>
              <w:keepLines/>
              <w:rPr>
                <w:i/>
                <w:iCs/>
                <w:sz w:val="22"/>
                <w:szCs w:val="22"/>
              </w:rPr>
            </w:pPr>
            <w:r w:rsidRPr="009C5C64">
              <w:rPr>
                <w:i/>
                <w:iCs/>
                <w:color w:val="000000"/>
                <w:sz w:val="22"/>
                <w:szCs w:val="22"/>
              </w:rPr>
              <w:t>Celkové poruchy a reakcie v mieste podania</w:t>
            </w:r>
          </w:p>
        </w:tc>
      </w:tr>
      <w:tr w:rsidR="007D0B10" w:rsidRPr="009C5C64" w14:paraId="0D98F9AE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AA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Periférny edém, retencia tekutín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AB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AC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AD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</w:tr>
      <w:tr w:rsidR="007D0B10" w:rsidRPr="009C5C64" w14:paraId="0D98F9B3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AF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color w:val="000000"/>
                <w:sz w:val="22"/>
                <w:szCs w:val="22"/>
              </w:rPr>
              <w:t>Bolesť/nepríjemný pocit na hrudníku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B0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B1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B2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</w:tr>
      <w:tr w:rsidR="007D0B10" w:rsidRPr="009C5C64" w14:paraId="0D98F9B8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B4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  <w:vertAlign w:val="superscript"/>
              </w:rPr>
            </w:pPr>
            <w:r w:rsidRPr="009C5C64">
              <w:rPr>
                <w:sz w:val="22"/>
                <w:szCs w:val="22"/>
              </w:rPr>
              <w:t>Slabosť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B5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  <w:r w:rsidRPr="009C5C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B6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B7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</w:p>
        </w:tc>
      </w:tr>
      <w:tr w:rsidR="007D0B10" w:rsidRPr="009C5C64" w14:paraId="0D98F9BD" w14:textId="77777777" w:rsidTr="007D0B10">
        <w:tc>
          <w:tcPr>
            <w:tcW w:w="3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B9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Únava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BA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Časté</w:t>
            </w:r>
            <w:r w:rsidRPr="009C5C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BB" w14:textId="77777777" w:rsidR="007D0B10" w:rsidRPr="009C5C64" w:rsidRDefault="007D0B10" w:rsidP="007D0B10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8F9BC" w14:textId="77777777" w:rsidR="007D0B10" w:rsidRPr="009C5C64" w:rsidRDefault="007D0B10" w:rsidP="007D0B10">
            <w:pPr>
              <w:spacing w:after="120"/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Veľmi časté</w:t>
            </w:r>
          </w:p>
        </w:tc>
      </w:tr>
    </w:tbl>
    <w:p w14:paraId="0D98F9BE" w14:textId="77777777" w:rsidR="007D0B10" w:rsidRPr="009C5C64" w:rsidRDefault="007D0B10" w:rsidP="00ED4C94">
      <w:pPr>
        <w:rPr>
          <w:color w:val="000000"/>
          <w:sz w:val="22"/>
          <w:szCs w:val="22"/>
        </w:rPr>
      </w:pPr>
      <w:r w:rsidRPr="009C5C64">
        <w:rPr>
          <w:color w:val="000000"/>
          <w:sz w:val="22"/>
          <w:szCs w:val="22"/>
        </w:rPr>
        <w:t>NR </w:t>
      </w:r>
      <w:r w:rsidRPr="009C5C64">
        <w:rPr>
          <w:color w:val="000000"/>
          <w:sz w:val="22"/>
          <w:szCs w:val="22"/>
        </w:rPr>
        <w:noBreakHyphen/>
        <w:t> nehlásené</w:t>
      </w:r>
    </w:p>
    <w:p w14:paraId="0D98F9BF" w14:textId="77777777" w:rsidR="007D0B10" w:rsidRPr="003B294E" w:rsidRDefault="007D0B10" w:rsidP="003B294E">
      <w:pPr>
        <w:pStyle w:val="Normlnywebov"/>
        <w:spacing w:before="0" w:beforeAutospacing="0" w:after="0" w:afterAutospacing="0"/>
        <w:ind w:left="142" w:hanging="142"/>
        <w:rPr>
          <w:color w:val="000000"/>
          <w:sz w:val="16"/>
          <w:szCs w:val="16"/>
        </w:rPr>
      </w:pPr>
      <w:r w:rsidRPr="003B294E">
        <w:rPr>
          <w:color w:val="000000"/>
          <w:sz w:val="16"/>
          <w:szCs w:val="16"/>
          <w:vertAlign w:val="superscript"/>
        </w:rPr>
        <w:t>1</w:t>
      </w:r>
      <w:r w:rsidRPr="003B294E">
        <w:rPr>
          <w:color w:val="000000"/>
          <w:sz w:val="16"/>
          <w:szCs w:val="16"/>
        </w:rPr>
        <w:t xml:space="preserve"> Pozri časť „</w:t>
      </w:r>
      <w:r w:rsidR="00ED4C94" w:rsidRPr="003B294E">
        <w:rPr>
          <w:i/>
          <w:color w:val="000000"/>
          <w:sz w:val="16"/>
          <w:szCs w:val="16"/>
        </w:rPr>
        <w:t>O</w:t>
      </w:r>
      <w:r w:rsidRPr="003B294E">
        <w:rPr>
          <w:i/>
          <w:color w:val="000000"/>
          <w:sz w:val="16"/>
          <w:szCs w:val="16"/>
        </w:rPr>
        <w:t>pis vybraných nežiaducich reakcií</w:t>
      </w:r>
      <w:r w:rsidRPr="003B294E">
        <w:rPr>
          <w:color w:val="000000"/>
          <w:sz w:val="16"/>
          <w:szCs w:val="16"/>
        </w:rPr>
        <w:t>“.</w:t>
      </w:r>
    </w:p>
    <w:p w14:paraId="0D98F9C0" w14:textId="0332C084" w:rsidR="007D0B10" w:rsidRPr="003B294E" w:rsidRDefault="007D0B10" w:rsidP="003B294E">
      <w:pPr>
        <w:pStyle w:val="Normlnywebov"/>
        <w:spacing w:before="0" w:beforeAutospacing="0" w:after="0" w:afterAutospacing="0"/>
        <w:ind w:left="142" w:hanging="142"/>
        <w:rPr>
          <w:color w:val="000000"/>
          <w:sz w:val="16"/>
          <w:szCs w:val="16"/>
        </w:rPr>
      </w:pPr>
      <w:r w:rsidRPr="003B294E">
        <w:rPr>
          <w:color w:val="000000"/>
          <w:sz w:val="16"/>
          <w:szCs w:val="16"/>
          <w:vertAlign w:val="superscript"/>
        </w:rPr>
        <w:t>2</w:t>
      </w:r>
      <w:r w:rsidRPr="003B294E">
        <w:rPr>
          <w:color w:val="000000"/>
          <w:sz w:val="16"/>
          <w:szCs w:val="16"/>
        </w:rPr>
        <w:t xml:space="preserve"> Frekvencia bolesti hlavy bola zvyčajne vyššia pri liečbe dávkou </w:t>
      </w:r>
      <w:r w:rsidR="00D42305">
        <w:rPr>
          <w:color w:val="000000"/>
          <w:sz w:val="16"/>
          <w:szCs w:val="16"/>
        </w:rPr>
        <w:t xml:space="preserve">10 mg </w:t>
      </w:r>
      <w:r w:rsidRPr="003B294E">
        <w:rPr>
          <w:color w:val="000000"/>
          <w:sz w:val="16"/>
          <w:szCs w:val="16"/>
        </w:rPr>
        <w:t>ambrisent</w:t>
      </w:r>
      <w:r w:rsidR="00D42305">
        <w:rPr>
          <w:color w:val="000000"/>
          <w:sz w:val="16"/>
          <w:szCs w:val="16"/>
        </w:rPr>
        <w:t>á</w:t>
      </w:r>
      <w:r w:rsidRPr="003B294E">
        <w:rPr>
          <w:color w:val="000000"/>
          <w:sz w:val="16"/>
          <w:szCs w:val="16"/>
        </w:rPr>
        <w:t>nu.</w:t>
      </w:r>
    </w:p>
    <w:p w14:paraId="0D98F9C1" w14:textId="77777777" w:rsidR="007D0B10" w:rsidRPr="003B294E" w:rsidRDefault="007D0B10" w:rsidP="003B294E">
      <w:pPr>
        <w:pStyle w:val="Normlnywebov"/>
        <w:spacing w:before="0" w:beforeAutospacing="0" w:after="0" w:afterAutospacing="0"/>
        <w:ind w:left="142" w:hanging="142"/>
        <w:rPr>
          <w:color w:val="000000"/>
          <w:sz w:val="16"/>
          <w:szCs w:val="16"/>
        </w:rPr>
      </w:pPr>
      <w:r w:rsidRPr="003B294E">
        <w:rPr>
          <w:color w:val="000000"/>
          <w:sz w:val="16"/>
          <w:szCs w:val="16"/>
          <w:vertAlign w:val="superscript"/>
        </w:rPr>
        <w:t>3</w:t>
      </w:r>
      <w:r w:rsidRPr="003B294E">
        <w:rPr>
          <w:color w:val="000000"/>
          <w:sz w:val="16"/>
          <w:szCs w:val="16"/>
        </w:rPr>
        <w:t xml:space="preserve"> Údaje sa získali z obdobia sledovania počas rutinného dohľadu nad liekmi a frekvencie sú založené na skúsenostiach z placebom kontrolovaných klinických skúšaní.</w:t>
      </w:r>
    </w:p>
    <w:p w14:paraId="0D98F9C2" w14:textId="77777777" w:rsidR="007D0B10" w:rsidRPr="003B294E" w:rsidRDefault="007D0B10" w:rsidP="003B294E">
      <w:pPr>
        <w:pStyle w:val="Normlnywebov"/>
        <w:spacing w:before="0" w:beforeAutospacing="0" w:after="0" w:afterAutospacing="0"/>
        <w:ind w:left="142" w:hanging="142"/>
        <w:rPr>
          <w:color w:val="000000"/>
          <w:sz w:val="16"/>
          <w:szCs w:val="16"/>
        </w:rPr>
      </w:pPr>
      <w:r w:rsidRPr="003B294E">
        <w:rPr>
          <w:color w:val="000000"/>
          <w:sz w:val="16"/>
          <w:szCs w:val="16"/>
          <w:vertAlign w:val="superscript"/>
        </w:rPr>
        <w:t>4</w:t>
      </w:r>
      <w:r w:rsidRPr="003B294E">
        <w:rPr>
          <w:color w:val="000000"/>
          <w:sz w:val="16"/>
          <w:szCs w:val="16"/>
        </w:rPr>
        <w:t xml:space="preserve"> Údaje sa získali z obdobia sledovania počas rutinného dohľadu nad liekmi.</w:t>
      </w:r>
    </w:p>
    <w:p w14:paraId="0D98F9C3" w14:textId="4D104B3D" w:rsidR="007D0B10" w:rsidRPr="003B294E" w:rsidRDefault="007D0B10" w:rsidP="003B294E">
      <w:pPr>
        <w:pStyle w:val="Normlnywebov"/>
        <w:spacing w:before="0" w:beforeAutospacing="0" w:after="0" w:afterAutospacing="0"/>
        <w:ind w:left="142" w:hanging="142"/>
        <w:rPr>
          <w:color w:val="000000"/>
          <w:sz w:val="16"/>
          <w:szCs w:val="16"/>
        </w:rPr>
      </w:pPr>
      <w:r w:rsidRPr="003B294E">
        <w:rPr>
          <w:color w:val="000000"/>
          <w:sz w:val="16"/>
          <w:szCs w:val="16"/>
          <w:vertAlign w:val="superscript"/>
        </w:rPr>
        <w:t>5</w:t>
      </w:r>
      <w:r w:rsidRPr="003B294E">
        <w:rPr>
          <w:color w:val="000000"/>
          <w:sz w:val="16"/>
          <w:szCs w:val="16"/>
        </w:rPr>
        <w:t xml:space="preserve"> Väčšina hlásených prípadov zlyhania</w:t>
      </w:r>
      <w:r w:rsidR="00D42305">
        <w:rPr>
          <w:color w:val="000000"/>
          <w:sz w:val="16"/>
          <w:szCs w:val="16"/>
        </w:rPr>
        <w:t xml:space="preserve"> srdca</w:t>
      </w:r>
      <w:r w:rsidRPr="003B294E">
        <w:rPr>
          <w:color w:val="000000"/>
          <w:sz w:val="16"/>
          <w:szCs w:val="16"/>
        </w:rPr>
        <w:t xml:space="preserve"> bola spojená s retenciou tekutín. Údaje sa získali z obdobia sledovania počas rutinného dohľadu nad liekmi, frekvencie sú založené na štatistickom modelovaní údajov z placebom kontrolovaných klinických skúšaní.</w:t>
      </w:r>
    </w:p>
    <w:p w14:paraId="0D98F9C4" w14:textId="0523415A" w:rsidR="007D0B10" w:rsidRPr="003B294E" w:rsidRDefault="007D0B10" w:rsidP="003B294E">
      <w:pPr>
        <w:pStyle w:val="Normlnywebov"/>
        <w:spacing w:before="0" w:beforeAutospacing="0" w:after="0" w:afterAutospacing="0"/>
        <w:ind w:left="142" w:hanging="142"/>
        <w:rPr>
          <w:color w:val="000000"/>
          <w:sz w:val="16"/>
          <w:szCs w:val="16"/>
        </w:rPr>
      </w:pPr>
      <w:r w:rsidRPr="003B294E">
        <w:rPr>
          <w:color w:val="000000"/>
          <w:sz w:val="16"/>
          <w:szCs w:val="16"/>
          <w:vertAlign w:val="superscript"/>
        </w:rPr>
        <w:t>6</w:t>
      </w:r>
      <w:r w:rsidRPr="003B294E">
        <w:rPr>
          <w:color w:val="000000"/>
          <w:sz w:val="16"/>
          <w:szCs w:val="16"/>
        </w:rPr>
        <w:t xml:space="preserve"> Prípady zhoršujúceho sa dyspnoe nejasnej etiológie boli hlásené v krátkom čase po začatí liečby ambrisent</w:t>
      </w:r>
      <w:r w:rsidR="00D42305">
        <w:rPr>
          <w:color w:val="000000"/>
          <w:sz w:val="16"/>
          <w:szCs w:val="16"/>
        </w:rPr>
        <w:t>á</w:t>
      </w:r>
      <w:r w:rsidRPr="003B294E">
        <w:rPr>
          <w:color w:val="000000"/>
          <w:sz w:val="16"/>
          <w:szCs w:val="16"/>
        </w:rPr>
        <w:t>nom.</w:t>
      </w:r>
    </w:p>
    <w:p w14:paraId="0D98F9C5" w14:textId="348ECA2D" w:rsidR="007D0B10" w:rsidRPr="003B294E" w:rsidRDefault="007D0B10" w:rsidP="003B294E">
      <w:pPr>
        <w:pStyle w:val="Normlnywebov"/>
        <w:spacing w:before="0" w:beforeAutospacing="0" w:after="0" w:afterAutospacing="0"/>
        <w:ind w:left="142" w:hanging="142"/>
        <w:rPr>
          <w:color w:val="000000"/>
          <w:sz w:val="16"/>
          <w:szCs w:val="16"/>
        </w:rPr>
      </w:pPr>
      <w:r w:rsidRPr="003B294E">
        <w:rPr>
          <w:color w:val="000000"/>
          <w:sz w:val="16"/>
          <w:szCs w:val="16"/>
          <w:vertAlign w:val="superscript"/>
        </w:rPr>
        <w:t>7</w:t>
      </w:r>
      <w:r w:rsidRPr="003B294E">
        <w:rPr>
          <w:color w:val="000000"/>
          <w:sz w:val="16"/>
          <w:szCs w:val="16"/>
        </w:rPr>
        <w:t xml:space="preserve"> Počas liečby ambrisent</w:t>
      </w:r>
      <w:r w:rsidR="00D42305">
        <w:rPr>
          <w:color w:val="000000"/>
          <w:sz w:val="16"/>
          <w:szCs w:val="16"/>
        </w:rPr>
        <w:t>á</w:t>
      </w:r>
      <w:r w:rsidRPr="003B294E">
        <w:rPr>
          <w:color w:val="000000"/>
          <w:sz w:val="16"/>
          <w:szCs w:val="16"/>
        </w:rPr>
        <w:t>nom súvisel výskyt kongescie nosovej sliznice s dávkou.</w:t>
      </w:r>
    </w:p>
    <w:p w14:paraId="0D98F9C6" w14:textId="64EEE7D4" w:rsidR="007D0B10" w:rsidRPr="003B294E" w:rsidRDefault="007D0B10" w:rsidP="003B294E">
      <w:pPr>
        <w:pStyle w:val="Normlnywebov"/>
        <w:spacing w:before="0" w:beforeAutospacing="0" w:after="0" w:afterAutospacing="0"/>
        <w:ind w:left="142" w:hanging="142"/>
        <w:rPr>
          <w:color w:val="000000"/>
          <w:sz w:val="16"/>
          <w:szCs w:val="16"/>
        </w:rPr>
      </w:pPr>
      <w:r w:rsidRPr="003B294E">
        <w:rPr>
          <w:noProof/>
          <w:sz w:val="16"/>
          <w:szCs w:val="16"/>
          <w:vertAlign w:val="superscript"/>
        </w:rPr>
        <w:lastRenderedPageBreak/>
        <w:t>8</w:t>
      </w:r>
      <w:r w:rsidRPr="003B294E">
        <w:rPr>
          <w:noProof/>
          <w:sz w:val="16"/>
          <w:szCs w:val="16"/>
        </w:rPr>
        <w:t xml:space="preserve"> Počas liečby ambrisent</w:t>
      </w:r>
      <w:r w:rsidR="00D42305">
        <w:rPr>
          <w:noProof/>
          <w:sz w:val="16"/>
          <w:szCs w:val="16"/>
        </w:rPr>
        <w:t>á</w:t>
      </w:r>
      <w:r w:rsidRPr="003B294E">
        <w:rPr>
          <w:noProof/>
          <w:sz w:val="16"/>
          <w:szCs w:val="16"/>
        </w:rPr>
        <w:t>nom boli hlásené prípady autoimunitnej hepatitídy, vrátane prípadov exacerbácie autoimunitnej hepatitídy a poškodenia pečene.</w:t>
      </w:r>
    </w:p>
    <w:p w14:paraId="0D98F9C7" w14:textId="77777777" w:rsidR="007D0B10" w:rsidRPr="003B294E" w:rsidRDefault="007D0B10" w:rsidP="003B294E">
      <w:pPr>
        <w:pStyle w:val="Normlnywebov"/>
        <w:spacing w:before="0" w:beforeAutospacing="0" w:after="0" w:afterAutospacing="0"/>
        <w:ind w:left="142" w:hanging="142"/>
        <w:rPr>
          <w:color w:val="000000"/>
          <w:sz w:val="16"/>
          <w:szCs w:val="16"/>
        </w:rPr>
      </w:pPr>
      <w:r w:rsidRPr="003B294E">
        <w:rPr>
          <w:color w:val="000000"/>
          <w:sz w:val="16"/>
          <w:szCs w:val="16"/>
          <w:vertAlign w:val="superscript"/>
        </w:rPr>
        <w:t>9</w:t>
      </w:r>
      <w:r w:rsidRPr="003B294E">
        <w:rPr>
          <w:color w:val="000000"/>
          <w:sz w:val="16"/>
          <w:szCs w:val="16"/>
        </w:rPr>
        <w:t xml:space="preserve"> Vyrážka zahŕňa erytematóznu vyrážku, generalizovanú vyrážku, papulóznu vyrážku a pruritickú vyrážku.</w:t>
      </w:r>
    </w:p>
    <w:p w14:paraId="0D98F9C8" w14:textId="77777777" w:rsidR="007D0B10" w:rsidRPr="009C5C64" w:rsidRDefault="007D0B10" w:rsidP="007D0B10">
      <w:pPr>
        <w:rPr>
          <w:sz w:val="22"/>
          <w:szCs w:val="22"/>
        </w:rPr>
      </w:pPr>
    </w:p>
    <w:p w14:paraId="0D98F9C9" w14:textId="77777777" w:rsidR="00ED4C94" w:rsidRPr="009C5C64" w:rsidRDefault="00ED4C94" w:rsidP="00ED4C94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Opis vybraných nežiaducich reakcií </w:t>
      </w:r>
    </w:p>
    <w:p w14:paraId="0D98F9CA" w14:textId="77777777" w:rsidR="00ED4C94" w:rsidRPr="009C5C64" w:rsidRDefault="00ED4C94" w:rsidP="00ED4C94">
      <w:pPr>
        <w:pStyle w:val="Default"/>
        <w:rPr>
          <w:sz w:val="22"/>
          <w:szCs w:val="22"/>
          <w:u w:val="single"/>
        </w:rPr>
      </w:pPr>
    </w:p>
    <w:p w14:paraId="0D98F9CB" w14:textId="77777777" w:rsidR="00ED4C94" w:rsidRPr="009C5C64" w:rsidRDefault="00ED4C94" w:rsidP="00ED4C94">
      <w:pPr>
        <w:pStyle w:val="Default"/>
        <w:rPr>
          <w:i/>
          <w:iCs/>
          <w:sz w:val="22"/>
          <w:szCs w:val="22"/>
          <w:u w:val="single"/>
        </w:rPr>
      </w:pPr>
      <w:r w:rsidRPr="009C5C64">
        <w:rPr>
          <w:i/>
          <w:iCs/>
          <w:sz w:val="22"/>
          <w:szCs w:val="22"/>
          <w:u w:val="single"/>
        </w:rPr>
        <w:t xml:space="preserve">Znížená koncentrácia hemoglobínu </w:t>
      </w:r>
    </w:p>
    <w:p w14:paraId="0D98F9CC" w14:textId="77777777" w:rsidR="00ED4C94" w:rsidRPr="009C5C64" w:rsidRDefault="00ED4C94" w:rsidP="00ED4C94">
      <w:pPr>
        <w:pStyle w:val="Default"/>
        <w:rPr>
          <w:sz w:val="22"/>
          <w:szCs w:val="22"/>
        </w:rPr>
      </w:pPr>
    </w:p>
    <w:p w14:paraId="0D98F9CD" w14:textId="1BF43A06" w:rsidR="00ED4C94" w:rsidRPr="009C5C64" w:rsidRDefault="00ED4C94" w:rsidP="00ED4C94">
      <w:pPr>
        <w:rPr>
          <w:sz w:val="22"/>
          <w:szCs w:val="22"/>
        </w:rPr>
      </w:pPr>
      <w:r w:rsidRPr="009C5C64">
        <w:rPr>
          <w:sz w:val="22"/>
          <w:szCs w:val="22"/>
        </w:rPr>
        <w:t>V období po uvedení originálneho lieku na trh boli hlás</w:t>
      </w:r>
      <w:r w:rsidR="00C87957">
        <w:rPr>
          <w:sz w:val="22"/>
          <w:szCs w:val="22"/>
        </w:rPr>
        <w:t xml:space="preserve">ené prípady anémie vyžadujúcej </w:t>
      </w:r>
      <w:r w:rsidRPr="009C5C64">
        <w:rPr>
          <w:sz w:val="22"/>
          <w:szCs w:val="22"/>
        </w:rPr>
        <w:t>transfúziu krvi (pozri časť 4.4). Frekvencia zníženej koncentrácie hemoglobínu (anémia) bola vyššia pri liečbe dávkou</w:t>
      </w:r>
      <w:r w:rsidR="00FC0DB0">
        <w:rPr>
          <w:sz w:val="22"/>
          <w:szCs w:val="22"/>
        </w:rPr>
        <w:t xml:space="preserve"> 10 mg</w:t>
      </w:r>
      <w:r w:rsidRPr="009C5C64">
        <w:rPr>
          <w:sz w:val="22"/>
          <w:szCs w:val="22"/>
        </w:rPr>
        <w:t xml:space="preserve"> ambrisent</w:t>
      </w:r>
      <w:r w:rsidR="00FC0DB0">
        <w:rPr>
          <w:sz w:val="22"/>
          <w:szCs w:val="22"/>
        </w:rPr>
        <w:t>á</w:t>
      </w:r>
      <w:r w:rsidRPr="009C5C64">
        <w:rPr>
          <w:sz w:val="22"/>
          <w:szCs w:val="22"/>
        </w:rPr>
        <w:t>nu. Vo všetkých 12-týždňových placebom kontrolovaných klinických štúdiách fázy 3 došlo u pacientov v skupine s ambrisent</w:t>
      </w:r>
      <w:r w:rsidR="00FC0DB0">
        <w:rPr>
          <w:sz w:val="22"/>
          <w:szCs w:val="22"/>
        </w:rPr>
        <w:t>á</w:t>
      </w:r>
      <w:r w:rsidRPr="009C5C64">
        <w:rPr>
          <w:sz w:val="22"/>
          <w:szCs w:val="22"/>
        </w:rPr>
        <w:t>nom k zníženiu priemernej koncentrácie hemoglobínu, ktoré bolo zistené už v 4. týždni (zníženie o 0,83 g/dl); priemerné zmeny oproti východiskovej koncentrácii sa zvyčajne stabilizovali počas nasledujúcich 8 týždňov. U celkovo 17 pacientov (6,5 %) v skupine s ambrisent</w:t>
      </w:r>
      <w:r w:rsidR="00FC0DB0">
        <w:rPr>
          <w:sz w:val="22"/>
          <w:szCs w:val="22"/>
        </w:rPr>
        <w:t>á</w:t>
      </w:r>
      <w:r w:rsidRPr="009C5C64">
        <w:rPr>
          <w:sz w:val="22"/>
          <w:szCs w:val="22"/>
        </w:rPr>
        <w:t>nom sa koncentrácia hemoglobínu znížila o ≥ 15 % oproti východiskovej koncentrácii a klesla pod dolnú hranicu referenčného rozpätia.</w:t>
      </w:r>
    </w:p>
    <w:p w14:paraId="0D98F9CE" w14:textId="77777777" w:rsidR="00D4069A" w:rsidRPr="009C5C64" w:rsidRDefault="00D4069A" w:rsidP="00481644">
      <w:pPr>
        <w:rPr>
          <w:sz w:val="22"/>
          <w:szCs w:val="22"/>
        </w:rPr>
      </w:pPr>
    </w:p>
    <w:p w14:paraId="6D234BB3" w14:textId="77777777" w:rsidR="00614C33" w:rsidRPr="00614C33" w:rsidRDefault="00614C33" w:rsidP="00614C33">
      <w:pPr>
        <w:pStyle w:val="Zkladntext"/>
        <w:rPr>
          <w:sz w:val="22"/>
          <w:szCs w:val="22"/>
        </w:rPr>
      </w:pPr>
      <w:r w:rsidRPr="000C2E13">
        <w:rPr>
          <w:sz w:val="22"/>
          <w:szCs w:val="22"/>
        </w:rPr>
        <w:t>Hlásenie podozrení na nežiaduce reakcie</w:t>
      </w:r>
    </w:p>
    <w:p w14:paraId="68D8CEFC" w14:textId="57E3717F" w:rsidR="00FE24AF" w:rsidRDefault="00614C33" w:rsidP="00D423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</w:rPr>
      </w:pPr>
      <w:r w:rsidRPr="00614C33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="000C2E13" w:rsidRPr="00DD1F05">
        <w:rPr>
          <w:sz w:val="22"/>
          <w:szCs w:val="22"/>
          <w:highlight w:val="lightGray"/>
        </w:rPr>
        <w:t>národné centrum hlásenia uvedené v </w:t>
      </w:r>
      <w:hyperlink r:id="rId11" w:history="1">
        <w:r w:rsidR="000C2E13" w:rsidRPr="000C2E13">
          <w:rPr>
            <w:rStyle w:val="Hypertextovprepojenie"/>
            <w:rFonts w:ascii="Times New Roman" w:hAnsi="Times New Roman"/>
            <w:sz w:val="22"/>
            <w:szCs w:val="22"/>
            <w:shd w:val="clear" w:color="auto" w:fill="C0C0C0"/>
          </w:rPr>
          <w:t>Prílohe V</w:t>
        </w:r>
      </w:hyperlink>
      <w:r w:rsidR="000C2E13" w:rsidRPr="00DD1F05">
        <w:rPr>
          <w:sz w:val="22"/>
          <w:szCs w:val="22"/>
          <w:highlight w:val="lightGray"/>
        </w:rPr>
        <w:t>.</w:t>
      </w:r>
    </w:p>
    <w:p w14:paraId="0D98F9D1" w14:textId="77777777" w:rsidR="00190AF2" w:rsidRPr="009C5C64" w:rsidRDefault="00190AF2" w:rsidP="00BA06C3">
      <w:pPr>
        <w:rPr>
          <w:sz w:val="22"/>
          <w:szCs w:val="22"/>
        </w:rPr>
      </w:pPr>
    </w:p>
    <w:p w14:paraId="0D98F9D2" w14:textId="1D79E790" w:rsidR="00D836F6" w:rsidRPr="009C5C64" w:rsidRDefault="00266F55" w:rsidP="0021623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4.9</w:t>
      </w:r>
      <w:r w:rsidR="00FE406D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Predávkovanie</w:t>
      </w:r>
    </w:p>
    <w:p w14:paraId="0D98F9D3" w14:textId="77777777" w:rsidR="00D836F6" w:rsidRPr="009C5C64" w:rsidRDefault="00D836F6" w:rsidP="00D52816">
      <w:pPr>
        <w:rPr>
          <w:sz w:val="22"/>
          <w:szCs w:val="22"/>
        </w:rPr>
      </w:pPr>
    </w:p>
    <w:p w14:paraId="0D98F9D4" w14:textId="1CFBFE32" w:rsidR="00D836F6" w:rsidRPr="009C5C64" w:rsidRDefault="00ED4C94" w:rsidP="00413627">
      <w:pPr>
        <w:pStyle w:val="EMEAEnBodyText"/>
        <w:spacing w:before="0" w:after="0"/>
        <w:jc w:val="left"/>
        <w:rPr>
          <w:szCs w:val="22"/>
        </w:rPr>
      </w:pPr>
      <w:r w:rsidRPr="009C5C64">
        <w:rPr>
          <w:szCs w:val="22"/>
        </w:rPr>
        <w:t>U pacientov s PAH nie sú skúsenosti s podávaním ambrisent</w:t>
      </w:r>
      <w:r w:rsidR="00E428E4">
        <w:rPr>
          <w:szCs w:val="22"/>
        </w:rPr>
        <w:t>á</w:t>
      </w:r>
      <w:r w:rsidRPr="009C5C64">
        <w:rPr>
          <w:szCs w:val="22"/>
        </w:rPr>
        <w:t>nu v denných dávkach vyšších ako 10</w:t>
      </w:r>
      <w:r w:rsidR="00175E86">
        <w:rPr>
          <w:szCs w:val="22"/>
        </w:rPr>
        <w:t> </w:t>
      </w:r>
      <w:r w:rsidRPr="009C5C64">
        <w:rPr>
          <w:szCs w:val="22"/>
        </w:rPr>
        <w:t>mg. U zdravých dobrovoľníkov bolo podanie jednorazovej dávky 50 a</w:t>
      </w:r>
      <w:r w:rsidR="00175E86">
        <w:rPr>
          <w:szCs w:val="22"/>
        </w:rPr>
        <w:t> </w:t>
      </w:r>
      <w:r w:rsidRPr="009C5C64">
        <w:rPr>
          <w:szCs w:val="22"/>
        </w:rPr>
        <w:t>100</w:t>
      </w:r>
      <w:r w:rsidR="00175E86">
        <w:rPr>
          <w:szCs w:val="22"/>
        </w:rPr>
        <w:t> </w:t>
      </w:r>
      <w:r w:rsidRPr="009C5C64">
        <w:rPr>
          <w:szCs w:val="22"/>
        </w:rPr>
        <w:t>mg (5- až 10-násobok maximálnej odporúčanej dávky) spojené s bolesťou hlavy, návalmi tepla, závratmi, nauzeou a kongesciou nosovej sliznice.</w:t>
      </w:r>
    </w:p>
    <w:p w14:paraId="0D98F9D5" w14:textId="77777777" w:rsidR="00ED4C94" w:rsidRPr="009C5C64" w:rsidRDefault="00ED4C94" w:rsidP="00413627">
      <w:pPr>
        <w:pStyle w:val="EMEAEnBodyText"/>
        <w:spacing w:before="0" w:after="0"/>
        <w:jc w:val="left"/>
        <w:rPr>
          <w:szCs w:val="22"/>
        </w:rPr>
      </w:pPr>
    </w:p>
    <w:p w14:paraId="0D98F9D6" w14:textId="0A538B20" w:rsidR="00ED4C94" w:rsidRPr="009C5C64" w:rsidRDefault="00ED4C94" w:rsidP="00413627">
      <w:pPr>
        <w:pStyle w:val="EMEAEnBodyText"/>
        <w:spacing w:before="0" w:after="0"/>
        <w:jc w:val="left"/>
        <w:rPr>
          <w:szCs w:val="22"/>
        </w:rPr>
      </w:pPr>
      <w:r w:rsidRPr="009C5C64">
        <w:rPr>
          <w:szCs w:val="22"/>
        </w:rPr>
        <w:t>Vzhľadom na mechanizmus účinku by predávkovanie ambrisent</w:t>
      </w:r>
      <w:r w:rsidR="00E428E4">
        <w:rPr>
          <w:szCs w:val="22"/>
        </w:rPr>
        <w:t>á</w:t>
      </w:r>
      <w:r w:rsidRPr="009C5C64">
        <w:rPr>
          <w:szCs w:val="22"/>
        </w:rPr>
        <w:t>nom mohlo potenciálne spôsobiť hypotenziu (pozri časť 5.3). V prípade výraznej hypotenzie môže byť potrebná aktívna kardiovaskulárna podpora. Nie je k dispozícii špecifické antidotum.</w:t>
      </w:r>
    </w:p>
    <w:p w14:paraId="0D98F9D7" w14:textId="77777777" w:rsidR="00D836F6" w:rsidRDefault="00D836F6" w:rsidP="00BD60C9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0D98F9D8" w14:textId="77777777" w:rsidR="003A78CA" w:rsidRPr="009C5C64" w:rsidRDefault="003A78CA" w:rsidP="00BD60C9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0D98F9D9" w14:textId="68B547C4" w:rsidR="00D836F6" w:rsidRPr="009C5C64" w:rsidRDefault="00266F55" w:rsidP="008C7FC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5.</w:t>
      </w:r>
      <w:r w:rsidR="00FE406D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FARMAKOLOGICKÉ VLASTNOSTI</w:t>
      </w:r>
    </w:p>
    <w:p w14:paraId="0D98F9DA" w14:textId="77777777" w:rsidR="00D836F6" w:rsidRPr="009C5C64" w:rsidRDefault="00D836F6" w:rsidP="003C5A8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0D98F9DB" w14:textId="0D8F1CD9" w:rsidR="00D836F6" w:rsidRPr="009C5C64" w:rsidRDefault="00266F55" w:rsidP="004632A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5.1</w:t>
      </w:r>
      <w:r w:rsidR="00FE406D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Farmakodynamické vlastnosti</w:t>
      </w:r>
    </w:p>
    <w:p w14:paraId="0D98F9DC" w14:textId="77777777" w:rsidR="00D836F6" w:rsidRPr="009C5C64" w:rsidRDefault="00D836F6" w:rsidP="004632AE">
      <w:pPr>
        <w:rPr>
          <w:sz w:val="22"/>
          <w:szCs w:val="22"/>
        </w:rPr>
      </w:pPr>
    </w:p>
    <w:p w14:paraId="0D98F9DD" w14:textId="77777777" w:rsidR="00CE7BC3" w:rsidRPr="009C5C64" w:rsidRDefault="00CE7BC3" w:rsidP="00CE7BC3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Farmakoterapeutická skupina: Antihypertenzíva, iné antihypertenzíva, ATC kód: C02KX02 </w:t>
      </w:r>
    </w:p>
    <w:p w14:paraId="0D98F9DE" w14:textId="77777777" w:rsidR="00CE7BC3" w:rsidRPr="009C5C64" w:rsidRDefault="00CE7BC3" w:rsidP="00CE7BC3">
      <w:pPr>
        <w:pStyle w:val="Default"/>
        <w:rPr>
          <w:sz w:val="22"/>
          <w:szCs w:val="22"/>
        </w:rPr>
      </w:pPr>
    </w:p>
    <w:p w14:paraId="0D98F9DF" w14:textId="77777777" w:rsidR="00CE7BC3" w:rsidRPr="009C5C64" w:rsidRDefault="00CE7BC3" w:rsidP="00CE7BC3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Mechanizmus účinku </w:t>
      </w:r>
    </w:p>
    <w:p w14:paraId="0D98F9E0" w14:textId="77777777" w:rsidR="00CE7BC3" w:rsidRPr="009C5C64" w:rsidRDefault="00CE7BC3" w:rsidP="00CE7BC3">
      <w:pPr>
        <w:pStyle w:val="Default"/>
        <w:rPr>
          <w:sz w:val="22"/>
          <w:szCs w:val="22"/>
        </w:rPr>
      </w:pPr>
    </w:p>
    <w:p w14:paraId="0D98F9E1" w14:textId="4CBC05E3" w:rsidR="00CE7BC3" w:rsidRPr="009C5C64" w:rsidRDefault="00CE7BC3" w:rsidP="00CE7BC3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 je perorálne účinný </w:t>
      </w:r>
      <w:r w:rsidR="00A66491">
        <w:rPr>
          <w:sz w:val="22"/>
          <w:szCs w:val="22"/>
        </w:rPr>
        <w:t>antagonista endotelínových receptorov (ERA) s afinitou k endotelínovému receptoru typu A (ET</w:t>
      </w:r>
      <w:r w:rsidR="00A66491" w:rsidRPr="000C2E13">
        <w:rPr>
          <w:sz w:val="22"/>
          <w:szCs w:val="22"/>
          <w:vertAlign w:val="subscript"/>
        </w:rPr>
        <w:t>A</w:t>
      </w:r>
      <w:r w:rsidR="00A66491">
        <w:rPr>
          <w:sz w:val="22"/>
          <w:szCs w:val="22"/>
        </w:rPr>
        <w:t>) patriaci do triedy kyseliny propiónovej.</w:t>
      </w:r>
      <w:r w:rsidR="00E64149">
        <w:rPr>
          <w:sz w:val="22"/>
          <w:szCs w:val="22"/>
        </w:rPr>
        <w:t xml:space="preserve"> </w:t>
      </w:r>
      <w:r w:rsidRPr="009C5C64">
        <w:rPr>
          <w:sz w:val="22"/>
          <w:szCs w:val="22"/>
        </w:rPr>
        <w:t xml:space="preserve">Endotelín má významnú úlohu v patofyziológii PAH. </w:t>
      </w:r>
    </w:p>
    <w:p w14:paraId="0D98F9E2" w14:textId="77777777" w:rsidR="00CE7BC3" w:rsidRPr="009C5C64" w:rsidRDefault="00CE7BC3" w:rsidP="00CE7BC3">
      <w:pPr>
        <w:pStyle w:val="Default"/>
        <w:rPr>
          <w:sz w:val="22"/>
          <w:szCs w:val="22"/>
        </w:rPr>
      </w:pPr>
    </w:p>
    <w:p w14:paraId="0D98F9E3" w14:textId="1630CB5D" w:rsidR="00CE7BC3" w:rsidRPr="009C5C64" w:rsidRDefault="00CE7BC3" w:rsidP="00CE7BC3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>n je účinný (Ki 0,016 nM) a vysoko selektívny antagonista ET</w:t>
      </w:r>
      <w:r w:rsidRPr="000C2E13">
        <w:rPr>
          <w:sz w:val="22"/>
          <w:szCs w:val="22"/>
          <w:vertAlign w:val="subscript"/>
        </w:rPr>
        <w:t>A</w:t>
      </w:r>
      <w:r w:rsidRPr="009C5C64">
        <w:rPr>
          <w:sz w:val="22"/>
          <w:szCs w:val="22"/>
        </w:rPr>
        <w:t xml:space="preserve"> (približne 4 000-násobne selektívnejší pre ET</w:t>
      </w:r>
      <w:r w:rsidRPr="000C2E13">
        <w:rPr>
          <w:sz w:val="22"/>
          <w:szCs w:val="22"/>
          <w:vertAlign w:val="subscript"/>
        </w:rPr>
        <w:t>A</w:t>
      </w:r>
      <w:r w:rsidRPr="009C5C64">
        <w:rPr>
          <w:sz w:val="22"/>
          <w:szCs w:val="22"/>
        </w:rPr>
        <w:t xml:space="preserve"> ako pre ET</w:t>
      </w:r>
      <w:r w:rsidRPr="000C2E13">
        <w:rPr>
          <w:sz w:val="22"/>
          <w:szCs w:val="22"/>
          <w:vertAlign w:val="subscript"/>
        </w:rPr>
        <w:t>B</w:t>
      </w:r>
      <w:r w:rsidRPr="009C5C64">
        <w:rPr>
          <w:sz w:val="22"/>
          <w:szCs w:val="22"/>
        </w:rPr>
        <w:t xml:space="preserve">). </w:t>
      </w:r>
    </w:p>
    <w:p w14:paraId="0D98F9E4" w14:textId="77777777" w:rsidR="00CE7BC3" w:rsidRPr="009C5C64" w:rsidRDefault="00CE7BC3" w:rsidP="00CE7BC3">
      <w:pPr>
        <w:pStyle w:val="Default"/>
        <w:rPr>
          <w:sz w:val="22"/>
          <w:szCs w:val="22"/>
        </w:rPr>
      </w:pPr>
    </w:p>
    <w:p w14:paraId="0D98F9E5" w14:textId="5BFCAA6D" w:rsidR="00CE7BC3" w:rsidRPr="009C5C64" w:rsidRDefault="00CE7BC3" w:rsidP="00CE7BC3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>n blokuje receptorový podtyp</w:t>
      </w:r>
      <w:r w:rsidR="00085E09">
        <w:rPr>
          <w:sz w:val="22"/>
          <w:szCs w:val="22"/>
        </w:rPr>
        <w:t xml:space="preserve"> </w:t>
      </w:r>
      <w:r w:rsidR="00085E09" w:rsidRPr="009C5C64">
        <w:rPr>
          <w:sz w:val="22"/>
          <w:szCs w:val="22"/>
        </w:rPr>
        <w:t>ET</w:t>
      </w:r>
      <w:r w:rsidR="00085E09" w:rsidRPr="00410EE3">
        <w:rPr>
          <w:sz w:val="22"/>
          <w:szCs w:val="22"/>
          <w:vertAlign w:val="subscript"/>
        </w:rPr>
        <w:t>A</w:t>
      </w:r>
      <w:r w:rsidRPr="009C5C64">
        <w:rPr>
          <w:sz w:val="22"/>
          <w:szCs w:val="22"/>
        </w:rPr>
        <w:t xml:space="preserve">, ktorý sa nachádza predovšetkým </w:t>
      </w:r>
      <w:r w:rsidR="00A66491">
        <w:rPr>
          <w:sz w:val="22"/>
          <w:szCs w:val="22"/>
        </w:rPr>
        <w:t>v</w:t>
      </w:r>
      <w:r w:rsidRPr="009C5C64">
        <w:rPr>
          <w:sz w:val="22"/>
          <w:szCs w:val="22"/>
        </w:rPr>
        <w:t xml:space="preserve"> bunkách hladkého svalstva ciev a srdcových myocytoch. To zabraňuje endotelínom sprostredkovanej aktivácii </w:t>
      </w:r>
      <w:r w:rsidR="00085E09">
        <w:rPr>
          <w:sz w:val="22"/>
          <w:szCs w:val="22"/>
        </w:rPr>
        <w:t xml:space="preserve">systémov </w:t>
      </w:r>
      <w:r w:rsidR="00A66491">
        <w:rPr>
          <w:sz w:val="22"/>
          <w:szCs w:val="22"/>
        </w:rPr>
        <w:t>druhého posla</w:t>
      </w:r>
      <w:r w:rsidRPr="009C5C64">
        <w:rPr>
          <w:sz w:val="22"/>
          <w:szCs w:val="22"/>
        </w:rPr>
        <w:t xml:space="preserve">, čo má za následok vazokonstrikciu a proliferáciu buniek hladkého svalstva. </w:t>
      </w:r>
    </w:p>
    <w:p w14:paraId="0D98F9E6" w14:textId="77777777" w:rsidR="00CE7BC3" w:rsidRPr="009C5C64" w:rsidRDefault="00CE7BC3" w:rsidP="00CE7BC3">
      <w:pPr>
        <w:pStyle w:val="Default"/>
        <w:rPr>
          <w:sz w:val="22"/>
          <w:szCs w:val="22"/>
        </w:rPr>
      </w:pPr>
    </w:p>
    <w:p w14:paraId="0D98F9E7" w14:textId="5A6AD0E7" w:rsidR="00CE7BC3" w:rsidRPr="009C5C64" w:rsidRDefault="00CE7BC3" w:rsidP="00CE7BC3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Očakáva sa, že vďaka </w:t>
      </w:r>
      <w:r w:rsidR="00A66491">
        <w:rPr>
          <w:sz w:val="22"/>
          <w:szCs w:val="22"/>
        </w:rPr>
        <w:t xml:space="preserve">vyššej </w:t>
      </w:r>
      <w:r w:rsidRPr="009C5C64">
        <w:rPr>
          <w:sz w:val="22"/>
          <w:szCs w:val="22"/>
        </w:rPr>
        <w:t>selektivite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nu pre receptor </w:t>
      </w:r>
      <w:r w:rsidR="00085E09">
        <w:rPr>
          <w:sz w:val="22"/>
          <w:szCs w:val="22"/>
        </w:rPr>
        <w:t>ET</w:t>
      </w:r>
      <w:r w:rsidR="00085E09" w:rsidRPr="000C2E13">
        <w:rPr>
          <w:sz w:val="22"/>
          <w:szCs w:val="22"/>
          <w:vertAlign w:val="subscript"/>
        </w:rPr>
        <w:t>A</w:t>
      </w:r>
      <w:r w:rsidR="00085E09">
        <w:rPr>
          <w:sz w:val="22"/>
          <w:szCs w:val="22"/>
        </w:rPr>
        <w:t xml:space="preserve"> </w:t>
      </w:r>
      <w:r w:rsidR="00A66491">
        <w:rPr>
          <w:sz w:val="22"/>
          <w:szCs w:val="22"/>
        </w:rPr>
        <w:t>než</w:t>
      </w:r>
      <w:r w:rsidRPr="009C5C64">
        <w:rPr>
          <w:sz w:val="22"/>
          <w:szCs w:val="22"/>
        </w:rPr>
        <w:t xml:space="preserve"> pre </w:t>
      </w:r>
      <w:r w:rsidR="00085E09">
        <w:rPr>
          <w:sz w:val="22"/>
          <w:szCs w:val="22"/>
        </w:rPr>
        <w:t>ET</w:t>
      </w:r>
      <w:r w:rsidR="00085E09" w:rsidRPr="000C2E13">
        <w:rPr>
          <w:sz w:val="22"/>
          <w:szCs w:val="22"/>
          <w:vertAlign w:val="subscript"/>
        </w:rPr>
        <w:t>B</w:t>
      </w:r>
      <w:r w:rsidR="00085E09">
        <w:rPr>
          <w:sz w:val="22"/>
          <w:szCs w:val="22"/>
        </w:rPr>
        <w:t xml:space="preserve"> </w:t>
      </w:r>
      <w:r w:rsidRPr="009C5C64">
        <w:rPr>
          <w:sz w:val="22"/>
          <w:szCs w:val="22"/>
        </w:rPr>
        <w:t xml:space="preserve">sa zachová receptorom </w:t>
      </w:r>
      <w:r w:rsidR="00085E09">
        <w:rPr>
          <w:sz w:val="22"/>
          <w:szCs w:val="22"/>
        </w:rPr>
        <w:t>ET</w:t>
      </w:r>
      <w:r w:rsidR="00085E09" w:rsidRPr="000C2E13">
        <w:rPr>
          <w:sz w:val="22"/>
          <w:szCs w:val="22"/>
          <w:vertAlign w:val="subscript"/>
        </w:rPr>
        <w:t>B</w:t>
      </w:r>
      <w:r w:rsidR="00085E09">
        <w:rPr>
          <w:sz w:val="22"/>
          <w:szCs w:val="22"/>
        </w:rPr>
        <w:t xml:space="preserve"> </w:t>
      </w:r>
      <w:r w:rsidRPr="009C5C64">
        <w:rPr>
          <w:sz w:val="22"/>
          <w:szCs w:val="22"/>
        </w:rPr>
        <w:t>sprostredkovaná tvorba vazodilatačn</w:t>
      </w:r>
      <w:r w:rsidR="00A66491">
        <w:rPr>
          <w:sz w:val="22"/>
          <w:szCs w:val="22"/>
        </w:rPr>
        <w:t>e pôsobiaceho</w:t>
      </w:r>
      <w:r w:rsidRPr="009C5C64">
        <w:rPr>
          <w:sz w:val="22"/>
          <w:szCs w:val="22"/>
        </w:rPr>
        <w:t xml:space="preserve"> oxidu dusnatého a prostacyklínu. </w:t>
      </w:r>
    </w:p>
    <w:p w14:paraId="0D98F9E8" w14:textId="77777777" w:rsidR="00131A60" w:rsidRPr="009C5C64" w:rsidRDefault="00131A60" w:rsidP="004632AE">
      <w:pPr>
        <w:autoSpaceDE w:val="0"/>
        <w:autoSpaceDN w:val="0"/>
        <w:adjustRightInd w:val="0"/>
        <w:rPr>
          <w:color w:val="000000"/>
          <w:sz w:val="22"/>
          <w:szCs w:val="22"/>
          <w:u w:val="single"/>
          <w:lang w:eastAsia="fr-FR"/>
        </w:rPr>
      </w:pPr>
    </w:p>
    <w:p w14:paraId="0D98F9E9" w14:textId="77777777" w:rsidR="00CE7BC3" w:rsidRPr="009C5C64" w:rsidRDefault="00CE7BC3" w:rsidP="00CE7BC3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Klinická účinnosť a bezpečnosť </w:t>
      </w:r>
    </w:p>
    <w:p w14:paraId="0D98F9EA" w14:textId="77777777" w:rsidR="00CE7BC3" w:rsidRPr="009C5C64" w:rsidRDefault="00CE7BC3" w:rsidP="00CE7BC3">
      <w:pPr>
        <w:pStyle w:val="Default"/>
        <w:rPr>
          <w:sz w:val="22"/>
          <w:szCs w:val="22"/>
        </w:rPr>
      </w:pPr>
    </w:p>
    <w:p w14:paraId="0D98F9EB" w14:textId="4B46981D" w:rsidR="00CE7BC3" w:rsidRPr="009C5C64" w:rsidRDefault="00CE7BC3" w:rsidP="00CE7BC3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Boli vykonané dve randomizované, dvojito zaslepené, multicentr</w:t>
      </w:r>
      <w:r w:rsidR="00B67515">
        <w:rPr>
          <w:sz w:val="22"/>
          <w:szCs w:val="22"/>
        </w:rPr>
        <w:t>ové</w:t>
      </w:r>
      <w:r w:rsidRPr="009C5C64">
        <w:rPr>
          <w:sz w:val="22"/>
          <w:szCs w:val="22"/>
        </w:rPr>
        <w:t>, placebom kontrolované pivotné štúdie fázy 3. Prvá štúdia zahŕňala 201 pacientov a porovnala dávk</w:t>
      </w:r>
      <w:r w:rsidR="00B67515">
        <w:rPr>
          <w:sz w:val="22"/>
          <w:szCs w:val="22"/>
        </w:rPr>
        <w:t>y 5 mg a 10 mg</w:t>
      </w:r>
      <w:r w:rsidRPr="009C5C64">
        <w:rPr>
          <w:sz w:val="22"/>
          <w:szCs w:val="22"/>
        </w:rPr>
        <w:t xml:space="preserve">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>nu s placebom. Druhá štúdia zahŕňala 192 pacientov a porovnala dávk</w:t>
      </w:r>
      <w:r w:rsidR="00B67515">
        <w:rPr>
          <w:sz w:val="22"/>
          <w:szCs w:val="22"/>
        </w:rPr>
        <w:t>y 2,5 mg a 5 mg</w:t>
      </w:r>
      <w:r w:rsidRPr="009C5C64">
        <w:rPr>
          <w:sz w:val="22"/>
          <w:szCs w:val="22"/>
        </w:rPr>
        <w:t xml:space="preserve">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>nu s placebom. V oboch štúdiách bol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>n pridaný k podpornému/základnému lieku pacientov, čo mohlo zahŕňať podávanie v kombinácii s digoxínom, antikoagulanciami, diuretikami, kyslíkom a vazodilatanciami (blokátory kalciových kanálov,  inhibítory</w:t>
      </w:r>
      <w:r w:rsidR="00B67515">
        <w:rPr>
          <w:sz w:val="22"/>
          <w:szCs w:val="22"/>
        </w:rPr>
        <w:t xml:space="preserve"> ACE</w:t>
      </w:r>
      <w:r w:rsidRPr="009C5C64">
        <w:rPr>
          <w:sz w:val="22"/>
          <w:szCs w:val="22"/>
        </w:rPr>
        <w:t xml:space="preserve">). Zaradení pacienti mali IPAH alebo PAH spojenú s ochorením spojivového tkaniva (PAH-CTD). Väčšina pacientov mala príznaky funkčnej triedy II (38,4 %) alebo III (55,0 %) podľa </w:t>
      </w:r>
      <w:r w:rsidR="00B67515">
        <w:rPr>
          <w:sz w:val="22"/>
          <w:szCs w:val="22"/>
        </w:rPr>
        <w:t>WHO</w:t>
      </w:r>
      <w:r w:rsidRPr="009C5C64">
        <w:rPr>
          <w:sz w:val="22"/>
          <w:szCs w:val="22"/>
        </w:rPr>
        <w:t xml:space="preserve">. Pacienti s už existujúcim ochorením pečene (s cirhózou alebo s klinicky významne zvýšenými hodnotami aminotransferáz) a pacienti používajúci inú cielenú liečbu PAH (napr. prostanoidy) boli vylúčení. Hemodynamické parametre neboli v týchto štúdiách hodnotené. </w:t>
      </w:r>
    </w:p>
    <w:p w14:paraId="0D98F9EC" w14:textId="77777777" w:rsidR="00CE7BC3" w:rsidRPr="009C5C64" w:rsidRDefault="00CE7BC3" w:rsidP="00CE7BC3">
      <w:pPr>
        <w:pStyle w:val="Default"/>
        <w:rPr>
          <w:sz w:val="22"/>
          <w:szCs w:val="22"/>
        </w:rPr>
      </w:pPr>
    </w:p>
    <w:p w14:paraId="0D98F9ED" w14:textId="4AFE59ED" w:rsidR="00CE7BC3" w:rsidRPr="009C5C64" w:rsidRDefault="00CE7BC3" w:rsidP="00CE7BC3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Primárnym cieľovým ukazovateľom definovaným pre štúdie fázy 3 bolo zlepšenie záťažovej kapacity hodnotené prostredníctvom zmeny oproti východiskovej hodnote v 6-minútovom teste chôdz</w:t>
      </w:r>
      <w:r w:rsidR="00B67515">
        <w:rPr>
          <w:sz w:val="22"/>
          <w:szCs w:val="22"/>
        </w:rPr>
        <w:t>e</w:t>
      </w:r>
      <w:r w:rsidRPr="009C5C64">
        <w:rPr>
          <w:sz w:val="22"/>
          <w:szCs w:val="22"/>
        </w:rPr>
        <w:t xml:space="preserve"> (6-minute walk distance, 6MWD) v 12. týždni. V oboch štúdiách viedla liečba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>nom k významnému zlepšeniu v 6MWD pri každej dávke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nu. </w:t>
      </w:r>
    </w:p>
    <w:p w14:paraId="0D98F9EE" w14:textId="77777777" w:rsidR="00CE7BC3" w:rsidRPr="009C5C64" w:rsidRDefault="00CE7BC3" w:rsidP="00CE7BC3">
      <w:pPr>
        <w:pStyle w:val="Default"/>
        <w:rPr>
          <w:sz w:val="22"/>
          <w:szCs w:val="22"/>
        </w:rPr>
      </w:pPr>
    </w:p>
    <w:p w14:paraId="0D98F9EF" w14:textId="0B1B8060" w:rsidR="00CE7BC3" w:rsidRPr="009C5C64" w:rsidRDefault="006553C7" w:rsidP="00CE7BC3">
      <w:pPr>
        <w:pStyle w:val="Default"/>
        <w:rPr>
          <w:sz w:val="22"/>
          <w:szCs w:val="22"/>
        </w:rPr>
      </w:pPr>
      <w:r w:rsidRPr="00EA33F6">
        <w:rPr>
          <w:sz w:val="22"/>
          <w:szCs w:val="22"/>
        </w:rPr>
        <w:t>Z</w:t>
      </w:r>
      <w:r w:rsidR="00E64149" w:rsidRPr="00EA33F6">
        <w:rPr>
          <w:sz w:val="22"/>
          <w:szCs w:val="22"/>
        </w:rPr>
        <w:t xml:space="preserve">lepšenie priemernej hodnoty </w:t>
      </w:r>
      <w:r w:rsidR="00CE7BC3" w:rsidRPr="00EA33F6">
        <w:rPr>
          <w:sz w:val="22"/>
          <w:szCs w:val="22"/>
        </w:rPr>
        <w:t xml:space="preserve">6MWD </w:t>
      </w:r>
      <w:r w:rsidRPr="00EA33F6">
        <w:rPr>
          <w:sz w:val="22"/>
          <w:szCs w:val="22"/>
        </w:rPr>
        <w:t xml:space="preserve">upravenej na účinok placeba </w:t>
      </w:r>
      <w:r w:rsidR="00CE7BC3" w:rsidRPr="00EA33F6">
        <w:rPr>
          <w:sz w:val="22"/>
          <w:szCs w:val="22"/>
        </w:rPr>
        <w:t>v 12. týždni oproti východiskovej hodnote v skupine s</w:t>
      </w:r>
      <w:r w:rsidR="002E460C" w:rsidRPr="00EA33F6">
        <w:rPr>
          <w:sz w:val="22"/>
          <w:szCs w:val="22"/>
        </w:rPr>
        <w:t> </w:t>
      </w:r>
      <w:r w:rsidR="00CE7BC3" w:rsidRPr="00EA33F6">
        <w:rPr>
          <w:sz w:val="22"/>
          <w:szCs w:val="22"/>
        </w:rPr>
        <w:t xml:space="preserve"> dávkou</w:t>
      </w:r>
      <w:r w:rsidR="00B67515" w:rsidRPr="00EA33F6">
        <w:rPr>
          <w:sz w:val="22"/>
          <w:szCs w:val="22"/>
        </w:rPr>
        <w:t xml:space="preserve"> 5 mg</w:t>
      </w:r>
      <w:r w:rsidR="00CE7BC3" w:rsidRPr="00EA33F6">
        <w:rPr>
          <w:sz w:val="22"/>
          <w:szCs w:val="22"/>
        </w:rPr>
        <w:t xml:space="preserve"> bolo 30,6 m (95 % IS: 2,9 až 58,3; p=0,008) v prvej štúdii a 59,4 m (95 % IS: 29,6 až 89,3; p&lt;0,001) v druhe</w:t>
      </w:r>
      <w:r w:rsidR="004F1E2B" w:rsidRPr="00EA33F6">
        <w:rPr>
          <w:sz w:val="22"/>
          <w:szCs w:val="22"/>
        </w:rPr>
        <w:t xml:space="preserve">j štúdii. Zlepšenie priemernej hodnoty </w:t>
      </w:r>
      <w:r w:rsidR="00CE7BC3" w:rsidRPr="00EA33F6">
        <w:rPr>
          <w:sz w:val="22"/>
          <w:szCs w:val="22"/>
        </w:rPr>
        <w:t>6MWD</w:t>
      </w:r>
      <w:r w:rsidR="004F1E2B" w:rsidRPr="00EA33F6">
        <w:rPr>
          <w:sz w:val="22"/>
          <w:szCs w:val="22"/>
        </w:rPr>
        <w:t xml:space="preserve"> upravenej na účinok placeba</w:t>
      </w:r>
      <w:r w:rsidR="00CE7BC3" w:rsidRPr="00EA33F6">
        <w:rPr>
          <w:sz w:val="22"/>
          <w:szCs w:val="22"/>
        </w:rPr>
        <w:t xml:space="preserve"> v</w:t>
      </w:r>
      <w:r w:rsidR="00CE7BC3" w:rsidRPr="009C5C64">
        <w:rPr>
          <w:sz w:val="22"/>
          <w:szCs w:val="22"/>
        </w:rPr>
        <w:t xml:space="preserve"> 12. týždni u pacientov v skupine s</w:t>
      </w:r>
      <w:r w:rsidR="00AA652B">
        <w:rPr>
          <w:sz w:val="22"/>
          <w:szCs w:val="22"/>
        </w:rPr>
        <w:t> </w:t>
      </w:r>
      <w:r w:rsidR="00CE7BC3" w:rsidRPr="009C5C64">
        <w:rPr>
          <w:sz w:val="22"/>
          <w:szCs w:val="22"/>
        </w:rPr>
        <w:t xml:space="preserve"> dávkou</w:t>
      </w:r>
      <w:r w:rsidR="00B67515">
        <w:rPr>
          <w:sz w:val="22"/>
          <w:szCs w:val="22"/>
        </w:rPr>
        <w:t xml:space="preserve"> 10 mg</w:t>
      </w:r>
      <w:r w:rsidR="00CE7BC3" w:rsidRPr="009C5C64">
        <w:rPr>
          <w:sz w:val="22"/>
          <w:szCs w:val="22"/>
        </w:rPr>
        <w:t xml:space="preserve"> v prvej štúdii bolo 51,4 m (95 % IS: 26,6 až 76,2; p&lt;0,001). </w:t>
      </w:r>
    </w:p>
    <w:p w14:paraId="0D98F9F0" w14:textId="77777777" w:rsidR="00CE7BC3" w:rsidRPr="009C5C64" w:rsidRDefault="00CE7BC3" w:rsidP="00CE7BC3">
      <w:pPr>
        <w:pStyle w:val="Default"/>
        <w:rPr>
          <w:sz w:val="22"/>
          <w:szCs w:val="22"/>
        </w:rPr>
      </w:pPr>
    </w:p>
    <w:p w14:paraId="0D98F9F1" w14:textId="3FC13D25" w:rsidR="00D836F6" w:rsidRPr="009C5C64" w:rsidRDefault="00CE7BC3" w:rsidP="00CE7BC3">
      <w:pPr>
        <w:rPr>
          <w:sz w:val="22"/>
          <w:szCs w:val="22"/>
        </w:rPr>
      </w:pPr>
      <w:r w:rsidRPr="009C5C64">
        <w:rPr>
          <w:sz w:val="22"/>
          <w:szCs w:val="22"/>
        </w:rPr>
        <w:t>Uskutočnila sa vopred špecifikovaná kombinovaná analýza</w:t>
      </w:r>
      <w:r w:rsidR="00BE52B6">
        <w:rPr>
          <w:sz w:val="22"/>
          <w:szCs w:val="22"/>
        </w:rPr>
        <w:t xml:space="preserve"> výsledkov</w:t>
      </w:r>
      <w:r w:rsidRPr="009C5C64">
        <w:rPr>
          <w:sz w:val="22"/>
          <w:szCs w:val="22"/>
        </w:rPr>
        <w:t xml:space="preserve"> štúdií </w:t>
      </w:r>
      <w:r w:rsidRPr="00BE52B6">
        <w:rPr>
          <w:sz w:val="22"/>
          <w:szCs w:val="22"/>
        </w:rPr>
        <w:t>fázy</w:t>
      </w:r>
      <w:r w:rsidR="00B67515" w:rsidRPr="00BE52B6">
        <w:rPr>
          <w:sz w:val="22"/>
          <w:szCs w:val="22"/>
        </w:rPr>
        <w:t xml:space="preserve"> 3</w:t>
      </w:r>
      <w:r w:rsidRPr="00BE52B6">
        <w:rPr>
          <w:sz w:val="22"/>
          <w:szCs w:val="22"/>
        </w:rPr>
        <w:t xml:space="preserve">. </w:t>
      </w:r>
      <w:r w:rsidR="00BE52B6">
        <w:rPr>
          <w:sz w:val="22"/>
          <w:szCs w:val="22"/>
        </w:rPr>
        <w:t>Z</w:t>
      </w:r>
      <w:r w:rsidRPr="009C5C64">
        <w:rPr>
          <w:sz w:val="22"/>
          <w:szCs w:val="22"/>
        </w:rPr>
        <w:t>lepšenie</w:t>
      </w:r>
      <w:r w:rsidR="00BE52B6">
        <w:rPr>
          <w:sz w:val="22"/>
          <w:szCs w:val="22"/>
        </w:rPr>
        <w:t xml:space="preserve"> priemernej</w:t>
      </w:r>
      <w:r w:rsidR="0092061B">
        <w:rPr>
          <w:sz w:val="22"/>
          <w:szCs w:val="22"/>
        </w:rPr>
        <w:t xml:space="preserve"> </w:t>
      </w:r>
      <w:r w:rsidRPr="009C5C64">
        <w:rPr>
          <w:sz w:val="22"/>
          <w:szCs w:val="22"/>
        </w:rPr>
        <w:t xml:space="preserve">6MWD </w:t>
      </w:r>
      <w:r w:rsidR="00BE52B6">
        <w:rPr>
          <w:sz w:val="22"/>
          <w:szCs w:val="22"/>
        </w:rPr>
        <w:t xml:space="preserve">upravenej na účinok placeba </w:t>
      </w:r>
      <w:r w:rsidRPr="009C5C64">
        <w:rPr>
          <w:sz w:val="22"/>
          <w:szCs w:val="22"/>
        </w:rPr>
        <w:t>bolo 44,6 m (95 % IS: 24,3 až 64,9; p&lt;0,001) pri  dávke</w:t>
      </w:r>
      <w:r w:rsidR="00B67515">
        <w:rPr>
          <w:sz w:val="22"/>
          <w:szCs w:val="22"/>
        </w:rPr>
        <w:t xml:space="preserve"> 5 mg</w:t>
      </w:r>
      <w:r w:rsidRPr="009C5C64">
        <w:rPr>
          <w:sz w:val="22"/>
          <w:szCs w:val="22"/>
        </w:rPr>
        <w:t xml:space="preserve"> a 52,5 m (95 %</w:t>
      </w:r>
      <w:r w:rsidR="003C05E0">
        <w:rPr>
          <w:sz w:val="22"/>
          <w:szCs w:val="22"/>
        </w:rPr>
        <w:t xml:space="preserve"> IS: 28,8 až 76,2; p&lt;0,001) pri</w:t>
      </w:r>
      <w:r w:rsidRPr="009C5C64">
        <w:rPr>
          <w:sz w:val="22"/>
          <w:szCs w:val="22"/>
        </w:rPr>
        <w:t xml:space="preserve"> dávke</w:t>
      </w:r>
      <w:r w:rsidR="00B67515">
        <w:rPr>
          <w:sz w:val="22"/>
          <w:szCs w:val="22"/>
        </w:rPr>
        <w:t xml:space="preserve"> 10 mg</w:t>
      </w:r>
      <w:r w:rsidRPr="009C5C64">
        <w:rPr>
          <w:sz w:val="22"/>
          <w:szCs w:val="22"/>
        </w:rPr>
        <w:t>.</w:t>
      </w:r>
    </w:p>
    <w:p w14:paraId="0D98F9F2" w14:textId="77777777" w:rsidR="00CE7BC3" w:rsidRPr="009C5C64" w:rsidRDefault="00CE7BC3" w:rsidP="00CE7BC3">
      <w:pPr>
        <w:rPr>
          <w:sz w:val="22"/>
          <w:szCs w:val="22"/>
        </w:rPr>
      </w:pPr>
    </w:p>
    <w:p w14:paraId="0D98F9F3" w14:textId="206468EB" w:rsidR="00CE7BC3" w:rsidRPr="009C5C64" w:rsidRDefault="00CE7BC3" w:rsidP="00CE7BC3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V druhej štúdii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 (skupina s kombinovanou dávkou) významne spomalil čas do klinického zhoršenia PAH v porovnaní s placebom (p&lt;0,001), </w:t>
      </w:r>
      <w:r w:rsidR="001B309D">
        <w:rPr>
          <w:sz w:val="22"/>
          <w:szCs w:val="22"/>
        </w:rPr>
        <w:t>pomer rizika</w:t>
      </w:r>
      <w:r w:rsidRPr="009C5C64">
        <w:rPr>
          <w:sz w:val="22"/>
          <w:szCs w:val="22"/>
        </w:rPr>
        <w:t xml:space="preserve"> preukázal 80 % zníženie (95 % IS: 47 % až 92 </w:t>
      </w:r>
      <w:r w:rsidRPr="00F77291">
        <w:rPr>
          <w:sz w:val="22"/>
          <w:szCs w:val="22"/>
        </w:rPr>
        <w:t>%). Hodnoten</w:t>
      </w:r>
      <w:r w:rsidR="00F77291" w:rsidRPr="000C2E13">
        <w:rPr>
          <w:sz w:val="22"/>
          <w:szCs w:val="22"/>
        </w:rPr>
        <w:t>ie</w:t>
      </w:r>
      <w:r w:rsidRPr="00F77291">
        <w:rPr>
          <w:sz w:val="22"/>
          <w:szCs w:val="22"/>
        </w:rPr>
        <w:t xml:space="preserve"> </w:t>
      </w:r>
      <w:r w:rsidR="00F77291" w:rsidRPr="00F77291">
        <w:rPr>
          <w:sz w:val="22"/>
          <w:szCs w:val="22"/>
        </w:rPr>
        <w:t>zahŕňalo</w:t>
      </w:r>
      <w:r w:rsidRPr="009C5C64">
        <w:rPr>
          <w:sz w:val="22"/>
          <w:szCs w:val="22"/>
        </w:rPr>
        <w:t>: úmrtie, transplantáciu pľúc, hospitalizáciu kvôli PAH, septostómiu predsiení, pridanie ďalších l</w:t>
      </w:r>
      <w:r w:rsidR="001B309D">
        <w:rPr>
          <w:sz w:val="22"/>
          <w:szCs w:val="22"/>
        </w:rPr>
        <w:t>iečiv</w:t>
      </w:r>
      <w:r w:rsidRPr="009C5C64">
        <w:rPr>
          <w:sz w:val="22"/>
          <w:szCs w:val="22"/>
        </w:rPr>
        <w:t xml:space="preserve"> na liečbu PAH </w:t>
      </w:r>
      <w:r w:rsidRPr="00F77291">
        <w:rPr>
          <w:sz w:val="22"/>
          <w:szCs w:val="22"/>
        </w:rPr>
        <w:t xml:space="preserve">a kritériá </w:t>
      </w:r>
      <w:r w:rsidR="001B309D" w:rsidRPr="009441E6">
        <w:rPr>
          <w:sz w:val="22"/>
          <w:szCs w:val="22"/>
        </w:rPr>
        <w:t>na</w:t>
      </w:r>
      <w:r w:rsidRPr="008325E7">
        <w:rPr>
          <w:sz w:val="22"/>
          <w:szCs w:val="22"/>
        </w:rPr>
        <w:t xml:space="preserve"> predčasné ukončenie liečby.</w:t>
      </w:r>
      <w:r w:rsidRPr="009C5C64">
        <w:rPr>
          <w:sz w:val="22"/>
          <w:szCs w:val="22"/>
        </w:rPr>
        <w:t xml:space="preserve"> V skupine s kombinovanou dávkou sa pozorovalo štatisticky významné zvýšenie (3,41 ± 6,96) skóre škály hodnotiacej fyzické fungovanie v rámci dotazníka o zdraví SF-36 v porovnaní s placebom (-0,20 ± 8,14, p=0,005). Liečba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>nom viedla k štatisticky významnému zlepšeniu skóre Borgovej škály hodnotiacej dýchavičnosť (Borg Dyspnea Index, BDI) v 12. týždni (skóre BDI</w:t>
      </w:r>
      <w:r w:rsidR="00F77291">
        <w:rPr>
          <w:sz w:val="22"/>
          <w:szCs w:val="22"/>
        </w:rPr>
        <w:t xml:space="preserve"> upravené na účinok placeba</w:t>
      </w:r>
      <w:r w:rsidRPr="009C5C64">
        <w:rPr>
          <w:sz w:val="22"/>
          <w:szCs w:val="22"/>
        </w:rPr>
        <w:t xml:space="preserve"> v hodnote -1,1 (95 % IS: -1,8 až -0,4; p=0,019; skupina s kombinovanou dávkou)). </w:t>
      </w:r>
    </w:p>
    <w:p w14:paraId="0D98F9F4" w14:textId="77777777" w:rsidR="00CE7BC3" w:rsidRPr="009C5C64" w:rsidRDefault="00CE7BC3" w:rsidP="00CE7BC3">
      <w:pPr>
        <w:pStyle w:val="Default"/>
        <w:rPr>
          <w:sz w:val="22"/>
          <w:szCs w:val="22"/>
        </w:rPr>
      </w:pPr>
    </w:p>
    <w:p w14:paraId="0D98F9F5" w14:textId="77777777" w:rsidR="00CE7BC3" w:rsidRPr="009C5C64" w:rsidRDefault="00CE7BC3" w:rsidP="00CE7BC3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Dlhodobé údaje </w:t>
      </w:r>
    </w:p>
    <w:p w14:paraId="0D98F9F6" w14:textId="77777777" w:rsidR="00CE7BC3" w:rsidRPr="009C5C64" w:rsidRDefault="00CE7BC3" w:rsidP="00CE7BC3">
      <w:pPr>
        <w:pStyle w:val="Default"/>
        <w:rPr>
          <w:sz w:val="22"/>
          <w:szCs w:val="22"/>
        </w:rPr>
      </w:pPr>
    </w:p>
    <w:p w14:paraId="0D98F9F7" w14:textId="4CC0FBEF" w:rsidR="00CE7BC3" w:rsidRPr="009C5C64" w:rsidRDefault="00CE7BC3" w:rsidP="00CE7BC3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Pacienti, ktorí sa zúčastnili prvej a druhej štúdie, mohli byť zaradení do </w:t>
      </w:r>
      <w:r w:rsidRPr="00EA33F6">
        <w:rPr>
          <w:sz w:val="22"/>
          <w:szCs w:val="22"/>
        </w:rPr>
        <w:t xml:space="preserve">dlhodobej otvorenej </w:t>
      </w:r>
      <w:r w:rsidR="002C00E3" w:rsidRPr="00EA33F6">
        <w:rPr>
          <w:sz w:val="22"/>
          <w:szCs w:val="22"/>
        </w:rPr>
        <w:t>rozšírenej</w:t>
      </w:r>
      <w:r w:rsidRPr="009C5C64">
        <w:rPr>
          <w:sz w:val="22"/>
          <w:szCs w:val="22"/>
        </w:rPr>
        <w:t xml:space="preserve"> štúdie (n=383). Kombinovaná priemerná expozícia bola približne 145 ± 80 týždňov a maximálna expozícia bola približne 259 týždňov. Hlavné primárne cieľové ukazovatele tejto štúdie boli výskyt a závažnosť nežiaducich udalostí súvisiacich s dlhodobou expozíciou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>nu, vrátane sérových LFT (funkčných vyšetrení pečene). Zistenia ohľadom bezpečnosti pozorované pri dlhodobej expozícii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nu v tejto štúdii boli zvyčajne zhodné s tými, ktoré sa pozorovali v 12-týždňových placebom kontrolovaných štúdiách. </w:t>
      </w:r>
    </w:p>
    <w:p w14:paraId="0D98F9F8" w14:textId="77777777" w:rsidR="00CE7BC3" w:rsidRPr="009C5C64" w:rsidRDefault="00CE7BC3" w:rsidP="00CE7BC3">
      <w:pPr>
        <w:pStyle w:val="Default"/>
        <w:rPr>
          <w:sz w:val="22"/>
          <w:szCs w:val="22"/>
        </w:rPr>
      </w:pPr>
    </w:p>
    <w:p w14:paraId="0D98F9F9" w14:textId="7BBD7FCB" w:rsidR="00CE7BC3" w:rsidRPr="009C5C64" w:rsidRDefault="00CE7BC3" w:rsidP="00CE7BC3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Pravdepodobnosť prežitia zistená u </w:t>
      </w:r>
      <w:r w:rsidR="00B17056">
        <w:rPr>
          <w:sz w:val="22"/>
          <w:szCs w:val="22"/>
        </w:rPr>
        <w:t>účastníkov</w:t>
      </w:r>
      <w:r w:rsidR="00B17056" w:rsidRPr="009C5C64">
        <w:rPr>
          <w:sz w:val="22"/>
          <w:szCs w:val="22"/>
        </w:rPr>
        <w:t xml:space="preserve"> </w:t>
      </w:r>
      <w:r w:rsidRPr="009C5C64">
        <w:rPr>
          <w:sz w:val="22"/>
          <w:szCs w:val="22"/>
        </w:rPr>
        <w:t>užívajúcich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>n (skupina s kombinovanou dávkou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nu) bola po 1 roku 93 %, po 2 rokoch 85 % a po 3 rokoch 79 %. </w:t>
      </w:r>
    </w:p>
    <w:p w14:paraId="0D98F9FA" w14:textId="77777777" w:rsidR="00CE7BC3" w:rsidRPr="009C5C64" w:rsidRDefault="00CE7BC3" w:rsidP="00CE7BC3">
      <w:pPr>
        <w:pStyle w:val="Default"/>
        <w:rPr>
          <w:sz w:val="22"/>
          <w:szCs w:val="22"/>
        </w:rPr>
      </w:pPr>
    </w:p>
    <w:p w14:paraId="0D98F9FB" w14:textId="0D8F4940" w:rsidR="00CE7BC3" w:rsidRPr="009C5C64" w:rsidRDefault="00CE7BC3" w:rsidP="00CE7BC3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lastRenderedPageBreak/>
        <w:t>V otvorenej štúdii (</w:t>
      </w:r>
      <w:r w:rsidRPr="007A72FB">
        <w:rPr>
          <w:sz w:val="22"/>
          <w:szCs w:val="22"/>
        </w:rPr>
        <w:t xml:space="preserve">štúdia bezpečnosti </w:t>
      </w:r>
      <w:r w:rsidR="007A72FB" w:rsidRPr="000C2E13">
        <w:rPr>
          <w:sz w:val="22"/>
          <w:szCs w:val="22"/>
        </w:rPr>
        <w:t xml:space="preserve">za použitia </w:t>
      </w:r>
      <w:r w:rsidRPr="007A72FB">
        <w:rPr>
          <w:sz w:val="22"/>
          <w:szCs w:val="22"/>
        </w:rPr>
        <w:t>test</w:t>
      </w:r>
      <w:r w:rsidR="007A72FB" w:rsidRPr="000C2E13">
        <w:rPr>
          <w:sz w:val="22"/>
          <w:szCs w:val="22"/>
        </w:rPr>
        <w:t>ovania</w:t>
      </w:r>
      <w:r w:rsidRPr="005B13C8">
        <w:rPr>
          <w:sz w:val="22"/>
          <w:szCs w:val="22"/>
        </w:rPr>
        <w:t xml:space="preserve"> funkcie pečene)</w:t>
      </w:r>
      <w:r w:rsidRPr="009C5C64">
        <w:rPr>
          <w:sz w:val="22"/>
          <w:szCs w:val="22"/>
        </w:rPr>
        <w:t xml:space="preserve"> bol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>n skúmaný u 36 pacientov za účelom zhodnotenia výskytu zvýšených sérových koncentrácií aminotransferáz u pacientov, ktorí prerušili predchádzajúcu liečbu iným ERA kvôli aminotransferáz</w:t>
      </w:r>
      <w:r w:rsidR="00B17056">
        <w:rPr>
          <w:sz w:val="22"/>
          <w:szCs w:val="22"/>
        </w:rPr>
        <w:t>am mimo normy</w:t>
      </w:r>
      <w:r w:rsidRPr="009C5C64">
        <w:rPr>
          <w:sz w:val="22"/>
          <w:szCs w:val="22"/>
        </w:rPr>
        <w:t>. Počas priemerne 53 týždňov liečby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>nom sa u žiadneho zo zaradených pacientov nepotvrdila hodnota sérovej ALT &gt;3xULN, ktorá by vyžadovala trvalé ukončenie liečby. Počas tejto doby bola u päťdesiatich percent pacientov dávka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>nu zvýšená z</w:t>
      </w:r>
      <w:r w:rsidR="00AA652B">
        <w:rPr>
          <w:sz w:val="22"/>
          <w:szCs w:val="22"/>
        </w:rPr>
        <w:t> </w:t>
      </w:r>
      <w:r w:rsidRPr="009C5C64">
        <w:rPr>
          <w:sz w:val="22"/>
          <w:szCs w:val="22"/>
        </w:rPr>
        <w:t>5</w:t>
      </w:r>
      <w:r w:rsidR="00AA652B">
        <w:rPr>
          <w:sz w:val="22"/>
          <w:szCs w:val="22"/>
        </w:rPr>
        <w:t> </w:t>
      </w:r>
      <w:r w:rsidR="00145A9D">
        <w:rPr>
          <w:sz w:val="22"/>
          <w:szCs w:val="22"/>
        </w:rPr>
        <w:t xml:space="preserve">mg na </w:t>
      </w:r>
      <w:r w:rsidRPr="009C5C64">
        <w:rPr>
          <w:sz w:val="22"/>
          <w:szCs w:val="22"/>
        </w:rPr>
        <w:t>10</w:t>
      </w:r>
      <w:r w:rsidR="00AA652B">
        <w:rPr>
          <w:sz w:val="22"/>
          <w:szCs w:val="22"/>
        </w:rPr>
        <w:t> </w:t>
      </w:r>
      <w:r w:rsidRPr="009C5C64">
        <w:rPr>
          <w:sz w:val="22"/>
          <w:szCs w:val="22"/>
        </w:rPr>
        <w:t xml:space="preserve">mg. </w:t>
      </w:r>
    </w:p>
    <w:p w14:paraId="0D98F9FC" w14:textId="77777777" w:rsidR="00CE7BC3" w:rsidRPr="009C5C64" w:rsidRDefault="00CE7BC3" w:rsidP="00CE7BC3">
      <w:pPr>
        <w:pStyle w:val="Default"/>
        <w:rPr>
          <w:sz w:val="22"/>
          <w:szCs w:val="22"/>
        </w:rPr>
      </w:pPr>
    </w:p>
    <w:p w14:paraId="0D98F9FD" w14:textId="28467FDB" w:rsidR="00CE7BC3" w:rsidRPr="009C5C64" w:rsidRDefault="00CE7BC3" w:rsidP="00CE7BC3">
      <w:pPr>
        <w:rPr>
          <w:sz w:val="22"/>
          <w:szCs w:val="22"/>
        </w:rPr>
      </w:pPr>
      <w:r w:rsidRPr="009C5C64">
        <w:rPr>
          <w:sz w:val="22"/>
          <w:szCs w:val="22"/>
        </w:rPr>
        <w:t>Kumulatívny výskyt sérových aminotransferáz &gt;3xULN vo všetkých štúdiách fázy 2 a 3</w:t>
      </w:r>
    </w:p>
    <w:p w14:paraId="0D98F9FE" w14:textId="6CF981F0" w:rsidR="00CE7BC3" w:rsidRPr="009C5C64" w:rsidRDefault="00CE7BC3" w:rsidP="00CE7BC3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(vrátane príslušných otvorených predĺžených štúdií) bol 17 zo 483 </w:t>
      </w:r>
      <w:r w:rsidR="00B17056">
        <w:rPr>
          <w:sz w:val="22"/>
          <w:szCs w:val="22"/>
        </w:rPr>
        <w:t>účastníkov</w:t>
      </w:r>
      <w:r w:rsidR="00B17056" w:rsidRPr="009C5C64">
        <w:rPr>
          <w:sz w:val="22"/>
          <w:szCs w:val="22"/>
        </w:rPr>
        <w:t xml:space="preserve"> </w:t>
      </w:r>
      <w:r w:rsidRPr="009C5C64">
        <w:rPr>
          <w:sz w:val="22"/>
          <w:szCs w:val="22"/>
        </w:rPr>
        <w:t xml:space="preserve">počas priemernej doby expozície 79,5 týždňa. </w:t>
      </w:r>
      <w:r w:rsidRPr="00EA33F6">
        <w:rPr>
          <w:sz w:val="22"/>
          <w:szCs w:val="22"/>
        </w:rPr>
        <w:t>To pri ambrisent</w:t>
      </w:r>
      <w:r w:rsidR="00862386" w:rsidRPr="00EA33F6">
        <w:rPr>
          <w:sz w:val="22"/>
          <w:szCs w:val="22"/>
        </w:rPr>
        <w:t>á</w:t>
      </w:r>
      <w:r w:rsidRPr="00EA33F6">
        <w:rPr>
          <w:sz w:val="22"/>
          <w:szCs w:val="22"/>
        </w:rPr>
        <w:t>ne zodpovedá miere výskytu 2,3 udalosti na 100 pacien</w:t>
      </w:r>
      <w:r w:rsidR="005B13C8" w:rsidRPr="00EA33F6">
        <w:rPr>
          <w:sz w:val="22"/>
          <w:szCs w:val="22"/>
        </w:rPr>
        <w:t xml:space="preserve">tských </w:t>
      </w:r>
      <w:r w:rsidRPr="00EA33F6">
        <w:rPr>
          <w:sz w:val="22"/>
          <w:szCs w:val="22"/>
        </w:rPr>
        <w:t xml:space="preserve">rokov expozície. V dlhodobej </w:t>
      </w:r>
      <w:r w:rsidR="00145A9D" w:rsidRPr="00EA33F6">
        <w:rPr>
          <w:sz w:val="22"/>
          <w:szCs w:val="22"/>
        </w:rPr>
        <w:t>otvorenej rozšírenej</w:t>
      </w:r>
      <w:r w:rsidRPr="00EA33F6">
        <w:rPr>
          <w:sz w:val="22"/>
          <w:szCs w:val="22"/>
        </w:rPr>
        <w:t xml:space="preserve"> štúdii sa zistilo, že po 2 rokoch liečby je riziko vzniku vzostupov koncentrácií aminotransferáz na &gt;3xULN</w:t>
      </w:r>
      <w:r w:rsidRPr="009C5C64">
        <w:rPr>
          <w:sz w:val="22"/>
          <w:szCs w:val="22"/>
        </w:rPr>
        <w:t xml:space="preserve"> u pacientov liečených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nom 3,9 %. </w:t>
      </w:r>
    </w:p>
    <w:p w14:paraId="0D98F9FF" w14:textId="77777777" w:rsidR="00CE7BC3" w:rsidRPr="009C5C64" w:rsidRDefault="00CE7BC3" w:rsidP="00CE7BC3">
      <w:pPr>
        <w:pStyle w:val="Default"/>
        <w:rPr>
          <w:sz w:val="22"/>
          <w:szCs w:val="22"/>
        </w:rPr>
      </w:pPr>
    </w:p>
    <w:p w14:paraId="0D98FA00" w14:textId="77777777" w:rsidR="00CE7BC3" w:rsidRPr="009C5C64" w:rsidRDefault="00CE7BC3" w:rsidP="00CE7BC3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Ďalšie klinické informácie </w:t>
      </w:r>
    </w:p>
    <w:p w14:paraId="0D98FA01" w14:textId="77777777" w:rsidR="00CE7BC3" w:rsidRPr="009C5C64" w:rsidRDefault="00CE7BC3" w:rsidP="00CE7BC3">
      <w:pPr>
        <w:pStyle w:val="Default"/>
        <w:rPr>
          <w:sz w:val="22"/>
          <w:szCs w:val="22"/>
        </w:rPr>
      </w:pPr>
    </w:p>
    <w:p w14:paraId="0D98FA02" w14:textId="52FA3278" w:rsidR="00CE7BC3" w:rsidRPr="009C5C64" w:rsidRDefault="00CE7BC3" w:rsidP="00CE7BC3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Zlepšenie hemodynamických parametrov sa pozorovalo u pacientov s PAH po 12 týždňoch (n = 29) v štúdii fázy 2. Liečba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nom viedla k zvýšeniu priemerného srdcového indexu, zníženiu priemerného tlaku v pľúcnych artériách a zníženiu priemernej pľúcnej cievnej rezistencie. </w:t>
      </w:r>
    </w:p>
    <w:p w14:paraId="0D98FA03" w14:textId="77777777" w:rsidR="00CE7BC3" w:rsidRPr="009C5C64" w:rsidRDefault="00CE7BC3" w:rsidP="00CE7BC3">
      <w:pPr>
        <w:pStyle w:val="Default"/>
        <w:rPr>
          <w:sz w:val="22"/>
          <w:szCs w:val="22"/>
        </w:rPr>
      </w:pPr>
    </w:p>
    <w:p w14:paraId="0D98FA04" w14:textId="53FC670D" w:rsidR="00CE7BC3" w:rsidRPr="00EA33F6" w:rsidRDefault="00CE7BC3" w:rsidP="00CE7BC3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Pri liečbe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nom bol hlásený pokles systolického a diastolického krvného tlaku. V placebom kontrolovaných klinických skúšaniach trvajúcich 12 týždňov sa zistil priemerný pokles systolického krvného tlaku o 3 mmHg a diastolického krvného tlaku o 4,2 mmHg, keď sa porovnali hodnoty namerané na začiatku a na konci liečby. </w:t>
      </w:r>
      <w:r w:rsidRPr="00EA33F6">
        <w:rPr>
          <w:sz w:val="22"/>
          <w:szCs w:val="22"/>
        </w:rPr>
        <w:t>Priemerný pokles systolického a diastolického krvného tlaku pretrvával počas až 4</w:t>
      </w:r>
      <w:r w:rsidR="00244876" w:rsidRPr="00EA33F6">
        <w:rPr>
          <w:sz w:val="22"/>
          <w:szCs w:val="22"/>
        </w:rPr>
        <w:t> rokov</w:t>
      </w:r>
      <w:r w:rsidRPr="00EA33F6">
        <w:rPr>
          <w:sz w:val="22"/>
          <w:szCs w:val="22"/>
        </w:rPr>
        <w:t xml:space="preserve"> liečby ambrisent</w:t>
      </w:r>
      <w:r w:rsidR="00862386" w:rsidRPr="00EA33F6">
        <w:rPr>
          <w:sz w:val="22"/>
          <w:szCs w:val="22"/>
        </w:rPr>
        <w:t>á</w:t>
      </w:r>
      <w:r w:rsidRPr="00EA33F6">
        <w:rPr>
          <w:sz w:val="22"/>
          <w:szCs w:val="22"/>
        </w:rPr>
        <w:t xml:space="preserve">nom v otvorenej </w:t>
      </w:r>
      <w:r w:rsidR="00FE4008" w:rsidRPr="00EA33F6">
        <w:rPr>
          <w:sz w:val="22"/>
          <w:szCs w:val="22"/>
        </w:rPr>
        <w:t xml:space="preserve">dlhodobej rozšírenej </w:t>
      </w:r>
      <w:r w:rsidRPr="00EA33F6">
        <w:rPr>
          <w:sz w:val="22"/>
          <w:szCs w:val="22"/>
        </w:rPr>
        <w:t xml:space="preserve">štúdii. </w:t>
      </w:r>
    </w:p>
    <w:p w14:paraId="0D98FA05" w14:textId="77777777" w:rsidR="00E01DB2" w:rsidRPr="00EA33F6" w:rsidRDefault="00E01DB2" w:rsidP="00CE7BC3">
      <w:pPr>
        <w:pStyle w:val="Default"/>
        <w:rPr>
          <w:sz w:val="22"/>
          <w:szCs w:val="22"/>
        </w:rPr>
      </w:pPr>
    </w:p>
    <w:p w14:paraId="0D98FA06" w14:textId="614C41DC" w:rsidR="00CE7BC3" w:rsidRPr="009C5C64" w:rsidRDefault="00CE7BC3" w:rsidP="00CE7BC3">
      <w:pPr>
        <w:rPr>
          <w:sz w:val="22"/>
          <w:szCs w:val="22"/>
        </w:rPr>
      </w:pPr>
      <w:r w:rsidRPr="00EA33F6">
        <w:rPr>
          <w:sz w:val="22"/>
          <w:szCs w:val="22"/>
        </w:rPr>
        <w:t>Počas štúdie liekových interakcií u zdravých dobrovoľníkov nebol pozorovaný klinicky významný vplyv na farmakokinetiku ambrisent</w:t>
      </w:r>
      <w:r w:rsidR="00862386" w:rsidRPr="00EA33F6">
        <w:rPr>
          <w:sz w:val="22"/>
          <w:szCs w:val="22"/>
        </w:rPr>
        <w:t>á</w:t>
      </w:r>
      <w:r w:rsidRPr="00EA33F6">
        <w:rPr>
          <w:sz w:val="22"/>
          <w:szCs w:val="22"/>
        </w:rPr>
        <w:t>nu alebo sildenafilu a táto kombinácia bola dobre znášaná. Počet pacientov, ktorí boli súbežne liečení ambrisent</w:t>
      </w:r>
      <w:r w:rsidR="00862386" w:rsidRPr="00EA33F6">
        <w:rPr>
          <w:sz w:val="22"/>
          <w:szCs w:val="22"/>
        </w:rPr>
        <w:t>á</w:t>
      </w:r>
      <w:r w:rsidRPr="00EA33F6">
        <w:rPr>
          <w:sz w:val="22"/>
          <w:szCs w:val="22"/>
        </w:rPr>
        <w:t>nom a sildenafilom, bol 22 pacientov (5,7 %) v</w:t>
      </w:r>
      <w:r w:rsidR="00E01DB2" w:rsidRPr="00EA33F6">
        <w:rPr>
          <w:sz w:val="22"/>
          <w:szCs w:val="22"/>
        </w:rPr>
        <w:t> </w:t>
      </w:r>
      <w:r w:rsidR="00E971C7" w:rsidRPr="00EA33F6">
        <w:rPr>
          <w:sz w:val="22"/>
          <w:szCs w:val="22"/>
        </w:rPr>
        <w:t>rozšírenej</w:t>
      </w:r>
      <w:r w:rsidR="00E01DB2" w:rsidRPr="00EA33F6">
        <w:rPr>
          <w:sz w:val="22"/>
          <w:szCs w:val="22"/>
        </w:rPr>
        <w:t xml:space="preserve"> </w:t>
      </w:r>
      <w:r w:rsidRPr="00EA33F6">
        <w:rPr>
          <w:sz w:val="22"/>
          <w:szCs w:val="22"/>
        </w:rPr>
        <w:t xml:space="preserve">štúdii a 17 pacientov (47 %) v </w:t>
      </w:r>
      <w:r w:rsidR="00E971C7" w:rsidRPr="00EA33F6">
        <w:rPr>
          <w:sz w:val="22"/>
          <w:szCs w:val="22"/>
        </w:rPr>
        <w:t>štúdii</w:t>
      </w:r>
      <w:r w:rsidR="00E01DB2" w:rsidRPr="00EA33F6">
        <w:rPr>
          <w:sz w:val="22"/>
          <w:szCs w:val="22"/>
        </w:rPr>
        <w:t xml:space="preserve"> bezpečnosti </w:t>
      </w:r>
      <w:r w:rsidR="002A07BA" w:rsidRPr="00EA33F6">
        <w:rPr>
          <w:sz w:val="22"/>
          <w:szCs w:val="22"/>
        </w:rPr>
        <w:t xml:space="preserve">sledujúcej </w:t>
      </w:r>
      <w:r w:rsidR="00E01DB2" w:rsidRPr="00EA33F6">
        <w:rPr>
          <w:sz w:val="22"/>
          <w:szCs w:val="22"/>
        </w:rPr>
        <w:t>funkcie pečene</w:t>
      </w:r>
      <w:r w:rsidRPr="00EA33F6">
        <w:rPr>
          <w:sz w:val="22"/>
          <w:szCs w:val="22"/>
        </w:rPr>
        <w:t xml:space="preserve">. U týchto pacientov sa nezistili žiadne ďalšie bezpečnostné </w:t>
      </w:r>
      <w:r w:rsidR="0044033F" w:rsidRPr="00EA33F6">
        <w:rPr>
          <w:sz w:val="22"/>
          <w:szCs w:val="22"/>
        </w:rPr>
        <w:t>riziká</w:t>
      </w:r>
      <w:r w:rsidRPr="00EA33F6">
        <w:rPr>
          <w:sz w:val="22"/>
          <w:szCs w:val="22"/>
        </w:rPr>
        <w:t>.</w:t>
      </w:r>
    </w:p>
    <w:p w14:paraId="0D98FA07" w14:textId="77777777" w:rsidR="00E01DB2" w:rsidRPr="009C5C64" w:rsidRDefault="00E01DB2" w:rsidP="00CE7BC3">
      <w:pPr>
        <w:rPr>
          <w:sz w:val="22"/>
          <w:szCs w:val="22"/>
        </w:rPr>
      </w:pPr>
    </w:p>
    <w:p w14:paraId="0D98FA08" w14:textId="77777777" w:rsidR="00E01DB2" w:rsidRPr="009C5C64" w:rsidRDefault="00E01DB2" w:rsidP="00E01DB2">
      <w:pPr>
        <w:pStyle w:val="Default"/>
        <w:rPr>
          <w:sz w:val="22"/>
          <w:szCs w:val="22"/>
          <w:u w:val="single"/>
        </w:rPr>
      </w:pPr>
      <w:r w:rsidRPr="009C5C64">
        <w:rPr>
          <w:sz w:val="22"/>
          <w:szCs w:val="22"/>
          <w:u w:val="single"/>
        </w:rPr>
        <w:t xml:space="preserve">Klinická účinnosť v kombinácii s tadalafilom </w:t>
      </w:r>
    </w:p>
    <w:p w14:paraId="0D98FA09" w14:textId="77777777" w:rsidR="00E01DB2" w:rsidRPr="009C5C64" w:rsidRDefault="00E01DB2" w:rsidP="00E01DB2">
      <w:pPr>
        <w:pStyle w:val="Default"/>
        <w:rPr>
          <w:sz w:val="22"/>
          <w:szCs w:val="22"/>
        </w:rPr>
      </w:pPr>
    </w:p>
    <w:p w14:paraId="0D98FA0A" w14:textId="091CCA32" w:rsidR="00E01DB2" w:rsidRPr="009C5C64" w:rsidRDefault="00E01DB2" w:rsidP="00E01DB2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Uskutočnila sa multicentr</w:t>
      </w:r>
      <w:r w:rsidR="00B5459D">
        <w:rPr>
          <w:sz w:val="22"/>
          <w:szCs w:val="22"/>
        </w:rPr>
        <w:t>ová</w:t>
      </w:r>
      <w:r w:rsidRPr="009C5C64">
        <w:rPr>
          <w:sz w:val="22"/>
          <w:szCs w:val="22"/>
        </w:rPr>
        <w:t>, dvojito zaslepená, aktívnym komparátor</w:t>
      </w:r>
      <w:r w:rsidR="00B5459D">
        <w:rPr>
          <w:sz w:val="22"/>
          <w:szCs w:val="22"/>
        </w:rPr>
        <w:t>om</w:t>
      </w:r>
      <w:r w:rsidRPr="009C5C64">
        <w:rPr>
          <w:sz w:val="22"/>
          <w:szCs w:val="22"/>
        </w:rPr>
        <w:t xml:space="preserve"> kontrolovaná štúdia fázy 3 typ</w:t>
      </w:r>
      <w:r w:rsidRPr="005B0607">
        <w:rPr>
          <w:sz w:val="22"/>
          <w:szCs w:val="22"/>
        </w:rPr>
        <w:t xml:space="preserve">u „event-driven“ (dosiahnutie cieľa štúdie bolo </w:t>
      </w:r>
      <w:r w:rsidRPr="007B2D86">
        <w:rPr>
          <w:sz w:val="22"/>
          <w:szCs w:val="22"/>
        </w:rPr>
        <w:t>podmienené výskytom vopred definovanej príhody</w:t>
      </w:r>
      <w:r w:rsidRPr="005B0607">
        <w:rPr>
          <w:sz w:val="22"/>
          <w:szCs w:val="22"/>
        </w:rPr>
        <w:t>),</w:t>
      </w:r>
      <w:r w:rsidRPr="009C5C64">
        <w:rPr>
          <w:sz w:val="22"/>
          <w:szCs w:val="22"/>
        </w:rPr>
        <w:t xml:space="preserve"> ktorá sledovala efekt liečby s cieľom zhodnotiť účinnosť začiatočnej liečby kombináciou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>nu a tadalafilu v porovnaní s monoterapiou buď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 xml:space="preserve">nom, alebo tadalafilom, u 500 pacientov s PAH bez predchádzajúcej liečby, ktorí boli na uvedené liečby randomizovaní v pomere 2:1:1. Žiadni pacienti neužívali samotné placebo. Primárna analýza porovnala skupinu s kombinovanou liečbou so súhrnne hodnotenými skupinami s monoterapiami. Uskutočnili sa aj podporné porovnania skupiny s kombinovanou liečbou s jednotlivými skupinami s monoterapiami. Pacienti s významnou anémiou, s retenciou tekutín alebo so zriedkavými ochoreniami sietnice boli z účasti na štúdii vylúčení na základe kritérií stanovených skúšajúcimi. Z účasti na štúdii boli vylúčení aj pacienti, ktorí mali východiskové hodnoty ALT a AST &gt; 2xULN. </w:t>
      </w:r>
    </w:p>
    <w:p w14:paraId="0D98FA0B" w14:textId="77777777" w:rsidR="00E01DB2" w:rsidRPr="009C5C64" w:rsidRDefault="00E01DB2" w:rsidP="00E01DB2">
      <w:pPr>
        <w:pStyle w:val="Default"/>
        <w:rPr>
          <w:sz w:val="22"/>
          <w:szCs w:val="22"/>
        </w:rPr>
      </w:pPr>
    </w:p>
    <w:p w14:paraId="0D98FA0C" w14:textId="10414376" w:rsidR="00E01DB2" w:rsidRPr="009C5C64" w:rsidRDefault="00E01DB2" w:rsidP="00E01DB2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Pri vstupe do štúdie bolo 96 % pacientov bez predchádzajúcej špecifickej liečby PAH a medián času od stanovenia diagnózy do zaradenia do štúdie bol 22 dní. Pacienti začali liečbu 5</w:t>
      </w:r>
      <w:r w:rsidR="00AA652B">
        <w:rPr>
          <w:sz w:val="22"/>
          <w:szCs w:val="22"/>
        </w:rPr>
        <w:t> </w:t>
      </w:r>
      <w:r w:rsidRPr="009C5C64">
        <w:rPr>
          <w:sz w:val="22"/>
          <w:szCs w:val="22"/>
        </w:rPr>
        <w:t>mg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>nu a</w:t>
      </w:r>
      <w:r w:rsidR="00AA652B">
        <w:rPr>
          <w:sz w:val="22"/>
          <w:szCs w:val="22"/>
        </w:rPr>
        <w:t> </w:t>
      </w:r>
      <w:r w:rsidRPr="009C5C64">
        <w:rPr>
          <w:sz w:val="22"/>
          <w:szCs w:val="22"/>
        </w:rPr>
        <w:t>20</w:t>
      </w:r>
      <w:r w:rsidR="00AA652B">
        <w:rPr>
          <w:sz w:val="22"/>
          <w:szCs w:val="22"/>
        </w:rPr>
        <w:t> </w:t>
      </w:r>
      <w:r w:rsidRPr="009C5C64">
        <w:rPr>
          <w:sz w:val="22"/>
          <w:szCs w:val="22"/>
        </w:rPr>
        <w:t>mg tadalafilu a v 4. týždni mali dávku tadalafilu titrovanú na 40</w:t>
      </w:r>
      <w:r w:rsidR="00AA652B">
        <w:rPr>
          <w:sz w:val="22"/>
          <w:szCs w:val="22"/>
        </w:rPr>
        <w:t> </w:t>
      </w:r>
      <w:r w:rsidRPr="009C5C64">
        <w:rPr>
          <w:sz w:val="22"/>
          <w:szCs w:val="22"/>
        </w:rPr>
        <w:t>mg a v 8. týždni mali dávku ambrisent</w:t>
      </w:r>
      <w:r w:rsidR="00862386">
        <w:rPr>
          <w:sz w:val="22"/>
          <w:szCs w:val="22"/>
        </w:rPr>
        <w:t>á</w:t>
      </w:r>
      <w:r w:rsidRPr="009C5C64">
        <w:rPr>
          <w:sz w:val="22"/>
          <w:szCs w:val="22"/>
        </w:rPr>
        <w:t>nu titrovanú na 10</w:t>
      </w:r>
      <w:r w:rsidR="00AA652B">
        <w:rPr>
          <w:sz w:val="22"/>
          <w:szCs w:val="22"/>
        </w:rPr>
        <w:t> </w:t>
      </w:r>
      <w:r w:rsidRPr="009C5C64">
        <w:rPr>
          <w:sz w:val="22"/>
          <w:szCs w:val="22"/>
        </w:rPr>
        <w:t xml:space="preserve">mg, pokiaľ nemali žiadne problémy so znášanlivosťou liečby. Medián trvania dvojito zaslepenej liečby bol pri kombinovanej liečbe dlhší ako 1,5 roku. </w:t>
      </w:r>
    </w:p>
    <w:p w14:paraId="0D98FA0D" w14:textId="77777777" w:rsidR="00E01DB2" w:rsidRPr="009C5C64" w:rsidRDefault="00E01DB2" w:rsidP="00E01DB2">
      <w:pPr>
        <w:pStyle w:val="Default"/>
        <w:rPr>
          <w:sz w:val="22"/>
          <w:szCs w:val="22"/>
        </w:rPr>
      </w:pPr>
    </w:p>
    <w:p w14:paraId="0D98FA0E" w14:textId="77777777" w:rsidR="00E01DB2" w:rsidRPr="009C5C64" w:rsidRDefault="00E01DB2" w:rsidP="00E01DB2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Primárnym cieľovým ukazovateľom bol čas do prvého výskytu príhody, ktorou bolo klinické zlyhanie liečby definované ako: </w:t>
      </w:r>
    </w:p>
    <w:p w14:paraId="0D98FA0F" w14:textId="77777777" w:rsidR="00E01DB2" w:rsidRPr="009C5C64" w:rsidRDefault="00E01DB2" w:rsidP="00E01DB2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lastRenderedPageBreak/>
        <w:t xml:space="preserve">- smrť alebo </w:t>
      </w:r>
    </w:p>
    <w:p w14:paraId="0D98FA10" w14:textId="77777777" w:rsidR="00E01DB2" w:rsidRPr="009C5C64" w:rsidRDefault="00E01DB2" w:rsidP="00E01DB2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- hospitalizácia z dôvodu zhoršujúcej sa PAH, </w:t>
      </w:r>
    </w:p>
    <w:p w14:paraId="0D98FA11" w14:textId="77777777" w:rsidR="00E01DB2" w:rsidRPr="009C5C64" w:rsidRDefault="00E01DB2" w:rsidP="00E01DB2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- progresia ochorenia, </w:t>
      </w:r>
    </w:p>
    <w:p w14:paraId="0D98FA12" w14:textId="77777777" w:rsidR="00E01DB2" w:rsidRPr="009C5C64" w:rsidRDefault="00E01DB2" w:rsidP="00E01DB2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 xml:space="preserve">- neuspokojivá dlhodobá klinická odpoveď na liečbu. </w:t>
      </w:r>
    </w:p>
    <w:p w14:paraId="0D98FA13" w14:textId="77777777" w:rsidR="00E01DB2" w:rsidRPr="009C5C64" w:rsidRDefault="00E01DB2" w:rsidP="00E01DB2">
      <w:pPr>
        <w:pStyle w:val="Default"/>
        <w:rPr>
          <w:sz w:val="22"/>
          <w:szCs w:val="22"/>
        </w:rPr>
      </w:pPr>
    </w:p>
    <w:p w14:paraId="0D98FA14" w14:textId="72EDB0B9" w:rsidR="00E01DB2" w:rsidRPr="009C5C64" w:rsidRDefault="00E01DB2" w:rsidP="00E01DB2">
      <w:pPr>
        <w:pStyle w:val="Default"/>
        <w:rPr>
          <w:sz w:val="22"/>
          <w:szCs w:val="22"/>
        </w:rPr>
      </w:pPr>
      <w:r w:rsidRPr="009C5C64">
        <w:rPr>
          <w:sz w:val="22"/>
          <w:szCs w:val="22"/>
        </w:rPr>
        <w:t>Priemerný vek všetkých pacientov bol 54</w:t>
      </w:r>
      <w:r w:rsidR="00244876">
        <w:rPr>
          <w:sz w:val="22"/>
          <w:szCs w:val="22"/>
        </w:rPr>
        <w:t> rokov</w:t>
      </w:r>
      <w:r w:rsidRPr="009C5C64">
        <w:rPr>
          <w:sz w:val="22"/>
          <w:szCs w:val="22"/>
        </w:rPr>
        <w:t xml:space="preserve"> (SD 15; vekové rozmedzie 18 - 75</w:t>
      </w:r>
      <w:r w:rsidR="00244876">
        <w:rPr>
          <w:sz w:val="22"/>
          <w:szCs w:val="22"/>
        </w:rPr>
        <w:t> rokov</w:t>
      </w:r>
      <w:r w:rsidRPr="009C5C64">
        <w:rPr>
          <w:sz w:val="22"/>
          <w:szCs w:val="22"/>
        </w:rPr>
        <w:t xml:space="preserve">). Pri vstupe do štúdie boli pacienti vo FT II (31 %) a FT III (69 %) podľa </w:t>
      </w:r>
      <w:r w:rsidR="00B5459D">
        <w:rPr>
          <w:sz w:val="22"/>
          <w:szCs w:val="22"/>
        </w:rPr>
        <w:t>WHO</w:t>
      </w:r>
      <w:r w:rsidRPr="009C5C64">
        <w:rPr>
          <w:sz w:val="22"/>
          <w:szCs w:val="22"/>
        </w:rPr>
        <w:t xml:space="preserve">. Najčastejšou etiológiou v populácii tejto štúdie bola idiopatická alebo dedičná PAH (56 %), po nej nasledovala PAH zapríčinená poruchami spojivového tkaniva (37 %), PAH súvisiaca s liekmi a toxínmi (3 %), s korigovanou jednoduchou vrodenou srdcovou chybou (2 %) a s HIV (2 %). Pacienti vo FT II a III podľa </w:t>
      </w:r>
      <w:r w:rsidR="005E0359">
        <w:rPr>
          <w:sz w:val="22"/>
          <w:szCs w:val="22"/>
        </w:rPr>
        <w:t>WHO</w:t>
      </w:r>
      <w:r w:rsidRPr="009C5C64">
        <w:rPr>
          <w:sz w:val="22"/>
          <w:szCs w:val="22"/>
        </w:rPr>
        <w:t xml:space="preserve"> mali </w:t>
      </w:r>
      <w:r w:rsidR="0044033F">
        <w:rPr>
          <w:sz w:val="22"/>
          <w:szCs w:val="22"/>
        </w:rPr>
        <w:t xml:space="preserve">priemernú východiskovú hodnotu </w:t>
      </w:r>
      <w:r w:rsidRPr="009C5C64">
        <w:rPr>
          <w:sz w:val="22"/>
          <w:szCs w:val="22"/>
        </w:rPr>
        <w:t xml:space="preserve">6MWD rovnú 353 metrom. </w:t>
      </w:r>
    </w:p>
    <w:p w14:paraId="0D98FA15" w14:textId="77777777" w:rsidR="00E01DB2" w:rsidRPr="009C5C64" w:rsidRDefault="00E01DB2" w:rsidP="00E01DB2">
      <w:pPr>
        <w:pStyle w:val="Default"/>
        <w:rPr>
          <w:sz w:val="22"/>
          <w:szCs w:val="22"/>
        </w:rPr>
      </w:pPr>
    </w:p>
    <w:p w14:paraId="0D98FA16" w14:textId="77777777" w:rsidR="00E01DB2" w:rsidRPr="009C5C64" w:rsidRDefault="00E01DB2" w:rsidP="00E01DB2">
      <w:pPr>
        <w:pStyle w:val="Default"/>
        <w:rPr>
          <w:sz w:val="22"/>
          <w:szCs w:val="22"/>
          <w:u w:val="single"/>
        </w:rPr>
      </w:pPr>
      <w:r w:rsidRPr="009C5C64">
        <w:rPr>
          <w:i/>
          <w:iCs/>
          <w:sz w:val="22"/>
          <w:szCs w:val="22"/>
          <w:u w:val="single"/>
        </w:rPr>
        <w:t xml:space="preserve">Cieľové ukazovatele efektu liečby </w:t>
      </w:r>
    </w:p>
    <w:p w14:paraId="0D98FA17" w14:textId="2F0A058B" w:rsidR="00E01DB2" w:rsidRPr="009C5C64" w:rsidRDefault="00E01DB2" w:rsidP="00E01DB2">
      <w:pPr>
        <w:rPr>
          <w:sz w:val="22"/>
          <w:szCs w:val="22"/>
        </w:rPr>
      </w:pPr>
      <w:r w:rsidRPr="009C5C64">
        <w:rPr>
          <w:sz w:val="22"/>
          <w:szCs w:val="22"/>
        </w:rPr>
        <w:t>Kombinovaná liečba viedla v porovnaní so súhrnne hodnotenými skupinami s monoterapiami k 50 % zníženiu rizika (</w:t>
      </w:r>
      <w:r w:rsidR="00071244">
        <w:rPr>
          <w:sz w:val="22"/>
          <w:szCs w:val="22"/>
        </w:rPr>
        <w:t>pomer rizika</w:t>
      </w:r>
      <w:r w:rsidRPr="009C5C64">
        <w:rPr>
          <w:sz w:val="22"/>
          <w:szCs w:val="22"/>
        </w:rPr>
        <w:t xml:space="preserve"> [HR] 0,502; 95 % IS: 0,348 až 0,724; p = 0,0002) </w:t>
      </w:r>
      <w:r w:rsidRPr="00EA33F6">
        <w:rPr>
          <w:sz w:val="22"/>
          <w:szCs w:val="22"/>
        </w:rPr>
        <w:t>výskytu z</w:t>
      </w:r>
      <w:r w:rsidR="001D427D" w:rsidRPr="00EA33F6">
        <w:rPr>
          <w:sz w:val="22"/>
          <w:szCs w:val="22"/>
        </w:rPr>
        <w:t>loženého</w:t>
      </w:r>
      <w:r w:rsidRPr="009C5C64">
        <w:rPr>
          <w:sz w:val="22"/>
          <w:szCs w:val="22"/>
        </w:rPr>
        <w:t xml:space="preserve"> cieľového ukazovateľa, ktorým bolo klinické zlyhanie liečby, a to až do hodnotenia na záverečnej návšteve [graf 1 a tabuľka1]. Efekt liečby bol založený na 63 % znížení počtu hospitalizácií pri kombinovanej liečbe, dosiahol sa v krátkom čase a zostal zachovaný. Účinnosť kombinovanej liečby z hľadiska primárneho cieľového ukazovateľa sa preukázala aj v porovnaní s jednotlivými monoterapiami a naprieč podskupinami vytvorenými na základe veku, etnického pôvodu, geografickej oblasti, etiológie (IPAH/hPAH a PAH-CTD). Efekt liečby bol významný u pacientov vo FC II aj u pacientov vo FC III.</w:t>
      </w:r>
    </w:p>
    <w:p w14:paraId="0D98FA18" w14:textId="77777777" w:rsidR="00CE7BC3" w:rsidRPr="009C5C64" w:rsidRDefault="00CE7BC3" w:rsidP="004632AE">
      <w:pPr>
        <w:rPr>
          <w:sz w:val="22"/>
          <w:szCs w:val="22"/>
        </w:rPr>
      </w:pPr>
    </w:p>
    <w:p w14:paraId="0D98FA19" w14:textId="139ED4A2" w:rsidR="00E01DB2" w:rsidRPr="009C5C64" w:rsidRDefault="00E01DB2" w:rsidP="004632AE">
      <w:pPr>
        <w:rPr>
          <w:b/>
          <w:sz w:val="22"/>
          <w:szCs w:val="22"/>
        </w:rPr>
      </w:pPr>
    </w:p>
    <w:p w14:paraId="0D98FA1A" w14:textId="77777777" w:rsidR="00E01DB2" w:rsidRPr="009C5C64" w:rsidRDefault="00E01DB2" w:rsidP="004632AE">
      <w:pPr>
        <w:rPr>
          <w:sz w:val="22"/>
          <w:szCs w:val="22"/>
        </w:rPr>
      </w:pPr>
    </w:p>
    <w:p w14:paraId="0D98FA1B" w14:textId="4F5008D1" w:rsidR="00E01DB2" w:rsidRPr="009C5C64" w:rsidRDefault="00E01DB2" w:rsidP="004632AE">
      <w:pPr>
        <w:rPr>
          <w:sz w:val="22"/>
          <w:szCs w:val="22"/>
        </w:rPr>
      </w:pPr>
    </w:p>
    <w:p w14:paraId="0D98FA1E" w14:textId="77777777" w:rsidR="00E01DB2" w:rsidRDefault="00E01DB2" w:rsidP="004632AE">
      <w:pPr>
        <w:rPr>
          <w:sz w:val="22"/>
          <w:szCs w:val="22"/>
        </w:rPr>
      </w:pPr>
    </w:p>
    <w:p w14:paraId="6435CE4F" w14:textId="02AD1CC3" w:rsidR="00A858BC" w:rsidRPr="009C5C64" w:rsidRDefault="00EA33F6" w:rsidP="004632AE">
      <w:pPr>
        <w:rPr>
          <w:sz w:val="22"/>
          <w:szCs w:val="22"/>
        </w:rPr>
      </w:pPr>
      <w:r>
        <w:rPr>
          <w:noProof/>
          <w:lang w:eastAsia="sk-SK"/>
        </w:rPr>
        <w:pict w14:anchorId="1F470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355.5pt;height:243.75pt;visibility:visible;mso-wrap-style:square">
            <v:imagedata r:id="rId12" o:title=""/>
          </v:shape>
        </w:pict>
      </w:r>
    </w:p>
    <w:p w14:paraId="0D98FA1F" w14:textId="77777777" w:rsidR="00E01DB2" w:rsidRPr="009C5C64" w:rsidRDefault="00E01DB2" w:rsidP="00E01DB2">
      <w:pPr>
        <w:keepNext/>
        <w:keepLines/>
        <w:rPr>
          <w:b/>
          <w:sz w:val="22"/>
          <w:szCs w:val="22"/>
        </w:rPr>
      </w:pPr>
      <w:r w:rsidRPr="009C5C64">
        <w:rPr>
          <w:b/>
          <w:sz w:val="22"/>
          <w:szCs w:val="22"/>
        </w:rPr>
        <w:lastRenderedPageBreak/>
        <w:t>Tabuľka 1</w:t>
      </w:r>
    </w:p>
    <w:p w14:paraId="0D98FA20" w14:textId="77777777" w:rsidR="00E01DB2" w:rsidRPr="009C5C64" w:rsidRDefault="00E01DB2" w:rsidP="00E01DB2">
      <w:pPr>
        <w:keepNext/>
        <w:keepLines/>
        <w:rPr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1502"/>
        <w:gridCol w:w="1843"/>
        <w:gridCol w:w="1757"/>
        <w:gridCol w:w="1645"/>
      </w:tblGrid>
      <w:tr w:rsidR="00E01DB2" w:rsidRPr="009C5C64" w14:paraId="0D98FA2A" w14:textId="77777777" w:rsidTr="00E01DB2">
        <w:trPr>
          <w:trHeight w:val="676"/>
        </w:trPr>
        <w:tc>
          <w:tcPr>
            <w:tcW w:w="2717" w:type="dxa"/>
            <w:hideMark/>
          </w:tcPr>
          <w:p w14:paraId="0D98FA21" w14:textId="77777777" w:rsidR="00E01DB2" w:rsidRPr="009C5C64" w:rsidRDefault="00E01DB2" w:rsidP="00E01DB2">
            <w:pPr>
              <w:keepNext/>
              <w:keepLines/>
              <w:rPr>
                <w:sz w:val="22"/>
                <w:szCs w:val="22"/>
                <w:lang w:eastAsia="en-GB"/>
              </w:rPr>
            </w:pPr>
          </w:p>
        </w:tc>
        <w:tc>
          <w:tcPr>
            <w:tcW w:w="1502" w:type="dxa"/>
            <w:hideMark/>
          </w:tcPr>
          <w:p w14:paraId="0D98FA22" w14:textId="046C84F0" w:rsidR="00E01DB2" w:rsidRPr="00EA33F6" w:rsidRDefault="00E01DB2" w:rsidP="00E01DB2">
            <w:pPr>
              <w:keepNext/>
              <w:keepLines/>
              <w:jc w:val="center"/>
              <w:rPr>
                <w:sz w:val="22"/>
                <w:szCs w:val="22"/>
                <w:lang w:eastAsia="en-GB"/>
              </w:rPr>
            </w:pPr>
            <w:r w:rsidRPr="00EA33F6">
              <w:rPr>
                <w:b/>
                <w:bCs/>
                <w:kern w:val="24"/>
                <w:sz w:val="22"/>
                <w:szCs w:val="22"/>
                <w:lang w:eastAsia="en-GB"/>
              </w:rPr>
              <w:t>Ambrisent</w:t>
            </w:r>
            <w:r w:rsidR="00862386" w:rsidRPr="00EA33F6">
              <w:rPr>
                <w:b/>
                <w:bCs/>
                <w:kern w:val="24"/>
                <w:sz w:val="22"/>
                <w:szCs w:val="22"/>
                <w:lang w:eastAsia="en-GB"/>
              </w:rPr>
              <w:t>á</w:t>
            </w:r>
            <w:r w:rsidRPr="00EA33F6">
              <w:rPr>
                <w:b/>
                <w:bCs/>
                <w:kern w:val="24"/>
                <w:sz w:val="22"/>
                <w:szCs w:val="22"/>
                <w:lang w:eastAsia="en-GB"/>
              </w:rPr>
              <w:t>n + tadalafil</w:t>
            </w:r>
            <w:r w:rsidRPr="00EA33F6">
              <w:rPr>
                <w:kern w:val="24"/>
                <w:sz w:val="22"/>
                <w:szCs w:val="22"/>
                <w:lang w:eastAsia="en-GB"/>
              </w:rPr>
              <w:t xml:space="preserve"> </w:t>
            </w:r>
          </w:p>
          <w:p w14:paraId="0D98FA23" w14:textId="7E0946FB" w:rsidR="00E01DB2" w:rsidRPr="00EA33F6" w:rsidRDefault="00C041C6" w:rsidP="00E01DB2">
            <w:pPr>
              <w:keepNext/>
              <w:keepLines/>
              <w:jc w:val="center"/>
              <w:rPr>
                <w:sz w:val="22"/>
                <w:szCs w:val="22"/>
                <w:lang w:eastAsia="en-GB"/>
              </w:rPr>
            </w:pPr>
            <w:r w:rsidRPr="00EA33F6">
              <w:rPr>
                <w:b/>
                <w:bCs/>
                <w:kern w:val="24"/>
                <w:sz w:val="22"/>
                <w:szCs w:val="22"/>
                <w:lang w:eastAsia="en-GB"/>
              </w:rPr>
              <w:t>(n</w:t>
            </w:r>
            <w:r w:rsidR="00E01DB2" w:rsidRPr="00EA33F6">
              <w:rPr>
                <w:b/>
                <w:bCs/>
                <w:kern w:val="24"/>
                <w:sz w:val="22"/>
                <w:szCs w:val="22"/>
                <w:lang w:eastAsia="en-GB"/>
              </w:rPr>
              <w:t> = 253)</w:t>
            </w:r>
            <w:r w:rsidR="00E01DB2" w:rsidRPr="00EA33F6">
              <w:rPr>
                <w:kern w:val="24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843" w:type="dxa"/>
            <w:hideMark/>
          </w:tcPr>
          <w:p w14:paraId="0D98FA24" w14:textId="77777777" w:rsidR="00E01DB2" w:rsidRPr="00EA33F6" w:rsidRDefault="00E01DB2" w:rsidP="00E01DB2">
            <w:pPr>
              <w:keepNext/>
              <w:keepLines/>
              <w:jc w:val="center"/>
              <w:rPr>
                <w:sz w:val="22"/>
                <w:szCs w:val="22"/>
                <w:lang w:eastAsia="en-GB"/>
              </w:rPr>
            </w:pPr>
            <w:r w:rsidRPr="00EA33F6">
              <w:rPr>
                <w:b/>
                <w:bCs/>
                <w:kern w:val="24"/>
                <w:sz w:val="22"/>
                <w:szCs w:val="22"/>
                <w:lang w:eastAsia="en-GB"/>
              </w:rPr>
              <w:t>Monoterapie </w:t>
            </w:r>
            <w:r w:rsidRPr="00EA33F6">
              <w:rPr>
                <w:b/>
                <w:bCs/>
                <w:kern w:val="24"/>
                <w:sz w:val="22"/>
                <w:szCs w:val="22"/>
                <w:lang w:eastAsia="en-GB"/>
              </w:rPr>
              <w:noBreakHyphen/>
              <w:t> </w:t>
            </w:r>
            <w:r w:rsidRPr="00EA33F6">
              <w:rPr>
                <w:b/>
                <w:bCs/>
                <w:kern w:val="24"/>
                <w:sz w:val="22"/>
                <w:szCs w:val="22"/>
                <w:lang w:eastAsia="en-GB"/>
              </w:rPr>
              <w:br/>
              <w:t>súhrnne</w:t>
            </w:r>
          </w:p>
          <w:p w14:paraId="0D98FA25" w14:textId="06C891E4" w:rsidR="00E01DB2" w:rsidRPr="00EA33F6" w:rsidRDefault="00C041C6" w:rsidP="00E01DB2">
            <w:pPr>
              <w:keepNext/>
              <w:keepLines/>
              <w:jc w:val="center"/>
              <w:rPr>
                <w:sz w:val="22"/>
                <w:szCs w:val="22"/>
                <w:lang w:eastAsia="en-GB"/>
              </w:rPr>
            </w:pPr>
            <w:r w:rsidRPr="00EA33F6">
              <w:rPr>
                <w:b/>
                <w:bCs/>
                <w:kern w:val="24"/>
                <w:sz w:val="22"/>
                <w:szCs w:val="22"/>
                <w:lang w:eastAsia="en-GB"/>
              </w:rPr>
              <w:t>(n</w:t>
            </w:r>
            <w:r w:rsidR="00E01DB2" w:rsidRPr="00EA33F6">
              <w:rPr>
                <w:b/>
                <w:bCs/>
                <w:kern w:val="24"/>
                <w:sz w:val="22"/>
                <w:szCs w:val="22"/>
                <w:lang w:eastAsia="en-GB"/>
              </w:rPr>
              <w:t> = 247)</w:t>
            </w:r>
            <w:r w:rsidR="00E01DB2" w:rsidRPr="00EA33F6">
              <w:rPr>
                <w:kern w:val="24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57" w:type="dxa"/>
          </w:tcPr>
          <w:p w14:paraId="0D98FA26" w14:textId="5234AFAC" w:rsidR="00E01DB2" w:rsidRPr="00EA33F6" w:rsidRDefault="00E01DB2" w:rsidP="00E01DB2">
            <w:pPr>
              <w:keepNext/>
              <w:keepLines/>
              <w:jc w:val="center"/>
              <w:rPr>
                <w:b/>
                <w:bCs/>
                <w:kern w:val="24"/>
                <w:sz w:val="22"/>
                <w:szCs w:val="22"/>
                <w:lang w:eastAsia="en-GB"/>
              </w:rPr>
            </w:pPr>
            <w:r w:rsidRPr="00EA33F6">
              <w:rPr>
                <w:b/>
                <w:bCs/>
                <w:kern w:val="24"/>
                <w:sz w:val="22"/>
                <w:szCs w:val="22"/>
                <w:lang w:eastAsia="en-GB"/>
              </w:rPr>
              <w:t>Ambrisent</w:t>
            </w:r>
            <w:r w:rsidR="00862386" w:rsidRPr="00EA33F6">
              <w:rPr>
                <w:b/>
                <w:bCs/>
                <w:kern w:val="24"/>
                <w:sz w:val="22"/>
                <w:szCs w:val="22"/>
                <w:lang w:eastAsia="en-GB"/>
              </w:rPr>
              <w:t>á</w:t>
            </w:r>
            <w:r w:rsidRPr="00EA33F6">
              <w:rPr>
                <w:b/>
                <w:bCs/>
                <w:kern w:val="24"/>
                <w:sz w:val="22"/>
                <w:szCs w:val="22"/>
                <w:lang w:eastAsia="en-GB"/>
              </w:rPr>
              <w:t>n v monoterapii</w:t>
            </w:r>
          </w:p>
          <w:p w14:paraId="0D98FA27" w14:textId="07858AE6" w:rsidR="00E01DB2" w:rsidRPr="00EA33F6" w:rsidRDefault="00C041C6" w:rsidP="00E01DB2">
            <w:pPr>
              <w:keepNext/>
              <w:keepLines/>
              <w:jc w:val="center"/>
              <w:rPr>
                <w:b/>
                <w:bCs/>
                <w:kern w:val="24"/>
                <w:sz w:val="22"/>
                <w:szCs w:val="22"/>
                <w:lang w:eastAsia="en-GB"/>
              </w:rPr>
            </w:pPr>
            <w:r w:rsidRPr="00EA33F6">
              <w:rPr>
                <w:b/>
                <w:bCs/>
                <w:kern w:val="24"/>
                <w:sz w:val="22"/>
                <w:szCs w:val="22"/>
                <w:lang w:eastAsia="en-GB"/>
              </w:rPr>
              <w:t>(n</w:t>
            </w:r>
            <w:r w:rsidR="00E01DB2" w:rsidRPr="00EA33F6">
              <w:rPr>
                <w:b/>
                <w:bCs/>
                <w:kern w:val="24"/>
                <w:sz w:val="22"/>
                <w:szCs w:val="22"/>
                <w:lang w:eastAsia="en-GB"/>
              </w:rPr>
              <w:t> = 126)</w:t>
            </w:r>
          </w:p>
        </w:tc>
        <w:tc>
          <w:tcPr>
            <w:tcW w:w="1645" w:type="dxa"/>
          </w:tcPr>
          <w:p w14:paraId="0D98FA28" w14:textId="77777777" w:rsidR="00E01DB2" w:rsidRPr="00EA33F6" w:rsidRDefault="00E01DB2" w:rsidP="00E01DB2">
            <w:pPr>
              <w:keepNext/>
              <w:keepLines/>
              <w:jc w:val="center"/>
              <w:rPr>
                <w:b/>
                <w:bCs/>
                <w:kern w:val="24"/>
                <w:sz w:val="22"/>
                <w:szCs w:val="22"/>
                <w:lang w:eastAsia="en-GB"/>
              </w:rPr>
            </w:pPr>
            <w:r w:rsidRPr="00EA33F6">
              <w:rPr>
                <w:b/>
                <w:bCs/>
                <w:kern w:val="24"/>
                <w:sz w:val="22"/>
                <w:szCs w:val="22"/>
                <w:lang w:eastAsia="en-GB"/>
              </w:rPr>
              <w:t>Tadalafil v monoterapii</w:t>
            </w:r>
          </w:p>
          <w:p w14:paraId="0D98FA29" w14:textId="6E1D76CB" w:rsidR="00E01DB2" w:rsidRPr="00EA33F6" w:rsidRDefault="00C041C6" w:rsidP="00E01DB2">
            <w:pPr>
              <w:keepNext/>
              <w:keepLines/>
              <w:jc w:val="center"/>
              <w:rPr>
                <w:b/>
                <w:bCs/>
                <w:kern w:val="24"/>
                <w:sz w:val="22"/>
                <w:szCs w:val="22"/>
                <w:lang w:eastAsia="en-GB"/>
              </w:rPr>
            </w:pPr>
            <w:r w:rsidRPr="00EA33F6">
              <w:rPr>
                <w:b/>
                <w:bCs/>
                <w:kern w:val="24"/>
                <w:sz w:val="22"/>
                <w:szCs w:val="22"/>
                <w:lang w:eastAsia="en-GB"/>
              </w:rPr>
              <w:t>(n</w:t>
            </w:r>
            <w:r w:rsidR="00E01DB2" w:rsidRPr="00EA33F6">
              <w:rPr>
                <w:b/>
                <w:bCs/>
                <w:kern w:val="24"/>
                <w:sz w:val="22"/>
                <w:szCs w:val="22"/>
                <w:lang w:eastAsia="en-GB"/>
              </w:rPr>
              <w:t> = 121)</w:t>
            </w:r>
          </w:p>
        </w:tc>
      </w:tr>
      <w:tr w:rsidR="00E01DB2" w:rsidRPr="009C5C64" w14:paraId="0D98FA2C" w14:textId="77777777" w:rsidTr="00E01DB2">
        <w:trPr>
          <w:trHeight w:val="106"/>
        </w:trPr>
        <w:tc>
          <w:tcPr>
            <w:tcW w:w="9464" w:type="dxa"/>
            <w:gridSpan w:val="5"/>
            <w:hideMark/>
          </w:tcPr>
          <w:p w14:paraId="0D98FA2B" w14:textId="77777777" w:rsidR="00E01DB2" w:rsidRPr="009C5C64" w:rsidRDefault="00E01DB2" w:rsidP="00E01DB2">
            <w:pPr>
              <w:keepNext/>
              <w:keepLines/>
              <w:spacing w:before="120" w:after="120" w:line="106" w:lineRule="atLeast"/>
              <w:rPr>
                <w:b/>
                <w:bCs/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b/>
                <w:bCs/>
                <w:kern w:val="24"/>
                <w:sz w:val="22"/>
                <w:szCs w:val="22"/>
                <w:lang w:eastAsia="en-GB"/>
              </w:rPr>
              <w:t>Čas do prvej príhody klinického zlyhania liečby (formálne posúdenej)</w:t>
            </w:r>
          </w:p>
        </w:tc>
      </w:tr>
      <w:tr w:rsidR="00E01DB2" w:rsidRPr="009C5C64" w14:paraId="0D98FA32" w14:textId="77777777" w:rsidTr="00E01DB2">
        <w:trPr>
          <w:trHeight w:val="210"/>
        </w:trPr>
        <w:tc>
          <w:tcPr>
            <w:tcW w:w="2717" w:type="dxa"/>
            <w:hideMark/>
          </w:tcPr>
          <w:p w14:paraId="0D98FA2D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Klinické zlyhanie liečby, počet (%)</w:t>
            </w:r>
          </w:p>
        </w:tc>
        <w:tc>
          <w:tcPr>
            <w:tcW w:w="1502" w:type="dxa"/>
            <w:hideMark/>
          </w:tcPr>
          <w:p w14:paraId="0D98FA2E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46 (18 %)</w:t>
            </w:r>
          </w:p>
        </w:tc>
        <w:tc>
          <w:tcPr>
            <w:tcW w:w="1843" w:type="dxa"/>
            <w:hideMark/>
          </w:tcPr>
          <w:p w14:paraId="0D98FA2F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77 (31 %)</w:t>
            </w:r>
          </w:p>
        </w:tc>
        <w:tc>
          <w:tcPr>
            <w:tcW w:w="1757" w:type="dxa"/>
          </w:tcPr>
          <w:p w14:paraId="0D98FA30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43 (34)</w:t>
            </w:r>
          </w:p>
        </w:tc>
        <w:tc>
          <w:tcPr>
            <w:tcW w:w="1645" w:type="dxa"/>
          </w:tcPr>
          <w:p w14:paraId="0D98FA31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34 (28)</w:t>
            </w:r>
          </w:p>
        </w:tc>
      </w:tr>
      <w:tr w:rsidR="00E01DB2" w:rsidRPr="009C5C64" w14:paraId="0D98FA3B" w14:textId="77777777" w:rsidTr="00E01DB2">
        <w:trPr>
          <w:trHeight w:val="210"/>
        </w:trPr>
        <w:tc>
          <w:tcPr>
            <w:tcW w:w="2717" w:type="dxa"/>
            <w:hideMark/>
          </w:tcPr>
          <w:p w14:paraId="0D98FA33" w14:textId="4A443413" w:rsidR="00E01DB2" w:rsidRPr="009C5C64" w:rsidRDefault="0064628D" w:rsidP="00E01DB2">
            <w:pPr>
              <w:keepNext/>
              <w:keepLines/>
              <w:spacing w:before="60" w:after="60" w:line="210" w:lineRule="atLeast"/>
              <w:rPr>
                <w:sz w:val="22"/>
                <w:szCs w:val="22"/>
                <w:lang w:eastAsia="en-GB"/>
              </w:rPr>
            </w:pPr>
            <w:r>
              <w:rPr>
                <w:kern w:val="24"/>
                <w:sz w:val="22"/>
                <w:szCs w:val="22"/>
                <w:lang w:eastAsia="en-GB"/>
              </w:rPr>
              <w:t>Pomer rizika</w:t>
            </w:r>
            <w:r w:rsidR="00E01DB2" w:rsidRPr="009C5C64">
              <w:rPr>
                <w:kern w:val="24"/>
                <w:sz w:val="22"/>
                <w:szCs w:val="22"/>
                <w:lang w:eastAsia="en-GB"/>
              </w:rPr>
              <w:t xml:space="preserve"> (95 % IS)</w:t>
            </w:r>
          </w:p>
        </w:tc>
        <w:tc>
          <w:tcPr>
            <w:tcW w:w="1502" w:type="dxa"/>
            <w:hideMark/>
          </w:tcPr>
          <w:p w14:paraId="0D98FA34" w14:textId="77777777" w:rsidR="00E01DB2" w:rsidRPr="009C5C64" w:rsidRDefault="00E01DB2" w:rsidP="00E01DB2">
            <w:pPr>
              <w:keepNext/>
              <w:keepLines/>
              <w:rPr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hideMark/>
          </w:tcPr>
          <w:p w14:paraId="0D98FA35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0,502</w:t>
            </w:r>
          </w:p>
          <w:p w14:paraId="0D98FA36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(0,348; 0,724)</w:t>
            </w:r>
          </w:p>
        </w:tc>
        <w:tc>
          <w:tcPr>
            <w:tcW w:w="1757" w:type="dxa"/>
          </w:tcPr>
          <w:p w14:paraId="0D98FA37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0,477</w:t>
            </w:r>
          </w:p>
          <w:p w14:paraId="0D98FA38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(0,314; 0,723)</w:t>
            </w:r>
          </w:p>
        </w:tc>
        <w:tc>
          <w:tcPr>
            <w:tcW w:w="1645" w:type="dxa"/>
          </w:tcPr>
          <w:p w14:paraId="0D98FA39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0,528</w:t>
            </w:r>
          </w:p>
          <w:p w14:paraId="0D98FA3A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(0,338; 0,827)</w:t>
            </w:r>
          </w:p>
        </w:tc>
      </w:tr>
      <w:tr w:rsidR="00E01DB2" w:rsidRPr="009C5C64" w14:paraId="0D98FA41" w14:textId="77777777" w:rsidTr="00E01DB2">
        <w:trPr>
          <w:trHeight w:val="210"/>
        </w:trPr>
        <w:tc>
          <w:tcPr>
            <w:tcW w:w="2717" w:type="dxa"/>
            <w:hideMark/>
          </w:tcPr>
          <w:p w14:paraId="0D98FA3C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p</w:t>
            </w:r>
            <w:r w:rsidRPr="009C5C64">
              <w:rPr>
                <w:kern w:val="24"/>
                <w:sz w:val="22"/>
                <w:szCs w:val="22"/>
                <w:lang w:eastAsia="en-GB"/>
              </w:rPr>
              <w:noBreakHyphen/>
              <w:t>hodnota, log</w:t>
            </w:r>
            <w:r w:rsidRPr="009C5C64">
              <w:rPr>
                <w:kern w:val="24"/>
                <w:sz w:val="22"/>
                <w:szCs w:val="22"/>
                <w:lang w:eastAsia="en-GB"/>
              </w:rPr>
              <w:noBreakHyphen/>
              <w:t>rank test</w:t>
            </w:r>
          </w:p>
        </w:tc>
        <w:tc>
          <w:tcPr>
            <w:tcW w:w="1502" w:type="dxa"/>
            <w:hideMark/>
          </w:tcPr>
          <w:p w14:paraId="0D98FA3D" w14:textId="77777777" w:rsidR="00E01DB2" w:rsidRPr="009C5C64" w:rsidRDefault="00E01DB2" w:rsidP="00E01DB2">
            <w:pPr>
              <w:keepNext/>
              <w:keepLines/>
              <w:rPr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hideMark/>
          </w:tcPr>
          <w:p w14:paraId="0D98FA3E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0,0002</w:t>
            </w:r>
          </w:p>
        </w:tc>
        <w:tc>
          <w:tcPr>
            <w:tcW w:w="1757" w:type="dxa"/>
          </w:tcPr>
          <w:p w14:paraId="0D98FA3F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0,0004</w:t>
            </w:r>
          </w:p>
        </w:tc>
        <w:tc>
          <w:tcPr>
            <w:tcW w:w="1645" w:type="dxa"/>
          </w:tcPr>
          <w:p w14:paraId="0D98FA40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0,0045</w:t>
            </w:r>
          </w:p>
        </w:tc>
      </w:tr>
      <w:tr w:rsidR="00E01DB2" w:rsidRPr="009C5C64" w14:paraId="0D98FA43" w14:textId="77777777" w:rsidTr="00E01DB2">
        <w:trPr>
          <w:trHeight w:val="106"/>
        </w:trPr>
        <w:tc>
          <w:tcPr>
            <w:tcW w:w="9464" w:type="dxa"/>
            <w:gridSpan w:val="5"/>
            <w:hideMark/>
          </w:tcPr>
          <w:p w14:paraId="0D98FA42" w14:textId="358E8788" w:rsidR="00E01DB2" w:rsidRPr="009C5C64" w:rsidRDefault="00E01DB2" w:rsidP="007D725A">
            <w:pPr>
              <w:keepNext/>
              <w:keepLines/>
              <w:spacing w:before="120" w:after="120" w:line="106" w:lineRule="atLeast"/>
              <w:rPr>
                <w:b/>
                <w:bCs/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b/>
                <w:bCs/>
                <w:kern w:val="24"/>
                <w:sz w:val="22"/>
                <w:szCs w:val="22"/>
                <w:lang w:eastAsia="en-GB"/>
              </w:rPr>
              <w:t xml:space="preserve">Zložky tvoriace prvú príhodu klinického zlyhania </w:t>
            </w:r>
            <w:r w:rsidRPr="007D725A">
              <w:rPr>
                <w:b/>
                <w:bCs/>
                <w:kern w:val="24"/>
                <w:sz w:val="22"/>
                <w:szCs w:val="22"/>
                <w:lang w:eastAsia="en-GB"/>
              </w:rPr>
              <w:t>liečby (</w:t>
            </w:r>
            <w:r w:rsidR="007D725A" w:rsidRPr="007D725A">
              <w:rPr>
                <w:b/>
                <w:bCs/>
                <w:kern w:val="24"/>
                <w:sz w:val="22"/>
                <w:szCs w:val="22"/>
                <w:lang w:eastAsia="en-GB"/>
              </w:rPr>
              <w:t>určené</w:t>
            </w:r>
            <w:r w:rsidRPr="007D725A">
              <w:rPr>
                <w:b/>
                <w:bCs/>
                <w:kern w:val="24"/>
                <w:sz w:val="22"/>
                <w:szCs w:val="22"/>
                <w:lang w:eastAsia="en-GB"/>
              </w:rPr>
              <w:t>)</w:t>
            </w:r>
          </w:p>
        </w:tc>
      </w:tr>
      <w:tr w:rsidR="00E01DB2" w:rsidRPr="009C5C64" w14:paraId="0D98FA49" w14:textId="77777777" w:rsidTr="00E01DB2">
        <w:trPr>
          <w:trHeight w:val="106"/>
        </w:trPr>
        <w:tc>
          <w:tcPr>
            <w:tcW w:w="2717" w:type="dxa"/>
            <w:hideMark/>
          </w:tcPr>
          <w:p w14:paraId="0D98FA44" w14:textId="77777777" w:rsidR="00E01DB2" w:rsidRPr="009C5C64" w:rsidRDefault="00E01DB2" w:rsidP="00E01DB2">
            <w:pPr>
              <w:keepNext/>
              <w:keepLines/>
              <w:spacing w:before="60" w:after="60" w:line="106" w:lineRule="atLeast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 xml:space="preserve">Smrť (z akýchkoľvek príčin) </w:t>
            </w:r>
          </w:p>
        </w:tc>
        <w:tc>
          <w:tcPr>
            <w:tcW w:w="1502" w:type="dxa"/>
            <w:hideMark/>
          </w:tcPr>
          <w:p w14:paraId="0D98FA45" w14:textId="77777777" w:rsidR="00E01DB2" w:rsidRPr="009C5C64" w:rsidRDefault="00E01DB2" w:rsidP="00E01DB2">
            <w:pPr>
              <w:keepNext/>
              <w:keepLines/>
              <w:spacing w:before="60" w:after="60" w:line="106" w:lineRule="atLeast"/>
              <w:jc w:val="center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9 (4 %)</w:t>
            </w:r>
          </w:p>
        </w:tc>
        <w:tc>
          <w:tcPr>
            <w:tcW w:w="1843" w:type="dxa"/>
            <w:hideMark/>
          </w:tcPr>
          <w:p w14:paraId="0D98FA46" w14:textId="77777777" w:rsidR="00E01DB2" w:rsidRPr="009C5C64" w:rsidRDefault="00E01DB2" w:rsidP="00E01DB2">
            <w:pPr>
              <w:keepNext/>
              <w:keepLines/>
              <w:spacing w:before="60" w:after="60" w:line="106" w:lineRule="atLeast"/>
              <w:jc w:val="center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8 (3 %)</w:t>
            </w:r>
          </w:p>
        </w:tc>
        <w:tc>
          <w:tcPr>
            <w:tcW w:w="1757" w:type="dxa"/>
          </w:tcPr>
          <w:p w14:paraId="0D98FA47" w14:textId="77777777" w:rsidR="00E01DB2" w:rsidRPr="009C5C64" w:rsidRDefault="00E01DB2" w:rsidP="00E01DB2">
            <w:pPr>
              <w:keepNext/>
              <w:keepLines/>
              <w:spacing w:before="60" w:after="60" w:line="106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2 (2)</w:t>
            </w:r>
          </w:p>
        </w:tc>
        <w:tc>
          <w:tcPr>
            <w:tcW w:w="1645" w:type="dxa"/>
          </w:tcPr>
          <w:p w14:paraId="0D98FA48" w14:textId="77777777" w:rsidR="00E01DB2" w:rsidRPr="009C5C64" w:rsidRDefault="00E01DB2" w:rsidP="00E01DB2">
            <w:pPr>
              <w:keepNext/>
              <w:keepLines/>
              <w:spacing w:before="60" w:after="60" w:line="106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6 (5)</w:t>
            </w:r>
          </w:p>
        </w:tc>
      </w:tr>
      <w:tr w:rsidR="00E01DB2" w:rsidRPr="009C5C64" w14:paraId="0D98FA4F" w14:textId="77777777" w:rsidTr="00E01DB2">
        <w:trPr>
          <w:trHeight w:val="316"/>
        </w:trPr>
        <w:tc>
          <w:tcPr>
            <w:tcW w:w="2717" w:type="dxa"/>
            <w:hideMark/>
          </w:tcPr>
          <w:p w14:paraId="0D98FA4A" w14:textId="77777777" w:rsidR="00E01DB2" w:rsidRPr="009C5C64" w:rsidRDefault="00E01DB2" w:rsidP="00E01DB2">
            <w:pPr>
              <w:keepNext/>
              <w:keepLines/>
              <w:spacing w:before="60" w:after="60" w:line="316" w:lineRule="atLeast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 xml:space="preserve">Hospitalizácia z dôvodu zhoršujúcej sa PAH </w:t>
            </w:r>
          </w:p>
        </w:tc>
        <w:tc>
          <w:tcPr>
            <w:tcW w:w="1502" w:type="dxa"/>
            <w:hideMark/>
          </w:tcPr>
          <w:p w14:paraId="0D98FA4B" w14:textId="77777777" w:rsidR="00E01DB2" w:rsidRPr="009C5C64" w:rsidRDefault="00E01DB2" w:rsidP="00E01DB2">
            <w:pPr>
              <w:keepNext/>
              <w:keepLines/>
              <w:spacing w:before="60" w:after="60" w:line="316" w:lineRule="atLeast"/>
              <w:jc w:val="center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10 (4 %)</w:t>
            </w:r>
          </w:p>
        </w:tc>
        <w:tc>
          <w:tcPr>
            <w:tcW w:w="1843" w:type="dxa"/>
            <w:hideMark/>
          </w:tcPr>
          <w:p w14:paraId="0D98FA4C" w14:textId="77777777" w:rsidR="00E01DB2" w:rsidRPr="009C5C64" w:rsidRDefault="00E01DB2" w:rsidP="00E01DB2">
            <w:pPr>
              <w:keepNext/>
              <w:keepLines/>
              <w:spacing w:before="60" w:after="60" w:line="316" w:lineRule="atLeast"/>
              <w:jc w:val="center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30 (12 %)</w:t>
            </w:r>
          </w:p>
        </w:tc>
        <w:tc>
          <w:tcPr>
            <w:tcW w:w="1757" w:type="dxa"/>
          </w:tcPr>
          <w:p w14:paraId="0D98FA4D" w14:textId="77777777" w:rsidR="00E01DB2" w:rsidRPr="009C5C64" w:rsidRDefault="00E01DB2" w:rsidP="00E01DB2">
            <w:pPr>
              <w:keepNext/>
              <w:keepLines/>
              <w:spacing w:before="60" w:after="60" w:line="316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18 (14)</w:t>
            </w:r>
          </w:p>
        </w:tc>
        <w:tc>
          <w:tcPr>
            <w:tcW w:w="1645" w:type="dxa"/>
          </w:tcPr>
          <w:p w14:paraId="0D98FA4E" w14:textId="77777777" w:rsidR="00E01DB2" w:rsidRPr="009C5C64" w:rsidRDefault="00E01DB2" w:rsidP="00E01DB2">
            <w:pPr>
              <w:keepNext/>
              <w:keepLines/>
              <w:spacing w:before="60" w:after="60" w:line="316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12 (10)</w:t>
            </w:r>
          </w:p>
        </w:tc>
      </w:tr>
      <w:tr w:rsidR="00E01DB2" w:rsidRPr="009C5C64" w14:paraId="0D98FA55" w14:textId="77777777" w:rsidTr="00E01DB2">
        <w:trPr>
          <w:trHeight w:val="210"/>
        </w:trPr>
        <w:tc>
          <w:tcPr>
            <w:tcW w:w="2717" w:type="dxa"/>
            <w:hideMark/>
          </w:tcPr>
          <w:p w14:paraId="0D98FA50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 xml:space="preserve">Progresia ochorenia </w:t>
            </w:r>
          </w:p>
        </w:tc>
        <w:tc>
          <w:tcPr>
            <w:tcW w:w="1502" w:type="dxa"/>
            <w:hideMark/>
          </w:tcPr>
          <w:p w14:paraId="0D98FA51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10 (4 %)</w:t>
            </w:r>
          </w:p>
        </w:tc>
        <w:tc>
          <w:tcPr>
            <w:tcW w:w="1843" w:type="dxa"/>
            <w:hideMark/>
          </w:tcPr>
          <w:p w14:paraId="0D98FA52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16 (6 %)</w:t>
            </w:r>
          </w:p>
        </w:tc>
        <w:tc>
          <w:tcPr>
            <w:tcW w:w="1757" w:type="dxa"/>
          </w:tcPr>
          <w:p w14:paraId="0D98FA53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12 (10)</w:t>
            </w:r>
          </w:p>
        </w:tc>
        <w:tc>
          <w:tcPr>
            <w:tcW w:w="1645" w:type="dxa"/>
          </w:tcPr>
          <w:p w14:paraId="0D98FA54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4 (3)</w:t>
            </w:r>
          </w:p>
        </w:tc>
      </w:tr>
      <w:tr w:rsidR="00E01DB2" w:rsidRPr="009C5C64" w14:paraId="0D98FA5B" w14:textId="77777777" w:rsidTr="00E01DB2">
        <w:trPr>
          <w:trHeight w:val="316"/>
        </w:trPr>
        <w:tc>
          <w:tcPr>
            <w:tcW w:w="2717" w:type="dxa"/>
            <w:hideMark/>
          </w:tcPr>
          <w:p w14:paraId="0D98FA56" w14:textId="77777777" w:rsidR="00E01DB2" w:rsidRPr="009C5C64" w:rsidRDefault="00E01DB2" w:rsidP="00E01DB2">
            <w:pPr>
              <w:keepNext/>
              <w:keepLines/>
              <w:spacing w:before="60" w:after="60" w:line="316" w:lineRule="atLeast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Neuspokojivá dlhodobá klinická odpoveď na liečbu</w:t>
            </w:r>
          </w:p>
        </w:tc>
        <w:tc>
          <w:tcPr>
            <w:tcW w:w="1502" w:type="dxa"/>
            <w:hideMark/>
          </w:tcPr>
          <w:p w14:paraId="0D98FA57" w14:textId="77777777" w:rsidR="00E01DB2" w:rsidRPr="009C5C64" w:rsidRDefault="00E01DB2" w:rsidP="00E01DB2">
            <w:pPr>
              <w:keepNext/>
              <w:keepLines/>
              <w:spacing w:before="60" w:after="60" w:line="316" w:lineRule="atLeast"/>
              <w:jc w:val="center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17 (7 %)</w:t>
            </w:r>
          </w:p>
        </w:tc>
        <w:tc>
          <w:tcPr>
            <w:tcW w:w="1843" w:type="dxa"/>
            <w:hideMark/>
          </w:tcPr>
          <w:p w14:paraId="0D98FA58" w14:textId="77777777" w:rsidR="00E01DB2" w:rsidRPr="009C5C64" w:rsidRDefault="00E01DB2" w:rsidP="00E01DB2">
            <w:pPr>
              <w:keepNext/>
              <w:keepLines/>
              <w:spacing w:before="60" w:after="60" w:line="316" w:lineRule="atLeast"/>
              <w:jc w:val="center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23 (9 %)</w:t>
            </w:r>
          </w:p>
        </w:tc>
        <w:tc>
          <w:tcPr>
            <w:tcW w:w="1757" w:type="dxa"/>
          </w:tcPr>
          <w:p w14:paraId="0D98FA59" w14:textId="77777777" w:rsidR="00E01DB2" w:rsidRPr="009C5C64" w:rsidRDefault="00E01DB2" w:rsidP="00E01DB2">
            <w:pPr>
              <w:keepNext/>
              <w:keepLines/>
              <w:spacing w:before="60" w:after="60" w:line="316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11 (9)</w:t>
            </w:r>
          </w:p>
        </w:tc>
        <w:tc>
          <w:tcPr>
            <w:tcW w:w="1645" w:type="dxa"/>
          </w:tcPr>
          <w:p w14:paraId="0D98FA5A" w14:textId="77777777" w:rsidR="00E01DB2" w:rsidRPr="009C5C64" w:rsidRDefault="00E01DB2" w:rsidP="00E01DB2">
            <w:pPr>
              <w:keepNext/>
              <w:keepLines/>
              <w:spacing w:before="60" w:after="60" w:line="316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12 (10)</w:t>
            </w:r>
          </w:p>
        </w:tc>
      </w:tr>
      <w:tr w:rsidR="00E01DB2" w:rsidRPr="009C5C64" w14:paraId="0D98FA5D" w14:textId="77777777" w:rsidTr="00E01DB2">
        <w:trPr>
          <w:trHeight w:val="210"/>
        </w:trPr>
        <w:tc>
          <w:tcPr>
            <w:tcW w:w="9464" w:type="dxa"/>
            <w:gridSpan w:val="5"/>
            <w:hideMark/>
          </w:tcPr>
          <w:p w14:paraId="0D98FA5C" w14:textId="37F242F3" w:rsidR="00E01DB2" w:rsidRPr="009C5C64" w:rsidRDefault="00E01DB2" w:rsidP="007D725A">
            <w:pPr>
              <w:keepNext/>
              <w:keepLines/>
              <w:spacing w:before="120" w:after="120" w:line="210" w:lineRule="atLeast"/>
              <w:rPr>
                <w:b/>
                <w:bCs/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b/>
                <w:bCs/>
                <w:kern w:val="24"/>
                <w:sz w:val="22"/>
                <w:szCs w:val="22"/>
                <w:lang w:eastAsia="en-GB"/>
              </w:rPr>
              <w:t xml:space="preserve">Čas do prvej hospitalizácie z dôvodu zhoršujúcej sa </w:t>
            </w:r>
            <w:r w:rsidRPr="007D725A">
              <w:rPr>
                <w:b/>
                <w:bCs/>
                <w:kern w:val="24"/>
                <w:sz w:val="22"/>
                <w:szCs w:val="22"/>
                <w:lang w:eastAsia="en-GB"/>
              </w:rPr>
              <w:t>PAH (</w:t>
            </w:r>
            <w:r w:rsidR="007D725A" w:rsidRPr="00AA0051">
              <w:rPr>
                <w:b/>
                <w:bCs/>
                <w:kern w:val="24"/>
                <w:sz w:val="22"/>
                <w:szCs w:val="22"/>
                <w:lang w:eastAsia="en-GB"/>
              </w:rPr>
              <w:t>určené</w:t>
            </w:r>
            <w:r w:rsidRPr="00317E88">
              <w:rPr>
                <w:b/>
                <w:bCs/>
                <w:kern w:val="24"/>
                <w:sz w:val="22"/>
                <w:szCs w:val="22"/>
                <w:lang w:eastAsia="en-GB"/>
              </w:rPr>
              <w:t>)</w:t>
            </w:r>
            <w:r w:rsidRPr="009C5C64">
              <w:rPr>
                <w:kern w:val="24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E01DB2" w:rsidRPr="009C5C64" w14:paraId="0D98FA63" w14:textId="77777777" w:rsidTr="00E01DB2">
        <w:trPr>
          <w:trHeight w:val="210"/>
        </w:trPr>
        <w:tc>
          <w:tcPr>
            <w:tcW w:w="2717" w:type="dxa"/>
            <w:hideMark/>
          </w:tcPr>
          <w:p w14:paraId="0D98FA5E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 xml:space="preserve">Prvá hospitalizácia, počet (%) </w:t>
            </w:r>
          </w:p>
        </w:tc>
        <w:tc>
          <w:tcPr>
            <w:tcW w:w="1502" w:type="dxa"/>
            <w:hideMark/>
          </w:tcPr>
          <w:p w14:paraId="0D98FA5F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19 (8 %)</w:t>
            </w:r>
          </w:p>
        </w:tc>
        <w:tc>
          <w:tcPr>
            <w:tcW w:w="1843" w:type="dxa"/>
            <w:hideMark/>
          </w:tcPr>
          <w:p w14:paraId="0D98FA60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44 (18 %)</w:t>
            </w:r>
          </w:p>
        </w:tc>
        <w:tc>
          <w:tcPr>
            <w:tcW w:w="1757" w:type="dxa"/>
          </w:tcPr>
          <w:p w14:paraId="0D98FA61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27 (21 %)</w:t>
            </w:r>
          </w:p>
        </w:tc>
        <w:tc>
          <w:tcPr>
            <w:tcW w:w="1645" w:type="dxa"/>
          </w:tcPr>
          <w:p w14:paraId="0D98FA62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17 (14 %)</w:t>
            </w:r>
          </w:p>
        </w:tc>
      </w:tr>
      <w:tr w:rsidR="00E01DB2" w:rsidRPr="009C5C64" w14:paraId="0D98FA69" w14:textId="77777777" w:rsidTr="00E01DB2">
        <w:trPr>
          <w:trHeight w:val="210"/>
        </w:trPr>
        <w:tc>
          <w:tcPr>
            <w:tcW w:w="2717" w:type="dxa"/>
            <w:hideMark/>
          </w:tcPr>
          <w:p w14:paraId="0D98FA64" w14:textId="63FF363F" w:rsidR="00E01DB2" w:rsidRPr="009C5C64" w:rsidRDefault="0064628D" w:rsidP="00E01DB2">
            <w:pPr>
              <w:keepNext/>
              <w:keepLines/>
              <w:spacing w:before="60" w:after="60" w:line="210" w:lineRule="atLeast"/>
              <w:rPr>
                <w:sz w:val="22"/>
                <w:szCs w:val="22"/>
                <w:lang w:eastAsia="en-GB"/>
              </w:rPr>
            </w:pPr>
            <w:r>
              <w:rPr>
                <w:kern w:val="24"/>
                <w:sz w:val="22"/>
                <w:szCs w:val="22"/>
                <w:lang w:eastAsia="en-GB"/>
              </w:rPr>
              <w:t>Pomer rizika</w:t>
            </w:r>
            <w:r w:rsidR="00E01DB2" w:rsidRPr="009C5C64">
              <w:rPr>
                <w:kern w:val="24"/>
                <w:sz w:val="22"/>
                <w:szCs w:val="22"/>
                <w:lang w:eastAsia="en-GB"/>
              </w:rPr>
              <w:t xml:space="preserve"> (95 % IS)</w:t>
            </w:r>
          </w:p>
        </w:tc>
        <w:tc>
          <w:tcPr>
            <w:tcW w:w="1502" w:type="dxa"/>
            <w:hideMark/>
          </w:tcPr>
          <w:p w14:paraId="0D98FA65" w14:textId="77777777" w:rsidR="00E01DB2" w:rsidRPr="009C5C64" w:rsidRDefault="00E01DB2" w:rsidP="00E01DB2">
            <w:pPr>
              <w:keepNext/>
              <w:keepLines/>
              <w:rPr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hideMark/>
          </w:tcPr>
          <w:p w14:paraId="0D98FA66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0,372</w:t>
            </w:r>
          </w:p>
        </w:tc>
        <w:tc>
          <w:tcPr>
            <w:tcW w:w="1757" w:type="dxa"/>
          </w:tcPr>
          <w:p w14:paraId="0D98FA67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0,323</w:t>
            </w:r>
          </w:p>
        </w:tc>
        <w:tc>
          <w:tcPr>
            <w:tcW w:w="1645" w:type="dxa"/>
          </w:tcPr>
          <w:p w14:paraId="0D98FA68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0,442</w:t>
            </w:r>
          </w:p>
        </w:tc>
      </w:tr>
      <w:tr w:rsidR="00E01DB2" w:rsidRPr="009C5C64" w14:paraId="0D98FA6F" w14:textId="77777777" w:rsidTr="00E01DB2">
        <w:trPr>
          <w:trHeight w:val="210"/>
        </w:trPr>
        <w:tc>
          <w:tcPr>
            <w:tcW w:w="2717" w:type="dxa"/>
            <w:hideMark/>
          </w:tcPr>
          <w:p w14:paraId="0D98FA6A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p</w:t>
            </w:r>
            <w:r w:rsidRPr="009C5C64">
              <w:rPr>
                <w:kern w:val="24"/>
                <w:sz w:val="22"/>
                <w:szCs w:val="22"/>
                <w:lang w:eastAsia="en-GB"/>
              </w:rPr>
              <w:noBreakHyphen/>
              <w:t>hodnota, log</w:t>
            </w:r>
            <w:r w:rsidRPr="009C5C64">
              <w:rPr>
                <w:kern w:val="24"/>
                <w:sz w:val="22"/>
                <w:szCs w:val="22"/>
                <w:lang w:eastAsia="en-GB"/>
              </w:rPr>
              <w:noBreakHyphen/>
              <w:t>rank test</w:t>
            </w:r>
          </w:p>
        </w:tc>
        <w:tc>
          <w:tcPr>
            <w:tcW w:w="1502" w:type="dxa"/>
            <w:hideMark/>
          </w:tcPr>
          <w:p w14:paraId="0D98FA6B" w14:textId="77777777" w:rsidR="00E01DB2" w:rsidRPr="009C5C64" w:rsidRDefault="00E01DB2" w:rsidP="00E01DB2">
            <w:pPr>
              <w:keepNext/>
              <w:keepLines/>
              <w:rPr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hideMark/>
          </w:tcPr>
          <w:p w14:paraId="0D98FA6C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0,0002</w:t>
            </w:r>
          </w:p>
        </w:tc>
        <w:tc>
          <w:tcPr>
            <w:tcW w:w="1757" w:type="dxa"/>
          </w:tcPr>
          <w:p w14:paraId="0D98FA6D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&lt; 0,0001</w:t>
            </w:r>
          </w:p>
        </w:tc>
        <w:tc>
          <w:tcPr>
            <w:tcW w:w="1645" w:type="dxa"/>
          </w:tcPr>
          <w:p w14:paraId="0D98FA6E" w14:textId="77777777" w:rsidR="00E01DB2" w:rsidRPr="009C5C64" w:rsidRDefault="00E01DB2" w:rsidP="00E01DB2">
            <w:pPr>
              <w:keepNext/>
              <w:keepLines/>
              <w:spacing w:before="60" w:after="60" w:line="210" w:lineRule="atLeast"/>
              <w:jc w:val="center"/>
              <w:rPr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kern w:val="24"/>
                <w:sz w:val="22"/>
                <w:szCs w:val="22"/>
                <w:lang w:eastAsia="en-GB"/>
              </w:rPr>
              <w:t>0,0124</w:t>
            </w:r>
          </w:p>
        </w:tc>
      </w:tr>
    </w:tbl>
    <w:p w14:paraId="0D98FA70" w14:textId="77777777" w:rsidR="00E01DB2" w:rsidRPr="009C5C64" w:rsidRDefault="00E01DB2" w:rsidP="00E01DB2">
      <w:pPr>
        <w:rPr>
          <w:sz w:val="22"/>
          <w:szCs w:val="22"/>
        </w:rPr>
      </w:pPr>
    </w:p>
    <w:p w14:paraId="0D98FA71" w14:textId="50D10426" w:rsidR="00E01DB2" w:rsidRPr="009C5C64" w:rsidRDefault="00E01DB2" w:rsidP="00E01DB2">
      <w:pPr>
        <w:keepNext/>
        <w:rPr>
          <w:i/>
          <w:sz w:val="22"/>
          <w:szCs w:val="22"/>
          <w:u w:val="single"/>
        </w:rPr>
      </w:pPr>
      <w:r w:rsidRPr="009C5C64">
        <w:rPr>
          <w:i/>
          <w:sz w:val="22"/>
          <w:szCs w:val="22"/>
          <w:u w:val="single"/>
        </w:rPr>
        <w:t>Sekundárn</w:t>
      </w:r>
      <w:r w:rsidR="0064628D">
        <w:rPr>
          <w:i/>
          <w:sz w:val="22"/>
          <w:szCs w:val="22"/>
          <w:u w:val="single"/>
        </w:rPr>
        <w:t>e</w:t>
      </w:r>
      <w:r w:rsidRPr="009C5C64">
        <w:rPr>
          <w:i/>
          <w:sz w:val="22"/>
          <w:szCs w:val="22"/>
          <w:u w:val="single"/>
        </w:rPr>
        <w:t xml:space="preserve"> cieľové ukazovatele</w:t>
      </w:r>
    </w:p>
    <w:p w14:paraId="0D98FA72" w14:textId="77777777" w:rsidR="00E01DB2" w:rsidRPr="009C5C64" w:rsidRDefault="00E01DB2" w:rsidP="00E01DB2">
      <w:pPr>
        <w:rPr>
          <w:sz w:val="22"/>
          <w:szCs w:val="22"/>
        </w:rPr>
      </w:pPr>
      <w:r w:rsidRPr="009C5C64">
        <w:rPr>
          <w:sz w:val="22"/>
          <w:szCs w:val="22"/>
        </w:rPr>
        <w:t>Hodnotené boli sekundárne cieľové ukazovatele:</w:t>
      </w:r>
    </w:p>
    <w:p w14:paraId="0D98FA73" w14:textId="77777777" w:rsidR="00E01DB2" w:rsidRPr="009C5C64" w:rsidRDefault="00E01DB2" w:rsidP="00E01DB2">
      <w:pPr>
        <w:rPr>
          <w:sz w:val="22"/>
          <w:szCs w:val="22"/>
        </w:rPr>
      </w:pPr>
    </w:p>
    <w:p w14:paraId="0D98FA74" w14:textId="77777777" w:rsidR="00E01DB2" w:rsidRPr="009C5C64" w:rsidRDefault="00E01DB2" w:rsidP="00E01DB2">
      <w:pPr>
        <w:rPr>
          <w:b/>
          <w:sz w:val="22"/>
          <w:szCs w:val="22"/>
        </w:rPr>
      </w:pPr>
      <w:r w:rsidRPr="009C5C64">
        <w:rPr>
          <w:b/>
          <w:sz w:val="22"/>
          <w:szCs w:val="22"/>
        </w:rPr>
        <w:t>Tabuľka 2</w:t>
      </w:r>
    </w:p>
    <w:p w14:paraId="0D98FA75" w14:textId="77777777" w:rsidR="00E01DB2" w:rsidRPr="009C5C64" w:rsidRDefault="00E01DB2" w:rsidP="00E01DB2">
      <w:pPr>
        <w:rPr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559"/>
        <w:gridCol w:w="2268"/>
        <w:gridCol w:w="1418"/>
      </w:tblGrid>
      <w:tr w:rsidR="00E01DB2" w:rsidRPr="009C5C64" w14:paraId="0D98FA7C" w14:textId="77777777" w:rsidTr="00E01DB2">
        <w:tc>
          <w:tcPr>
            <w:tcW w:w="2660" w:type="dxa"/>
          </w:tcPr>
          <w:p w14:paraId="0D98FA76" w14:textId="7D9909E8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Sekundárn</w:t>
            </w:r>
            <w:r w:rsidR="0064628D">
              <w:rPr>
                <w:sz w:val="22"/>
                <w:szCs w:val="22"/>
              </w:rPr>
              <w:t>e</w:t>
            </w:r>
            <w:r w:rsidRPr="009C5C64">
              <w:rPr>
                <w:sz w:val="22"/>
                <w:szCs w:val="22"/>
              </w:rPr>
              <w:t xml:space="preserve"> cieľové ukazovatele (zmena v 24. týždni v porovnaní s východiskovým stavom)</w:t>
            </w:r>
          </w:p>
        </w:tc>
        <w:tc>
          <w:tcPr>
            <w:tcW w:w="1559" w:type="dxa"/>
          </w:tcPr>
          <w:p w14:paraId="0D98FA77" w14:textId="731DFCE5" w:rsidR="00E01DB2" w:rsidRPr="000C2E13" w:rsidRDefault="00E01DB2" w:rsidP="00E01DB2">
            <w:pPr>
              <w:rPr>
                <w:b/>
                <w:bCs/>
                <w:kern w:val="24"/>
                <w:sz w:val="22"/>
                <w:szCs w:val="22"/>
                <w:lang w:eastAsia="en-GB"/>
              </w:rPr>
            </w:pPr>
            <w:r w:rsidRPr="009C5C64">
              <w:rPr>
                <w:b/>
                <w:bCs/>
                <w:kern w:val="24"/>
                <w:sz w:val="22"/>
                <w:szCs w:val="22"/>
                <w:lang w:eastAsia="en-GB"/>
              </w:rPr>
              <w:t>Ambrisent</w:t>
            </w:r>
            <w:r w:rsidR="00862386">
              <w:rPr>
                <w:b/>
                <w:bCs/>
                <w:kern w:val="24"/>
                <w:sz w:val="22"/>
                <w:szCs w:val="22"/>
                <w:lang w:eastAsia="en-GB"/>
              </w:rPr>
              <w:t>á</w:t>
            </w:r>
            <w:r w:rsidRPr="009C5C64">
              <w:rPr>
                <w:b/>
                <w:bCs/>
                <w:kern w:val="24"/>
                <w:sz w:val="22"/>
                <w:szCs w:val="22"/>
                <w:lang w:eastAsia="en-GB"/>
              </w:rPr>
              <w:t>n + tadalafil</w:t>
            </w:r>
          </w:p>
          <w:p w14:paraId="0D98FA78" w14:textId="77777777" w:rsidR="00E01DB2" w:rsidRPr="009C5C64" w:rsidRDefault="00E01DB2" w:rsidP="00E01DB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98FA79" w14:textId="77777777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b/>
                <w:bCs/>
                <w:kern w:val="24"/>
                <w:sz w:val="22"/>
                <w:szCs w:val="22"/>
                <w:lang w:eastAsia="en-GB"/>
              </w:rPr>
              <w:t>Monoterapie - súhrnne</w:t>
            </w:r>
          </w:p>
        </w:tc>
        <w:tc>
          <w:tcPr>
            <w:tcW w:w="2268" w:type="dxa"/>
          </w:tcPr>
          <w:p w14:paraId="0D98FA7A" w14:textId="77777777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Rozdiel a interval spoľahlivosti</w:t>
            </w:r>
          </w:p>
        </w:tc>
        <w:tc>
          <w:tcPr>
            <w:tcW w:w="1418" w:type="dxa"/>
          </w:tcPr>
          <w:p w14:paraId="0D98FA7B" w14:textId="77777777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p</w:t>
            </w:r>
            <w:r w:rsidRPr="009C5C64">
              <w:rPr>
                <w:sz w:val="22"/>
                <w:szCs w:val="22"/>
              </w:rPr>
              <w:noBreakHyphen/>
              <w:t>hodnota</w:t>
            </w:r>
          </w:p>
        </w:tc>
      </w:tr>
      <w:tr w:rsidR="00E01DB2" w:rsidRPr="009C5C64" w14:paraId="0D98FA83" w14:textId="77777777" w:rsidTr="00E01DB2">
        <w:tc>
          <w:tcPr>
            <w:tcW w:w="2660" w:type="dxa"/>
            <w:vAlign w:val="center"/>
          </w:tcPr>
          <w:p w14:paraId="0D98FA7D" w14:textId="74A7CAD4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NT-proBNP (% zníženie)</w:t>
            </w:r>
          </w:p>
        </w:tc>
        <w:tc>
          <w:tcPr>
            <w:tcW w:w="1559" w:type="dxa"/>
            <w:vAlign w:val="center"/>
          </w:tcPr>
          <w:p w14:paraId="0D98FA7E" w14:textId="77777777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-67,2</w:t>
            </w:r>
          </w:p>
        </w:tc>
        <w:tc>
          <w:tcPr>
            <w:tcW w:w="1559" w:type="dxa"/>
            <w:vAlign w:val="center"/>
          </w:tcPr>
          <w:p w14:paraId="0D98FA7F" w14:textId="77777777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-50,4</w:t>
            </w:r>
          </w:p>
        </w:tc>
        <w:tc>
          <w:tcPr>
            <w:tcW w:w="2268" w:type="dxa"/>
            <w:vAlign w:val="center"/>
          </w:tcPr>
          <w:p w14:paraId="0D98FA80" w14:textId="77777777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% rozdiel: -33,8;</w:t>
            </w:r>
          </w:p>
          <w:p w14:paraId="0D98FA81" w14:textId="77777777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 xml:space="preserve">95 % IS: </w:t>
            </w:r>
            <w:r w:rsidRPr="009C5C64">
              <w:rPr>
                <w:sz w:val="22"/>
                <w:szCs w:val="22"/>
              </w:rPr>
              <w:noBreakHyphen/>
              <w:t xml:space="preserve">44,8; </w:t>
            </w:r>
            <w:r w:rsidRPr="009C5C64">
              <w:rPr>
                <w:sz w:val="22"/>
                <w:szCs w:val="22"/>
              </w:rPr>
              <w:noBreakHyphen/>
              <w:t>20,7</w:t>
            </w:r>
          </w:p>
        </w:tc>
        <w:tc>
          <w:tcPr>
            <w:tcW w:w="1418" w:type="dxa"/>
            <w:vAlign w:val="center"/>
          </w:tcPr>
          <w:p w14:paraId="0D98FA82" w14:textId="77777777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p &lt; 0,0001</w:t>
            </w:r>
          </w:p>
        </w:tc>
      </w:tr>
      <w:tr w:rsidR="00E01DB2" w:rsidRPr="009C5C64" w14:paraId="0D98FA8B" w14:textId="77777777" w:rsidTr="00E01DB2">
        <w:tc>
          <w:tcPr>
            <w:tcW w:w="2660" w:type="dxa"/>
            <w:vAlign w:val="center"/>
          </w:tcPr>
          <w:p w14:paraId="0D98FA84" w14:textId="77777777" w:rsidR="00E01DB2" w:rsidRPr="009C5C64" w:rsidRDefault="00E01DB2" w:rsidP="00E01DB2">
            <w:pPr>
              <w:rPr>
                <w:sz w:val="22"/>
                <w:szCs w:val="22"/>
              </w:rPr>
            </w:pPr>
          </w:p>
          <w:p w14:paraId="0D98FA85" w14:textId="77777777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% osôb, ktoré v 24. týždni dosiahli uspokojivú klinickú odpoveď na liečbu</w:t>
            </w:r>
          </w:p>
        </w:tc>
        <w:tc>
          <w:tcPr>
            <w:tcW w:w="1559" w:type="dxa"/>
            <w:vAlign w:val="center"/>
          </w:tcPr>
          <w:p w14:paraId="0D98FA86" w14:textId="77777777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39</w:t>
            </w:r>
          </w:p>
        </w:tc>
        <w:tc>
          <w:tcPr>
            <w:tcW w:w="1559" w:type="dxa"/>
            <w:vAlign w:val="center"/>
          </w:tcPr>
          <w:p w14:paraId="0D98FA87" w14:textId="77777777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29</w:t>
            </w:r>
          </w:p>
        </w:tc>
        <w:tc>
          <w:tcPr>
            <w:tcW w:w="2268" w:type="dxa"/>
            <w:vAlign w:val="center"/>
          </w:tcPr>
          <w:p w14:paraId="0D98FA88" w14:textId="77777777" w:rsidR="00E01DB2" w:rsidRPr="009C5C64" w:rsidRDefault="00E01DB2" w:rsidP="00E01DB2">
            <w:pPr>
              <w:rPr>
                <w:sz w:val="22"/>
                <w:szCs w:val="22"/>
              </w:rPr>
            </w:pPr>
            <w:r w:rsidRPr="00372825">
              <w:rPr>
                <w:sz w:val="22"/>
                <w:szCs w:val="22"/>
              </w:rPr>
              <w:t>Pomer šancí:</w:t>
            </w:r>
            <w:r w:rsidRPr="009C5C64">
              <w:rPr>
                <w:sz w:val="22"/>
                <w:szCs w:val="22"/>
              </w:rPr>
              <w:t xml:space="preserve"> 1,56;</w:t>
            </w:r>
          </w:p>
          <w:p w14:paraId="0D98FA89" w14:textId="77777777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95 % IS: 1,05; 2,32</w:t>
            </w:r>
          </w:p>
        </w:tc>
        <w:tc>
          <w:tcPr>
            <w:tcW w:w="1418" w:type="dxa"/>
            <w:vAlign w:val="center"/>
          </w:tcPr>
          <w:p w14:paraId="0D98FA8A" w14:textId="77777777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p = 0,026</w:t>
            </w:r>
          </w:p>
        </w:tc>
      </w:tr>
      <w:tr w:rsidR="00E01DB2" w:rsidRPr="009C5C64" w14:paraId="0D98FA92" w14:textId="77777777" w:rsidTr="00E01DB2">
        <w:tc>
          <w:tcPr>
            <w:tcW w:w="2660" w:type="dxa"/>
            <w:vAlign w:val="center"/>
          </w:tcPr>
          <w:p w14:paraId="0D98FA8C" w14:textId="77777777" w:rsidR="00E01DB2" w:rsidRPr="009C5C64" w:rsidRDefault="00E01DB2" w:rsidP="00E01DB2">
            <w:pPr>
              <w:rPr>
                <w:sz w:val="22"/>
                <w:szCs w:val="22"/>
              </w:rPr>
            </w:pPr>
          </w:p>
          <w:p w14:paraId="0D98FA8D" w14:textId="77777777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6MWD (metre, medián zmeny)</w:t>
            </w:r>
          </w:p>
        </w:tc>
        <w:tc>
          <w:tcPr>
            <w:tcW w:w="1559" w:type="dxa"/>
            <w:vAlign w:val="center"/>
          </w:tcPr>
          <w:p w14:paraId="0D98FA8E" w14:textId="77777777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49,0</w:t>
            </w:r>
          </w:p>
        </w:tc>
        <w:tc>
          <w:tcPr>
            <w:tcW w:w="1559" w:type="dxa"/>
            <w:vAlign w:val="center"/>
          </w:tcPr>
          <w:p w14:paraId="0D98FA8F" w14:textId="77777777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23,8</w:t>
            </w:r>
          </w:p>
        </w:tc>
        <w:tc>
          <w:tcPr>
            <w:tcW w:w="2268" w:type="dxa"/>
            <w:vAlign w:val="center"/>
          </w:tcPr>
          <w:p w14:paraId="0D98FA90" w14:textId="77777777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22,75 m; 95 % IS: 12,00; 33,50</w:t>
            </w:r>
          </w:p>
        </w:tc>
        <w:tc>
          <w:tcPr>
            <w:tcW w:w="1418" w:type="dxa"/>
            <w:vAlign w:val="center"/>
          </w:tcPr>
          <w:p w14:paraId="0D98FA91" w14:textId="77777777" w:rsidR="00E01DB2" w:rsidRPr="009C5C64" w:rsidRDefault="00E01DB2" w:rsidP="00E01DB2">
            <w:pPr>
              <w:rPr>
                <w:sz w:val="22"/>
                <w:szCs w:val="22"/>
              </w:rPr>
            </w:pPr>
            <w:r w:rsidRPr="009C5C64">
              <w:rPr>
                <w:sz w:val="22"/>
                <w:szCs w:val="22"/>
              </w:rPr>
              <w:t>p &lt; 0,0001</w:t>
            </w:r>
          </w:p>
        </w:tc>
      </w:tr>
    </w:tbl>
    <w:p w14:paraId="0D98FA93" w14:textId="77777777" w:rsidR="00E01DB2" w:rsidRPr="009C5C64" w:rsidRDefault="00E01DB2" w:rsidP="00E01DB2">
      <w:pPr>
        <w:rPr>
          <w:sz w:val="22"/>
          <w:szCs w:val="22"/>
          <w:u w:val="single"/>
        </w:rPr>
      </w:pPr>
    </w:p>
    <w:p w14:paraId="0D98FA96" w14:textId="77777777" w:rsidR="00E01DB2" w:rsidRPr="009C5C64" w:rsidRDefault="00E01DB2" w:rsidP="00E01DB2">
      <w:pPr>
        <w:autoSpaceDE w:val="0"/>
        <w:autoSpaceDN w:val="0"/>
        <w:adjustRightInd w:val="0"/>
        <w:rPr>
          <w:rFonts w:eastAsia="TimesNewRomanPSMT"/>
          <w:sz w:val="22"/>
          <w:szCs w:val="22"/>
          <w:u w:val="single"/>
          <w:lang w:eastAsia="sk-SK"/>
        </w:rPr>
      </w:pPr>
      <w:r w:rsidRPr="009C5C64">
        <w:rPr>
          <w:rFonts w:eastAsia="TimesNewRomanPSMT"/>
          <w:sz w:val="22"/>
          <w:szCs w:val="22"/>
          <w:u w:val="single"/>
          <w:lang w:eastAsia="sk-SK"/>
        </w:rPr>
        <w:t>Idiopatická pľúcna fibróza</w:t>
      </w:r>
    </w:p>
    <w:p w14:paraId="0D98FA97" w14:textId="77777777" w:rsidR="00E01DB2" w:rsidRPr="009C5C64" w:rsidRDefault="00E01DB2" w:rsidP="00E01DB2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</w:p>
    <w:p w14:paraId="0D98FA98" w14:textId="17E5E24F" w:rsidR="00E01DB2" w:rsidRPr="009C5C64" w:rsidRDefault="00E01DB2" w:rsidP="00E01DB2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Uskutočnila sa štúdia so 492 pacientmi (ambrisent</w:t>
      </w:r>
      <w:r w:rsidR="00862386">
        <w:rPr>
          <w:rFonts w:eastAsia="TimesNewRomanPSMT"/>
          <w:sz w:val="22"/>
          <w:szCs w:val="22"/>
          <w:lang w:eastAsia="sk-SK"/>
        </w:rPr>
        <w:t>á</w:t>
      </w:r>
      <w:r w:rsidR="00C041C6">
        <w:rPr>
          <w:rFonts w:eastAsia="TimesNewRomanPSMT"/>
          <w:sz w:val="22"/>
          <w:szCs w:val="22"/>
          <w:lang w:eastAsia="sk-SK"/>
        </w:rPr>
        <w:t>n n = 329, placebo n</w:t>
      </w:r>
      <w:r w:rsidRPr="009C5C64">
        <w:rPr>
          <w:rFonts w:eastAsia="TimesNewRomanPSMT"/>
          <w:sz w:val="22"/>
          <w:szCs w:val="22"/>
          <w:lang w:eastAsia="sk-SK"/>
        </w:rPr>
        <w:t xml:space="preserve"> = 163) s idiopatickou</w:t>
      </w:r>
    </w:p>
    <w:p w14:paraId="0D98FA9A" w14:textId="0117B362" w:rsidR="00E01DB2" w:rsidRPr="009C5C64" w:rsidRDefault="00E01DB2" w:rsidP="00E01DB2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pľúcnou fibrózou (IPF), z ktorých 11 % malo sekundárnu pľúcnu hypertenziu (skupiny 3 podľa </w:t>
      </w:r>
      <w:r w:rsidR="00317E88">
        <w:rPr>
          <w:rFonts w:eastAsia="TimesNewRomanPSMT"/>
          <w:sz w:val="22"/>
          <w:szCs w:val="22"/>
          <w:lang w:eastAsia="sk-SK"/>
        </w:rPr>
        <w:t>WHO</w:t>
      </w:r>
      <w:r w:rsidRPr="009C5C64">
        <w:rPr>
          <w:rFonts w:eastAsia="TimesNewRomanPSMT"/>
          <w:sz w:val="22"/>
          <w:szCs w:val="22"/>
          <w:lang w:eastAsia="sk-SK"/>
        </w:rPr>
        <w:t>),</w:t>
      </w:r>
      <w:r w:rsidR="00E459E3">
        <w:rPr>
          <w:rFonts w:eastAsia="TimesNewRomanPSMT"/>
          <w:sz w:val="22"/>
          <w:szCs w:val="22"/>
          <w:lang w:eastAsia="sk-SK"/>
        </w:rPr>
        <w:t xml:space="preserve"> </w:t>
      </w:r>
      <w:r w:rsidRPr="009C5C64">
        <w:rPr>
          <w:rFonts w:eastAsia="TimesNewRomanPSMT"/>
          <w:sz w:val="22"/>
          <w:szCs w:val="22"/>
          <w:lang w:eastAsia="sk-SK"/>
        </w:rPr>
        <w:t>ktorá však bola predčasne ukončená, keď sa zistilo, že nie je možné splniť primárny cieľový</w:t>
      </w:r>
    </w:p>
    <w:p w14:paraId="0D98FA9B" w14:textId="7294F2B7" w:rsidR="00E01DB2" w:rsidRPr="009C5C64" w:rsidRDefault="00E01DB2" w:rsidP="00E01DB2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ukazovateľ účinnosti (štúdia ARTEMIS-IPF). V skupine s ambrisent</w:t>
      </w:r>
      <w:r w:rsidR="00862386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nom sa pozorovalo 90 prípadov</w:t>
      </w:r>
    </w:p>
    <w:p w14:paraId="0D98FA9C" w14:textId="57305509" w:rsidR="00E01DB2" w:rsidRPr="009C5C64" w:rsidRDefault="00E01DB2" w:rsidP="00E01DB2">
      <w:pPr>
        <w:autoSpaceDE w:val="0"/>
        <w:autoSpaceDN w:val="0"/>
        <w:adjustRightInd w:val="0"/>
        <w:rPr>
          <w:sz w:val="22"/>
          <w:szCs w:val="22"/>
        </w:rPr>
      </w:pPr>
      <w:r w:rsidRPr="009C5C64">
        <w:rPr>
          <w:rFonts w:eastAsia="TimesNewRomanPSMT"/>
          <w:sz w:val="22"/>
          <w:szCs w:val="22"/>
          <w:lang w:eastAsia="sk-SK"/>
        </w:rPr>
        <w:t>(27 %) progresie IPF (vrátane hospitalizácie z dôvodu respiračných ťažkostí) alebo úmrtia v porovnaní s 28 prípadmi (17 %) v skupine s placebom. Ambrisent</w:t>
      </w:r>
      <w:r w:rsidR="00862386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 je preto kontraindikovaný u pacientov s IPF so sekundárnou pľúcnou hypertenziou alebo bez nej (pozri časť 4.3).</w:t>
      </w:r>
    </w:p>
    <w:p w14:paraId="0D98FA9D" w14:textId="77777777" w:rsidR="00E01DB2" w:rsidRPr="009C5C64" w:rsidRDefault="00E01DB2" w:rsidP="004632AE">
      <w:pPr>
        <w:rPr>
          <w:sz w:val="22"/>
          <w:szCs w:val="22"/>
        </w:rPr>
      </w:pPr>
    </w:p>
    <w:p w14:paraId="0D98FA9E" w14:textId="465260DC" w:rsidR="00D836F6" w:rsidRPr="009C5C64" w:rsidRDefault="00266F55" w:rsidP="004632A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5.2</w:t>
      </w:r>
      <w:r w:rsidR="00FE406D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Farmakokinetické vlastnosti</w:t>
      </w:r>
    </w:p>
    <w:p w14:paraId="0D98FA9F" w14:textId="77777777" w:rsidR="00D836F6" w:rsidRPr="009C5C64" w:rsidRDefault="00D836F6" w:rsidP="004632AE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0D98FAA0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u w:val="single"/>
          <w:lang w:eastAsia="sk-SK"/>
        </w:rPr>
      </w:pPr>
      <w:r w:rsidRPr="009C5C64">
        <w:rPr>
          <w:rFonts w:eastAsia="TimesNewRomanPSMT"/>
          <w:sz w:val="22"/>
          <w:szCs w:val="22"/>
          <w:u w:val="single"/>
          <w:lang w:eastAsia="sk-SK"/>
        </w:rPr>
        <w:t>Absorpcia</w:t>
      </w:r>
    </w:p>
    <w:p w14:paraId="0D98FAA1" w14:textId="77777777" w:rsid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</w:p>
    <w:p w14:paraId="0D98FAA2" w14:textId="743B0C2A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Ambrisent</w:t>
      </w:r>
      <w:r w:rsidR="00976C37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 sa u ľudí rýchlo absorbuje. Po perorálnom podaní sa maximálne plazmatické</w:t>
      </w:r>
    </w:p>
    <w:p w14:paraId="0D98FAA3" w14:textId="48854AA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koncentrácie (</w:t>
      </w:r>
      <w:r w:rsidR="001863BA">
        <w:rPr>
          <w:rFonts w:eastAsia="TimesNewRomanPSMT"/>
          <w:sz w:val="22"/>
          <w:szCs w:val="22"/>
          <w:lang w:eastAsia="sk-SK"/>
        </w:rPr>
        <w:t>c</w:t>
      </w:r>
      <w:r w:rsidR="001863BA" w:rsidRPr="009C5C64">
        <w:rPr>
          <w:rFonts w:eastAsia="TimesNewRomanPSMT"/>
          <w:sz w:val="22"/>
          <w:szCs w:val="22"/>
          <w:vertAlign w:val="subscript"/>
          <w:lang w:eastAsia="sk-SK"/>
        </w:rPr>
        <w:t>max</w:t>
      </w:r>
      <w:r w:rsidRPr="009C5C64">
        <w:rPr>
          <w:rFonts w:eastAsia="TimesNewRomanPSMT"/>
          <w:sz w:val="22"/>
          <w:szCs w:val="22"/>
          <w:lang w:eastAsia="sk-SK"/>
        </w:rPr>
        <w:t>) ambrisent</w:t>
      </w:r>
      <w:r w:rsidR="001863BA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 zvyčajne dosiahnu v priebehu približne 1,5 hodiny po podaní dávky</w:t>
      </w:r>
    </w:p>
    <w:p w14:paraId="0D98FAA4" w14:textId="3C8DD072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spolu s jedlom ako aj nalačno. </w:t>
      </w:r>
      <w:r w:rsidR="00554229">
        <w:rPr>
          <w:rFonts w:eastAsia="TimesNewRomanPSMT"/>
          <w:sz w:val="22"/>
          <w:szCs w:val="22"/>
          <w:lang w:eastAsia="sk-SK"/>
        </w:rPr>
        <w:t>c</w:t>
      </w:r>
      <w:r w:rsidRPr="009C5C64">
        <w:rPr>
          <w:rFonts w:eastAsia="TimesNewRomanPSMT"/>
          <w:sz w:val="22"/>
          <w:szCs w:val="22"/>
          <w:vertAlign w:val="subscript"/>
          <w:lang w:eastAsia="sk-SK"/>
        </w:rPr>
        <w:t>max</w:t>
      </w:r>
      <w:r w:rsidRPr="009C5C64">
        <w:rPr>
          <w:rFonts w:eastAsia="TimesNewRomanPSMT"/>
          <w:sz w:val="22"/>
          <w:szCs w:val="22"/>
          <w:lang w:eastAsia="sk-SK"/>
        </w:rPr>
        <w:t xml:space="preserve"> a plocha pod krivkou závislosti plazmatickej koncentrácie od času</w:t>
      </w:r>
    </w:p>
    <w:p w14:paraId="0D98FAA5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(AUC) sa zvyšujú úmerne dávke v rozmedzí terapeutických dávok. Rovnovážny stav sa zvyčajne</w:t>
      </w:r>
    </w:p>
    <w:p w14:paraId="0D98FAA6" w14:textId="77777777" w:rsid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dosiahne po 4 dňoch opakovaného podávania.</w:t>
      </w:r>
    </w:p>
    <w:p w14:paraId="0D98FAA7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</w:p>
    <w:p w14:paraId="0D98FAA8" w14:textId="27826ED8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Štúdia skúmajúca vplyv jedla, v ktorej bol ambrisent</w:t>
      </w:r>
      <w:r w:rsidR="001863BA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 podávaný zdravým dobrovoľníkom nalačno</w:t>
      </w:r>
    </w:p>
    <w:p w14:paraId="0D98FAA9" w14:textId="51E32E9B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a s jedlom s vysokým obsahom tuku poukázala na to, že hodnota </w:t>
      </w:r>
      <w:r w:rsidR="001863BA">
        <w:rPr>
          <w:rFonts w:eastAsia="TimesNewRomanPSMT"/>
          <w:sz w:val="22"/>
          <w:szCs w:val="22"/>
          <w:lang w:eastAsia="sk-SK"/>
        </w:rPr>
        <w:t>c</w:t>
      </w:r>
      <w:r w:rsidRPr="009C5C64">
        <w:rPr>
          <w:rFonts w:eastAsia="TimesNewRomanPSMT"/>
          <w:sz w:val="22"/>
          <w:szCs w:val="22"/>
          <w:vertAlign w:val="subscript"/>
          <w:lang w:eastAsia="sk-SK"/>
        </w:rPr>
        <w:t>max</w:t>
      </w:r>
      <w:r w:rsidRPr="009C5C64">
        <w:rPr>
          <w:rFonts w:eastAsia="TimesNewRomanPSMT"/>
          <w:sz w:val="22"/>
          <w:szCs w:val="22"/>
          <w:lang w:eastAsia="sk-SK"/>
        </w:rPr>
        <w:t xml:space="preserve"> sa znížila o 12 %, zatiaľ čo</w:t>
      </w:r>
    </w:p>
    <w:p w14:paraId="0D98FAAA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hodnota AUC zostala nezmenená. Tento pokles maximálnej koncentrácie nie je klinicky významný,</w:t>
      </w:r>
    </w:p>
    <w:p w14:paraId="0D98FAAB" w14:textId="137FDDDB" w:rsidR="00D836F6" w:rsidRPr="009C5C64" w:rsidRDefault="009C5C64" w:rsidP="009C5C6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9C5C64">
        <w:rPr>
          <w:rFonts w:eastAsia="TimesNewRomanPSMT"/>
          <w:sz w:val="22"/>
          <w:szCs w:val="22"/>
          <w:lang w:eastAsia="sk-SK"/>
        </w:rPr>
        <w:t>a preto sa ambrisent</w:t>
      </w:r>
      <w:r w:rsidR="001863BA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 môže užívať s jedlom alebo bez jedla.</w:t>
      </w:r>
    </w:p>
    <w:p w14:paraId="0D98FAAC" w14:textId="77777777" w:rsidR="009C5C64" w:rsidRPr="009C5C64" w:rsidRDefault="009C5C64" w:rsidP="00D52816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0D98FAAD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u w:val="single"/>
          <w:lang w:eastAsia="sk-SK"/>
        </w:rPr>
      </w:pPr>
      <w:r w:rsidRPr="009C5C64">
        <w:rPr>
          <w:rFonts w:eastAsia="TimesNewRomanPSMT"/>
          <w:sz w:val="22"/>
          <w:szCs w:val="22"/>
          <w:u w:val="single"/>
          <w:lang w:eastAsia="sk-SK"/>
        </w:rPr>
        <w:t>Distribúcia</w:t>
      </w:r>
    </w:p>
    <w:p w14:paraId="0D98FAAE" w14:textId="77777777" w:rsid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</w:p>
    <w:p w14:paraId="0D98FAAF" w14:textId="58191BF4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Ambrisent</w:t>
      </w:r>
      <w:r w:rsidR="001863BA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 sa vo veľkej miere viaže na plazmatické bielkoviny. Väzba ambrisent</w:t>
      </w:r>
      <w:r w:rsidR="001863BA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 na plazmatické</w:t>
      </w:r>
    </w:p>
    <w:p w14:paraId="0D98FAB0" w14:textId="565243AB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bielkoviny </w:t>
      </w:r>
      <w:r w:rsidRPr="009C5C64">
        <w:rPr>
          <w:rFonts w:eastAsia="TimesNewRomanPSMT"/>
          <w:i/>
          <w:iCs/>
          <w:sz w:val="22"/>
          <w:szCs w:val="22"/>
          <w:lang w:eastAsia="sk-SK"/>
        </w:rPr>
        <w:t>in</w:t>
      </w:r>
      <w:r w:rsidR="001863BA">
        <w:rPr>
          <w:rFonts w:eastAsia="TimesNewRomanPSMT"/>
          <w:sz w:val="22"/>
          <w:szCs w:val="22"/>
          <w:lang w:eastAsia="sk-SK"/>
        </w:rPr>
        <w:t xml:space="preserve"> </w:t>
      </w:r>
      <w:r w:rsidRPr="009C5C64">
        <w:rPr>
          <w:rFonts w:eastAsia="TimesNewRomanPSMT"/>
          <w:i/>
          <w:iCs/>
          <w:sz w:val="22"/>
          <w:szCs w:val="22"/>
          <w:lang w:eastAsia="sk-SK"/>
        </w:rPr>
        <w:t xml:space="preserve">vitro </w:t>
      </w:r>
      <w:r w:rsidRPr="009C5C64">
        <w:rPr>
          <w:rFonts w:eastAsia="TimesNewRomanPSMT"/>
          <w:sz w:val="22"/>
          <w:szCs w:val="22"/>
          <w:lang w:eastAsia="sk-SK"/>
        </w:rPr>
        <w:t>bola v priemere 98,8 % a nezávislá od koncentrácie v rozmedzí 0,2 –</w:t>
      </w:r>
    </w:p>
    <w:p w14:paraId="0D98FAB1" w14:textId="2CFAE3C5" w:rsid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20 mikrogramov/ml.</w:t>
      </w:r>
      <w:r>
        <w:rPr>
          <w:rFonts w:eastAsia="TimesNewRomanPSMT"/>
          <w:sz w:val="22"/>
          <w:szCs w:val="22"/>
          <w:lang w:eastAsia="sk-SK"/>
        </w:rPr>
        <w:t xml:space="preserve"> </w:t>
      </w:r>
      <w:r w:rsidRPr="009C5C64">
        <w:rPr>
          <w:rFonts w:eastAsia="TimesNewRomanPSMT"/>
          <w:sz w:val="22"/>
          <w:szCs w:val="22"/>
          <w:lang w:eastAsia="sk-SK"/>
        </w:rPr>
        <w:t>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 sa viaže predovšetkým na albumín (96,5 %) a v menšej miere na alfa</w:t>
      </w:r>
      <w:r w:rsidRPr="000C2E13">
        <w:rPr>
          <w:rFonts w:eastAsia="TimesNewRomanPSMT"/>
          <w:sz w:val="22"/>
          <w:szCs w:val="22"/>
          <w:vertAlign w:val="subscript"/>
          <w:lang w:eastAsia="sk-SK"/>
        </w:rPr>
        <w:t>1</w:t>
      </w:r>
      <w:r w:rsidRPr="009C5C64">
        <w:rPr>
          <w:rFonts w:eastAsia="TimesNewRomanPSMT"/>
          <w:sz w:val="22"/>
          <w:szCs w:val="22"/>
          <w:lang w:eastAsia="sk-SK"/>
        </w:rPr>
        <w:t>-kyslý</w:t>
      </w:r>
      <w:r>
        <w:rPr>
          <w:rFonts w:eastAsia="TimesNewRomanPSMT"/>
          <w:sz w:val="22"/>
          <w:szCs w:val="22"/>
          <w:lang w:eastAsia="sk-SK"/>
        </w:rPr>
        <w:t xml:space="preserve"> </w:t>
      </w:r>
      <w:r w:rsidRPr="009C5C64">
        <w:rPr>
          <w:rFonts w:eastAsia="TimesNewRomanPSMT"/>
          <w:sz w:val="22"/>
          <w:szCs w:val="22"/>
          <w:lang w:eastAsia="sk-SK"/>
        </w:rPr>
        <w:t>glykoproteín.</w:t>
      </w:r>
    </w:p>
    <w:p w14:paraId="0D98FAB2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</w:p>
    <w:p w14:paraId="0D98FAB3" w14:textId="3000BE94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Distribúcia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 do červených krviniek je nízka a priemerný pomer krv: plazma je 0,57 u žien</w:t>
      </w:r>
    </w:p>
    <w:p w14:paraId="0D98FAB4" w14:textId="77777777" w:rsid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a 0,61 u mužov.</w:t>
      </w:r>
    </w:p>
    <w:p w14:paraId="0D98FAB5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</w:p>
    <w:p w14:paraId="0D98FAB6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u w:val="single"/>
          <w:lang w:eastAsia="sk-SK"/>
        </w:rPr>
      </w:pPr>
      <w:r w:rsidRPr="009C5C64">
        <w:rPr>
          <w:rFonts w:eastAsia="TimesNewRomanPSMT"/>
          <w:sz w:val="22"/>
          <w:szCs w:val="22"/>
          <w:u w:val="single"/>
          <w:lang w:eastAsia="sk-SK"/>
        </w:rPr>
        <w:t>Biotransformácia</w:t>
      </w:r>
    </w:p>
    <w:p w14:paraId="0D98FAB7" w14:textId="77777777" w:rsid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</w:p>
    <w:p w14:paraId="0D98FAB8" w14:textId="279C0E95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 je nesulfónamidový ERA (je to derivát kyseliny propiónovej).</w:t>
      </w:r>
    </w:p>
    <w:p w14:paraId="0D98FAB9" w14:textId="77777777" w:rsid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</w:p>
    <w:p w14:paraId="0D98FABA" w14:textId="28E8234D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 je glukuronidovaný niekoľkými izoenzýmami UGT (UGT1A9S, UGT2B7S</w:t>
      </w:r>
    </w:p>
    <w:p w14:paraId="0D98FABB" w14:textId="6A60A72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a UGT1A3S) na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</w:t>
      </w:r>
      <w:r w:rsidR="00E86D8F">
        <w:rPr>
          <w:rFonts w:eastAsia="TimesNewRomanPSMT"/>
          <w:sz w:val="22"/>
          <w:szCs w:val="22"/>
          <w:lang w:eastAsia="sk-SK"/>
        </w:rPr>
        <w:t>-glukuronid</w:t>
      </w:r>
      <w:r w:rsidRPr="009C5C64">
        <w:rPr>
          <w:rFonts w:eastAsia="TimesNewRomanPSMT"/>
          <w:sz w:val="22"/>
          <w:szCs w:val="22"/>
          <w:lang w:eastAsia="sk-SK"/>
        </w:rPr>
        <w:t xml:space="preserve"> (13 %).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 podlieha aj oxidačnému metabolizmu</w:t>
      </w:r>
    </w:p>
    <w:p w14:paraId="0D98FABC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sprostredkovanému hlavne CYP3A4 a v menšej miere CYP3A5 a CYP2C19, pri ktorom vzniká</w:t>
      </w:r>
    </w:p>
    <w:p w14:paraId="0D98FABD" w14:textId="35883853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4-hydroxymetylambrisent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 xml:space="preserve">n (21 %), ktorý je ďalej glukuronidovaný na </w:t>
      </w:r>
    </w:p>
    <w:p w14:paraId="0D98FABE" w14:textId="164745A6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4-hydroxymetylambrisent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</w:t>
      </w:r>
      <w:r w:rsidR="00E86D8F">
        <w:rPr>
          <w:rFonts w:eastAsia="TimesNewRomanPSMT"/>
          <w:sz w:val="22"/>
          <w:szCs w:val="22"/>
          <w:lang w:eastAsia="sk-SK"/>
        </w:rPr>
        <w:t>-glukuronid</w:t>
      </w:r>
      <w:r w:rsidRPr="009C5C64">
        <w:rPr>
          <w:rFonts w:eastAsia="TimesNewRomanPSMT"/>
          <w:sz w:val="22"/>
          <w:szCs w:val="22"/>
          <w:lang w:eastAsia="sk-SK"/>
        </w:rPr>
        <w:t xml:space="preserve"> (5 %). Väzbová afinita 4-hydroxymetylambrisent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 k ľudskému</w:t>
      </w:r>
    </w:p>
    <w:p w14:paraId="0D98FABF" w14:textId="4120B118" w:rsidR="009C5C64" w:rsidRPr="009C5C64" w:rsidRDefault="00E86D8F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>
        <w:rPr>
          <w:rFonts w:eastAsia="TimesNewRomanPSMT"/>
          <w:sz w:val="22"/>
          <w:szCs w:val="22"/>
          <w:lang w:eastAsia="sk-SK"/>
        </w:rPr>
        <w:t xml:space="preserve">endotelínovému </w:t>
      </w:r>
      <w:r w:rsidR="009C5C64" w:rsidRPr="009C5C64">
        <w:rPr>
          <w:rFonts w:eastAsia="TimesNewRomanPSMT"/>
          <w:sz w:val="22"/>
          <w:szCs w:val="22"/>
          <w:lang w:eastAsia="sk-SK"/>
        </w:rPr>
        <w:t xml:space="preserve">receptoru je 65-násobne nižšia ako </w:t>
      </w:r>
      <w:r>
        <w:rPr>
          <w:rFonts w:eastAsia="TimesNewRomanPSMT"/>
          <w:sz w:val="22"/>
          <w:szCs w:val="22"/>
          <w:lang w:eastAsia="sk-SK"/>
        </w:rPr>
        <w:t>pri</w:t>
      </w:r>
      <w:r w:rsidR="009C5C64" w:rsidRPr="009C5C64">
        <w:rPr>
          <w:rFonts w:eastAsia="TimesNewRomanPSMT"/>
          <w:sz w:val="22"/>
          <w:szCs w:val="22"/>
          <w:lang w:eastAsia="sk-SK"/>
        </w:rPr>
        <w:t xml:space="preserve"> ambrisent</w:t>
      </w:r>
      <w:r>
        <w:rPr>
          <w:rFonts w:eastAsia="TimesNewRomanPSMT"/>
          <w:sz w:val="22"/>
          <w:szCs w:val="22"/>
          <w:lang w:eastAsia="sk-SK"/>
        </w:rPr>
        <w:t>á</w:t>
      </w:r>
      <w:r w:rsidR="009C5C64" w:rsidRPr="009C5C64">
        <w:rPr>
          <w:rFonts w:eastAsia="TimesNewRomanPSMT"/>
          <w:sz w:val="22"/>
          <w:szCs w:val="22"/>
          <w:lang w:eastAsia="sk-SK"/>
        </w:rPr>
        <w:t>n</w:t>
      </w:r>
      <w:r>
        <w:rPr>
          <w:rFonts w:eastAsia="TimesNewRomanPSMT"/>
          <w:sz w:val="22"/>
          <w:szCs w:val="22"/>
          <w:lang w:eastAsia="sk-SK"/>
        </w:rPr>
        <w:t>e</w:t>
      </w:r>
      <w:r w:rsidR="009C5C64" w:rsidRPr="009C5C64">
        <w:rPr>
          <w:rFonts w:eastAsia="TimesNewRomanPSMT"/>
          <w:sz w:val="22"/>
          <w:szCs w:val="22"/>
          <w:lang w:eastAsia="sk-SK"/>
        </w:rPr>
        <w:t>. Z tohto dôvodu sa pri koncentráciách</w:t>
      </w:r>
    </w:p>
    <w:p w14:paraId="0D98FAC0" w14:textId="1E36ABB4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pozorovaných v plazme (približne 4 % oproti pôvodnému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nu) neočakáva, že sa</w:t>
      </w:r>
    </w:p>
    <w:p w14:paraId="0D98FAC1" w14:textId="0A0AEA21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4-hydroxymetylambrisent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 bude podieľať na farmakologickom účinku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nu.</w:t>
      </w:r>
    </w:p>
    <w:p w14:paraId="0D98FAC2" w14:textId="77777777" w:rsid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</w:p>
    <w:p w14:paraId="0D98FAC3" w14:textId="5FC4ABA9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Údaje </w:t>
      </w:r>
      <w:r w:rsidRPr="009C5C64">
        <w:rPr>
          <w:rFonts w:eastAsia="TimesNewRomanPSMT"/>
          <w:i/>
          <w:iCs/>
          <w:sz w:val="22"/>
          <w:szCs w:val="22"/>
          <w:lang w:eastAsia="sk-SK"/>
        </w:rPr>
        <w:t xml:space="preserve">in vitro </w:t>
      </w:r>
      <w:r w:rsidRPr="009C5C64">
        <w:rPr>
          <w:rFonts w:eastAsia="TimesNewRomanPSMT"/>
          <w:sz w:val="22"/>
          <w:szCs w:val="22"/>
          <w:lang w:eastAsia="sk-SK"/>
        </w:rPr>
        <w:t>ukazujú, že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 v koncentrácii 300 μmol/l spôsobil menej ako 50 % inhibíciu</w:t>
      </w:r>
    </w:p>
    <w:p w14:paraId="0D98FAC4" w14:textId="34D10484" w:rsid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UGT1A1,</w:t>
      </w:r>
      <w:r>
        <w:rPr>
          <w:rFonts w:eastAsia="TimesNewRomanPSMT"/>
          <w:sz w:val="22"/>
          <w:szCs w:val="22"/>
          <w:lang w:eastAsia="sk-SK"/>
        </w:rPr>
        <w:t xml:space="preserve"> </w:t>
      </w:r>
      <w:r w:rsidRPr="009C5C64">
        <w:rPr>
          <w:rFonts w:eastAsia="TimesNewRomanPSMT"/>
          <w:sz w:val="22"/>
          <w:szCs w:val="22"/>
          <w:lang w:eastAsia="sk-SK"/>
        </w:rPr>
        <w:t>UGT1A6, UGT1A9, UGT2B7 (do 30 %) alebo enzýmov 1A2, 2A6, 2B6, 2C8, 2C9, 2C19, 2D6, 2E1</w:t>
      </w:r>
      <w:r>
        <w:rPr>
          <w:rFonts w:eastAsia="TimesNewRomanPSMT"/>
          <w:sz w:val="22"/>
          <w:szCs w:val="22"/>
          <w:lang w:eastAsia="sk-SK"/>
        </w:rPr>
        <w:t xml:space="preserve"> </w:t>
      </w:r>
      <w:r w:rsidRPr="009C5C64">
        <w:rPr>
          <w:rFonts w:eastAsia="TimesNewRomanPSMT"/>
          <w:sz w:val="22"/>
          <w:szCs w:val="22"/>
          <w:lang w:eastAsia="sk-SK"/>
        </w:rPr>
        <w:t>a 3A4 cytochrómu P450 (do 25 %).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 xml:space="preserve">n v klinicky významných koncentráciách nemá </w:t>
      </w:r>
      <w:r w:rsidRPr="009C5C64">
        <w:rPr>
          <w:rFonts w:eastAsia="TimesNewRomanPSMT"/>
          <w:i/>
          <w:iCs/>
          <w:sz w:val="22"/>
          <w:szCs w:val="22"/>
          <w:lang w:eastAsia="sk-SK"/>
        </w:rPr>
        <w:t>in vitro</w:t>
      </w:r>
      <w:r>
        <w:rPr>
          <w:rFonts w:eastAsia="TimesNewRomanPSMT"/>
          <w:i/>
          <w:iCs/>
          <w:sz w:val="22"/>
          <w:szCs w:val="22"/>
          <w:lang w:eastAsia="sk-SK"/>
        </w:rPr>
        <w:t xml:space="preserve"> </w:t>
      </w:r>
      <w:r w:rsidRPr="009C5C64">
        <w:rPr>
          <w:rFonts w:eastAsia="TimesNewRomanPSMT"/>
          <w:sz w:val="22"/>
          <w:szCs w:val="22"/>
          <w:lang w:eastAsia="sk-SK"/>
        </w:rPr>
        <w:t>žiaden inhibičný vplyv na ľudské transportéry vrátane Pgp, BCRP, MRP2, BSEP, OATP1B1,</w:t>
      </w:r>
      <w:r>
        <w:rPr>
          <w:rFonts w:eastAsia="TimesNewRomanPSMT"/>
          <w:sz w:val="22"/>
          <w:szCs w:val="22"/>
          <w:lang w:eastAsia="sk-SK"/>
        </w:rPr>
        <w:t xml:space="preserve"> </w:t>
      </w:r>
      <w:r w:rsidRPr="009C5C64">
        <w:rPr>
          <w:rFonts w:eastAsia="TimesNewRomanPSMT"/>
          <w:sz w:val="22"/>
          <w:szCs w:val="22"/>
          <w:lang w:eastAsia="sk-SK"/>
        </w:rPr>
        <w:t>OATP1B3 a NTCP. Okrem toho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 xml:space="preserve">n neindukoval expresiu proteínov MRP2, Pgp </w:t>
      </w:r>
      <w:r w:rsidRPr="009C5C64">
        <w:rPr>
          <w:rFonts w:eastAsia="TimesNewRomanPSMT"/>
          <w:sz w:val="22"/>
          <w:szCs w:val="22"/>
          <w:lang w:eastAsia="sk-SK"/>
        </w:rPr>
        <w:lastRenderedPageBreak/>
        <w:t>alebo BSEP</w:t>
      </w:r>
      <w:r>
        <w:rPr>
          <w:rFonts w:eastAsia="TimesNewRomanPSMT"/>
          <w:sz w:val="22"/>
          <w:szCs w:val="22"/>
          <w:lang w:eastAsia="sk-SK"/>
        </w:rPr>
        <w:t xml:space="preserve"> </w:t>
      </w:r>
      <w:r w:rsidRPr="009C5C64">
        <w:rPr>
          <w:rFonts w:eastAsia="TimesNewRomanPSMT"/>
          <w:sz w:val="22"/>
          <w:szCs w:val="22"/>
          <w:lang w:eastAsia="sk-SK"/>
        </w:rPr>
        <w:t xml:space="preserve">v potkaních hepatocytoch. Celkovo vzaté, údaje </w:t>
      </w:r>
      <w:r w:rsidRPr="009C5C64">
        <w:rPr>
          <w:rFonts w:eastAsia="TimesNewRomanPSMT"/>
          <w:i/>
          <w:iCs/>
          <w:sz w:val="22"/>
          <w:szCs w:val="22"/>
          <w:lang w:eastAsia="sk-SK"/>
        </w:rPr>
        <w:t xml:space="preserve">in vitro </w:t>
      </w:r>
      <w:r w:rsidRPr="009C5C64">
        <w:rPr>
          <w:rFonts w:eastAsia="TimesNewRomanPSMT"/>
          <w:sz w:val="22"/>
          <w:szCs w:val="22"/>
          <w:lang w:eastAsia="sk-SK"/>
        </w:rPr>
        <w:t>naznačujú, že sa nepredpokladá, že by</w:t>
      </w:r>
      <w:r>
        <w:rPr>
          <w:rFonts w:eastAsia="TimesNewRomanPSMT"/>
          <w:sz w:val="22"/>
          <w:szCs w:val="22"/>
          <w:lang w:eastAsia="sk-SK"/>
        </w:rPr>
        <w:t xml:space="preserve"> </w:t>
      </w:r>
      <w:r w:rsidRPr="009C5C64">
        <w:rPr>
          <w:rFonts w:eastAsia="TimesNewRomanPSMT"/>
          <w:sz w:val="22"/>
          <w:szCs w:val="22"/>
          <w:lang w:eastAsia="sk-SK"/>
        </w:rPr>
        <w:t>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 v</w:t>
      </w:r>
      <w:r>
        <w:rPr>
          <w:rFonts w:eastAsia="TimesNewRomanPSMT"/>
          <w:sz w:val="22"/>
          <w:szCs w:val="22"/>
          <w:lang w:eastAsia="sk-SK"/>
        </w:rPr>
        <w:t> </w:t>
      </w:r>
      <w:r w:rsidRPr="009C5C64">
        <w:rPr>
          <w:rFonts w:eastAsia="TimesNewRomanPSMT"/>
          <w:sz w:val="22"/>
          <w:szCs w:val="22"/>
          <w:lang w:eastAsia="sk-SK"/>
        </w:rPr>
        <w:t>klinicky</w:t>
      </w:r>
      <w:r>
        <w:rPr>
          <w:rFonts w:eastAsia="TimesNewRomanPSMT"/>
          <w:sz w:val="22"/>
          <w:szCs w:val="22"/>
          <w:lang w:eastAsia="sk-SK"/>
        </w:rPr>
        <w:t xml:space="preserve"> </w:t>
      </w:r>
      <w:r w:rsidRPr="009C5C64">
        <w:rPr>
          <w:rFonts w:eastAsia="TimesNewRomanPSMT"/>
          <w:sz w:val="22"/>
          <w:szCs w:val="22"/>
          <w:lang w:eastAsia="sk-SK"/>
        </w:rPr>
        <w:t xml:space="preserve">významných koncentráciách (plazmatická </w:t>
      </w:r>
      <w:r w:rsidR="00E86D8F">
        <w:rPr>
          <w:rFonts w:eastAsia="TimesNewRomanPSMT"/>
          <w:sz w:val="22"/>
          <w:szCs w:val="22"/>
          <w:lang w:eastAsia="sk-SK"/>
        </w:rPr>
        <w:t>c</w:t>
      </w:r>
      <w:r w:rsidRPr="00515C27">
        <w:rPr>
          <w:rFonts w:eastAsia="TimesNewRomanPSMT"/>
          <w:sz w:val="22"/>
          <w:szCs w:val="22"/>
          <w:vertAlign w:val="subscript"/>
          <w:lang w:eastAsia="sk-SK"/>
        </w:rPr>
        <w:t>max</w:t>
      </w:r>
      <w:r w:rsidRPr="009C5C64">
        <w:rPr>
          <w:rFonts w:eastAsia="TimesNewRomanPSMT"/>
          <w:sz w:val="22"/>
          <w:szCs w:val="22"/>
          <w:lang w:eastAsia="sk-SK"/>
        </w:rPr>
        <w:t xml:space="preserve"> do 3,2 μmol/l) mal vplyv na UGT1A1, UGT1A6, UGT1A9, UGT2B7 alebo enzýmy 1A2, 2A6, 2B6, 2C8, 2C9, 2C19, 2D6, 2E1, 3A4 cytochrómu P450</w:t>
      </w:r>
      <w:r>
        <w:rPr>
          <w:rFonts w:eastAsia="TimesNewRomanPSMT"/>
          <w:sz w:val="22"/>
          <w:szCs w:val="22"/>
          <w:lang w:eastAsia="sk-SK"/>
        </w:rPr>
        <w:t xml:space="preserve"> </w:t>
      </w:r>
      <w:r w:rsidRPr="009C5C64">
        <w:rPr>
          <w:rFonts w:eastAsia="TimesNewRomanPSMT"/>
          <w:sz w:val="22"/>
          <w:szCs w:val="22"/>
          <w:lang w:eastAsia="sk-SK"/>
        </w:rPr>
        <w:t>alebo na transport sprostredkovaný BSEP, BCRP, Pgp, MRP2, OATP1B1/3 alebo NTCP.</w:t>
      </w:r>
    </w:p>
    <w:p w14:paraId="0D98FAC5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</w:p>
    <w:p w14:paraId="0D98FAC6" w14:textId="51A704EF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Vplyv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 v rovnovážnom stave (10</w:t>
      </w:r>
      <w:r w:rsidR="005C0B5D">
        <w:rPr>
          <w:rFonts w:eastAsia="TimesNewRomanPSMT"/>
          <w:sz w:val="22"/>
          <w:szCs w:val="22"/>
          <w:lang w:eastAsia="sk-SK"/>
        </w:rPr>
        <w:t> </w:t>
      </w:r>
      <w:r w:rsidRPr="009C5C64">
        <w:rPr>
          <w:rFonts w:eastAsia="TimesNewRomanPSMT"/>
          <w:sz w:val="22"/>
          <w:szCs w:val="22"/>
          <w:lang w:eastAsia="sk-SK"/>
        </w:rPr>
        <w:t>mg jedenkrát denne) na farmakokinetiku</w:t>
      </w:r>
    </w:p>
    <w:p w14:paraId="0D98FAC7" w14:textId="2DDAC31F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a farmakodynamiku jednorazovej dávky warfarínu (25</w:t>
      </w:r>
      <w:r w:rsidR="005C0B5D">
        <w:rPr>
          <w:rFonts w:eastAsia="TimesNewRomanPSMT"/>
          <w:sz w:val="22"/>
          <w:szCs w:val="22"/>
          <w:lang w:eastAsia="sk-SK"/>
        </w:rPr>
        <w:t> </w:t>
      </w:r>
      <w:r w:rsidRPr="009C5C64">
        <w:rPr>
          <w:rFonts w:eastAsia="TimesNewRomanPSMT"/>
          <w:sz w:val="22"/>
          <w:szCs w:val="22"/>
          <w:lang w:eastAsia="sk-SK"/>
        </w:rPr>
        <w:t>mg), hodnotený pomocou PT a INR, bol</w:t>
      </w:r>
    </w:p>
    <w:p w14:paraId="0D98FAC8" w14:textId="0F751B85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skúmaný u 20 zdravých dobrovoľníkov.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 nemal žiadny klinicky významný vplyv na</w:t>
      </w:r>
    </w:p>
    <w:p w14:paraId="0D98FAC9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farmakokinetiku alebo farmakodynamiku warfarínu. Podobne ani súbežné podávanie warfarínu</w:t>
      </w:r>
    </w:p>
    <w:p w14:paraId="0D98FACA" w14:textId="1AAD76DD" w:rsid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nemalo vplyv na farmakokinetiku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 (pozri časť 4.5).</w:t>
      </w:r>
    </w:p>
    <w:p w14:paraId="0D98FACB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</w:p>
    <w:p w14:paraId="0D98FACC" w14:textId="04401A36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Vplyv 7-dňového podávania sildenafilu (20</w:t>
      </w:r>
      <w:r w:rsidR="005C0B5D">
        <w:rPr>
          <w:rFonts w:eastAsia="TimesNewRomanPSMT"/>
          <w:sz w:val="22"/>
          <w:szCs w:val="22"/>
          <w:lang w:eastAsia="sk-SK"/>
        </w:rPr>
        <w:t> </w:t>
      </w:r>
      <w:r w:rsidRPr="009C5C64">
        <w:rPr>
          <w:rFonts w:eastAsia="TimesNewRomanPSMT"/>
          <w:sz w:val="22"/>
          <w:szCs w:val="22"/>
          <w:lang w:eastAsia="sk-SK"/>
        </w:rPr>
        <w:t>mg trikrát denne) na farmakokinetiku jednorazovej dávky</w:t>
      </w:r>
    </w:p>
    <w:p w14:paraId="0D98FACD" w14:textId="386EC9D5" w:rsid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 a vplyv 7-dňového podávania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 (10</w:t>
      </w:r>
      <w:r w:rsidR="005C0B5D">
        <w:rPr>
          <w:rFonts w:eastAsia="TimesNewRomanPSMT"/>
          <w:sz w:val="22"/>
          <w:szCs w:val="22"/>
          <w:lang w:eastAsia="sk-SK"/>
        </w:rPr>
        <w:t> </w:t>
      </w:r>
      <w:r w:rsidRPr="009C5C64">
        <w:rPr>
          <w:rFonts w:eastAsia="TimesNewRomanPSMT"/>
          <w:sz w:val="22"/>
          <w:szCs w:val="22"/>
          <w:lang w:eastAsia="sk-SK"/>
        </w:rPr>
        <w:t>mg jedenkrát denne) na farmakokinetiku jednorazovej dávky sildenafilu bol skúmaný u 19 zdravých dobrovoľníkov. Po súbežnom podávaní</w:t>
      </w:r>
      <w:r>
        <w:rPr>
          <w:rFonts w:eastAsia="TimesNewRomanPSMT"/>
          <w:sz w:val="22"/>
          <w:szCs w:val="22"/>
          <w:lang w:eastAsia="sk-SK"/>
        </w:rPr>
        <w:t xml:space="preserve"> </w:t>
      </w:r>
      <w:r w:rsidRPr="009C5C64">
        <w:rPr>
          <w:rFonts w:eastAsia="TimesNewRomanPSMT"/>
          <w:sz w:val="22"/>
          <w:szCs w:val="22"/>
          <w:lang w:eastAsia="sk-SK"/>
        </w:rPr>
        <w:t>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 xml:space="preserve">nu sa hodnota </w:t>
      </w:r>
      <w:r w:rsidR="00E86D8F">
        <w:rPr>
          <w:rFonts w:eastAsia="TimesNewRomanPSMT"/>
          <w:sz w:val="22"/>
          <w:szCs w:val="22"/>
          <w:lang w:eastAsia="sk-SK"/>
        </w:rPr>
        <w:t>c</w:t>
      </w:r>
      <w:r w:rsidRPr="009C5C64">
        <w:rPr>
          <w:rFonts w:eastAsia="TimesNewRomanPSMT"/>
          <w:sz w:val="22"/>
          <w:szCs w:val="22"/>
          <w:vertAlign w:val="subscript"/>
          <w:lang w:eastAsia="sk-SK"/>
        </w:rPr>
        <w:t>max</w:t>
      </w:r>
      <w:r w:rsidRPr="009C5C64">
        <w:rPr>
          <w:rFonts w:eastAsia="TimesNewRomanPSMT"/>
          <w:sz w:val="22"/>
          <w:szCs w:val="22"/>
          <w:lang w:eastAsia="sk-SK"/>
        </w:rPr>
        <w:t xml:space="preserve"> sildenafilu zvýšila o 13 %, avšak okrem toho sa nezistili žiadne ďalšie</w:t>
      </w:r>
      <w:r>
        <w:rPr>
          <w:rFonts w:eastAsia="TimesNewRomanPSMT"/>
          <w:sz w:val="22"/>
          <w:szCs w:val="22"/>
          <w:lang w:eastAsia="sk-SK"/>
        </w:rPr>
        <w:t xml:space="preserve"> </w:t>
      </w:r>
      <w:r w:rsidRPr="009C5C64">
        <w:rPr>
          <w:rFonts w:eastAsia="TimesNewRomanPSMT"/>
          <w:sz w:val="22"/>
          <w:szCs w:val="22"/>
          <w:lang w:eastAsia="sk-SK"/>
        </w:rPr>
        <w:t>zmeny farmakokinetických parametrov sildenafilu, N-demetylsildenafilu a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nu. Toto</w:t>
      </w:r>
      <w:r>
        <w:rPr>
          <w:rFonts w:eastAsia="TimesNewRomanPSMT"/>
          <w:sz w:val="22"/>
          <w:szCs w:val="22"/>
          <w:lang w:eastAsia="sk-SK"/>
        </w:rPr>
        <w:t xml:space="preserve"> </w:t>
      </w:r>
      <w:r w:rsidRPr="009C5C64">
        <w:rPr>
          <w:rFonts w:eastAsia="TimesNewRomanPSMT"/>
          <w:sz w:val="22"/>
          <w:szCs w:val="22"/>
          <w:lang w:eastAsia="sk-SK"/>
        </w:rPr>
        <w:t xml:space="preserve">mierne zvýšenie hodnoty </w:t>
      </w:r>
      <w:r w:rsidR="00E86D8F">
        <w:rPr>
          <w:rFonts w:eastAsia="TimesNewRomanPSMT"/>
          <w:sz w:val="22"/>
          <w:szCs w:val="22"/>
          <w:lang w:eastAsia="sk-SK"/>
        </w:rPr>
        <w:t>c</w:t>
      </w:r>
      <w:r w:rsidRPr="009C5C64">
        <w:rPr>
          <w:rFonts w:eastAsia="TimesNewRomanPSMT"/>
          <w:sz w:val="22"/>
          <w:szCs w:val="22"/>
          <w:vertAlign w:val="subscript"/>
          <w:lang w:eastAsia="sk-SK"/>
        </w:rPr>
        <w:t>max</w:t>
      </w:r>
      <w:r w:rsidRPr="009C5C64">
        <w:rPr>
          <w:rFonts w:eastAsia="TimesNewRomanPSMT"/>
          <w:sz w:val="22"/>
          <w:szCs w:val="22"/>
          <w:lang w:eastAsia="sk-SK"/>
        </w:rPr>
        <w:t xml:space="preserve"> sildenafilu sa nepovažuje za klinicky významné (pozri časť 4.5).</w:t>
      </w:r>
    </w:p>
    <w:p w14:paraId="0D98FACE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</w:p>
    <w:p w14:paraId="0D98FACF" w14:textId="0D41B1B9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Vplyv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 v rovnovážnom stave (10</w:t>
      </w:r>
      <w:r w:rsidR="005C0B5D">
        <w:rPr>
          <w:rFonts w:eastAsia="TimesNewRomanPSMT"/>
          <w:sz w:val="22"/>
          <w:szCs w:val="22"/>
          <w:lang w:eastAsia="sk-SK"/>
        </w:rPr>
        <w:t> </w:t>
      </w:r>
      <w:r w:rsidRPr="009C5C64">
        <w:rPr>
          <w:rFonts w:eastAsia="TimesNewRomanPSMT"/>
          <w:sz w:val="22"/>
          <w:szCs w:val="22"/>
          <w:lang w:eastAsia="sk-SK"/>
        </w:rPr>
        <w:t>mg jedenkrát denne) na farmakokinetiku jednorazovej</w:t>
      </w:r>
    </w:p>
    <w:p w14:paraId="0D98FAD0" w14:textId="2E5EA6B9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dávky tadalafilu a vplyv tadalafilu v rovnovážnom stave (40</w:t>
      </w:r>
      <w:r w:rsidR="005C0B5D">
        <w:rPr>
          <w:rFonts w:eastAsia="TimesNewRomanPSMT"/>
          <w:sz w:val="22"/>
          <w:szCs w:val="22"/>
          <w:lang w:eastAsia="sk-SK"/>
        </w:rPr>
        <w:t> </w:t>
      </w:r>
      <w:r w:rsidRPr="009C5C64">
        <w:rPr>
          <w:rFonts w:eastAsia="TimesNewRomanPSMT"/>
          <w:sz w:val="22"/>
          <w:szCs w:val="22"/>
          <w:lang w:eastAsia="sk-SK"/>
        </w:rPr>
        <w:t>mg jedenkrát denne) na farmakokinetiku</w:t>
      </w:r>
    </w:p>
    <w:p w14:paraId="0D98FAD1" w14:textId="6E5634CE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jednorazovej dávky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 bol skúmaný u 23 zdravých dobrovoľníkov.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 nemal</w:t>
      </w:r>
    </w:p>
    <w:p w14:paraId="0D98FAD2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žiadny klinicky významný vplyv na farmakokinetiku tadalafilu. Podobne ani súbežné podávanie</w:t>
      </w:r>
    </w:p>
    <w:p w14:paraId="0D98FAD3" w14:textId="7C34C5A8" w:rsid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tadalafilu nemalo vplyv na farmakokinetiku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 (pozri časť 4.5).</w:t>
      </w:r>
    </w:p>
    <w:p w14:paraId="0D98FAD4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</w:p>
    <w:p w14:paraId="0D98FAD5" w14:textId="20122B54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Vplyv opakovaného podávania ketokonazolu (400</w:t>
      </w:r>
      <w:r w:rsidR="005C0B5D">
        <w:rPr>
          <w:rFonts w:eastAsia="TimesNewRomanPSMT"/>
          <w:sz w:val="22"/>
          <w:szCs w:val="22"/>
          <w:lang w:eastAsia="sk-SK"/>
        </w:rPr>
        <w:t> </w:t>
      </w:r>
      <w:r w:rsidRPr="009C5C64">
        <w:rPr>
          <w:rFonts w:eastAsia="TimesNewRomanPSMT"/>
          <w:sz w:val="22"/>
          <w:szCs w:val="22"/>
          <w:lang w:eastAsia="sk-SK"/>
        </w:rPr>
        <w:t>mg jedenkrát denne) na farmakokinetiku</w:t>
      </w:r>
    </w:p>
    <w:p w14:paraId="0D98FAD6" w14:textId="74FD0C12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jednorazovej  dávky </w:t>
      </w:r>
      <w:r w:rsidR="00E86D8F">
        <w:rPr>
          <w:rFonts w:eastAsia="TimesNewRomanPSMT"/>
          <w:sz w:val="22"/>
          <w:szCs w:val="22"/>
          <w:lang w:eastAsia="sk-SK"/>
        </w:rPr>
        <w:t xml:space="preserve">10 mg </w:t>
      </w:r>
      <w:r w:rsidRPr="009C5C64">
        <w:rPr>
          <w:rFonts w:eastAsia="TimesNewRomanPSMT"/>
          <w:sz w:val="22"/>
          <w:szCs w:val="22"/>
          <w:lang w:eastAsia="sk-SK"/>
        </w:rPr>
        <w:t>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 bol skúmaný u 16 zdravých dobrovoľníkov.</w:t>
      </w:r>
    </w:p>
    <w:p w14:paraId="0D98FAD7" w14:textId="34D43536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Expozícia</w:t>
      </w:r>
      <w:r>
        <w:rPr>
          <w:rFonts w:eastAsia="TimesNewRomanPSMT"/>
          <w:sz w:val="22"/>
          <w:szCs w:val="22"/>
          <w:lang w:eastAsia="sk-SK"/>
        </w:rPr>
        <w:t xml:space="preserve"> </w:t>
      </w:r>
      <w:r w:rsidRPr="009C5C64">
        <w:rPr>
          <w:rFonts w:eastAsia="TimesNewRomanPSMT"/>
          <w:sz w:val="22"/>
          <w:szCs w:val="22"/>
          <w:lang w:eastAsia="sk-SK"/>
        </w:rPr>
        <w:t>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 sa zvýšila o</w:t>
      </w:r>
      <w:r w:rsidR="00B044FA">
        <w:rPr>
          <w:rFonts w:eastAsia="TimesNewRomanPSMT"/>
          <w:sz w:val="22"/>
          <w:szCs w:val="22"/>
          <w:lang w:eastAsia="sk-SK"/>
        </w:rPr>
        <w:t xml:space="preserve"> 35 % pri hodnotení pomocou AUC</w:t>
      </w:r>
      <w:r w:rsidRPr="00B044FA">
        <w:rPr>
          <w:rFonts w:eastAsia="TimesNewRomanPSMT"/>
          <w:sz w:val="22"/>
          <w:szCs w:val="22"/>
          <w:vertAlign w:val="subscript"/>
          <w:lang w:eastAsia="sk-SK"/>
        </w:rPr>
        <w:t>(0–inf)</w:t>
      </w:r>
      <w:r w:rsidRPr="009C5C64">
        <w:rPr>
          <w:rFonts w:eastAsia="TimesNewRomanPSMT"/>
          <w:sz w:val="22"/>
          <w:szCs w:val="22"/>
          <w:lang w:eastAsia="sk-SK"/>
        </w:rPr>
        <w:t xml:space="preserve"> a o 20 % pri hodnotení pomocou </w:t>
      </w:r>
      <w:r w:rsidR="00E86D8F">
        <w:rPr>
          <w:rFonts w:eastAsia="TimesNewRomanPSMT"/>
          <w:sz w:val="22"/>
          <w:szCs w:val="22"/>
          <w:lang w:eastAsia="sk-SK"/>
        </w:rPr>
        <w:t>c</w:t>
      </w:r>
      <w:r w:rsidRPr="009C5C64">
        <w:rPr>
          <w:rFonts w:eastAsia="TimesNewRomanPSMT"/>
          <w:sz w:val="22"/>
          <w:szCs w:val="22"/>
          <w:vertAlign w:val="subscript"/>
          <w:lang w:eastAsia="sk-SK"/>
        </w:rPr>
        <w:t>max</w:t>
      </w:r>
      <w:r w:rsidRPr="009C5C64">
        <w:rPr>
          <w:rFonts w:eastAsia="TimesNewRomanPSMT"/>
          <w:sz w:val="22"/>
          <w:szCs w:val="22"/>
          <w:lang w:eastAsia="sk-SK"/>
        </w:rPr>
        <w:t xml:space="preserve"> . Táto zmena expozície pravdepodobne nie je klinicky významná, a preto sa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 xml:space="preserve">n môže podávať súbežne s ketokonazolom. </w:t>
      </w:r>
    </w:p>
    <w:p w14:paraId="0D98FAD8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 </w:t>
      </w:r>
    </w:p>
    <w:p w14:paraId="0D98FAD9" w14:textId="0AAF59A8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Vplyv opakovaného podávania cyklosporínu A (100 – 150</w:t>
      </w:r>
      <w:r w:rsidR="005C0B5D">
        <w:rPr>
          <w:rFonts w:eastAsia="TimesNewRomanPSMT"/>
          <w:sz w:val="22"/>
          <w:szCs w:val="22"/>
          <w:lang w:eastAsia="sk-SK"/>
        </w:rPr>
        <w:t> </w:t>
      </w:r>
      <w:r w:rsidRPr="009C5C64">
        <w:rPr>
          <w:rFonts w:eastAsia="TimesNewRomanPSMT"/>
          <w:sz w:val="22"/>
          <w:szCs w:val="22"/>
          <w:lang w:eastAsia="sk-SK"/>
        </w:rPr>
        <w:t xml:space="preserve">mg dvakrát denne) na farmakokinetiku </w:t>
      </w:r>
    </w:p>
    <w:p w14:paraId="0D98FADA" w14:textId="7A2B62A3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 (5</w:t>
      </w:r>
      <w:r w:rsidR="005C0B5D">
        <w:rPr>
          <w:rFonts w:eastAsia="TimesNewRomanPSMT"/>
          <w:sz w:val="22"/>
          <w:szCs w:val="22"/>
          <w:lang w:eastAsia="sk-SK"/>
        </w:rPr>
        <w:t> </w:t>
      </w:r>
      <w:r w:rsidRPr="009C5C64">
        <w:rPr>
          <w:rFonts w:eastAsia="TimesNewRomanPSMT"/>
          <w:sz w:val="22"/>
          <w:szCs w:val="22"/>
          <w:lang w:eastAsia="sk-SK"/>
        </w:rPr>
        <w:t xml:space="preserve">mg jedenkrát denne) v rovnovážnom stave a vplyv opakovaného podávania </w:t>
      </w:r>
    </w:p>
    <w:p w14:paraId="0D98FADB" w14:textId="6D73EDCA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 (5</w:t>
      </w:r>
      <w:r w:rsidR="005C0B5D">
        <w:rPr>
          <w:rFonts w:eastAsia="TimesNewRomanPSMT"/>
          <w:sz w:val="22"/>
          <w:szCs w:val="22"/>
          <w:lang w:eastAsia="sk-SK"/>
        </w:rPr>
        <w:t> </w:t>
      </w:r>
      <w:r w:rsidRPr="009C5C64">
        <w:rPr>
          <w:rFonts w:eastAsia="TimesNewRomanPSMT"/>
          <w:sz w:val="22"/>
          <w:szCs w:val="22"/>
          <w:lang w:eastAsia="sk-SK"/>
        </w:rPr>
        <w:t>mg jedenkrát denne) na farmakokinetiku cyklosporínu A (100 – 150</w:t>
      </w:r>
      <w:r w:rsidR="005C0B5D">
        <w:rPr>
          <w:rFonts w:eastAsia="TimesNewRomanPSMT"/>
          <w:sz w:val="22"/>
          <w:szCs w:val="22"/>
          <w:lang w:eastAsia="sk-SK"/>
        </w:rPr>
        <w:t> </w:t>
      </w:r>
      <w:r w:rsidRPr="009C5C64">
        <w:rPr>
          <w:rFonts w:eastAsia="TimesNewRomanPSMT"/>
          <w:sz w:val="22"/>
          <w:szCs w:val="22"/>
          <w:lang w:eastAsia="sk-SK"/>
        </w:rPr>
        <w:t xml:space="preserve">mg dvakrát </w:t>
      </w:r>
    </w:p>
    <w:p w14:paraId="0D98FADC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denne) v rovnovážnom stave bol skúmaný u zdravých dobrovoľníkov. Pri podávaní opakovaných </w:t>
      </w:r>
    </w:p>
    <w:p w14:paraId="0D98FADD" w14:textId="3F2A3992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dávok cyklosporínu A došlo k zvýšeniu hodnoty </w:t>
      </w:r>
      <w:r w:rsidR="00E86D8F">
        <w:rPr>
          <w:rFonts w:eastAsia="TimesNewRomanPSMT"/>
          <w:sz w:val="22"/>
          <w:szCs w:val="22"/>
          <w:lang w:eastAsia="sk-SK"/>
        </w:rPr>
        <w:t>c</w:t>
      </w:r>
      <w:r w:rsidRPr="009C5C64">
        <w:rPr>
          <w:rFonts w:eastAsia="TimesNewRomanPSMT"/>
          <w:sz w:val="22"/>
          <w:szCs w:val="22"/>
          <w:vertAlign w:val="subscript"/>
          <w:lang w:eastAsia="sk-SK"/>
        </w:rPr>
        <w:t>max</w:t>
      </w:r>
      <w:r w:rsidR="00B044FA">
        <w:rPr>
          <w:rFonts w:eastAsia="TimesNewRomanPSMT"/>
          <w:sz w:val="22"/>
          <w:szCs w:val="22"/>
          <w:lang w:eastAsia="sk-SK"/>
        </w:rPr>
        <w:t xml:space="preserve"> </w:t>
      </w:r>
      <w:r w:rsidR="00B044FA" w:rsidRPr="00EA33F6">
        <w:rPr>
          <w:rFonts w:eastAsia="TimesNewRomanPSMT"/>
          <w:sz w:val="22"/>
          <w:szCs w:val="22"/>
          <w:lang w:eastAsia="sk-SK"/>
        </w:rPr>
        <w:t>a AUC</w:t>
      </w:r>
      <w:r w:rsidRPr="00EA33F6">
        <w:rPr>
          <w:rFonts w:eastAsia="TimesNewRomanPSMT"/>
          <w:sz w:val="22"/>
          <w:szCs w:val="22"/>
          <w:vertAlign w:val="subscript"/>
          <w:lang w:eastAsia="sk-SK"/>
        </w:rPr>
        <w:t>(0–τ)</w:t>
      </w:r>
      <w:r w:rsidRPr="00EA33F6">
        <w:rPr>
          <w:rFonts w:eastAsia="TimesNewRomanPSMT"/>
          <w:sz w:val="22"/>
          <w:szCs w:val="22"/>
          <w:lang w:eastAsia="sk-SK"/>
        </w:rPr>
        <w:t xml:space="preserve"> ambrisent</w:t>
      </w:r>
      <w:r w:rsidR="00E86D8F" w:rsidRPr="00EA33F6">
        <w:rPr>
          <w:rFonts w:eastAsia="TimesNewRomanPSMT"/>
          <w:sz w:val="22"/>
          <w:szCs w:val="22"/>
          <w:lang w:eastAsia="sk-SK"/>
        </w:rPr>
        <w:t>á</w:t>
      </w:r>
      <w:r w:rsidRPr="00EA33F6">
        <w:rPr>
          <w:rFonts w:eastAsia="TimesNewRomanPSMT"/>
          <w:sz w:val="22"/>
          <w:szCs w:val="22"/>
          <w:lang w:eastAsia="sk-SK"/>
        </w:rPr>
        <w:t>nu</w:t>
      </w:r>
      <w:r w:rsidRPr="009C5C64">
        <w:rPr>
          <w:rFonts w:eastAsia="TimesNewRomanPSMT"/>
          <w:sz w:val="22"/>
          <w:szCs w:val="22"/>
          <w:lang w:eastAsia="sk-SK"/>
        </w:rPr>
        <w:t xml:space="preserve"> (48 % a 121 %, v tomto poradí). Na základe týchto zmien sa má pri súbežnom podávaní cyklosporínu A dávka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 obmedziť na 5</w:t>
      </w:r>
      <w:r w:rsidR="005C0B5D">
        <w:rPr>
          <w:rFonts w:eastAsia="TimesNewRomanPSMT"/>
          <w:sz w:val="22"/>
          <w:szCs w:val="22"/>
          <w:lang w:eastAsia="sk-SK"/>
        </w:rPr>
        <w:t> </w:t>
      </w:r>
      <w:r w:rsidRPr="009C5C64">
        <w:rPr>
          <w:rFonts w:eastAsia="TimesNewRomanPSMT"/>
          <w:sz w:val="22"/>
          <w:szCs w:val="22"/>
          <w:lang w:eastAsia="sk-SK"/>
        </w:rPr>
        <w:t>mg jedenkrát denne (pozri časť 4.2). Podávanie opakovaných dávok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 xml:space="preserve">nu však nemalo klinicky významný vplyv na expozíciu cyklosporínu A a úprava dávky cyklosporínu A nie je potrebná. </w:t>
      </w:r>
    </w:p>
    <w:p w14:paraId="0D98FADE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 </w:t>
      </w:r>
    </w:p>
    <w:p w14:paraId="0D98FADF" w14:textId="765F496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Vplyv akútneho a opakovaného podávania rifampicínu (600</w:t>
      </w:r>
      <w:r w:rsidR="005C0B5D">
        <w:rPr>
          <w:rFonts w:eastAsia="TimesNewRomanPSMT"/>
          <w:sz w:val="22"/>
          <w:szCs w:val="22"/>
          <w:lang w:eastAsia="sk-SK"/>
        </w:rPr>
        <w:t> </w:t>
      </w:r>
      <w:r w:rsidRPr="009C5C64">
        <w:rPr>
          <w:rFonts w:eastAsia="TimesNewRomanPSMT"/>
          <w:sz w:val="22"/>
          <w:szCs w:val="22"/>
          <w:lang w:eastAsia="sk-SK"/>
        </w:rPr>
        <w:t xml:space="preserve">mg jedenkrát denne) na farmakokinetiku </w:t>
      </w:r>
    </w:p>
    <w:p w14:paraId="0D98FAE0" w14:textId="6AAC5083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 (10</w:t>
      </w:r>
      <w:r w:rsidR="005C0B5D">
        <w:rPr>
          <w:rFonts w:eastAsia="TimesNewRomanPSMT"/>
          <w:sz w:val="22"/>
          <w:szCs w:val="22"/>
          <w:lang w:eastAsia="sk-SK"/>
        </w:rPr>
        <w:t> </w:t>
      </w:r>
      <w:r w:rsidRPr="009C5C64">
        <w:rPr>
          <w:rFonts w:eastAsia="TimesNewRomanPSMT"/>
          <w:sz w:val="22"/>
          <w:szCs w:val="22"/>
          <w:lang w:eastAsia="sk-SK"/>
        </w:rPr>
        <w:t xml:space="preserve">mg jedenkrát denne) v rovnovážnom stave bol sledovaný u zdravých </w:t>
      </w:r>
      <w:r w:rsidRPr="00EA33F6">
        <w:rPr>
          <w:rFonts w:eastAsia="TimesNewRomanPSMT"/>
          <w:sz w:val="22"/>
          <w:szCs w:val="22"/>
          <w:lang w:eastAsia="sk-SK"/>
        </w:rPr>
        <w:t>dobrovoľníkov. Po podaní úvodných dávok rifampicínu sa pozoroval</w:t>
      </w:r>
      <w:r w:rsidR="00B044FA" w:rsidRPr="00EA33F6">
        <w:rPr>
          <w:rFonts w:eastAsia="TimesNewRomanPSMT"/>
          <w:sz w:val="22"/>
          <w:szCs w:val="22"/>
          <w:lang w:eastAsia="sk-SK"/>
        </w:rPr>
        <w:t>o prechodné zvýšenie hodnôt AUC</w:t>
      </w:r>
      <w:r w:rsidRPr="00EA33F6">
        <w:rPr>
          <w:rFonts w:eastAsia="TimesNewRomanPSMT"/>
          <w:sz w:val="22"/>
          <w:szCs w:val="22"/>
          <w:vertAlign w:val="subscript"/>
          <w:lang w:eastAsia="sk-SK"/>
        </w:rPr>
        <w:t>(0–τ)</w:t>
      </w:r>
      <w:r w:rsidRPr="00EA33F6">
        <w:rPr>
          <w:rFonts w:eastAsia="TimesNewRomanPSMT"/>
          <w:sz w:val="22"/>
          <w:szCs w:val="22"/>
          <w:lang w:eastAsia="sk-SK"/>
        </w:rPr>
        <w:t xml:space="preserve"> ambrisent</w:t>
      </w:r>
      <w:r w:rsidR="00E86D8F" w:rsidRPr="00EA33F6">
        <w:rPr>
          <w:rFonts w:eastAsia="TimesNewRomanPSMT"/>
          <w:sz w:val="22"/>
          <w:szCs w:val="22"/>
          <w:lang w:eastAsia="sk-SK"/>
        </w:rPr>
        <w:t>á</w:t>
      </w:r>
      <w:r w:rsidRPr="00EA33F6">
        <w:rPr>
          <w:rFonts w:eastAsia="TimesNewRomanPSMT"/>
          <w:sz w:val="22"/>
          <w:szCs w:val="22"/>
          <w:lang w:eastAsia="sk-SK"/>
        </w:rPr>
        <w:t>nu</w:t>
      </w:r>
      <w:r w:rsidRPr="009C5C64">
        <w:rPr>
          <w:rFonts w:eastAsia="TimesNewRomanPSMT"/>
          <w:sz w:val="22"/>
          <w:szCs w:val="22"/>
          <w:lang w:eastAsia="sk-SK"/>
        </w:rPr>
        <w:t xml:space="preserve"> (o 121 % po prvej dávke a o 116 % po druhej dávke rifampicínu), pravdepodobne kvôli inhibícii OATP spôsobenej rifampicínom. Po podávaní opakovaných dávok rifampicínu sa však na 8. deň nezistil klinicky významný vplyv na expozíciu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nu. Pacienti užívajúci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 xml:space="preserve">n majú byť starostlivo sledovaní pri začatí liečby rifampicínom (pozri časti 4.4 a 4.5). </w:t>
      </w:r>
    </w:p>
    <w:p w14:paraId="0D98FAE1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 </w:t>
      </w:r>
    </w:p>
    <w:p w14:paraId="0D98FAE2" w14:textId="29AEEE80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Vplyv opakovaného podávania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 (10</w:t>
      </w:r>
      <w:r w:rsidR="00323FB0">
        <w:rPr>
          <w:rFonts w:eastAsia="TimesNewRomanPSMT"/>
          <w:sz w:val="22"/>
          <w:szCs w:val="22"/>
          <w:lang w:eastAsia="sk-SK"/>
        </w:rPr>
        <w:t> </w:t>
      </w:r>
      <w:r w:rsidRPr="009C5C64">
        <w:rPr>
          <w:rFonts w:eastAsia="TimesNewRomanPSMT"/>
          <w:sz w:val="22"/>
          <w:szCs w:val="22"/>
          <w:lang w:eastAsia="sk-SK"/>
        </w:rPr>
        <w:t xml:space="preserve">mg) na farmakokinetiku jednorazovej dávky </w:t>
      </w:r>
    </w:p>
    <w:p w14:paraId="0D98FAE3" w14:textId="37006F94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digoxínu bol skúmaný u 15 zdravých dobrovoľníkov. Podávanie opakovaných dávok ambrisent</w:t>
      </w:r>
      <w:r w:rsidR="00E86D8F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 xml:space="preserve">nu </w:t>
      </w:r>
    </w:p>
    <w:p w14:paraId="0D98FAE4" w14:textId="7C377DB8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lastRenderedPageBreak/>
        <w:t>spôsobilo mierne zvýšenie AUC</w:t>
      </w:r>
      <w:r w:rsidRPr="000C2E13">
        <w:rPr>
          <w:rFonts w:eastAsia="TimesNewRomanPSMT"/>
          <w:sz w:val="22"/>
          <w:szCs w:val="22"/>
          <w:vertAlign w:val="subscript"/>
          <w:lang w:eastAsia="sk-SK"/>
        </w:rPr>
        <w:t>0–last</w:t>
      </w:r>
      <w:r w:rsidRPr="009C5C64">
        <w:rPr>
          <w:rFonts w:eastAsia="TimesNewRomanPSMT"/>
          <w:sz w:val="22"/>
          <w:szCs w:val="22"/>
          <w:lang w:eastAsia="sk-SK"/>
        </w:rPr>
        <w:t xml:space="preserve"> a minimálnych (trough) koncentrácií digoxínu a zvýšenie </w:t>
      </w:r>
      <w:r w:rsidR="006C1964">
        <w:rPr>
          <w:rFonts w:eastAsia="TimesNewRomanPSMT"/>
          <w:sz w:val="22"/>
          <w:szCs w:val="22"/>
          <w:lang w:eastAsia="sk-SK"/>
        </w:rPr>
        <w:t>c</w:t>
      </w:r>
      <w:r w:rsidRPr="009C5C64">
        <w:rPr>
          <w:rFonts w:eastAsia="TimesNewRomanPSMT"/>
          <w:sz w:val="22"/>
          <w:szCs w:val="22"/>
          <w:vertAlign w:val="subscript"/>
          <w:lang w:eastAsia="sk-SK"/>
        </w:rPr>
        <w:t>max</w:t>
      </w:r>
      <w:r w:rsidRPr="009C5C64">
        <w:rPr>
          <w:rFonts w:eastAsia="TimesNewRomanPSMT"/>
          <w:sz w:val="22"/>
          <w:szCs w:val="22"/>
          <w:lang w:eastAsia="sk-SK"/>
        </w:rPr>
        <w:t xml:space="preserve"> digoxínu o 29 %. Zvýšenie expozície digoxínu pozorované po podávaní opakovaných dávok </w:t>
      </w:r>
    </w:p>
    <w:p w14:paraId="0D98FAE5" w14:textId="77DEF35A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ambrisent</w:t>
      </w:r>
      <w:r w:rsidR="006C1964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 xml:space="preserve">nu sa nepovažovalo za klinicky významné a úprava dávky digoxínu nie je potrebná (pozri </w:t>
      </w:r>
    </w:p>
    <w:p w14:paraId="0D98FAE6" w14:textId="77777777" w:rsid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časť 4.5).</w:t>
      </w:r>
    </w:p>
    <w:p w14:paraId="0D98FAE7" w14:textId="77777777" w:rsid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</w:p>
    <w:p w14:paraId="0D98FAE8" w14:textId="3F2AB91C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Vplyv 12-dňového podávania ambrisent</w:t>
      </w:r>
      <w:r w:rsidR="006C1964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>nu (10</w:t>
      </w:r>
      <w:r w:rsidR="00323FB0">
        <w:rPr>
          <w:rFonts w:eastAsia="TimesNewRomanPSMT"/>
          <w:sz w:val="22"/>
          <w:szCs w:val="22"/>
          <w:lang w:eastAsia="sk-SK"/>
        </w:rPr>
        <w:t> </w:t>
      </w:r>
      <w:r w:rsidRPr="009C5C64">
        <w:rPr>
          <w:rFonts w:eastAsia="TimesNewRomanPSMT"/>
          <w:sz w:val="22"/>
          <w:szCs w:val="22"/>
          <w:lang w:eastAsia="sk-SK"/>
        </w:rPr>
        <w:t xml:space="preserve">mg jedenkrát denne) na farmakokinetiku jednorazovej </w:t>
      </w:r>
    </w:p>
    <w:p w14:paraId="0D98FAE9" w14:textId="5EAEBAEB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dávky perorálneho kontraceptíva obsahujúceho etinylestradiol (35 μg) a noretindrón (1</w:t>
      </w:r>
      <w:r w:rsidR="00323FB0">
        <w:rPr>
          <w:rFonts w:eastAsia="TimesNewRomanPSMT"/>
          <w:sz w:val="22"/>
          <w:szCs w:val="22"/>
          <w:lang w:eastAsia="sk-SK"/>
        </w:rPr>
        <w:t> </w:t>
      </w:r>
      <w:r w:rsidRPr="009C5C64">
        <w:rPr>
          <w:rFonts w:eastAsia="TimesNewRomanPSMT"/>
          <w:sz w:val="22"/>
          <w:szCs w:val="22"/>
          <w:lang w:eastAsia="sk-SK"/>
        </w:rPr>
        <w:t xml:space="preserve">mg) bol </w:t>
      </w:r>
    </w:p>
    <w:p w14:paraId="0D98FAEA" w14:textId="2FA2F28A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skúmaný u zdravých dobrovoľníkov. </w:t>
      </w:r>
      <w:r w:rsidR="006C1964">
        <w:rPr>
          <w:rFonts w:eastAsia="TimesNewRomanPSMT"/>
          <w:sz w:val="22"/>
          <w:szCs w:val="22"/>
          <w:lang w:eastAsia="sk-SK"/>
        </w:rPr>
        <w:t>c</w:t>
      </w:r>
      <w:r w:rsidRPr="009C5C64">
        <w:rPr>
          <w:rFonts w:eastAsia="TimesNewRomanPSMT"/>
          <w:sz w:val="22"/>
          <w:szCs w:val="22"/>
          <w:vertAlign w:val="subscript"/>
          <w:lang w:eastAsia="sk-SK"/>
        </w:rPr>
        <w:t>max</w:t>
      </w:r>
      <w:r w:rsidRPr="009C5C64">
        <w:rPr>
          <w:rFonts w:eastAsia="TimesNewRomanPSMT"/>
          <w:sz w:val="22"/>
          <w:szCs w:val="22"/>
          <w:lang w:eastAsia="sk-SK"/>
        </w:rPr>
        <w:t xml:space="preserve"> a AUC</w:t>
      </w:r>
      <w:r w:rsidRPr="000C2E13">
        <w:rPr>
          <w:rFonts w:eastAsia="TimesNewRomanPSMT"/>
          <w:sz w:val="22"/>
          <w:szCs w:val="22"/>
          <w:vertAlign w:val="subscript"/>
          <w:lang w:eastAsia="sk-SK"/>
        </w:rPr>
        <w:t>(0–</w:t>
      </w:r>
      <w:r w:rsidRPr="000C2E13">
        <w:rPr>
          <w:rFonts w:eastAsia="TimesNewRomanPSMT" w:hint="eastAsia"/>
          <w:sz w:val="22"/>
          <w:szCs w:val="22"/>
          <w:vertAlign w:val="subscript"/>
          <w:lang w:eastAsia="sk-SK"/>
        </w:rPr>
        <w:t>∞</w:t>
      </w:r>
      <w:r w:rsidRPr="000C2E13">
        <w:rPr>
          <w:rFonts w:eastAsia="TimesNewRomanPSMT"/>
          <w:sz w:val="22"/>
          <w:szCs w:val="22"/>
          <w:vertAlign w:val="subscript"/>
          <w:lang w:eastAsia="sk-SK"/>
        </w:rPr>
        <w:t xml:space="preserve">) </w:t>
      </w:r>
      <w:r w:rsidRPr="009C5C64">
        <w:rPr>
          <w:rFonts w:eastAsia="TimesNewRomanPSMT"/>
          <w:sz w:val="22"/>
          <w:szCs w:val="22"/>
          <w:lang w:eastAsia="sk-SK"/>
        </w:rPr>
        <w:t>boli mierne znížené pri etinylestradiole (o 8 % a 4 %) a mierne zvýšené pri noretindróne (o 13 % a 14 %). Tieto zmeny v expozícii etinylestradiol</w:t>
      </w:r>
      <w:r w:rsidR="0061176B">
        <w:rPr>
          <w:rFonts w:eastAsia="TimesNewRomanPSMT"/>
          <w:sz w:val="22"/>
          <w:szCs w:val="22"/>
          <w:lang w:eastAsia="sk-SK"/>
        </w:rPr>
        <w:t>u</w:t>
      </w:r>
      <w:r w:rsidRPr="009C5C64">
        <w:rPr>
          <w:rFonts w:eastAsia="TimesNewRomanPSMT"/>
          <w:sz w:val="22"/>
          <w:szCs w:val="22"/>
          <w:lang w:eastAsia="sk-SK"/>
        </w:rPr>
        <w:t xml:space="preserve"> alebo noretindrón</w:t>
      </w:r>
      <w:r w:rsidR="0061176B">
        <w:rPr>
          <w:rFonts w:eastAsia="TimesNewRomanPSMT"/>
          <w:sz w:val="22"/>
          <w:szCs w:val="22"/>
          <w:lang w:eastAsia="sk-SK"/>
        </w:rPr>
        <w:t>u</w:t>
      </w:r>
      <w:r w:rsidRPr="009C5C64">
        <w:rPr>
          <w:rFonts w:eastAsia="TimesNewRomanPSMT"/>
          <w:sz w:val="22"/>
          <w:szCs w:val="22"/>
          <w:lang w:eastAsia="sk-SK"/>
        </w:rPr>
        <w:t xml:space="preserve"> boli malé a pravdepodobne nie sú klinicky významné (pozri časť 4.5). </w:t>
      </w:r>
    </w:p>
    <w:p w14:paraId="0D98FAEB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 </w:t>
      </w:r>
    </w:p>
    <w:p w14:paraId="0D98FAEC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u w:val="single"/>
          <w:lang w:eastAsia="sk-SK"/>
        </w:rPr>
      </w:pPr>
      <w:r w:rsidRPr="009C5C64">
        <w:rPr>
          <w:rFonts w:eastAsia="TimesNewRomanPSMT"/>
          <w:sz w:val="22"/>
          <w:szCs w:val="22"/>
          <w:u w:val="single"/>
          <w:lang w:eastAsia="sk-SK"/>
        </w:rPr>
        <w:t xml:space="preserve">Eliminácia </w:t>
      </w:r>
    </w:p>
    <w:p w14:paraId="0D98FAED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 </w:t>
      </w:r>
    </w:p>
    <w:p w14:paraId="0D98FAEE" w14:textId="193F6DC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Ambrisent</w:t>
      </w:r>
      <w:r w:rsidR="00E202D1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 xml:space="preserve">n a jeho metabolity sa vylučujú predovšetkým žlčou po hepatálnom a/alebo </w:t>
      </w:r>
    </w:p>
    <w:p w14:paraId="0D98FAEF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extrahepatálnom metabolizme. Po perorálnom podaní sa približne 22 % podanej dávky zistilo v moči, </w:t>
      </w:r>
    </w:p>
    <w:p w14:paraId="0D98FAF0" w14:textId="3163365F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pričom 3,3 % tvoril ambrisent</w:t>
      </w:r>
      <w:r w:rsidR="00E202D1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 xml:space="preserve">n v nezmenenej forme. Plazmatický eliminačný polčas u ľudí je </w:t>
      </w:r>
    </w:p>
    <w:p w14:paraId="0D98FAF1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v rozmedzí od 13,6 do 16,5 hodín. </w:t>
      </w:r>
    </w:p>
    <w:p w14:paraId="0D98FAF2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 </w:t>
      </w:r>
    </w:p>
    <w:p w14:paraId="0D98FAF3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u w:val="single"/>
          <w:lang w:eastAsia="sk-SK"/>
        </w:rPr>
      </w:pPr>
      <w:r w:rsidRPr="009C5C64">
        <w:rPr>
          <w:rFonts w:eastAsia="TimesNewRomanPSMT"/>
          <w:sz w:val="22"/>
          <w:szCs w:val="22"/>
          <w:u w:val="single"/>
          <w:lang w:eastAsia="sk-SK"/>
        </w:rPr>
        <w:t xml:space="preserve">Osobitné skupiny pacientov </w:t>
      </w:r>
    </w:p>
    <w:p w14:paraId="0D98FAF4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 </w:t>
      </w:r>
    </w:p>
    <w:p w14:paraId="0D98FAF5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Na základe výsledkov populačnej farmakokinetickej analýzy u zdravých dobrovoľníkov a pacientov </w:t>
      </w:r>
    </w:p>
    <w:p w14:paraId="0D98FAF6" w14:textId="4629B480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s PAH nebola farmakokinetika ambrisent</w:t>
      </w:r>
      <w:r w:rsidR="00E202D1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 xml:space="preserve">nu významne ovplyvnená pohlavím alebo vekom (pozri </w:t>
      </w:r>
    </w:p>
    <w:p w14:paraId="0D98FAF7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časť 4.2). </w:t>
      </w:r>
    </w:p>
    <w:p w14:paraId="0D98FAF8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 </w:t>
      </w:r>
    </w:p>
    <w:p w14:paraId="0D98FAF9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i/>
          <w:sz w:val="22"/>
          <w:szCs w:val="22"/>
          <w:lang w:eastAsia="sk-SK"/>
        </w:rPr>
      </w:pPr>
      <w:r w:rsidRPr="009C5C64">
        <w:rPr>
          <w:rFonts w:eastAsia="TimesNewRomanPSMT"/>
          <w:i/>
          <w:sz w:val="22"/>
          <w:szCs w:val="22"/>
          <w:lang w:eastAsia="sk-SK"/>
        </w:rPr>
        <w:t xml:space="preserve">Porucha funkcie obličiek </w:t>
      </w:r>
    </w:p>
    <w:p w14:paraId="0D98FAFA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 </w:t>
      </w:r>
    </w:p>
    <w:p w14:paraId="0D98FAFB" w14:textId="48FE721C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Ambrisent</w:t>
      </w:r>
      <w:r w:rsidR="00E202D1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 xml:space="preserve">n nepodlieha významnému renálnemu metabolizmu alebo renálnemu klírensu (exkrécii). </w:t>
      </w:r>
    </w:p>
    <w:p w14:paraId="0D98FAFC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V populačnej farmakokinetickej analýze sa zistilo, že klírens kreatinínu je štatisticky významný </w:t>
      </w:r>
    </w:p>
    <w:p w14:paraId="0D98FAFD" w14:textId="646C6D51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>kovariant ovplyvňujúci perorálny klírens ambrisent</w:t>
      </w:r>
      <w:r w:rsidR="00E202D1">
        <w:rPr>
          <w:rFonts w:eastAsia="TimesNewRomanPSMT"/>
          <w:sz w:val="22"/>
          <w:szCs w:val="22"/>
          <w:lang w:eastAsia="sk-SK"/>
        </w:rPr>
        <w:t>á</w:t>
      </w:r>
      <w:r w:rsidRPr="009C5C64">
        <w:rPr>
          <w:rFonts w:eastAsia="TimesNewRomanPSMT"/>
          <w:sz w:val="22"/>
          <w:szCs w:val="22"/>
          <w:lang w:eastAsia="sk-SK"/>
        </w:rPr>
        <w:t xml:space="preserve">nu. U pacientov so stredne ťažkou poruchou </w:t>
      </w:r>
    </w:p>
    <w:p w14:paraId="0D98FAFE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funkcie obličiek je rozsah poklesu perorálneho klírensu mierny (20 – 40 %), a preto pravdepodobne </w:t>
      </w:r>
    </w:p>
    <w:p w14:paraId="0D98FAFF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nie je klinicky významný. U pacientov s ťažkou poruchou funkcie obličiek je však potrebná opatrnosť </w:t>
      </w:r>
    </w:p>
    <w:p w14:paraId="0D98FB00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 w:rsidRPr="009C5C64">
        <w:rPr>
          <w:rFonts w:eastAsia="TimesNewRomanPSMT"/>
          <w:sz w:val="22"/>
          <w:szCs w:val="22"/>
          <w:lang w:eastAsia="sk-SK"/>
        </w:rPr>
        <w:t xml:space="preserve">(pozri časť 4.2). </w:t>
      </w:r>
    </w:p>
    <w:p w14:paraId="0D98FB01" w14:textId="77777777" w:rsidR="009C5C64" w:rsidRPr="009C5C64" w:rsidRDefault="009C5C64" w:rsidP="009C5C6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</w:p>
    <w:p w14:paraId="0D98FB02" w14:textId="77777777" w:rsidR="009C5C64" w:rsidRPr="009C5C64" w:rsidRDefault="009C5C64" w:rsidP="009C5C64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 w:rsidRPr="009C5C64">
        <w:rPr>
          <w:bCs/>
          <w:i/>
          <w:color w:val="000000"/>
          <w:sz w:val="22"/>
          <w:szCs w:val="22"/>
        </w:rPr>
        <w:t xml:space="preserve">Porucha funkcie pečene </w:t>
      </w:r>
    </w:p>
    <w:p w14:paraId="0D98FB03" w14:textId="77777777" w:rsidR="009C5C64" w:rsidRPr="009C5C64" w:rsidRDefault="009C5C64" w:rsidP="009C5C6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9C5C64">
        <w:rPr>
          <w:bCs/>
          <w:color w:val="000000"/>
          <w:sz w:val="22"/>
          <w:szCs w:val="22"/>
        </w:rPr>
        <w:t xml:space="preserve"> </w:t>
      </w:r>
    </w:p>
    <w:p w14:paraId="0D98FB04" w14:textId="2EAAB1C4" w:rsidR="009C5C64" w:rsidRPr="009C5C64" w:rsidRDefault="009C5C64" w:rsidP="009C5C6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9C5C64">
        <w:rPr>
          <w:bCs/>
          <w:color w:val="000000"/>
          <w:sz w:val="22"/>
          <w:szCs w:val="22"/>
        </w:rPr>
        <w:t>Hlavné cesty metabolizmu ambrisent</w:t>
      </w:r>
      <w:r w:rsidR="00E202D1">
        <w:rPr>
          <w:bCs/>
          <w:color w:val="000000"/>
          <w:sz w:val="22"/>
          <w:szCs w:val="22"/>
        </w:rPr>
        <w:t>á</w:t>
      </w:r>
      <w:r w:rsidRPr="009C5C64">
        <w:rPr>
          <w:bCs/>
          <w:color w:val="000000"/>
          <w:sz w:val="22"/>
          <w:szCs w:val="22"/>
        </w:rPr>
        <w:t xml:space="preserve">nu sú glukuronidácia a oxidácia, po ktorých nasleduje </w:t>
      </w:r>
    </w:p>
    <w:p w14:paraId="0D98FB05" w14:textId="657270E9" w:rsidR="009C5C64" w:rsidRPr="009C5C64" w:rsidRDefault="009C5C64" w:rsidP="009C5C6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9C5C64">
        <w:rPr>
          <w:bCs/>
          <w:color w:val="000000"/>
          <w:sz w:val="22"/>
          <w:szCs w:val="22"/>
        </w:rPr>
        <w:t>vylučovanie žlčou, a preto je možné očakávať, že porucha funkcie pečene zvýši expozíciu (</w:t>
      </w:r>
      <w:r w:rsidR="00E202D1">
        <w:rPr>
          <w:bCs/>
          <w:color w:val="000000"/>
          <w:sz w:val="22"/>
          <w:szCs w:val="22"/>
        </w:rPr>
        <w:t>c</w:t>
      </w:r>
      <w:r w:rsidRPr="00550694">
        <w:rPr>
          <w:bCs/>
          <w:color w:val="000000"/>
          <w:sz w:val="22"/>
          <w:szCs w:val="22"/>
          <w:vertAlign w:val="subscript"/>
        </w:rPr>
        <w:t>max</w:t>
      </w:r>
      <w:r w:rsidRPr="009C5C64">
        <w:rPr>
          <w:bCs/>
          <w:color w:val="000000"/>
          <w:sz w:val="22"/>
          <w:szCs w:val="22"/>
        </w:rPr>
        <w:t xml:space="preserve"> </w:t>
      </w:r>
    </w:p>
    <w:p w14:paraId="0D98FB06" w14:textId="72628A23" w:rsidR="009C5C64" w:rsidRPr="009C5C64" w:rsidRDefault="009C5C64" w:rsidP="009C5C6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9C5C64">
        <w:rPr>
          <w:bCs/>
          <w:color w:val="000000"/>
          <w:sz w:val="22"/>
          <w:szCs w:val="22"/>
        </w:rPr>
        <w:t>a AUC) ambrisent</w:t>
      </w:r>
      <w:r w:rsidR="00E202D1">
        <w:rPr>
          <w:bCs/>
          <w:color w:val="000000"/>
          <w:sz w:val="22"/>
          <w:szCs w:val="22"/>
        </w:rPr>
        <w:t>á</w:t>
      </w:r>
      <w:r w:rsidRPr="009C5C64">
        <w:rPr>
          <w:bCs/>
          <w:color w:val="000000"/>
          <w:sz w:val="22"/>
          <w:szCs w:val="22"/>
        </w:rPr>
        <w:t xml:space="preserve">nu. V populačnej farmakokinetickej analýze sa zistilo, že perorálny klírens je </w:t>
      </w:r>
    </w:p>
    <w:p w14:paraId="0D98FB07" w14:textId="77777777" w:rsidR="009C5C64" w:rsidRPr="009C5C64" w:rsidRDefault="009C5C64" w:rsidP="009C5C6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9C5C64">
        <w:rPr>
          <w:bCs/>
          <w:color w:val="000000"/>
          <w:sz w:val="22"/>
          <w:szCs w:val="22"/>
        </w:rPr>
        <w:t xml:space="preserve">znížený v dôsledku zvýšených hladín bilirubínu. Vplyv bilirubínu je však len mierne závažný </w:t>
      </w:r>
    </w:p>
    <w:p w14:paraId="0D98FB08" w14:textId="495A4558" w:rsidR="009C5C64" w:rsidRPr="009C5C64" w:rsidRDefault="009C5C64" w:rsidP="009C5C6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9C5C64">
        <w:rPr>
          <w:bCs/>
          <w:color w:val="000000"/>
          <w:sz w:val="22"/>
          <w:szCs w:val="22"/>
        </w:rPr>
        <w:t>(u pacienta s hladinou bilirubínu zvýšenou na 4,5</w:t>
      </w:r>
      <w:r w:rsidR="00323FB0">
        <w:rPr>
          <w:bCs/>
          <w:color w:val="000000"/>
          <w:sz w:val="22"/>
          <w:szCs w:val="22"/>
        </w:rPr>
        <w:t> </w:t>
      </w:r>
      <w:r w:rsidRPr="009C5C64">
        <w:rPr>
          <w:bCs/>
          <w:color w:val="000000"/>
          <w:sz w:val="22"/>
          <w:szCs w:val="22"/>
        </w:rPr>
        <w:t>mg/dl by bol perorálny klírens ambrisent</w:t>
      </w:r>
      <w:r w:rsidR="00E202D1">
        <w:rPr>
          <w:bCs/>
          <w:color w:val="000000"/>
          <w:sz w:val="22"/>
          <w:szCs w:val="22"/>
        </w:rPr>
        <w:t>á</w:t>
      </w:r>
      <w:r w:rsidRPr="009C5C64">
        <w:rPr>
          <w:bCs/>
          <w:color w:val="000000"/>
          <w:sz w:val="22"/>
          <w:szCs w:val="22"/>
        </w:rPr>
        <w:t xml:space="preserve">nu znížený </w:t>
      </w:r>
    </w:p>
    <w:p w14:paraId="0D98FB09" w14:textId="01951AAA" w:rsidR="009C5C64" w:rsidRPr="009C5C64" w:rsidRDefault="009C5C64" w:rsidP="009C5C6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9C5C64">
        <w:rPr>
          <w:bCs/>
          <w:color w:val="000000"/>
          <w:sz w:val="22"/>
          <w:szCs w:val="22"/>
        </w:rPr>
        <w:t>o približne 30 % v porovnaní s typickým pacientom s hladinou bilirubínu 0,6</w:t>
      </w:r>
      <w:r w:rsidR="00323FB0">
        <w:rPr>
          <w:bCs/>
          <w:color w:val="000000"/>
          <w:sz w:val="22"/>
          <w:szCs w:val="22"/>
        </w:rPr>
        <w:t> </w:t>
      </w:r>
      <w:r w:rsidRPr="009C5C64">
        <w:rPr>
          <w:bCs/>
          <w:color w:val="000000"/>
          <w:sz w:val="22"/>
          <w:szCs w:val="22"/>
        </w:rPr>
        <w:t xml:space="preserve">mg/dl). Farmakokinetika </w:t>
      </w:r>
    </w:p>
    <w:p w14:paraId="0D98FB0A" w14:textId="272318B6" w:rsidR="009C5C64" w:rsidRPr="009C5C64" w:rsidRDefault="009C5C64" w:rsidP="009C5C6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9C5C64">
        <w:rPr>
          <w:bCs/>
          <w:color w:val="000000"/>
          <w:sz w:val="22"/>
          <w:szCs w:val="22"/>
        </w:rPr>
        <w:t>ambrisent</w:t>
      </w:r>
      <w:r w:rsidR="00E202D1">
        <w:rPr>
          <w:bCs/>
          <w:color w:val="000000"/>
          <w:sz w:val="22"/>
          <w:szCs w:val="22"/>
        </w:rPr>
        <w:t>á</w:t>
      </w:r>
      <w:r w:rsidRPr="009C5C64">
        <w:rPr>
          <w:bCs/>
          <w:color w:val="000000"/>
          <w:sz w:val="22"/>
          <w:szCs w:val="22"/>
        </w:rPr>
        <w:t xml:space="preserve">nu nebola skúmaná u pacientov s poruchou funkcie pečene (s cirhózou alebo bez nej). </w:t>
      </w:r>
    </w:p>
    <w:p w14:paraId="0D98FB0B" w14:textId="0877CC7F" w:rsidR="009C5C64" w:rsidRPr="009C5C64" w:rsidRDefault="009C5C64" w:rsidP="009C5C6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9C5C64">
        <w:rPr>
          <w:bCs/>
          <w:color w:val="000000"/>
          <w:sz w:val="22"/>
          <w:szCs w:val="22"/>
        </w:rPr>
        <w:t>Z tohto dôvodu sa liečba ambrisent</w:t>
      </w:r>
      <w:r w:rsidR="00E202D1">
        <w:rPr>
          <w:bCs/>
          <w:color w:val="000000"/>
          <w:sz w:val="22"/>
          <w:szCs w:val="22"/>
        </w:rPr>
        <w:t>á</w:t>
      </w:r>
      <w:r w:rsidRPr="009C5C64">
        <w:rPr>
          <w:bCs/>
          <w:color w:val="000000"/>
          <w:sz w:val="22"/>
          <w:szCs w:val="22"/>
        </w:rPr>
        <w:t xml:space="preserve">nom nemá začať u pacientov s ťažkou poruchou funkcie pečene </w:t>
      </w:r>
    </w:p>
    <w:p w14:paraId="0D98FB0C" w14:textId="77777777" w:rsidR="009C5C64" w:rsidRPr="009C5C64" w:rsidRDefault="009C5C64" w:rsidP="009C5C6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9C5C64">
        <w:rPr>
          <w:bCs/>
          <w:color w:val="000000"/>
          <w:sz w:val="22"/>
          <w:szCs w:val="22"/>
        </w:rPr>
        <w:t xml:space="preserve">alebo s klinicky významne zvýšenými hodnotami pečeňových aminotransferáz (&gt; 3× ULN) (pozri </w:t>
      </w:r>
    </w:p>
    <w:p w14:paraId="0D98FB0D" w14:textId="77777777" w:rsidR="009C5C64" w:rsidRDefault="009C5C64" w:rsidP="009C5C6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9C5C64">
        <w:rPr>
          <w:bCs/>
          <w:color w:val="000000"/>
          <w:sz w:val="22"/>
          <w:szCs w:val="22"/>
        </w:rPr>
        <w:t>časti 4.3 a 4.4).</w:t>
      </w:r>
    </w:p>
    <w:p w14:paraId="0D98FB0E" w14:textId="77777777" w:rsidR="00550694" w:rsidRPr="009C5C64" w:rsidRDefault="00550694" w:rsidP="009C5C6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0D98FB0F" w14:textId="0CF758A7" w:rsidR="00D836F6" w:rsidRPr="009C5C64" w:rsidRDefault="00266F55" w:rsidP="00E6112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5.3</w:t>
      </w:r>
      <w:r w:rsidR="00FE406D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Predklinické údaje o bezpečnosti</w:t>
      </w:r>
    </w:p>
    <w:p w14:paraId="0D98FB10" w14:textId="77777777" w:rsidR="00D836F6" w:rsidRPr="009C5C64" w:rsidRDefault="00D836F6" w:rsidP="00BC51B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0D98FB11" w14:textId="76ECD776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Vzhľadom na hlavný skupinový farmakologický účinok by podanie </w:t>
      </w:r>
      <w:r w:rsidR="00E202D1" w:rsidRPr="00550694">
        <w:rPr>
          <w:sz w:val="22"/>
          <w:szCs w:val="22"/>
        </w:rPr>
        <w:t>v</w:t>
      </w:r>
      <w:r w:rsidR="00E202D1">
        <w:rPr>
          <w:sz w:val="22"/>
          <w:szCs w:val="22"/>
        </w:rPr>
        <w:t>ysokej</w:t>
      </w:r>
      <w:r w:rsidR="00E202D1" w:rsidRPr="00550694">
        <w:rPr>
          <w:sz w:val="22"/>
          <w:szCs w:val="22"/>
        </w:rPr>
        <w:t xml:space="preserve"> </w:t>
      </w:r>
      <w:r w:rsidRPr="00550694">
        <w:rPr>
          <w:sz w:val="22"/>
          <w:szCs w:val="22"/>
        </w:rPr>
        <w:t xml:space="preserve">jednorazovej dávky </w:t>
      </w:r>
    </w:p>
    <w:p w14:paraId="0D98FB12" w14:textId="7712B3F6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ambrisent</w:t>
      </w:r>
      <w:r w:rsidR="00E202D1">
        <w:rPr>
          <w:sz w:val="22"/>
          <w:szCs w:val="22"/>
        </w:rPr>
        <w:t>á</w:t>
      </w:r>
      <w:r w:rsidRPr="00550694">
        <w:rPr>
          <w:sz w:val="22"/>
          <w:szCs w:val="22"/>
        </w:rPr>
        <w:t xml:space="preserve">nu (t. j. predávkovanie) mohlo znížiť artériový tlak a mohlo by spôsobiť hypotenziu </w:t>
      </w:r>
    </w:p>
    <w:p w14:paraId="0D98FB13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a príznaky súvisiace s vazodilatáciou. </w:t>
      </w:r>
    </w:p>
    <w:p w14:paraId="0D98FB14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 </w:t>
      </w:r>
    </w:p>
    <w:p w14:paraId="0D98FB15" w14:textId="238EEC5D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Preukázalo sa, že ambrisent</w:t>
      </w:r>
      <w:r w:rsidR="00E202D1">
        <w:rPr>
          <w:sz w:val="22"/>
          <w:szCs w:val="22"/>
        </w:rPr>
        <w:t>á</w:t>
      </w:r>
      <w:r w:rsidRPr="00550694">
        <w:rPr>
          <w:sz w:val="22"/>
          <w:szCs w:val="22"/>
        </w:rPr>
        <w:t xml:space="preserve">n nie je inhibítor transportu žlčových kyselín ani nevyvoláva zjavnú </w:t>
      </w:r>
    </w:p>
    <w:p w14:paraId="0D98FB16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hepatotoxicitu. </w:t>
      </w:r>
    </w:p>
    <w:p w14:paraId="0D98FB17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lastRenderedPageBreak/>
        <w:t xml:space="preserve"> </w:t>
      </w:r>
    </w:p>
    <w:p w14:paraId="0D98FB18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Po dlhodobom podávaní boli u hlodavcov pozorované zápal a zmeny epitelu nosovej dutiny pri </w:t>
      </w:r>
    </w:p>
    <w:p w14:paraId="0D98FB19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expozíciách nižších ako sú terapeutické hladiny u ľudí. Po dlhodobom podávaní vysokých dávok </w:t>
      </w:r>
    </w:p>
    <w:p w14:paraId="0D98FB1A" w14:textId="3D0E7956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ambrisent</w:t>
      </w:r>
      <w:r w:rsidR="00E202D1">
        <w:rPr>
          <w:sz w:val="22"/>
          <w:szCs w:val="22"/>
        </w:rPr>
        <w:t>á</w:t>
      </w:r>
      <w:r w:rsidRPr="00550694">
        <w:rPr>
          <w:sz w:val="22"/>
          <w:szCs w:val="22"/>
        </w:rPr>
        <w:t xml:space="preserve">nu boli u psov pozorované mierne zápalové reakcie pri expozíciách viac ako 20-násobne </w:t>
      </w:r>
    </w:p>
    <w:p w14:paraId="0D98FB1B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prevyšujúcich expozície zistené u pacientov. </w:t>
      </w:r>
    </w:p>
    <w:p w14:paraId="0D98FB1C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 </w:t>
      </w:r>
    </w:p>
    <w:p w14:paraId="0D98FB1D" w14:textId="6F51B201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U potkanov liečených ambrisent</w:t>
      </w:r>
      <w:r w:rsidR="00E202D1">
        <w:rPr>
          <w:sz w:val="22"/>
          <w:szCs w:val="22"/>
        </w:rPr>
        <w:t>á</w:t>
      </w:r>
      <w:r w:rsidRPr="00550694">
        <w:rPr>
          <w:sz w:val="22"/>
          <w:szCs w:val="22"/>
        </w:rPr>
        <w:t xml:space="preserve">nom bola v nosovej dutine pozorovaná hyperplázia tkaniva nosovej </w:t>
      </w:r>
    </w:p>
    <w:p w14:paraId="0D98FB1E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kosti v oblasti nosových mušlí pri expozičných hladinách 3-násobne prevyšujúcich klinickú hodnotu </w:t>
      </w:r>
    </w:p>
    <w:p w14:paraId="0D98FB1F" w14:textId="2C26C16E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AUC. Hyperplázia tkaniva nosovej kosti nebola pozorovaná pri podávaní ambrisent</w:t>
      </w:r>
      <w:r w:rsidR="00E202D1">
        <w:rPr>
          <w:sz w:val="22"/>
          <w:szCs w:val="22"/>
        </w:rPr>
        <w:t>á</w:t>
      </w:r>
      <w:r w:rsidRPr="00550694">
        <w:rPr>
          <w:sz w:val="22"/>
          <w:szCs w:val="22"/>
        </w:rPr>
        <w:t xml:space="preserve">nu myšiam alebo </w:t>
      </w:r>
    </w:p>
    <w:p w14:paraId="0D98FB20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psom. U potkanov je hyperplázia nosovej mušle známou reakciou na zápal nosovej sliznice, a to na </w:t>
      </w:r>
    </w:p>
    <w:p w14:paraId="0D98FB21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základe skúseností s inými látkami. </w:t>
      </w:r>
    </w:p>
    <w:p w14:paraId="0D98FB22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 </w:t>
      </w:r>
    </w:p>
    <w:p w14:paraId="0D98FB23" w14:textId="65D7768B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Ambrisent</w:t>
      </w:r>
      <w:r w:rsidR="00E202D1">
        <w:rPr>
          <w:sz w:val="22"/>
          <w:szCs w:val="22"/>
        </w:rPr>
        <w:t>á</w:t>
      </w:r>
      <w:r w:rsidRPr="00550694">
        <w:rPr>
          <w:sz w:val="22"/>
          <w:szCs w:val="22"/>
        </w:rPr>
        <w:t xml:space="preserve">n bol klastogénny, keď sa testoval vo vysokých koncentráciách v cicavčích bunkách </w:t>
      </w:r>
    </w:p>
    <w:p w14:paraId="0D98FB24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i/>
          <w:sz w:val="22"/>
          <w:szCs w:val="22"/>
        </w:rPr>
        <w:t>in vitro</w:t>
      </w:r>
      <w:r w:rsidRPr="00550694">
        <w:rPr>
          <w:sz w:val="22"/>
          <w:szCs w:val="22"/>
        </w:rPr>
        <w:t xml:space="preserve">. V bakteriálnych testoch a v dvoch štúdiách </w:t>
      </w:r>
      <w:r w:rsidRPr="00550694">
        <w:rPr>
          <w:i/>
          <w:sz w:val="22"/>
          <w:szCs w:val="22"/>
        </w:rPr>
        <w:t>in vivo</w:t>
      </w:r>
      <w:r w:rsidRPr="00550694">
        <w:rPr>
          <w:sz w:val="22"/>
          <w:szCs w:val="22"/>
        </w:rPr>
        <w:t xml:space="preserve"> na hlodavcoch sa nepreukázali mutagénne </w:t>
      </w:r>
    </w:p>
    <w:p w14:paraId="0D98FB25" w14:textId="15EBADAE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ani genotoxické účinky ambrisent</w:t>
      </w:r>
      <w:r w:rsidR="00E202D1">
        <w:rPr>
          <w:sz w:val="22"/>
          <w:szCs w:val="22"/>
        </w:rPr>
        <w:t>á</w:t>
      </w:r>
      <w:r w:rsidRPr="00550694">
        <w:rPr>
          <w:sz w:val="22"/>
          <w:szCs w:val="22"/>
        </w:rPr>
        <w:t xml:space="preserve">nu. </w:t>
      </w:r>
    </w:p>
    <w:p w14:paraId="0D98FB26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 </w:t>
      </w:r>
    </w:p>
    <w:p w14:paraId="0D98FB27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V 2-ročných štúdiách s perorálnym podávaním vykonaných na potkanoch a myšiach sa nepreukázal </w:t>
      </w:r>
    </w:p>
    <w:p w14:paraId="0D98FB28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karcinogénny potenciál. U samcov potkanov došlo k malému zvýšeniu výskytu fibroadenómov </w:t>
      </w:r>
    </w:p>
    <w:p w14:paraId="0D98FB2B" w14:textId="6D89F2B2" w:rsidR="00D836F6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prsníka, benígneho </w:t>
      </w:r>
      <w:r w:rsidR="00E202D1">
        <w:rPr>
          <w:sz w:val="22"/>
          <w:szCs w:val="22"/>
        </w:rPr>
        <w:t>tumoru</w:t>
      </w:r>
      <w:r w:rsidRPr="00550694">
        <w:rPr>
          <w:sz w:val="22"/>
          <w:szCs w:val="22"/>
        </w:rPr>
        <w:t>, iba pri podávaní najvyššej dávky. Pri tejto dávke bola systémová expozícia ambrisent</w:t>
      </w:r>
      <w:r w:rsidR="00E202D1">
        <w:rPr>
          <w:sz w:val="22"/>
          <w:szCs w:val="22"/>
        </w:rPr>
        <w:t>á</w:t>
      </w:r>
      <w:r w:rsidRPr="00550694">
        <w:rPr>
          <w:sz w:val="22"/>
          <w:szCs w:val="22"/>
        </w:rPr>
        <w:t>nu u samcov potkanov (na základe hodnoty AUC v rovnovážnom stave) 6-násobne vyššia ako systémová expozícia dosiahnutá pri klinickej dávke 10</w:t>
      </w:r>
      <w:r w:rsidR="00323FB0">
        <w:rPr>
          <w:sz w:val="22"/>
          <w:szCs w:val="22"/>
        </w:rPr>
        <w:t> </w:t>
      </w:r>
      <w:r w:rsidRPr="00550694">
        <w:rPr>
          <w:sz w:val="22"/>
          <w:szCs w:val="22"/>
        </w:rPr>
        <w:t>mg/deň.</w:t>
      </w:r>
    </w:p>
    <w:p w14:paraId="0D98FB2C" w14:textId="77777777" w:rsid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</w:p>
    <w:p w14:paraId="0D98FB2D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Atrofia semenníkových tubulov, ktorá bola ojedinelo spojená s aspermiou, bola pozorovaná v štúdiách </w:t>
      </w:r>
    </w:p>
    <w:p w14:paraId="0D98FB2E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toxicity po opakovanom podávaní perorálnej dávky a v štúdiách fertility na samcoch potkanov a myší, </w:t>
      </w:r>
    </w:p>
    <w:p w14:paraId="0D98FB2F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a to bez stanovenia bezpečnostného rozpätia. Zmeny na semenníkoch neboli plne reverzibilné počas </w:t>
      </w:r>
    </w:p>
    <w:p w14:paraId="0D98FB30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hodnotených období bez podávania dávky. Zmeny na semenníkoch však neboli pozorované v štúdiách </w:t>
      </w:r>
    </w:p>
    <w:p w14:paraId="0D98FB31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na psoch, ktoré trvali až 39 týždňov, a to pri expozícii 35-násobne prevyšujúcej hodnotu AUC </w:t>
      </w:r>
    </w:p>
    <w:p w14:paraId="0D98FB32" w14:textId="37F39383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dosiahnutú u ľudí. U samcov potkanov nemal ambrisent</w:t>
      </w:r>
      <w:r w:rsidR="00E202D1">
        <w:rPr>
          <w:sz w:val="22"/>
          <w:szCs w:val="22"/>
        </w:rPr>
        <w:t>á</w:t>
      </w:r>
      <w:r w:rsidRPr="00550694">
        <w:rPr>
          <w:sz w:val="22"/>
          <w:szCs w:val="22"/>
        </w:rPr>
        <w:t xml:space="preserve">n žiadne účinky na pohyblivosť spermií </w:t>
      </w:r>
    </w:p>
    <w:p w14:paraId="0D98FB33" w14:textId="5BA34CDE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pri všetkých skúšaných dávkach (až do 300</w:t>
      </w:r>
      <w:r w:rsidR="00323FB0">
        <w:rPr>
          <w:sz w:val="22"/>
          <w:szCs w:val="22"/>
        </w:rPr>
        <w:t> </w:t>
      </w:r>
      <w:r w:rsidRPr="00550694">
        <w:rPr>
          <w:sz w:val="22"/>
          <w:szCs w:val="22"/>
        </w:rPr>
        <w:t xml:space="preserve">mg/kg/deň). Zaznamenal sa mierny (&lt; 10 %) pokles </w:t>
      </w:r>
    </w:p>
    <w:p w14:paraId="0D98FB34" w14:textId="5787DFE1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percenta morfologicky normálnych spermií pri dávke 300</w:t>
      </w:r>
      <w:r w:rsidR="00323FB0">
        <w:rPr>
          <w:sz w:val="22"/>
          <w:szCs w:val="22"/>
        </w:rPr>
        <w:t> </w:t>
      </w:r>
      <w:r w:rsidRPr="00550694">
        <w:rPr>
          <w:sz w:val="22"/>
          <w:szCs w:val="22"/>
        </w:rPr>
        <w:t>mg/kg/deň, ale nie pri dávke 100</w:t>
      </w:r>
      <w:r w:rsidR="00323FB0">
        <w:rPr>
          <w:sz w:val="22"/>
          <w:szCs w:val="22"/>
        </w:rPr>
        <w:t> </w:t>
      </w:r>
      <w:r w:rsidRPr="00550694">
        <w:rPr>
          <w:sz w:val="22"/>
          <w:szCs w:val="22"/>
        </w:rPr>
        <w:t xml:space="preserve">mg/kg/deň </w:t>
      </w:r>
    </w:p>
    <w:p w14:paraId="0D98FB35" w14:textId="166EDA1D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(&gt; 9-násobok klinickej expozície dosiahnutej pri dávke 10</w:t>
      </w:r>
      <w:r w:rsidR="00323FB0">
        <w:rPr>
          <w:sz w:val="22"/>
          <w:szCs w:val="22"/>
        </w:rPr>
        <w:t> </w:t>
      </w:r>
      <w:r w:rsidRPr="00550694">
        <w:rPr>
          <w:sz w:val="22"/>
          <w:szCs w:val="22"/>
        </w:rPr>
        <w:t>mg/deň). Vplyv ambrisent</w:t>
      </w:r>
      <w:r w:rsidR="00E202D1">
        <w:rPr>
          <w:sz w:val="22"/>
          <w:szCs w:val="22"/>
        </w:rPr>
        <w:t>á</w:t>
      </w:r>
      <w:r w:rsidRPr="00550694">
        <w:rPr>
          <w:sz w:val="22"/>
          <w:szCs w:val="22"/>
        </w:rPr>
        <w:t xml:space="preserve">nu na mužskú </w:t>
      </w:r>
    </w:p>
    <w:p w14:paraId="0D98FB36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fertilitu nie je známy. </w:t>
      </w:r>
    </w:p>
    <w:p w14:paraId="0D98FB37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 </w:t>
      </w:r>
    </w:p>
    <w:p w14:paraId="0D98FB38" w14:textId="35B255FD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Zistilo sa, že ambrisent</w:t>
      </w:r>
      <w:r w:rsidR="00E202D1">
        <w:rPr>
          <w:sz w:val="22"/>
          <w:szCs w:val="22"/>
        </w:rPr>
        <w:t>á</w:t>
      </w:r>
      <w:r w:rsidRPr="00550694">
        <w:rPr>
          <w:sz w:val="22"/>
          <w:szCs w:val="22"/>
        </w:rPr>
        <w:t xml:space="preserve">n mal teratogénne účinky u potkanov a králikov. Abnormality dolnej čeľuste, </w:t>
      </w:r>
    </w:p>
    <w:p w14:paraId="0D98FB39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jazyka a/alebo podnebia boli pozorované pri všetkých skúšaných dávkach. V štúdii na potkanoch sa </w:t>
      </w:r>
    </w:p>
    <w:p w14:paraId="0D98FB3A" w14:textId="1599A161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okrem toho preukázal zvýšený výskyt defektov interventrikulárneho septa, defektov v oblasti ciev</w:t>
      </w:r>
      <w:r>
        <w:rPr>
          <w:sz w:val="22"/>
          <w:szCs w:val="22"/>
        </w:rPr>
        <w:t xml:space="preserve"> </w:t>
      </w:r>
      <w:r w:rsidRPr="00550694">
        <w:rPr>
          <w:sz w:val="22"/>
          <w:szCs w:val="22"/>
        </w:rPr>
        <w:t xml:space="preserve">trupu, </w:t>
      </w:r>
      <w:r w:rsidR="00E202D1">
        <w:rPr>
          <w:sz w:val="22"/>
          <w:szCs w:val="22"/>
        </w:rPr>
        <w:t>porúch</w:t>
      </w:r>
      <w:r w:rsidR="00E202D1" w:rsidRPr="00550694">
        <w:rPr>
          <w:sz w:val="22"/>
          <w:szCs w:val="22"/>
        </w:rPr>
        <w:t xml:space="preserve"> </w:t>
      </w:r>
      <w:r w:rsidRPr="00550694">
        <w:rPr>
          <w:sz w:val="22"/>
          <w:szCs w:val="22"/>
        </w:rPr>
        <w:t>štítnej žľazy a týmu</w:t>
      </w:r>
      <w:r w:rsidR="00E202D1">
        <w:rPr>
          <w:sz w:val="22"/>
          <w:szCs w:val="22"/>
        </w:rPr>
        <w:t>su</w:t>
      </w:r>
      <w:r w:rsidRPr="00550694">
        <w:rPr>
          <w:sz w:val="22"/>
          <w:szCs w:val="22"/>
        </w:rPr>
        <w:t xml:space="preserve">, osifikácie spodinovoklinovej kosti a výskyt umbilikálnej artérie </w:t>
      </w:r>
    </w:p>
    <w:p w14:paraId="0D98FB3B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lokalizovanej na ľavej strane močového mechúra namiesto na pravej strane. Teratogenita je </w:t>
      </w:r>
    </w:p>
    <w:p w14:paraId="0D98FB3C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suspektným skupinovým účinkom ERA. </w:t>
      </w:r>
    </w:p>
    <w:p w14:paraId="0D98FB3D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 </w:t>
      </w:r>
    </w:p>
    <w:p w14:paraId="0D98FB3E" w14:textId="41D0D13E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Podávanie ambrisent</w:t>
      </w:r>
      <w:r w:rsidR="003F589B">
        <w:rPr>
          <w:sz w:val="22"/>
          <w:szCs w:val="22"/>
        </w:rPr>
        <w:t>á</w:t>
      </w:r>
      <w:r w:rsidRPr="00550694">
        <w:rPr>
          <w:sz w:val="22"/>
          <w:szCs w:val="22"/>
        </w:rPr>
        <w:t xml:space="preserve">nu samiciam potkanov v neskorom štádiu brezivosti a počas obdobia laktácie </w:t>
      </w:r>
    </w:p>
    <w:p w14:paraId="0D98FB3F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viedlo k nežiaducim účinkom na správanie samíc, k zníženému prežívaniu mláďat a k poruche </w:t>
      </w:r>
    </w:p>
    <w:p w14:paraId="0D98FB40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reprodukčnej schopnosti potomkov (pri pitve sa zistili malé semenníky), a to pri expozícii 3-násobne </w:t>
      </w:r>
    </w:p>
    <w:p w14:paraId="0D98FB41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prevyšujúcej hodnotu AUC dosiahnutú u ľudí po podaní maximálnej odporúčanej dávky. </w:t>
      </w:r>
    </w:p>
    <w:p w14:paraId="0D98FB42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 </w:t>
      </w:r>
    </w:p>
    <w:p w14:paraId="0D98FB43" w14:textId="02F80A8C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U juvenilných potkanov, ktorým bol ambrisent</w:t>
      </w:r>
      <w:r w:rsidR="003F589B">
        <w:rPr>
          <w:sz w:val="22"/>
          <w:szCs w:val="22"/>
        </w:rPr>
        <w:t>á</w:t>
      </w:r>
      <w:r w:rsidRPr="00550694">
        <w:rPr>
          <w:sz w:val="22"/>
          <w:szCs w:val="22"/>
        </w:rPr>
        <w:t xml:space="preserve">n podávaný perorálne jedenkrát denne v postnatálnom </w:t>
      </w:r>
    </w:p>
    <w:p w14:paraId="0D98FB44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období od 7. do 26., 36. alebo 62. dňa, sa vyskytlo zníženie hmotnosti mozgu (−3 % až −8 %) </w:t>
      </w:r>
    </w:p>
    <w:p w14:paraId="0D98FB45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bez morfologických alebo neurobehaviorálnych zmien po tom, ako boli pozorované abnormálne zvuky </w:t>
      </w:r>
    </w:p>
    <w:p w14:paraId="0D98FB46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pri dýchaní, apnoe a hypoxia. Tieto účinky sa vyskytli pri expozíciách približne 1,8- až 7-násobne </w:t>
      </w:r>
    </w:p>
    <w:p w14:paraId="0D98FB47" w14:textId="321CCEF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vyšších ako je expozícia dosiahnutá pri  dávke </w:t>
      </w:r>
      <w:r w:rsidR="003F589B">
        <w:rPr>
          <w:sz w:val="22"/>
          <w:szCs w:val="22"/>
        </w:rPr>
        <w:t xml:space="preserve">10 mg </w:t>
      </w:r>
      <w:r w:rsidRPr="00550694">
        <w:rPr>
          <w:sz w:val="22"/>
          <w:szCs w:val="22"/>
        </w:rPr>
        <w:t xml:space="preserve">u pediatrických pacientov (vo veku </w:t>
      </w:r>
    </w:p>
    <w:p w14:paraId="0D98FB48" w14:textId="7E6FF69F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9 až 15</w:t>
      </w:r>
      <w:r w:rsidR="00244876">
        <w:rPr>
          <w:sz w:val="22"/>
          <w:szCs w:val="22"/>
        </w:rPr>
        <w:t> rokov</w:t>
      </w:r>
      <w:r w:rsidRPr="00550694">
        <w:rPr>
          <w:sz w:val="22"/>
          <w:szCs w:val="22"/>
        </w:rPr>
        <w:t xml:space="preserve">), na základe hodnoty AUC. Klinický význam tohto zistenia pre pediatrickú populáciu </w:t>
      </w:r>
    </w:p>
    <w:p w14:paraId="0D98FB49" w14:textId="77777777" w:rsid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nie je úplne objasnený.</w:t>
      </w:r>
    </w:p>
    <w:p w14:paraId="0D98FB4A" w14:textId="77777777" w:rsidR="00550694" w:rsidRPr="009C5C6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</w:p>
    <w:p w14:paraId="0D98FB4B" w14:textId="77777777" w:rsidR="00D836F6" w:rsidRPr="009C5C64" w:rsidRDefault="00D836F6" w:rsidP="00E61126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0D98FB4C" w14:textId="0810A602" w:rsidR="00D836F6" w:rsidRPr="009C5C64" w:rsidRDefault="00266F55" w:rsidP="00BC51B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lastRenderedPageBreak/>
        <w:t>6.</w:t>
      </w:r>
      <w:r w:rsidR="00FE406D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 xml:space="preserve">FARMACEUTICKÉ </w:t>
      </w:r>
      <w:r w:rsidR="00690F94" w:rsidRPr="009C5C64">
        <w:rPr>
          <w:b/>
          <w:bCs/>
          <w:color w:val="000000"/>
          <w:sz w:val="22"/>
          <w:szCs w:val="22"/>
        </w:rPr>
        <w:t>INFORMÁCIE</w:t>
      </w:r>
    </w:p>
    <w:p w14:paraId="0D98FB4D" w14:textId="77777777" w:rsidR="00D836F6" w:rsidRPr="009C5C64" w:rsidRDefault="00D836F6" w:rsidP="00E8496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D98FB4E" w14:textId="01BD5C11" w:rsidR="00D836F6" w:rsidRPr="009C5C64" w:rsidRDefault="00266F55" w:rsidP="001E2DB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6.1</w:t>
      </w:r>
      <w:r w:rsidR="00FE406D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Zoznam pomocných látok</w:t>
      </w:r>
    </w:p>
    <w:p w14:paraId="0D98FB4F" w14:textId="77777777" w:rsidR="00D836F6" w:rsidRPr="009C5C64" w:rsidRDefault="00D836F6" w:rsidP="00D715F8">
      <w:pPr>
        <w:rPr>
          <w:sz w:val="22"/>
          <w:szCs w:val="22"/>
        </w:rPr>
      </w:pPr>
    </w:p>
    <w:p w14:paraId="0D98FB50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50694">
        <w:rPr>
          <w:sz w:val="22"/>
          <w:szCs w:val="22"/>
          <w:u w:val="single"/>
        </w:rPr>
        <w:t xml:space="preserve">Jadro tablety </w:t>
      </w:r>
    </w:p>
    <w:p w14:paraId="0D98FB51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laktóza, monohydrát</w:t>
      </w:r>
    </w:p>
    <w:p w14:paraId="0D98FB52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celulóza</w:t>
      </w:r>
      <w:r w:rsidR="003A78CA">
        <w:rPr>
          <w:sz w:val="22"/>
          <w:szCs w:val="22"/>
        </w:rPr>
        <w:t>,</w:t>
      </w:r>
      <w:r w:rsidRPr="00550694">
        <w:rPr>
          <w:sz w:val="22"/>
          <w:szCs w:val="22"/>
        </w:rPr>
        <w:t xml:space="preserve"> </w:t>
      </w:r>
      <w:r w:rsidR="003A78CA">
        <w:rPr>
          <w:sz w:val="22"/>
          <w:szCs w:val="22"/>
        </w:rPr>
        <w:t>m</w:t>
      </w:r>
      <w:r w:rsidR="003A78CA" w:rsidRPr="00550694">
        <w:rPr>
          <w:sz w:val="22"/>
          <w:szCs w:val="22"/>
        </w:rPr>
        <w:t xml:space="preserve">ikrokryštalická </w:t>
      </w:r>
      <w:r w:rsidRPr="00550694">
        <w:rPr>
          <w:sz w:val="22"/>
          <w:szCs w:val="22"/>
        </w:rPr>
        <w:t xml:space="preserve">(E460) </w:t>
      </w:r>
    </w:p>
    <w:p w14:paraId="0D98FB53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kroskarmelóz</w:t>
      </w:r>
      <w:r>
        <w:rPr>
          <w:sz w:val="22"/>
          <w:szCs w:val="22"/>
        </w:rPr>
        <w:t>a, s</w:t>
      </w:r>
      <w:r w:rsidRPr="00550694">
        <w:rPr>
          <w:sz w:val="22"/>
          <w:szCs w:val="22"/>
        </w:rPr>
        <w:t>odná soľ</w:t>
      </w:r>
      <w:r>
        <w:rPr>
          <w:sz w:val="22"/>
          <w:szCs w:val="22"/>
        </w:rPr>
        <w:t xml:space="preserve"> (E468)</w:t>
      </w:r>
    </w:p>
    <w:p w14:paraId="0D98FB54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stearát </w:t>
      </w:r>
      <w:r>
        <w:rPr>
          <w:sz w:val="22"/>
          <w:szCs w:val="22"/>
        </w:rPr>
        <w:t xml:space="preserve">horečnatý </w:t>
      </w:r>
      <w:r w:rsidRPr="00550694">
        <w:rPr>
          <w:sz w:val="22"/>
          <w:szCs w:val="22"/>
        </w:rPr>
        <w:t xml:space="preserve">(E570) </w:t>
      </w:r>
    </w:p>
    <w:p w14:paraId="0D98FB55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 xml:space="preserve"> </w:t>
      </w:r>
    </w:p>
    <w:p w14:paraId="0D98FB56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50694">
        <w:rPr>
          <w:sz w:val="22"/>
          <w:szCs w:val="22"/>
          <w:u w:val="single"/>
        </w:rPr>
        <w:t xml:space="preserve">Filmový obal </w:t>
      </w:r>
    </w:p>
    <w:p w14:paraId="0D98FB57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Pr="00550694">
        <w:rPr>
          <w:sz w:val="22"/>
          <w:szCs w:val="22"/>
        </w:rPr>
        <w:t xml:space="preserve">olyvinylalkohol (čiastočne hydrolyzovaný) </w:t>
      </w:r>
    </w:p>
    <w:p w14:paraId="0D98FB58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</w:t>
      </w:r>
      <w:r w:rsidRPr="00550694">
        <w:rPr>
          <w:sz w:val="22"/>
          <w:szCs w:val="22"/>
        </w:rPr>
        <w:t xml:space="preserve">astenec (E553b) </w:t>
      </w:r>
    </w:p>
    <w:p w14:paraId="0D98FB59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</w:t>
      </w:r>
      <w:r w:rsidRPr="00550694">
        <w:rPr>
          <w:sz w:val="22"/>
          <w:szCs w:val="22"/>
        </w:rPr>
        <w:t xml:space="preserve">xid titaničitý (E171) </w:t>
      </w:r>
    </w:p>
    <w:p w14:paraId="0D98FB5A" w14:textId="77777777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</w:t>
      </w:r>
      <w:r w:rsidRPr="00550694">
        <w:rPr>
          <w:sz w:val="22"/>
          <w:szCs w:val="22"/>
        </w:rPr>
        <w:t xml:space="preserve">akrogol </w:t>
      </w:r>
    </w:p>
    <w:p w14:paraId="0D98FB5B" w14:textId="77777777" w:rsid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lecitín (sójový) (E322)</w:t>
      </w:r>
    </w:p>
    <w:p w14:paraId="0D98FB5C" w14:textId="74A5E861" w:rsidR="00550694" w:rsidRPr="00550694" w:rsidRDefault="00550694" w:rsidP="00550694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sz w:val="22"/>
          <w:szCs w:val="22"/>
        </w:rPr>
        <w:t>červe</w:t>
      </w:r>
      <w:r w:rsidR="003F589B">
        <w:rPr>
          <w:sz w:val="22"/>
          <w:szCs w:val="22"/>
        </w:rPr>
        <w:t>ň</w:t>
      </w:r>
      <w:r w:rsidRPr="00550694">
        <w:rPr>
          <w:sz w:val="22"/>
          <w:szCs w:val="22"/>
        </w:rPr>
        <w:t xml:space="preserve"> Allura AC</w:t>
      </w:r>
      <w:r w:rsidR="003F589B">
        <w:rPr>
          <w:sz w:val="22"/>
          <w:szCs w:val="22"/>
        </w:rPr>
        <w:t xml:space="preserve"> - hliníkový lak</w:t>
      </w:r>
      <w:r w:rsidRPr="00550694">
        <w:rPr>
          <w:sz w:val="22"/>
          <w:szCs w:val="22"/>
        </w:rPr>
        <w:t xml:space="preserve"> (E129) </w:t>
      </w:r>
    </w:p>
    <w:p w14:paraId="0D98FB5D" w14:textId="77777777" w:rsidR="00550694" w:rsidRPr="009C5C64" w:rsidRDefault="00550694" w:rsidP="0055069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0D98FB5E" w14:textId="5881BAA3" w:rsidR="00D836F6" w:rsidRPr="009C5C64" w:rsidRDefault="00266F55" w:rsidP="00087242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6.2</w:t>
      </w:r>
      <w:r w:rsidR="00FE406D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Inkompatibility</w:t>
      </w:r>
    </w:p>
    <w:p w14:paraId="0D98FB5F" w14:textId="77777777" w:rsidR="00D836F6" w:rsidRPr="009C5C64" w:rsidRDefault="00D836F6" w:rsidP="002F1B3D">
      <w:pPr>
        <w:rPr>
          <w:sz w:val="22"/>
          <w:szCs w:val="22"/>
        </w:rPr>
      </w:pPr>
    </w:p>
    <w:p w14:paraId="0D98FB60" w14:textId="77777777" w:rsidR="00D836F6" w:rsidRPr="009C5C64" w:rsidRDefault="00DF721D" w:rsidP="00BA06C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sz w:val="22"/>
          <w:szCs w:val="22"/>
        </w:rPr>
        <w:t>Neaplikovateľné</w:t>
      </w:r>
    </w:p>
    <w:p w14:paraId="0D98FB61" w14:textId="77777777" w:rsidR="00D836F6" w:rsidRPr="009C5C64" w:rsidRDefault="00D836F6" w:rsidP="0021623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0D98FB62" w14:textId="03E1DD7B" w:rsidR="00D836F6" w:rsidRPr="009C5C64" w:rsidRDefault="00266F55" w:rsidP="00D5281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6.3</w:t>
      </w:r>
      <w:r w:rsidR="00FE406D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Čas použiteľnosti</w:t>
      </w:r>
    </w:p>
    <w:p w14:paraId="0D98FB63" w14:textId="77777777" w:rsidR="00D836F6" w:rsidRPr="009C5C64" w:rsidRDefault="00D836F6" w:rsidP="00E61126">
      <w:pPr>
        <w:rPr>
          <w:bCs/>
          <w:sz w:val="22"/>
          <w:szCs w:val="22"/>
        </w:rPr>
      </w:pPr>
    </w:p>
    <w:p w14:paraId="0D98FB64" w14:textId="77777777" w:rsidR="00D836F6" w:rsidRPr="009C5C64" w:rsidRDefault="00266F55" w:rsidP="00BC51B7">
      <w:pPr>
        <w:rPr>
          <w:bCs/>
          <w:sz w:val="22"/>
          <w:szCs w:val="22"/>
        </w:rPr>
      </w:pPr>
      <w:r w:rsidRPr="009C5C64">
        <w:rPr>
          <w:bCs/>
          <w:sz w:val="22"/>
          <w:szCs w:val="22"/>
        </w:rPr>
        <w:t>3 roky</w:t>
      </w:r>
    </w:p>
    <w:p w14:paraId="0D98FB65" w14:textId="77777777" w:rsidR="00D836F6" w:rsidRPr="009C5C64" w:rsidRDefault="00D836F6" w:rsidP="00EF582A">
      <w:pPr>
        <w:rPr>
          <w:sz w:val="22"/>
          <w:szCs w:val="22"/>
        </w:rPr>
      </w:pPr>
    </w:p>
    <w:p w14:paraId="0D98FB66" w14:textId="0AFA6F22" w:rsidR="00D836F6" w:rsidRPr="00550694" w:rsidRDefault="00266F55" w:rsidP="00B82B9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550694">
        <w:rPr>
          <w:b/>
          <w:bCs/>
          <w:color w:val="000000"/>
          <w:sz w:val="22"/>
          <w:szCs w:val="22"/>
        </w:rPr>
        <w:t>6.4</w:t>
      </w:r>
      <w:r w:rsidR="00FE406D" w:rsidRPr="00550694">
        <w:rPr>
          <w:b/>
          <w:bCs/>
          <w:color w:val="000000"/>
          <w:sz w:val="22"/>
          <w:szCs w:val="22"/>
        </w:rPr>
        <w:tab/>
      </w:r>
      <w:r w:rsidRPr="00550694">
        <w:rPr>
          <w:b/>
          <w:bCs/>
          <w:color w:val="000000"/>
          <w:sz w:val="22"/>
          <w:szCs w:val="22"/>
        </w:rPr>
        <w:t>Špeciálne upozornenia na uchovávanie</w:t>
      </w:r>
    </w:p>
    <w:p w14:paraId="0D98FB67" w14:textId="77777777" w:rsidR="00D836F6" w:rsidRPr="00550694" w:rsidRDefault="00D836F6" w:rsidP="00ED79CF">
      <w:pPr>
        <w:pStyle w:val="Zkladntext3"/>
        <w:rPr>
          <w:rFonts w:ascii="Times New Roman" w:hAnsi="Times New Roman"/>
          <w:szCs w:val="22"/>
        </w:rPr>
      </w:pPr>
    </w:p>
    <w:p w14:paraId="7BEE5D56" w14:textId="77777777" w:rsidR="00292E3E" w:rsidRPr="00292E3E" w:rsidRDefault="00292E3E" w:rsidP="00292E3E">
      <w:pPr>
        <w:pStyle w:val="Zkladntext3"/>
        <w:rPr>
          <w:rFonts w:ascii="Times New Roman" w:hAnsi="Times New Roman"/>
          <w:lang w:eastAsia="en-US"/>
        </w:rPr>
      </w:pPr>
      <w:r w:rsidRPr="00292E3E">
        <w:rPr>
          <w:rFonts w:ascii="Times New Roman" w:hAnsi="Times New Roman"/>
          <w:lang w:eastAsia="en-US"/>
        </w:rPr>
        <w:t>Biely PVC/PVDC/hliníkový blister: Tento liek nevyžaduje žiadne zvláštne teplotné podmienky na uchovávanie. Uchovávajte v pôvodnom blistri na ochranu pred svetlom.</w:t>
      </w:r>
    </w:p>
    <w:p w14:paraId="027F93B9" w14:textId="77777777" w:rsidR="00292E3E" w:rsidRPr="00292E3E" w:rsidRDefault="00292E3E" w:rsidP="00292E3E">
      <w:pPr>
        <w:pStyle w:val="Zkladntext3"/>
        <w:rPr>
          <w:rFonts w:ascii="Times New Roman" w:hAnsi="Times New Roman"/>
          <w:lang w:eastAsia="en-US"/>
        </w:rPr>
      </w:pPr>
    </w:p>
    <w:p w14:paraId="7352CDD6" w14:textId="77777777" w:rsidR="00292E3E" w:rsidRPr="00292E3E" w:rsidRDefault="00292E3E" w:rsidP="00292E3E">
      <w:pPr>
        <w:pStyle w:val="Zkladntext3"/>
        <w:rPr>
          <w:rFonts w:ascii="Times New Roman" w:hAnsi="Times New Roman"/>
          <w:lang w:eastAsia="en-US"/>
        </w:rPr>
      </w:pPr>
      <w:r w:rsidRPr="00292E3E">
        <w:rPr>
          <w:rFonts w:ascii="Times New Roman" w:hAnsi="Times New Roman"/>
          <w:lang w:eastAsia="en-US"/>
        </w:rPr>
        <w:t>Priehľadný PVC/PE/PVDC/hliníkový blister: Tento liek nevyžaduje žiadne zvláštne teplotné podmienky na uchovávanie. Uchovávajte v pôvodnom obale na ochranu pred svetlom.</w:t>
      </w:r>
    </w:p>
    <w:p w14:paraId="0D98FB69" w14:textId="77777777" w:rsidR="00D836F6" w:rsidRPr="00A833C4" w:rsidRDefault="00D836F6" w:rsidP="00481644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0D98FB6A" w14:textId="44862EB6" w:rsidR="00D836F6" w:rsidRPr="009C5C64" w:rsidRDefault="00266F55" w:rsidP="00087242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6.5</w:t>
      </w:r>
      <w:r w:rsidR="00FE406D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Druh obalu a obsah balenia</w:t>
      </w:r>
    </w:p>
    <w:p w14:paraId="0D98FB6B" w14:textId="77777777" w:rsidR="00D836F6" w:rsidRPr="009C5C64" w:rsidRDefault="00D836F6" w:rsidP="002F1B3D">
      <w:pPr>
        <w:rPr>
          <w:sz w:val="22"/>
          <w:szCs w:val="22"/>
        </w:rPr>
      </w:pPr>
    </w:p>
    <w:p w14:paraId="0D98FB6C" w14:textId="3E99B024" w:rsidR="00550694" w:rsidRPr="00550694" w:rsidRDefault="005909C9" w:rsidP="00550694">
      <w:pPr>
        <w:autoSpaceDE w:val="0"/>
        <w:autoSpaceDN w:val="0"/>
        <w:adjustRightInd w:val="0"/>
        <w:rPr>
          <w:rFonts w:eastAsia="TimesNewRomanPSMT"/>
          <w:sz w:val="22"/>
          <w:szCs w:val="22"/>
          <w:lang w:eastAsia="sk-SK"/>
        </w:rPr>
      </w:pPr>
      <w:r>
        <w:rPr>
          <w:rFonts w:eastAsia="TimesNewRomanPSMT"/>
          <w:sz w:val="22"/>
          <w:szCs w:val="22"/>
          <w:lang w:eastAsia="sk-SK"/>
        </w:rPr>
        <w:t xml:space="preserve">Biely </w:t>
      </w:r>
      <w:r w:rsidR="00C458A1">
        <w:rPr>
          <w:rFonts w:eastAsia="TimesNewRomanPSMT"/>
          <w:sz w:val="22"/>
          <w:szCs w:val="22"/>
          <w:lang w:eastAsia="sk-SK"/>
        </w:rPr>
        <w:t>PVC/PVDC/hliníkový</w:t>
      </w:r>
      <w:r w:rsidR="00550694">
        <w:rPr>
          <w:rFonts w:eastAsia="TimesNewRomanPSMT"/>
          <w:sz w:val="22"/>
          <w:szCs w:val="22"/>
          <w:lang w:eastAsia="sk-SK"/>
        </w:rPr>
        <w:t xml:space="preserve"> blist</w:t>
      </w:r>
      <w:r w:rsidR="004A63C9">
        <w:rPr>
          <w:rFonts w:eastAsia="TimesNewRomanPSMT"/>
          <w:sz w:val="22"/>
          <w:szCs w:val="22"/>
          <w:lang w:eastAsia="sk-SK"/>
        </w:rPr>
        <w:t>e</w:t>
      </w:r>
      <w:r w:rsidR="00550694">
        <w:rPr>
          <w:rFonts w:eastAsia="TimesNewRomanPSMT"/>
          <w:sz w:val="22"/>
          <w:szCs w:val="22"/>
          <w:lang w:eastAsia="sk-SK"/>
        </w:rPr>
        <w:t xml:space="preserve">r alebo </w:t>
      </w:r>
      <w:r w:rsidR="00292E3E">
        <w:rPr>
          <w:rFonts w:eastAsia="TimesNewRomanPSMT"/>
          <w:sz w:val="22"/>
          <w:szCs w:val="22"/>
          <w:lang w:eastAsia="sk-SK"/>
        </w:rPr>
        <w:t>priehľadný</w:t>
      </w:r>
      <w:r w:rsidR="004A63C9">
        <w:rPr>
          <w:rFonts w:eastAsia="TimesNewRomanPSMT"/>
          <w:sz w:val="22"/>
          <w:szCs w:val="22"/>
          <w:lang w:eastAsia="sk-SK"/>
        </w:rPr>
        <w:t xml:space="preserve"> </w:t>
      </w:r>
      <w:r w:rsidR="00550694">
        <w:rPr>
          <w:rFonts w:eastAsia="TimesNewRomanPSMT"/>
          <w:sz w:val="22"/>
          <w:szCs w:val="22"/>
          <w:lang w:eastAsia="sk-SK"/>
        </w:rPr>
        <w:t>PVC/PE/PVDC/hliníkov</w:t>
      </w:r>
      <w:r w:rsidR="004A63C9">
        <w:rPr>
          <w:rFonts w:eastAsia="TimesNewRomanPSMT"/>
          <w:sz w:val="22"/>
          <w:szCs w:val="22"/>
          <w:lang w:eastAsia="sk-SK"/>
        </w:rPr>
        <w:t>ý</w:t>
      </w:r>
      <w:r w:rsidR="00550694">
        <w:rPr>
          <w:rFonts w:eastAsia="TimesNewRomanPSMT"/>
          <w:sz w:val="22"/>
          <w:szCs w:val="22"/>
          <w:lang w:eastAsia="sk-SK"/>
        </w:rPr>
        <w:t xml:space="preserve"> blist</w:t>
      </w:r>
      <w:r w:rsidR="004A63C9">
        <w:rPr>
          <w:rFonts w:eastAsia="TimesNewRomanPSMT"/>
          <w:sz w:val="22"/>
          <w:szCs w:val="22"/>
          <w:lang w:eastAsia="sk-SK"/>
        </w:rPr>
        <w:t>er</w:t>
      </w:r>
      <w:r w:rsidR="00550694">
        <w:rPr>
          <w:rFonts w:eastAsia="TimesNewRomanPSMT"/>
          <w:sz w:val="22"/>
          <w:szCs w:val="22"/>
          <w:lang w:eastAsia="sk-SK"/>
        </w:rPr>
        <w:t>.</w:t>
      </w:r>
    </w:p>
    <w:p w14:paraId="0D98FB6D" w14:textId="00840458" w:rsidR="00D836F6" w:rsidRPr="00550694" w:rsidRDefault="00550694" w:rsidP="00515C27">
      <w:pPr>
        <w:autoSpaceDE w:val="0"/>
        <w:autoSpaceDN w:val="0"/>
        <w:adjustRightInd w:val="0"/>
        <w:rPr>
          <w:sz w:val="22"/>
          <w:szCs w:val="22"/>
        </w:rPr>
      </w:pPr>
      <w:r w:rsidRPr="00550694">
        <w:rPr>
          <w:rFonts w:eastAsia="TimesNewRomanPSMT"/>
          <w:sz w:val="22"/>
          <w:szCs w:val="22"/>
          <w:lang w:eastAsia="sk-SK"/>
        </w:rPr>
        <w:t xml:space="preserve">Veľkosti balenia </w:t>
      </w:r>
      <w:r>
        <w:rPr>
          <w:rFonts w:eastAsia="TimesNewRomanPSMT"/>
          <w:sz w:val="22"/>
          <w:szCs w:val="22"/>
          <w:lang w:eastAsia="sk-SK"/>
        </w:rPr>
        <w:t>v</w:t>
      </w:r>
      <w:r w:rsidRPr="00550694">
        <w:rPr>
          <w:rFonts w:eastAsia="TimesNewRomanPSMT"/>
          <w:sz w:val="22"/>
          <w:szCs w:val="22"/>
          <w:lang w:eastAsia="sk-SK"/>
        </w:rPr>
        <w:t xml:space="preserve"> blistr</w:t>
      </w:r>
      <w:r>
        <w:rPr>
          <w:rFonts w:eastAsia="TimesNewRomanPSMT"/>
          <w:sz w:val="22"/>
          <w:szCs w:val="22"/>
          <w:lang w:eastAsia="sk-SK"/>
        </w:rPr>
        <w:t>och</w:t>
      </w:r>
      <w:r w:rsidRPr="00550694">
        <w:rPr>
          <w:rFonts w:eastAsia="TimesNewRomanPSMT"/>
          <w:sz w:val="22"/>
          <w:szCs w:val="22"/>
          <w:lang w:eastAsia="sk-SK"/>
        </w:rPr>
        <w:t xml:space="preserve"> s jednotliv</w:t>
      </w:r>
      <w:r w:rsidR="00515C27">
        <w:rPr>
          <w:rFonts w:eastAsia="TimesNewRomanPSMT"/>
          <w:sz w:val="22"/>
          <w:szCs w:val="22"/>
          <w:lang w:eastAsia="sk-SK"/>
        </w:rPr>
        <w:t>ými</w:t>
      </w:r>
      <w:r w:rsidRPr="00550694">
        <w:rPr>
          <w:rFonts w:eastAsia="TimesNewRomanPSMT"/>
          <w:sz w:val="22"/>
          <w:szCs w:val="22"/>
          <w:lang w:eastAsia="sk-SK"/>
        </w:rPr>
        <w:t xml:space="preserve"> dávk</w:t>
      </w:r>
      <w:r w:rsidR="00515C27">
        <w:rPr>
          <w:rFonts w:eastAsia="TimesNewRomanPSMT"/>
          <w:sz w:val="22"/>
          <w:szCs w:val="22"/>
          <w:lang w:eastAsia="sk-SK"/>
        </w:rPr>
        <w:t>ami</w:t>
      </w:r>
      <w:r w:rsidRPr="00550694">
        <w:rPr>
          <w:rFonts w:eastAsia="TimesNewRomanPSMT"/>
          <w:sz w:val="22"/>
          <w:szCs w:val="22"/>
          <w:lang w:eastAsia="sk-SK"/>
        </w:rPr>
        <w:t xml:space="preserve"> 30 x 1 filmom obalen</w:t>
      </w:r>
      <w:r w:rsidR="00515C27">
        <w:rPr>
          <w:rFonts w:eastAsia="TimesNewRomanPSMT"/>
          <w:sz w:val="22"/>
          <w:szCs w:val="22"/>
          <w:lang w:eastAsia="sk-SK"/>
        </w:rPr>
        <w:t>á tableta</w:t>
      </w:r>
      <w:r w:rsidRPr="00550694">
        <w:rPr>
          <w:rFonts w:eastAsia="TimesNewRomanPSMT"/>
          <w:sz w:val="22"/>
          <w:szCs w:val="22"/>
          <w:lang w:eastAsia="sk-SK"/>
        </w:rPr>
        <w:t>.</w:t>
      </w:r>
    </w:p>
    <w:p w14:paraId="0D98FB6E" w14:textId="77777777" w:rsidR="00D836F6" w:rsidRPr="009C5C64" w:rsidRDefault="00D836F6" w:rsidP="0021623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D98FB6F" w14:textId="63A75B44" w:rsidR="00D836F6" w:rsidRPr="009C5C64" w:rsidRDefault="00266F55" w:rsidP="00D5281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6.6</w:t>
      </w:r>
      <w:r w:rsidR="00FE406D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 xml:space="preserve">Špeciálne opatrenia na likvidáciu </w:t>
      </w:r>
    </w:p>
    <w:p w14:paraId="0D98FB70" w14:textId="77777777" w:rsidR="00D836F6" w:rsidRPr="009C5C64" w:rsidRDefault="00D836F6" w:rsidP="00E61126">
      <w:pPr>
        <w:rPr>
          <w:sz w:val="22"/>
          <w:szCs w:val="22"/>
        </w:rPr>
      </w:pPr>
    </w:p>
    <w:p w14:paraId="0D98FB71" w14:textId="77777777" w:rsidR="00D836F6" w:rsidRPr="009C5C64" w:rsidRDefault="00266F55" w:rsidP="00BC51B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9C5C64">
        <w:rPr>
          <w:color w:val="000000"/>
          <w:sz w:val="22"/>
          <w:szCs w:val="22"/>
        </w:rPr>
        <w:t>Žiadne zvláštne požiadavky</w:t>
      </w:r>
      <w:r w:rsidR="00515C27">
        <w:rPr>
          <w:color w:val="000000"/>
          <w:sz w:val="22"/>
          <w:szCs w:val="22"/>
        </w:rPr>
        <w:t xml:space="preserve"> na likvidáciu</w:t>
      </w:r>
      <w:r w:rsidRPr="009C5C64">
        <w:rPr>
          <w:color w:val="000000"/>
          <w:sz w:val="22"/>
          <w:szCs w:val="22"/>
        </w:rPr>
        <w:t>.</w:t>
      </w:r>
    </w:p>
    <w:p w14:paraId="0D98FB72" w14:textId="77777777" w:rsidR="00D836F6" w:rsidRPr="009C5C64" w:rsidRDefault="00D836F6" w:rsidP="00E84963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0D98FB73" w14:textId="77777777" w:rsidR="00D836F6" w:rsidRPr="009C5C64" w:rsidRDefault="00D836F6" w:rsidP="001E2DBE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0D98FB74" w14:textId="1E60F626" w:rsidR="00D836F6" w:rsidRPr="009C5C64" w:rsidRDefault="00266F55" w:rsidP="00D715F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7.</w:t>
      </w:r>
      <w:r w:rsidR="00FE406D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DRŽITEĽ ROZHODNUTIA O REGISTRÁCII</w:t>
      </w:r>
    </w:p>
    <w:p w14:paraId="0D98FB75" w14:textId="77777777" w:rsidR="00D836F6" w:rsidRPr="009C5C64" w:rsidRDefault="00D836F6" w:rsidP="0041362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0D98FB76" w14:textId="77777777" w:rsidR="00FE406D" w:rsidRPr="009C5C64" w:rsidRDefault="00FE406D" w:rsidP="00BD60C9">
      <w:pPr>
        <w:autoSpaceDE w:val="0"/>
        <w:autoSpaceDN w:val="0"/>
        <w:adjustRightInd w:val="0"/>
        <w:rPr>
          <w:sz w:val="22"/>
          <w:szCs w:val="22"/>
        </w:rPr>
      </w:pPr>
      <w:r w:rsidRPr="009C5C64">
        <w:rPr>
          <w:sz w:val="22"/>
          <w:szCs w:val="22"/>
        </w:rPr>
        <w:t>AOP Orphan Pharmaceuticals AG</w:t>
      </w:r>
    </w:p>
    <w:p w14:paraId="0D98FB77" w14:textId="77777777" w:rsidR="00FE406D" w:rsidRPr="009C5C64" w:rsidRDefault="00FE406D" w:rsidP="008C7FC1">
      <w:pPr>
        <w:autoSpaceDE w:val="0"/>
        <w:autoSpaceDN w:val="0"/>
        <w:adjustRightInd w:val="0"/>
        <w:rPr>
          <w:sz w:val="22"/>
          <w:szCs w:val="22"/>
        </w:rPr>
      </w:pPr>
      <w:r w:rsidRPr="009C5C64">
        <w:rPr>
          <w:sz w:val="22"/>
          <w:szCs w:val="22"/>
        </w:rPr>
        <w:t>Wilhelminenstrasse 91/IIf</w:t>
      </w:r>
    </w:p>
    <w:p w14:paraId="0D98FB78" w14:textId="77777777" w:rsidR="00FE406D" w:rsidRPr="009C5C64" w:rsidRDefault="00FE406D" w:rsidP="003C5A8A">
      <w:pPr>
        <w:autoSpaceDE w:val="0"/>
        <w:autoSpaceDN w:val="0"/>
        <w:adjustRightInd w:val="0"/>
        <w:rPr>
          <w:sz w:val="22"/>
          <w:szCs w:val="22"/>
        </w:rPr>
      </w:pPr>
      <w:r w:rsidRPr="009C5C64">
        <w:rPr>
          <w:sz w:val="22"/>
          <w:szCs w:val="22"/>
        </w:rPr>
        <w:t>1160 Viedeň</w:t>
      </w:r>
    </w:p>
    <w:p w14:paraId="0D98FB79" w14:textId="77777777" w:rsidR="00FE406D" w:rsidRPr="009C5C64" w:rsidRDefault="00FE406D" w:rsidP="004632AE">
      <w:pPr>
        <w:autoSpaceDE w:val="0"/>
        <w:autoSpaceDN w:val="0"/>
        <w:adjustRightInd w:val="0"/>
        <w:rPr>
          <w:sz w:val="22"/>
          <w:szCs w:val="22"/>
        </w:rPr>
      </w:pPr>
      <w:r w:rsidRPr="009C5C64">
        <w:rPr>
          <w:sz w:val="22"/>
          <w:szCs w:val="22"/>
        </w:rPr>
        <w:t>Rakúsko</w:t>
      </w:r>
    </w:p>
    <w:p w14:paraId="24770A09" w14:textId="77777777" w:rsidR="00190ED4" w:rsidRPr="009C5C64" w:rsidRDefault="00190ED4" w:rsidP="004632AE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0D98FB7B" w14:textId="77777777" w:rsidR="00D836F6" w:rsidRPr="009C5C64" w:rsidRDefault="00D836F6" w:rsidP="004632AE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0D98FB7C" w14:textId="2AF41158" w:rsidR="00D836F6" w:rsidRPr="009C5C64" w:rsidRDefault="00266F55" w:rsidP="004632A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8.</w:t>
      </w:r>
      <w:r w:rsidR="007F360B">
        <w:rPr>
          <w:b/>
          <w:bCs/>
          <w:color w:val="000000"/>
          <w:sz w:val="22"/>
          <w:szCs w:val="22"/>
        </w:rPr>
        <w:tab/>
        <w:t>REGISTRAČNÉ Č</w:t>
      </w:r>
      <w:r w:rsidR="007F360B" w:rsidRPr="00EA33F6">
        <w:rPr>
          <w:b/>
          <w:bCs/>
          <w:color w:val="000000"/>
          <w:sz w:val="22"/>
          <w:szCs w:val="22"/>
        </w:rPr>
        <w:t>ÍSLA</w:t>
      </w:r>
    </w:p>
    <w:p w14:paraId="0D98FB7D" w14:textId="77777777" w:rsidR="00D836F6" w:rsidRPr="009C5C64" w:rsidRDefault="00D836F6" w:rsidP="004632AE">
      <w:pPr>
        <w:rPr>
          <w:sz w:val="22"/>
          <w:szCs w:val="22"/>
        </w:rPr>
      </w:pPr>
    </w:p>
    <w:p w14:paraId="1FB431B7" w14:textId="77777777" w:rsidR="000C2E13" w:rsidRPr="009C5C64" w:rsidRDefault="000C2E13" w:rsidP="000C2E13">
      <w:pPr>
        <w:rPr>
          <w:sz w:val="22"/>
          <w:szCs w:val="22"/>
        </w:rPr>
      </w:pPr>
    </w:p>
    <w:p w14:paraId="5EE3F785" w14:textId="03ED55C5" w:rsidR="000C2E13" w:rsidRPr="009C5C64" w:rsidRDefault="000C2E13" w:rsidP="000C2E13">
      <w:pPr>
        <w:pStyle w:val="Zkladntext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Ambrisentan AOP</w:t>
      </w:r>
      <w:r w:rsidRPr="009C5C64">
        <w:rPr>
          <w:rFonts w:ascii="Times New Roman" w:hAnsi="Times New Roman"/>
          <w:szCs w:val="22"/>
        </w:rPr>
        <w:t xml:space="preserve"> 5</w:t>
      </w:r>
      <w:r>
        <w:rPr>
          <w:rFonts w:ascii="Times New Roman" w:hAnsi="Times New Roman"/>
          <w:szCs w:val="22"/>
        </w:rPr>
        <w:t> </w:t>
      </w:r>
      <w:r w:rsidRPr="009C5C64">
        <w:rPr>
          <w:rFonts w:ascii="Times New Roman" w:hAnsi="Times New Roman"/>
          <w:szCs w:val="22"/>
        </w:rPr>
        <w:t>mg filmom obalené tablety</w:t>
      </w:r>
      <w:r>
        <w:rPr>
          <w:rFonts w:ascii="Times New Roman" w:hAnsi="Times New Roman"/>
          <w:szCs w:val="22"/>
        </w:rPr>
        <w:t>:</w:t>
      </w:r>
      <w:r w:rsidR="008E6011">
        <w:rPr>
          <w:rFonts w:ascii="Times New Roman" w:hAnsi="Times New Roman"/>
          <w:szCs w:val="22"/>
        </w:rPr>
        <w:t xml:space="preserve"> </w:t>
      </w:r>
      <w:r w:rsidR="008E6011" w:rsidRPr="008E6011">
        <w:rPr>
          <w:rFonts w:ascii="Times New Roman" w:hAnsi="Times New Roman"/>
          <w:szCs w:val="22"/>
        </w:rPr>
        <w:t>58/0232/20-S</w:t>
      </w:r>
    </w:p>
    <w:p w14:paraId="6A9B9270" w14:textId="1F813497" w:rsidR="000C2E13" w:rsidRPr="009C5C64" w:rsidRDefault="000C2E13" w:rsidP="000C2E13">
      <w:pPr>
        <w:pStyle w:val="Zkladntext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Ambrisentan AOP</w:t>
      </w:r>
      <w:r w:rsidRPr="009C5C64">
        <w:rPr>
          <w:rFonts w:ascii="Times New Roman" w:hAnsi="Times New Roman"/>
          <w:szCs w:val="22"/>
        </w:rPr>
        <w:t xml:space="preserve"> 10</w:t>
      </w:r>
      <w:r>
        <w:rPr>
          <w:rFonts w:ascii="Times New Roman" w:hAnsi="Times New Roman"/>
          <w:szCs w:val="22"/>
        </w:rPr>
        <w:t> </w:t>
      </w:r>
      <w:r w:rsidRPr="009C5C64">
        <w:rPr>
          <w:rFonts w:ascii="Times New Roman" w:hAnsi="Times New Roman"/>
          <w:szCs w:val="22"/>
        </w:rPr>
        <w:t>mg filmom obalené tablety</w:t>
      </w:r>
      <w:r>
        <w:rPr>
          <w:rFonts w:ascii="Times New Roman" w:hAnsi="Times New Roman"/>
          <w:szCs w:val="22"/>
        </w:rPr>
        <w:t>:</w:t>
      </w:r>
      <w:r w:rsidR="008E6011">
        <w:rPr>
          <w:rFonts w:ascii="Times New Roman" w:hAnsi="Times New Roman"/>
          <w:szCs w:val="22"/>
        </w:rPr>
        <w:t xml:space="preserve"> 58/0233</w:t>
      </w:r>
      <w:r w:rsidR="008E6011" w:rsidRPr="008E6011">
        <w:rPr>
          <w:rFonts w:ascii="Times New Roman" w:hAnsi="Times New Roman"/>
          <w:szCs w:val="22"/>
        </w:rPr>
        <w:t>/20-S</w:t>
      </w:r>
    </w:p>
    <w:p w14:paraId="0D98FB7F" w14:textId="77777777" w:rsidR="00D821C8" w:rsidRPr="009C5C64" w:rsidRDefault="00D821C8" w:rsidP="00867598">
      <w:pPr>
        <w:pStyle w:val="Text"/>
        <w:spacing w:after="0" w:line="240" w:lineRule="auto"/>
        <w:rPr>
          <w:sz w:val="22"/>
          <w:szCs w:val="22"/>
        </w:rPr>
      </w:pPr>
    </w:p>
    <w:p w14:paraId="0D98FB80" w14:textId="77777777" w:rsidR="00D821C8" w:rsidRPr="009C5C64" w:rsidRDefault="00D821C8" w:rsidP="00867598">
      <w:pPr>
        <w:pStyle w:val="Text"/>
        <w:spacing w:after="0" w:line="240" w:lineRule="auto"/>
        <w:rPr>
          <w:sz w:val="22"/>
          <w:szCs w:val="22"/>
        </w:rPr>
      </w:pPr>
    </w:p>
    <w:p w14:paraId="0D98FB81" w14:textId="29ED2001" w:rsidR="00D836F6" w:rsidRPr="009C5C64" w:rsidRDefault="00266F55" w:rsidP="0086759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>9.</w:t>
      </w:r>
      <w:r w:rsidR="00FE406D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DÁTUM PRVEJ REGISTRÁCIE/PREDĹŽENIA REGISTRÁCIE</w:t>
      </w:r>
    </w:p>
    <w:p w14:paraId="0D98FB82" w14:textId="77777777" w:rsidR="00D836F6" w:rsidRPr="009C5C64" w:rsidRDefault="00D836F6" w:rsidP="00D52C44">
      <w:pPr>
        <w:rPr>
          <w:sz w:val="22"/>
          <w:szCs w:val="22"/>
        </w:rPr>
      </w:pPr>
    </w:p>
    <w:p w14:paraId="0D98FB83" w14:textId="77777777" w:rsidR="00D836F6" w:rsidRPr="009C5C64" w:rsidRDefault="00FE406D" w:rsidP="00EF582A">
      <w:pPr>
        <w:pStyle w:val="Text"/>
        <w:spacing w:after="0" w:line="240" w:lineRule="auto"/>
        <w:rPr>
          <w:sz w:val="22"/>
          <w:szCs w:val="22"/>
        </w:rPr>
      </w:pPr>
      <w:r w:rsidRPr="009C5C64">
        <w:rPr>
          <w:sz w:val="22"/>
          <w:szCs w:val="22"/>
        </w:rPr>
        <w:t>Dátum prvej registrácie:</w:t>
      </w:r>
      <w:r w:rsidR="00EB6216" w:rsidRPr="009C5C64">
        <w:rPr>
          <w:sz w:val="22"/>
          <w:szCs w:val="22"/>
        </w:rPr>
        <w:t xml:space="preserve"> </w:t>
      </w:r>
    </w:p>
    <w:p w14:paraId="0D98FB84" w14:textId="77777777" w:rsidR="00FE406D" w:rsidRPr="009C5C64" w:rsidRDefault="00FE406D" w:rsidP="00B82B97">
      <w:pPr>
        <w:pStyle w:val="Text"/>
        <w:spacing w:after="0" w:line="240" w:lineRule="auto"/>
        <w:rPr>
          <w:sz w:val="22"/>
          <w:szCs w:val="22"/>
        </w:rPr>
      </w:pPr>
    </w:p>
    <w:p w14:paraId="0D98FB85" w14:textId="77777777" w:rsidR="00D836F6" w:rsidRPr="009C5C64" w:rsidRDefault="00D836F6" w:rsidP="00ED79CF">
      <w:pPr>
        <w:pStyle w:val="Text"/>
        <w:spacing w:after="0" w:line="240" w:lineRule="auto"/>
        <w:rPr>
          <w:sz w:val="22"/>
          <w:szCs w:val="22"/>
        </w:rPr>
      </w:pPr>
    </w:p>
    <w:p w14:paraId="0D98FB86" w14:textId="77777777" w:rsidR="00D836F6" w:rsidRPr="009C5C64" w:rsidRDefault="00266F55" w:rsidP="00AE187C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C5C64">
        <w:rPr>
          <w:b/>
          <w:bCs/>
          <w:color w:val="000000"/>
          <w:sz w:val="22"/>
          <w:szCs w:val="22"/>
        </w:rPr>
        <w:t xml:space="preserve">10. </w:t>
      </w:r>
      <w:r w:rsidR="00FE406D" w:rsidRPr="009C5C64">
        <w:rPr>
          <w:b/>
          <w:bCs/>
          <w:color w:val="000000"/>
          <w:sz w:val="22"/>
          <w:szCs w:val="22"/>
        </w:rPr>
        <w:tab/>
      </w:r>
      <w:r w:rsidRPr="009C5C64">
        <w:rPr>
          <w:b/>
          <w:bCs/>
          <w:color w:val="000000"/>
          <w:sz w:val="22"/>
          <w:szCs w:val="22"/>
        </w:rPr>
        <w:t>DÁTUM REVÍZIE TEXTU</w:t>
      </w:r>
    </w:p>
    <w:p w14:paraId="0D98FB87" w14:textId="77777777" w:rsidR="00B47B8C" w:rsidRPr="009C5C64" w:rsidRDefault="00B47B8C" w:rsidP="00AE187C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D98FB88" w14:textId="0F31EB14" w:rsidR="00D836F6" w:rsidRPr="009C5C64" w:rsidRDefault="00C01B3E" w:rsidP="00481644">
      <w:pPr>
        <w:rPr>
          <w:sz w:val="22"/>
          <w:szCs w:val="22"/>
        </w:rPr>
      </w:pPr>
      <w:r>
        <w:rPr>
          <w:sz w:val="22"/>
          <w:szCs w:val="22"/>
        </w:rPr>
        <w:t>10/2020</w:t>
      </w:r>
    </w:p>
    <w:sectPr w:rsidR="00D836F6" w:rsidRPr="009C5C64" w:rsidSect="00A46734">
      <w:headerReference w:type="default" r:id="rId13"/>
      <w:footerReference w:type="default" r:id="rId14"/>
      <w:pgSz w:w="11906" w:h="16838" w:code="9"/>
      <w:pgMar w:top="1134" w:right="1418" w:bottom="1134" w:left="1418" w:header="737" w:footer="73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EE969" w14:textId="77777777" w:rsidR="00DD1F05" w:rsidRDefault="00DD1F05" w:rsidP="00A46734">
      <w:r>
        <w:separator/>
      </w:r>
    </w:p>
  </w:endnote>
  <w:endnote w:type="continuationSeparator" w:id="0">
    <w:p w14:paraId="55F2F825" w14:textId="77777777" w:rsidR="00DD1F05" w:rsidRDefault="00DD1F05" w:rsidP="00A4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8FB91" w14:textId="77777777" w:rsidR="00667A5C" w:rsidRPr="00A46734" w:rsidRDefault="00667A5C">
    <w:pPr>
      <w:pStyle w:val="Pta"/>
      <w:jc w:val="center"/>
      <w:rPr>
        <w:sz w:val="18"/>
        <w:szCs w:val="18"/>
      </w:rPr>
    </w:pPr>
    <w:r w:rsidRPr="00A46734">
      <w:rPr>
        <w:sz w:val="18"/>
        <w:szCs w:val="18"/>
      </w:rPr>
      <w:fldChar w:fldCharType="begin"/>
    </w:r>
    <w:r w:rsidRPr="00A46734">
      <w:rPr>
        <w:sz w:val="18"/>
        <w:szCs w:val="18"/>
      </w:rPr>
      <w:instrText>PAGE   \* MERGEFORMAT</w:instrText>
    </w:r>
    <w:r w:rsidRPr="00A46734">
      <w:rPr>
        <w:sz w:val="18"/>
        <w:szCs w:val="18"/>
      </w:rPr>
      <w:fldChar w:fldCharType="separate"/>
    </w:r>
    <w:r w:rsidR="00EA33F6">
      <w:rPr>
        <w:noProof/>
        <w:sz w:val="18"/>
        <w:szCs w:val="18"/>
      </w:rPr>
      <w:t>7</w:t>
    </w:r>
    <w:r w:rsidRPr="00A46734">
      <w:rPr>
        <w:sz w:val="18"/>
        <w:szCs w:val="18"/>
      </w:rPr>
      <w:fldChar w:fldCharType="end"/>
    </w:r>
  </w:p>
  <w:p w14:paraId="0D98FB92" w14:textId="77777777" w:rsidR="00667A5C" w:rsidRDefault="00667A5C">
    <w:pPr>
      <w:pStyle w:val="Pta"/>
    </w:pPr>
  </w:p>
  <w:p w14:paraId="0D98FB93" w14:textId="77777777" w:rsidR="00667A5C" w:rsidRDefault="00667A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34165" w14:textId="77777777" w:rsidR="00DD1F05" w:rsidRDefault="00DD1F05" w:rsidP="00A46734">
      <w:r>
        <w:separator/>
      </w:r>
    </w:p>
  </w:footnote>
  <w:footnote w:type="continuationSeparator" w:id="0">
    <w:p w14:paraId="3911D376" w14:textId="77777777" w:rsidR="00DD1F05" w:rsidRDefault="00DD1F05" w:rsidP="00A46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8FB8E" w14:textId="1A904BCA" w:rsidR="00667A5C" w:rsidRPr="00A46734" w:rsidRDefault="00667A5C">
    <w:pPr>
      <w:pStyle w:val="Hlavika"/>
      <w:rPr>
        <w:sz w:val="18"/>
        <w:szCs w:val="18"/>
      </w:rPr>
    </w:pPr>
    <w:r w:rsidRPr="00A46734">
      <w:rPr>
        <w:sz w:val="18"/>
        <w:szCs w:val="18"/>
      </w:rPr>
      <w:t xml:space="preserve">Schválený text k rozhodnutiu o registrácii, ev. č.: </w:t>
    </w:r>
    <w:r w:rsidRPr="007A0C5B">
      <w:rPr>
        <w:sz w:val="18"/>
        <w:szCs w:val="18"/>
      </w:rPr>
      <w:t>2019/01843-REG</w:t>
    </w:r>
    <w:r>
      <w:rPr>
        <w:sz w:val="18"/>
        <w:szCs w:val="18"/>
      </w:rPr>
      <w:t>, 2019/01844</w:t>
    </w:r>
    <w:r w:rsidRPr="007A0C5B">
      <w:rPr>
        <w:sz w:val="18"/>
        <w:szCs w:val="18"/>
      </w:rPr>
      <w:t>-REG</w:t>
    </w:r>
  </w:p>
  <w:p w14:paraId="0D98FB8F" w14:textId="77777777" w:rsidR="00667A5C" w:rsidRDefault="00667A5C">
    <w:pPr>
      <w:pStyle w:val="Hlavika"/>
    </w:pPr>
  </w:p>
  <w:p w14:paraId="0D98FB90" w14:textId="77777777" w:rsidR="00667A5C" w:rsidRDefault="00667A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16BAB"/>
    <w:multiLevelType w:val="hybridMultilevel"/>
    <w:tmpl w:val="8E3872D4"/>
    <w:lvl w:ilvl="0" w:tplc="BA04D8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99142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AE75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81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AEF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32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ED6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F8AC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85C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22A8"/>
    <w:multiLevelType w:val="hybridMultilevel"/>
    <w:tmpl w:val="833635D8"/>
    <w:lvl w:ilvl="0" w:tplc="C9624C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1A847A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06A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CD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52F6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0C89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92F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6A3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B4E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DBF"/>
    <w:multiLevelType w:val="hybridMultilevel"/>
    <w:tmpl w:val="92A8E59C"/>
    <w:lvl w:ilvl="0" w:tplc="48FC76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64A2F0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B8E59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78AA8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A47FA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700F7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C0E64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C6AACB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B6897C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C74B8"/>
    <w:multiLevelType w:val="hybridMultilevel"/>
    <w:tmpl w:val="F8080584"/>
    <w:lvl w:ilvl="0" w:tplc="FC7851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A289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9434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58F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FE0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F25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C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144A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FE25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16D2"/>
    <w:multiLevelType w:val="hybridMultilevel"/>
    <w:tmpl w:val="68A884D0"/>
    <w:lvl w:ilvl="0" w:tplc="BF628A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8C82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9E16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0418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0E35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D08C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6D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6E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3AA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C0873"/>
    <w:multiLevelType w:val="hybridMultilevel"/>
    <w:tmpl w:val="B3BCE9B6"/>
    <w:lvl w:ilvl="0" w:tplc="EB0A9E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40263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E42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A5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C59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ED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D2E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72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625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F2F67"/>
    <w:multiLevelType w:val="hybridMultilevel"/>
    <w:tmpl w:val="7E645578"/>
    <w:lvl w:ilvl="0" w:tplc="D37E1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B409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5CD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4F1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69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A26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4E8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988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C49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A5231"/>
    <w:multiLevelType w:val="hybridMultilevel"/>
    <w:tmpl w:val="218C4866"/>
    <w:lvl w:ilvl="0" w:tplc="7BC81EC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83E8BC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A62211EE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4740FA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44CE6E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626AE8B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2DC6844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8DFA5ADA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EC16B296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8730099"/>
    <w:multiLevelType w:val="hybridMultilevel"/>
    <w:tmpl w:val="18A83ACC"/>
    <w:lvl w:ilvl="0" w:tplc="EA742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6A9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3C1D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8EC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45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FCE7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C8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943C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94E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32CDA"/>
    <w:multiLevelType w:val="hybridMultilevel"/>
    <w:tmpl w:val="A3A46338"/>
    <w:lvl w:ilvl="0" w:tplc="72DCD0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97CCF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3E8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A7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628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901B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2B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7611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3CE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4769B"/>
    <w:multiLevelType w:val="hybridMultilevel"/>
    <w:tmpl w:val="328ECF84"/>
    <w:lvl w:ilvl="0" w:tplc="D2466F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14271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528C4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252BD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820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FE9E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F5A5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006C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BC4E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0D0138"/>
    <w:multiLevelType w:val="hybridMultilevel"/>
    <w:tmpl w:val="D0189F76"/>
    <w:lvl w:ilvl="0" w:tplc="2EBC4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60C4DD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</w:rPr>
    </w:lvl>
    <w:lvl w:ilvl="2" w:tplc="B5203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B6F9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765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5C5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A5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763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BAA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95AD5"/>
    <w:multiLevelType w:val="multilevel"/>
    <w:tmpl w:val="BFC8D1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AAD2DA1"/>
    <w:multiLevelType w:val="hybridMultilevel"/>
    <w:tmpl w:val="35124E50"/>
    <w:lvl w:ilvl="0" w:tplc="B2A25D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C29A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681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99AF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AE6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27822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BDC1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24E38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B20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7D769D"/>
    <w:multiLevelType w:val="hybridMultilevel"/>
    <w:tmpl w:val="7CCE8BFE"/>
    <w:lvl w:ilvl="0" w:tplc="473296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20EC81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44F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C69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5ABC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A0E6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D4B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24DD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6A7D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C1DC5"/>
    <w:multiLevelType w:val="hybridMultilevel"/>
    <w:tmpl w:val="7CC658CC"/>
    <w:lvl w:ilvl="0" w:tplc="F1141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4AF06D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7CCA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D64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7475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F23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85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3464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E88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24BB2"/>
    <w:multiLevelType w:val="hybridMultilevel"/>
    <w:tmpl w:val="EE585134"/>
    <w:lvl w:ilvl="0" w:tplc="41D4E4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6E891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B01B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401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7C01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5666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E4C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5E3E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5E1D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54330"/>
    <w:multiLevelType w:val="hybridMultilevel"/>
    <w:tmpl w:val="7C346210"/>
    <w:lvl w:ilvl="0" w:tplc="8A86D7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F0DB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AA8F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E0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4AD9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EC7F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24C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EC8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C410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463F2"/>
    <w:multiLevelType w:val="hybridMultilevel"/>
    <w:tmpl w:val="42D4294A"/>
    <w:lvl w:ilvl="0" w:tplc="339C3F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6BECA7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F887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D87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6AD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4F8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29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7E8B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005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67CF1"/>
    <w:multiLevelType w:val="hybridMultilevel"/>
    <w:tmpl w:val="F0E8BD76"/>
    <w:lvl w:ilvl="0" w:tplc="50506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C42B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246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1A87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6079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447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309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9EAE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841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45C23"/>
    <w:multiLevelType w:val="hybridMultilevel"/>
    <w:tmpl w:val="5B787CA4"/>
    <w:lvl w:ilvl="0" w:tplc="863C3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A164E2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42F5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86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B62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7A92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DE0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BE0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541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404A"/>
    <w:multiLevelType w:val="hybridMultilevel"/>
    <w:tmpl w:val="33E0A482"/>
    <w:lvl w:ilvl="0" w:tplc="E2FA3B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860E2F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A21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0A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5889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9E7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07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9693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9201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91DBA"/>
    <w:multiLevelType w:val="hybridMultilevel"/>
    <w:tmpl w:val="63565D68"/>
    <w:lvl w:ilvl="0" w:tplc="239A22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BA19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AE7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C4A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2A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8635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45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74AE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F24A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17CB9"/>
    <w:multiLevelType w:val="hybridMultilevel"/>
    <w:tmpl w:val="DE3A01CC"/>
    <w:lvl w:ilvl="0" w:tplc="33A83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5E0F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8451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78F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A1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6CF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1EFB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8A8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7AE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B2686"/>
    <w:multiLevelType w:val="hybridMultilevel"/>
    <w:tmpl w:val="37BEC0BC"/>
    <w:lvl w:ilvl="0" w:tplc="91A601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0F03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8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101D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1E87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5AC4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62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6C4C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20C6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810E7"/>
    <w:multiLevelType w:val="hybridMultilevel"/>
    <w:tmpl w:val="4788B8FC"/>
    <w:lvl w:ilvl="0" w:tplc="1228EB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7CA06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7C1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106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68A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D65C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84B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F68D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B8B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D1EC1"/>
    <w:multiLevelType w:val="hybridMultilevel"/>
    <w:tmpl w:val="D1F64DA2"/>
    <w:lvl w:ilvl="0" w:tplc="6AAA842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662D1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48BA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6A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EBE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207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EF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48E3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D42A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E242E"/>
    <w:multiLevelType w:val="hybridMultilevel"/>
    <w:tmpl w:val="4E9403A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39E7256"/>
    <w:multiLevelType w:val="hybridMultilevel"/>
    <w:tmpl w:val="966C5120"/>
    <w:lvl w:ilvl="0" w:tplc="811819A8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9822E6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92DF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E6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409F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E8F6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CED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C32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16B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B43C6"/>
    <w:multiLevelType w:val="hybridMultilevel"/>
    <w:tmpl w:val="55D665A8"/>
    <w:lvl w:ilvl="0" w:tplc="ED1CD5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C0456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DAD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D6E5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48F7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703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3742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06AA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54E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6ED29C0"/>
    <w:multiLevelType w:val="hybridMultilevel"/>
    <w:tmpl w:val="E9F4D178"/>
    <w:lvl w:ilvl="0" w:tplc="E2C4FB3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142A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06F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86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46F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162E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B82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722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68D2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D00BA"/>
    <w:multiLevelType w:val="hybridMultilevel"/>
    <w:tmpl w:val="199E43F0"/>
    <w:lvl w:ilvl="0" w:tplc="920077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CF9E9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5E4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B8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509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987F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06F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B65A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B41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843FB"/>
    <w:multiLevelType w:val="hybridMultilevel"/>
    <w:tmpl w:val="BFC0D26E"/>
    <w:lvl w:ilvl="0" w:tplc="1646D0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74C2C1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7092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E2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108F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8CD3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F4F6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0AF8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B055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0"/>
  </w:num>
  <w:num w:numId="3">
    <w:abstractNumId w:val="17"/>
  </w:num>
  <w:num w:numId="4">
    <w:abstractNumId w:val="15"/>
  </w:num>
  <w:num w:numId="5">
    <w:abstractNumId w:val="0"/>
  </w:num>
  <w:num w:numId="6">
    <w:abstractNumId w:val="18"/>
  </w:num>
  <w:num w:numId="7">
    <w:abstractNumId w:val="20"/>
  </w:num>
  <w:num w:numId="8">
    <w:abstractNumId w:val="9"/>
  </w:num>
  <w:num w:numId="9">
    <w:abstractNumId w:val="13"/>
  </w:num>
  <w:num w:numId="10">
    <w:abstractNumId w:val="16"/>
  </w:num>
  <w:num w:numId="11">
    <w:abstractNumId w:val="30"/>
  </w:num>
  <w:num w:numId="12">
    <w:abstractNumId w:val="14"/>
  </w:num>
  <w:num w:numId="13">
    <w:abstractNumId w:val="31"/>
  </w:num>
  <w:num w:numId="14">
    <w:abstractNumId w:val="21"/>
  </w:num>
  <w:num w:numId="15">
    <w:abstractNumId w:val="24"/>
  </w:num>
  <w:num w:numId="16">
    <w:abstractNumId w:val="26"/>
  </w:num>
  <w:num w:numId="17">
    <w:abstractNumId w:val="6"/>
  </w:num>
  <w:num w:numId="18">
    <w:abstractNumId w:val="19"/>
  </w:num>
  <w:num w:numId="19">
    <w:abstractNumId w:val="3"/>
  </w:num>
  <w:num w:numId="20">
    <w:abstractNumId w:val="23"/>
  </w:num>
  <w:num w:numId="21">
    <w:abstractNumId w:val="5"/>
  </w:num>
  <w:num w:numId="22">
    <w:abstractNumId w:val="7"/>
  </w:num>
  <w:num w:numId="23">
    <w:abstractNumId w:val="2"/>
  </w:num>
  <w:num w:numId="24">
    <w:abstractNumId w:val="1"/>
  </w:num>
  <w:num w:numId="25">
    <w:abstractNumId w:val="11"/>
  </w:num>
  <w:num w:numId="26">
    <w:abstractNumId w:val="12"/>
  </w:num>
  <w:num w:numId="27">
    <w:abstractNumId w:val="25"/>
  </w:num>
  <w:num w:numId="28">
    <w:abstractNumId w:val="29"/>
  </w:num>
  <w:num w:numId="29">
    <w:abstractNumId w:val="22"/>
  </w:num>
  <w:num w:numId="30">
    <w:abstractNumId w:val="28"/>
  </w:num>
  <w:num w:numId="31">
    <w:abstractNumId w:val="8"/>
  </w:num>
  <w:num w:numId="32">
    <w:abstractNumId w:val="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6F6"/>
    <w:rsid w:val="000021A3"/>
    <w:rsid w:val="00007EA8"/>
    <w:rsid w:val="00011179"/>
    <w:rsid w:val="0001189D"/>
    <w:rsid w:val="00014C95"/>
    <w:rsid w:val="00016A21"/>
    <w:rsid w:val="000228F1"/>
    <w:rsid w:val="00026DF2"/>
    <w:rsid w:val="000357ED"/>
    <w:rsid w:val="00040EC2"/>
    <w:rsid w:val="00045969"/>
    <w:rsid w:val="00046A64"/>
    <w:rsid w:val="00053E72"/>
    <w:rsid w:val="0005504D"/>
    <w:rsid w:val="000558F3"/>
    <w:rsid w:val="00057464"/>
    <w:rsid w:val="00060C11"/>
    <w:rsid w:val="00062213"/>
    <w:rsid w:val="000664E0"/>
    <w:rsid w:val="00071244"/>
    <w:rsid w:val="00071A7C"/>
    <w:rsid w:val="0007271E"/>
    <w:rsid w:val="00074693"/>
    <w:rsid w:val="00075591"/>
    <w:rsid w:val="00075C3F"/>
    <w:rsid w:val="00082006"/>
    <w:rsid w:val="00085E09"/>
    <w:rsid w:val="00086DAA"/>
    <w:rsid w:val="00087242"/>
    <w:rsid w:val="00090285"/>
    <w:rsid w:val="000945C5"/>
    <w:rsid w:val="000A0523"/>
    <w:rsid w:val="000B1E98"/>
    <w:rsid w:val="000B32B2"/>
    <w:rsid w:val="000B5104"/>
    <w:rsid w:val="000B68BE"/>
    <w:rsid w:val="000C0627"/>
    <w:rsid w:val="000C271B"/>
    <w:rsid w:val="000C2E13"/>
    <w:rsid w:val="000C4664"/>
    <w:rsid w:val="000D49CB"/>
    <w:rsid w:val="000D4A0C"/>
    <w:rsid w:val="000E1346"/>
    <w:rsid w:val="000E5453"/>
    <w:rsid w:val="000E6E1B"/>
    <w:rsid w:val="000F05A9"/>
    <w:rsid w:val="000F7553"/>
    <w:rsid w:val="00101E3D"/>
    <w:rsid w:val="00102019"/>
    <w:rsid w:val="001104F3"/>
    <w:rsid w:val="001117B4"/>
    <w:rsid w:val="00115EE8"/>
    <w:rsid w:val="00120C93"/>
    <w:rsid w:val="00122214"/>
    <w:rsid w:val="00124AAA"/>
    <w:rsid w:val="00126A36"/>
    <w:rsid w:val="00126B2A"/>
    <w:rsid w:val="001272BC"/>
    <w:rsid w:val="00131A60"/>
    <w:rsid w:val="0013429F"/>
    <w:rsid w:val="00135571"/>
    <w:rsid w:val="00135E85"/>
    <w:rsid w:val="00141FA1"/>
    <w:rsid w:val="00142205"/>
    <w:rsid w:val="001430DA"/>
    <w:rsid w:val="00144BE6"/>
    <w:rsid w:val="00145A9D"/>
    <w:rsid w:val="00155231"/>
    <w:rsid w:val="00161E7A"/>
    <w:rsid w:val="00170EE0"/>
    <w:rsid w:val="00171E98"/>
    <w:rsid w:val="00173725"/>
    <w:rsid w:val="00175E86"/>
    <w:rsid w:val="00177ACD"/>
    <w:rsid w:val="0018467F"/>
    <w:rsid w:val="00184807"/>
    <w:rsid w:val="001863BA"/>
    <w:rsid w:val="001869CD"/>
    <w:rsid w:val="00190AF2"/>
    <w:rsid w:val="00190D30"/>
    <w:rsid w:val="00190ED4"/>
    <w:rsid w:val="0019226C"/>
    <w:rsid w:val="00192E75"/>
    <w:rsid w:val="0019362D"/>
    <w:rsid w:val="00193CF3"/>
    <w:rsid w:val="0019449F"/>
    <w:rsid w:val="00195074"/>
    <w:rsid w:val="001961D1"/>
    <w:rsid w:val="001A1AC9"/>
    <w:rsid w:val="001A3231"/>
    <w:rsid w:val="001A5E82"/>
    <w:rsid w:val="001A788E"/>
    <w:rsid w:val="001A78A4"/>
    <w:rsid w:val="001B309D"/>
    <w:rsid w:val="001B3CBB"/>
    <w:rsid w:val="001B3E4E"/>
    <w:rsid w:val="001B503E"/>
    <w:rsid w:val="001B7E7C"/>
    <w:rsid w:val="001C1C1A"/>
    <w:rsid w:val="001C354D"/>
    <w:rsid w:val="001D0AAC"/>
    <w:rsid w:val="001D120E"/>
    <w:rsid w:val="001D26DE"/>
    <w:rsid w:val="001D427D"/>
    <w:rsid w:val="001E2DBE"/>
    <w:rsid w:val="001E326E"/>
    <w:rsid w:val="001F73B7"/>
    <w:rsid w:val="0021623A"/>
    <w:rsid w:val="00217447"/>
    <w:rsid w:val="00220168"/>
    <w:rsid w:val="00223819"/>
    <w:rsid w:val="00235A37"/>
    <w:rsid w:val="00236644"/>
    <w:rsid w:val="00241A95"/>
    <w:rsid w:val="00242FF2"/>
    <w:rsid w:val="00244876"/>
    <w:rsid w:val="00245BCE"/>
    <w:rsid w:val="0025312B"/>
    <w:rsid w:val="0025330C"/>
    <w:rsid w:val="00254EB3"/>
    <w:rsid w:val="00262BDA"/>
    <w:rsid w:val="0026607E"/>
    <w:rsid w:val="00266F55"/>
    <w:rsid w:val="00267556"/>
    <w:rsid w:val="002709E4"/>
    <w:rsid w:val="002743B1"/>
    <w:rsid w:val="00281999"/>
    <w:rsid w:val="00292E3E"/>
    <w:rsid w:val="002A07BA"/>
    <w:rsid w:val="002A1D69"/>
    <w:rsid w:val="002A3242"/>
    <w:rsid w:val="002A74D4"/>
    <w:rsid w:val="002B0217"/>
    <w:rsid w:val="002B1354"/>
    <w:rsid w:val="002B284C"/>
    <w:rsid w:val="002B6124"/>
    <w:rsid w:val="002B68A1"/>
    <w:rsid w:val="002C00E3"/>
    <w:rsid w:val="002C1648"/>
    <w:rsid w:val="002D4507"/>
    <w:rsid w:val="002E404B"/>
    <w:rsid w:val="002E406D"/>
    <w:rsid w:val="002E460C"/>
    <w:rsid w:val="002E550A"/>
    <w:rsid w:val="002E6214"/>
    <w:rsid w:val="002F1B3D"/>
    <w:rsid w:val="002F76F9"/>
    <w:rsid w:val="00302625"/>
    <w:rsid w:val="00313439"/>
    <w:rsid w:val="00317E88"/>
    <w:rsid w:val="00320623"/>
    <w:rsid w:val="0032202B"/>
    <w:rsid w:val="00323FB0"/>
    <w:rsid w:val="00327428"/>
    <w:rsid w:val="003308F0"/>
    <w:rsid w:val="00330D01"/>
    <w:rsid w:val="003318EF"/>
    <w:rsid w:val="003346A7"/>
    <w:rsid w:val="00335442"/>
    <w:rsid w:val="00337702"/>
    <w:rsid w:val="00345D7B"/>
    <w:rsid w:val="00350C2F"/>
    <w:rsid w:val="00363E2A"/>
    <w:rsid w:val="003710E7"/>
    <w:rsid w:val="00372825"/>
    <w:rsid w:val="00377E30"/>
    <w:rsid w:val="00380AD4"/>
    <w:rsid w:val="0038317A"/>
    <w:rsid w:val="00383789"/>
    <w:rsid w:val="00383817"/>
    <w:rsid w:val="00393C4F"/>
    <w:rsid w:val="003A0544"/>
    <w:rsid w:val="003A78CA"/>
    <w:rsid w:val="003B294E"/>
    <w:rsid w:val="003B5FDD"/>
    <w:rsid w:val="003B6A97"/>
    <w:rsid w:val="003B70CA"/>
    <w:rsid w:val="003C05E0"/>
    <w:rsid w:val="003C092A"/>
    <w:rsid w:val="003C358D"/>
    <w:rsid w:val="003C5A8A"/>
    <w:rsid w:val="003C5FBB"/>
    <w:rsid w:val="003C5FD4"/>
    <w:rsid w:val="003D229C"/>
    <w:rsid w:val="003D5C22"/>
    <w:rsid w:val="003D5F0D"/>
    <w:rsid w:val="003D60D1"/>
    <w:rsid w:val="003E473B"/>
    <w:rsid w:val="003F2AFB"/>
    <w:rsid w:val="003F589B"/>
    <w:rsid w:val="00400B16"/>
    <w:rsid w:val="004031F1"/>
    <w:rsid w:val="00403D78"/>
    <w:rsid w:val="00404756"/>
    <w:rsid w:val="00406A60"/>
    <w:rsid w:val="00411C14"/>
    <w:rsid w:val="00413627"/>
    <w:rsid w:val="00422333"/>
    <w:rsid w:val="00422AE8"/>
    <w:rsid w:val="004254A2"/>
    <w:rsid w:val="00430259"/>
    <w:rsid w:val="0044033F"/>
    <w:rsid w:val="00446C16"/>
    <w:rsid w:val="00447692"/>
    <w:rsid w:val="00461125"/>
    <w:rsid w:val="00462577"/>
    <w:rsid w:val="004632AE"/>
    <w:rsid w:val="00465B1F"/>
    <w:rsid w:val="00470B99"/>
    <w:rsid w:val="00476391"/>
    <w:rsid w:val="00481644"/>
    <w:rsid w:val="00493D32"/>
    <w:rsid w:val="004974E0"/>
    <w:rsid w:val="004A20AC"/>
    <w:rsid w:val="004A42D5"/>
    <w:rsid w:val="004A63C9"/>
    <w:rsid w:val="004C13A8"/>
    <w:rsid w:val="004C4B18"/>
    <w:rsid w:val="004D3EAD"/>
    <w:rsid w:val="004D6AA3"/>
    <w:rsid w:val="004D76B7"/>
    <w:rsid w:val="004E43B2"/>
    <w:rsid w:val="004F1E2B"/>
    <w:rsid w:val="00504BFA"/>
    <w:rsid w:val="00511D50"/>
    <w:rsid w:val="00514E5B"/>
    <w:rsid w:val="00515C27"/>
    <w:rsid w:val="00516883"/>
    <w:rsid w:val="00517183"/>
    <w:rsid w:val="00520420"/>
    <w:rsid w:val="005211C2"/>
    <w:rsid w:val="00524194"/>
    <w:rsid w:val="00530683"/>
    <w:rsid w:val="00530DB3"/>
    <w:rsid w:val="0053178E"/>
    <w:rsid w:val="00550694"/>
    <w:rsid w:val="00554229"/>
    <w:rsid w:val="00556B00"/>
    <w:rsid w:val="00556FE8"/>
    <w:rsid w:val="00561431"/>
    <w:rsid w:val="005630FC"/>
    <w:rsid w:val="00566CD6"/>
    <w:rsid w:val="0057133D"/>
    <w:rsid w:val="005740D7"/>
    <w:rsid w:val="00576119"/>
    <w:rsid w:val="00581CF5"/>
    <w:rsid w:val="00581DE7"/>
    <w:rsid w:val="005836B8"/>
    <w:rsid w:val="00584102"/>
    <w:rsid w:val="00584A87"/>
    <w:rsid w:val="005909C9"/>
    <w:rsid w:val="00595592"/>
    <w:rsid w:val="005A325B"/>
    <w:rsid w:val="005A6969"/>
    <w:rsid w:val="005B0607"/>
    <w:rsid w:val="005B0F05"/>
    <w:rsid w:val="005B13C8"/>
    <w:rsid w:val="005C0B5D"/>
    <w:rsid w:val="005C2714"/>
    <w:rsid w:val="005C512D"/>
    <w:rsid w:val="005C6DAE"/>
    <w:rsid w:val="005D158B"/>
    <w:rsid w:val="005D3446"/>
    <w:rsid w:val="005D55CB"/>
    <w:rsid w:val="005D6FB9"/>
    <w:rsid w:val="005D7801"/>
    <w:rsid w:val="005E0106"/>
    <w:rsid w:val="005E0359"/>
    <w:rsid w:val="005E1E75"/>
    <w:rsid w:val="005E3F85"/>
    <w:rsid w:val="005E5905"/>
    <w:rsid w:val="005E642F"/>
    <w:rsid w:val="005F6645"/>
    <w:rsid w:val="005F77A6"/>
    <w:rsid w:val="006002C8"/>
    <w:rsid w:val="006010F2"/>
    <w:rsid w:val="0060132A"/>
    <w:rsid w:val="0061176B"/>
    <w:rsid w:val="0061367B"/>
    <w:rsid w:val="00614C33"/>
    <w:rsid w:val="00617533"/>
    <w:rsid w:val="00617A5C"/>
    <w:rsid w:val="00635192"/>
    <w:rsid w:val="0064628D"/>
    <w:rsid w:val="006507C6"/>
    <w:rsid w:val="00654537"/>
    <w:rsid w:val="006553C7"/>
    <w:rsid w:val="006574C0"/>
    <w:rsid w:val="00660B54"/>
    <w:rsid w:val="00663328"/>
    <w:rsid w:val="00664725"/>
    <w:rsid w:val="00666B8B"/>
    <w:rsid w:val="00666FD6"/>
    <w:rsid w:val="00667624"/>
    <w:rsid w:val="00667A5C"/>
    <w:rsid w:val="0067095C"/>
    <w:rsid w:val="00672809"/>
    <w:rsid w:val="0067688B"/>
    <w:rsid w:val="006774D0"/>
    <w:rsid w:val="00681FA8"/>
    <w:rsid w:val="006859DD"/>
    <w:rsid w:val="00687148"/>
    <w:rsid w:val="00690F94"/>
    <w:rsid w:val="00697A77"/>
    <w:rsid w:val="006A211A"/>
    <w:rsid w:val="006A4B4C"/>
    <w:rsid w:val="006A683D"/>
    <w:rsid w:val="006A7988"/>
    <w:rsid w:val="006B6A94"/>
    <w:rsid w:val="006B758A"/>
    <w:rsid w:val="006C1964"/>
    <w:rsid w:val="006C7637"/>
    <w:rsid w:val="006D38E9"/>
    <w:rsid w:val="006D5E3F"/>
    <w:rsid w:val="006D7064"/>
    <w:rsid w:val="006F4F0F"/>
    <w:rsid w:val="0070251E"/>
    <w:rsid w:val="007051B5"/>
    <w:rsid w:val="00705876"/>
    <w:rsid w:val="00711334"/>
    <w:rsid w:val="007133CD"/>
    <w:rsid w:val="00716090"/>
    <w:rsid w:val="0071718C"/>
    <w:rsid w:val="00724C0C"/>
    <w:rsid w:val="00731B05"/>
    <w:rsid w:val="007328A0"/>
    <w:rsid w:val="00737201"/>
    <w:rsid w:val="007424B5"/>
    <w:rsid w:val="007463DA"/>
    <w:rsid w:val="0075389F"/>
    <w:rsid w:val="00755C47"/>
    <w:rsid w:val="00757039"/>
    <w:rsid w:val="00764EB2"/>
    <w:rsid w:val="0076586E"/>
    <w:rsid w:val="00766250"/>
    <w:rsid w:val="00781DE3"/>
    <w:rsid w:val="00784966"/>
    <w:rsid w:val="007854AF"/>
    <w:rsid w:val="00787771"/>
    <w:rsid w:val="007911D2"/>
    <w:rsid w:val="00793BDE"/>
    <w:rsid w:val="007A0C5B"/>
    <w:rsid w:val="007A2FB7"/>
    <w:rsid w:val="007A4496"/>
    <w:rsid w:val="007A65C1"/>
    <w:rsid w:val="007A72FB"/>
    <w:rsid w:val="007B0B7A"/>
    <w:rsid w:val="007B2499"/>
    <w:rsid w:val="007B2D86"/>
    <w:rsid w:val="007B43BB"/>
    <w:rsid w:val="007B6BEF"/>
    <w:rsid w:val="007B71C0"/>
    <w:rsid w:val="007C4961"/>
    <w:rsid w:val="007C5BA4"/>
    <w:rsid w:val="007D0B10"/>
    <w:rsid w:val="007D0DA4"/>
    <w:rsid w:val="007D2315"/>
    <w:rsid w:val="007D725A"/>
    <w:rsid w:val="007E2DE2"/>
    <w:rsid w:val="007E5265"/>
    <w:rsid w:val="007F3381"/>
    <w:rsid w:val="007F360B"/>
    <w:rsid w:val="007F5177"/>
    <w:rsid w:val="007F52E4"/>
    <w:rsid w:val="007F5611"/>
    <w:rsid w:val="00802E07"/>
    <w:rsid w:val="00803E88"/>
    <w:rsid w:val="00805F2B"/>
    <w:rsid w:val="008115A1"/>
    <w:rsid w:val="00814CB7"/>
    <w:rsid w:val="0081653E"/>
    <w:rsid w:val="00821B04"/>
    <w:rsid w:val="008249C3"/>
    <w:rsid w:val="008325E7"/>
    <w:rsid w:val="00835218"/>
    <w:rsid w:val="00843C6A"/>
    <w:rsid w:val="00846CF7"/>
    <w:rsid w:val="00853C67"/>
    <w:rsid w:val="00854157"/>
    <w:rsid w:val="0085498D"/>
    <w:rsid w:val="00854E1B"/>
    <w:rsid w:val="00856178"/>
    <w:rsid w:val="008621C2"/>
    <w:rsid w:val="0086228F"/>
    <w:rsid w:val="00862386"/>
    <w:rsid w:val="00867598"/>
    <w:rsid w:val="00876437"/>
    <w:rsid w:val="00884BA9"/>
    <w:rsid w:val="0089194F"/>
    <w:rsid w:val="00893562"/>
    <w:rsid w:val="00895F66"/>
    <w:rsid w:val="008B375B"/>
    <w:rsid w:val="008B5397"/>
    <w:rsid w:val="008B6298"/>
    <w:rsid w:val="008C09F3"/>
    <w:rsid w:val="008C0B00"/>
    <w:rsid w:val="008C2F7C"/>
    <w:rsid w:val="008C78F3"/>
    <w:rsid w:val="008C7FC1"/>
    <w:rsid w:val="008D2A76"/>
    <w:rsid w:val="008E0687"/>
    <w:rsid w:val="008E1AF9"/>
    <w:rsid w:val="008E3267"/>
    <w:rsid w:val="008E35FD"/>
    <w:rsid w:val="008E6011"/>
    <w:rsid w:val="008E6F2B"/>
    <w:rsid w:val="008E7094"/>
    <w:rsid w:val="00901B23"/>
    <w:rsid w:val="009025F5"/>
    <w:rsid w:val="00905EB5"/>
    <w:rsid w:val="009063B6"/>
    <w:rsid w:val="00907ED3"/>
    <w:rsid w:val="009169B4"/>
    <w:rsid w:val="00917656"/>
    <w:rsid w:val="0092061B"/>
    <w:rsid w:val="00926B9B"/>
    <w:rsid w:val="009271DE"/>
    <w:rsid w:val="0093305B"/>
    <w:rsid w:val="00937121"/>
    <w:rsid w:val="0094120B"/>
    <w:rsid w:val="00942A36"/>
    <w:rsid w:val="00943135"/>
    <w:rsid w:val="009441E6"/>
    <w:rsid w:val="00947ECF"/>
    <w:rsid w:val="00966B77"/>
    <w:rsid w:val="00967027"/>
    <w:rsid w:val="00967381"/>
    <w:rsid w:val="009757DE"/>
    <w:rsid w:val="0097625C"/>
    <w:rsid w:val="00976C37"/>
    <w:rsid w:val="00981CC1"/>
    <w:rsid w:val="00985BC0"/>
    <w:rsid w:val="0099691F"/>
    <w:rsid w:val="009A741B"/>
    <w:rsid w:val="009B3315"/>
    <w:rsid w:val="009B7C88"/>
    <w:rsid w:val="009B7FD5"/>
    <w:rsid w:val="009C5C64"/>
    <w:rsid w:val="009E29B8"/>
    <w:rsid w:val="009E4326"/>
    <w:rsid w:val="009E43EE"/>
    <w:rsid w:val="009E5563"/>
    <w:rsid w:val="009F3318"/>
    <w:rsid w:val="009F586B"/>
    <w:rsid w:val="009F5940"/>
    <w:rsid w:val="00A01263"/>
    <w:rsid w:val="00A069F7"/>
    <w:rsid w:val="00A06BE6"/>
    <w:rsid w:val="00A06DD1"/>
    <w:rsid w:val="00A0727A"/>
    <w:rsid w:val="00A07439"/>
    <w:rsid w:val="00A10BEB"/>
    <w:rsid w:val="00A146D7"/>
    <w:rsid w:val="00A203BB"/>
    <w:rsid w:val="00A227C3"/>
    <w:rsid w:val="00A22F39"/>
    <w:rsid w:val="00A30AEF"/>
    <w:rsid w:val="00A33840"/>
    <w:rsid w:val="00A3604D"/>
    <w:rsid w:val="00A43C94"/>
    <w:rsid w:val="00A46734"/>
    <w:rsid w:val="00A477AE"/>
    <w:rsid w:val="00A53140"/>
    <w:rsid w:val="00A609DE"/>
    <w:rsid w:val="00A60F8A"/>
    <w:rsid w:val="00A65D30"/>
    <w:rsid w:val="00A66491"/>
    <w:rsid w:val="00A6714C"/>
    <w:rsid w:val="00A678A6"/>
    <w:rsid w:val="00A775E0"/>
    <w:rsid w:val="00A833C4"/>
    <w:rsid w:val="00A853C0"/>
    <w:rsid w:val="00A858BC"/>
    <w:rsid w:val="00AA0051"/>
    <w:rsid w:val="00AA21C1"/>
    <w:rsid w:val="00AA2A45"/>
    <w:rsid w:val="00AA3DF7"/>
    <w:rsid w:val="00AA652B"/>
    <w:rsid w:val="00AB1C32"/>
    <w:rsid w:val="00AB5E05"/>
    <w:rsid w:val="00AB678A"/>
    <w:rsid w:val="00AC1D51"/>
    <w:rsid w:val="00AD1B8E"/>
    <w:rsid w:val="00AD30E3"/>
    <w:rsid w:val="00AD37C5"/>
    <w:rsid w:val="00AD4826"/>
    <w:rsid w:val="00AD54BA"/>
    <w:rsid w:val="00AE187C"/>
    <w:rsid w:val="00AE2604"/>
    <w:rsid w:val="00AE5283"/>
    <w:rsid w:val="00AE72DA"/>
    <w:rsid w:val="00AF08E6"/>
    <w:rsid w:val="00B02253"/>
    <w:rsid w:val="00B03303"/>
    <w:rsid w:val="00B044FA"/>
    <w:rsid w:val="00B055CF"/>
    <w:rsid w:val="00B17056"/>
    <w:rsid w:val="00B17239"/>
    <w:rsid w:val="00B2457B"/>
    <w:rsid w:val="00B323F9"/>
    <w:rsid w:val="00B41668"/>
    <w:rsid w:val="00B47B8C"/>
    <w:rsid w:val="00B53AB9"/>
    <w:rsid w:val="00B5459D"/>
    <w:rsid w:val="00B65B2C"/>
    <w:rsid w:val="00B67515"/>
    <w:rsid w:val="00B71A71"/>
    <w:rsid w:val="00B73DB3"/>
    <w:rsid w:val="00B82B97"/>
    <w:rsid w:val="00B92CA6"/>
    <w:rsid w:val="00BA0634"/>
    <w:rsid w:val="00BA06C3"/>
    <w:rsid w:val="00BB163F"/>
    <w:rsid w:val="00BB1943"/>
    <w:rsid w:val="00BB6AF6"/>
    <w:rsid w:val="00BB6DA5"/>
    <w:rsid w:val="00BC061D"/>
    <w:rsid w:val="00BC3FA3"/>
    <w:rsid w:val="00BC51B7"/>
    <w:rsid w:val="00BC5749"/>
    <w:rsid w:val="00BC613B"/>
    <w:rsid w:val="00BD60C9"/>
    <w:rsid w:val="00BE0EFD"/>
    <w:rsid w:val="00BE2047"/>
    <w:rsid w:val="00BE52B6"/>
    <w:rsid w:val="00BE710E"/>
    <w:rsid w:val="00BF2293"/>
    <w:rsid w:val="00C004BC"/>
    <w:rsid w:val="00C01B3E"/>
    <w:rsid w:val="00C041C6"/>
    <w:rsid w:val="00C143B2"/>
    <w:rsid w:val="00C1474A"/>
    <w:rsid w:val="00C200EF"/>
    <w:rsid w:val="00C20472"/>
    <w:rsid w:val="00C23CEB"/>
    <w:rsid w:val="00C31ACD"/>
    <w:rsid w:val="00C427C3"/>
    <w:rsid w:val="00C44100"/>
    <w:rsid w:val="00C458A1"/>
    <w:rsid w:val="00C468A5"/>
    <w:rsid w:val="00C47580"/>
    <w:rsid w:val="00C503C3"/>
    <w:rsid w:val="00C519C6"/>
    <w:rsid w:val="00C52E1D"/>
    <w:rsid w:val="00C56A54"/>
    <w:rsid w:val="00C6170A"/>
    <w:rsid w:val="00C61D9C"/>
    <w:rsid w:val="00C640E2"/>
    <w:rsid w:val="00C66D9F"/>
    <w:rsid w:val="00C67E8A"/>
    <w:rsid w:val="00C700BF"/>
    <w:rsid w:val="00C71D5D"/>
    <w:rsid w:val="00C7510F"/>
    <w:rsid w:val="00C75C30"/>
    <w:rsid w:val="00C8097A"/>
    <w:rsid w:val="00C87957"/>
    <w:rsid w:val="00C9226F"/>
    <w:rsid w:val="00C937DB"/>
    <w:rsid w:val="00CA27C8"/>
    <w:rsid w:val="00CA3C38"/>
    <w:rsid w:val="00CA6B47"/>
    <w:rsid w:val="00CA73E2"/>
    <w:rsid w:val="00CC3BAC"/>
    <w:rsid w:val="00CC472B"/>
    <w:rsid w:val="00CC62C4"/>
    <w:rsid w:val="00CD14A2"/>
    <w:rsid w:val="00CD1556"/>
    <w:rsid w:val="00CD1D26"/>
    <w:rsid w:val="00CD1EFB"/>
    <w:rsid w:val="00CD3F93"/>
    <w:rsid w:val="00CE1ED7"/>
    <w:rsid w:val="00CE7BC3"/>
    <w:rsid w:val="00CF0176"/>
    <w:rsid w:val="00CF0C33"/>
    <w:rsid w:val="00CF18E4"/>
    <w:rsid w:val="00D008C7"/>
    <w:rsid w:val="00D06B24"/>
    <w:rsid w:val="00D132D3"/>
    <w:rsid w:val="00D1723D"/>
    <w:rsid w:val="00D22E71"/>
    <w:rsid w:val="00D237EF"/>
    <w:rsid w:val="00D25FE9"/>
    <w:rsid w:val="00D334A1"/>
    <w:rsid w:val="00D34F7A"/>
    <w:rsid w:val="00D37429"/>
    <w:rsid w:val="00D4069A"/>
    <w:rsid w:val="00D42305"/>
    <w:rsid w:val="00D463BC"/>
    <w:rsid w:val="00D464BC"/>
    <w:rsid w:val="00D51ED9"/>
    <w:rsid w:val="00D52816"/>
    <w:rsid w:val="00D52A52"/>
    <w:rsid w:val="00D52C44"/>
    <w:rsid w:val="00D531E6"/>
    <w:rsid w:val="00D55775"/>
    <w:rsid w:val="00D60B58"/>
    <w:rsid w:val="00D70511"/>
    <w:rsid w:val="00D715F8"/>
    <w:rsid w:val="00D7387F"/>
    <w:rsid w:val="00D74045"/>
    <w:rsid w:val="00D75060"/>
    <w:rsid w:val="00D821C8"/>
    <w:rsid w:val="00D836F6"/>
    <w:rsid w:val="00D84C1E"/>
    <w:rsid w:val="00D95D87"/>
    <w:rsid w:val="00DA2AF6"/>
    <w:rsid w:val="00DB4F25"/>
    <w:rsid w:val="00DD0CE3"/>
    <w:rsid w:val="00DD1F05"/>
    <w:rsid w:val="00DD2793"/>
    <w:rsid w:val="00DD77AA"/>
    <w:rsid w:val="00DE3773"/>
    <w:rsid w:val="00DE377F"/>
    <w:rsid w:val="00DF1E12"/>
    <w:rsid w:val="00DF25F6"/>
    <w:rsid w:val="00DF721D"/>
    <w:rsid w:val="00E0069A"/>
    <w:rsid w:val="00E012D9"/>
    <w:rsid w:val="00E01DB2"/>
    <w:rsid w:val="00E07703"/>
    <w:rsid w:val="00E10D0B"/>
    <w:rsid w:val="00E15F1C"/>
    <w:rsid w:val="00E202D1"/>
    <w:rsid w:val="00E22BA8"/>
    <w:rsid w:val="00E22E4D"/>
    <w:rsid w:val="00E279B9"/>
    <w:rsid w:val="00E30151"/>
    <w:rsid w:val="00E33306"/>
    <w:rsid w:val="00E35336"/>
    <w:rsid w:val="00E428E4"/>
    <w:rsid w:val="00E4391A"/>
    <w:rsid w:val="00E459E3"/>
    <w:rsid w:val="00E468E2"/>
    <w:rsid w:val="00E54BE3"/>
    <w:rsid w:val="00E61126"/>
    <w:rsid w:val="00E64149"/>
    <w:rsid w:val="00E709B9"/>
    <w:rsid w:val="00E72779"/>
    <w:rsid w:val="00E7319F"/>
    <w:rsid w:val="00E83651"/>
    <w:rsid w:val="00E84963"/>
    <w:rsid w:val="00E86D8F"/>
    <w:rsid w:val="00E90BF6"/>
    <w:rsid w:val="00E9204D"/>
    <w:rsid w:val="00E93A09"/>
    <w:rsid w:val="00E9661F"/>
    <w:rsid w:val="00E971C7"/>
    <w:rsid w:val="00EA0C34"/>
    <w:rsid w:val="00EA0D71"/>
    <w:rsid w:val="00EA33F6"/>
    <w:rsid w:val="00EA5C28"/>
    <w:rsid w:val="00EA69FE"/>
    <w:rsid w:val="00EB1C04"/>
    <w:rsid w:val="00EB2F4B"/>
    <w:rsid w:val="00EB479E"/>
    <w:rsid w:val="00EB6216"/>
    <w:rsid w:val="00EB7AB9"/>
    <w:rsid w:val="00EC093B"/>
    <w:rsid w:val="00EC7FC9"/>
    <w:rsid w:val="00ED08E3"/>
    <w:rsid w:val="00ED36E4"/>
    <w:rsid w:val="00ED4C94"/>
    <w:rsid w:val="00ED4EA8"/>
    <w:rsid w:val="00ED6F08"/>
    <w:rsid w:val="00ED7292"/>
    <w:rsid w:val="00ED79CF"/>
    <w:rsid w:val="00EE082A"/>
    <w:rsid w:val="00EE25AC"/>
    <w:rsid w:val="00EE3B73"/>
    <w:rsid w:val="00EF3DF0"/>
    <w:rsid w:val="00EF582A"/>
    <w:rsid w:val="00EF6795"/>
    <w:rsid w:val="00F016AD"/>
    <w:rsid w:val="00F1351F"/>
    <w:rsid w:val="00F139B9"/>
    <w:rsid w:val="00F25AF9"/>
    <w:rsid w:val="00F26F3C"/>
    <w:rsid w:val="00F346A9"/>
    <w:rsid w:val="00F35BBC"/>
    <w:rsid w:val="00F36434"/>
    <w:rsid w:val="00F423A7"/>
    <w:rsid w:val="00F44C00"/>
    <w:rsid w:val="00F503E6"/>
    <w:rsid w:val="00F527E3"/>
    <w:rsid w:val="00F56EEC"/>
    <w:rsid w:val="00F62599"/>
    <w:rsid w:val="00F64258"/>
    <w:rsid w:val="00F65FEE"/>
    <w:rsid w:val="00F706F4"/>
    <w:rsid w:val="00F71A53"/>
    <w:rsid w:val="00F75EA0"/>
    <w:rsid w:val="00F77291"/>
    <w:rsid w:val="00F8188D"/>
    <w:rsid w:val="00F84410"/>
    <w:rsid w:val="00F84844"/>
    <w:rsid w:val="00F875C0"/>
    <w:rsid w:val="00F87902"/>
    <w:rsid w:val="00F94091"/>
    <w:rsid w:val="00F97E67"/>
    <w:rsid w:val="00FB2CFD"/>
    <w:rsid w:val="00FB3178"/>
    <w:rsid w:val="00FB357F"/>
    <w:rsid w:val="00FB766E"/>
    <w:rsid w:val="00FC0DB0"/>
    <w:rsid w:val="00FC5791"/>
    <w:rsid w:val="00FD589B"/>
    <w:rsid w:val="00FE24AF"/>
    <w:rsid w:val="00FE4008"/>
    <w:rsid w:val="00FE406D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8F821"/>
  <w15:docId w15:val="{38B52A04-F65D-411D-8971-8E433CB7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de-DE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tabs>
        <w:tab w:val="left" w:pos="6480"/>
        <w:tab w:val="left" w:pos="10440"/>
      </w:tabs>
      <w:outlineLvl w:val="0"/>
    </w:pPr>
    <w:rPr>
      <w:rFonts w:ascii="Verdana" w:hAnsi="Verdana" w:cs="Tahoma"/>
      <w:b/>
      <w:bCs/>
      <w:sz w:val="20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u w:val="single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outlineLvl w:val="3"/>
    </w:pPr>
    <w:rPr>
      <w:b/>
      <w:u w:val="single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ind w:left="52"/>
      <w:jc w:val="both"/>
      <w:outlineLvl w:val="4"/>
    </w:pPr>
    <w:rPr>
      <w:rFonts w:ascii="Verdana" w:hAnsi="Verdana"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sk-SK"/>
    </w:rPr>
  </w:style>
  <w:style w:type="character" w:customStyle="1" w:styleId="Nadpis2Char">
    <w:name w:val="Nadpis 2 Char"/>
    <w:link w:val="Nadpis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  <w:lang w:val="sk-SK"/>
    </w:rPr>
  </w:style>
  <w:style w:type="character" w:customStyle="1" w:styleId="Nadpis3Char">
    <w:name w:val="Nadpis 3 Char"/>
    <w:link w:val="Nadpis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val="sk-SK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  <w:lang w:val="sk-SK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sk-SK"/>
    </w:rPr>
  </w:style>
  <w:style w:type="paragraph" w:styleId="Zkladntext3">
    <w:name w:val="Body Text 3"/>
    <w:basedOn w:val="Normlny"/>
    <w:link w:val="Zkladntext3Char"/>
    <w:uiPriority w:val="99"/>
    <w:semiHidden/>
    <w:rPr>
      <w:rFonts w:ascii="Arial" w:hAnsi="Arial"/>
      <w:sz w:val="22"/>
      <w:szCs w:val="20"/>
      <w:lang w:eastAsia="nl-NL"/>
    </w:rPr>
  </w:style>
  <w:style w:type="character" w:customStyle="1" w:styleId="Zkladntext3Char">
    <w:name w:val="Základný text 3 Char"/>
    <w:link w:val="Zkladntext3"/>
    <w:uiPriority w:val="99"/>
    <w:semiHidden/>
    <w:rPr>
      <w:sz w:val="16"/>
      <w:szCs w:val="16"/>
      <w:lang w:val="sk-SK"/>
    </w:rPr>
  </w:style>
  <w:style w:type="paragraph" w:styleId="Zkladntext">
    <w:name w:val="Body Text"/>
    <w:basedOn w:val="Normlny"/>
    <w:link w:val="ZkladntextChar"/>
    <w:uiPriority w:val="99"/>
    <w:semiHidden/>
    <w:rPr>
      <w:b/>
      <w:bCs/>
    </w:rPr>
  </w:style>
  <w:style w:type="character" w:customStyle="1" w:styleId="ZkladntextChar">
    <w:name w:val="Základný text Char"/>
    <w:link w:val="Zkladntext"/>
    <w:uiPriority w:val="99"/>
    <w:semiHidden/>
    <w:rPr>
      <w:sz w:val="24"/>
      <w:szCs w:val="24"/>
      <w:lang w:val="sk-SK"/>
    </w:rPr>
  </w:style>
  <w:style w:type="paragraph" w:styleId="Zkladntext2">
    <w:name w:val="Body Text 2"/>
    <w:basedOn w:val="Normlny"/>
    <w:link w:val="Zkladntext2Char"/>
    <w:uiPriority w:val="99"/>
    <w:semiHidden/>
    <w:pPr>
      <w:jc w:val="both"/>
    </w:pPr>
  </w:style>
  <w:style w:type="character" w:customStyle="1" w:styleId="Zkladntext2Char">
    <w:name w:val="Základný text 2 Char"/>
    <w:link w:val="Zkladntext2"/>
    <w:uiPriority w:val="99"/>
    <w:semiHidden/>
    <w:rPr>
      <w:sz w:val="24"/>
      <w:szCs w:val="24"/>
      <w:lang w:val="sk-SK"/>
    </w:rPr>
  </w:style>
  <w:style w:type="character" w:styleId="Odkaznakomentr">
    <w:name w:val="annotation reference"/>
    <w:uiPriority w:val="99"/>
    <w:semiHidden/>
    <w:rPr>
      <w:sz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Pr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pPr>
      <w:ind w:left="180" w:hanging="180"/>
    </w:pPr>
    <w:rPr>
      <w:rFonts w:ascii="Verdana" w:hAnsi="Verdana"/>
      <w:sz w:val="20"/>
    </w:rPr>
  </w:style>
  <w:style w:type="character" w:customStyle="1" w:styleId="ZarkazkladnhotextuChar">
    <w:name w:val="Zarážka základného textu Char"/>
    <w:link w:val="Zarkazkladnhotextu"/>
    <w:uiPriority w:val="99"/>
    <w:semiHidden/>
    <w:rPr>
      <w:sz w:val="24"/>
      <w:szCs w:val="24"/>
      <w:lang w:val="sk-SK"/>
    </w:rPr>
  </w:style>
  <w:style w:type="paragraph" w:customStyle="1" w:styleId="Text">
    <w:name w:val="Text"/>
    <w:basedOn w:val="Normlny"/>
    <w:link w:val="TextChar1"/>
    <w:pPr>
      <w:spacing w:after="240" w:line="312" w:lineRule="atLeast"/>
    </w:pPr>
    <w:rPr>
      <w:lang w:eastAsia="en-US"/>
    </w:rPr>
  </w:style>
  <w:style w:type="paragraph" w:styleId="Pta">
    <w:name w:val="footer"/>
    <w:basedOn w:val="Normlny"/>
    <w:link w:val="PtaChar"/>
    <w:uiPriority w:val="99"/>
    <w:pPr>
      <w:widowControl w:val="0"/>
      <w:tabs>
        <w:tab w:val="center" w:pos="4536"/>
        <w:tab w:val="right" w:pos="9072"/>
      </w:tabs>
    </w:pPr>
    <w:rPr>
      <w:szCs w:val="20"/>
      <w:lang w:eastAsia="fr-FR"/>
    </w:rPr>
  </w:style>
  <w:style w:type="character" w:customStyle="1" w:styleId="PtaChar">
    <w:name w:val="Päta Char"/>
    <w:link w:val="Pta"/>
    <w:uiPriority w:val="99"/>
    <w:rPr>
      <w:sz w:val="24"/>
      <w:szCs w:val="24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semiHidden/>
    <w:pPr>
      <w:ind w:left="1416"/>
      <w:jc w:val="both"/>
    </w:pPr>
    <w:rPr>
      <w:rFonts w:ascii="Verdana" w:hAnsi="Verdana" w:cs="Arial"/>
      <w:strike/>
      <w:sz w:val="20"/>
    </w:rPr>
  </w:style>
  <w:style w:type="character" w:customStyle="1" w:styleId="Zarkazkladnhotextu2Char">
    <w:name w:val="Zarážka základného textu 2 Char"/>
    <w:link w:val="Zarkazkladnhotextu2"/>
    <w:uiPriority w:val="99"/>
    <w:semiHidden/>
    <w:rPr>
      <w:sz w:val="24"/>
      <w:szCs w:val="24"/>
      <w:lang w:val="sk-SK"/>
    </w:rPr>
  </w:style>
  <w:style w:type="paragraph" w:styleId="Zarkazkladnhotextu3">
    <w:name w:val="Body Text Indent 3"/>
    <w:basedOn w:val="Normlny"/>
    <w:link w:val="Zarkazkladnhotextu3Char"/>
    <w:uiPriority w:val="99"/>
    <w:semiHidden/>
    <w:pPr>
      <w:tabs>
        <w:tab w:val="num" w:pos="592"/>
      </w:tabs>
      <w:ind w:left="592" w:hanging="360"/>
      <w:jc w:val="both"/>
    </w:pPr>
    <w:rPr>
      <w:rFonts w:ascii="Verdana" w:hAnsi="Verdana" w:cs="Arial"/>
      <w:strike/>
      <w:sz w:val="20"/>
    </w:rPr>
  </w:style>
  <w:style w:type="character" w:customStyle="1" w:styleId="Zarkazkladnhotextu3Char">
    <w:name w:val="Zarážka základného textu 3 Char"/>
    <w:link w:val="Zarkazkladnhotextu3"/>
    <w:uiPriority w:val="99"/>
    <w:semiHidden/>
    <w:rPr>
      <w:sz w:val="16"/>
      <w:szCs w:val="16"/>
      <w:lang w:val="sk-SK"/>
    </w:rPr>
  </w:style>
  <w:style w:type="paragraph" w:styleId="Hlavika">
    <w:name w:val="header"/>
    <w:basedOn w:val="Normlny"/>
    <w:link w:val="HlavikaChar"/>
    <w:uiPriority w:val="99"/>
    <w:pPr>
      <w:widowControl w:val="0"/>
      <w:tabs>
        <w:tab w:val="center" w:pos="4536"/>
        <w:tab w:val="right" w:pos="9072"/>
      </w:tabs>
    </w:pPr>
    <w:rPr>
      <w:szCs w:val="20"/>
      <w:lang w:eastAsia="fr-FR"/>
    </w:rPr>
  </w:style>
  <w:style w:type="character" w:customStyle="1" w:styleId="HlavikaChar">
    <w:name w:val="Hlavička Char"/>
    <w:link w:val="Hlavika"/>
    <w:uiPriority w:val="99"/>
    <w:rPr>
      <w:sz w:val="24"/>
      <w:szCs w:val="24"/>
      <w:lang w:val="sk-SK"/>
    </w:rPr>
  </w:style>
  <w:style w:type="character" w:styleId="Hypertextovprepojenie">
    <w:name w:val="Hyperlink"/>
    <w:uiPriority w:val="99"/>
    <w:semiHidden/>
    <w:rPr>
      <w:rFonts w:ascii="Arial" w:hAnsi="Arial"/>
      <w:color w:val="0000FF"/>
      <w:u w:val="single"/>
    </w:rPr>
  </w:style>
  <w:style w:type="character" w:styleId="PouitHypertextovPrepojenie">
    <w:name w:val="FollowedHyperlink"/>
    <w:uiPriority w:val="99"/>
    <w:semiHidden/>
    <w:rPr>
      <w:color w:val="800080"/>
      <w:u w:val="single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lang w:eastAsia="el-GR"/>
    </w:rPr>
  </w:style>
  <w:style w:type="paragraph" w:styleId="Obsah1">
    <w:name w:val="toc 1"/>
    <w:basedOn w:val="Normlny"/>
    <w:next w:val="Normlny"/>
    <w:uiPriority w:val="39"/>
    <w:semiHidden/>
    <w:pPr>
      <w:tabs>
        <w:tab w:val="right" w:leader="dot" w:pos="9060"/>
      </w:tabs>
      <w:spacing w:before="120" w:after="240"/>
    </w:pPr>
    <w:rPr>
      <w:rFonts w:ascii="Arial" w:hAnsi="Arial"/>
      <w:noProof/>
      <w:sz w:val="20"/>
      <w:szCs w:val="20"/>
      <w:lang w:eastAsia="en-US"/>
    </w:rPr>
  </w:style>
  <w:style w:type="paragraph" w:customStyle="1" w:styleId="AnTelefon">
    <w:name w:val="AnTelefon"/>
    <w:basedOn w:val="Normlny"/>
    <w:pPr>
      <w:spacing w:before="60"/>
    </w:pPr>
    <w:rPr>
      <w:rFonts w:ascii="Arial" w:hAnsi="Arial"/>
      <w:b/>
      <w:szCs w:val="20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lang w:val="sk-SK"/>
    </w:rPr>
  </w:style>
  <w:style w:type="paragraph" w:customStyle="1" w:styleId="Standard1">
    <w:name w:val="Standard 1"/>
    <w:basedOn w:val="Normlny"/>
    <w:rPr>
      <w:rFonts w:ascii="Arial" w:hAnsi="Arial" w:cs="Arial"/>
      <w:lang w:eastAsia="en-US"/>
    </w:rPr>
  </w:style>
  <w:style w:type="paragraph" w:styleId="Oznaitext">
    <w:name w:val="Block Text"/>
    <w:basedOn w:val="Normlny"/>
    <w:uiPriority w:val="99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32" w:right="297"/>
    </w:p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  <w:lang w:eastAsia="en-US"/>
    </w:rPr>
  </w:style>
  <w:style w:type="paragraph" w:customStyle="1" w:styleId="bodytextagency">
    <w:name w:val="bodytextagency"/>
    <w:basedOn w:val="Normlny"/>
    <w:rsid w:val="00D4069A"/>
    <w:pPr>
      <w:spacing w:before="100" w:beforeAutospacing="1" w:after="100" w:afterAutospacing="1"/>
    </w:pPr>
    <w:rPr>
      <w:lang w:eastAsia="de-AT"/>
    </w:rPr>
  </w:style>
  <w:style w:type="paragraph" w:styleId="Revzia">
    <w:name w:val="Revision"/>
    <w:hidden/>
    <w:uiPriority w:val="99"/>
    <w:semiHidden/>
    <w:rsid w:val="00893562"/>
    <w:rPr>
      <w:sz w:val="24"/>
      <w:szCs w:val="24"/>
      <w:lang w:eastAsia="de-DE"/>
    </w:rPr>
  </w:style>
  <w:style w:type="character" w:customStyle="1" w:styleId="TextChar1">
    <w:name w:val="Text Char1"/>
    <w:link w:val="Text"/>
    <w:locked/>
    <w:rsid w:val="00EB6216"/>
    <w:rPr>
      <w:sz w:val="24"/>
      <w:szCs w:val="24"/>
      <w:lang w:eastAsia="en-US"/>
    </w:rPr>
  </w:style>
  <w:style w:type="paragraph" w:customStyle="1" w:styleId="Default">
    <w:name w:val="Default"/>
    <w:rsid w:val="00403D7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FE2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4F54F661255438DB574C374437AEB" ma:contentTypeVersion="8" ma:contentTypeDescription="Create a new document." ma:contentTypeScope="" ma:versionID="2cba1c2bbdbec8d3bf69007d11bbaf53">
  <xsd:schema xmlns:xsd="http://www.w3.org/2001/XMLSchema" xmlns:xs="http://www.w3.org/2001/XMLSchema" xmlns:p="http://schemas.microsoft.com/office/2006/metadata/properties" xmlns:ns2="f1b05093-80b2-43f9-9ce5-1ae2087fc1a0" targetNamespace="http://schemas.microsoft.com/office/2006/metadata/properties" ma:root="true" ma:fieldsID="6aff2371583499797d3035cbd8b9f0ad" ns2:_="">
    <xsd:import namespace="f1b05093-80b2-43f9-9ce5-1ae2087fc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05093-80b2-43f9-9ce5-1ae2087fc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E0AA3-1D7D-45CC-898C-558B2DD76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A7931-CF6C-423C-88D4-4E37F728C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05093-80b2-43f9-9ce5-1ae2087fc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A0951-8CC4-4525-B224-EFED556E8D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E904BA-49B5-4221-B9DD-E8CFD5DF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20</Pages>
  <Words>7794</Words>
  <Characters>44428</Characters>
  <Application>Microsoft Office Word</Application>
  <DocSecurity>0</DocSecurity>
  <Lines>370</Lines>
  <Paragraphs>104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Questions raised on SmPC: Tabular Format</vt:lpstr>
      <vt:lpstr>Questions raised on SmPC: Tabular Format</vt:lpstr>
      <vt:lpstr>Questions raised on SmPC: Tabular Format</vt:lpstr>
      <vt:lpstr>Questions raised on SmPC: Tabular Format</vt:lpstr>
      <vt:lpstr>Questions raised on SmPC: Tabular Format</vt:lpstr>
    </vt:vector>
  </TitlesOfParts>
  <Company>AOP Orphan Pharmaceuticals AG</Company>
  <LinksUpToDate>false</LinksUpToDate>
  <CharactersWithSpaces>52118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raised on SmPC: Tabular Format</dc:title>
  <dc:creator>Agnes Schüller</dc:creator>
  <cp:lastModifiedBy>PM</cp:lastModifiedBy>
  <cp:revision>143</cp:revision>
  <cp:lastPrinted>2017-06-06T14:36:00Z</cp:lastPrinted>
  <dcterms:created xsi:type="dcterms:W3CDTF">2020-03-28T14:20:00Z</dcterms:created>
  <dcterms:modified xsi:type="dcterms:W3CDTF">2020-10-15T06:30:00Z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0x0101005264F54F661255438DB574C374437AEB</vt:lpwstr>
  </property>
</Properties>
</file>