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D506" w14:textId="77777777" w:rsidR="00CE5FBC" w:rsidRDefault="00CE5FBC" w:rsidP="007E1DD6">
      <w:pPr>
        <w:widowControl w:val="0"/>
        <w:tabs>
          <w:tab w:val="clear" w:pos="567"/>
        </w:tabs>
        <w:spacing w:line="240" w:lineRule="auto"/>
        <w:rPr>
          <w:b/>
          <w:bCs/>
          <w:iCs/>
          <w:szCs w:val="22"/>
          <w:lang w:val="sk-SK"/>
        </w:rPr>
      </w:pPr>
    </w:p>
    <w:p w14:paraId="45FBFB68" w14:textId="77777777" w:rsidR="00B340C8" w:rsidRDefault="00B340C8" w:rsidP="00CC6954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iCs/>
          <w:szCs w:val="22"/>
          <w:lang w:val="sk-SK"/>
        </w:rPr>
      </w:pPr>
      <w:r>
        <w:rPr>
          <w:b/>
          <w:bCs/>
          <w:iCs/>
          <w:szCs w:val="22"/>
          <w:lang w:val="sk-SK"/>
        </w:rPr>
        <w:t>SÚHRN CHARAKTERIST</w:t>
      </w:r>
      <w:r w:rsidR="00445732">
        <w:rPr>
          <w:b/>
          <w:bCs/>
          <w:iCs/>
          <w:szCs w:val="22"/>
          <w:lang w:val="sk-SK"/>
        </w:rPr>
        <w:t>I</w:t>
      </w:r>
      <w:r>
        <w:rPr>
          <w:b/>
          <w:bCs/>
          <w:iCs/>
          <w:szCs w:val="22"/>
          <w:lang w:val="sk-SK"/>
        </w:rPr>
        <w:t>CKÝCH VLASTNOSTÍ LIEKU</w:t>
      </w:r>
    </w:p>
    <w:p w14:paraId="6EE88F68" w14:textId="77777777" w:rsidR="00415183" w:rsidRDefault="00415183" w:rsidP="00CC6954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iCs/>
          <w:szCs w:val="22"/>
          <w:lang w:val="sk-SK"/>
        </w:rPr>
      </w:pPr>
    </w:p>
    <w:p w14:paraId="6AD285AF" w14:textId="77777777" w:rsidR="00B340C8" w:rsidRDefault="00B340C8" w:rsidP="007E1DD6">
      <w:pPr>
        <w:widowControl w:val="0"/>
        <w:tabs>
          <w:tab w:val="clear" w:pos="567"/>
        </w:tabs>
        <w:spacing w:line="240" w:lineRule="auto"/>
        <w:rPr>
          <w:b/>
          <w:bCs/>
          <w:iCs/>
          <w:szCs w:val="22"/>
          <w:lang w:val="sk-SK"/>
        </w:rPr>
      </w:pPr>
    </w:p>
    <w:p w14:paraId="295F82FC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43955">
        <w:rPr>
          <w:b/>
          <w:bCs/>
          <w:iCs/>
          <w:szCs w:val="22"/>
          <w:lang w:val="sk-SK"/>
        </w:rPr>
        <w:t>1.</w:t>
      </w:r>
      <w:r w:rsidRPr="00543955">
        <w:rPr>
          <w:b/>
          <w:bCs/>
          <w:iCs/>
          <w:szCs w:val="22"/>
          <w:lang w:val="sk-SK"/>
        </w:rPr>
        <w:tab/>
      </w:r>
      <w:r w:rsidRPr="00543955">
        <w:rPr>
          <w:b/>
          <w:szCs w:val="22"/>
          <w:lang w:val="sk-SK"/>
        </w:rPr>
        <w:t>NÁZOV LIEKU</w:t>
      </w:r>
    </w:p>
    <w:p w14:paraId="3C62F35F" w14:textId="77777777" w:rsidR="00165AD3" w:rsidRPr="00543955" w:rsidRDefault="00165AD3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C13E4B" w14:textId="77777777" w:rsidR="00871AAF" w:rsidRPr="00CC6954" w:rsidRDefault="00AF78AE" w:rsidP="00C94CFC">
      <w:pPr>
        <w:pStyle w:val="Textkomentra"/>
        <w:rPr>
          <w:sz w:val="22"/>
          <w:szCs w:val="22"/>
          <w:lang w:val="sk-SK"/>
        </w:rPr>
      </w:pPr>
      <w:r w:rsidRPr="00AF78AE">
        <w:rPr>
          <w:sz w:val="22"/>
          <w:szCs w:val="22"/>
          <w:lang w:val="sk-SK"/>
        </w:rPr>
        <w:t>SANDOSTATIN 100 mikrogramov/1 ml injekčný/</w:t>
      </w:r>
      <w:proofErr w:type="spellStart"/>
      <w:r w:rsidRPr="00AF78AE">
        <w:rPr>
          <w:sz w:val="22"/>
          <w:szCs w:val="22"/>
          <w:lang w:val="sk-SK"/>
        </w:rPr>
        <w:t>infúzny</w:t>
      </w:r>
      <w:proofErr w:type="spellEnd"/>
      <w:r w:rsidRPr="00AF78AE">
        <w:rPr>
          <w:sz w:val="22"/>
          <w:szCs w:val="22"/>
          <w:lang w:val="sk-SK"/>
        </w:rPr>
        <w:t xml:space="preserve"> roztok </w:t>
      </w:r>
    </w:p>
    <w:p w14:paraId="0E7F7E11" w14:textId="77777777" w:rsidR="00871AAF" w:rsidRPr="00BE75A2" w:rsidRDefault="00AF78AE" w:rsidP="00CC695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AF78AE">
        <w:rPr>
          <w:szCs w:val="22"/>
          <w:lang w:val="sk-SK"/>
        </w:rPr>
        <w:t>SANDOSTATIN 500 mikrogramov/1 ml injekčný/</w:t>
      </w:r>
      <w:proofErr w:type="spellStart"/>
      <w:r w:rsidRPr="00AF78AE">
        <w:rPr>
          <w:szCs w:val="22"/>
          <w:lang w:val="sk-SK"/>
        </w:rPr>
        <w:t>infúzny</w:t>
      </w:r>
      <w:proofErr w:type="spellEnd"/>
      <w:r w:rsidRPr="00AF78AE">
        <w:rPr>
          <w:szCs w:val="22"/>
          <w:lang w:val="sk-SK"/>
        </w:rPr>
        <w:t xml:space="preserve"> roztok  </w:t>
      </w:r>
    </w:p>
    <w:p w14:paraId="4C141C34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8AE26A" w14:textId="77777777" w:rsidR="0087779A" w:rsidRPr="00543955" w:rsidRDefault="0087779A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1CC915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b/>
          <w:szCs w:val="22"/>
          <w:lang w:val="sk-SK"/>
        </w:rPr>
        <w:t>2.</w:t>
      </w:r>
      <w:r w:rsidRPr="00543955">
        <w:rPr>
          <w:b/>
          <w:szCs w:val="22"/>
          <w:lang w:val="sk-SK"/>
        </w:rPr>
        <w:tab/>
        <w:t>KVALITATÍVNE A KVANTITATÍVNE ZLOŽENIE</w:t>
      </w:r>
    </w:p>
    <w:p w14:paraId="545B1CE5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CD5F51" w14:textId="77777777" w:rsidR="00871AAF" w:rsidRDefault="00871AAF" w:rsidP="0000342F">
      <w:pPr>
        <w:pStyle w:val="Texttelo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  <w:r>
        <w:rPr>
          <w:rFonts w:ascii="Times New Roman" w:hAnsi="Times New Roman"/>
          <w:spacing w:val="0"/>
          <w:sz w:val="22"/>
          <w:szCs w:val="22"/>
          <w:lang w:val="sk-SK"/>
        </w:rPr>
        <w:t>Jedna ampulka s objemom 1 ml obsahuje 100 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mikrogramov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oktreotidu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(ako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acetát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>)</w:t>
      </w:r>
    </w:p>
    <w:p w14:paraId="07CE9DF1" w14:textId="77777777" w:rsidR="00871AAF" w:rsidRDefault="00871AAF" w:rsidP="0000342F">
      <w:pPr>
        <w:pStyle w:val="Texttelo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  <w:r>
        <w:rPr>
          <w:rFonts w:ascii="Times New Roman" w:hAnsi="Times New Roman"/>
          <w:spacing w:val="0"/>
          <w:sz w:val="22"/>
          <w:szCs w:val="22"/>
          <w:lang w:val="sk-SK"/>
        </w:rPr>
        <w:t>Jedna ampulka s objemom 1 ml obsahuje 500 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mikrogramov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oktreotidu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(ako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acetát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>)</w:t>
      </w:r>
    </w:p>
    <w:p w14:paraId="1C8DCF2A" w14:textId="77777777" w:rsidR="00871AAF" w:rsidRDefault="00871AAF" w:rsidP="0000342F">
      <w:pPr>
        <w:pStyle w:val="Texttelo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</w:p>
    <w:p w14:paraId="075142F9" w14:textId="77777777" w:rsidR="00871AAF" w:rsidRDefault="00871AAF" w:rsidP="0000342F">
      <w:pPr>
        <w:keepNext/>
        <w:widowControl w:val="0"/>
        <w:tabs>
          <w:tab w:val="clear" w:pos="567"/>
        </w:tabs>
        <w:spacing w:line="240" w:lineRule="auto"/>
        <w:rPr>
          <w:u w:val="single"/>
          <w:lang w:val="sk-SK"/>
        </w:rPr>
      </w:pPr>
      <w:r w:rsidRPr="00EB7580">
        <w:rPr>
          <w:u w:val="single"/>
          <w:lang w:val="sk-SK"/>
        </w:rPr>
        <w:t>Pomocné látky so známym účinkom:</w:t>
      </w:r>
    </w:p>
    <w:p w14:paraId="5382ED39" w14:textId="6F7C9EFC" w:rsidR="00871AAF" w:rsidRDefault="00871AAF" w:rsidP="0000342F">
      <w:pPr>
        <w:keepNext/>
        <w:widowControl w:val="0"/>
        <w:tabs>
          <w:tab w:val="clear" w:pos="567"/>
        </w:tabs>
        <w:spacing w:line="240" w:lineRule="auto"/>
        <w:rPr>
          <w:u w:val="single"/>
          <w:lang w:val="sk-SK"/>
        </w:rPr>
      </w:pPr>
      <w:r w:rsidRPr="00EB7580">
        <w:rPr>
          <w:lang w:val="sk-SK"/>
        </w:rPr>
        <w:t>Obsahuje menej ako 1 </w:t>
      </w:r>
      <w:proofErr w:type="spellStart"/>
      <w:r w:rsidRPr="00EB7580">
        <w:rPr>
          <w:lang w:val="sk-SK"/>
        </w:rPr>
        <w:t>mmol</w:t>
      </w:r>
      <w:proofErr w:type="spellEnd"/>
      <w:r w:rsidRPr="00EB7580">
        <w:rPr>
          <w:lang w:val="sk-SK"/>
        </w:rPr>
        <w:t xml:space="preserve"> (23 mg) sodíka v </w:t>
      </w:r>
      <w:r w:rsidR="00DC044C">
        <w:rPr>
          <w:lang w:val="sk-SK"/>
        </w:rPr>
        <w:t>ampulke</w:t>
      </w:r>
      <w:bookmarkStart w:id="0" w:name="_GoBack"/>
      <w:bookmarkEnd w:id="0"/>
      <w:r w:rsidRPr="00EB7580">
        <w:rPr>
          <w:lang w:val="sk-SK"/>
        </w:rPr>
        <w:t xml:space="preserve">, </w:t>
      </w:r>
      <w:r w:rsidRPr="005C3283">
        <w:rPr>
          <w:lang w:val="sk-SK"/>
        </w:rPr>
        <w:t xml:space="preserve">t.j. </w:t>
      </w:r>
      <w:r w:rsidRPr="00CC7A4E">
        <w:rPr>
          <w:szCs w:val="22"/>
          <w:lang w:val="sk-SK"/>
        </w:rPr>
        <w:t>v podstate zanedbateľné množstvo sodíka</w:t>
      </w:r>
      <w:r w:rsidR="00144DAA">
        <w:rPr>
          <w:szCs w:val="22"/>
          <w:lang w:val="sk-SK"/>
        </w:rPr>
        <w:t>.</w:t>
      </w:r>
    </w:p>
    <w:p w14:paraId="60D38856" w14:textId="77777777" w:rsidR="00871AAF" w:rsidRDefault="00871AAF" w:rsidP="00CE0A1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2222E9" w14:textId="77777777" w:rsidR="00871AAF" w:rsidRPr="00543955" w:rsidRDefault="00871AAF" w:rsidP="00CE0A14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 w:rsidRPr="00543955">
        <w:rPr>
          <w:szCs w:val="22"/>
          <w:lang w:val="sk-SK"/>
        </w:rPr>
        <w:t>Úplný zoznam pomocných látok, pozri časť 6.1.</w:t>
      </w:r>
    </w:p>
    <w:p w14:paraId="6EA20C0C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B52C88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7A4722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sk-SK"/>
        </w:rPr>
      </w:pPr>
      <w:r w:rsidRPr="00543955">
        <w:rPr>
          <w:b/>
          <w:szCs w:val="22"/>
          <w:lang w:val="sk-SK"/>
        </w:rPr>
        <w:t>3.</w:t>
      </w:r>
      <w:r w:rsidRPr="00543955">
        <w:rPr>
          <w:b/>
          <w:szCs w:val="22"/>
          <w:lang w:val="sk-SK"/>
        </w:rPr>
        <w:tab/>
        <w:t>LIEKOVÁ FORMA</w:t>
      </w:r>
    </w:p>
    <w:p w14:paraId="6C07A224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E42128" w14:textId="77777777" w:rsidR="0087779A" w:rsidRDefault="00871AAF" w:rsidP="008224B9">
      <w:pPr>
        <w:widowControl w:val="0"/>
        <w:spacing w:line="240" w:lineRule="auto"/>
        <w:rPr>
          <w:lang w:val="sk-SK"/>
        </w:rPr>
      </w:pPr>
      <w:r>
        <w:rPr>
          <w:lang w:val="sk-SK"/>
        </w:rPr>
        <w:t>I</w:t>
      </w:r>
      <w:r w:rsidRPr="00E379BE">
        <w:rPr>
          <w:lang w:val="sk-SK"/>
        </w:rPr>
        <w:t>njekčn</w:t>
      </w:r>
      <w:r>
        <w:rPr>
          <w:lang w:val="sk-SK"/>
        </w:rPr>
        <w:t>ý</w:t>
      </w:r>
      <w:r w:rsidRPr="00E379BE">
        <w:rPr>
          <w:lang w:val="sk-SK"/>
        </w:rPr>
        <w:t>/</w:t>
      </w:r>
      <w:proofErr w:type="spellStart"/>
      <w:r w:rsidRPr="00E379BE">
        <w:rPr>
          <w:lang w:val="sk-SK"/>
        </w:rPr>
        <w:t>infúzn</w:t>
      </w:r>
      <w:r>
        <w:rPr>
          <w:lang w:val="sk-SK"/>
        </w:rPr>
        <w:t>y</w:t>
      </w:r>
      <w:proofErr w:type="spellEnd"/>
      <w:r>
        <w:rPr>
          <w:lang w:val="sk-SK"/>
        </w:rPr>
        <w:t xml:space="preserve"> roztok</w:t>
      </w:r>
      <w:r w:rsidRPr="00E379BE">
        <w:rPr>
          <w:lang w:val="sk-SK"/>
        </w:rPr>
        <w:t xml:space="preserve"> </w:t>
      </w:r>
    </w:p>
    <w:p w14:paraId="79D8F2E4" w14:textId="77777777" w:rsidR="0087779A" w:rsidRDefault="0087779A" w:rsidP="008224B9">
      <w:pPr>
        <w:widowControl w:val="0"/>
        <w:spacing w:line="240" w:lineRule="auto"/>
        <w:rPr>
          <w:lang w:val="sk-SK"/>
        </w:rPr>
      </w:pPr>
    </w:p>
    <w:p w14:paraId="12EAFC4F" w14:textId="77777777" w:rsidR="00871AAF" w:rsidRPr="008224B9" w:rsidRDefault="00871AAF" w:rsidP="008224B9">
      <w:pPr>
        <w:widowControl w:val="0"/>
        <w:spacing w:line="240" w:lineRule="auto"/>
        <w:rPr>
          <w:szCs w:val="22"/>
          <w:lang w:val="sk-SK"/>
        </w:rPr>
      </w:pPr>
      <w:r w:rsidRPr="008224B9">
        <w:rPr>
          <w:szCs w:val="22"/>
          <w:lang w:val="sk-SK"/>
        </w:rPr>
        <w:t>Číry, bezfarebný roztok</w:t>
      </w:r>
    </w:p>
    <w:p w14:paraId="5BDE1054" w14:textId="77777777" w:rsidR="00871AAF" w:rsidRPr="00731B26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25581B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B1EBBC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caps/>
          <w:szCs w:val="22"/>
          <w:lang w:val="sk-SK"/>
        </w:rPr>
      </w:pPr>
      <w:r w:rsidRPr="00543955">
        <w:rPr>
          <w:b/>
          <w:caps/>
          <w:szCs w:val="22"/>
          <w:lang w:val="sk-SK"/>
        </w:rPr>
        <w:t>4.</w:t>
      </w:r>
      <w:r w:rsidRPr="00543955">
        <w:rPr>
          <w:b/>
          <w:caps/>
          <w:szCs w:val="22"/>
          <w:lang w:val="sk-SK"/>
        </w:rPr>
        <w:tab/>
        <w:t>KLINICKÉ ÚDAJE</w:t>
      </w:r>
    </w:p>
    <w:p w14:paraId="04AD62BE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B1C587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4.1</w:t>
      </w:r>
      <w:r w:rsidRPr="00543955">
        <w:rPr>
          <w:b/>
          <w:szCs w:val="22"/>
          <w:lang w:val="sk-SK"/>
        </w:rPr>
        <w:tab/>
        <w:t>Terapeutické indikácie</w:t>
      </w:r>
    </w:p>
    <w:p w14:paraId="60F38FDA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7AE286CB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Symptomatická kontrola a zníženie plazmatických hladín rastového hormónu (STH) a </w:t>
      </w:r>
      <w:proofErr w:type="spellStart"/>
      <w:r w:rsidRPr="00543955">
        <w:rPr>
          <w:sz w:val="22"/>
          <w:szCs w:val="22"/>
        </w:rPr>
        <w:t>somatomedínu</w:t>
      </w:r>
      <w:proofErr w:type="spellEnd"/>
      <w:r w:rsidRPr="00543955">
        <w:rPr>
          <w:sz w:val="22"/>
          <w:szCs w:val="22"/>
        </w:rPr>
        <w:t xml:space="preserve"> C (IGF-1) u pacientov s </w:t>
      </w:r>
      <w:proofErr w:type="spellStart"/>
      <w:r w:rsidRPr="00543955">
        <w:rPr>
          <w:sz w:val="22"/>
          <w:szCs w:val="22"/>
        </w:rPr>
        <w:t>akromegáliou</w:t>
      </w:r>
      <w:proofErr w:type="spellEnd"/>
      <w:r w:rsidRPr="00543955">
        <w:rPr>
          <w:sz w:val="22"/>
          <w:szCs w:val="22"/>
        </w:rPr>
        <w:t xml:space="preserve">, nedostatočne zvládnutou chirurgickým výkonom alebo rádioterapiou. </w:t>
      </w:r>
      <w:proofErr w:type="spellStart"/>
      <w:r w:rsidRPr="00543955">
        <w:rPr>
          <w:sz w:val="22"/>
          <w:szCs w:val="22"/>
        </w:rPr>
        <w:t>Sandostatin</w:t>
      </w:r>
      <w:proofErr w:type="spellEnd"/>
      <w:r w:rsidRPr="00543955">
        <w:rPr>
          <w:sz w:val="22"/>
          <w:szCs w:val="22"/>
        </w:rPr>
        <w:t xml:space="preserve"> je indikovaný aj u pacientov s </w:t>
      </w:r>
      <w:proofErr w:type="spellStart"/>
      <w:r w:rsidRPr="00543955">
        <w:rPr>
          <w:sz w:val="22"/>
          <w:szCs w:val="22"/>
        </w:rPr>
        <w:t>akromegáliou</w:t>
      </w:r>
      <w:proofErr w:type="spellEnd"/>
      <w:r w:rsidRPr="00543955">
        <w:rPr>
          <w:sz w:val="22"/>
          <w:szCs w:val="22"/>
        </w:rPr>
        <w:t>, ktorí sa nemôžu alebo nechcú podrobiť chirurgickému výkonu, alebo v medziobdobí, kým sa plne prejaví účinok rádioterapie.</w:t>
      </w:r>
    </w:p>
    <w:p w14:paraId="5F5A0976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1C29ED7A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Zmiernenie príznakov spojených s funkčnými </w:t>
      </w:r>
      <w:proofErr w:type="spellStart"/>
      <w:r w:rsidRPr="00543955">
        <w:rPr>
          <w:sz w:val="22"/>
          <w:szCs w:val="22"/>
        </w:rPr>
        <w:t>gastroenteropankreatickými</w:t>
      </w:r>
      <w:proofErr w:type="spellEnd"/>
      <w:r w:rsidRPr="00543955">
        <w:rPr>
          <w:sz w:val="22"/>
          <w:szCs w:val="22"/>
        </w:rPr>
        <w:t xml:space="preserve"> (GEP) endokrinnými nádormi, napr. </w:t>
      </w:r>
      <w:proofErr w:type="spellStart"/>
      <w:r w:rsidRPr="00543955">
        <w:rPr>
          <w:sz w:val="22"/>
          <w:szCs w:val="22"/>
        </w:rPr>
        <w:t>karcinoidové</w:t>
      </w:r>
      <w:proofErr w:type="spellEnd"/>
      <w:r w:rsidRPr="00543955">
        <w:rPr>
          <w:sz w:val="22"/>
          <w:szCs w:val="22"/>
        </w:rPr>
        <w:t xml:space="preserve"> nádory s príznakmi </w:t>
      </w:r>
      <w:proofErr w:type="spellStart"/>
      <w:r w:rsidRPr="00543955">
        <w:rPr>
          <w:sz w:val="22"/>
          <w:szCs w:val="22"/>
        </w:rPr>
        <w:t>karcinoidového</w:t>
      </w:r>
      <w:proofErr w:type="spellEnd"/>
      <w:r w:rsidRPr="00543955">
        <w:rPr>
          <w:sz w:val="22"/>
          <w:szCs w:val="22"/>
        </w:rPr>
        <w:t xml:space="preserve"> syndrómu (pozri časť 5.1).</w:t>
      </w:r>
    </w:p>
    <w:p w14:paraId="0F883398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3012A0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nie je liekom na </w:t>
      </w:r>
      <w:proofErr w:type="spellStart"/>
      <w:r w:rsidRPr="00543955">
        <w:rPr>
          <w:szCs w:val="22"/>
          <w:lang w:val="sk-SK"/>
        </w:rPr>
        <w:t>protinádorovú</w:t>
      </w:r>
      <w:proofErr w:type="spellEnd"/>
      <w:r w:rsidRPr="00543955">
        <w:rPr>
          <w:szCs w:val="22"/>
          <w:lang w:val="sk-SK"/>
        </w:rPr>
        <w:t xml:space="preserve"> liečbu a u týchto pacientov nepôsobí kuratívne.</w:t>
      </w:r>
    </w:p>
    <w:p w14:paraId="0A477E1D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73BDC6EB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Prevencia komplikácií po operácii pankreasu.</w:t>
      </w:r>
    </w:p>
    <w:p w14:paraId="528521E7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5872708F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Okamžité opatrenie na zastavenie krvácania a zabránenie opätovného krvácania z </w:t>
      </w:r>
      <w:proofErr w:type="spellStart"/>
      <w:r w:rsidRPr="00543955">
        <w:rPr>
          <w:sz w:val="22"/>
          <w:szCs w:val="22"/>
        </w:rPr>
        <w:t>gastroezofageálnych</w:t>
      </w:r>
      <w:proofErr w:type="spellEnd"/>
      <w:r w:rsidRPr="00543955">
        <w:rPr>
          <w:sz w:val="22"/>
          <w:szCs w:val="22"/>
        </w:rPr>
        <w:t xml:space="preserve"> </w:t>
      </w:r>
      <w:proofErr w:type="spellStart"/>
      <w:r w:rsidRPr="00543955">
        <w:rPr>
          <w:sz w:val="22"/>
          <w:szCs w:val="22"/>
        </w:rPr>
        <w:t>varixov</w:t>
      </w:r>
      <w:proofErr w:type="spellEnd"/>
      <w:r w:rsidRPr="00543955">
        <w:rPr>
          <w:sz w:val="22"/>
          <w:szCs w:val="22"/>
        </w:rPr>
        <w:t xml:space="preserve"> u pacientov s cirhózou pečene. </w:t>
      </w:r>
      <w:proofErr w:type="spellStart"/>
      <w:r w:rsidRPr="00543955">
        <w:rPr>
          <w:sz w:val="22"/>
          <w:szCs w:val="22"/>
        </w:rPr>
        <w:t>Sandostatin</w:t>
      </w:r>
      <w:proofErr w:type="spellEnd"/>
      <w:r w:rsidRPr="00543955">
        <w:rPr>
          <w:sz w:val="22"/>
          <w:szCs w:val="22"/>
        </w:rPr>
        <w:t xml:space="preserve"> sa má podať v spojení so špecifickou liečbou, ako je </w:t>
      </w:r>
      <w:proofErr w:type="spellStart"/>
      <w:r w:rsidRPr="00543955">
        <w:rPr>
          <w:sz w:val="22"/>
          <w:szCs w:val="22"/>
        </w:rPr>
        <w:t>endoskopická</w:t>
      </w:r>
      <w:proofErr w:type="spellEnd"/>
      <w:r w:rsidRPr="00543955">
        <w:rPr>
          <w:sz w:val="22"/>
          <w:szCs w:val="22"/>
        </w:rPr>
        <w:t xml:space="preserve"> </w:t>
      </w:r>
      <w:proofErr w:type="spellStart"/>
      <w:r w:rsidRPr="00543955">
        <w:rPr>
          <w:sz w:val="22"/>
          <w:szCs w:val="22"/>
        </w:rPr>
        <w:t>skleroterapia</w:t>
      </w:r>
      <w:proofErr w:type="spellEnd"/>
      <w:r w:rsidRPr="00543955">
        <w:rPr>
          <w:sz w:val="22"/>
          <w:szCs w:val="22"/>
        </w:rPr>
        <w:t>.</w:t>
      </w:r>
    </w:p>
    <w:p w14:paraId="39550F64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0F3C4952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Liečba </w:t>
      </w:r>
      <w:proofErr w:type="spellStart"/>
      <w:r w:rsidRPr="00543955">
        <w:rPr>
          <w:sz w:val="22"/>
          <w:szCs w:val="22"/>
        </w:rPr>
        <w:t>adeonómov</w:t>
      </w:r>
      <w:proofErr w:type="spellEnd"/>
      <w:r w:rsidRPr="00543955">
        <w:rPr>
          <w:sz w:val="22"/>
          <w:szCs w:val="22"/>
        </w:rPr>
        <w:t xml:space="preserve"> hypofýzy vylučujúcich TSH:</w:t>
      </w:r>
    </w:p>
    <w:p w14:paraId="16D5880A" w14:textId="77777777" w:rsidR="00871AAF" w:rsidRPr="00543955" w:rsidRDefault="00871AAF" w:rsidP="007E1DD6">
      <w:pPr>
        <w:pStyle w:val="Text"/>
        <w:keepNext/>
        <w:widowControl w:val="0"/>
        <w:numPr>
          <w:ilvl w:val="0"/>
          <w:numId w:val="2"/>
        </w:numPr>
        <w:spacing w:before="0"/>
        <w:ind w:left="567" w:hanging="567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ak nedošlo k normalizácii sekrécie po chirurgickom zákroku a/alebo rádioterapii;</w:t>
      </w:r>
    </w:p>
    <w:p w14:paraId="18D0926B" w14:textId="77777777" w:rsidR="00871AAF" w:rsidRPr="00543955" w:rsidRDefault="00871AAF" w:rsidP="007E1DD6">
      <w:pPr>
        <w:pStyle w:val="Text"/>
        <w:keepNext/>
        <w:widowControl w:val="0"/>
        <w:numPr>
          <w:ilvl w:val="0"/>
          <w:numId w:val="2"/>
        </w:numPr>
        <w:spacing w:before="0"/>
        <w:ind w:left="567" w:hanging="567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u pacientov, u ktorých je chirurgický zákrok nevhodný;</w:t>
      </w:r>
    </w:p>
    <w:p w14:paraId="148DE1D9" w14:textId="77777777" w:rsidR="00871AAF" w:rsidRPr="00543955" w:rsidRDefault="00871AAF" w:rsidP="007E1DD6">
      <w:pPr>
        <w:pStyle w:val="Text"/>
        <w:keepNext/>
        <w:widowControl w:val="0"/>
        <w:numPr>
          <w:ilvl w:val="0"/>
          <w:numId w:val="2"/>
        </w:numPr>
        <w:spacing w:before="0"/>
        <w:ind w:left="567" w:hanging="567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u ožarovaných pacientov, kým sa prejaví účinok rádioterapie.</w:t>
      </w:r>
    </w:p>
    <w:p w14:paraId="221E068B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EDCBA0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4.2</w:t>
      </w:r>
      <w:r w:rsidRPr="00543955">
        <w:rPr>
          <w:b/>
          <w:szCs w:val="22"/>
          <w:lang w:val="sk-SK"/>
        </w:rPr>
        <w:tab/>
        <w:t>Dávkovanie a spôsob podávania</w:t>
      </w:r>
    </w:p>
    <w:p w14:paraId="61A99DC1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4315CCDB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highlight w:val="yellow"/>
          <w:u w:val="single"/>
        </w:rPr>
      </w:pPr>
      <w:r w:rsidRPr="00543955">
        <w:rPr>
          <w:sz w:val="22"/>
          <w:szCs w:val="22"/>
          <w:u w:val="single"/>
        </w:rPr>
        <w:t>Dávkovanie</w:t>
      </w:r>
    </w:p>
    <w:p w14:paraId="3660BBEF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38169984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proofErr w:type="spellStart"/>
      <w:r w:rsidRPr="00543955">
        <w:rPr>
          <w:i/>
          <w:sz w:val="22"/>
          <w:szCs w:val="22"/>
        </w:rPr>
        <w:t>Akromegália</w:t>
      </w:r>
      <w:proofErr w:type="spellEnd"/>
    </w:p>
    <w:p w14:paraId="560C20B0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Začiatočná dávka je 0,05 – 0,1 mg podkožnou (</w:t>
      </w:r>
      <w:proofErr w:type="spellStart"/>
      <w:r w:rsidRPr="00543955">
        <w:rPr>
          <w:sz w:val="22"/>
          <w:szCs w:val="22"/>
        </w:rPr>
        <w:t>s.c</w:t>
      </w:r>
      <w:proofErr w:type="spellEnd"/>
      <w:r w:rsidRPr="00543955">
        <w:rPr>
          <w:sz w:val="22"/>
          <w:szCs w:val="22"/>
        </w:rPr>
        <w:t>.) injekciou každých 8 alebo 12 hodín. Dávkovanie sa má upraviť na základe hladín STH a IGF-1, stanovovaných každý mesiac (cieľ: STH &lt; 2,5 </w:t>
      </w:r>
      <w:proofErr w:type="spellStart"/>
      <w:r w:rsidRPr="00543955">
        <w:rPr>
          <w:sz w:val="22"/>
          <w:szCs w:val="22"/>
        </w:rPr>
        <w:t>ng</w:t>
      </w:r>
      <w:proofErr w:type="spellEnd"/>
      <w:r w:rsidRPr="00543955">
        <w:rPr>
          <w:sz w:val="22"/>
          <w:szCs w:val="22"/>
        </w:rPr>
        <w:t xml:space="preserve">/ml, IGF-1 v rozmedzí normálnych referenčných hodnôt), klinických príznakov a znášanlivosti. U väčšiny pacientov je optimálna denná dávka 0,3 mg. Nemá sa prekročiť maximálna denná dávka 1,5 mg. U pacientov s ustáleným dávkovaním </w:t>
      </w:r>
      <w:proofErr w:type="spellStart"/>
      <w:r w:rsidRPr="00543955">
        <w:rPr>
          <w:sz w:val="22"/>
          <w:szCs w:val="22"/>
        </w:rPr>
        <w:t>Sandostatinu</w:t>
      </w:r>
      <w:proofErr w:type="spellEnd"/>
      <w:r w:rsidRPr="00543955">
        <w:rPr>
          <w:sz w:val="22"/>
          <w:szCs w:val="22"/>
        </w:rPr>
        <w:t xml:space="preserve"> sa má STH </w:t>
      </w:r>
      <w:r w:rsidR="00E168F5">
        <w:rPr>
          <w:sz w:val="22"/>
          <w:szCs w:val="22"/>
        </w:rPr>
        <w:t xml:space="preserve">a IGF-1 </w:t>
      </w:r>
      <w:r w:rsidRPr="00543955">
        <w:rPr>
          <w:sz w:val="22"/>
          <w:szCs w:val="22"/>
        </w:rPr>
        <w:t>stanoviť každých 6 mesiacov.</w:t>
      </w:r>
    </w:p>
    <w:p w14:paraId="2A4EE192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2F306B84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Ak sa v priebehu 3 mesiacov od začatia liečby </w:t>
      </w:r>
      <w:proofErr w:type="spellStart"/>
      <w:r w:rsidRPr="00543955">
        <w:rPr>
          <w:sz w:val="22"/>
          <w:szCs w:val="22"/>
        </w:rPr>
        <w:t>Sandostatinom</w:t>
      </w:r>
      <w:proofErr w:type="spellEnd"/>
      <w:r w:rsidRPr="00543955">
        <w:rPr>
          <w:sz w:val="22"/>
          <w:szCs w:val="22"/>
        </w:rPr>
        <w:t xml:space="preserve"> nedosiahne relevantné zníženie hladín STH a zlepšenie klinických príznakov, liečba sa má ukončiť.</w:t>
      </w:r>
    </w:p>
    <w:p w14:paraId="6F9979BF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6DE08992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proofErr w:type="spellStart"/>
      <w:r w:rsidRPr="00543955">
        <w:rPr>
          <w:i/>
          <w:sz w:val="22"/>
          <w:szCs w:val="22"/>
        </w:rPr>
        <w:t>Gastroenteropankreatické</w:t>
      </w:r>
      <w:proofErr w:type="spellEnd"/>
      <w:r w:rsidRPr="00543955">
        <w:rPr>
          <w:i/>
          <w:sz w:val="22"/>
          <w:szCs w:val="22"/>
        </w:rPr>
        <w:t xml:space="preserve"> endokrinné nádory</w:t>
      </w:r>
    </w:p>
    <w:p w14:paraId="5A0AA989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Začiatočná dávka je 0,05 mg </w:t>
      </w:r>
      <w:proofErr w:type="spellStart"/>
      <w:r w:rsidRPr="00543955">
        <w:rPr>
          <w:sz w:val="22"/>
          <w:szCs w:val="22"/>
        </w:rPr>
        <w:t>s.c</w:t>
      </w:r>
      <w:proofErr w:type="spellEnd"/>
      <w:r w:rsidRPr="00543955">
        <w:rPr>
          <w:sz w:val="22"/>
          <w:szCs w:val="22"/>
        </w:rPr>
        <w:t xml:space="preserve">. injekciou jeden alebo dvakrát denne. V závislosti od klinickej odpovede, účinku na hladiny hormónov vylučovaných nádorom (v prípade </w:t>
      </w:r>
      <w:proofErr w:type="spellStart"/>
      <w:r w:rsidRPr="00543955">
        <w:rPr>
          <w:sz w:val="22"/>
          <w:szCs w:val="22"/>
        </w:rPr>
        <w:t>karcinoidných</w:t>
      </w:r>
      <w:proofErr w:type="spellEnd"/>
      <w:r w:rsidRPr="00543955">
        <w:rPr>
          <w:sz w:val="22"/>
          <w:szCs w:val="22"/>
        </w:rPr>
        <w:t xml:space="preserve"> nádorov na vylučovanie 5-hydroxyindoloctovej kyseliny močom) a znášanlivosti sa môže dávkovanie postupne zvýšiť na 0,1 až 0,2 mg trikrát denne. Výnimočne môžu byť potrebné vyššie dávky. Udržiavacie dávky sa majú individuálne prispôsobiť.</w:t>
      </w:r>
    </w:p>
    <w:p w14:paraId="6616E494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174BEC9E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Ak sa pri </w:t>
      </w:r>
      <w:proofErr w:type="spellStart"/>
      <w:r w:rsidRPr="00543955">
        <w:rPr>
          <w:sz w:val="22"/>
          <w:szCs w:val="22"/>
        </w:rPr>
        <w:t>karcinoidových</w:t>
      </w:r>
      <w:proofErr w:type="spellEnd"/>
      <w:r w:rsidRPr="00543955">
        <w:rPr>
          <w:sz w:val="22"/>
          <w:szCs w:val="22"/>
        </w:rPr>
        <w:t xml:space="preserve"> nádoroch nedosiahne priaznivá odpoveď počas jedného týždňa liečby </w:t>
      </w:r>
      <w:proofErr w:type="spellStart"/>
      <w:r w:rsidRPr="00543955">
        <w:rPr>
          <w:sz w:val="22"/>
          <w:szCs w:val="22"/>
        </w:rPr>
        <w:t>Sandostatinom</w:t>
      </w:r>
      <w:proofErr w:type="spellEnd"/>
      <w:r w:rsidRPr="00543955">
        <w:rPr>
          <w:sz w:val="22"/>
          <w:szCs w:val="22"/>
        </w:rPr>
        <w:t xml:space="preserve"> v najvyššej znášanej dávke, v liečbe sa nemá pokračovať.</w:t>
      </w:r>
    </w:p>
    <w:p w14:paraId="56C11D9F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499A4DC1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>Komplikácie po operácii pankreasu</w:t>
      </w:r>
    </w:p>
    <w:p w14:paraId="3FA5BBA8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Podáva sa 0,1 mg </w:t>
      </w:r>
      <w:proofErr w:type="spellStart"/>
      <w:r w:rsidRPr="00543955">
        <w:rPr>
          <w:sz w:val="22"/>
          <w:szCs w:val="22"/>
        </w:rPr>
        <w:t>s.c</w:t>
      </w:r>
      <w:proofErr w:type="spellEnd"/>
      <w:r w:rsidRPr="00543955">
        <w:rPr>
          <w:sz w:val="22"/>
          <w:szCs w:val="22"/>
        </w:rPr>
        <w:t xml:space="preserve">. injekciou trikrát denne počas 7 po sebe nasledujúcich dní, so začiatkom v deň operácie, minimálne 1 hodinu pred </w:t>
      </w:r>
      <w:proofErr w:type="spellStart"/>
      <w:r w:rsidRPr="00543955">
        <w:rPr>
          <w:sz w:val="22"/>
          <w:szCs w:val="22"/>
        </w:rPr>
        <w:t>laparotómiou</w:t>
      </w:r>
      <w:proofErr w:type="spellEnd"/>
      <w:r w:rsidRPr="00543955">
        <w:rPr>
          <w:sz w:val="22"/>
          <w:szCs w:val="22"/>
        </w:rPr>
        <w:t>.</w:t>
      </w:r>
    </w:p>
    <w:p w14:paraId="541CEE00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74E36B43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 xml:space="preserve">Krvácanie z </w:t>
      </w:r>
      <w:proofErr w:type="spellStart"/>
      <w:r w:rsidRPr="00543955">
        <w:rPr>
          <w:i/>
          <w:sz w:val="22"/>
          <w:szCs w:val="22"/>
        </w:rPr>
        <w:t>gastroezofageálnych</w:t>
      </w:r>
      <w:proofErr w:type="spellEnd"/>
      <w:r w:rsidRPr="00543955">
        <w:rPr>
          <w:i/>
          <w:sz w:val="22"/>
          <w:szCs w:val="22"/>
        </w:rPr>
        <w:t xml:space="preserve"> </w:t>
      </w:r>
      <w:proofErr w:type="spellStart"/>
      <w:r w:rsidRPr="00543955">
        <w:rPr>
          <w:i/>
          <w:sz w:val="22"/>
          <w:szCs w:val="22"/>
        </w:rPr>
        <w:t>varixov</w:t>
      </w:r>
      <w:proofErr w:type="spellEnd"/>
    </w:p>
    <w:p w14:paraId="5396CD71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25 </w:t>
      </w:r>
      <w:proofErr w:type="spellStart"/>
      <w:r w:rsidRPr="00543955">
        <w:rPr>
          <w:sz w:val="22"/>
          <w:szCs w:val="22"/>
        </w:rPr>
        <w:t>μg</w:t>
      </w:r>
      <w:proofErr w:type="spellEnd"/>
      <w:r w:rsidRPr="00543955">
        <w:rPr>
          <w:sz w:val="22"/>
          <w:szCs w:val="22"/>
        </w:rPr>
        <w:t xml:space="preserve">/hod počas 5 dní kontinuálnou </w:t>
      </w:r>
      <w:proofErr w:type="spellStart"/>
      <w:r w:rsidRPr="00543955">
        <w:rPr>
          <w:sz w:val="22"/>
          <w:szCs w:val="22"/>
        </w:rPr>
        <w:t>i.v</w:t>
      </w:r>
      <w:proofErr w:type="spellEnd"/>
      <w:r w:rsidRPr="00543955">
        <w:rPr>
          <w:sz w:val="22"/>
          <w:szCs w:val="22"/>
        </w:rPr>
        <w:t xml:space="preserve">. infúziou. </w:t>
      </w:r>
      <w:proofErr w:type="spellStart"/>
      <w:r w:rsidRPr="00543955">
        <w:rPr>
          <w:sz w:val="22"/>
          <w:szCs w:val="22"/>
        </w:rPr>
        <w:t>Sandostatin</w:t>
      </w:r>
      <w:proofErr w:type="spellEnd"/>
      <w:r w:rsidRPr="00543955">
        <w:rPr>
          <w:sz w:val="22"/>
          <w:szCs w:val="22"/>
        </w:rPr>
        <w:t xml:space="preserve"> možno použiť vo fyziologickom roztoku.</w:t>
      </w:r>
    </w:p>
    <w:p w14:paraId="5B545BAA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4E4D6D03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Pacienti s cirhózou pečene s krvácaním z </w:t>
      </w:r>
      <w:proofErr w:type="spellStart"/>
      <w:r w:rsidRPr="00543955">
        <w:rPr>
          <w:sz w:val="22"/>
          <w:szCs w:val="22"/>
        </w:rPr>
        <w:t>gastroezofageálnych</w:t>
      </w:r>
      <w:proofErr w:type="spellEnd"/>
      <w:r w:rsidRPr="00543955">
        <w:rPr>
          <w:sz w:val="22"/>
          <w:szCs w:val="22"/>
        </w:rPr>
        <w:t xml:space="preserve"> </w:t>
      </w:r>
      <w:proofErr w:type="spellStart"/>
      <w:r w:rsidRPr="00543955">
        <w:rPr>
          <w:sz w:val="22"/>
          <w:szCs w:val="22"/>
        </w:rPr>
        <w:t>varixov</w:t>
      </w:r>
      <w:proofErr w:type="spellEnd"/>
      <w:r w:rsidRPr="00543955">
        <w:rPr>
          <w:sz w:val="22"/>
          <w:szCs w:val="22"/>
        </w:rPr>
        <w:t xml:space="preserve"> dobre znášali </w:t>
      </w:r>
      <w:proofErr w:type="spellStart"/>
      <w:r w:rsidRPr="00543955">
        <w:rPr>
          <w:sz w:val="22"/>
          <w:szCs w:val="22"/>
        </w:rPr>
        <w:t>Sandostatin</w:t>
      </w:r>
      <w:proofErr w:type="spellEnd"/>
      <w:r w:rsidRPr="00543955">
        <w:rPr>
          <w:sz w:val="22"/>
          <w:szCs w:val="22"/>
        </w:rPr>
        <w:t xml:space="preserve"> podávaný kontinuálnou </w:t>
      </w:r>
      <w:proofErr w:type="spellStart"/>
      <w:r w:rsidRPr="00543955">
        <w:rPr>
          <w:sz w:val="22"/>
          <w:szCs w:val="22"/>
        </w:rPr>
        <w:t>i.v</w:t>
      </w:r>
      <w:proofErr w:type="spellEnd"/>
      <w:r w:rsidRPr="00543955">
        <w:rPr>
          <w:sz w:val="22"/>
          <w:szCs w:val="22"/>
        </w:rPr>
        <w:t>. infúziou v dávkach až do 50 </w:t>
      </w:r>
      <w:proofErr w:type="spellStart"/>
      <w:r w:rsidRPr="00543955">
        <w:rPr>
          <w:sz w:val="22"/>
          <w:szCs w:val="22"/>
        </w:rPr>
        <w:t>μg</w:t>
      </w:r>
      <w:proofErr w:type="spellEnd"/>
      <w:r w:rsidRPr="00543955">
        <w:rPr>
          <w:sz w:val="22"/>
          <w:szCs w:val="22"/>
        </w:rPr>
        <w:t>/hod počas 5 dní.</w:t>
      </w:r>
    </w:p>
    <w:p w14:paraId="0B5BE748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5FC46ACE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 xml:space="preserve">Liečba </w:t>
      </w:r>
      <w:proofErr w:type="spellStart"/>
      <w:r w:rsidRPr="00543955">
        <w:rPr>
          <w:i/>
          <w:sz w:val="22"/>
          <w:szCs w:val="22"/>
        </w:rPr>
        <w:t>adenómov</w:t>
      </w:r>
      <w:proofErr w:type="spellEnd"/>
      <w:r w:rsidRPr="00543955">
        <w:rPr>
          <w:i/>
          <w:sz w:val="22"/>
          <w:szCs w:val="22"/>
        </w:rPr>
        <w:t xml:space="preserve"> hypofýzy vylučujúcich TSH</w:t>
      </w:r>
    </w:p>
    <w:p w14:paraId="0D423CC7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Všeobecne najúčinnejšia dávka je 100 </w:t>
      </w:r>
      <w:proofErr w:type="spellStart"/>
      <w:r w:rsidRPr="00543955">
        <w:rPr>
          <w:sz w:val="22"/>
          <w:szCs w:val="22"/>
        </w:rPr>
        <w:t>μg</w:t>
      </w:r>
      <w:proofErr w:type="spellEnd"/>
      <w:r w:rsidRPr="00543955">
        <w:rPr>
          <w:sz w:val="22"/>
          <w:szCs w:val="22"/>
        </w:rPr>
        <w:t xml:space="preserve"> trikrát denne formou </w:t>
      </w:r>
      <w:proofErr w:type="spellStart"/>
      <w:r w:rsidRPr="00543955">
        <w:rPr>
          <w:sz w:val="22"/>
          <w:szCs w:val="22"/>
        </w:rPr>
        <w:t>s.c</w:t>
      </w:r>
      <w:proofErr w:type="spellEnd"/>
      <w:r w:rsidRPr="00543955">
        <w:rPr>
          <w:sz w:val="22"/>
          <w:szCs w:val="22"/>
        </w:rPr>
        <w:t xml:space="preserve">. injekcie. Dávka sa môže upraviť podľa odpovede TSH a hormónov štítnej žľazy. Na vyhodnotenie účinnosti je potrebných minimálne 5 dní </w:t>
      </w:r>
      <w:r w:rsidRPr="00543955">
        <w:rPr>
          <w:sz w:val="22"/>
          <w:szCs w:val="22"/>
        </w:rPr>
        <w:lastRenderedPageBreak/>
        <w:t>liečby.</w:t>
      </w:r>
    </w:p>
    <w:p w14:paraId="41224CE6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5BECECA5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>Použitie u starších pacientov</w:t>
      </w:r>
    </w:p>
    <w:p w14:paraId="2B3F4EA8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U starších pacientov liečených </w:t>
      </w:r>
      <w:proofErr w:type="spellStart"/>
      <w:r w:rsidRPr="00543955">
        <w:rPr>
          <w:sz w:val="22"/>
          <w:szCs w:val="22"/>
        </w:rPr>
        <w:t>Sandostatinom</w:t>
      </w:r>
      <w:proofErr w:type="spellEnd"/>
      <w:r w:rsidRPr="00543955">
        <w:rPr>
          <w:sz w:val="22"/>
          <w:szCs w:val="22"/>
        </w:rPr>
        <w:t xml:space="preserve"> sa nedokázala znížená znášanlivosť alebo potreba meniť dávkovanie.</w:t>
      </w:r>
    </w:p>
    <w:p w14:paraId="36B95F45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0088A48D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14:paraId="151D5778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Skúsenosti s použitím </w:t>
      </w:r>
      <w:proofErr w:type="spellStart"/>
      <w:r w:rsidRPr="00543955">
        <w:rPr>
          <w:sz w:val="22"/>
          <w:szCs w:val="22"/>
        </w:rPr>
        <w:t>Sandostatinu</w:t>
      </w:r>
      <w:proofErr w:type="spellEnd"/>
      <w:r w:rsidRPr="00543955">
        <w:rPr>
          <w:sz w:val="22"/>
          <w:szCs w:val="22"/>
        </w:rPr>
        <w:t xml:space="preserve"> u detí sú obmedzené.</w:t>
      </w:r>
    </w:p>
    <w:p w14:paraId="21B14A73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2981D111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>Použitie u pacientov s poruchou funkcie pečene</w:t>
      </w:r>
    </w:p>
    <w:p w14:paraId="743E4C9B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U pacientov s cirhózou pečene sa môže predĺžiť polčas liečiva, čo si vyžiada úpravu udržiavacieho dávkovania.</w:t>
      </w:r>
    </w:p>
    <w:p w14:paraId="150DCD2F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4D85517A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>Použitie u pacientov s poruchou funkcie obličiek</w:t>
      </w:r>
    </w:p>
    <w:p w14:paraId="0E938127" w14:textId="77777777" w:rsidR="00871AAF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Porucha funkcie obličiek neovplyvnila celkovú expozíciu (AUC) </w:t>
      </w:r>
      <w:proofErr w:type="spellStart"/>
      <w:r w:rsidRPr="00543955">
        <w:rPr>
          <w:sz w:val="22"/>
          <w:szCs w:val="22"/>
        </w:rPr>
        <w:t>oktreotidu</w:t>
      </w:r>
      <w:proofErr w:type="spellEnd"/>
      <w:r w:rsidRPr="00543955">
        <w:rPr>
          <w:sz w:val="22"/>
          <w:szCs w:val="22"/>
        </w:rPr>
        <w:t xml:space="preserve"> podaného </w:t>
      </w:r>
      <w:proofErr w:type="spellStart"/>
      <w:r w:rsidRPr="00543955">
        <w:rPr>
          <w:sz w:val="22"/>
          <w:szCs w:val="22"/>
        </w:rPr>
        <w:t>s.c</w:t>
      </w:r>
      <w:proofErr w:type="spellEnd"/>
      <w:r w:rsidRPr="00543955">
        <w:rPr>
          <w:sz w:val="22"/>
          <w:szCs w:val="22"/>
        </w:rPr>
        <w:t xml:space="preserve">. injekciou, preto nie je potrebná úprava dávkovania </w:t>
      </w:r>
      <w:proofErr w:type="spellStart"/>
      <w:r w:rsidRPr="00543955">
        <w:rPr>
          <w:sz w:val="22"/>
          <w:szCs w:val="22"/>
        </w:rPr>
        <w:t>Sandostatinu</w:t>
      </w:r>
      <w:proofErr w:type="spellEnd"/>
      <w:r w:rsidRPr="00543955">
        <w:rPr>
          <w:sz w:val="22"/>
          <w:szCs w:val="22"/>
        </w:rPr>
        <w:t>.</w:t>
      </w:r>
    </w:p>
    <w:p w14:paraId="4BCE61C0" w14:textId="77777777" w:rsidR="00871AAF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4788DF83" w14:textId="77777777" w:rsidR="00871AAF" w:rsidRPr="00CC6954" w:rsidRDefault="00871AAF" w:rsidP="008224B9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C6954">
        <w:rPr>
          <w:szCs w:val="22"/>
          <w:u w:val="single"/>
          <w:lang w:val="sk-SK"/>
        </w:rPr>
        <w:t>Spôsob podávania</w:t>
      </w:r>
    </w:p>
    <w:p w14:paraId="68F3797B" w14:textId="77777777" w:rsidR="00871AAF" w:rsidRPr="00CC6954" w:rsidRDefault="00871AAF" w:rsidP="008224B9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885C2B" w14:textId="77777777" w:rsidR="00871AAF" w:rsidRPr="00013707" w:rsidRDefault="00871AAF" w:rsidP="00D57836">
      <w:pPr>
        <w:pStyle w:val="Text"/>
        <w:widowControl w:val="0"/>
        <w:spacing w:before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Sandostatin</w:t>
      </w:r>
      <w:proofErr w:type="spellEnd"/>
      <w:r>
        <w:rPr>
          <w:sz w:val="22"/>
          <w:szCs w:val="22"/>
        </w:rPr>
        <w:t xml:space="preserve"> môže byť podávaný priamo </w:t>
      </w:r>
      <w:proofErr w:type="spellStart"/>
      <w:r>
        <w:rPr>
          <w:sz w:val="22"/>
          <w:szCs w:val="22"/>
        </w:rPr>
        <w:t>subkutánnou</w:t>
      </w:r>
      <w:proofErr w:type="spellEnd"/>
      <w:r>
        <w:rPr>
          <w:sz w:val="22"/>
          <w:szCs w:val="22"/>
        </w:rPr>
        <w:t xml:space="preserve"> injekciou (</w:t>
      </w:r>
      <w:proofErr w:type="spellStart"/>
      <w:r>
        <w:rPr>
          <w:sz w:val="22"/>
          <w:szCs w:val="22"/>
        </w:rPr>
        <w:t>s.c</w:t>
      </w:r>
      <w:proofErr w:type="spellEnd"/>
      <w:r>
        <w:rPr>
          <w:sz w:val="22"/>
          <w:szCs w:val="22"/>
        </w:rPr>
        <w:t>.) alebo intravenóznou infúziou (</w:t>
      </w:r>
      <w:proofErr w:type="spellStart"/>
      <w:r>
        <w:rPr>
          <w:sz w:val="22"/>
          <w:szCs w:val="22"/>
        </w:rPr>
        <w:t>i.v</w:t>
      </w:r>
      <w:proofErr w:type="spellEnd"/>
      <w:r>
        <w:rPr>
          <w:sz w:val="22"/>
          <w:szCs w:val="22"/>
        </w:rPr>
        <w:t xml:space="preserve">.) po zriedení. </w:t>
      </w:r>
      <w:r w:rsidRPr="00013707">
        <w:rPr>
          <w:sz w:val="22"/>
          <w:szCs w:val="22"/>
        </w:rPr>
        <w:t xml:space="preserve">Ďalšie </w:t>
      </w:r>
      <w:r>
        <w:rPr>
          <w:sz w:val="22"/>
          <w:szCs w:val="22"/>
        </w:rPr>
        <w:t xml:space="preserve">pokyny </w:t>
      </w:r>
      <w:r w:rsidRPr="00013707">
        <w:rPr>
          <w:sz w:val="22"/>
          <w:szCs w:val="22"/>
        </w:rPr>
        <w:t>o</w:t>
      </w:r>
      <w:r>
        <w:rPr>
          <w:sz w:val="22"/>
          <w:szCs w:val="22"/>
        </w:rPr>
        <w:t> </w:t>
      </w:r>
      <w:r w:rsidRPr="00013707">
        <w:rPr>
          <w:sz w:val="22"/>
          <w:szCs w:val="22"/>
        </w:rPr>
        <w:t>zaobchádzaní</w:t>
      </w:r>
      <w:r>
        <w:rPr>
          <w:sz w:val="22"/>
          <w:szCs w:val="22"/>
        </w:rPr>
        <w:t xml:space="preserve"> a pokyny na riedenie lieku pred podaním</w:t>
      </w:r>
      <w:r w:rsidRPr="00013707">
        <w:rPr>
          <w:sz w:val="22"/>
          <w:szCs w:val="22"/>
        </w:rPr>
        <w:t>, pozri časť 6.6.</w:t>
      </w:r>
    </w:p>
    <w:p w14:paraId="0D44BA76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B1F65E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4.3</w:t>
      </w:r>
      <w:r w:rsidRPr="00543955">
        <w:rPr>
          <w:b/>
          <w:szCs w:val="22"/>
          <w:lang w:val="sk-SK"/>
        </w:rPr>
        <w:tab/>
        <w:t>Kontraindikácie</w:t>
      </w:r>
    </w:p>
    <w:p w14:paraId="66454226" w14:textId="77777777" w:rsidR="00871AAF" w:rsidRPr="00543955" w:rsidRDefault="00871AAF" w:rsidP="007E1DD6">
      <w:pPr>
        <w:keepNext/>
        <w:widowControl w:val="0"/>
        <w:tabs>
          <w:tab w:val="clear" w:pos="567"/>
          <w:tab w:val="left" w:pos="1216"/>
        </w:tabs>
        <w:spacing w:line="240" w:lineRule="auto"/>
        <w:rPr>
          <w:szCs w:val="22"/>
          <w:lang w:val="sk-SK"/>
        </w:rPr>
      </w:pPr>
    </w:p>
    <w:p w14:paraId="0A078905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>
        <w:rPr>
          <w:szCs w:val="22"/>
          <w:lang w:val="sk-SK"/>
        </w:rPr>
        <w:t>P</w:t>
      </w:r>
      <w:r w:rsidRPr="00543955">
        <w:rPr>
          <w:szCs w:val="22"/>
          <w:lang w:val="sk-SK"/>
        </w:rPr>
        <w:t>recitlivenosť na liečivo alebo na ktorúkoľvek z pomocných látok uvedených v časti 6.1.</w:t>
      </w:r>
    </w:p>
    <w:p w14:paraId="5E2036CB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E2E982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4.4</w:t>
      </w:r>
      <w:r w:rsidRPr="00543955">
        <w:rPr>
          <w:b/>
          <w:szCs w:val="22"/>
          <w:lang w:val="sk-SK"/>
        </w:rPr>
        <w:tab/>
        <w:t>Osobitné upozornenia a opatrenia pri používaní</w:t>
      </w:r>
    </w:p>
    <w:p w14:paraId="6024D8F2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00A3A904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Všeobecné</w:t>
      </w:r>
    </w:p>
    <w:p w14:paraId="21979D8D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5083EC4F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Pretože nádory hypofýzy, ktoré vylučujú STH, sa môžu niekedy zväčšovať a spôsobiť vážne komplikácie (napr. poruchy zorného poľa), je dôležité, aby boli všetci pacienti starostlivo sledovaní. Ak sa objavia príznaky zväčšovania nádoru, majú sa zvážiť iné liečebné postupy.</w:t>
      </w:r>
    </w:p>
    <w:p w14:paraId="700D7FFB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50F3AA48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Terapeutický prínos zníženia hladín rastového hormónu (STH) a normalizácie koncentrácie rastového faktora podobného inzulínu 1 (IGF-1) u pacientok s </w:t>
      </w:r>
      <w:proofErr w:type="spellStart"/>
      <w:r w:rsidRPr="00543955">
        <w:rPr>
          <w:sz w:val="22"/>
          <w:szCs w:val="22"/>
        </w:rPr>
        <w:t>akromegáliou</w:t>
      </w:r>
      <w:proofErr w:type="spellEnd"/>
      <w:r w:rsidRPr="00543955">
        <w:rPr>
          <w:sz w:val="22"/>
          <w:szCs w:val="22"/>
        </w:rPr>
        <w:t xml:space="preserve"> môže prípadne obnoviť plodnosť. Ak je to potrebné, má sa pacientkam, ktoré môžu otehotnieť, odporučiť počas liečby </w:t>
      </w:r>
      <w:proofErr w:type="spellStart"/>
      <w:r w:rsidRPr="00543955">
        <w:rPr>
          <w:sz w:val="22"/>
          <w:szCs w:val="22"/>
        </w:rPr>
        <w:t>oktreotidom</w:t>
      </w:r>
      <w:proofErr w:type="spellEnd"/>
      <w:r w:rsidRPr="00543955">
        <w:rPr>
          <w:sz w:val="22"/>
          <w:szCs w:val="22"/>
        </w:rPr>
        <w:t xml:space="preserve"> používanie vhodnej antikoncepcie (pozri časť 4.6).</w:t>
      </w:r>
    </w:p>
    <w:p w14:paraId="2ED86DCA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3FF8ABDC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Pri dlhodobej liečbe </w:t>
      </w:r>
      <w:proofErr w:type="spellStart"/>
      <w:r w:rsidRPr="00543955">
        <w:rPr>
          <w:sz w:val="22"/>
          <w:szCs w:val="22"/>
        </w:rPr>
        <w:t>oktreotidom</w:t>
      </w:r>
      <w:proofErr w:type="spellEnd"/>
      <w:r w:rsidRPr="00543955">
        <w:rPr>
          <w:sz w:val="22"/>
          <w:szCs w:val="22"/>
        </w:rPr>
        <w:t xml:space="preserve"> sa má u pacientov sledovať funkcia štítnej žľazy.</w:t>
      </w:r>
    </w:p>
    <w:p w14:paraId="41E5E9B8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2C4406AB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Počas liečby </w:t>
      </w:r>
      <w:proofErr w:type="spellStart"/>
      <w:r w:rsidRPr="00543955">
        <w:rPr>
          <w:sz w:val="22"/>
          <w:szCs w:val="22"/>
        </w:rPr>
        <w:t>oktreotidom</w:t>
      </w:r>
      <w:proofErr w:type="spellEnd"/>
      <w:r w:rsidRPr="00543955">
        <w:rPr>
          <w:sz w:val="22"/>
          <w:szCs w:val="22"/>
        </w:rPr>
        <w:t xml:space="preserve"> sa má sledovať funkcia pečene.</w:t>
      </w:r>
    </w:p>
    <w:p w14:paraId="48C0AB42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2276D45A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Kardiovaskulárne udalosti</w:t>
      </w:r>
    </w:p>
    <w:p w14:paraId="43BD3E36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4E087C53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Boli hlásené časté prípady bradykardie. Môže byť potrebné upraviť dávky liekov ako sú </w:t>
      </w:r>
      <w:proofErr w:type="spellStart"/>
      <w:r w:rsidRPr="00543955">
        <w:rPr>
          <w:sz w:val="22"/>
          <w:szCs w:val="22"/>
        </w:rPr>
        <w:t>betablokátory</w:t>
      </w:r>
      <w:proofErr w:type="spellEnd"/>
      <w:r w:rsidRPr="00543955">
        <w:rPr>
          <w:sz w:val="22"/>
          <w:szCs w:val="22"/>
        </w:rPr>
        <w:t xml:space="preserve">, </w:t>
      </w:r>
      <w:proofErr w:type="spellStart"/>
      <w:r w:rsidRPr="00543955">
        <w:rPr>
          <w:sz w:val="22"/>
          <w:szCs w:val="22"/>
        </w:rPr>
        <w:t>blokátory</w:t>
      </w:r>
      <w:proofErr w:type="spellEnd"/>
      <w:r w:rsidRPr="00543955">
        <w:rPr>
          <w:sz w:val="22"/>
          <w:szCs w:val="22"/>
        </w:rPr>
        <w:t xml:space="preserve"> kalciových kanálov alebo látok regulujúcich rovnováhu tekutín a elektrolytov (pozri časť 4.5).</w:t>
      </w:r>
    </w:p>
    <w:p w14:paraId="36966CC5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43D79BA1" w14:textId="77777777" w:rsidR="00871AAF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Žlčník a súvisiace udalosti</w:t>
      </w:r>
    </w:p>
    <w:p w14:paraId="417A5611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</w:p>
    <w:p w14:paraId="0D449735" w14:textId="1AEC1047" w:rsidR="00871AAF" w:rsidRPr="00543955" w:rsidRDefault="00E168F5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proofErr w:type="spellStart"/>
      <w:r w:rsidRPr="009E5DBC">
        <w:rPr>
          <w:rFonts w:eastAsia="Times New Roman"/>
          <w:sz w:val="22"/>
          <w:szCs w:val="22"/>
          <w:lang w:eastAsia="en-US"/>
        </w:rPr>
        <w:t>Cholelitiáza</w:t>
      </w:r>
      <w:proofErr w:type="spellEnd"/>
      <w:r w:rsidRPr="009E5DBC">
        <w:rPr>
          <w:rFonts w:eastAsia="Times New Roman"/>
          <w:sz w:val="22"/>
          <w:szCs w:val="22"/>
          <w:lang w:eastAsia="en-US"/>
        </w:rPr>
        <w:t xml:space="preserve"> je veľmi častou udalosťou vyskytujúcou sa počas liečby </w:t>
      </w:r>
      <w:proofErr w:type="spellStart"/>
      <w:r w:rsidRPr="009E5DBC">
        <w:rPr>
          <w:rFonts w:eastAsia="Times New Roman"/>
          <w:sz w:val="22"/>
          <w:szCs w:val="22"/>
          <w:lang w:eastAsia="en-US"/>
        </w:rPr>
        <w:t>Sandostatinom</w:t>
      </w:r>
      <w:proofErr w:type="spellEnd"/>
      <w:r w:rsidRPr="009E5DBC">
        <w:rPr>
          <w:rFonts w:eastAsia="Times New Roman"/>
          <w:sz w:val="22"/>
          <w:szCs w:val="22"/>
          <w:lang w:eastAsia="en-US"/>
        </w:rPr>
        <w:t xml:space="preserve"> a môže byť spojená s </w:t>
      </w:r>
      <w:proofErr w:type="spellStart"/>
      <w:r w:rsidRPr="009E5DBC">
        <w:rPr>
          <w:rFonts w:eastAsia="Times New Roman"/>
          <w:sz w:val="22"/>
          <w:szCs w:val="22"/>
          <w:lang w:eastAsia="en-US"/>
        </w:rPr>
        <w:t>cholecystitídou</w:t>
      </w:r>
      <w:proofErr w:type="spellEnd"/>
      <w:r w:rsidRPr="009E5DBC">
        <w:rPr>
          <w:rFonts w:eastAsia="Times New Roman"/>
          <w:sz w:val="22"/>
          <w:szCs w:val="22"/>
          <w:lang w:eastAsia="en-US"/>
        </w:rPr>
        <w:t xml:space="preserve"> a dilatáciou žlčovodov (pozri časť 4.8).</w:t>
      </w:r>
      <w:r>
        <w:rPr>
          <w:rFonts w:eastAsia="Times New Roman"/>
          <w:sz w:val="22"/>
          <w:szCs w:val="22"/>
          <w:lang w:eastAsia="en-US"/>
        </w:rPr>
        <w:t xml:space="preserve"> </w:t>
      </w:r>
      <w:r w:rsidR="00A827E5">
        <w:rPr>
          <w:sz w:val="22"/>
          <w:szCs w:val="22"/>
        </w:rPr>
        <w:t xml:space="preserve">Okrem toho boli </w:t>
      </w:r>
      <w:r w:rsidR="002D7848">
        <w:rPr>
          <w:sz w:val="22"/>
          <w:szCs w:val="22"/>
        </w:rPr>
        <w:t xml:space="preserve">u pacientov užívajúcich </w:t>
      </w:r>
      <w:proofErr w:type="spellStart"/>
      <w:r w:rsidR="002D7848">
        <w:rPr>
          <w:sz w:val="22"/>
          <w:szCs w:val="22"/>
        </w:rPr>
        <w:t>Sandostatín</w:t>
      </w:r>
      <w:proofErr w:type="spellEnd"/>
      <w:r w:rsidR="002D7848">
        <w:rPr>
          <w:sz w:val="22"/>
          <w:szCs w:val="22"/>
        </w:rPr>
        <w:t xml:space="preserve"> po jeho uvedení na trh </w:t>
      </w:r>
      <w:r w:rsidR="00A827E5">
        <w:rPr>
          <w:sz w:val="22"/>
          <w:szCs w:val="22"/>
        </w:rPr>
        <w:t xml:space="preserve">hlásené prípady </w:t>
      </w:r>
      <w:proofErr w:type="spellStart"/>
      <w:r w:rsidR="00A827E5">
        <w:rPr>
          <w:sz w:val="22"/>
          <w:szCs w:val="22"/>
        </w:rPr>
        <w:t>cholangitídy</w:t>
      </w:r>
      <w:proofErr w:type="spellEnd"/>
      <w:r w:rsidR="00A827E5">
        <w:rPr>
          <w:sz w:val="22"/>
          <w:szCs w:val="22"/>
        </w:rPr>
        <w:t xml:space="preserve"> ako komplikácia </w:t>
      </w:r>
      <w:proofErr w:type="spellStart"/>
      <w:r w:rsidR="00A827E5">
        <w:rPr>
          <w:sz w:val="22"/>
          <w:szCs w:val="22"/>
        </w:rPr>
        <w:t>cholelitiázy</w:t>
      </w:r>
      <w:proofErr w:type="spellEnd"/>
      <w:r w:rsidR="002D7848">
        <w:rPr>
          <w:sz w:val="22"/>
          <w:szCs w:val="22"/>
        </w:rPr>
        <w:t xml:space="preserve">. </w:t>
      </w:r>
      <w:r w:rsidR="00871AAF" w:rsidRPr="00543955">
        <w:rPr>
          <w:sz w:val="22"/>
          <w:szCs w:val="22"/>
        </w:rPr>
        <w:t xml:space="preserve">Odporúča sa vykonať ultrazvukové vyšetrenie žlčníka pred liečbou a počas liečby </w:t>
      </w:r>
      <w:proofErr w:type="spellStart"/>
      <w:r w:rsidR="00871AAF" w:rsidRPr="00543955">
        <w:rPr>
          <w:sz w:val="22"/>
          <w:szCs w:val="22"/>
        </w:rPr>
        <w:t>Sandostatinom</w:t>
      </w:r>
      <w:proofErr w:type="spellEnd"/>
      <w:r w:rsidR="00871AAF" w:rsidRPr="00543955">
        <w:rPr>
          <w:sz w:val="22"/>
          <w:szCs w:val="22"/>
        </w:rPr>
        <w:t xml:space="preserve"> pravidelne v intervaloch asi 6-12 mesiacov. </w:t>
      </w:r>
    </w:p>
    <w:p w14:paraId="1B69753E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37C38CB6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GEP endokrinné nádory</w:t>
      </w:r>
    </w:p>
    <w:p w14:paraId="63F9FD01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086BF5DE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Počas liečby GEP endokrinných nádorov v zriedkavých prípadoch môže náhle prestať priaznivý účinok </w:t>
      </w:r>
      <w:proofErr w:type="spellStart"/>
      <w:r w:rsidRPr="00543955">
        <w:rPr>
          <w:sz w:val="22"/>
          <w:szCs w:val="22"/>
        </w:rPr>
        <w:t>Sandostatinu</w:t>
      </w:r>
      <w:proofErr w:type="spellEnd"/>
      <w:r w:rsidRPr="00543955">
        <w:rPr>
          <w:sz w:val="22"/>
          <w:szCs w:val="22"/>
        </w:rPr>
        <w:t xml:space="preserve"> na príznaky a dôjsť k prudkej recidíve závažných prejavov. Ak sa liečba zastaví, príznaky sa môžu zhoršiť alebo recidivovať.</w:t>
      </w:r>
    </w:p>
    <w:p w14:paraId="30C40BB5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6C01F239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Metabolizmus glukózy</w:t>
      </w:r>
    </w:p>
    <w:p w14:paraId="21B65BE3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6BEFCB95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Keďže </w:t>
      </w:r>
      <w:proofErr w:type="spellStart"/>
      <w:r w:rsidRPr="00543955">
        <w:rPr>
          <w:sz w:val="22"/>
          <w:szCs w:val="22"/>
        </w:rPr>
        <w:t>Sandostatin</w:t>
      </w:r>
      <w:proofErr w:type="spellEnd"/>
      <w:r w:rsidRPr="00543955">
        <w:rPr>
          <w:sz w:val="22"/>
          <w:szCs w:val="22"/>
        </w:rPr>
        <w:t xml:space="preserve"> má tlmivý účinok na STH, </w:t>
      </w:r>
      <w:proofErr w:type="spellStart"/>
      <w:r w:rsidRPr="00543955">
        <w:rPr>
          <w:sz w:val="22"/>
          <w:szCs w:val="22"/>
        </w:rPr>
        <w:t>glukagón</w:t>
      </w:r>
      <w:proofErr w:type="spellEnd"/>
      <w:r w:rsidRPr="00543955">
        <w:rPr>
          <w:sz w:val="22"/>
          <w:szCs w:val="22"/>
        </w:rPr>
        <w:t xml:space="preserve"> a inzulín, môže ovplyvniť reguláciu glukózy. Môže sa zhoršiť </w:t>
      </w:r>
      <w:proofErr w:type="spellStart"/>
      <w:r w:rsidRPr="00543955">
        <w:rPr>
          <w:sz w:val="22"/>
          <w:szCs w:val="22"/>
        </w:rPr>
        <w:t>postprandiálna</w:t>
      </w:r>
      <w:proofErr w:type="spellEnd"/>
      <w:r w:rsidRPr="00543955">
        <w:rPr>
          <w:sz w:val="22"/>
          <w:szCs w:val="22"/>
        </w:rPr>
        <w:t xml:space="preserve"> tolerancia glukózy a v niektorých prípadoch môže vzniknúť stav trvalej hyperglykémie ako následok dlhodobého podávania. Hlásená bola aj </w:t>
      </w:r>
      <w:proofErr w:type="spellStart"/>
      <w:r w:rsidRPr="00543955">
        <w:rPr>
          <w:sz w:val="22"/>
          <w:szCs w:val="22"/>
        </w:rPr>
        <w:t>hypoglykémia</w:t>
      </w:r>
      <w:proofErr w:type="spellEnd"/>
      <w:r w:rsidRPr="00543955">
        <w:rPr>
          <w:sz w:val="22"/>
          <w:szCs w:val="22"/>
        </w:rPr>
        <w:t>.</w:t>
      </w:r>
    </w:p>
    <w:p w14:paraId="69621534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72D45251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U pacientov s </w:t>
      </w:r>
      <w:proofErr w:type="spellStart"/>
      <w:r w:rsidRPr="00543955">
        <w:rPr>
          <w:sz w:val="22"/>
          <w:szCs w:val="22"/>
        </w:rPr>
        <w:t>inzulinómami</w:t>
      </w:r>
      <w:proofErr w:type="spellEnd"/>
      <w:r w:rsidRPr="00543955">
        <w:rPr>
          <w:sz w:val="22"/>
          <w:szCs w:val="22"/>
        </w:rPr>
        <w:t xml:space="preserve"> môže </w:t>
      </w:r>
      <w:proofErr w:type="spellStart"/>
      <w:r w:rsidRPr="00543955">
        <w:rPr>
          <w:sz w:val="22"/>
          <w:szCs w:val="22"/>
        </w:rPr>
        <w:t>oktreotid</w:t>
      </w:r>
      <w:proofErr w:type="spellEnd"/>
      <w:r w:rsidRPr="00543955">
        <w:rPr>
          <w:sz w:val="22"/>
          <w:szCs w:val="22"/>
        </w:rPr>
        <w:t xml:space="preserve"> vzhľadom na relatívne účinnejšie tlmenie sekrécie STH a </w:t>
      </w:r>
      <w:proofErr w:type="spellStart"/>
      <w:r w:rsidRPr="00543955">
        <w:rPr>
          <w:sz w:val="22"/>
          <w:szCs w:val="22"/>
        </w:rPr>
        <w:t>glukagónu</w:t>
      </w:r>
      <w:proofErr w:type="spellEnd"/>
      <w:r w:rsidRPr="00543955">
        <w:rPr>
          <w:sz w:val="22"/>
          <w:szCs w:val="22"/>
        </w:rPr>
        <w:t xml:space="preserve"> ako sekrécie inzulínu a vzhľadom na kratšie trvanie tlmivého účinku na sekréciu inzulínu prehĺbiť </w:t>
      </w:r>
      <w:proofErr w:type="spellStart"/>
      <w:r w:rsidRPr="00543955">
        <w:rPr>
          <w:sz w:val="22"/>
          <w:szCs w:val="22"/>
        </w:rPr>
        <w:t>hypoglykémiu</w:t>
      </w:r>
      <w:proofErr w:type="spellEnd"/>
      <w:r w:rsidRPr="00543955">
        <w:rPr>
          <w:sz w:val="22"/>
          <w:szCs w:val="22"/>
        </w:rPr>
        <w:t xml:space="preserve"> a predĺžiť jej trvanie. Títo pacienti majú byť starostlivo sledovaní na začiatku liečby </w:t>
      </w:r>
      <w:proofErr w:type="spellStart"/>
      <w:r w:rsidRPr="00543955">
        <w:rPr>
          <w:sz w:val="22"/>
          <w:szCs w:val="22"/>
        </w:rPr>
        <w:t>Sandostatinom</w:t>
      </w:r>
      <w:proofErr w:type="spellEnd"/>
      <w:r w:rsidRPr="00543955">
        <w:rPr>
          <w:sz w:val="22"/>
          <w:szCs w:val="22"/>
        </w:rPr>
        <w:t xml:space="preserve"> a pri každej zmene dávkovania. Výrazné výkyvy koncentrácie glukózy v krvi možno pravdepodobne znížiť častejším podávaním menších dávok.</w:t>
      </w:r>
    </w:p>
    <w:p w14:paraId="5666D2E1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41B4D97B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Potreba inzulínu u pacientov liečených na diabetes </w:t>
      </w:r>
      <w:proofErr w:type="spellStart"/>
      <w:r w:rsidRPr="00543955">
        <w:rPr>
          <w:sz w:val="22"/>
          <w:szCs w:val="22"/>
        </w:rPr>
        <w:t>mellitus</w:t>
      </w:r>
      <w:proofErr w:type="spellEnd"/>
      <w:r w:rsidRPr="00543955">
        <w:rPr>
          <w:sz w:val="22"/>
          <w:szCs w:val="22"/>
        </w:rPr>
        <w:t xml:space="preserve"> typu I sa môže podávaním </w:t>
      </w:r>
      <w:proofErr w:type="spellStart"/>
      <w:r w:rsidRPr="00543955">
        <w:rPr>
          <w:sz w:val="22"/>
          <w:szCs w:val="22"/>
        </w:rPr>
        <w:t>Sandostatinu</w:t>
      </w:r>
      <w:proofErr w:type="spellEnd"/>
      <w:r w:rsidRPr="00543955">
        <w:rPr>
          <w:sz w:val="22"/>
          <w:szCs w:val="22"/>
        </w:rPr>
        <w:t xml:space="preserve"> znížiť. U nediabetických pacientov a u pacientov s diabetes </w:t>
      </w:r>
      <w:proofErr w:type="spellStart"/>
      <w:r w:rsidRPr="00543955">
        <w:rPr>
          <w:sz w:val="22"/>
          <w:szCs w:val="22"/>
        </w:rPr>
        <w:t>mellitus</w:t>
      </w:r>
      <w:proofErr w:type="spellEnd"/>
      <w:r w:rsidRPr="00543955">
        <w:rPr>
          <w:sz w:val="22"/>
          <w:szCs w:val="22"/>
        </w:rPr>
        <w:t xml:space="preserve"> typu II s čiastočne zachovanými rezervami inzulínu môže mať podanie </w:t>
      </w:r>
      <w:proofErr w:type="spellStart"/>
      <w:r w:rsidRPr="00543955">
        <w:rPr>
          <w:sz w:val="22"/>
          <w:szCs w:val="22"/>
        </w:rPr>
        <w:t>Sandostatinu</w:t>
      </w:r>
      <w:proofErr w:type="spellEnd"/>
      <w:r w:rsidRPr="00543955">
        <w:rPr>
          <w:sz w:val="22"/>
          <w:szCs w:val="22"/>
        </w:rPr>
        <w:t xml:space="preserve"> za následok </w:t>
      </w:r>
      <w:proofErr w:type="spellStart"/>
      <w:r w:rsidRPr="00543955">
        <w:rPr>
          <w:sz w:val="22"/>
          <w:szCs w:val="22"/>
        </w:rPr>
        <w:t>postprandiálne</w:t>
      </w:r>
      <w:proofErr w:type="spellEnd"/>
      <w:r w:rsidRPr="00543955">
        <w:rPr>
          <w:sz w:val="22"/>
          <w:szCs w:val="22"/>
        </w:rPr>
        <w:t xml:space="preserve"> zvýšenie glykémie. Preto sa odporúča sledovať glukózovú toleranciu a liečbu diabetu.</w:t>
      </w:r>
    </w:p>
    <w:p w14:paraId="5208120F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1AA9A324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rFonts w:eastAsia="MS Mincho"/>
          <w:bCs/>
          <w:sz w:val="22"/>
          <w:szCs w:val="22"/>
        </w:rPr>
      </w:pPr>
      <w:proofErr w:type="spellStart"/>
      <w:r w:rsidRPr="00543955">
        <w:rPr>
          <w:sz w:val="22"/>
          <w:szCs w:val="22"/>
          <w:u w:val="single"/>
        </w:rPr>
        <w:t>Gastroezofageálne</w:t>
      </w:r>
      <w:proofErr w:type="spellEnd"/>
      <w:r w:rsidRPr="00543955">
        <w:rPr>
          <w:sz w:val="22"/>
          <w:szCs w:val="22"/>
          <w:u w:val="single"/>
        </w:rPr>
        <w:t xml:space="preserve"> </w:t>
      </w:r>
      <w:proofErr w:type="spellStart"/>
      <w:r w:rsidRPr="00543955">
        <w:rPr>
          <w:sz w:val="22"/>
          <w:szCs w:val="22"/>
          <w:u w:val="single"/>
        </w:rPr>
        <w:t>varixy</w:t>
      </w:r>
      <w:proofErr w:type="spellEnd"/>
    </w:p>
    <w:p w14:paraId="78E45FCF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6C3C9031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Pretože sa po krvácaní z </w:t>
      </w:r>
      <w:proofErr w:type="spellStart"/>
      <w:r w:rsidRPr="00543955">
        <w:rPr>
          <w:sz w:val="22"/>
          <w:szCs w:val="22"/>
        </w:rPr>
        <w:t>gastroezofageálnych</w:t>
      </w:r>
      <w:proofErr w:type="spellEnd"/>
      <w:r w:rsidRPr="00543955">
        <w:rPr>
          <w:sz w:val="22"/>
          <w:szCs w:val="22"/>
        </w:rPr>
        <w:t xml:space="preserve"> </w:t>
      </w:r>
      <w:proofErr w:type="spellStart"/>
      <w:r w:rsidRPr="00543955">
        <w:rPr>
          <w:sz w:val="22"/>
          <w:szCs w:val="22"/>
        </w:rPr>
        <w:t>varixov</w:t>
      </w:r>
      <w:proofErr w:type="spellEnd"/>
      <w:r w:rsidRPr="00543955">
        <w:rPr>
          <w:sz w:val="22"/>
          <w:szCs w:val="22"/>
        </w:rPr>
        <w:t xml:space="preserve"> zvyšuje riziko vzniku </w:t>
      </w:r>
      <w:proofErr w:type="spellStart"/>
      <w:r w:rsidRPr="00543955">
        <w:rPr>
          <w:sz w:val="22"/>
          <w:szCs w:val="22"/>
        </w:rPr>
        <w:t>inzulín-dependentného</w:t>
      </w:r>
      <w:proofErr w:type="spellEnd"/>
      <w:r w:rsidRPr="00543955">
        <w:rPr>
          <w:sz w:val="22"/>
          <w:szCs w:val="22"/>
        </w:rPr>
        <w:t xml:space="preserve"> diabetu, alebo sa mení potreba inzulínu u pacientov, ktorí už majú diabetes, je potrebné primerane sledovať hladiny glukózy v krvi.</w:t>
      </w:r>
    </w:p>
    <w:p w14:paraId="6A749BB6" w14:textId="77777777"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16869553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Reakcie v mieste podania</w:t>
      </w:r>
    </w:p>
    <w:p w14:paraId="441B3C76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EB5441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V štúdii toxicity na potkanoch trvajúcej 52 týždňov sa len pri najvyšších dávkach (asi 8-násobku maximálnej dávky u človeka podľa plochy povrchu tela) pozorovali, prevažne u samcov, sarkómy v mieste podania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injekcií. Žiadne </w:t>
      </w:r>
      <w:proofErr w:type="spellStart"/>
      <w:r w:rsidRPr="00543955">
        <w:rPr>
          <w:szCs w:val="22"/>
          <w:lang w:val="sk-SK"/>
        </w:rPr>
        <w:t>hyperplastické</w:t>
      </w:r>
      <w:proofErr w:type="spellEnd"/>
      <w:r w:rsidRPr="00543955">
        <w:rPr>
          <w:szCs w:val="22"/>
          <w:lang w:val="sk-SK"/>
        </w:rPr>
        <w:t xml:space="preserve"> alebo </w:t>
      </w:r>
      <w:proofErr w:type="spellStart"/>
      <w:r w:rsidRPr="00543955">
        <w:rPr>
          <w:szCs w:val="22"/>
          <w:lang w:val="sk-SK"/>
        </w:rPr>
        <w:t>neoplastické</w:t>
      </w:r>
      <w:proofErr w:type="spellEnd"/>
      <w:r w:rsidRPr="00543955">
        <w:rPr>
          <w:szCs w:val="22"/>
          <w:lang w:val="sk-SK"/>
        </w:rPr>
        <w:t xml:space="preserve"> lézie sa nevyskytli v mieste podania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injekcií v štúdii toxicity na psoch trvajúcej 52 týždňov. U pacientov, ktorí sa liečili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až do 15 rokov nebol hlásený vznik nádorov v mieste podania. Všetky informácie dostupné v súčasnosti naznačujú, že nálezy u potkanov sú druhovo špecifické a nie sú významné pre používanie lieku u človeka (pozri časť 5.3).</w:t>
      </w:r>
    </w:p>
    <w:p w14:paraId="560C3633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D8834A5" w14:textId="77777777"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Výživa</w:t>
      </w:r>
    </w:p>
    <w:p w14:paraId="5D5869EB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E43D41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môže u niektorých pacientov ovplyvniť absorpciu tukov z potravy.</w:t>
      </w:r>
    </w:p>
    <w:p w14:paraId="060EBB23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2DDCFE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niektorých pacientov, </w:t>
      </w:r>
      <w:r w:rsidRPr="0031729A">
        <w:rPr>
          <w:szCs w:val="22"/>
          <w:lang w:val="sk-SK"/>
        </w:rPr>
        <w:t>liečených</w:t>
      </w:r>
      <w:r w:rsidRPr="00543955">
        <w:rPr>
          <w:color w:val="FF0000"/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oktreotidom</w:t>
      </w:r>
      <w:proofErr w:type="spellEnd"/>
      <w:r w:rsidRPr="00543955">
        <w:rPr>
          <w:szCs w:val="22"/>
          <w:lang w:val="sk-SK"/>
        </w:rPr>
        <w:t xml:space="preserve"> sa pozorovali znížené hladiny vitamínu B12 a abnormálne hodnoty </w:t>
      </w:r>
      <w:proofErr w:type="spellStart"/>
      <w:r w:rsidRPr="00543955">
        <w:rPr>
          <w:szCs w:val="22"/>
          <w:lang w:val="sk-SK"/>
        </w:rPr>
        <w:t>Schillingových</w:t>
      </w:r>
      <w:proofErr w:type="spellEnd"/>
      <w:r w:rsidRPr="00543955">
        <w:rPr>
          <w:szCs w:val="22"/>
          <w:lang w:val="sk-SK"/>
        </w:rPr>
        <w:t xml:space="preserve"> testov. U pacientov, ktorí majú v anamnéze nedostatok vitamínu B12, sa počas liečby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odporúča sledovať hladiny vitamínu B12.</w:t>
      </w:r>
    </w:p>
    <w:p w14:paraId="4083EDB7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435F9F" w14:textId="77777777" w:rsidR="00871AAF" w:rsidRDefault="00871AAF" w:rsidP="004106AC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EB7580">
        <w:rPr>
          <w:szCs w:val="22"/>
          <w:u w:val="single"/>
          <w:lang w:val="sk-SK"/>
        </w:rPr>
        <w:t>Obsah sodíka</w:t>
      </w:r>
    </w:p>
    <w:p w14:paraId="53B81DF1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6195D1" w14:textId="44D251AB" w:rsidR="00871AAF" w:rsidRPr="008B5A5F" w:rsidRDefault="00871AAF" w:rsidP="00566DBF">
      <w:pPr>
        <w:rPr>
          <w:lang w:val="sk-SK"/>
        </w:rPr>
      </w:pPr>
      <w:proofErr w:type="spellStart"/>
      <w:r w:rsidRPr="008B5A5F">
        <w:rPr>
          <w:lang w:val="sk-SK"/>
        </w:rPr>
        <w:t>Sandostatin</w:t>
      </w:r>
      <w:proofErr w:type="spellEnd"/>
      <w:r w:rsidRPr="008B5A5F">
        <w:rPr>
          <w:lang w:val="sk-SK"/>
        </w:rPr>
        <w:t xml:space="preserve"> obsahuje menej ako 1 </w:t>
      </w:r>
      <w:proofErr w:type="spellStart"/>
      <w:r w:rsidRPr="008B5A5F">
        <w:rPr>
          <w:lang w:val="sk-SK"/>
        </w:rPr>
        <w:t>mmol</w:t>
      </w:r>
      <w:proofErr w:type="spellEnd"/>
      <w:r w:rsidRPr="008B5A5F">
        <w:rPr>
          <w:lang w:val="sk-SK"/>
        </w:rPr>
        <w:t xml:space="preserve"> (23 mg) sodíka v</w:t>
      </w:r>
      <w:r w:rsidR="00DC044C">
        <w:rPr>
          <w:lang w:val="sk-SK"/>
        </w:rPr>
        <w:t xml:space="preserve"> ampulke</w:t>
      </w:r>
      <w:r w:rsidRPr="008B5A5F">
        <w:rPr>
          <w:lang w:val="sk-SK"/>
        </w:rPr>
        <w:t xml:space="preserve">, t.j. v podstate </w:t>
      </w:r>
      <w:r w:rsidRPr="008B5A5F">
        <w:rPr>
          <w:szCs w:val="22"/>
          <w:lang w:val="sk-SK"/>
        </w:rPr>
        <w:t>zanedbateľné množstvo sodíka.</w:t>
      </w:r>
    </w:p>
    <w:p w14:paraId="0FBD6904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727C1E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4.5</w:t>
      </w:r>
      <w:r w:rsidRPr="00543955">
        <w:rPr>
          <w:b/>
          <w:szCs w:val="22"/>
          <w:lang w:val="sk-SK"/>
        </w:rPr>
        <w:tab/>
        <w:t>Liekové a iné interakcie</w:t>
      </w:r>
    </w:p>
    <w:p w14:paraId="7310778B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C6F805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Keď sa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podáva súčasne s </w:t>
      </w:r>
      <w:proofErr w:type="spellStart"/>
      <w:r w:rsidRPr="00543955">
        <w:rPr>
          <w:szCs w:val="22"/>
          <w:lang w:val="sk-SK"/>
        </w:rPr>
        <w:t>betablokátormi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blokátormi</w:t>
      </w:r>
      <w:proofErr w:type="spellEnd"/>
      <w:r w:rsidRPr="00543955">
        <w:rPr>
          <w:szCs w:val="22"/>
          <w:lang w:val="sk-SK"/>
        </w:rPr>
        <w:t xml:space="preserve"> kalciového kanála, alebo látkami, ktoré regulujú rovnováhu tekutín a elektrolytov, môže byť potrebná úprava dávky týchto liekov (pozri časť 4.4).</w:t>
      </w:r>
    </w:p>
    <w:p w14:paraId="4125C0A4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05C31D6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Keď sa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podáva súčasne s inzulínom a </w:t>
      </w:r>
      <w:proofErr w:type="spellStart"/>
      <w:r w:rsidRPr="00543955">
        <w:rPr>
          <w:szCs w:val="22"/>
          <w:lang w:val="sk-SK"/>
        </w:rPr>
        <w:t>antidiabetikami</w:t>
      </w:r>
      <w:proofErr w:type="spellEnd"/>
      <w:r w:rsidRPr="00543955">
        <w:rPr>
          <w:szCs w:val="22"/>
          <w:lang w:val="sk-SK"/>
        </w:rPr>
        <w:t>, môže byť potrebná úprava dávky týchto liekov (pozri časť 4.4).</w:t>
      </w:r>
    </w:p>
    <w:p w14:paraId="4BF0CBEA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CB9C6F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Zistilo sa, že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znižuje črevnú absorpciu </w:t>
      </w:r>
      <w:proofErr w:type="spellStart"/>
      <w:r w:rsidRPr="00543955">
        <w:rPr>
          <w:szCs w:val="22"/>
          <w:lang w:val="sk-SK"/>
        </w:rPr>
        <w:t>cyklosporínu</w:t>
      </w:r>
      <w:proofErr w:type="spellEnd"/>
      <w:r w:rsidRPr="00543955">
        <w:rPr>
          <w:szCs w:val="22"/>
          <w:lang w:val="sk-SK"/>
        </w:rPr>
        <w:t xml:space="preserve"> a spomaľuje absorpciu </w:t>
      </w:r>
      <w:proofErr w:type="spellStart"/>
      <w:r w:rsidRPr="00543955">
        <w:rPr>
          <w:szCs w:val="22"/>
          <w:lang w:val="sk-SK"/>
        </w:rPr>
        <w:t>cimetidínu</w:t>
      </w:r>
      <w:proofErr w:type="spellEnd"/>
      <w:r w:rsidRPr="00543955">
        <w:rPr>
          <w:szCs w:val="22"/>
          <w:lang w:val="sk-SK"/>
        </w:rPr>
        <w:t>.</w:t>
      </w:r>
    </w:p>
    <w:p w14:paraId="713D32A7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CD12E6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Súčasné podanie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a </w:t>
      </w:r>
      <w:proofErr w:type="spellStart"/>
      <w:r w:rsidRPr="00543955">
        <w:rPr>
          <w:szCs w:val="22"/>
          <w:lang w:val="sk-SK"/>
        </w:rPr>
        <w:t>bromokriptínu</w:t>
      </w:r>
      <w:proofErr w:type="spellEnd"/>
      <w:r w:rsidRPr="00543955">
        <w:rPr>
          <w:szCs w:val="22"/>
          <w:lang w:val="sk-SK"/>
        </w:rPr>
        <w:t xml:space="preserve"> zvyšuje biologickú dostupnosť </w:t>
      </w:r>
      <w:proofErr w:type="spellStart"/>
      <w:r w:rsidRPr="00543955">
        <w:rPr>
          <w:szCs w:val="22"/>
          <w:lang w:val="sk-SK"/>
        </w:rPr>
        <w:t>bromokriptínu</w:t>
      </w:r>
      <w:proofErr w:type="spellEnd"/>
      <w:r w:rsidRPr="00543955">
        <w:rPr>
          <w:szCs w:val="22"/>
          <w:lang w:val="sk-SK"/>
        </w:rPr>
        <w:t>.</w:t>
      </w:r>
    </w:p>
    <w:p w14:paraId="7D5AE07C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62FA92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Malý počet publikovaných údajov naznačuje, že </w:t>
      </w:r>
      <w:proofErr w:type="spellStart"/>
      <w:r w:rsidRPr="00543955">
        <w:rPr>
          <w:szCs w:val="22"/>
          <w:lang w:val="sk-SK"/>
        </w:rPr>
        <w:t>analógy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somatostatínu</w:t>
      </w:r>
      <w:proofErr w:type="spellEnd"/>
      <w:r w:rsidRPr="00543955">
        <w:rPr>
          <w:szCs w:val="22"/>
          <w:lang w:val="sk-SK"/>
        </w:rPr>
        <w:t xml:space="preserve"> môžu znížiť metabolický </w:t>
      </w:r>
      <w:proofErr w:type="spellStart"/>
      <w:r w:rsidRPr="00543955">
        <w:rPr>
          <w:szCs w:val="22"/>
          <w:lang w:val="sk-SK"/>
        </w:rPr>
        <w:t>klírens</w:t>
      </w:r>
      <w:proofErr w:type="spellEnd"/>
      <w:r w:rsidRPr="00543955">
        <w:rPr>
          <w:szCs w:val="22"/>
          <w:lang w:val="sk-SK"/>
        </w:rPr>
        <w:t xml:space="preserve"> zlúčenín, o ktorých je známe, že sa metabolizujú enzýmami </w:t>
      </w:r>
      <w:proofErr w:type="spellStart"/>
      <w:r w:rsidRPr="00543955">
        <w:rPr>
          <w:szCs w:val="22"/>
          <w:lang w:val="sk-SK"/>
        </w:rPr>
        <w:t>cytochrómu</w:t>
      </w:r>
      <w:proofErr w:type="spellEnd"/>
      <w:r w:rsidRPr="00543955">
        <w:rPr>
          <w:szCs w:val="22"/>
          <w:lang w:val="sk-SK"/>
        </w:rPr>
        <w:t xml:space="preserve"> P450, čo môže byť dôsledkom tlmenia rastového hormónu. Pretože sa nedá vylúčiť, že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môže mať tento účinok, je potrebné postupovať opatrne pri použití iných liečiv, ktoré sú metabolizované hlavne CYP3A4 a ktoré majú malý terapeutický index (napr. </w:t>
      </w:r>
      <w:proofErr w:type="spellStart"/>
      <w:r w:rsidRPr="00543955">
        <w:rPr>
          <w:szCs w:val="22"/>
          <w:lang w:val="sk-SK"/>
        </w:rPr>
        <w:t>chinidín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terfenadín</w:t>
      </w:r>
      <w:proofErr w:type="spellEnd"/>
      <w:r w:rsidRPr="00543955">
        <w:rPr>
          <w:szCs w:val="22"/>
          <w:lang w:val="sk-SK"/>
        </w:rPr>
        <w:t>).</w:t>
      </w:r>
    </w:p>
    <w:p w14:paraId="4A3380E4" w14:textId="77777777" w:rsidR="002D7848" w:rsidRDefault="002D7848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2D1807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FFA38E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4.6</w:t>
      </w:r>
      <w:r w:rsidRPr="00543955">
        <w:rPr>
          <w:b/>
          <w:szCs w:val="22"/>
          <w:lang w:val="sk-SK"/>
        </w:rPr>
        <w:tab/>
      </w:r>
      <w:proofErr w:type="spellStart"/>
      <w:r w:rsidRPr="00543955">
        <w:rPr>
          <w:b/>
          <w:szCs w:val="22"/>
          <w:lang w:val="sk-SK"/>
        </w:rPr>
        <w:t>Fertilita</w:t>
      </w:r>
      <w:proofErr w:type="spellEnd"/>
      <w:r w:rsidRPr="00543955">
        <w:rPr>
          <w:b/>
          <w:szCs w:val="22"/>
          <w:lang w:val="sk-SK"/>
        </w:rPr>
        <w:t>, gravidita a laktácia</w:t>
      </w:r>
    </w:p>
    <w:p w14:paraId="72323E59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8ECC47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u w:val="single"/>
          <w:lang w:val="sk-SK"/>
        </w:rPr>
      </w:pPr>
      <w:r w:rsidRPr="00543955">
        <w:rPr>
          <w:szCs w:val="22"/>
          <w:u w:val="single"/>
          <w:lang w:val="sk-SK"/>
        </w:rPr>
        <w:t>Gravidita</w:t>
      </w:r>
    </w:p>
    <w:p w14:paraId="5D3F81A7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5DD6E8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K dispozícii je obmedzené množstvo údajov (menej ako 300 ukončených gravidít) o použití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u gravidných žien a približne v tretine prípadov nie sú známe výsledky gravidity. Väčšina hlásení bola prijatá po uvedení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na trh a viac ako 50 % gravidít vystavených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bolo u pacientok s </w:t>
      </w:r>
      <w:proofErr w:type="spellStart"/>
      <w:r w:rsidRPr="00543955">
        <w:rPr>
          <w:szCs w:val="22"/>
          <w:lang w:val="sk-SK"/>
        </w:rPr>
        <w:t>akromegáliou</w:t>
      </w:r>
      <w:proofErr w:type="spellEnd"/>
      <w:r w:rsidRPr="00543955">
        <w:rPr>
          <w:szCs w:val="22"/>
          <w:lang w:val="sk-SK"/>
        </w:rPr>
        <w:t xml:space="preserve">. Väčšina žien bola vystavená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počas prvého </w:t>
      </w:r>
      <w:proofErr w:type="spellStart"/>
      <w:r w:rsidRPr="00543955">
        <w:rPr>
          <w:szCs w:val="22"/>
          <w:lang w:val="sk-SK"/>
        </w:rPr>
        <w:t>trimestra</w:t>
      </w:r>
      <w:proofErr w:type="spellEnd"/>
      <w:r w:rsidRPr="00543955">
        <w:rPr>
          <w:szCs w:val="22"/>
          <w:lang w:val="sk-SK"/>
        </w:rPr>
        <w:t xml:space="preserve"> gravidity v dávkach v rozpätí 100-1200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denne alebo 10-40 mg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LAR mesačne. Vrodené anomálie sa zaznamenali v 4 % gravidít so známym výsledkom. V uvedených prípadoch nie je podozrenie na príčinnú súvislosť s </w:t>
      </w:r>
      <w:proofErr w:type="spellStart"/>
      <w:r w:rsidRPr="00543955">
        <w:rPr>
          <w:szCs w:val="22"/>
          <w:lang w:val="sk-SK"/>
        </w:rPr>
        <w:t>oktreotidom</w:t>
      </w:r>
      <w:proofErr w:type="spellEnd"/>
      <w:r w:rsidRPr="00543955">
        <w:rPr>
          <w:szCs w:val="22"/>
          <w:lang w:val="sk-SK"/>
        </w:rPr>
        <w:t>.</w:t>
      </w:r>
    </w:p>
    <w:p w14:paraId="730A6A0E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938AE0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>Štúdie na zvieratách nepreukázali priame alebo nepriame účinky z hľadiska reprodukčnej toxicity (pozri časť 5.3).</w:t>
      </w:r>
    </w:p>
    <w:p w14:paraId="4443B3E1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5885FE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Ako preventívne opatrenie sa odporúča vyhnúť sa používaniu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počas gravidity (pozri časť 4.4).</w:t>
      </w:r>
    </w:p>
    <w:p w14:paraId="03195784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3F0857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u w:val="single"/>
          <w:lang w:val="sk-SK"/>
        </w:rPr>
      </w:pPr>
      <w:r>
        <w:rPr>
          <w:szCs w:val="22"/>
          <w:u w:val="single"/>
          <w:lang w:val="sk-SK"/>
        </w:rPr>
        <w:t>Dojčenie</w:t>
      </w:r>
    </w:p>
    <w:p w14:paraId="532FE3F3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48B2DF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Nie je známe, či sa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vylučuje do ľudského materského mlieka. Štúdie na zvieratách preukázali vylučovanie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do materského mlieka. Pacientky počas liečby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nemajú dojčiť.</w:t>
      </w:r>
    </w:p>
    <w:p w14:paraId="53030DCC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351D75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napToGrid w:val="0"/>
          <w:szCs w:val="22"/>
          <w:highlight w:val="yellow"/>
          <w:u w:val="single"/>
          <w:lang w:val="sk-SK"/>
        </w:rPr>
      </w:pPr>
      <w:proofErr w:type="spellStart"/>
      <w:r w:rsidRPr="00543955">
        <w:rPr>
          <w:snapToGrid w:val="0"/>
          <w:szCs w:val="22"/>
          <w:u w:val="single"/>
          <w:lang w:val="sk-SK"/>
        </w:rPr>
        <w:t>Fertilita</w:t>
      </w:r>
      <w:proofErr w:type="spellEnd"/>
    </w:p>
    <w:p w14:paraId="0BB7DCE3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napToGrid w:val="0"/>
          <w:szCs w:val="22"/>
          <w:lang w:val="sk-SK"/>
        </w:rPr>
      </w:pPr>
    </w:p>
    <w:p w14:paraId="27A1999A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Nie je známe, či má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vplyv na </w:t>
      </w:r>
      <w:proofErr w:type="spellStart"/>
      <w:r w:rsidRPr="00543955">
        <w:rPr>
          <w:szCs w:val="22"/>
          <w:lang w:val="sk-SK"/>
        </w:rPr>
        <w:t>fertilitu</w:t>
      </w:r>
      <w:proofErr w:type="spellEnd"/>
      <w:r w:rsidRPr="00543955">
        <w:rPr>
          <w:szCs w:val="22"/>
          <w:lang w:val="sk-SK"/>
        </w:rPr>
        <w:t xml:space="preserve"> u ľudí. U samčích mláďat, ktorých matkám bol počas tehotenstva a laktácie podávaný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, sa pozoroval oneskorený zostup semenníkov. U potkaních samcov a samíc však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nepoškodil </w:t>
      </w:r>
      <w:proofErr w:type="spellStart"/>
      <w:r w:rsidRPr="00543955">
        <w:rPr>
          <w:szCs w:val="22"/>
          <w:lang w:val="sk-SK"/>
        </w:rPr>
        <w:t>fertilitu</w:t>
      </w:r>
      <w:proofErr w:type="spellEnd"/>
      <w:r w:rsidRPr="00543955">
        <w:rPr>
          <w:szCs w:val="22"/>
          <w:lang w:val="sk-SK"/>
        </w:rPr>
        <w:t xml:space="preserve"> v dávkach do 1 mg/kg telesnej hmotnosti denne (pozri časť 5.3).</w:t>
      </w:r>
    </w:p>
    <w:p w14:paraId="7D8E7811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A11D2F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4.7</w:t>
      </w:r>
      <w:r w:rsidRPr="00543955">
        <w:rPr>
          <w:b/>
          <w:szCs w:val="22"/>
          <w:lang w:val="sk-SK"/>
        </w:rPr>
        <w:tab/>
        <w:t>Ovplyvnenie schopnosti viesť vozidlá a obsluhovať stroje</w:t>
      </w:r>
    </w:p>
    <w:p w14:paraId="08E97B67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2FE468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nemá žiadny alebo má zanedbateľný vplyv na schopnosť viesť vozidlá a obsluhovať stroje. Pacientov je potrebné upozorniť, aby boli pri vedení vozidiel a obsluhovaní strojov opatrní, ak budú počas liečby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pociťovať závrat, asténiu/únavu alebo bolesť hlavy.</w:t>
      </w:r>
    </w:p>
    <w:p w14:paraId="485A0FEB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2195AC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4.8</w:t>
      </w:r>
      <w:r w:rsidRPr="00543955">
        <w:rPr>
          <w:b/>
          <w:szCs w:val="22"/>
          <w:lang w:val="sk-SK"/>
        </w:rPr>
        <w:tab/>
        <w:t>Nežiaduce účinky</w:t>
      </w:r>
    </w:p>
    <w:p w14:paraId="1D77AD8B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4980F8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>Zhrnutie profilu bezpečnosti</w:t>
      </w:r>
    </w:p>
    <w:p w14:paraId="05E56AE9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4324B1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Najčastejšie nežiaduce reakcie hlásené počas liečby </w:t>
      </w:r>
      <w:proofErr w:type="spellStart"/>
      <w:r w:rsidRPr="00543955">
        <w:rPr>
          <w:szCs w:val="22"/>
          <w:lang w:val="sk-SK"/>
        </w:rPr>
        <w:t>oktreotidom</w:t>
      </w:r>
      <w:proofErr w:type="spellEnd"/>
      <w:r w:rsidRPr="00543955">
        <w:rPr>
          <w:szCs w:val="22"/>
          <w:lang w:val="sk-SK"/>
        </w:rPr>
        <w:t xml:space="preserve"> zahŕňajú </w:t>
      </w:r>
      <w:proofErr w:type="spellStart"/>
      <w:r w:rsidRPr="00543955">
        <w:rPr>
          <w:szCs w:val="22"/>
          <w:lang w:val="sk-SK"/>
        </w:rPr>
        <w:t>gastrointestinálne</w:t>
      </w:r>
      <w:proofErr w:type="spellEnd"/>
      <w:r w:rsidRPr="00543955">
        <w:rPr>
          <w:szCs w:val="22"/>
          <w:lang w:val="sk-SK"/>
        </w:rPr>
        <w:t xml:space="preserve"> poruchy, poruchy nervového systému, pečene a žlčových ciest a poruchy metabolizmu a výživy.</w:t>
      </w:r>
    </w:p>
    <w:p w14:paraId="23E36F0C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27E38B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Najčastejšie hlásené nežiaduce reakcie v klinických skúšaniach, v ktorých sa podával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, boli hnačka, bolesť brucha, </w:t>
      </w:r>
      <w:proofErr w:type="spellStart"/>
      <w:r w:rsidRPr="00543955">
        <w:rPr>
          <w:szCs w:val="22"/>
          <w:lang w:val="sk-SK"/>
        </w:rPr>
        <w:t>nauzea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flatulencia</w:t>
      </w:r>
      <w:proofErr w:type="spellEnd"/>
      <w:r w:rsidRPr="00543955">
        <w:rPr>
          <w:szCs w:val="22"/>
          <w:lang w:val="sk-SK"/>
        </w:rPr>
        <w:t xml:space="preserve">, bolesť hlavy, vznik žlčových kameňov, hyperglykémia a zápcha. Ďalšie často hlásené nežiaduce reakcie boli závraty, lokalizovaná bolesť, žlčové blato, porucha funkcie štítnej žľazy (napr. pokles hladiny hormónu stimulujúceho štítnu žľazu [TSH], pokles celkového T4 a pokles voľného T4), riedka stolica, zhoršená glukózová tolerancia, vracanie, asténia a </w:t>
      </w:r>
      <w:proofErr w:type="spellStart"/>
      <w:r w:rsidRPr="00543955">
        <w:rPr>
          <w:szCs w:val="22"/>
          <w:lang w:val="sk-SK"/>
        </w:rPr>
        <w:t>hypoglykémia</w:t>
      </w:r>
      <w:proofErr w:type="spellEnd"/>
      <w:r w:rsidRPr="00543955">
        <w:rPr>
          <w:szCs w:val="22"/>
          <w:lang w:val="sk-SK"/>
        </w:rPr>
        <w:t>.</w:t>
      </w:r>
    </w:p>
    <w:p w14:paraId="00513094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C15284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>Tabuľkový prehľad nežiaducich reakcií</w:t>
      </w:r>
    </w:p>
    <w:p w14:paraId="24876700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873314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Nasledujúce nežiaduce reakcie na liek, zhrnuté v Tabuľke 1, sa zozbierali z klinických štúdií s </w:t>
      </w:r>
      <w:proofErr w:type="spellStart"/>
      <w:r w:rsidRPr="00543955">
        <w:rPr>
          <w:szCs w:val="22"/>
          <w:lang w:val="sk-SK"/>
        </w:rPr>
        <w:t>oktreotidom</w:t>
      </w:r>
      <w:proofErr w:type="spellEnd"/>
      <w:r w:rsidRPr="00543955">
        <w:rPr>
          <w:szCs w:val="22"/>
          <w:lang w:val="sk-SK"/>
        </w:rPr>
        <w:t>:</w:t>
      </w:r>
    </w:p>
    <w:p w14:paraId="52BF7C6D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>Nežiaduce reakcie na liek (Tabuľka 1) sú zoradené podľa frekvencie, najčastejšie sa vyskytujúce ako prvé, podľa nasledujúcej konvencie: veľmi časté (≥1/10); časté (≥1/100 až &lt;1/10); menej časté (≥1/1  000 až &lt;1/100); zriedkavé (≥1/10  000 až &lt;1/1  000) veľmi zriedkavé (&lt;1/10  000), vrátane ojedinelých hlásení. V rámci každej skupiny frekvencie sú nežiaduce reakcie zoradené v poradí klesajúcej závažnosti.</w:t>
      </w:r>
    </w:p>
    <w:p w14:paraId="17154CAC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2B2B9E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b/>
          <w:szCs w:val="22"/>
          <w:lang w:val="sk-SK"/>
        </w:rPr>
        <w:t>Tabuľka 1</w:t>
      </w:r>
      <w:r w:rsidRPr="00543955">
        <w:rPr>
          <w:b/>
          <w:szCs w:val="22"/>
          <w:lang w:val="sk-SK"/>
        </w:rPr>
        <w:tab/>
        <w:t>Nežiaduce reakcie na liek hlásené v klinických štúdiách</w:t>
      </w:r>
    </w:p>
    <w:p w14:paraId="3E350AAA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233"/>
        <w:gridCol w:w="6389"/>
      </w:tblGrid>
      <w:tr w:rsidR="00871AAF" w:rsidRPr="00543955" w14:paraId="1E156402" w14:textId="77777777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6F36D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 xml:space="preserve">Poruchy </w:t>
            </w:r>
            <w:proofErr w:type="spellStart"/>
            <w:r w:rsidRPr="00543955">
              <w:rPr>
                <w:b/>
                <w:szCs w:val="22"/>
                <w:lang w:val="sk-SK"/>
              </w:rPr>
              <w:t>gastrointestinálneho</w:t>
            </w:r>
            <w:proofErr w:type="spellEnd"/>
            <w:r w:rsidRPr="00543955">
              <w:rPr>
                <w:b/>
                <w:szCs w:val="22"/>
                <w:lang w:val="sk-SK"/>
              </w:rPr>
              <w:t xml:space="preserve"> traktu</w:t>
            </w:r>
          </w:p>
        </w:tc>
      </w:tr>
      <w:tr w:rsidR="00871AAF" w:rsidRPr="00631DCE" w14:paraId="641AF9E8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</w:tcBorders>
          </w:tcPr>
          <w:p w14:paraId="35AA582D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  <w:tcBorders>
              <w:top w:val="nil"/>
              <w:right w:val="single" w:sz="4" w:space="0" w:color="auto"/>
            </w:tcBorders>
          </w:tcPr>
          <w:p w14:paraId="630579B5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 xml:space="preserve">Hnačka, bolesť brucha, </w:t>
            </w:r>
            <w:proofErr w:type="spellStart"/>
            <w:r w:rsidRPr="00543955">
              <w:rPr>
                <w:szCs w:val="22"/>
                <w:lang w:val="sk-SK"/>
              </w:rPr>
              <w:t>nauzea</w:t>
            </w:r>
            <w:proofErr w:type="spellEnd"/>
            <w:r w:rsidRPr="00543955">
              <w:rPr>
                <w:szCs w:val="22"/>
                <w:lang w:val="sk-SK"/>
              </w:rPr>
              <w:t xml:space="preserve">, zápcha, </w:t>
            </w:r>
            <w:proofErr w:type="spellStart"/>
            <w:r w:rsidRPr="00543955">
              <w:rPr>
                <w:szCs w:val="22"/>
                <w:lang w:val="sk-SK"/>
              </w:rPr>
              <w:t>flatulencia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631DCE" w14:paraId="0E65F331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</w:tcBorders>
          </w:tcPr>
          <w:p w14:paraId="79F21B5C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right w:val="single" w:sz="4" w:space="0" w:color="auto"/>
            </w:tcBorders>
          </w:tcPr>
          <w:p w14:paraId="58108FB5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Dyspepsia</w:t>
            </w:r>
            <w:proofErr w:type="spellEnd"/>
            <w:r w:rsidRPr="00543955">
              <w:rPr>
                <w:szCs w:val="22"/>
                <w:lang w:val="sk-SK"/>
              </w:rPr>
              <w:t xml:space="preserve">, vracanie, nadúvanie, </w:t>
            </w:r>
            <w:proofErr w:type="spellStart"/>
            <w:r w:rsidRPr="00543955">
              <w:rPr>
                <w:szCs w:val="22"/>
                <w:lang w:val="sk-SK"/>
              </w:rPr>
              <w:t>steatorea</w:t>
            </w:r>
            <w:proofErr w:type="spellEnd"/>
            <w:r w:rsidRPr="00543955">
              <w:rPr>
                <w:szCs w:val="22"/>
                <w:lang w:val="sk-SK"/>
              </w:rPr>
              <w:t>, riedka stolica, zmena farby stolice.</w:t>
            </w:r>
          </w:p>
        </w:tc>
      </w:tr>
      <w:tr w:rsidR="00871AAF" w:rsidRPr="00543955" w14:paraId="4923EE99" w14:textId="77777777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F4982" w14:textId="77777777"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nervového systému</w:t>
            </w:r>
          </w:p>
        </w:tc>
      </w:tr>
      <w:tr w:rsidR="00871AAF" w:rsidRPr="00543955" w14:paraId="44350762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nil"/>
            </w:tcBorders>
          </w:tcPr>
          <w:p w14:paraId="02852C7E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  <w:tcBorders>
              <w:top w:val="nil"/>
              <w:bottom w:val="nil"/>
              <w:right w:val="single" w:sz="4" w:space="0" w:color="auto"/>
            </w:tcBorders>
          </w:tcPr>
          <w:p w14:paraId="4A088722" w14:textId="77777777"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Bolesť hlavy.</w:t>
            </w:r>
          </w:p>
        </w:tc>
      </w:tr>
      <w:tr w:rsidR="00871AAF" w:rsidRPr="00543955" w14:paraId="0B630D92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6917E3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C63EC5" w14:textId="77777777"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Závraty.</w:t>
            </w:r>
          </w:p>
        </w:tc>
      </w:tr>
      <w:tr w:rsidR="00871AAF" w:rsidRPr="00543955" w14:paraId="5DE108CB" w14:textId="77777777" w:rsidTr="00286A58">
        <w:trPr>
          <w:cantSplit/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C5335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endokrinného systému</w:t>
            </w:r>
          </w:p>
        </w:tc>
      </w:tr>
      <w:tr w:rsidR="00871AAF" w:rsidRPr="00631DCE" w14:paraId="565C774A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1B4D5B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736E55" w14:textId="77777777" w:rsidR="00871AAF" w:rsidRPr="00543955" w:rsidRDefault="00871AAF" w:rsidP="00E168F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Hypotyreoidizmus</w:t>
            </w:r>
            <w:proofErr w:type="spellEnd"/>
            <w:r w:rsidRPr="00543955">
              <w:rPr>
                <w:szCs w:val="22"/>
                <w:lang w:val="sk-SK"/>
              </w:rPr>
              <w:t>, porucha štítnej žľazy (napr. pokles TSH, pokles celkového T4 a pokles voľného T4).</w:t>
            </w:r>
          </w:p>
        </w:tc>
      </w:tr>
      <w:tr w:rsidR="00871AAF" w:rsidRPr="00543955" w14:paraId="5B00949D" w14:textId="77777777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92581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pečene a žlčových ciest</w:t>
            </w:r>
          </w:p>
        </w:tc>
      </w:tr>
      <w:tr w:rsidR="00871AAF" w:rsidRPr="00543955" w14:paraId="43329C1B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</w:tcBorders>
          </w:tcPr>
          <w:p w14:paraId="40522134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  <w:tcBorders>
              <w:top w:val="nil"/>
              <w:right w:val="single" w:sz="4" w:space="0" w:color="auto"/>
            </w:tcBorders>
          </w:tcPr>
          <w:p w14:paraId="29D09D63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Žlčové kamene.</w:t>
            </w:r>
          </w:p>
        </w:tc>
      </w:tr>
      <w:tr w:rsidR="00871AAF" w:rsidRPr="00543955" w14:paraId="5129C9F7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</w:tcBorders>
          </w:tcPr>
          <w:p w14:paraId="079B9A0B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right w:val="single" w:sz="4" w:space="0" w:color="auto"/>
            </w:tcBorders>
          </w:tcPr>
          <w:p w14:paraId="7771507D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Cholecystitída</w:t>
            </w:r>
            <w:proofErr w:type="spellEnd"/>
            <w:r w:rsidRPr="00543955">
              <w:rPr>
                <w:szCs w:val="22"/>
                <w:lang w:val="sk-SK"/>
              </w:rPr>
              <w:t xml:space="preserve">, žlčové blato, </w:t>
            </w:r>
            <w:proofErr w:type="spellStart"/>
            <w:r w:rsidRPr="00543955">
              <w:rPr>
                <w:szCs w:val="22"/>
                <w:lang w:val="sk-SK"/>
              </w:rPr>
              <w:t>hyperbilirubinémia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543955" w14:paraId="6C111A6B" w14:textId="77777777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5DAA0" w14:textId="77777777"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metabolizmu a výživy</w:t>
            </w:r>
          </w:p>
        </w:tc>
      </w:tr>
      <w:tr w:rsidR="00871AAF" w:rsidRPr="00543955" w14:paraId="4224B8A7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nil"/>
            </w:tcBorders>
          </w:tcPr>
          <w:p w14:paraId="672F6318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  <w:tcBorders>
              <w:top w:val="nil"/>
              <w:bottom w:val="nil"/>
              <w:right w:val="single" w:sz="4" w:space="0" w:color="auto"/>
            </w:tcBorders>
          </w:tcPr>
          <w:p w14:paraId="1FF98309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Hyperglykémia.</w:t>
            </w:r>
          </w:p>
        </w:tc>
      </w:tr>
      <w:tr w:rsidR="00871AAF" w:rsidRPr="00631DCE" w14:paraId="436A0EE7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nil"/>
            </w:tcBorders>
          </w:tcPr>
          <w:p w14:paraId="15CCA3FB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nil"/>
              <w:right w:val="single" w:sz="4" w:space="0" w:color="auto"/>
            </w:tcBorders>
          </w:tcPr>
          <w:p w14:paraId="66BB8855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Hypoglykémia</w:t>
            </w:r>
            <w:proofErr w:type="spellEnd"/>
            <w:r w:rsidRPr="00543955">
              <w:rPr>
                <w:szCs w:val="22"/>
                <w:lang w:val="sk-SK"/>
              </w:rPr>
              <w:t xml:space="preserve">, zhoršená glukózová tolerancia, </w:t>
            </w:r>
            <w:proofErr w:type="spellStart"/>
            <w:r w:rsidRPr="00543955">
              <w:rPr>
                <w:szCs w:val="22"/>
                <w:lang w:val="sk-SK"/>
              </w:rPr>
              <w:t>anorexia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543955" w14:paraId="504AA0FE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CA8E95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Menej 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CCBBBA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Dehydratácia.</w:t>
            </w:r>
          </w:p>
        </w:tc>
      </w:tr>
      <w:tr w:rsidR="00871AAF" w:rsidRPr="00543955" w14:paraId="0CE45925" w14:textId="77777777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F029E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Celkové poruchy a reakcie v mieste podania</w:t>
            </w:r>
          </w:p>
        </w:tc>
      </w:tr>
      <w:tr w:rsidR="00871AAF" w:rsidRPr="00543955" w14:paraId="26F91A7A" w14:textId="77777777" w:rsidTr="00286A58">
        <w:trPr>
          <w:cantSplit/>
          <w:trHeight w:val="292"/>
        </w:trPr>
        <w:tc>
          <w:tcPr>
            <w:tcW w:w="16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C8994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6C1E4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Reakcie v mieste podania injekcie.</w:t>
            </w:r>
          </w:p>
        </w:tc>
      </w:tr>
      <w:tr w:rsidR="00871AAF" w:rsidRPr="00543955" w14:paraId="42AB6879" w14:textId="77777777" w:rsidTr="00286A58">
        <w:trPr>
          <w:cantSplit/>
          <w:trHeight w:val="268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797B35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7885A1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Asténia.</w:t>
            </w:r>
          </w:p>
        </w:tc>
      </w:tr>
      <w:tr w:rsidR="00871AAF" w:rsidRPr="00543955" w14:paraId="0D9A9D4C" w14:textId="77777777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D3D4E1" w14:textId="77777777"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Laboratórne a funkčné vyšetrenia</w:t>
            </w:r>
          </w:p>
        </w:tc>
      </w:tr>
      <w:tr w:rsidR="00871AAF" w:rsidRPr="00543955" w14:paraId="6BBE0C60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91331D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62DCD2" w14:textId="77777777"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 xml:space="preserve">Zvýšené hladiny </w:t>
            </w:r>
            <w:proofErr w:type="spellStart"/>
            <w:r w:rsidRPr="00543955">
              <w:rPr>
                <w:szCs w:val="22"/>
                <w:lang w:val="sk-SK"/>
              </w:rPr>
              <w:t>aminotransferáz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543955" w14:paraId="5B0E18C5" w14:textId="77777777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D9F88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kože a podkožného tkaniva</w:t>
            </w:r>
          </w:p>
        </w:tc>
      </w:tr>
      <w:tr w:rsidR="00871AAF" w:rsidRPr="00543955" w14:paraId="0BCEBC81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D91ADA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E7FC82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Pruritus</w:t>
            </w:r>
            <w:proofErr w:type="spellEnd"/>
            <w:r w:rsidRPr="00543955">
              <w:rPr>
                <w:szCs w:val="22"/>
                <w:lang w:val="sk-SK"/>
              </w:rPr>
              <w:t xml:space="preserve">, vyrážky, </w:t>
            </w:r>
            <w:proofErr w:type="spellStart"/>
            <w:r w:rsidRPr="00543955">
              <w:rPr>
                <w:szCs w:val="22"/>
                <w:lang w:val="sk-SK"/>
              </w:rPr>
              <w:t>alopécia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543955" w14:paraId="61E1F593" w14:textId="77777777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2259F6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543955">
              <w:rPr>
                <w:b/>
                <w:szCs w:val="22"/>
                <w:lang w:val="sk-SK"/>
              </w:rPr>
              <w:t>mediastína</w:t>
            </w:r>
            <w:proofErr w:type="spellEnd"/>
          </w:p>
        </w:tc>
      </w:tr>
      <w:tr w:rsidR="00871AAF" w:rsidRPr="00543955" w14:paraId="00C94367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9705FC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CD5882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Dyspnoe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543955" w14:paraId="54FB4053" w14:textId="77777777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B8788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Poruchy srdca a srdcovej činnosti</w:t>
            </w:r>
          </w:p>
        </w:tc>
      </w:tr>
      <w:tr w:rsidR="00871AAF" w:rsidRPr="00543955" w14:paraId="0B6C5C16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nil"/>
            </w:tcBorders>
          </w:tcPr>
          <w:p w14:paraId="45DFA63D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nil"/>
              <w:right w:val="single" w:sz="4" w:space="0" w:color="auto"/>
            </w:tcBorders>
          </w:tcPr>
          <w:p w14:paraId="2FF95631" w14:textId="77777777"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Bradykardia.</w:t>
            </w:r>
          </w:p>
        </w:tc>
      </w:tr>
      <w:tr w:rsidR="00871AAF" w:rsidRPr="00543955" w14:paraId="1DE1C4E2" w14:textId="77777777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157A01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Menej 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F6532D" w14:textId="77777777"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Tachykardia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</w:tbl>
    <w:p w14:paraId="794ADC5A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</w:p>
    <w:p w14:paraId="47F4691F" w14:textId="77777777" w:rsidR="00871AAF" w:rsidRPr="00543955" w:rsidRDefault="00871AAF" w:rsidP="007E1DD6">
      <w:pPr>
        <w:keepNext/>
        <w:keepLines/>
        <w:widowControl w:val="0"/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>Po uvedení na trh</w:t>
      </w:r>
    </w:p>
    <w:p w14:paraId="0671B0FE" w14:textId="77777777" w:rsidR="00871AAF" w:rsidRPr="00543955" w:rsidRDefault="00871AAF" w:rsidP="007E1DD6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>Spontánne hlásené nežiaduce reakcie uvedené v Tabuľke 2 sú hlásené dobrovoľne a nie je pri nich vždy možné spoľahlivo stanoviť frekvenciu alebo príčinnú súvislosť s expozíciou lieku.</w:t>
      </w:r>
    </w:p>
    <w:p w14:paraId="529FB4DF" w14:textId="77777777" w:rsidR="00871AAF" w:rsidRPr="00543955" w:rsidRDefault="00871AAF" w:rsidP="007E1DD6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EABC7B" w14:textId="77777777" w:rsidR="00871AAF" w:rsidRPr="00543955" w:rsidRDefault="00871AAF" w:rsidP="007E1DD6">
      <w:pPr>
        <w:keepNext/>
        <w:keepLines/>
        <w:widowControl w:val="0"/>
        <w:tabs>
          <w:tab w:val="clear" w:pos="567"/>
        </w:tabs>
        <w:spacing w:line="240" w:lineRule="auto"/>
        <w:outlineLvl w:val="5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Tabuľka 2</w:t>
      </w:r>
      <w:r w:rsidRPr="00543955">
        <w:rPr>
          <w:b/>
          <w:szCs w:val="22"/>
          <w:lang w:val="sk-SK"/>
        </w:rPr>
        <w:tab/>
        <w:t>Nežiaduce reakcie na liek pochádzajúce zo spontánnych hlásení</w:t>
      </w:r>
    </w:p>
    <w:p w14:paraId="6F4DA2FB" w14:textId="77777777" w:rsidR="00871AAF" w:rsidRPr="00543955" w:rsidRDefault="00871AAF" w:rsidP="007E1DD6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622"/>
      </w:tblGrid>
      <w:tr w:rsidR="00E168F5" w:rsidRPr="00631DCE" w14:paraId="1174ED10" w14:textId="77777777" w:rsidTr="00286A5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27165" w14:textId="77777777"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9E5DBC">
              <w:rPr>
                <w:b/>
                <w:bCs/>
                <w:lang w:val="sk-SK"/>
              </w:rPr>
              <w:t>Poruchy krvi a lymfatického systému</w:t>
            </w:r>
          </w:p>
        </w:tc>
      </w:tr>
      <w:tr w:rsidR="00E168F5" w:rsidRPr="00543955" w14:paraId="06B54235" w14:textId="77777777" w:rsidTr="0061089B">
        <w:trPr>
          <w:cantSplit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2939" w14:textId="77777777"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Trombocytopénia</w:t>
            </w:r>
            <w:proofErr w:type="spellEnd"/>
          </w:p>
        </w:tc>
      </w:tr>
      <w:tr w:rsidR="00E168F5" w:rsidRPr="00543955" w14:paraId="55F71E82" w14:textId="77777777" w:rsidTr="0061089B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99E34" w14:textId="77777777"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imunitného systému</w:t>
            </w:r>
          </w:p>
        </w:tc>
      </w:tr>
      <w:tr w:rsidR="00E168F5" w:rsidRPr="00543955" w14:paraId="18DD1BB5" w14:textId="77777777" w:rsidTr="00286A58">
        <w:trPr>
          <w:cantSplit/>
          <w:trHeight w:val="227"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5A578B" w14:textId="77777777" w:rsidR="00E168F5" w:rsidRPr="00543955" w:rsidRDefault="00E168F5" w:rsidP="00286A58">
            <w:pPr>
              <w:keepNext/>
              <w:keepLines/>
              <w:widowControl w:val="0"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Anafylaxia</w:t>
            </w:r>
            <w:proofErr w:type="spellEnd"/>
            <w:r w:rsidRPr="00543955">
              <w:rPr>
                <w:szCs w:val="22"/>
                <w:lang w:val="sk-SK"/>
              </w:rPr>
              <w:t>, alergické reakcie/reakcie z precitlivenosti.</w:t>
            </w:r>
          </w:p>
        </w:tc>
      </w:tr>
      <w:tr w:rsidR="00E168F5" w:rsidRPr="00543955" w14:paraId="4A5FB7FC" w14:textId="77777777" w:rsidTr="00286A5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CA8AC" w14:textId="77777777"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kože a podkožného tkaniva</w:t>
            </w:r>
          </w:p>
        </w:tc>
      </w:tr>
      <w:tr w:rsidR="00E168F5" w:rsidRPr="00543955" w14:paraId="169E7031" w14:textId="77777777" w:rsidTr="00286A58">
        <w:trPr>
          <w:cantSplit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20ECB" w14:textId="77777777"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Urtikária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E168F5" w:rsidRPr="00543955" w14:paraId="3A55F395" w14:textId="77777777" w:rsidTr="00286A58">
        <w:trPr>
          <w:cantSplit/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42D799" w14:textId="77777777"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pečene a žlčových ciest</w:t>
            </w:r>
          </w:p>
        </w:tc>
      </w:tr>
      <w:tr w:rsidR="00E168F5" w:rsidRPr="00543955" w14:paraId="3AFDC8A2" w14:textId="77777777" w:rsidTr="00286A58">
        <w:trPr>
          <w:cantSplit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5D4B" w14:textId="77777777"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 xml:space="preserve">Akútna </w:t>
            </w:r>
            <w:proofErr w:type="spellStart"/>
            <w:r w:rsidRPr="00543955">
              <w:rPr>
                <w:szCs w:val="22"/>
                <w:lang w:val="sk-SK"/>
              </w:rPr>
              <w:t>pankreatitída</w:t>
            </w:r>
            <w:proofErr w:type="spellEnd"/>
            <w:r w:rsidRPr="00543955">
              <w:rPr>
                <w:szCs w:val="22"/>
                <w:lang w:val="sk-SK"/>
              </w:rPr>
              <w:t xml:space="preserve">, akútna hepatitída bez </w:t>
            </w:r>
            <w:proofErr w:type="spellStart"/>
            <w:r w:rsidRPr="00543955">
              <w:rPr>
                <w:szCs w:val="22"/>
                <w:lang w:val="sk-SK"/>
              </w:rPr>
              <w:t>cholestázy</w:t>
            </w:r>
            <w:proofErr w:type="spellEnd"/>
            <w:r w:rsidRPr="00543955">
              <w:rPr>
                <w:szCs w:val="22"/>
                <w:lang w:val="sk-SK"/>
              </w:rPr>
              <w:t xml:space="preserve">, </w:t>
            </w:r>
            <w:proofErr w:type="spellStart"/>
            <w:r w:rsidRPr="00543955">
              <w:rPr>
                <w:szCs w:val="22"/>
                <w:lang w:val="sk-SK"/>
              </w:rPr>
              <w:t>cholestatická</w:t>
            </w:r>
            <w:proofErr w:type="spellEnd"/>
            <w:r w:rsidRPr="00543955">
              <w:rPr>
                <w:szCs w:val="22"/>
                <w:lang w:val="sk-SK"/>
              </w:rPr>
              <w:t xml:space="preserve"> hepatitída, </w:t>
            </w:r>
            <w:proofErr w:type="spellStart"/>
            <w:r w:rsidRPr="00543955">
              <w:rPr>
                <w:szCs w:val="22"/>
                <w:lang w:val="sk-SK"/>
              </w:rPr>
              <w:t>cholestáza</w:t>
            </w:r>
            <w:proofErr w:type="spellEnd"/>
            <w:r w:rsidRPr="00543955">
              <w:rPr>
                <w:szCs w:val="22"/>
                <w:lang w:val="sk-SK"/>
              </w:rPr>
              <w:t xml:space="preserve">, žltačka, </w:t>
            </w:r>
            <w:proofErr w:type="spellStart"/>
            <w:r w:rsidRPr="00543955">
              <w:rPr>
                <w:szCs w:val="22"/>
                <w:lang w:val="sk-SK"/>
              </w:rPr>
              <w:t>cholestatická</w:t>
            </w:r>
            <w:proofErr w:type="spellEnd"/>
            <w:r w:rsidRPr="00543955">
              <w:rPr>
                <w:szCs w:val="22"/>
                <w:lang w:val="sk-SK"/>
              </w:rPr>
              <w:t xml:space="preserve"> žltačka.</w:t>
            </w:r>
          </w:p>
        </w:tc>
      </w:tr>
      <w:tr w:rsidR="00E168F5" w:rsidRPr="00543955" w14:paraId="5FEC445E" w14:textId="77777777" w:rsidTr="00286A5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6C625" w14:textId="77777777"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srdca a srdcovej činnosti</w:t>
            </w:r>
          </w:p>
        </w:tc>
      </w:tr>
      <w:tr w:rsidR="00E168F5" w:rsidRPr="00543955" w14:paraId="71D9C829" w14:textId="77777777" w:rsidTr="00286A58">
        <w:trPr>
          <w:cantSplit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07BC91" w14:textId="77777777"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Arytmie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E168F5" w:rsidRPr="00543955" w14:paraId="2BBEDA20" w14:textId="77777777" w:rsidTr="00286A5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0C3A8" w14:textId="77777777"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Laboratórne a funkčné vyšetrenia</w:t>
            </w:r>
          </w:p>
        </w:tc>
      </w:tr>
      <w:tr w:rsidR="00E168F5" w:rsidRPr="00543955" w14:paraId="731EB56D" w14:textId="77777777" w:rsidTr="00286A58">
        <w:trPr>
          <w:cantSplit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C26" w14:textId="77777777" w:rsidR="00E168F5" w:rsidRPr="00543955" w:rsidRDefault="00E168F5" w:rsidP="00286A58">
            <w:pPr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 xml:space="preserve">Zvýšené hladiny alkalickej </w:t>
            </w:r>
            <w:proofErr w:type="spellStart"/>
            <w:r w:rsidRPr="00543955">
              <w:rPr>
                <w:szCs w:val="22"/>
                <w:lang w:val="sk-SK"/>
              </w:rPr>
              <w:t>fosfatázy</w:t>
            </w:r>
            <w:proofErr w:type="spellEnd"/>
            <w:r w:rsidRPr="00543955">
              <w:rPr>
                <w:szCs w:val="22"/>
                <w:lang w:val="sk-SK"/>
              </w:rPr>
              <w:t xml:space="preserve">, zvýšené hladiny </w:t>
            </w:r>
            <w:proofErr w:type="spellStart"/>
            <w:r w:rsidRPr="00543955">
              <w:rPr>
                <w:szCs w:val="22"/>
                <w:lang w:val="sk-SK"/>
              </w:rPr>
              <w:t>gama-glutamyltransferázy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</w:tbl>
    <w:p w14:paraId="7C231ED0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621A74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>Popis vybraných nežiaducich reakcií</w:t>
      </w:r>
    </w:p>
    <w:p w14:paraId="509DCEF3" w14:textId="77777777" w:rsidR="00E168F5" w:rsidRPr="009E5DBC" w:rsidRDefault="00E168F5" w:rsidP="00E168F5">
      <w:pPr>
        <w:widowControl w:val="0"/>
        <w:rPr>
          <w:szCs w:val="22"/>
          <w:lang w:val="sk-SK"/>
        </w:rPr>
      </w:pPr>
    </w:p>
    <w:p w14:paraId="51190EF4" w14:textId="77777777" w:rsidR="00E168F5" w:rsidRPr="009E5DBC" w:rsidRDefault="00E168F5" w:rsidP="00E168F5">
      <w:pPr>
        <w:widowControl w:val="0"/>
        <w:rPr>
          <w:i/>
          <w:szCs w:val="22"/>
          <w:lang w:val="sk-SK"/>
        </w:rPr>
      </w:pPr>
      <w:r w:rsidRPr="009E5DBC">
        <w:rPr>
          <w:i/>
          <w:szCs w:val="22"/>
          <w:lang w:val="sk-SK"/>
        </w:rPr>
        <w:t>Reakcie spojené so žlčníkom</w:t>
      </w:r>
    </w:p>
    <w:p w14:paraId="495F75D7" w14:textId="77777777" w:rsidR="00E168F5" w:rsidRPr="009E5DBC" w:rsidRDefault="00E168F5" w:rsidP="00E168F5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 xml:space="preserve">Bolo preukázané, že </w:t>
      </w:r>
      <w:proofErr w:type="spellStart"/>
      <w:r>
        <w:rPr>
          <w:szCs w:val="22"/>
          <w:lang w:val="sk-SK"/>
        </w:rPr>
        <w:t>s</w:t>
      </w:r>
      <w:r w:rsidRPr="009E5DBC">
        <w:rPr>
          <w:szCs w:val="22"/>
          <w:lang w:val="sk-SK"/>
        </w:rPr>
        <w:t>omatostat</w:t>
      </w:r>
      <w:r>
        <w:rPr>
          <w:szCs w:val="22"/>
          <w:lang w:val="sk-SK"/>
        </w:rPr>
        <w:t>ínové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analógy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inhibujú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kontraktilitu</w:t>
      </w:r>
      <w:proofErr w:type="spellEnd"/>
      <w:r>
        <w:rPr>
          <w:szCs w:val="22"/>
          <w:lang w:val="sk-SK"/>
        </w:rPr>
        <w:t xml:space="preserve"> žlčníka a znižujú sekréciu žlče, čo môže viesť k žlčníkovým abnormalitám alebo kalu</w:t>
      </w:r>
      <w:r w:rsidRPr="009E5DBC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Vznik žlčových kameňov bol hlásený u </w:t>
      </w:r>
      <w:r w:rsidRPr="009E5DBC">
        <w:rPr>
          <w:szCs w:val="22"/>
          <w:lang w:val="sk-SK"/>
        </w:rPr>
        <w:t xml:space="preserve">15 </w:t>
      </w:r>
      <w:r>
        <w:rPr>
          <w:szCs w:val="22"/>
          <w:lang w:val="sk-SK"/>
        </w:rPr>
        <w:t>až</w:t>
      </w:r>
      <w:r w:rsidRPr="009E5DBC">
        <w:rPr>
          <w:szCs w:val="22"/>
          <w:lang w:val="sk-SK"/>
        </w:rPr>
        <w:t xml:space="preserve"> 30</w:t>
      </w:r>
      <w:r>
        <w:rPr>
          <w:szCs w:val="22"/>
          <w:lang w:val="sk-SK"/>
        </w:rPr>
        <w:t> </w:t>
      </w:r>
      <w:r w:rsidRPr="009E5DBC">
        <w:rPr>
          <w:szCs w:val="22"/>
          <w:lang w:val="sk-SK"/>
        </w:rPr>
        <w:t xml:space="preserve">% </w:t>
      </w:r>
      <w:r>
        <w:rPr>
          <w:szCs w:val="22"/>
          <w:lang w:val="sk-SK"/>
        </w:rPr>
        <w:t xml:space="preserve">pacientov dlhodobo </w:t>
      </w:r>
      <w:r w:rsidR="00A414FE">
        <w:rPr>
          <w:szCs w:val="22"/>
          <w:lang w:val="sk-SK"/>
        </w:rPr>
        <w:t>po</w:t>
      </w:r>
      <w:r>
        <w:rPr>
          <w:szCs w:val="22"/>
          <w:lang w:val="sk-SK"/>
        </w:rPr>
        <w:t xml:space="preserve">užívajúcich </w:t>
      </w:r>
      <w:proofErr w:type="spellStart"/>
      <w:r>
        <w:rPr>
          <w:szCs w:val="22"/>
          <w:lang w:val="sk-SK"/>
        </w:rPr>
        <w:t>subkutánnu</w:t>
      </w:r>
      <w:proofErr w:type="spellEnd"/>
      <w:r>
        <w:rPr>
          <w:szCs w:val="22"/>
          <w:lang w:val="sk-SK"/>
        </w:rPr>
        <w:t xml:space="preserve"> formu</w:t>
      </w:r>
      <w:r w:rsidRPr="009E5DBC">
        <w:rPr>
          <w:szCs w:val="22"/>
          <w:lang w:val="sk-SK"/>
        </w:rPr>
        <w:t xml:space="preserve"> </w:t>
      </w:r>
      <w:proofErr w:type="spellStart"/>
      <w:r w:rsidRPr="009E5DBC">
        <w:rPr>
          <w:szCs w:val="22"/>
          <w:lang w:val="sk-SK"/>
        </w:rPr>
        <w:t>Sandostatin</w:t>
      </w:r>
      <w:r>
        <w:rPr>
          <w:szCs w:val="22"/>
          <w:lang w:val="sk-SK"/>
        </w:rPr>
        <w:t>u</w:t>
      </w:r>
      <w:proofErr w:type="spellEnd"/>
      <w:r w:rsidRPr="009E5DBC">
        <w:rPr>
          <w:szCs w:val="22"/>
          <w:lang w:val="sk-SK"/>
        </w:rPr>
        <w:t xml:space="preserve">. </w:t>
      </w:r>
      <w:proofErr w:type="spellStart"/>
      <w:r>
        <w:rPr>
          <w:szCs w:val="22"/>
          <w:lang w:val="sk-SK"/>
        </w:rPr>
        <w:t>Incidencia</w:t>
      </w:r>
      <w:proofErr w:type="spellEnd"/>
      <w:r>
        <w:rPr>
          <w:szCs w:val="22"/>
          <w:lang w:val="sk-SK"/>
        </w:rPr>
        <w:t xml:space="preserve"> v celkovej populácii (vo veku 40 až 60 rokov) je</w:t>
      </w:r>
      <w:r w:rsidRPr="009E5DBC">
        <w:rPr>
          <w:szCs w:val="22"/>
          <w:lang w:val="sk-SK"/>
        </w:rPr>
        <w:t xml:space="preserve"> 5 </w:t>
      </w:r>
      <w:r>
        <w:rPr>
          <w:szCs w:val="22"/>
          <w:lang w:val="sk-SK"/>
        </w:rPr>
        <w:t>až</w:t>
      </w:r>
      <w:r w:rsidRPr="009E5DBC">
        <w:rPr>
          <w:szCs w:val="22"/>
          <w:lang w:val="sk-SK"/>
        </w:rPr>
        <w:t xml:space="preserve"> 20</w:t>
      </w:r>
      <w:r>
        <w:rPr>
          <w:szCs w:val="22"/>
          <w:lang w:val="sk-SK"/>
        </w:rPr>
        <w:t> </w:t>
      </w:r>
      <w:r w:rsidRPr="009E5DBC">
        <w:rPr>
          <w:szCs w:val="22"/>
          <w:lang w:val="sk-SK"/>
        </w:rPr>
        <w:t xml:space="preserve">%. </w:t>
      </w:r>
      <w:r>
        <w:rPr>
          <w:szCs w:val="22"/>
          <w:lang w:val="sk-SK"/>
        </w:rPr>
        <w:t xml:space="preserve">Ak dôjde k vzniku žlčových kameňov, zvyčajne sú </w:t>
      </w:r>
      <w:proofErr w:type="spellStart"/>
      <w:r>
        <w:rPr>
          <w:szCs w:val="22"/>
          <w:lang w:val="sk-SK"/>
        </w:rPr>
        <w:t>asymptomatické</w:t>
      </w:r>
      <w:proofErr w:type="spellEnd"/>
      <w:r w:rsidRPr="009E5DBC">
        <w:rPr>
          <w:szCs w:val="22"/>
          <w:lang w:val="sk-SK"/>
        </w:rPr>
        <w:t xml:space="preserve">; </w:t>
      </w:r>
      <w:r>
        <w:rPr>
          <w:szCs w:val="22"/>
          <w:lang w:val="sk-SK"/>
        </w:rPr>
        <w:t xml:space="preserve">kamene </w:t>
      </w:r>
      <w:r w:rsidRPr="00234BC4">
        <w:rPr>
          <w:szCs w:val="22"/>
          <w:lang w:val="sk-SK"/>
        </w:rPr>
        <w:t xml:space="preserve">spôsobujúce príznaky sa majú liečiť buď rozpúšťaním </w:t>
      </w:r>
      <w:r>
        <w:rPr>
          <w:szCs w:val="22"/>
          <w:lang w:val="sk-SK"/>
        </w:rPr>
        <w:t>žlčovými kyselinami alebo chirurgicky</w:t>
      </w:r>
      <w:r w:rsidRPr="009E5DBC">
        <w:rPr>
          <w:szCs w:val="22"/>
          <w:lang w:val="sk-SK"/>
        </w:rPr>
        <w:t xml:space="preserve">. </w:t>
      </w:r>
    </w:p>
    <w:p w14:paraId="6E3892B8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617FFA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543955">
        <w:rPr>
          <w:i/>
          <w:szCs w:val="22"/>
          <w:lang w:val="sk-SK"/>
        </w:rPr>
        <w:t xml:space="preserve">Poruchy </w:t>
      </w:r>
      <w:proofErr w:type="spellStart"/>
      <w:r w:rsidRPr="00543955">
        <w:rPr>
          <w:i/>
          <w:szCs w:val="22"/>
          <w:lang w:val="sk-SK"/>
        </w:rPr>
        <w:t>gastrointestinálneho</w:t>
      </w:r>
      <w:proofErr w:type="spellEnd"/>
      <w:r w:rsidRPr="00543955">
        <w:rPr>
          <w:i/>
          <w:szCs w:val="22"/>
          <w:lang w:val="sk-SK"/>
        </w:rPr>
        <w:t xml:space="preserve"> traktu</w:t>
      </w:r>
    </w:p>
    <w:p w14:paraId="36775949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V zriedkavých prípadoch môžu </w:t>
      </w:r>
      <w:proofErr w:type="spellStart"/>
      <w:r w:rsidRPr="00543955">
        <w:rPr>
          <w:szCs w:val="22"/>
          <w:lang w:val="sk-SK"/>
        </w:rPr>
        <w:t>gastrointestinálne</w:t>
      </w:r>
      <w:proofErr w:type="spellEnd"/>
      <w:r w:rsidRPr="00543955">
        <w:rPr>
          <w:szCs w:val="22"/>
          <w:lang w:val="sk-SK"/>
        </w:rPr>
        <w:t xml:space="preserve"> účinky pripomínať akútnu nepriechodnosť čriev s postupujúcim rozpätím brucha, silnou bolesťou v </w:t>
      </w:r>
      <w:proofErr w:type="spellStart"/>
      <w:r w:rsidRPr="00543955">
        <w:rPr>
          <w:szCs w:val="22"/>
          <w:lang w:val="sk-SK"/>
        </w:rPr>
        <w:t>epigastriu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pohmatovou</w:t>
      </w:r>
      <w:proofErr w:type="spellEnd"/>
      <w:r w:rsidRPr="00543955">
        <w:rPr>
          <w:szCs w:val="22"/>
          <w:lang w:val="sk-SK"/>
        </w:rPr>
        <w:t xml:space="preserve"> citlivosťou brušnej steny a s reflexným napínaním svalstva pri pohmate brucha.</w:t>
      </w:r>
    </w:p>
    <w:p w14:paraId="1BA91997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47880D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Frekvencia </w:t>
      </w:r>
      <w:proofErr w:type="spellStart"/>
      <w:r w:rsidRPr="00543955">
        <w:rPr>
          <w:szCs w:val="22"/>
          <w:lang w:val="sk-SK"/>
        </w:rPr>
        <w:t>gastrointestinálnych</w:t>
      </w:r>
      <w:proofErr w:type="spellEnd"/>
      <w:r w:rsidRPr="00543955">
        <w:rPr>
          <w:szCs w:val="22"/>
          <w:lang w:val="sk-SK"/>
        </w:rPr>
        <w:t xml:space="preserve"> nežiaducich udalostí sa pri pokračujúcej liečbe časom znižuje.</w:t>
      </w:r>
    </w:p>
    <w:p w14:paraId="703B3E86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DA98C9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Výskyt </w:t>
      </w:r>
      <w:proofErr w:type="spellStart"/>
      <w:r w:rsidRPr="00543955">
        <w:rPr>
          <w:szCs w:val="22"/>
          <w:lang w:val="sk-SK"/>
        </w:rPr>
        <w:t>gastrointestinálnych</w:t>
      </w:r>
      <w:proofErr w:type="spellEnd"/>
      <w:r w:rsidRPr="00543955">
        <w:rPr>
          <w:szCs w:val="22"/>
          <w:lang w:val="sk-SK"/>
        </w:rPr>
        <w:t xml:space="preserve"> nežiaducich účinkov sa môže zmierniť obmedzením príjmu jedla v čase podávania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>., t.j. podávaním medzi jedlami alebo večer pri ukladaní do postele.</w:t>
      </w:r>
    </w:p>
    <w:p w14:paraId="7C242577" w14:textId="77777777" w:rsidR="00E168F5" w:rsidRPr="0057749E" w:rsidRDefault="00E168F5" w:rsidP="00E168F5">
      <w:pPr>
        <w:widowControl w:val="0"/>
        <w:rPr>
          <w:szCs w:val="22"/>
          <w:lang w:val="sk-SK"/>
        </w:rPr>
      </w:pPr>
    </w:p>
    <w:p w14:paraId="11BE4D41" w14:textId="77777777" w:rsidR="00E168F5" w:rsidRPr="0057749E" w:rsidRDefault="00E168F5" w:rsidP="00E168F5">
      <w:pPr>
        <w:widowControl w:val="0"/>
        <w:rPr>
          <w:i/>
          <w:szCs w:val="22"/>
          <w:lang w:val="sk-SK"/>
        </w:rPr>
      </w:pPr>
      <w:r w:rsidRPr="0057749E">
        <w:rPr>
          <w:i/>
          <w:szCs w:val="22"/>
          <w:lang w:val="sk-SK"/>
        </w:rPr>
        <w:t xml:space="preserve">Reakcie z precitlivenosti a </w:t>
      </w:r>
      <w:proofErr w:type="spellStart"/>
      <w:r w:rsidRPr="0057749E">
        <w:rPr>
          <w:i/>
          <w:szCs w:val="22"/>
          <w:lang w:val="sk-SK"/>
        </w:rPr>
        <w:t>anafylaktické</w:t>
      </w:r>
      <w:proofErr w:type="spellEnd"/>
      <w:r w:rsidRPr="0057749E">
        <w:rPr>
          <w:i/>
          <w:szCs w:val="22"/>
          <w:lang w:val="sk-SK"/>
        </w:rPr>
        <w:t xml:space="preserve"> reakcie</w:t>
      </w:r>
    </w:p>
    <w:p w14:paraId="4CA67660" w14:textId="77777777" w:rsidR="00E168F5" w:rsidRPr="009E5DBC" w:rsidRDefault="00E168F5" w:rsidP="00E168F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7749E">
        <w:rPr>
          <w:szCs w:val="22"/>
          <w:lang w:val="sk-SK"/>
        </w:rPr>
        <w:t xml:space="preserve">Po uvedení lieku na trh boli hlásené </w:t>
      </w:r>
      <w:r>
        <w:rPr>
          <w:szCs w:val="22"/>
          <w:lang w:val="sk-SK"/>
        </w:rPr>
        <w:t>r</w:t>
      </w:r>
      <w:r w:rsidRPr="0057749E">
        <w:rPr>
          <w:szCs w:val="22"/>
          <w:lang w:val="sk-SK"/>
        </w:rPr>
        <w:t>eakcie z precitlivenosti a a</w:t>
      </w:r>
      <w:r w:rsidR="00A414FE">
        <w:rPr>
          <w:szCs w:val="22"/>
          <w:lang w:val="sk-SK"/>
        </w:rPr>
        <w:t>lergi</w:t>
      </w:r>
      <w:r w:rsidRPr="0057749E">
        <w:rPr>
          <w:szCs w:val="22"/>
          <w:lang w:val="sk-SK"/>
        </w:rPr>
        <w:t xml:space="preserve">cké reakcie. </w:t>
      </w:r>
      <w:r>
        <w:rPr>
          <w:szCs w:val="22"/>
          <w:lang w:val="sk-SK"/>
        </w:rPr>
        <w:t>Ak dôjde k ich výskytu, najčastejšie postihujú kožu, zriedkavo ústa a dýchacie cesty</w:t>
      </w:r>
      <w:r w:rsidRPr="0057749E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Hlásené boli aj ojedinelé prípady </w:t>
      </w:r>
      <w:proofErr w:type="spellStart"/>
      <w:r>
        <w:rPr>
          <w:szCs w:val="22"/>
          <w:lang w:val="sk-SK"/>
        </w:rPr>
        <w:t>anafylaktického</w:t>
      </w:r>
      <w:proofErr w:type="spellEnd"/>
      <w:r>
        <w:rPr>
          <w:szCs w:val="22"/>
          <w:lang w:val="sk-SK"/>
        </w:rPr>
        <w:t xml:space="preserve"> šoku</w:t>
      </w:r>
      <w:r w:rsidRPr="00B82A88">
        <w:rPr>
          <w:szCs w:val="22"/>
          <w:lang w:val="sk-SK"/>
        </w:rPr>
        <w:t>.</w:t>
      </w:r>
    </w:p>
    <w:p w14:paraId="291830D2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15AA01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543955">
        <w:rPr>
          <w:i/>
          <w:szCs w:val="22"/>
          <w:lang w:val="sk-SK"/>
        </w:rPr>
        <w:t>Reakcie v mieste vpichu</w:t>
      </w:r>
    </w:p>
    <w:p w14:paraId="7A27A74D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Bolesť alebo štípanie, tŕpnutie alebo pálenie v mieste podania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>. injekcie so začervenaním a opuchom zriedkavo trvajú dlhšie ako 15 minút. Nepríjemné pocity sa môžu zmierniť tým, že sa roztok pred podaním nechá zohriať na teplotu miestnosti alebo podaním menšieho objemu s koncentrovanejším roztokom.</w:t>
      </w:r>
    </w:p>
    <w:p w14:paraId="5E4A24FD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79ED07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543955">
        <w:rPr>
          <w:i/>
          <w:szCs w:val="22"/>
          <w:lang w:val="sk-SK"/>
        </w:rPr>
        <w:t xml:space="preserve">Poruchy metabolizmu a výživy </w:t>
      </w:r>
    </w:p>
    <w:p w14:paraId="29870DB2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Aj keď sa merané vylučovanie tukov v stolici môže zvýšiť, dosiaľ sa nedokázalo, že by dlhodobá liečba </w:t>
      </w:r>
      <w:proofErr w:type="spellStart"/>
      <w:r w:rsidRPr="00543955">
        <w:rPr>
          <w:szCs w:val="22"/>
          <w:lang w:val="sk-SK"/>
        </w:rPr>
        <w:t>oktreotidom</w:t>
      </w:r>
      <w:proofErr w:type="spellEnd"/>
      <w:r w:rsidRPr="00543955">
        <w:rPr>
          <w:szCs w:val="22"/>
          <w:lang w:val="sk-SK"/>
        </w:rPr>
        <w:t xml:space="preserve"> viedla k nedostatočnej výžive následkom nedostatočnej absorpcie.</w:t>
      </w:r>
    </w:p>
    <w:p w14:paraId="3D252B93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056BEF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543955">
        <w:rPr>
          <w:i/>
          <w:szCs w:val="22"/>
          <w:lang w:val="sk-SK"/>
        </w:rPr>
        <w:t>Pankreatické enzýmy</w:t>
      </w:r>
    </w:p>
    <w:p w14:paraId="290A9F3F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Vo veľmi zriedkavých prípadoch sa zaznamenala počas prvých hodín alebo dní liečby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akútna </w:t>
      </w:r>
      <w:proofErr w:type="spellStart"/>
      <w:r w:rsidRPr="00543955">
        <w:rPr>
          <w:szCs w:val="22"/>
          <w:lang w:val="sk-SK"/>
        </w:rPr>
        <w:t>pankreatitída</w:t>
      </w:r>
      <w:proofErr w:type="spellEnd"/>
      <w:r w:rsidRPr="00543955">
        <w:rPr>
          <w:szCs w:val="22"/>
          <w:lang w:val="sk-SK"/>
        </w:rPr>
        <w:t xml:space="preserve">, ktorá ustúpila po vysadení lieku. Okrem toho sa u pacientov dlhodobo liečených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zaznamenala </w:t>
      </w:r>
      <w:proofErr w:type="spellStart"/>
      <w:r w:rsidRPr="00543955">
        <w:rPr>
          <w:szCs w:val="22"/>
          <w:lang w:val="sk-SK"/>
        </w:rPr>
        <w:t>pankreatitída</w:t>
      </w:r>
      <w:proofErr w:type="spellEnd"/>
      <w:r w:rsidRPr="00543955">
        <w:rPr>
          <w:szCs w:val="22"/>
          <w:lang w:val="sk-SK"/>
        </w:rPr>
        <w:t xml:space="preserve"> spôsobená žlčovými kameňmi.</w:t>
      </w:r>
    </w:p>
    <w:p w14:paraId="178BEB30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CA45DC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543955">
        <w:rPr>
          <w:i/>
          <w:szCs w:val="22"/>
          <w:lang w:val="sk-SK"/>
        </w:rPr>
        <w:t xml:space="preserve">Poruchy srdca a srdcovej činnosti </w:t>
      </w:r>
    </w:p>
    <w:p w14:paraId="03E6F652" w14:textId="77777777" w:rsidR="00871AAF" w:rsidRDefault="00E168F5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</w:t>
      </w:r>
      <w:r w:rsidRPr="00776D7E">
        <w:rPr>
          <w:szCs w:val="22"/>
          <w:lang w:val="sk-SK"/>
        </w:rPr>
        <w:t xml:space="preserve">radykardia je pri </w:t>
      </w:r>
      <w:proofErr w:type="spellStart"/>
      <w:r w:rsidRPr="00776D7E">
        <w:rPr>
          <w:szCs w:val="22"/>
          <w:lang w:val="sk-SK"/>
        </w:rPr>
        <w:t>somatostatínových</w:t>
      </w:r>
      <w:proofErr w:type="spellEnd"/>
      <w:r w:rsidRPr="00776D7E">
        <w:rPr>
          <w:szCs w:val="22"/>
          <w:lang w:val="sk-SK"/>
        </w:rPr>
        <w:t xml:space="preserve"> </w:t>
      </w:r>
      <w:proofErr w:type="spellStart"/>
      <w:r w:rsidRPr="00776D7E">
        <w:rPr>
          <w:szCs w:val="22"/>
          <w:lang w:val="sk-SK"/>
        </w:rPr>
        <w:t>analógoch</w:t>
      </w:r>
      <w:proofErr w:type="spellEnd"/>
      <w:r w:rsidRPr="00776D7E">
        <w:rPr>
          <w:szCs w:val="22"/>
          <w:lang w:val="sk-SK"/>
        </w:rPr>
        <w:t xml:space="preserve"> častou nežiaducou reakciou. </w:t>
      </w:r>
      <w:r w:rsidR="00871AAF" w:rsidRPr="00543955">
        <w:rPr>
          <w:szCs w:val="22"/>
          <w:lang w:val="sk-SK"/>
        </w:rPr>
        <w:t>U pacientov s </w:t>
      </w:r>
      <w:proofErr w:type="spellStart"/>
      <w:r w:rsidR="00871AAF" w:rsidRPr="00543955">
        <w:rPr>
          <w:szCs w:val="22"/>
          <w:lang w:val="sk-SK"/>
        </w:rPr>
        <w:t>akromegáliou</w:t>
      </w:r>
      <w:proofErr w:type="spellEnd"/>
      <w:r w:rsidR="00871AAF" w:rsidRPr="00543955">
        <w:rPr>
          <w:szCs w:val="22"/>
          <w:lang w:val="sk-SK"/>
        </w:rPr>
        <w:t xml:space="preserve"> aj u pacientov s </w:t>
      </w:r>
      <w:proofErr w:type="spellStart"/>
      <w:r w:rsidR="00871AAF" w:rsidRPr="00543955">
        <w:rPr>
          <w:szCs w:val="22"/>
          <w:lang w:val="sk-SK"/>
        </w:rPr>
        <w:t>karcinoidovým</w:t>
      </w:r>
      <w:proofErr w:type="spellEnd"/>
      <w:r w:rsidR="00871AAF" w:rsidRPr="00543955">
        <w:rPr>
          <w:szCs w:val="22"/>
          <w:lang w:val="sk-SK"/>
        </w:rPr>
        <w:t xml:space="preserve"> syndrómom sa pozorovali zmeny na EKG, ako predĺženie QT intervalu , posuny osi, včasná </w:t>
      </w:r>
      <w:proofErr w:type="spellStart"/>
      <w:r w:rsidR="00871AAF" w:rsidRPr="00543955">
        <w:rPr>
          <w:szCs w:val="22"/>
          <w:lang w:val="sk-SK"/>
        </w:rPr>
        <w:t>repolarizácia</w:t>
      </w:r>
      <w:proofErr w:type="spellEnd"/>
      <w:r w:rsidR="00871AAF" w:rsidRPr="00543955">
        <w:rPr>
          <w:szCs w:val="22"/>
          <w:lang w:val="sk-SK"/>
        </w:rPr>
        <w:t xml:space="preserve">, nízka </w:t>
      </w:r>
      <w:proofErr w:type="spellStart"/>
      <w:r w:rsidR="00871AAF" w:rsidRPr="00543955">
        <w:rPr>
          <w:szCs w:val="22"/>
          <w:lang w:val="sk-SK"/>
        </w:rPr>
        <w:t>voltáž</w:t>
      </w:r>
      <w:proofErr w:type="spellEnd"/>
      <w:r w:rsidR="00871AAF" w:rsidRPr="00543955">
        <w:rPr>
          <w:szCs w:val="22"/>
          <w:lang w:val="sk-SK"/>
        </w:rPr>
        <w:t>, prechod R/S, včasná progresia kmitu R a nešpecifické zmeny ST-T vlny. Súvislosť medzi týmito udalosťami a </w:t>
      </w:r>
      <w:proofErr w:type="spellStart"/>
      <w:r w:rsidR="00871AAF" w:rsidRPr="00543955">
        <w:rPr>
          <w:szCs w:val="22"/>
          <w:lang w:val="sk-SK"/>
        </w:rPr>
        <w:t>oktreotidacetátom</w:t>
      </w:r>
      <w:proofErr w:type="spellEnd"/>
      <w:r w:rsidR="00871AAF" w:rsidRPr="00543955">
        <w:rPr>
          <w:szCs w:val="22"/>
          <w:lang w:val="sk-SK"/>
        </w:rPr>
        <w:t xml:space="preserve"> nie je preukázaná, pretože mnohí z týchto pacientov majú základné ochorenie srdca (pozri časť 4.4).</w:t>
      </w:r>
    </w:p>
    <w:p w14:paraId="4E8462C2" w14:textId="77777777" w:rsidR="00E168F5" w:rsidRDefault="00E168F5" w:rsidP="00E168F5">
      <w:pPr>
        <w:widowControl w:val="0"/>
        <w:rPr>
          <w:i/>
          <w:szCs w:val="22"/>
          <w:lang w:val="sk-SK"/>
        </w:rPr>
      </w:pPr>
    </w:p>
    <w:p w14:paraId="47CD8471" w14:textId="77777777" w:rsidR="00E168F5" w:rsidRPr="00B82A88" w:rsidRDefault="00E168F5" w:rsidP="00E168F5">
      <w:pPr>
        <w:widowControl w:val="0"/>
        <w:rPr>
          <w:i/>
          <w:szCs w:val="22"/>
          <w:lang w:val="sk-SK"/>
        </w:rPr>
      </w:pPr>
      <w:proofErr w:type="spellStart"/>
      <w:r w:rsidRPr="00B82A88">
        <w:rPr>
          <w:i/>
          <w:szCs w:val="22"/>
          <w:lang w:val="sk-SK"/>
        </w:rPr>
        <w:t>Trombocytopénia</w:t>
      </w:r>
      <w:proofErr w:type="spellEnd"/>
    </w:p>
    <w:p w14:paraId="325EC655" w14:textId="77777777" w:rsidR="00871AAF" w:rsidRDefault="00E168F5" w:rsidP="00E168F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ED432D">
        <w:rPr>
          <w:szCs w:val="22"/>
          <w:lang w:val="sk-SK"/>
        </w:rPr>
        <w:t xml:space="preserve">Po uvedení lieku na trh bola hlásená </w:t>
      </w:r>
      <w:proofErr w:type="spellStart"/>
      <w:r w:rsidRPr="00ED432D">
        <w:rPr>
          <w:szCs w:val="22"/>
          <w:lang w:val="sk-SK"/>
        </w:rPr>
        <w:t>trombocytopénia</w:t>
      </w:r>
      <w:proofErr w:type="spellEnd"/>
      <w:r w:rsidRPr="00ED432D">
        <w:rPr>
          <w:szCs w:val="22"/>
          <w:lang w:val="sk-SK"/>
        </w:rPr>
        <w:t xml:space="preserve">, najmä počas intravenóznej liečby </w:t>
      </w:r>
      <w:proofErr w:type="spellStart"/>
      <w:r w:rsidRPr="00ED432D">
        <w:rPr>
          <w:szCs w:val="22"/>
          <w:lang w:val="sk-SK"/>
        </w:rPr>
        <w:t>Sandostatinom</w:t>
      </w:r>
      <w:proofErr w:type="spellEnd"/>
      <w:r w:rsidRPr="00ED432D">
        <w:rPr>
          <w:szCs w:val="22"/>
          <w:lang w:val="sk-SK"/>
        </w:rPr>
        <w:t xml:space="preserve"> u pacientov s cirhózou pečene. Táto porucha je po ukončení liečby reverzibilná.</w:t>
      </w:r>
    </w:p>
    <w:p w14:paraId="78EB7834" w14:textId="77777777" w:rsidR="00E168F5" w:rsidRDefault="00E168F5" w:rsidP="00E168F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6F4E1C" w14:textId="77777777" w:rsidR="00871AAF" w:rsidRPr="00967D26" w:rsidRDefault="00871AAF" w:rsidP="00962FB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967D26">
        <w:rPr>
          <w:noProof/>
          <w:szCs w:val="22"/>
          <w:u w:val="single"/>
          <w:lang w:val="sk-SK"/>
        </w:rPr>
        <w:t xml:space="preserve">Hlásenie podozrení na nežiaduce </w:t>
      </w:r>
      <w:r>
        <w:rPr>
          <w:noProof/>
          <w:szCs w:val="22"/>
          <w:u w:val="single"/>
          <w:lang w:val="sk-SK"/>
        </w:rPr>
        <w:t>reakcie</w:t>
      </w:r>
    </w:p>
    <w:p w14:paraId="551485AD" w14:textId="77777777" w:rsidR="00871AAF" w:rsidRPr="00543955" w:rsidRDefault="00871AAF" w:rsidP="00962FB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67D26">
        <w:rPr>
          <w:noProof/>
          <w:szCs w:val="22"/>
          <w:lang w:val="sk-SK"/>
        </w:rPr>
        <w:t xml:space="preserve">Hlásenie podozrení na nežiaduce </w:t>
      </w:r>
      <w:r>
        <w:rPr>
          <w:noProof/>
          <w:szCs w:val="22"/>
          <w:lang w:val="sk-SK"/>
        </w:rPr>
        <w:t>reakcie</w:t>
      </w:r>
      <w:r w:rsidRPr="00967D26">
        <w:rPr>
          <w:noProof/>
          <w:szCs w:val="22"/>
          <w:lang w:val="sk-SK"/>
        </w:rPr>
        <w:t xml:space="preserve"> po </w:t>
      </w:r>
      <w:r>
        <w:rPr>
          <w:noProof/>
          <w:szCs w:val="22"/>
          <w:lang w:val="sk-SK"/>
        </w:rPr>
        <w:t>registrácii</w:t>
      </w:r>
      <w:r w:rsidRPr="00967D26">
        <w:rPr>
          <w:noProof/>
          <w:szCs w:val="22"/>
          <w:lang w:val="sk-SK"/>
        </w:rPr>
        <w:t xml:space="preserve"> lieku je dôležité.</w:t>
      </w:r>
      <w:r w:rsidRPr="00967D26">
        <w:rPr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Umožňuje priebežné monitorovanie pomeru prínosu</w:t>
      </w:r>
      <w:r w:rsidRPr="00A505E4">
        <w:rPr>
          <w:lang w:val="sk-SK"/>
        </w:rPr>
        <w:t xml:space="preserve"> a</w:t>
      </w:r>
      <w:r w:rsidRPr="00967D26">
        <w:rPr>
          <w:noProof/>
          <w:szCs w:val="22"/>
          <w:lang w:val="sk-SK"/>
        </w:rPr>
        <w:t> rizika lieku.</w:t>
      </w:r>
      <w:r w:rsidRPr="00967D2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Od </w:t>
      </w:r>
      <w:r>
        <w:rPr>
          <w:noProof/>
          <w:szCs w:val="22"/>
          <w:lang w:val="sk-SK"/>
        </w:rPr>
        <w:t>z</w:t>
      </w:r>
      <w:r w:rsidRPr="00967D26">
        <w:rPr>
          <w:noProof/>
          <w:szCs w:val="22"/>
          <w:lang w:val="sk-SK"/>
        </w:rPr>
        <w:t>dravotníckych pracovníkov</w:t>
      </w:r>
      <w:r>
        <w:rPr>
          <w:noProof/>
          <w:szCs w:val="22"/>
          <w:lang w:val="sk-SK"/>
        </w:rPr>
        <w:t xml:space="preserve"> sa vyžaduje</w:t>
      </w:r>
      <w:r w:rsidRPr="00967D26">
        <w:rPr>
          <w:noProof/>
          <w:szCs w:val="22"/>
          <w:lang w:val="sk-SK"/>
        </w:rPr>
        <w:t xml:space="preserve">, aby hlásili akékoľvek podozrenia na nežiaduce </w:t>
      </w:r>
      <w:r>
        <w:rPr>
          <w:noProof/>
          <w:szCs w:val="22"/>
          <w:lang w:val="sk-SK"/>
        </w:rPr>
        <w:t>reakcie</w:t>
      </w:r>
      <w:r w:rsidRPr="00967D26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na</w:t>
      </w:r>
      <w:r w:rsidRPr="00967D26">
        <w:rPr>
          <w:noProof/>
          <w:szCs w:val="22"/>
          <w:lang w:val="sk-SK"/>
        </w:rPr>
        <w:t xml:space="preserve"> </w:t>
      </w:r>
      <w:r w:rsidRPr="00A505E4">
        <w:rPr>
          <w:noProof/>
          <w:szCs w:val="22"/>
          <w:highlight w:val="lightGray"/>
          <w:lang w:val="sk-SK"/>
        </w:rPr>
        <w:t xml:space="preserve">národné </w:t>
      </w:r>
      <w:r>
        <w:rPr>
          <w:noProof/>
          <w:szCs w:val="22"/>
          <w:highlight w:val="lightGray"/>
          <w:lang w:val="sk-SK"/>
        </w:rPr>
        <w:t>centrum</w:t>
      </w:r>
      <w:r w:rsidRPr="00A505E4">
        <w:rPr>
          <w:noProof/>
          <w:szCs w:val="22"/>
          <w:highlight w:val="lightGray"/>
          <w:lang w:val="sk-SK"/>
        </w:rPr>
        <w:t xml:space="preserve"> hlásenia uvedené v </w:t>
      </w:r>
      <w:hyperlink r:id="rId9" w:history="1">
        <w:r w:rsidRPr="00136A93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Pr="008B5A5F">
          <w:rPr>
            <w:rStyle w:val="Hypertextovprepojenie"/>
            <w:highlight w:val="lightGray"/>
            <w:lang w:val="sk-SK"/>
          </w:rPr>
          <w:t>rílohe</w:t>
        </w:r>
        <w:proofErr w:type="spellEnd"/>
        <w:r w:rsidRPr="008B5A5F">
          <w:rPr>
            <w:rStyle w:val="Hypertextovprepojenie"/>
            <w:highlight w:val="lightGray"/>
            <w:lang w:val="sk-SK"/>
          </w:rPr>
          <w:t xml:space="preserve"> </w:t>
        </w:r>
        <w:r w:rsidRPr="00136A93">
          <w:rPr>
            <w:rStyle w:val="Hypertextovprepojenie"/>
            <w:noProof/>
            <w:szCs w:val="22"/>
            <w:highlight w:val="lightGray"/>
            <w:lang w:val="sk-SK"/>
          </w:rPr>
          <w:t>V</w:t>
        </w:r>
      </w:hyperlink>
      <w:r>
        <w:rPr>
          <w:rStyle w:val="Hypertextovprepojenie"/>
          <w:noProof/>
          <w:szCs w:val="22"/>
          <w:lang w:val="sk-SK"/>
        </w:rPr>
        <w:t>.</w:t>
      </w:r>
    </w:p>
    <w:p w14:paraId="0F592148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695E7C0E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4.9</w:t>
      </w:r>
      <w:r w:rsidRPr="00543955">
        <w:rPr>
          <w:b/>
          <w:szCs w:val="22"/>
          <w:lang w:val="sk-SK"/>
        </w:rPr>
        <w:tab/>
        <w:t>Predávkovanie</w:t>
      </w:r>
    </w:p>
    <w:p w14:paraId="68CA0810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A44BFE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Zaznamenal sa obmedzený počet náhodných predávkovaní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u detí a dospelých. U dospelých boli dávky v rozmedzí 2 400 – 6 000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>/deň podané kontinuálnou infúziou (100 – 250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 xml:space="preserve">/hod) alebo </w:t>
      </w:r>
      <w:proofErr w:type="spellStart"/>
      <w:r w:rsidRPr="00543955">
        <w:rPr>
          <w:szCs w:val="22"/>
          <w:lang w:val="sk-SK"/>
        </w:rPr>
        <w:t>subkutánne</w:t>
      </w:r>
      <w:proofErr w:type="spellEnd"/>
      <w:r w:rsidRPr="00543955">
        <w:rPr>
          <w:szCs w:val="22"/>
          <w:lang w:val="sk-SK"/>
        </w:rPr>
        <w:t xml:space="preserve"> (1 500 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 xml:space="preserve"> trikrát denne). Hlásené nežiaduce udalosti zahŕňali </w:t>
      </w:r>
      <w:proofErr w:type="spellStart"/>
      <w:r w:rsidRPr="00543955">
        <w:rPr>
          <w:szCs w:val="22"/>
          <w:lang w:val="sk-SK"/>
        </w:rPr>
        <w:t>arytmiu</w:t>
      </w:r>
      <w:proofErr w:type="spellEnd"/>
      <w:r w:rsidRPr="00543955">
        <w:rPr>
          <w:szCs w:val="22"/>
          <w:lang w:val="sk-SK"/>
        </w:rPr>
        <w:t xml:space="preserve">, hypotenziu, zastavenie srdca, </w:t>
      </w:r>
      <w:proofErr w:type="spellStart"/>
      <w:r w:rsidRPr="00543955">
        <w:rPr>
          <w:szCs w:val="22"/>
          <w:lang w:val="sk-SK"/>
        </w:rPr>
        <w:t>hypoxiu</w:t>
      </w:r>
      <w:proofErr w:type="spellEnd"/>
      <w:r w:rsidRPr="00543955">
        <w:rPr>
          <w:szCs w:val="22"/>
          <w:lang w:val="sk-SK"/>
        </w:rPr>
        <w:t xml:space="preserve"> mozgu, </w:t>
      </w:r>
      <w:proofErr w:type="spellStart"/>
      <w:r w:rsidRPr="00543955">
        <w:rPr>
          <w:szCs w:val="22"/>
          <w:lang w:val="sk-SK"/>
        </w:rPr>
        <w:t>pankreatitídu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hepatickú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steatózu</w:t>
      </w:r>
      <w:proofErr w:type="spellEnd"/>
      <w:r w:rsidRPr="00543955">
        <w:rPr>
          <w:szCs w:val="22"/>
          <w:lang w:val="sk-SK"/>
        </w:rPr>
        <w:t xml:space="preserve">, hnačku, slabosť, letargiu, pokles telesnej hmotnosti, </w:t>
      </w:r>
      <w:proofErr w:type="spellStart"/>
      <w:r w:rsidRPr="00543955">
        <w:rPr>
          <w:szCs w:val="22"/>
          <w:lang w:val="sk-SK"/>
        </w:rPr>
        <w:t>hepatomegáliu</w:t>
      </w:r>
      <w:proofErr w:type="spellEnd"/>
      <w:r w:rsidRPr="00543955">
        <w:rPr>
          <w:szCs w:val="22"/>
          <w:lang w:val="sk-SK"/>
        </w:rPr>
        <w:t xml:space="preserve"> a </w:t>
      </w:r>
      <w:proofErr w:type="spellStart"/>
      <w:r w:rsidRPr="00543955">
        <w:rPr>
          <w:szCs w:val="22"/>
          <w:lang w:val="sk-SK"/>
        </w:rPr>
        <w:t>laktátovú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acidózu</w:t>
      </w:r>
      <w:proofErr w:type="spellEnd"/>
      <w:r w:rsidRPr="00543955">
        <w:rPr>
          <w:szCs w:val="22"/>
          <w:lang w:val="sk-SK"/>
        </w:rPr>
        <w:t>.</w:t>
      </w:r>
    </w:p>
    <w:p w14:paraId="1F04249E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FD96F7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>U detí boli dávky v rozmedzí 50 – 3 000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>/deň podané kontinuálnou infúziou (2,1 – 500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 xml:space="preserve">/hod) alebo </w:t>
      </w:r>
      <w:proofErr w:type="spellStart"/>
      <w:r w:rsidRPr="00543955">
        <w:rPr>
          <w:szCs w:val="22"/>
          <w:lang w:val="sk-SK"/>
        </w:rPr>
        <w:t>subkutánne</w:t>
      </w:r>
      <w:proofErr w:type="spellEnd"/>
      <w:r w:rsidRPr="00543955">
        <w:rPr>
          <w:szCs w:val="22"/>
          <w:lang w:val="sk-SK"/>
        </w:rPr>
        <w:t xml:space="preserve"> (50 – 100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>). Jedinou hlásenou nežiaducou udalosťou bola mierna hyperglykémia.</w:t>
      </w:r>
    </w:p>
    <w:p w14:paraId="27956C35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64E514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pacientov s karcinómami, ktorí dostávali </w:t>
      </w:r>
      <w:proofErr w:type="spellStart"/>
      <w:r w:rsidRPr="00543955">
        <w:rPr>
          <w:szCs w:val="22"/>
          <w:lang w:val="sk-SK"/>
        </w:rPr>
        <w:t>subkutánne</w:t>
      </w:r>
      <w:proofErr w:type="spellEnd"/>
      <w:r w:rsidRPr="00543955">
        <w:rPr>
          <w:szCs w:val="22"/>
          <w:lang w:val="sk-SK"/>
        </w:rPr>
        <w:t xml:space="preserve"> dávky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3 000 – 30 000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>/deň rozdelené na čiastkové dávky, sa nezaznamenali žiadne neočakávané nežiaduce udalosti.</w:t>
      </w:r>
    </w:p>
    <w:p w14:paraId="7BB4F01A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6C0C5B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>Liečba predávkovania je symptomatická.</w:t>
      </w:r>
    </w:p>
    <w:p w14:paraId="3722E317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06EAFA3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54E897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5.</w:t>
      </w:r>
      <w:r w:rsidRPr="00543955">
        <w:rPr>
          <w:b/>
          <w:szCs w:val="22"/>
          <w:lang w:val="sk-SK"/>
        </w:rPr>
        <w:tab/>
        <w:t>FARMAKOLOGICKÉ VLASTNOSTI</w:t>
      </w:r>
    </w:p>
    <w:p w14:paraId="716BC3AA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highlight w:val="yellow"/>
          <w:lang w:val="sk-SK"/>
        </w:rPr>
      </w:pPr>
    </w:p>
    <w:p w14:paraId="4E3E56A7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5.1</w:t>
      </w:r>
      <w:r w:rsidRPr="00543955">
        <w:rPr>
          <w:b/>
          <w:szCs w:val="22"/>
          <w:lang w:val="sk-SK"/>
        </w:rPr>
        <w:tab/>
      </w:r>
      <w:proofErr w:type="spellStart"/>
      <w:r w:rsidRPr="00543955">
        <w:rPr>
          <w:b/>
          <w:szCs w:val="22"/>
          <w:lang w:val="sk-SK"/>
        </w:rPr>
        <w:t>Farmakodynamické</w:t>
      </w:r>
      <w:proofErr w:type="spellEnd"/>
      <w:r w:rsidRPr="00543955">
        <w:rPr>
          <w:b/>
          <w:szCs w:val="22"/>
          <w:lang w:val="sk-SK"/>
        </w:rPr>
        <w:t xml:space="preserve"> vlastnosti</w:t>
      </w:r>
    </w:p>
    <w:p w14:paraId="488F3549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8FC0B96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Farmakoterapeutická</w:t>
      </w:r>
      <w:proofErr w:type="spellEnd"/>
      <w:r w:rsidRPr="00543955">
        <w:rPr>
          <w:szCs w:val="22"/>
          <w:lang w:val="sk-SK"/>
        </w:rPr>
        <w:t xml:space="preserve"> skupina: </w:t>
      </w:r>
      <w:r>
        <w:rPr>
          <w:szCs w:val="22"/>
          <w:lang w:val="sk-SK"/>
        </w:rPr>
        <w:t xml:space="preserve">Hormóny hypofýzy a hypotalamu a </w:t>
      </w:r>
      <w:proofErr w:type="spellStart"/>
      <w:r>
        <w:rPr>
          <w:szCs w:val="22"/>
          <w:lang w:val="sk-SK"/>
        </w:rPr>
        <w:t>analógy</w:t>
      </w:r>
      <w:proofErr w:type="spellEnd"/>
      <w:r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Somatostatín</w:t>
      </w:r>
      <w:proofErr w:type="spellEnd"/>
      <w:r w:rsidRPr="00543955">
        <w:rPr>
          <w:szCs w:val="22"/>
          <w:lang w:val="sk-SK"/>
        </w:rPr>
        <w:t xml:space="preserve"> a </w:t>
      </w:r>
      <w:proofErr w:type="spellStart"/>
      <w:r w:rsidRPr="00543955">
        <w:rPr>
          <w:szCs w:val="22"/>
          <w:lang w:val="sk-SK"/>
        </w:rPr>
        <w:t>analógy</w:t>
      </w:r>
      <w:proofErr w:type="spellEnd"/>
      <w:r w:rsidRPr="00543955">
        <w:rPr>
          <w:szCs w:val="22"/>
          <w:lang w:val="sk-SK"/>
        </w:rPr>
        <w:t>, ATC</w:t>
      </w:r>
      <w:r w:rsidR="0087779A">
        <w:rPr>
          <w:szCs w:val="22"/>
          <w:lang w:val="sk-SK"/>
        </w:rPr>
        <w:t> </w:t>
      </w:r>
      <w:r w:rsidRPr="00543955">
        <w:rPr>
          <w:szCs w:val="22"/>
          <w:lang w:val="sk-SK"/>
        </w:rPr>
        <w:t>kód:</w:t>
      </w:r>
      <w:r w:rsidR="0087779A">
        <w:rPr>
          <w:szCs w:val="22"/>
          <w:lang w:val="sk-SK"/>
        </w:rPr>
        <w:t> </w:t>
      </w:r>
      <w:r w:rsidRPr="00543955">
        <w:rPr>
          <w:szCs w:val="22"/>
          <w:lang w:val="sk-SK"/>
        </w:rPr>
        <w:t>H01CB02</w:t>
      </w:r>
    </w:p>
    <w:p w14:paraId="385539B5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893A1C8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je syntetický </w:t>
      </w:r>
      <w:proofErr w:type="spellStart"/>
      <w:r w:rsidRPr="00543955">
        <w:rPr>
          <w:szCs w:val="22"/>
          <w:lang w:val="sk-SK"/>
        </w:rPr>
        <w:t>oktapeptidový</w:t>
      </w:r>
      <w:proofErr w:type="spellEnd"/>
      <w:r w:rsidRPr="00543955">
        <w:rPr>
          <w:szCs w:val="22"/>
          <w:lang w:val="sk-SK"/>
        </w:rPr>
        <w:t xml:space="preserve"> derivát prirodzene sa vyskytujúceho </w:t>
      </w:r>
      <w:proofErr w:type="spellStart"/>
      <w:r w:rsidRPr="00543955">
        <w:rPr>
          <w:szCs w:val="22"/>
          <w:lang w:val="sk-SK"/>
        </w:rPr>
        <w:t>somatostatínu</w:t>
      </w:r>
      <w:proofErr w:type="spellEnd"/>
      <w:r w:rsidRPr="00543955">
        <w:rPr>
          <w:szCs w:val="22"/>
          <w:lang w:val="sk-SK"/>
        </w:rPr>
        <w:t xml:space="preserve"> s podobnými farmakologickými účinkami, ale podstatne dlhším trvaním účinku. Tlmí patologicky zvýšenú sekréciu rastového hormónu (STH) a </w:t>
      </w:r>
      <w:proofErr w:type="spellStart"/>
      <w:r w:rsidRPr="00543955">
        <w:rPr>
          <w:szCs w:val="22"/>
          <w:lang w:val="sk-SK"/>
        </w:rPr>
        <w:t>peptidov</w:t>
      </w:r>
      <w:proofErr w:type="spellEnd"/>
      <w:r w:rsidRPr="00543955">
        <w:rPr>
          <w:szCs w:val="22"/>
          <w:lang w:val="sk-SK"/>
        </w:rPr>
        <w:t xml:space="preserve"> a </w:t>
      </w:r>
      <w:proofErr w:type="spellStart"/>
      <w:r w:rsidRPr="00543955">
        <w:rPr>
          <w:szCs w:val="22"/>
          <w:lang w:val="sk-SK"/>
        </w:rPr>
        <w:t>serotonínu</w:t>
      </w:r>
      <w:proofErr w:type="spellEnd"/>
      <w:r w:rsidRPr="00543955">
        <w:rPr>
          <w:szCs w:val="22"/>
          <w:lang w:val="sk-SK"/>
        </w:rPr>
        <w:t xml:space="preserve"> tvorených v </w:t>
      </w:r>
      <w:proofErr w:type="spellStart"/>
      <w:r w:rsidRPr="00543955">
        <w:rPr>
          <w:szCs w:val="22"/>
          <w:lang w:val="sk-SK"/>
        </w:rPr>
        <w:t>gastroenteropankreatickom</w:t>
      </w:r>
      <w:proofErr w:type="spellEnd"/>
      <w:r w:rsidRPr="00543955">
        <w:rPr>
          <w:szCs w:val="22"/>
          <w:lang w:val="sk-SK"/>
        </w:rPr>
        <w:t xml:space="preserve"> (GEP) endokrinnom systéme.</w:t>
      </w:r>
    </w:p>
    <w:p w14:paraId="12B24502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0E1EEA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zvierat je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v porovnaní so </w:t>
      </w:r>
      <w:proofErr w:type="spellStart"/>
      <w:r w:rsidRPr="00543955">
        <w:rPr>
          <w:szCs w:val="22"/>
          <w:lang w:val="sk-SK"/>
        </w:rPr>
        <w:t>somatostatínom</w:t>
      </w:r>
      <w:proofErr w:type="spellEnd"/>
      <w:r w:rsidRPr="00543955">
        <w:rPr>
          <w:szCs w:val="22"/>
          <w:lang w:val="sk-SK"/>
        </w:rPr>
        <w:t xml:space="preserve"> účinnejší inhibítor uvoľňovania STH,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 xml:space="preserve"> a inzulínu a má vyššiu </w:t>
      </w:r>
      <w:proofErr w:type="spellStart"/>
      <w:r w:rsidRPr="00543955">
        <w:rPr>
          <w:szCs w:val="22"/>
          <w:lang w:val="sk-SK"/>
        </w:rPr>
        <w:t>selektivitu</w:t>
      </w:r>
      <w:proofErr w:type="spellEnd"/>
      <w:r w:rsidRPr="00543955">
        <w:rPr>
          <w:szCs w:val="22"/>
          <w:lang w:val="sk-SK"/>
        </w:rPr>
        <w:t xml:space="preserve"> pre tlmenie STH a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>.</w:t>
      </w:r>
    </w:p>
    <w:p w14:paraId="24C4D1E6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DB524B2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zdravých osôb sa preukázalo, že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tlmí:</w:t>
      </w:r>
    </w:p>
    <w:p w14:paraId="194D86BA" w14:textId="77777777" w:rsidR="00871AAF" w:rsidRPr="00543955" w:rsidRDefault="00871AAF" w:rsidP="008B5A5F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uvoľňovanie STH stimulované </w:t>
      </w:r>
      <w:proofErr w:type="spellStart"/>
      <w:r w:rsidRPr="00543955">
        <w:rPr>
          <w:szCs w:val="22"/>
          <w:lang w:val="sk-SK"/>
        </w:rPr>
        <w:t>arginínom</w:t>
      </w:r>
      <w:proofErr w:type="spellEnd"/>
      <w:r w:rsidRPr="00543955">
        <w:rPr>
          <w:szCs w:val="22"/>
          <w:lang w:val="sk-SK"/>
        </w:rPr>
        <w:t xml:space="preserve"> a </w:t>
      </w:r>
      <w:proofErr w:type="spellStart"/>
      <w:r w:rsidRPr="00543955">
        <w:rPr>
          <w:szCs w:val="22"/>
          <w:lang w:val="sk-SK"/>
        </w:rPr>
        <w:t>hypoglykémiu</w:t>
      </w:r>
      <w:proofErr w:type="spellEnd"/>
      <w:r w:rsidRPr="00543955">
        <w:rPr>
          <w:szCs w:val="22"/>
          <w:lang w:val="sk-SK"/>
        </w:rPr>
        <w:t xml:space="preserve"> vyvolanú záťažou a inzulínom,</w:t>
      </w:r>
    </w:p>
    <w:p w14:paraId="4E363AAD" w14:textId="77777777" w:rsidR="00871AAF" w:rsidRPr="00543955" w:rsidRDefault="00871AAF" w:rsidP="007E1DD6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postprandiálne</w:t>
      </w:r>
      <w:proofErr w:type="spellEnd"/>
      <w:r w:rsidRPr="00543955">
        <w:rPr>
          <w:szCs w:val="22"/>
          <w:lang w:val="sk-SK"/>
        </w:rPr>
        <w:t xml:space="preserve"> uvoľňovanie inzulínu,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gastrínu</w:t>
      </w:r>
      <w:proofErr w:type="spellEnd"/>
      <w:r w:rsidRPr="00543955">
        <w:rPr>
          <w:szCs w:val="22"/>
          <w:lang w:val="sk-SK"/>
        </w:rPr>
        <w:t xml:space="preserve"> a iných </w:t>
      </w:r>
      <w:proofErr w:type="spellStart"/>
      <w:r w:rsidRPr="00543955">
        <w:rPr>
          <w:szCs w:val="22"/>
          <w:lang w:val="sk-SK"/>
        </w:rPr>
        <w:t>peptidov</w:t>
      </w:r>
      <w:proofErr w:type="spellEnd"/>
      <w:r w:rsidRPr="00543955">
        <w:rPr>
          <w:szCs w:val="22"/>
          <w:lang w:val="sk-SK"/>
        </w:rPr>
        <w:t xml:space="preserve"> GEP endokrinného systému a </w:t>
      </w:r>
      <w:proofErr w:type="spellStart"/>
      <w:r w:rsidRPr="00543955">
        <w:rPr>
          <w:szCs w:val="22"/>
          <w:lang w:val="sk-SK"/>
        </w:rPr>
        <w:t>arginínom</w:t>
      </w:r>
      <w:proofErr w:type="spellEnd"/>
      <w:r w:rsidRPr="00543955">
        <w:rPr>
          <w:szCs w:val="22"/>
          <w:lang w:val="sk-SK"/>
        </w:rPr>
        <w:t xml:space="preserve"> stimulované uvoľňovanie inzulínu a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>,</w:t>
      </w:r>
    </w:p>
    <w:p w14:paraId="1175E607" w14:textId="77777777" w:rsidR="00871AAF" w:rsidRPr="00543955" w:rsidRDefault="00871AAF" w:rsidP="007E1DD6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uvoľňovanie TSH stimulované </w:t>
      </w:r>
      <w:proofErr w:type="spellStart"/>
      <w:r w:rsidRPr="00543955">
        <w:rPr>
          <w:szCs w:val="22"/>
          <w:lang w:val="sk-SK"/>
        </w:rPr>
        <w:t>tyreoliberínom</w:t>
      </w:r>
      <w:proofErr w:type="spellEnd"/>
      <w:r w:rsidRPr="00543955">
        <w:rPr>
          <w:szCs w:val="22"/>
          <w:lang w:val="sk-SK"/>
        </w:rPr>
        <w:t xml:space="preserve"> (TRH).</w:t>
      </w:r>
    </w:p>
    <w:p w14:paraId="73065296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9B3F99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Na rozdiel od </w:t>
      </w:r>
      <w:proofErr w:type="spellStart"/>
      <w:r w:rsidRPr="00543955">
        <w:rPr>
          <w:szCs w:val="22"/>
          <w:lang w:val="sk-SK"/>
        </w:rPr>
        <w:t>somatostatínu</w:t>
      </w:r>
      <w:proofErr w:type="spellEnd"/>
      <w:r w:rsidRPr="00543955">
        <w:rPr>
          <w:szCs w:val="22"/>
          <w:lang w:val="sk-SK"/>
        </w:rPr>
        <w:t xml:space="preserve"> tlmí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sekréciu STH vo väčšej miere ako inzulínu a reakciou na jeho podanie nie je zvýšená sekrécia hormónov (t.j. STH u pacientov s </w:t>
      </w:r>
      <w:proofErr w:type="spellStart"/>
      <w:r w:rsidRPr="00543955">
        <w:rPr>
          <w:szCs w:val="22"/>
          <w:lang w:val="sk-SK"/>
        </w:rPr>
        <w:t>akromegáliou</w:t>
      </w:r>
      <w:proofErr w:type="spellEnd"/>
      <w:r w:rsidRPr="00543955">
        <w:rPr>
          <w:szCs w:val="22"/>
          <w:lang w:val="sk-SK"/>
        </w:rPr>
        <w:t>).</w:t>
      </w:r>
    </w:p>
    <w:p w14:paraId="62E3BB34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91A5F0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 pacientov s </w:t>
      </w:r>
      <w:proofErr w:type="spellStart"/>
      <w:r w:rsidRPr="00543955">
        <w:rPr>
          <w:szCs w:val="22"/>
          <w:lang w:val="sk-SK"/>
        </w:rPr>
        <w:t>akromegáliou</w:t>
      </w:r>
      <w:proofErr w:type="spellEnd"/>
      <w:r w:rsidRPr="00543955">
        <w:rPr>
          <w:szCs w:val="22"/>
          <w:lang w:val="sk-SK"/>
        </w:rPr>
        <w:t xml:space="preserve"> znižuje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plazmatické hladiny STH a IGF-1. Ku zníženiu STH o 50% alebo viac dôjde až u 90% pacientov a asi v polovici prípadov sa dá dosiahnuť zníženie STH v sére na hodnoty &lt;5 </w:t>
      </w:r>
      <w:proofErr w:type="spellStart"/>
      <w:r w:rsidRPr="00543955">
        <w:rPr>
          <w:szCs w:val="22"/>
          <w:lang w:val="sk-SK"/>
        </w:rPr>
        <w:t>ng</w:t>
      </w:r>
      <w:proofErr w:type="spellEnd"/>
      <w:r w:rsidRPr="00543955">
        <w:rPr>
          <w:szCs w:val="22"/>
          <w:lang w:val="sk-SK"/>
        </w:rPr>
        <w:t xml:space="preserve">/ml. U väčšiny pacientov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výrazne potláča klinické prejavy choroby, ako je bolesť hlavy, opuch kože a mäkkých tkanív, </w:t>
      </w:r>
      <w:proofErr w:type="spellStart"/>
      <w:r w:rsidRPr="00543955">
        <w:rPr>
          <w:szCs w:val="22"/>
          <w:lang w:val="sk-SK"/>
        </w:rPr>
        <w:t>hyperhidróza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artralgia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parestézia</w:t>
      </w:r>
      <w:proofErr w:type="spellEnd"/>
      <w:r w:rsidRPr="00543955">
        <w:rPr>
          <w:szCs w:val="22"/>
          <w:lang w:val="sk-SK"/>
        </w:rPr>
        <w:t xml:space="preserve">. U pacientov s veľkým </w:t>
      </w:r>
      <w:proofErr w:type="spellStart"/>
      <w:r w:rsidRPr="00543955">
        <w:rPr>
          <w:szCs w:val="22"/>
          <w:lang w:val="sk-SK"/>
        </w:rPr>
        <w:t>adenómom</w:t>
      </w:r>
      <w:proofErr w:type="spellEnd"/>
      <w:r w:rsidRPr="00543955">
        <w:rPr>
          <w:szCs w:val="22"/>
          <w:lang w:val="sk-SK"/>
        </w:rPr>
        <w:t xml:space="preserve"> hypofýzy môže liečba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vyvolať určité zmenšenie objemu nádorového tkaniva.</w:t>
      </w:r>
    </w:p>
    <w:p w14:paraId="4F97BF2E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8E1D22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pacientov s funkčnými nádormi GEP endokrinného systému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na základe svojich rozmanitých endokrinných účinkov ovplyvňuje celý rad klinických príznakov. Ku klinickému zlepšeniu a zmierneniu symptómov dochádza u pacientov, u ktorých pretrvávajú príznaky súvisiace s nádorom napriek predchádzajúcej liečbe, ktorá môže zahŕňať chirurgický výkon, </w:t>
      </w:r>
      <w:proofErr w:type="spellStart"/>
      <w:r w:rsidRPr="00543955">
        <w:rPr>
          <w:szCs w:val="22"/>
          <w:lang w:val="sk-SK"/>
        </w:rPr>
        <w:t>embolizáciu</w:t>
      </w:r>
      <w:proofErr w:type="spellEnd"/>
      <w:r w:rsidRPr="00543955">
        <w:rPr>
          <w:szCs w:val="22"/>
          <w:lang w:val="sk-SK"/>
        </w:rPr>
        <w:t xml:space="preserve"> pečeňovej artérie a rôzne druhy chemoterapie, napr. </w:t>
      </w:r>
      <w:proofErr w:type="spellStart"/>
      <w:r w:rsidRPr="00543955">
        <w:rPr>
          <w:szCs w:val="22"/>
          <w:lang w:val="sk-SK"/>
        </w:rPr>
        <w:t>streptozocínom</w:t>
      </w:r>
      <w:proofErr w:type="spellEnd"/>
      <w:r w:rsidRPr="00543955">
        <w:rPr>
          <w:szCs w:val="22"/>
          <w:lang w:val="sk-SK"/>
        </w:rPr>
        <w:t xml:space="preserve"> a 5-fluorouracilom.</w:t>
      </w:r>
    </w:p>
    <w:p w14:paraId="66005786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2A9608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 xml:space="preserve">Účinky </w:t>
      </w:r>
      <w:proofErr w:type="spellStart"/>
      <w:r w:rsidRPr="00543955">
        <w:rPr>
          <w:szCs w:val="22"/>
          <w:u w:val="single"/>
          <w:lang w:val="sk-SK"/>
        </w:rPr>
        <w:t>Sandostatinu</w:t>
      </w:r>
      <w:proofErr w:type="spellEnd"/>
      <w:r w:rsidRPr="00543955">
        <w:rPr>
          <w:szCs w:val="22"/>
          <w:u w:val="single"/>
          <w:lang w:val="sk-SK"/>
        </w:rPr>
        <w:t xml:space="preserve"> pri rôznych typoch nádorov sú nasledovné</w:t>
      </w:r>
    </w:p>
    <w:p w14:paraId="1ACA8F65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67EBCB0A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u w:val="single"/>
          <w:lang w:val="sk-SK"/>
        </w:rPr>
        <w:t>Karcinoidové</w:t>
      </w:r>
      <w:proofErr w:type="spellEnd"/>
      <w:r w:rsidRPr="00543955">
        <w:rPr>
          <w:szCs w:val="22"/>
          <w:u w:val="single"/>
          <w:lang w:val="sk-SK"/>
        </w:rPr>
        <w:t xml:space="preserve"> nádory</w:t>
      </w:r>
    </w:p>
    <w:p w14:paraId="5BD9250F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6F95E7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môže viesť k ústupu príznakov, hlavne návalov tepla a hnačky. V mnohých prípadoch súčasne dochádza k poklesu hladiny </w:t>
      </w:r>
      <w:proofErr w:type="spellStart"/>
      <w:r w:rsidRPr="00543955">
        <w:rPr>
          <w:szCs w:val="22"/>
          <w:lang w:val="sk-SK"/>
        </w:rPr>
        <w:t>serotonínu</w:t>
      </w:r>
      <w:proofErr w:type="spellEnd"/>
      <w:r w:rsidRPr="00543955">
        <w:rPr>
          <w:szCs w:val="22"/>
          <w:lang w:val="sk-SK"/>
        </w:rPr>
        <w:t xml:space="preserve"> v plazme a k zníženiu vylučovania kyseliny 5-hydroxyindoloctovej močom.</w:t>
      </w:r>
    </w:p>
    <w:p w14:paraId="37D69683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58E007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543955">
        <w:rPr>
          <w:szCs w:val="22"/>
          <w:u w:val="single"/>
          <w:lang w:val="sk-SK"/>
        </w:rPr>
        <w:t>VIPómy</w:t>
      </w:r>
      <w:proofErr w:type="spellEnd"/>
    </w:p>
    <w:p w14:paraId="72974E79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AA614F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Biochemickou vlastnosťou týchto nádorov je nadprodukcia </w:t>
      </w:r>
      <w:proofErr w:type="spellStart"/>
      <w:r w:rsidRPr="00543955">
        <w:rPr>
          <w:szCs w:val="22"/>
          <w:lang w:val="sk-SK"/>
        </w:rPr>
        <w:t>vazoaktívneho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intestinálneho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peptidu</w:t>
      </w:r>
      <w:proofErr w:type="spellEnd"/>
      <w:r w:rsidRPr="00543955">
        <w:rPr>
          <w:szCs w:val="22"/>
          <w:lang w:val="sk-SK"/>
        </w:rPr>
        <w:t xml:space="preserve"> (VIP). Vo väčšine prípadov 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vyvolá zmiernenie ťažkej, pre tento stav typickej </w:t>
      </w:r>
      <w:proofErr w:type="spellStart"/>
      <w:r w:rsidRPr="00543955">
        <w:rPr>
          <w:szCs w:val="22"/>
          <w:lang w:val="sk-SK"/>
        </w:rPr>
        <w:t>sekretorickej</w:t>
      </w:r>
      <w:proofErr w:type="spellEnd"/>
      <w:r w:rsidRPr="00543955">
        <w:rPr>
          <w:szCs w:val="22"/>
          <w:lang w:val="sk-SK"/>
        </w:rPr>
        <w:t xml:space="preserve"> hnačky, s následným zlepšením kvality života. Toto zároveň vedie aj k ústupu sprievodných porúch elektrolytov, napr. </w:t>
      </w:r>
      <w:proofErr w:type="spellStart"/>
      <w:r w:rsidRPr="00543955">
        <w:rPr>
          <w:szCs w:val="22"/>
          <w:lang w:val="sk-SK"/>
        </w:rPr>
        <w:t>hypokaliémie</w:t>
      </w:r>
      <w:proofErr w:type="spellEnd"/>
      <w:r w:rsidRPr="00543955">
        <w:rPr>
          <w:szCs w:val="22"/>
          <w:lang w:val="sk-SK"/>
        </w:rPr>
        <w:t xml:space="preserve">, čo umožňuje ukončiť </w:t>
      </w:r>
      <w:proofErr w:type="spellStart"/>
      <w:r w:rsidRPr="00543955">
        <w:rPr>
          <w:szCs w:val="22"/>
          <w:lang w:val="sk-SK"/>
        </w:rPr>
        <w:t>enterálne</w:t>
      </w:r>
      <w:proofErr w:type="spellEnd"/>
      <w:r w:rsidRPr="00543955">
        <w:rPr>
          <w:szCs w:val="22"/>
          <w:lang w:val="sk-SK"/>
        </w:rPr>
        <w:t xml:space="preserve"> aj </w:t>
      </w:r>
      <w:proofErr w:type="spellStart"/>
      <w:r w:rsidRPr="00543955">
        <w:rPr>
          <w:szCs w:val="22"/>
          <w:lang w:val="sk-SK"/>
        </w:rPr>
        <w:t>parenterálne</w:t>
      </w:r>
      <w:proofErr w:type="spellEnd"/>
      <w:r w:rsidRPr="00543955">
        <w:rPr>
          <w:szCs w:val="22"/>
          <w:lang w:val="sk-SK"/>
        </w:rPr>
        <w:t xml:space="preserve"> dopĺňanie tekutín a elektrolytov. U niektorých pacientov sa pri vyšetrení počítačovou tomografiou ukáže spomalenie alebo zastavenie rastu nádoru alebo dokonca zmenšovanie jeho objemu, hlavne metastáz v pečeni. Klinické zlepšenie zvyčajne sprevádza zníženie plazmatických hladín VIP, ktoré môžu klesnúť do normálneho referenčného rozmedzia.</w:t>
      </w:r>
    </w:p>
    <w:p w14:paraId="7063D628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1BC128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543955">
        <w:rPr>
          <w:szCs w:val="22"/>
          <w:u w:val="single"/>
          <w:lang w:val="sk-SK"/>
        </w:rPr>
        <w:t>Glukagonómy</w:t>
      </w:r>
      <w:proofErr w:type="spellEnd"/>
    </w:p>
    <w:p w14:paraId="60CDE27D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76AFC6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vo väčšine prípadov vedie k podstatnému zmierneniu </w:t>
      </w:r>
      <w:proofErr w:type="spellStart"/>
      <w:r w:rsidRPr="00543955">
        <w:rPr>
          <w:szCs w:val="22"/>
          <w:lang w:val="sk-SK"/>
        </w:rPr>
        <w:t>nekrolytického</w:t>
      </w:r>
      <w:proofErr w:type="spellEnd"/>
      <w:r w:rsidRPr="00543955">
        <w:rPr>
          <w:szCs w:val="22"/>
          <w:lang w:val="sk-SK"/>
        </w:rPr>
        <w:t xml:space="preserve"> sťahovavého </w:t>
      </w:r>
      <w:proofErr w:type="spellStart"/>
      <w:r w:rsidRPr="00543955">
        <w:rPr>
          <w:szCs w:val="22"/>
          <w:lang w:val="sk-SK"/>
        </w:rPr>
        <w:t>erytému</w:t>
      </w:r>
      <w:proofErr w:type="spellEnd"/>
      <w:r w:rsidRPr="00543955">
        <w:rPr>
          <w:szCs w:val="22"/>
          <w:lang w:val="sk-SK"/>
        </w:rPr>
        <w:t xml:space="preserve">, ktorý je charakteristický pre toto ochorenie. Účinok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na mierny diabetes </w:t>
      </w:r>
      <w:proofErr w:type="spellStart"/>
      <w:r w:rsidRPr="00543955">
        <w:rPr>
          <w:szCs w:val="22"/>
          <w:lang w:val="sk-SK"/>
        </w:rPr>
        <w:t>mellitus</w:t>
      </w:r>
      <w:proofErr w:type="spellEnd"/>
      <w:r w:rsidRPr="00543955">
        <w:rPr>
          <w:szCs w:val="22"/>
          <w:lang w:val="sk-SK"/>
        </w:rPr>
        <w:t xml:space="preserve">, ktorý sa často vyskytuje, nie je výrazný a vo všeobecnosti nemá za následok zníženie potreby inzulínu alebo perorálnych </w:t>
      </w:r>
      <w:proofErr w:type="spellStart"/>
      <w:r w:rsidRPr="00543955">
        <w:rPr>
          <w:szCs w:val="22"/>
          <w:lang w:val="sk-SK"/>
        </w:rPr>
        <w:t>antidiabetík</w:t>
      </w:r>
      <w:proofErr w:type="spellEnd"/>
      <w:r w:rsidRPr="00543955">
        <w:rPr>
          <w:szCs w:val="22"/>
          <w:lang w:val="sk-SK"/>
        </w:rPr>
        <w:t xml:space="preserve">. U postihnutých pacientov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zmierňuje hnačku a spôsobuje nárast telesnej hmotnosti. Aj keď 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často vedie k okamžitému zníženiu plazmatických hladín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>, tento pokles zvyčajne nepretrváva pri dlhodobom podávaní lieku, a to napriek pokračujúcemu zlepšovaniu príznakov.</w:t>
      </w:r>
    </w:p>
    <w:p w14:paraId="45421B04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134B5D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proofErr w:type="spellStart"/>
      <w:r w:rsidRPr="00543955">
        <w:rPr>
          <w:szCs w:val="22"/>
          <w:u w:val="single"/>
          <w:lang w:val="sk-SK"/>
        </w:rPr>
        <w:t>Gastrinómy</w:t>
      </w:r>
      <w:proofErr w:type="spellEnd"/>
      <w:r w:rsidRPr="00543955">
        <w:rPr>
          <w:szCs w:val="22"/>
          <w:u w:val="single"/>
          <w:lang w:val="sk-SK"/>
        </w:rPr>
        <w:t xml:space="preserve"> (</w:t>
      </w:r>
      <w:proofErr w:type="spellStart"/>
      <w:r w:rsidRPr="00543955">
        <w:rPr>
          <w:szCs w:val="22"/>
          <w:u w:val="single"/>
          <w:lang w:val="sk-SK"/>
        </w:rPr>
        <w:t>Zollingerov-Ellisonov</w:t>
      </w:r>
      <w:proofErr w:type="spellEnd"/>
      <w:r w:rsidRPr="00543955">
        <w:rPr>
          <w:szCs w:val="22"/>
          <w:u w:val="single"/>
          <w:lang w:val="sk-SK"/>
        </w:rPr>
        <w:t xml:space="preserve"> syndróm)</w:t>
      </w:r>
    </w:p>
    <w:p w14:paraId="433ED945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220588" w14:textId="77777777"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Liečba inhibítormi protónovej pumpy alebo </w:t>
      </w:r>
      <w:proofErr w:type="spellStart"/>
      <w:r w:rsidRPr="00543955">
        <w:rPr>
          <w:szCs w:val="22"/>
          <w:lang w:val="sk-SK"/>
        </w:rPr>
        <w:t>blokátormi</w:t>
      </w:r>
      <w:proofErr w:type="spellEnd"/>
      <w:r w:rsidRPr="00543955">
        <w:rPr>
          <w:szCs w:val="22"/>
          <w:lang w:val="sk-SK"/>
        </w:rPr>
        <w:t xml:space="preserve"> H2-receptorov obyčajne reguluje nadmernú sekréciu žalúdkovej kyseliny. Avšak hnačku, ktorá je tiež významným príznakom, nemusia inhibítory protónovej pumpy alebo </w:t>
      </w:r>
      <w:proofErr w:type="spellStart"/>
      <w:r w:rsidRPr="00543955">
        <w:rPr>
          <w:szCs w:val="22"/>
          <w:lang w:val="sk-SK"/>
        </w:rPr>
        <w:t>blokátory</w:t>
      </w:r>
      <w:proofErr w:type="spellEnd"/>
      <w:r w:rsidRPr="00543955">
        <w:rPr>
          <w:szCs w:val="22"/>
          <w:lang w:val="sk-SK"/>
        </w:rPr>
        <w:t xml:space="preserve"> H2-receptorov adekvátne zmierniť.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môže ďalej znížiť nadmernú sekréciu žalúdkovej kyseliny a zlepšiť príznaky, vrátane hnačky, keďže u niektorých pacientov prináša potlačenie zvýšených hladín </w:t>
      </w:r>
      <w:proofErr w:type="spellStart"/>
      <w:r w:rsidRPr="00543955">
        <w:rPr>
          <w:szCs w:val="22"/>
          <w:lang w:val="sk-SK"/>
        </w:rPr>
        <w:t>gastrínu</w:t>
      </w:r>
      <w:proofErr w:type="spellEnd"/>
      <w:r w:rsidRPr="00543955">
        <w:rPr>
          <w:szCs w:val="22"/>
          <w:lang w:val="sk-SK"/>
        </w:rPr>
        <w:t>.</w:t>
      </w:r>
    </w:p>
    <w:p w14:paraId="7D3B0799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9F6693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543955">
        <w:rPr>
          <w:szCs w:val="22"/>
          <w:u w:val="single"/>
          <w:lang w:val="sk-SK"/>
        </w:rPr>
        <w:t>Inzulinómy</w:t>
      </w:r>
      <w:proofErr w:type="spellEnd"/>
    </w:p>
    <w:p w14:paraId="6A2F081E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574443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vyvoláva pokles cirkulujúceho </w:t>
      </w:r>
      <w:proofErr w:type="spellStart"/>
      <w:r w:rsidRPr="00543955">
        <w:rPr>
          <w:szCs w:val="22"/>
          <w:lang w:val="sk-SK"/>
        </w:rPr>
        <w:t>imunoreaktívneho</w:t>
      </w:r>
      <w:proofErr w:type="spellEnd"/>
      <w:r w:rsidRPr="00543955">
        <w:rPr>
          <w:szCs w:val="22"/>
          <w:lang w:val="sk-SK"/>
        </w:rPr>
        <w:t xml:space="preserve"> inzulínu, ktorý však môže trvať len krátko (asi 2 hodiny). U pacientov s </w:t>
      </w:r>
      <w:proofErr w:type="spellStart"/>
      <w:r w:rsidRPr="00543955">
        <w:rPr>
          <w:szCs w:val="22"/>
          <w:lang w:val="sk-SK"/>
        </w:rPr>
        <w:t>operabilnými</w:t>
      </w:r>
      <w:proofErr w:type="spellEnd"/>
      <w:r w:rsidRPr="00543955">
        <w:rPr>
          <w:szCs w:val="22"/>
          <w:lang w:val="sk-SK"/>
        </w:rPr>
        <w:t xml:space="preserve"> nádormi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môže pomôcť obnoviť a udržať </w:t>
      </w:r>
      <w:proofErr w:type="spellStart"/>
      <w:r w:rsidRPr="00543955">
        <w:rPr>
          <w:szCs w:val="22"/>
          <w:lang w:val="sk-SK"/>
        </w:rPr>
        <w:t>normoglykémiu</w:t>
      </w:r>
      <w:proofErr w:type="spellEnd"/>
      <w:r w:rsidRPr="00543955">
        <w:rPr>
          <w:szCs w:val="22"/>
          <w:lang w:val="sk-SK"/>
        </w:rPr>
        <w:t xml:space="preserve"> pred operáciou. U pacientov s </w:t>
      </w:r>
      <w:proofErr w:type="spellStart"/>
      <w:r w:rsidRPr="00543955">
        <w:rPr>
          <w:szCs w:val="22"/>
          <w:lang w:val="sk-SK"/>
        </w:rPr>
        <w:t>neoperabilnými</w:t>
      </w:r>
      <w:proofErr w:type="spellEnd"/>
      <w:r w:rsidRPr="00543955">
        <w:rPr>
          <w:szCs w:val="22"/>
          <w:lang w:val="sk-SK"/>
        </w:rPr>
        <w:t xml:space="preserve"> benígnymi alebo malígnymi nádormi sa môže regulácia glykémie zlepšiť aj bez súčasného trvalého zníženia hladín cirkulujúceho inzulínu.</w:t>
      </w:r>
    </w:p>
    <w:p w14:paraId="13E27E42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125B20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>Komplikácie po operácii pankreasu</w:t>
      </w:r>
    </w:p>
    <w:p w14:paraId="223EE0D3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43BE6A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pacientov podstupujúcich operáciu pankreasu zníži </w:t>
      </w:r>
      <w:proofErr w:type="spellStart"/>
      <w:r w:rsidRPr="00543955">
        <w:rPr>
          <w:szCs w:val="22"/>
          <w:lang w:val="sk-SK"/>
        </w:rPr>
        <w:t>peri</w:t>
      </w:r>
      <w:proofErr w:type="spellEnd"/>
      <w:r w:rsidRPr="00543955">
        <w:rPr>
          <w:szCs w:val="22"/>
          <w:lang w:val="sk-SK"/>
        </w:rPr>
        <w:t xml:space="preserve">- a </w:t>
      </w:r>
      <w:proofErr w:type="spellStart"/>
      <w:r w:rsidRPr="00543955">
        <w:rPr>
          <w:szCs w:val="22"/>
          <w:lang w:val="sk-SK"/>
        </w:rPr>
        <w:t>postoperačné</w:t>
      </w:r>
      <w:proofErr w:type="spellEnd"/>
      <w:r w:rsidRPr="00543955">
        <w:rPr>
          <w:szCs w:val="22"/>
          <w:lang w:val="sk-SK"/>
        </w:rPr>
        <w:t xml:space="preserve"> 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výskyt typických pooperačných komplikácií (napr. pankreatickej fistuly, abscesu a následnej sepsy a pooperačnej akútnej </w:t>
      </w:r>
      <w:proofErr w:type="spellStart"/>
      <w:r w:rsidRPr="00543955">
        <w:rPr>
          <w:szCs w:val="22"/>
          <w:lang w:val="sk-SK"/>
        </w:rPr>
        <w:t>pankreatitídy</w:t>
      </w:r>
      <w:proofErr w:type="spellEnd"/>
      <w:r w:rsidRPr="00543955">
        <w:rPr>
          <w:szCs w:val="22"/>
          <w:lang w:val="sk-SK"/>
        </w:rPr>
        <w:t>).</w:t>
      </w:r>
    </w:p>
    <w:p w14:paraId="7EECD872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389BDA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 xml:space="preserve">Krvácanie z </w:t>
      </w:r>
      <w:proofErr w:type="spellStart"/>
      <w:r w:rsidRPr="00543955">
        <w:rPr>
          <w:szCs w:val="22"/>
          <w:u w:val="single"/>
          <w:lang w:val="sk-SK"/>
        </w:rPr>
        <w:t>gastroezofageálnych</w:t>
      </w:r>
      <w:proofErr w:type="spellEnd"/>
      <w:r w:rsidRPr="00543955">
        <w:rPr>
          <w:szCs w:val="22"/>
          <w:u w:val="single"/>
          <w:lang w:val="sk-SK"/>
        </w:rPr>
        <w:t xml:space="preserve"> </w:t>
      </w:r>
      <w:proofErr w:type="spellStart"/>
      <w:r w:rsidRPr="00543955">
        <w:rPr>
          <w:szCs w:val="22"/>
          <w:u w:val="single"/>
          <w:lang w:val="sk-SK"/>
        </w:rPr>
        <w:t>varixov</w:t>
      </w:r>
      <w:proofErr w:type="spellEnd"/>
    </w:p>
    <w:p w14:paraId="19BFDF93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F0DB06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pacientov s krvácaním z </w:t>
      </w:r>
      <w:proofErr w:type="spellStart"/>
      <w:r w:rsidRPr="00543955">
        <w:rPr>
          <w:szCs w:val="22"/>
          <w:lang w:val="sk-SK"/>
        </w:rPr>
        <w:t>gastroezofageálnych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varixov</w:t>
      </w:r>
      <w:proofErr w:type="spellEnd"/>
      <w:r w:rsidRPr="00543955">
        <w:rPr>
          <w:szCs w:val="22"/>
          <w:lang w:val="sk-SK"/>
        </w:rPr>
        <w:t xml:space="preserve"> pri cirhóze pečene ako základnom ochorení podanie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 kombinácii so špecifickou liečbou (napr. </w:t>
      </w:r>
      <w:proofErr w:type="spellStart"/>
      <w:r w:rsidRPr="00543955">
        <w:rPr>
          <w:szCs w:val="22"/>
          <w:lang w:val="sk-SK"/>
        </w:rPr>
        <w:t>skleroterapiou</w:t>
      </w:r>
      <w:proofErr w:type="spellEnd"/>
      <w:r w:rsidRPr="00543955">
        <w:rPr>
          <w:szCs w:val="22"/>
          <w:lang w:val="sk-SK"/>
        </w:rPr>
        <w:t xml:space="preserve">) vedie k lepšej kontrole krvácania a včasného opätovného krvácania, zníženiu potreby transfúzie a zlepšeniu prežívania po 5 dňoch. Aj keď presný mechanizmus účinku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nie je úplne objasnený, predpokladá sa, že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znižuje </w:t>
      </w:r>
      <w:proofErr w:type="spellStart"/>
      <w:r w:rsidRPr="00543955">
        <w:rPr>
          <w:szCs w:val="22"/>
          <w:lang w:val="sk-SK"/>
        </w:rPr>
        <w:t>splanchnický</w:t>
      </w:r>
      <w:proofErr w:type="spellEnd"/>
      <w:r w:rsidRPr="00543955">
        <w:rPr>
          <w:szCs w:val="22"/>
          <w:lang w:val="sk-SK"/>
        </w:rPr>
        <w:t xml:space="preserve"> prietok krvi tlmením </w:t>
      </w:r>
      <w:proofErr w:type="spellStart"/>
      <w:r w:rsidRPr="00543955">
        <w:rPr>
          <w:szCs w:val="22"/>
          <w:lang w:val="sk-SK"/>
        </w:rPr>
        <w:t>vazoaktívnych</w:t>
      </w:r>
      <w:proofErr w:type="spellEnd"/>
      <w:r w:rsidRPr="00543955">
        <w:rPr>
          <w:szCs w:val="22"/>
          <w:lang w:val="sk-SK"/>
        </w:rPr>
        <w:t xml:space="preserve"> hormónov (napr. VIP a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>).</w:t>
      </w:r>
    </w:p>
    <w:p w14:paraId="630F601A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E6A713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 xml:space="preserve">Liečba </w:t>
      </w:r>
      <w:proofErr w:type="spellStart"/>
      <w:r w:rsidRPr="00543955">
        <w:rPr>
          <w:szCs w:val="22"/>
          <w:u w:val="single"/>
          <w:lang w:val="sk-SK"/>
        </w:rPr>
        <w:t>adenómov</w:t>
      </w:r>
      <w:proofErr w:type="spellEnd"/>
      <w:r w:rsidRPr="00543955">
        <w:rPr>
          <w:szCs w:val="22"/>
          <w:u w:val="single"/>
          <w:lang w:val="sk-SK"/>
        </w:rPr>
        <w:t xml:space="preserve"> hypofýzy vylučujúcich TSH</w:t>
      </w:r>
    </w:p>
    <w:p w14:paraId="2EA477BE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9286D1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Liečebné účinky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boli </w:t>
      </w:r>
      <w:proofErr w:type="spellStart"/>
      <w:r w:rsidRPr="00543955">
        <w:rPr>
          <w:szCs w:val="22"/>
          <w:lang w:val="sk-SK"/>
        </w:rPr>
        <w:t>prospektívne</w:t>
      </w:r>
      <w:proofErr w:type="spellEnd"/>
      <w:r w:rsidRPr="00543955">
        <w:rPr>
          <w:szCs w:val="22"/>
          <w:lang w:val="sk-SK"/>
        </w:rPr>
        <w:t xml:space="preserve"> pozorované u 21 pacientov a združené v sade z 37 publikovaných prípadov. Spomedzi 42 pacientov s hodnotiteľnými biochemickými údajmi malo 81% pacientov (n=34) uspokojivé výsledky (minimálne 50% redukcia TSH a podstatná redukcia </w:t>
      </w:r>
      <w:proofErr w:type="spellStart"/>
      <w:r w:rsidRPr="00543955">
        <w:rPr>
          <w:szCs w:val="22"/>
          <w:lang w:val="sk-SK"/>
        </w:rPr>
        <w:t>tyroidných</w:t>
      </w:r>
      <w:proofErr w:type="spellEnd"/>
      <w:r w:rsidRPr="00543955">
        <w:rPr>
          <w:szCs w:val="22"/>
          <w:lang w:val="sk-SK"/>
        </w:rPr>
        <w:t xml:space="preserve">  hormónov), zatiaľ čo 67% (n=28) malo normalizáciu TSH a </w:t>
      </w:r>
      <w:proofErr w:type="spellStart"/>
      <w:r w:rsidRPr="00543955">
        <w:rPr>
          <w:szCs w:val="22"/>
          <w:lang w:val="sk-SK"/>
        </w:rPr>
        <w:t>tyroidných</w:t>
      </w:r>
      <w:proofErr w:type="spellEnd"/>
      <w:r w:rsidRPr="00543955">
        <w:rPr>
          <w:szCs w:val="22"/>
          <w:lang w:val="sk-SK"/>
        </w:rPr>
        <w:t xml:space="preserve"> hormónov. U týchto pacientov sa odpoveď udržala počas celého trvania liečby (až do 61 mesiacov, priemer 15,7 mesiacov).</w:t>
      </w:r>
    </w:p>
    <w:p w14:paraId="6E4AF51C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AA36AC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S ohľadom na klinické príznaky sa jednoznačné zlepšenie zaznamenalo u 19 z 32 pacientov s klinickým </w:t>
      </w:r>
      <w:proofErr w:type="spellStart"/>
      <w:r w:rsidRPr="00543955">
        <w:rPr>
          <w:szCs w:val="22"/>
          <w:lang w:val="sk-SK"/>
        </w:rPr>
        <w:t>hypertyroidizmom</w:t>
      </w:r>
      <w:proofErr w:type="spellEnd"/>
      <w:r w:rsidRPr="00543955">
        <w:rPr>
          <w:szCs w:val="22"/>
          <w:lang w:val="sk-SK"/>
        </w:rPr>
        <w:t>. Redukcia objemu tumoru o viac 20% sa pozorovala v 11 prípadoch (41%), v 4 prípadoch (15%) so znížením o viac ako 50%. Najskoršia redukcia sa zaznamenala po 14 dňoch liečby.</w:t>
      </w:r>
    </w:p>
    <w:p w14:paraId="390035EF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21D64F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5.2</w:t>
      </w:r>
      <w:r w:rsidRPr="00543955">
        <w:rPr>
          <w:b/>
          <w:szCs w:val="22"/>
          <w:lang w:val="sk-SK"/>
        </w:rPr>
        <w:tab/>
      </w:r>
      <w:proofErr w:type="spellStart"/>
      <w:r w:rsidRPr="00543955">
        <w:rPr>
          <w:b/>
          <w:szCs w:val="22"/>
          <w:lang w:val="sk-SK"/>
        </w:rPr>
        <w:t>Farmakokinetické</w:t>
      </w:r>
      <w:proofErr w:type="spellEnd"/>
      <w:r w:rsidRPr="00543955">
        <w:rPr>
          <w:b/>
          <w:szCs w:val="22"/>
          <w:lang w:val="sk-SK"/>
        </w:rPr>
        <w:t xml:space="preserve"> vlastnosti</w:t>
      </w:r>
    </w:p>
    <w:p w14:paraId="25276F4A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74E53482" w14:textId="77777777" w:rsidR="00871AAF" w:rsidRPr="00543955" w:rsidRDefault="00871AAF" w:rsidP="007E1DD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highlight w:val="yellow"/>
          <w:u w:val="single"/>
          <w:lang w:val="sk-SK"/>
        </w:rPr>
      </w:pPr>
      <w:r w:rsidRPr="00543955">
        <w:rPr>
          <w:iCs/>
          <w:szCs w:val="22"/>
          <w:u w:val="single"/>
          <w:lang w:val="sk-SK"/>
        </w:rPr>
        <w:t>Absorpcia</w:t>
      </w:r>
    </w:p>
    <w:p w14:paraId="181C5C23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075667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sa po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>. injekcii rýchlo a úplne vstrebáva. Maximálne plazmatické koncentrácie sa dosahujú v priebehu 30 minút.</w:t>
      </w:r>
    </w:p>
    <w:p w14:paraId="1B8A5CED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1BA9B8" w14:textId="77777777" w:rsidR="00871AAF" w:rsidRPr="00543955" w:rsidRDefault="00871AAF" w:rsidP="007E1DD6">
      <w:pPr>
        <w:keepNext/>
        <w:widowControl w:val="0"/>
        <w:tabs>
          <w:tab w:val="clear" w:pos="567"/>
        </w:tabs>
        <w:suppressAutoHyphens/>
        <w:spacing w:line="240" w:lineRule="auto"/>
        <w:rPr>
          <w:iCs/>
          <w:szCs w:val="22"/>
          <w:highlight w:val="yellow"/>
          <w:u w:val="single"/>
          <w:lang w:val="sk-SK"/>
        </w:rPr>
      </w:pPr>
      <w:r w:rsidRPr="00543955">
        <w:rPr>
          <w:iCs/>
          <w:szCs w:val="22"/>
          <w:u w:val="single"/>
          <w:lang w:val="sk-SK"/>
        </w:rPr>
        <w:t>Distribúcia</w:t>
      </w:r>
    </w:p>
    <w:p w14:paraId="0E4AC579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866D53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Distribučný objem je 0,27 l/kg a celkový telesný </w:t>
      </w:r>
      <w:proofErr w:type="spellStart"/>
      <w:r w:rsidRPr="00543955">
        <w:rPr>
          <w:szCs w:val="22"/>
          <w:lang w:val="sk-SK"/>
        </w:rPr>
        <w:t>klírens</w:t>
      </w:r>
      <w:proofErr w:type="spellEnd"/>
      <w:r w:rsidRPr="00543955">
        <w:rPr>
          <w:szCs w:val="22"/>
          <w:lang w:val="sk-SK"/>
        </w:rPr>
        <w:t xml:space="preserve"> je 160 ml/min. Väzba na bielkoviny plazmy dosahuje 65%. Množstvo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viazaného na krvinky je zanedbateľné.</w:t>
      </w:r>
    </w:p>
    <w:p w14:paraId="711CF618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19FAF7" w14:textId="77777777" w:rsidR="00871AAF" w:rsidRPr="00543955" w:rsidRDefault="00871AAF" w:rsidP="007E1DD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highlight w:val="yellow"/>
          <w:u w:val="single"/>
          <w:lang w:val="sk-SK"/>
        </w:rPr>
      </w:pPr>
      <w:r w:rsidRPr="00543955">
        <w:rPr>
          <w:iCs/>
          <w:szCs w:val="22"/>
          <w:u w:val="single"/>
          <w:lang w:val="sk-SK"/>
        </w:rPr>
        <w:t>Eliminácia</w:t>
      </w:r>
    </w:p>
    <w:p w14:paraId="22BDC680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74DE36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Polčas eliminácie po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podaní je 100 minút. Po </w:t>
      </w:r>
      <w:proofErr w:type="spellStart"/>
      <w:r w:rsidRPr="00543955">
        <w:rPr>
          <w:szCs w:val="22"/>
          <w:lang w:val="sk-SK"/>
        </w:rPr>
        <w:t>i.v</w:t>
      </w:r>
      <w:proofErr w:type="spellEnd"/>
      <w:r w:rsidRPr="00543955">
        <w:rPr>
          <w:szCs w:val="22"/>
          <w:lang w:val="sk-SK"/>
        </w:rPr>
        <w:t xml:space="preserve">. injekcii je eliminácia dvojfázová, s polčasmi 10 minút a 90 minút. Väčšina </w:t>
      </w:r>
      <w:proofErr w:type="spellStart"/>
      <w:r w:rsidRPr="00543955">
        <w:rPr>
          <w:szCs w:val="22"/>
          <w:lang w:val="sk-SK"/>
        </w:rPr>
        <w:t>peptidu</w:t>
      </w:r>
      <w:proofErr w:type="spellEnd"/>
      <w:r w:rsidRPr="00543955">
        <w:rPr>
          <w:szCs w:val="22"/>
          <w:lang w:val="sk-SK"/>
        </w:rPr>
        <w:t xml:space="preserve"> sa vylúči stolicou a asi 32% sa vylúči v nezmenenej forme do moču.</w:t>
      </w:r>
    </w:p>
    <w:p w14:paraId="4F7DA2EB" w14:textId="77777777" w:rsidR="00871AAF" w:rsidRPr="00543955" w:rsidRDefault="00871AAF" w:rsidP="007E1DD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u w:val="single"/>
          <w:lang w:val="sk-SK"/>
        </w:rPr>
      </w:pPr>
    </w:p>
    <w:p w14:paraId="21E00164" w14:textId="77777777" w:rsidR="00871AAF" w:rsidRPr="00543955" w:rsidRDefault="00871AAF" w:rsidP="007E1DD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highlight w:val="yellow"/>
          <w:u w:val="single"/>
          <w:lang w:val="sk-SK"/>
        </w:rPr>
      </w:pPr>
      <w:r w:rsidRPr="00543955">
        <w:rPr>
          <w:iCs/>
          <w:szCs w:val="22"/>
          <w:u w:val="single"/>
          <w:lang w:val="sk-SK"/>
        </w:rPr>
        <w:t>Osobitné populácie pacientov</w:t>
      </w:r>
    </w:p>
    <w:p w14:paraId="29A22203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FF87E8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Poškodenie funkcie obličiek neovplyvnilo celkovú expozíciu (AUC)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podávaného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>. injekciou.</w:t>
      </w:r>
    </w:p>
    <w:p w14:paraId="250DBFAD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7F1502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Eliminačná schopnosť sa môže znížiť u pacientov s cirhózou pečene, ale nie u pacientov so </w:t>
      </w:r>
      <w:proofErr w:type="spellStart"/>
      <w:r w:rsidRPr="00543955">
        <w:rPr>
          <w:szCs w:val="22"/>
          <w:lang w:val="sk-SK"/>
        </w:rPr>
        <w:t>steatózou</w:t>
      </w:r>
      <w:proofErr w:type="spellEnd"/>
      <w:r w:rsidRPr="00543955">
        <w:rPr>
          <w:szCs w:val="22"/>
          <w:lang w:val="sk-SK"/>
        </w:rPr>
        <w:t xml:space="preserve"> pečene.</w:t>
      </w:r>
    </w:p>
    <w:p w14:paraId="7555BA4D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D90E3C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5.3</w:t>
      </w:r>
      <w:r w:rsidRPr="00543955">
        <w:rPr>
          <w:b/>
          <w:szCs w:val="22"/>
          <w:lang w:val="sk-SK"/>
        </w:rPr>
        <w:tab/>
        <w:t>Predklinické údaje o bezpečnosti</w:t>
      </w:r>
    </w:p>
    <w:p w14:paraId="46041426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85D57D" w14:textId="77777777"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Štúdie akútnej toxicity a toxicity pri opakovanom podávaní, </w:t>
      </w:r>
      <w:proofErr w:type="spellStart"/>
      <w:r w:rsidRPr="00543955">
        <w:rPr>
          <w:szCs w:val="22"/>
          <w:lang w:val="sk-SK"/>
        </w:rPr>
        <w:t>genotoxicity</w:t>
      </w:r>
      <w:proofErr w:type="spellEnd"/>
      <w:r w:rsidRPr="00543955">
        <w:rPr>
          <w:szCs w:val="22"/>
          <w:lang w:val="sk-SK"/>
        </w:rPr>
        <w:t>, karcinogenity a reprodukčnej toxicity na zvieratách neodhalili žiadne špecifické bezpečnostné riziká pre ľudí.</w:t>
      </w:r>
    </w:p>
    <w:p w14:paraId="1A5BF487" w14:textId="77777777"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C0A9E5" w14:textId="77777777"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Reprodukčné štúdie na zvieratách neodhalili žiadne dôkazy </w:t>
      </w:r>
      <w:proofErr w:type="spellStart"/>
      <w:r w:rsidRPr="00543955">
        <w:rPr>
          <w:szCs w:val="22"/>
          <w:lang w:val="sk-SK"/>
        </w:rPr>
        <w:t>teratogénnych</w:t>
      </w:r>
      <w:proofErr w:type="spellEnd"/>
      <w:r w:rsidRPr="00543955">
        <w:rPr>
          <w:szCs w:val="22"/>
          <w:lang w:val="sk-SK"/>
        </w:rPr>
        <w:t>, embryo/</w:t>
      </w:r>
      <w:proofErr w:type="spellStart"/>
      <w:r w:rsidRPr="00543955">
        <w:rPr>
          <w:szCs w:val="22"/>
          <w:lang w:val="sk-SK"/>
        </w:rPr>
        <w:t>fetálnych</w:t>
      </w:r>
      <w:proofErr w:type="spellEnd"/>
      <w:r w:rsidRPr="00543955">
        <w:rPr>
          <w:szCs w:val="22"/>
          <w:lang w:val="sk-SK"/>
        </w:rPr>
        <w:t xml:space="preserve"> alebo iných reprodukčných účinkov v dôsledku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pri dávkach u rodičov až do 1 mg/kg/deň. U potomkov potkanov sa zaznamenalo isté spomalenie fyziologického rastu, ktoré bolo prechodné a pripisovalo sa inhibícii STH spôsobenej prílišnou </w:t>
      </w:r>
      <w:proofErr w:type="spellStart"/>
      <w:r w:rsidRPr="00543955">
        <w:rPr>
          <w:szCs w:val="22"/>
          <w:lang w:val="sk-SK"/>
        </w:rPr>
        <w:t>farmakodynamickou</w:t>
      </w:r>
      <w:proofErr w:type="spellEnd"/>
      <w:r w:rsidRPr="00543955">
        <w:rPr>
          <w:szCs w:val="22"/>
          <w:lang w:val="sk-SK"/>
        </w:rPr>
        <w:t xml:space="preserve"> aktivitou (pozri časť 4.6).</w:t>
      </w:r>
    </w:p>
    <w:p w14:paraId="7E42A1A3" w14:textId="77777777"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3FD62F" w14:textId="77777777"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Žiadne špecifické štúdie sa nerealizovali na mladých potkanoch. V štúdiách prenatálneho a </w:t>
      </w:r>
      <w:proofErr w:type="spellStart"/>
      <w:r w:rsidRPr="00543955">
        <w:rPr>
          <w:szCs w:val="22"/>
          <w:lang w:val="sk-SK"/>
        </w:rPr>
        <w:t>postnatálneho</w:t>
      </w:r>
      <w:proofErr w:type="spellEnd"/>
      <w:r w:rsidRPr="00543955">
        <w:rPr>
          <w:szCs w:val="22"/>
          <w:lang w:val="sk-SK"/>
        </w:rPr>
        <w:t xml:space="preserve"> vývinu sa pozoroval obmedzený rast a dozrievanie u F1 potomkov samíc, ktoré dostávali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počas celej gravidity a laktácie. U F1 samčieho potomstva sa pozoroval oneskorený zostup semenníkov, ale </w:t>
      </w:r>
      <w:proofErr w:type="spellStart"/>
      <w:r w:rsidRPr="00543955">
        <w:rPr>
          <w:szCs w:val="22"/>
          <w:lang w:val="sk-SK"/>
        </w:rPr>
        <w:t>fertilita</w:t>
      </w:r>
      <w:proofErr w:type="spellEnd"/>
      <w:r w:rsidRPr="00543955">
        <w:rPr>
          <w:szCs w:val="22"/>
          <w:lang w:val="sk-SK"/>
        </w:rPr>
        <w:t xml:space="preserve"> postihnutých F1 samčích mláďat ostala normálna. Vyššie uvedené pozorovania teda boli prechodné a považovali sa za dôsledok inhibície STH.</w:t>
      </w:r>
    </w:p>
    <w:p w14:paraId="7508BF88" w14:textId="77777777" w:rsidR="00871AAF" w:rsidRPr="00543955" w:rsidRDefault="00871AAF" w:rsidP="007E1DD6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</w:p>
    <w:p w14:paraId="6BA8CB46" w14:textId="77777777" w:rsidR="00871AAF" w:rsidRPr="00543955" w:rsidRDefault="00871AAF" w:rsidP="007E1DD6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543955">
        <w:rPr>
          <w:szCs w:val="22"/>
          <w:u w:val="single"/>
          <w:lang w:val="sk-SK"/>
        </w:rPr>
        <w:t>Karcinogenita/chronická toxicita</w:t>
      </w:r>
    </w:p>
    <w:p w14:paraId="458B3AD5" w14:textId="77777777" w:rsidR="00871AAF" w:rsidRPr="00543955" w:rsidRDefault="00871AAF" w:rsidP="007E1DD6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95CE7B5" w14:textId="77777777"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potkanov dostávajúcich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v denných dávkach do 1,25 mg/kg telesnej hmotnosti sa pozorovali </w:t>
      </w:r>
      <w:proofErr w:type="spellStart"/>
      <w:r w:rsidRPr="00543955">
        <w:rPr>
          <w:szCs w:val="22"/>
          <w:lang w:val="sk-SK"/>
        </w:rPr>
        <w:t>fibrosarkómy</w:t>
      </w:r>
      <w:proofErr w:type="spellEnd"/>
      <w:r w:rsidRPr="00543955">
        <w:rPr>
          <w:szCs w:val="22"/>
          <w:lang w:val="sk-SK"/>
        </w:rPr>
        <w:t xml:space="preserve">, predovšetkým u niekoľkých samcov na mieste vpichu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injekcie po 52, 104 a 113/116 týždni. Lokálne tumory sa tiež vyskytli v kontrolnej skupine, avšak vývoj týchto tumorov sa pripisoval porušenej </w:t>
      </w:r>
      <w:proofErr w:type="spellStart"/>
      <w:r w:rsidRPr="00543955">
        <w:rPr>
          <w:szCs w:val="22"/>
          <w:lang w:val="sk-SK"/>
        </w:rPr>
        <w:t>fibroplázii</w:t>
      </w:r>
      <w:proofErr w:type="spellEnd"/>
      <w:r w:rsidRPr="00543955">
        <w:rPr>
          <w:szCs w:val="22"/>
          <w:lang w:val="sk-SK"/>
        </w:rPr>
        <w:t xml:space="preserve"> z dôvodu trvalého podráždenia na mieste vpichu znásobeného </w:t>
      </w:r>
      <w:proofErr w:type="spellStart"/>
      <w:r w:rsidRPr="00543955">
        <w:rPr>
          <w:szCs w:val="22"/>
          <w:lang w:val="sk-SK"/>
        </w:rPr>
        <w:t>acidickou</w:t>
      </w:r>
      <w:proofErr w:type="spellEnd"/>
      <w:r w:rsidRPr="00543955">
        <w:rPr>
          <w:szCs w:val="22"/>
          <w:lang w:val="sk-SK"/>
        </w:rPr>
        <w:t xml:space="preserve"> povahu </w:t>
      </w:r>
      <w:proofErr w:type="spellStart"/>
      <w:r w:rsidRPr="00543955">
        <w:rPr>
          <w:szCs w:val="22"/>
          <w:lang w:val="sk-SK"/>
        </w:rPr>
        <w:t>vehikula</w:t>
      </w:r>
      <w:proofErr w:type="spellEnd"/>
      <w:r w:rsidRPr="00543955">
        <w:rPr>
          <w:szCs w:val="22"/>
          <w:lang w:val="sk-SK"/>
        </w:rPr>
        <w:t xml:space="preserve"> - kyseliny mliečnej/</w:t>
      </w:r>
      <w:proofErr w:type="spellStart"/>
      <w:r w:rsidRPr="00543955">
        <w:rPr>
          <w:szCs w:val="22"/>
          <w:lang w:val="sk-SK"/>
        </w:rPr>
        <w:t>manitolu</w:t>
      </w:r>
      <w:proofErr w:type="spellEnd"/>
      <w:r w:rsidRPr="00543955">
        <w:rPr>
          <w:szCs w:val="22"/>
          <w:lang w:val="sk-SK"/>
        </w:rPr>
        <w:t xml:space="preserve">. Táto nešpecifická tkanivová reakcia sa zdá byť špecifická pre potkany. </w:t>
      </w:r>
      <w:proofErr w:type="spellStart"/>
      <w:r w:rsidRPr="00543955">
        <w:rPr>
          <w:szCs w:val="22"/>
          <w:lang w:val="sk-SK"/>
        </w:rPr>
        <w:t>Neoplastické</w:t>
      </w:r>
      <w:proofErr w:type="spellEnd"/>
      <w:r w:rsidRPr="00543955">
        <w:rPr>
          <w:szCs w:val="22"/>
          <w:lang w:val="sk-SK"/>
        </w:rPr>
        <w:t xml:space="preserve"> lézie neboli pozorované ani u myší dostávajúcich denné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injekcie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v dávke do 2 mg/kg počas 98 týždňov, ani u psov liečených denne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>. dávkami liečiva po dobu 52 týždňov.</w:t>
      </w:r>
    </w:p>
    <w:p w14:paraId="4C31B490" w14:textId="77777777"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E8DFCA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u w:val="single"/>
          <w:lang w:val="sk-SK"/>
        </w:rPr>
      </w:pPr>
    </w:p>
    <w:p w14:paraId="65DE1C4D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6.</w:t>
      </w:r>
      <w:r w:rsidRPr="00543955">
        <w:rPr>
          <w:b/>
          <w:szCs w:val="22"/>
          <w:lang w:val="sk-SK"/>
        </w:rPr>
        <w:tab/>
        <w:t>FARMACEUTICKÉ INFORMÁCIE</w:t>
      </w:r>
    </w:p>
    <w:p w14:paraId="14F0A099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6E4DD343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6.1</w:t>
      </w:r>
      <w:r w:rsidRPr="00543955">
        <w:rPr>
          <w:b/>
          <w:szCs w:val="22"/>
          <w:lang w:val="sk-SK"/>
        </w:rPr>
        <w:tab/>
        <w:t>Zoznam pomocných látok</w:t>
      </w:r>
    </w:p>
    <w:p w14:paraId="3AAEAEB2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70B828" w14:textId="5393F173" w:rsidR="00871AAF" w:rsidRPr="00E96EA3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E96EA3">
        <w:rPr>
          <w:szCs w:val="22"/>
          <w:u w:val="single"/>
          <w:lang w:val="sk-SK"/>
        </w:rPr>
        <w:t>Ampulky</w:t>
      </w:r>
      <w:r>
        <w:rPr>
          <w:szCs w:val="22"/>
          <w:u w:val="single"/>
          <w:lang w:val="sk-SK"/>
        </w:rPr>
        <w:t xml:space="preserve"> 100 a 500 mikrogramov/1 ml:</w:t>
      </w:r>
    </w:p>
    <w:p w14:paraId="3155BA0A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kyselina mliečna</w:t>
      </w:r>
    </w:p>
    <w:p w14:paraId="40CECD80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m</w:t>
      </w:r>
      <w:r w:rsidRPr="00E96EA3">
        <w:rPr>
          <w:szCs w:val="22"/>
          <w:lang w:val="sk-SK"/>
        </w:rPr>
        <w:t>anitol</w:t>
      </w:r>
      <w:proofErr w:type="spellEnd"/>
      <w:r>
        <w:rPr>
          <w:szCs w:val="22"/>
          <w:lang w:val="sk-SK"/>
        </w:rPr>
        <w:t xml:space="preserve"> (E421)</w:t>
      </w:r>
    </w:p>
    <w:p w14:paraId="58AE865C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hydrogenuhličitan</w:t>
      </w:r>
      <w:proofErr w:type="spellEnd"/>
      <w:r>
        <w:rPr>
          <w:szCs w:val="22"/>
          <w:lang w:val="sk-SK"/>
        </w:rPr>
        <w:t xml:space="preserve"> sodný</w:t>
      </w:r>
    </w:p>
    <w:p w14:paraId="3A654F9D" w14:textId="77777777" w:rsidR="00871AAF" w:rsidRPr="00E96EA3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voda na injekciu</w:t>
      </w:r>
    </w:p>
    <w:p w14:paraId="5BAC0BDB" w14:textId="77777777" w:rsidR="00871AAF" w:rsidRPr="00E96EA3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4FB7E2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4E4572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6.2</w:t>
      </w:r>
      <w:r w:rsidRPr="00543955">
        <w:rPr>
          <w:b/>
          <w:szCs w:val="22"/>
          <w:lang w:val="sk-SK"/>
        </w:rPr>
        <w:tab/>
        <w:t>Inkompatibility</w:t>
      </w:r>
    </w:p>
    <w:p w14:paraId="10CB196F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9B63E8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Tento liek sa nesmie miešať s inými liekmi okrem tých , ktoré sú uvedené v časti 6.6. </w:t>
      </w:r>
      <w:proofErr w:type="spellStart"/>
      <w:r w:rsidRPr="00E96EA3">
        <w:rPr>
          <w:szCs w:val="22"/>
          <w:lang w:val="sk-SK"/>
        </w:rPr>
        <w:t>Oktreotid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Pr="00E96EA3">
        <w:rPr>
          <w:szCs w:val="22"/>
          <w:lang w:val="sk-SK"/>
        </w:rPr>
        <w:t>acetát</w:t>
      </w:r>
      <w:proofErr w:type="spellEnd"/>
      <w:r w:rsidRPr="00E96EA3">
        <w:rPr>
          <w:szCs w:val="22"/>
          <w:lang w:val="sk-SK"/>
        </w:rPr>
        <w:t xml:space="preserve"> nie je stály v roztokoch na úplnú </w:t>
      </w:r>
      <w:proofErr w:type="spellStart"/>
      <w:r w:rsidRPr="00E96EA3">
        <w:rPr>
          <w:szCs w:val="22"/>
          <w:lang w:val="sk-SK"/>
        </w:rPr>
        <w:t>parenterálnu</w:t>
      </w:r>
      <w:proofErr w:type="spellEnd"/>
      <w:r w:rsidRPr="00E96EA3">
        <w:rPr>
          <w:szCs w:val="22"/>
          <w:lang w:val="sk-SK"/>
        </w:rPr>
        <w:t xml:space="preserve"> výživu</w:t>
      </w:r>
      <w:r>
        <w:rPr>
          <w:szCs w:val="22"/>
          <w:lang w:val="sk-SK"/>
        </w:rPr>
        <w:t xml:space="preserve"> (</w:t>
      </w:r>
      <w:proofErr w:type="spellStart"/>
      <w:r>
        <w:rPr>
          <w:szCs w:val="22"/>
          <w:lang w:val="sk-SK"/>
        </w:rPr>
        <w:t>Total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Parenteral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Nutrition</w:t>
      </w:r>
      <w:proofErr w:type="spellEnd"/>
      <w:r>
        <w:rPr>
          <w:szCs w:val="22"/>
          <w:lang w:val="sk-SK"/>
        </w:rPr>
        <w:t xml:space="preserve"> TPN). </w:t>
      </w:r>
    </w:p>
    <w:p w14:paraId="1654980C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59B2E4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6.3</w:t>
      </w:r>
      <w:r w:rsidRPr="00543955">
        <w:rPr>
          <w:b/>
          <w:szCs w:val="22"/>
          <w:lang w:val="sk-SK"/>
        </w:rPr>
        <w:tab/>
        <w:t>Čas použiteľnosti</w:t>
      </w:r>
    </w:p>
    <w:p w14:paraId="7A30A6F2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81951D" w14:textId="6DA2AAEE" w:rsidR="00871AAF" w:rsidRDefault="00871AAF" w:rsidP="00CC695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CC6954">
        <w:rPr>
          <w:szCs w:val="22"/>
          <w:lang w:val="sk-SK"/>
        </w:rPr>
        <w:t>Ampulky 100 a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500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mikrogramov/1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ml:</w:t>
      </w:r>
      <w:r w:rsidRPr="004D5537">
        <w:rPr>
          <w:szCs w:val="22"/>
          <w:lang w:val="sk-SK"/>
        </w:rPr>
        <w:t xml:space="preserve"> 3</w:t>
      </w:r>
      <w:r w:rsidRPr="00E96EA3">
        <w:rPr>
          <w:szCs w:val="22"/>
          <w:lang w:val="sk-SK"/>
        </w:rPr>
        <w:t xml:space="preserve"> roky</w:t>
      </w:r>
    </w:p>
    <w:p w14:paraId="0142557A" w14:textId="77777777" w:rsidR="00871AAF" w:rsidRDefault="00871AAF" w:rsidP="00CC695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Liek sa má použiť okamžite po otvorení.</w:t>
      </w:r>
    </w:p>
    <w:p w14:paraId="68D5D7EC" w14:textId="77777777" w:rsidR="00871AAF" w:rsidRDefault="00871AAF" w:rsidP="00CC695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Zriedené roztoky sa majú použiť okamžite po príprave. </w:t>
      </w:r>
    </w:p>
    <w:p w14:paraId="6EC97830" w14:textId="77777777" w:rsidR="00871AAF" w:rsidRPr="00CC6954" w:rsidRDefault="00871AAF" w:rsidP="00CC6954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4214AD9E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E555AB2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6.4</w:t>
      </w:r>
      <w:r w:rsidRPr="00543955">
        <w:rPr>
          <w:b/>
          <w:szCs w:val="22"/>
          <w:lang w:val="sk-SK"/>
        </w:rPr>
        <w:tab/>
        <w:t>Špeciálne upozornenia na uchovávanie</w:t>
      </w:r>
    </w:p>
    <w:p w14:paraId="1B851F68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sk-SK"/>
        </w:rPr>
      </w:pPr>
    </w:p>
    <w:p w14:paraId="5D1289DC" w14:textId="14846AB8" w:rsidR="00871AAF" w:rsidRPr="00CC6954" w:rsidRDefault="00871AAF" w:rsidP="009A19E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CC6954">
        <w:rPr>
          <w:szCs w:val="22"/>
          <w:lang w:val="sk-SK"/>
        </w:rPr>
        <w:t>Ampulky 100 a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500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mikrogramov/1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ml:</w:t>
      </w:r>
    </w:p>
    <w:p w14:paraId="2B3F95CA" w14:textId="77777777" w:rsidR="00871AAF" w:rsidRDefault="00871AAF" w:rsidP="009A19E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Uchovávajte v pôvodnom obale na ochranu pred svetlom.</w:t>
      </w:r>
    </w:p>
    <w:p w14:paraId="41622A31" w14:textId="77777777" w:rsidR="00871AAF" w:rsidRDefault="00871AAF" w:rsidP="009A19E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EB758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Uchovávajte v chladničke (2</w:t>
      </w:r>
      <w:r w:rsidRPr="00145900">
        <w:rPr>
          <w:rFonts w:ascii="Times New Roman" w:hAnsi="Times New Roman"/>
          <w:color w:val="auto"/>
          <w:spacing w:val="0"/>
          <w:sz w:val="22"/>
          <w:szCs w:val="22"/>
          <w:lang w:val="en-GB"/>
        </w:rPr>
        <w:sym w:font="Symbol" w:char="F0B0"/>
      </w:r>
      <w:r w:rsidRPr="00EB758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C – 8</w:t>
      </w:r>
      <w:r w:rsidRPr="00145900">
        <w:rPr>
          <w:rFonts w:ascii="Times New Roman" w:hAnsi="Times New Roman"/>
          <w:color w:val="auto"/>
          <w:spacing w:val="0"/>
          <w:sz w:val="22"/>
          <w:szCs w:val="22"/>
          <w:lang w:val="en-GB"/>
        </w:rPr>
        <w:sym w:font="Symbol" w:char="F0B0"/>
      </w:r>
      <w:r w:rsidRPr="001459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C).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Neuchovávajte v mrazničke.</w:t>
      </w:r>
    </w:p>
    <w:p w14:paraId="6DF98266" w14:textId="77777777" w:rsidR="00871AAF" w:rsidRDefault="00871AAF" w:rsidP="009A19E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Ampulky</w:t>
      </w:r>
      <w:r w:rsidRPr="00CD510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sa môž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</w:t>
      </w:r>
      <w:r w:rsidRPr="00CD510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uchovávať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najviac 2 týždne </w:t>
      </w:r>
      <w:r w:rsidRPr="00CD510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pri teplote do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30</w:t>
      </w:r>
      <w:r w:rsidRPr="00CD510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°C.</w:t>
      </w:r>
    </w:p>
    <w:p w14:paraId="180C72C7" w14:textId="77777777" w:rsidR="00871AAF" w:rsidRDefault="00871AAF" w:rsidP="009A19E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1459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Podmienky na uchovávanie po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otvorení a po zriedení</w:t>
      </w:r>
      <w:r w:rsidRPr="001459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lieku, pozri časť 6.3</w:t>
      </w:r>
    </w:p>
    <w:p w14:paraId="309BE92D" w14:textId="77777777" w:rsidR="00871AAF" w:rsidRPr="00CC6954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4D359E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50ED92B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6.5</w:t>
      </w:r>
      <w:r w:rsidRPr="00543955">
        <w:rPr>
          <w:b/>
          <w:szCs w:val="22"/>
          <w:lang w:val="sk-SK"/>
        </w:rPr>
        <w:tab/>
        <w:t>Druh obalu a obsah balenia</w:t>
      </w:r>
    </w:p>
    <w:p w14:paraId="55AE409A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F14910" w14:textId="77777777" w:rsidR="00871AAF" w:rsidRDefault="00871AAF" w:rsidP="007E1DD6">
      <w:pPr>
        <w:rPr>
          <w:szCs w:val="22"/>
          <w:lang w:val="sk-SK"/>
        </w:rPr>
      </w:pPr>
      <w:r w:rsidRPr="007E1DD6">
        <w:rPr>
          <w:szCs w:val="22"/>
          <w:lang w:val="sk-SK"/>
        </w:rPr>
        <w:t>Ampulk</w:t>
      </w:r>
      <w:r>
        <w:rPr>
          <w:szCs w:val="22"/>
          <w:lang w:val="sk-SK"/>
        </w:rPr>
        <w:t>y:</w:t>
      </w:r>
    </w:p>
    <w:p w14:paraId="7B8C9A9D" w14:textId="77777777" w:rsidR="00871AAF" w:rsidRDefault="00871AAF" w:rsidP="001A404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Ampulka s </w:t>
      </w:r>
      <w:r w:rsidRPr="001A404A">
        <w:rPr>
          <w:szCs w:val="22"/>
          <w:lang w:val="sk-SK"/>
        </w:rPr>
        <w:t xml:space="preserve"> jedným bodom zlomu, z bezfarebného skla typu I, </w:t>
      </w:r>
      <w:r w:rsidR="000B6040">
        <w:rPr>
          <w:szCs w:val="22"/>
          <w:lang w:val="sk-SK"/>
        </w:rPr>
        <w:t>označená dvomi farebnými krúžkami</w:t>
      </w:r>
      <w:r w:rsidR="00FD459D">
        <w:rPr>
          <w:szCs w:val="22"/>
          <w:lang w:val="sk-SK"/>
        </w:rPr>
        <w:t xml:space="preserve"> </w:t>
      </w:r>
      <w:r w:rsidRPr="001A404A">
        <w:rPr>
          <w:szCs w:val="22"/>
          <w:lang w:val="sk-SK"/>
        </w:rPr>
        <w:t xml:space="preserve">obsahujúca </w:t>
      </w:r>
      <w:r>
        <w:rPr>
          <w:szCs w:val="22"/>
          <w:lang w:val="sk-SK"/>
        </w:rPr>
        <w:t>čistý bezfarebný roztok</w:t>
      </w:r>
      <w:r w:rsidRPr="001A404A">
        <w:rPr>
          <w:szCs w:val="22"/>
          <w:lang w:val="sk-SK"/>
        </w:rPr>
        <w:t>.</w:t>
      </w:r>
    </w:p>
    <w:p w14:paraId="17D53269" w14:textId="77777777" w:rsidR="00FD459D" w:rsidRPr="00695FC6" w:rsidRDefault="00FD459D" w:rsidP="00F74203">
      <w:pPr>
        <w:widowControl w:val="0"/>
        <w:shd w:val="clear" w:color="auto" w:fill="FFFFFF" w:themeFill="background1"/>
        <w:rPr>
          <w:szCs w:val="22"/>
        </w:rPr>
      </w:pPr>
      <w:proofErr w:type="spellStart"/>
      <w:r>
        <w:rPr>
          <w:szCs w:val="22"/>
        </w:rPr>
        <w:t>Sandostatin</w:t>
      </w:r>
      <w:proofErr w:type="spellEnd"/>
      <w:r w:rsidRPr="00E5799B" w:rsidDel="00C107C5">
        <w:rPr>
          <w:szCs w:val="22"/>
        </w:rPr>
        <w:t xml:space="preserve"> </w:t>
      </w:r>
      <w:r w:rsidRPr="00695FC6">
        <w:rPr>
          <w:szCs w:val="22"/>
        </w:rPr>
        <w:t>100 </w:t>
      </w:r>
      <w:r w:rsidRPr="00CC6954">
        <w:rPr>
          <w:szCs w:val="22"/>
          <w:lang w:val="sk-SK"/>
        </w:rPr>
        <w:t>mikrogramov/1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ml</w:t>
      </w:r>
      <w:r w:rsidRPr="00695FC6">
        <w:rPr>
          <w:szCs w:val="22"/>
        </w:rPr>
        <w:t xml:space="preserve">: </w:t>
      </w:r>
      <w:proofErr w:type="spellStart"/>
      <w:r>
        <w:rPr>
          <w:spacing w:val="1"/>
          <w:szCs w:val="22"/>
        </w:rPr>
        <w:t>jeden</w:t>
      </w:r>
      <w:proofErr w:type="spellEnd"/>
      <w:r>
        <w:rPr>
          <w:spacing w:val="1"/>
          <w:szCs w:val="22"/>
        </w:rPr>
        <w:t xml:space="preserve"> </w:t>
      </w:r>
      <w:proofErr w:type="spellStart"/>
      <w:r>
        <w:rPr>
          <w:spacing w:val="1"/>
          <w:szCs w:val="22"/>
        </w:rPr>
        <w:t>modrý</w:t>
      </w:r>
      <w:proofErr w:type="spellEnd"/>
      <w:r>
        <w:rPr>
          <w:spacing w:val="1"/>
          <w:szCs w:val="22"/>
        </w:rPr>
        <w:t xml:space="preserve"> a </w:t>
      </w:r>
      <w:proofErr w:type="spellStart"/>
      <w:r>
        <w:rPr>
          <w:spacing w:val="1"/>
          <w:szCs w:val="22"/>
        </w:rPr>
        <w:t>jeden</w:t>
      </w:r>
      <w:proofErr w:type="spellEnd"/>
      <w:r>
        <w:rPr>
          <w:spacing w:val="1"/>
          <w:szCs w:val="22"/>
        </w:rPr>
        <w:t xml:space="preserve"> </w:t>
      </w:r>
      <w:proofErr w:type="spellStart"/>
      <w:r>
        <w:rPr>
          <w:spacing w:val="1"/>
          <w:szCs w:val="22"/>
        </w:rPr>
        <w:t>zelený</w:t>
      </w:r>
      <w:proofErr w:type="spellEnd"/>
    </w:p>
    <w:p w14:paraId="68FBA8FA" w14:textId="77777777" w:rsidR="00FD459D" w:rsidRPr="00695FC6" w:rsidRDefault="00FD459D" w:rsidP="00F74203">
      <w:pPr>
        <w:widowControl w:val="0"/>
        <w:shd w:val="clear" w:color="auto" w:fill="FFFFFF" w:themeFill="background1"/>
        <w:rPr>
          <w:szCs w:val="22"/>
        </w:rPr>
      </w:pPr>
      <w:proofErr w:type="spellStart"/>
      <w:r>
        <w:rPr>
          <w:szCs w:val="22"/>
        </w:rPr>
        <w:t>Sandostatin</w:t>
      </w:r>
      <w:proofErr w:type="spellEnd"/>
      <w:r w:rsidRPr="00E5799B" w:rsidDel="00C107C5">
        <w:rPr>
          <w:szCs w:val="22"/>
        </w:rPr>
        <w:t xml:space="preserve"> </w:t>
      </w:r>
      <w:r w:rsidRPr="00695FC6">
        <w:rPr>
          <w:szCs w:val="22"/>
        </w:rPr>
        <w:t>500 </w:t>
      </w:r>
      <w:r w:rsidRPr="00CC6954">
        <w:rPr>
          <w:szCs w:val="22"/>
          <w:lang w:val="sk-SK"/>
        </w:rPr>
        <w:t>mikrogramov/1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ml</w:t>
      </w:r>
      <w:r w:rsidRPr="00695FC6">
        <w:rPr>
          <w:szCs w:val="22"/>
        </w:rPr>
        <w:t xml:space="preserve">: </w:t>
      </w:r>
      <w:proofErr w:type="spellStart"/>
      <w:r>
        <w:rPr>
          <w:spacing w:val="1"/>
          <w:szCs w:val="22"/>
        </w:rPr>
        <w:t>jeden</w:t>
      </w:r>
      <w:proofErr w:type="spellEnd"/>
      <w:r>
        <w:rPr>
          <w:spacing w:val="1"/>
          <w:szCs w:val="22"/>
        </w:rPr>
        <w:t xml:space="preserve"> </w:t>
      </w:r>
      <w:proofErr w:type="spellStart"/>
      <w:r>
        <w:rPr>
          <w:spacing w:val="1"/>
          <w:szCs w:val="22"/>
        </w:rPr>
        <w:t>modrý</w:t>
      </w:r>
      <w:proofErr w:type="spellEnd"/>
      <w:r>
        <w:rPr>
          <w:spacing w:val="1"/>
          <w:szCs w:val="22"/>
        </w:rPr>
        <w:t xml:space="preserve"> a </w:t>
      </w:r>
      <w:proofErr w:type="spellStart"/>
      <w:r>
        <w:rPr>
          <w:spacing w:val="1"/>
          <w:szCs w:val="22"/>
        </w:rPr>
        <w:t>jeden</w:t>
      </w:r>
      <w:proofErr w:type="spellEnd"/>
      <w:r>
        <w:rPr>
          <w:spacing w:val="1"/>
          <w:szCs w:val="22"/>
        </w:rPr>
        <w:t xml:space="preserve"> </w:t>
      </w:r>
      <w:proofErr w:type="spellStart"/>
      <w:r>
        <w:rPr>
          <w:spacing w:val="1"/>
          <w:szCs w:val="22"/>
        </w:rPr>
        <w:t>ružový</w:t>
      </w:r>
      <w:proofErr w:type="spellEnd"/>
    </w:p>
    <w:p w14:paraId="198E7FED" w14:textId="77777777" w:rsidR="00FD459D" w:rsidRPr="001A404A" w:rsidRDefault="00FD459D" w:rsidP="001A404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ACE594E" w14:textId="77777777" w:rsidR="00871AAF" w:rsidRPr="007E1DD6" w:rsidRDefault="00871AAF" w:rsidP="007E1DD6">
      <w:pPr>
        <w:rPr>
          <w:szCs w:val="22"/>
          <w:lang w:val="sk-SK"/>
        </w:rPr>
      </w:pPr>
      <w:r>
        <w:rPr>
          <w:szCs w:val="22"/>
          <w:lang w:val="sk-SK"/>
        </w:rPr>
        <w:t xml:space="preserve">Balenia obsahujúce tri, päť, šesť, desať, dvadsať a päťdesiat ampuliek </w:t>
      </w:r>
      <w:r w:rsidRPr="001A404A">
        <w:rPr>
          <w:szCs w:val="22"/>
          <w:lang w:val="sk-SK"/>
        </w:rPr>
        <w:t>zabalen</w:t>
      </w:r>
      <w:r>
        <w:rPr>
          <w:szCs w:val="22"/>
          <w:lang w:val="sk-SK"/>
        </w:rPr>
        <w:t>ých</w:t>
      </w:r>
      <w:r w:rsidRPr="00CC6954">
        <w:rPr>
          <w:szCs w:val="22"/>
          <w:lang w:val="sk-SK"/>
        </w:rPr>
        <w:t xml:space="preserve"> v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kartónovej podložke, ktorá je uložená vo vonkajšej škatuli</w:t>
      </w:r>
    </w:p>
    <w:p w14:paraId="2944AD46" w14:textId="77777777" w:rsidR="00871AAF" w:rsidRDefault="00871AAF" w:rsidP="007E1DD6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Multibalenia</w:t>
      </w:r>
      <w:proofErr w:type="spellEnd"/>
      <w:r>
        <w:rPr>
          <w:szCs w:val="22"/>
          <w:lang w:val="sk-SK"/>
        </w:rPr>
        <w:t xml:space="preserve"> obsahujú desať balení, každé z nich obsahuje</w:t>
      </w:r>
      <w:r w:rsidR="00CE5FBC">
        <w:rPr>
          <w:szCs w:val="22"/>
          <w:lang w:val="sk-SK"/>
        </w:rPr>
        <w:t xml:space="preserve"> tri </w:t>
      </w:r>
      <w:r>
        <w:rPr>
          <w:szCs w:val="22"/>
          <w:lang w:val="sk-SK"/>
        </w:rPr>
        <w:t>ampulky.</w:t>
      </w:r>
    </w:p>
    <w:p w14:paraId="4AB82926" w14:textId="77777777" w:rsidR="00871AAF" w:rsidRDefault="00871AAF" w:rsidP="007E1DD6">
      <w:pPr>
        <w:rPr>
          <w:szCs w:val="22"/>
          <w:lang w:val="sk-SK"/>
        </w:rPr>
      </w:pPr>
    </w:p>
    <w:p w14:paraId="160F8507" w14:textId="77777777" w:rsidR="00871AAF" w:rsidRDefault="00871AAF" w:rsidP="007E1DD6">
      <w:pPr>
        <w:rPr>
          <w:szCs w:val="22"/>
          <w:lang w:val="sk-SK"/>
        </w:rPr>
      </w:pPr>
    </w:p>
    <w:p w14:paraId="6C6F186F" w14:textId="77777777" w:rsidR="00871AAF" w:rsidRDefault="00871AAF" w:rsidP="000F5613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EB7580">
        <w:rPr>
          <w:lang w:val="sk-SK"/>
        </w:rPr>
        <w:t>Na trh nemusia byť uvedené</w:t>
      </w:r>
      <w:r w:rsidRPr="00EB7580">
        <w:rPr>
          <w:noProof/>
          <w:szCs w:val="22"/>
          <w:lang w:val="sk-SK"/>
        </w:rPr>
        <w:t xml:space="preserve"> </w:t>
      </w:r>
      <w:r w:rsidRPr="00EB7580">
        <w:rPr>
          <w:szCs w:val="22"/>
          <w:lang w:val="sk-SK"/>
        </w:rPr>
        <w:t xml:space="preserve">všetky </w:t>
      </w:r>
      <w:r w:rsidR="00D7166E">
        <w:rPr>
          <w:szCs w:val="22"/>
          <w:lang w:val="sk-SK"/>
        </w:rPr>
        <w:t xml:space="preserve">sily alebo </w:t>
      </w:r>
      <w:r w:rsidRPr="00EB7580">
        <w:rPr>
          <w:szCs w:val="22"/>
          <w:lang w:val="sk-SK"/>
        </w:rPr>
        <w:t>veľkosti balenia.</w:t>
      </w:r>
    </w:p>
    <w:p w14:paraId="7D0951AE" w14:textId="77777777" w:rsidR="00871AAF" w:rsidRPr="007E1DD6" w:rsidRDefault="00871AAF" w:rsidP="007E1DD6">
      <w:pPr>
        <w:rPr>
          <w:szCs w:val="22"/>
          <w:lang w:val="sk-SK"/>
        </w:rPr>
      </w:pPr>
    </w:p>
    <w:p w14:paraId="698F8E0C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543955">
        <w:rPr>
          <w:b/>
          <w:szCs w:val="22"/>
          <w:lang w:val="sk-SK"/>
        </w:rPr>
        <w:t>6.6</w:t>
      </w:r>
      <w:r w:rsidRPr="00543955">
        <w:rPr>
          <w:b/>
          <w:szCs w:val="22"/>
          <w:lang w:val="sk-SK"/>
        </w:rPr>
        <w:tab/>
        <w:t>Špeciálne opatrenia na likvidáciu a iné zaobchádzanie s liekom</w:t>
      </w:r>
    </w:p>
    <w:p w14:paraId="43495CB8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76CA12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CC6954">
        <w:rPr>
          <w:szCs w:val="22"/>
          <w:lang w:val="sk-SK"/>
        </w:rPr>
        <w:t>Všetok nepoužitý liek alebo odpad vzniknutý z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lieku sa má zlikvidovať v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súlade s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národnými požiadavkami</w:t>
      </w:r>
      <w:r w:rsidRPr="00543955" w:rsidDel="007A09EC">
        <w:rPr>
          <w:szCs w:val="22"/>
          <w:lang w:val="sk-SK"/>
        </w:rPr>
        <w:t xml:space="preserve"> </w:t>
      </w:r>
    </w:p>
    <w:p w14:paraId="1832FC78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0C38AB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 w:rsidRPr="00CC6954">
        <w:rPr>
          <w:b/>
          <w:szCs w:val="22"/>
          <w:lang w:val="sk-SK"/>
        </w:rPr>
        <w:t>Pokyny na použitie a</w:t>
      </w:r>
      <w:r w:rsidRPr="003E7833">
        <w:rPr>
          <w:b/>
          <w:szCs w:val="22"/>
          <w:lang w:val="sk-SK"/>
        </w:rPr>
        <w:t> </w:t>
      </w:r>
      <w:r w:rsidRPr="00CC6954">
        <w:rPr>
          <w:b/>
          <w:szCs w:val="22"/>
          <w:lang w:val="sk-SK"/>
        </w:rPr>
        <w:t xml:space="preserve">zaobchádzanie </w:t>
      </w:r>
    </w:p>
    <w:p w14:paraId="2AE6F75A" w14:textId="0A176CE2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C6954">
        <w:rPr>
          <w:szCs w:val="22"/>
          <w:lang w:val="sk-SK"/>
        </w:rPr>
        <w:t>Ampulky</w:t>
      </w:r>
      <w:r>
        <w:rPr>
          <w:szCs w:val="22"/>
          <w:lang w:val="sk-SK"/>
        </w:rPr>
        <w:t xml:space="preserve"> (</w:t>
      </w:r>
      <w:r>
        <w:rPr>
          <w:szCs w:val="22"/>
          <w:u w:val="single"/>
          <w:lang w:val="sk-SK"/>
        </w:rPr>
        <w:t>100 a 500 mikrogramov/1 ml) sú určené len na jednorazové použitie, majú byť otvorené tesne pred podaním a všetky nepoužité časti sa m</w:t>
      </w:r>
      <w:r w:rsidR="00D7166E">
        <w:rPr>
          <w:szCs w:val="22"/>
          <w:u w:val="single"/>
          <w:lang w:val="sk-SK"/>
        </w:rPr>
        <w:t>ajú</w:t>
      </w:r>
      <w:r>
        <w:rPr>
          <w:szCs w:val="22"/>
          <w:u w:val="single"/>
          <w:lang w:val="sk-SK"/>
        </w:rPr>
        <w:t xml:space="preserve"> vyhodiť.</w:t>
      </w:r>
    </w:p>
    <w:p w14:paraId="79ABFBA7" w14:textId="77777777" w:rsidR="00871AAF" w:rsidRPr="00696CC8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55E22C34" w14:textId="77777777" w:rsidR="00871AAF" w:rsidRPr="00696CC8" w:rsidRDefault="00871AAF" w:rsidP="007E1DD6">
      <w:pPr>
        <w:pStyle w:val="Nadpis3"/>
        <w:spacing w:before="0" w:after="0"/>
        <w:rPr>
          <w:sz w:val="22"/>
          <w:szCs w:val="22"/>
          <w:lang w:val="sk-SK"/>
        </w:rPr>
      </w:pPr>
      <w:proofErr w:type="spellStart"/>
      <w:r w:rsidRPr="00696CC8">
        <w:rPr>
          <w:sz w:val="22"/>
          <w:szCs w:val="22"/>
          <w:lang w:val="sk-SK"/>
        </w:rPr>
        <w:t>Subkutánne</w:t>
      </w:r>
      <w:proofErr w:type="spellEnd"/>
      <w:r w:rsidRPr="00696CC8">
        <w:rPr>
          <w:sz w:val="22"/>
          <w:szCs w:val="22"/>
          <w:lang w:val="sk-SK"/>
        </w:rPr>
        <w:t xml:space="preserve"> podanie</w:t>
      </w:r>
    </w:p>
    <w:p w14:paraId="60C6AE84" w14:textId="77777777" w:rsidR="00871AAF" w:rsidRPr="00696CC8" w:rsidRDefault="00871AAF" w:rsidP="007E1DD6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6CC8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Pacienti, ktorí si sami majú </w:t>
      </w:r>
      <w:proofErr w:type="spellStart"/>
      <w:r w:rsidRPr="00696CC8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subkutánne</w:t>
      </w:r>
      <w:proofErr w:type="spellEnd"/>
      <w:r w:rsidRPr="00696CC8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podávať liek, musia dostať presné pokyny od lekára alebo zdravotnej sestry.</w:t>
      </w:r>
    </w:p>
    <w:p w14:paraId="4121DFCF" w14:textId="77777777" w:rsidR="00871AAF" w:rsidRPr="00696CC8" w:rsidRDefault="00871AAF" w:rsidP="007E1DD6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14:paraId="4B93EA94" w14:textId="77777777" w:rsidR="00871AAF" w:rsidRPr="00C25B07" w:rsidRDefault="00871AAF" w:rsidP="007E1DD6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C25B0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Na zmiernenie nepríjemných pocitov v mieste podania sa odporúča, aby injekčný roztok mal pred podaním izbovú teplotu. Je potrebné vyhýbať sa opakovaným injekciám do toho istého miesta krátko po sebe. </w:t>
      </w:r>
    </w:p>
    <w:p w14:paraId="049B1C91" w14:textId="77777777" w:rsidR="00871AAF" w:rsidRPr="00696CC8" w:rsidRDefault="00871AAF" w:rsidP="007E1DD6">
      <w:pPr>
        <w:pStyle w:val="Nadpis3"/>
        <w:spacing w:before="0" w:after="0"/>
        <w:rPr>
          <w:sz w:val="22"/>
          <w:szCs w:val="22"/>
          <w:lang w:val="sk-SK"/>
        </w:rPr>
      </w:pPr>
    </w:p>
    <w:p w14:paraId="4DA39043" w14:textId="77777777" w:rsidR="00871AAF" w:rsidRPr="00696CC8" w:rsidRDefault="00871AAF" w:rsidP="007E1DD6">
      <w:pPr>
        <w:pStyle w:val="Nadpis3"/>
        <w:spacing w:before="0" w:after="0"/>
        <w:rPr>
          <w:sz w:val="22"/>
          <w:szCs w:val="22"/>
          <w:lang w:val="sk-SK"/>
        </w:rPr>
      </w:pPr>
      <w:r w:rsidRPr="00696CC8">
        <w:rPr>
          <w:sz w:val="22"/>
          <w:szCs w:val="22"/>
          <w:lang w:val="sk-SK"/>
        </w:rPr>
        <w:t>Intravenózne podanie</w:t>
      </w:r>
    </w:p>
    <w:p w14:paraId="16E22CEA" w14:textId="77777777" w:rsidR="00871AAF" w:rsidRPr="00696CC8" w:rsidRDefault="00871AAF" w:rsidP="007E1DD6">
      <w:pPr>
        <w:rPr>
          <w:szCs w:val="22"/>
          <w:lang w:val="sk-SK"/>
        </w:rPr>
      </w:pPr>
      <w:r w:rsidRPr="00696CC8">
        <w:rPr>
          <w:szCs w:val="22"/>
          <w:lang w:val="sk-SK"/>
        </w:rPr>
        <w:t xml:space="preserve">U </w:t>
      </w:r>
      <w:proofErr w:type="spellStart"/>
      <w:r w:rsidRPr="00696CC8">
        <w:rPr>
          <w:szCs w:val="22"/>
          <w:lang w:val="sk-SK"/>
        </w:rPr>
        <w:t>parenterálnych</w:t>
      </w:r>
      <w:proofErr w:type="spellEnd"/>
      <w:r w:rsidRPr="00696CC8">
        <w:rPr>
          <w:szCs w:val="22"/>
          <w:lang w:val="sk-SK"/>
        </w:rPr>
        <w:t xml:space="preserve"> liekov sa pred podaním má vizuálne skontrolovať, či nemajú zmenené zafarbenie a neobsahujú cudzorodé častice. </w:t>
      </w:r>
      <w:r w:rsidRPr="005B4493">
        <w:rPr>
          <w:szCs w:val="22"/>
          <w:lang w:val="sk-SK"/>
        </w:rPr>
        <w:t>Pr</w:t>
      </w:r>
      <w:r w:rsidRPr="00D20A35">
        <w:rPr>
          <w:szCs w:val="22"/>
          <w:lang w:val="sk-SK"/>
        </w:rPr>
        <w:t xml:space="preserve">ed podaním </w:t>
      </w:r>
      <w:r w:rsidRPr="00D04A47">
        <w:rPr>
          <w:szCs w:val="22"/>
          <w:lang w:val="sk-SK"/>
        </w:rPr>
        <w:t>intravenózn</w:t>
      </w:r>
      <w:r w:rsidRPr="00330173">
        <w:rPr>
          <w:szCs w:val="22"/>
          <w:lang w:val="sk-SK"/>
        </w:rPr>
        <w:t xml:space="preserve">ou infúziou sa musí liek </w:t>
      </w:r>
      <w:proofErr w:type="spellStart"/>
      <w:r w:rsidRPr="00330173">
        <w:rPr>
          <w:szCs w:val="22"/>
          <w:lang w:val="sk-SK"/>
        </w:rPr>
        <w:t>zriediť</w:t>
      </w:r>
      <w:r w:rsidRPr="005B4493">
        <w:rPr>
          <w:szCs w:val="22"/>
          <w:lang w:val="sk-SK"/>
        </w:rPr>
        <w:t>.</w:t>
      </w:r>
      <w:r w:rsidRPr="00696CC8">
        <w:rPr>
          <w:szCs w:val="22"/>
          <w:lang w:val="sk-SK"/>
        </w:rPr>
        <w:t>Sandostatin</w:t>
      </w:r>
      <w:proofErr w:type="spellEnd"/>
      <w:r w:rsidRPr="00696CC8">
        <w:rPr>
          <w:szCs w:val="22"/>
          <w:lang w:val="sk-SK"/>
        </w:rPr>
        <w:t xml:space="preserve"> (</w:t>
      </w:r>
      <w:proofErr w:type="spellStart"/>
      <w:r w:rsidRPr="00696CC8">
        <w:rPr>
          <w:szCs w:val="22"/>
          <w:lang w:val="sk-SK"/>
        </w:rPr>
        <w:t>oktreotidacetát</w:t>
      </w:r>
      <w:proofErr w:type="spellEnd"/>
      <w:r w:rsidRPr="00696CC8">
        <w:rPr>
          <w:szCs w:val="22"/>
          <w:lang w:val="sk-SK"/>
        </w:rPr>
        <w:t xml:space="preserve">) je fyzikálne a chemicky stály po dobu 24 hodín v sterilnom fyziologickom roztoku chloridu sodného alebo sterilnom 5% roztoku </w:t>
      </w:r>
      <w:proofErr w:type="spellStart"/>
      <w:r>
        <w:rPr>
          <w:szCs w:val="22"/>
          <w:lang w:val="sk-SK"/>
        </w:rPr>
        <w:t>dextrózy</w:t>
      </w:r>
      <w:proofErr w:type="spellEnd"/>
      <w:r>
        <w:rPr>
          <w:szCs w:val="22"/>
          <w:lang w:val="sk-SK"/>
        </w:rPr>
        <w:t xml:space="preserve"> (</w:t>
      </w:r>
      <w:r w:rsidRPr="00696CC8">
        <w:rPr>
          <w:szCs w:val="22"/>
          <w:lang w:val="sk-SK"/>
        </w:rPr>
        <w:t>glukózy</w:t>
      </w:r>
      <w:r>
        <w:rPr>
          <w:szCs w:val="22"/>
          <w:lang w:val="sk-SK"/>
        </w:rPr>
        <w:t>)</w:t>
      </w:r>
      <w:r w:rsidRPr="00696CC8">
        <w:rPr>
          <w:szCs w:val="22"/>
          <w:lang w:val="sk-SK"/>
        </w:rPr>
        <w:t xml:space="preserve"> vo vode. Keďže </w:t>
      </w:r>
      <w:proofErr w:type="spellStart"/>
      <w:r w:rsidRPr="00696CC8">
        <w:rPr>
          <w:szCs w:val="22"/>
          <w:lang w:val="sk-SK"/>
        </w:rPr>
        <w:t>Sandostatin</w:t>
      </w:r>
      <w:proofErr w:type="spellEnd"/>
      <w:r w:rsidRPr="00696CC8">
        <w:rPr>
          <w:szCs w:val="22"/>
          <w:lang w:val="sk-SK"/>
        </w:rPr>
        <w:t xml:space="preserve"> môže ovplyvniť </w:t>
      </w:r>
      <w:proofErr w:type="spellStart"/>
      <w:r w:rsidRPr="00696CC8">
        <w:rPr>
          <w:szCs w:val="22"/>
          <w:lang w:val="sk-SK"/>
        </w:rPr>
        <w:t>homeostázu</w:t>
      </w:r>
      <w:proofErr w:type="spellEnd"/>
      <w:r w:rsidRPr="00696CC8">
        <w:rPr>
          <w:szCs w:val="22"/>
          <w:lang w:val="sk-SK"/>
        </w:rPr>
        <w:t xml:space="preserve"> glukózy, odporúča sa použiť </w:t>
      </w:r>
      <w:r>
        <w:rPr>
          <w:szCs w:val="22"/>
          <w:lang w:val="sk-SK"/>
        </w:rPr>
        <w:t xml:space="preserve">skôr </w:t>
      </w:r>
      <w:r w:rsidRPr="00696CC8">
        <w:rPr>
          <w:szCs w:val="22"/>
          <w:lang w:val="sk-SK"/>
        </w:rPr>
        <w:t xml:space="preserve">fyziologický roztok chloridu sodného a nie roztok </w:t>
      </w:r>
      <w:proofErr w:type="spellStart"/>
      <w:r>
        <w:rPr>
          <w:szCs w:val="22"/>
          <w:lang w:val="sk-SK"/>
        </w:rPr>
        <w:t>dextr</w:t>
      </w:r>
      <w:r w:rsidRPr="00696CC8">
        <w:rPr>
          <w:szCs w:val="22"/>
          <w:lang w:val="sk-SK"/>
        </w:rPr>
        <w:t>ózy</w:t>
      </w:r>
      <w:proofErr w:type="spellEnd"/>
      <w:r w:rsidRPr="00696CC8">
        <w:rPr>
          <w:szCs w:val="22"/>
          <w:lang w:val="sk-SK"/>
        </w:rPr>
        <w:t xml:space="preserve">. Zriedené roztoky sú fyzikálne a chemicky stále po dobu najmenej 24 hodín pri teplote do 25°C. Z mikrobiologického hľadiska sa zriedený roztok má použiť okamžite. </w:t>
      </w:r>
      <w:r w:rsidRPr="00913B7E">
        <w:rPr>
          <w:szCs w:val="22"/>
          <w:lang w:val="sk-SK"/>
        </w:rPr>
        <w:t>Ak</w:t>
      </w:r>
      <w:r w:rsidRPr="008440E7">
        <w:rPr>
          <w:szCs w:val="22"/>
          <w:lang w:val="sk-SK"/>
        </w:rPr>
        <w:t xml:space="preserve"> sa roztok nepoužije okamžite, za uchovávanie počas používania a za podmienky skladovania pred použitím zodpovedá používateľ</w:t>
      </w:r>
      <w:r w:rsidRPr="00696CC8">
        <w:rPr>
          <w:szCs w:val="22"/>
          <w:lang w:val="sk-SK"/>
        </w:rPr>
        <w:t xml:space="preserve"> </w:t>
      </w:r>
    </w:p>
    <w:p w14:paraId="7DE1C6ED" w14:textId="77777777" w:rsidR="00871AAF" w:rsidRPr="007E1DD6" w:rsidRDefault="00871AAF" w:rsidP="006E3241">
      <w:pPr>
        <w:rPr>
          <w:szCs w:val="22"/>
          <w:lang w:val="sk-SK"/>
        </w:rPr>
      </w:pPr>
      <w:r>
        <w:rPr>
          <w:szCs w:val="22"/>
          <w:lang w:val="sk-SK"/>
        </w:rPr>
        <w:t>Obsah jednej 500 </w:t>
      </w:r>
      <w:proofErr w:type="spellStart"/>
      <w:r>
        <w:rPr>
          <w:szCs w:val="22"/>
          <w:lang w:val="sk-SK"/>
        </w:rPr>
        <w:t>mikrogramovej</w:t>
      </w:r>
      <w:proofErr w:type="spellEnd"/>
      <w:r>
        <w:rPr>
          <w:szCs w:val="22"/>
          <w:lang w:val="sk-SK"/>
        </w:rPr>
        <w:t xml:space="preserve">  ampulky má byť štandardne rozpustený v 60 ml fyziologického roztoku, a výsledný roztok sa má podať pomocou </w:t>
      </w:r>
      <w:proofErr w:type="spellStart"/>
      <w:r>
        <w:rPr>
          <w:szCs w:val="22"/>
          <w:lang w:val="sk-SK"/>
        </w:rPr>
        <w:t>infúznej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pumpy.</w:t>
      </w:r>
      <w:r w:rsidRPr="00696CC8">
        <w:rPr>
          <w:szCs w:val="22"/>
          <w:lang w:val="sk-SK"/>
        </w:rPr>
        <w:t>Tento</w:t>
      </w:r>
      <w:proofErr w:type="spellEnd"/>
      <w:r w:rsidRPr="00696CC8">
        <w:rPr>
          <w:szCs w:val="22"/>
          <w:lang w:val="sk-SK"/>
        </w:rPr>
        <w:t xml:space="preserve"> postup sa má opakovať tak často, ako je to potrebné, aby sa dosiahlo požadované trvanie liečby. </w:t>
      </w:r>
    </w:p>
    <w:p w14:paraId="59995B98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6B5BCCD4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3BCDCF76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7.</w:t>
      </w:r>
      <w:r w:rsidRPr="00543955">
        <w:rPr>
          <w:b/>
          <w:szCs w:val="22"/>
          <w:lang w:val="sk-SK"/>
        </w:rPr>
        <w:tab/>
        <w:t>DRŽITEĽ ROZHODNUTIA O REGISTRÁCII</w:t>
      </w:r>
    </w:p>
    <w:p w14:paraId="619CB1D0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535E717F" w14:textId="77777777" w:rsidR="00AD40BF" w:rsidRPr="00AD40BF" w:rsidRDefault="00AD40BF" w:rsidP="00AD40BF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AD40BF">
        <w:rPr>
          <w:szCs w:val="22"/>
          <w:lang w:val="sk-SK"/>
        </w:rPr>
        <w:t>Novartis</w:t>
      </w:r>
      <w:proofErr w:type="spellEnd"/>
      <w:r w:rsidRPr="00AD40BF">
        <w:rPr>
          <w:szCs w:val="22"/>
          <w:lang w:val="sk-SK"/>
        </w:rPr>
        <w:t xml:space="preserve"> Slovakia s.r.o.</w:t>
      </w:r>
    </w:p>
    <w:p w14:paraId="6934F56B" w14:textId="77777777" w:rsidR="00AD40BF" w:rsidRPr="00AD40BF" w:rsidRDefault="00AD40BF" w:rsidP="00AD40BF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AD40BF">
        <w:rPr>
          <w:szCs w:val="22"/>
          <w:lang w:val="sk-SK"/>
        </w:rPr>
        <w:t>Žižkova 22B</w:t>
      </w:r>
    </w:p>
    <w:p w14:paraId="2FB7F35F" w14:textId="77777777" w:rsidR="00AD40BF" w:rsidRPr="00AD40BF" w:rsidRDefault="00AD40BF" w:rsidP="00AD40BF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AD40BF">
        <w:rPr>
          <w:szCs w:val="22"/>
          <w:lang w:val="sk-SK"/>
        </w:rPr>
        <w:t>811 02 Bratislava</w:t>
      </w:r>
    </w:p>
    <w:p w14:paraId="3F0053C3" w14:textId="77777777" w:rsidR="00871AAF" w:rsidRPr="00543955" w:rsidRDefault="00AD40B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 w:rsidRPr="00AD40BF">
        <w:rPr>
          <w:szCs w:val="22"/>
          <w:lang w:val="sk-SK"/>
        </w:rPr>
        <w:t>Slovenská republika</w:t>
      </w:r>
    </w:p>
    <w:p w14:paraId="0A9A27ED" w14:textId="77777777"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56FA5888" w14:textId="77777777" w:rsidR="004E2447" w:rsidRPr="00543955" w:rsidRDefault="004E2447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5D234467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8.</w:t>
      </w:r>
      <w:r w:rsidRPr="00543955">
        <w:rPr>
          <w:b/>
          <w:szCs w:val="22"/>
          <w:lang w:val="sk-SK"/>
        </w:rPr>
        <w:tab/>
        <w:t>REGISTRAČNÉ ČÍSLO</w:t>
      </w:r>
    </w:p>
    <w:p w14:paraId="2D040BF2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173244" w14:textId="77777777" w:rsidR="00E97222" w:rsidRPr="00CC6954" w:rsidRDefault="00E97222" w:rsidP="00E97222">
      <w:pPr>
        <w:pStyle w:val="Textkomentra"/>
        <w:rPr>
          <w:sz w:val="22"/>
          <w:szCs w:val="22"/>
          <w:lang w:val="sk-SK"/>
        </w:rPr>
      </w:pPr>
      <w:r w:rsidRPr="00AF78AE">
        <w:rPr>
          <w:sz w:val="22"/>
          <w:szCs w:val="22"/>
          <w:lang w:val="sk-SK"/>
        </w:rPr>
        <w:t>SANDOSTATIN 100 mikrogramov/1 ml injekčný/</w:t>
      </w:r>
      <w:proofErr w:type="spellStart"/>
      <w:r w:rsidRPr="00AF78AE">
        <w:rPr>
          <w:sz w:val="22"/>
          <w:szCs w:val="22"/>
          <w:lang w:val="sk-SK"/>
        </w:rPr>
        <w:t>infúzny</w:t>
      </w:r>
      <w:proofErr w:type="spellEnd"/>
      <w:r w:rsidRPr="00AF78AE">
        <w:rPr>
          <w:sz w:val="22"/>
          <w:szCs w:val="22"/>
          <w:lang w:val="sk-SK"/>
        </w:rPr>
        <w:t xml:space="preserve"> roztok</w:t>
      </w:r>
      <w:r>
        <w:rPr>
          <w:sz w:val="22"/>
          <w:szCs w:val="22"/>
          <w:lang w:val="sk-SK"/>
        </w:rPr>
        <w:t>: 56/0060/17-S</w:t>
      </w:r>
      <w:r w:rsidRPr="00AF78AE">
        <w:rPr>
          <w:sz w:val="22"/>
          <w:szCs w:val="22"/>
          <w:lang w:val="sk-SK"/>
        </w:rPr>
        <w:t xml:space="preserve"> </w:t>
      </w:r>
    </w:p>
    <w:p w14:paraId="30F025A2" w14:textId="77777777" w:rsidR="00E97222" w:rsidRPr="00BE75A2" w:rsidRDefault="00E97222" w:rsidP="00E97222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AF78AE">
        <w:rPr>
          <w:szCs w:val="22"/>
          <w:lang w:val="sk-SK"/>
        </w:rPr>
        <w:t>SANDOSTATIN 500 mikrogramov/1 ml injekčný/</w:t>
      </w:r>
      <w:proofErr w:type="spellStart"/>
      <w:r w:rsidRPr="00AF78AE">
        <w:rPr>
          <w:szCs w:val="22"/>
          <w:lang w:val="sk-SK"/>
        </w:rPr>
        <w:t>infúzny</w:t>
      </w:r>
      <w:proofErr w:type="spellEnd"/>
      <w:r w:rsidRPr="00AF78AE">
        <w:rPr>
          <w:szCs w:val="22"/>
          <w:lang w:val="sk-SK"/>
        </w:rPr>
        <w:t xml:space="preserve"> roztok</w:t>
      </w:r>
      <w:r>
        <w:rPr>
          <w:szCs w:val="22"/>
          <w:lang w:val="sk-SK"/>
        </w:rPr>
        <w:t>:</w:t>
      </w:r>
      <w:r w:rsidRPr="00AF78AE">
        <w:rPr>
          <w:szCs w:val="22"/>
          <w:lang w:val="sk-SK"/>
        </w:rPr>
        <w:t xml:space="preserve"> </w:t>
      </w:r>
      <w:r>
        <w:rPr>
          <w:szCs w:val="22"/>
          <w:lang w:val="sk-SK"/>
        </w:rPr>
        <w:t>56/0061/17-S</w:t>
      </w:r>
      <w:r w:rsidRPr="00AF78AE">
        <w:rPr>
          <w:szCs w:val="22"/>
          <w:lang w:val="sk-SK"/>
        </w:rPr>
        <w:t xml:space="preserve"> </w:t>
      </w:r>
    </w:p>
    <w:p w14:paraId="07E083E8" w14:textId="77777777" w:rsidR="00871AAF" w:rsidRPr="00543955" w:rsidRDefault="00871AAF" w:rsidP="0061089B">
      <w:pPr>
        <w:rPr>
          <w:i/>
          <w:iCs/>
          <w:szCs w:val="22"/>
          <w:lang w:val="sk-SK"/>
        </w:rPr>
      </w:pPr>
    </w:p>
    <w:p w14:paraId="4B311CC5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iCs/>
          <w:szCs w:val="22"/>
          <w:highlight w:val="yellow"/>
          <w:lang w:val="sk-SK"/>
        </w:rPr>
      </w:pPr>
    </w:p>
    <w:p w14:paraId="362981F7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9.</w:t>
      </w:r>
      <w:r w:rsidRPr="00543955">
        <w:rPr>
          <w:b/>
          <w:szCs w:val="22"/>
          <w:lang w:val="sk-SK"/>
        </w:rPr>
        <w:tab/>
        <w:t>DÁTUM PRVEJ REGISTRÁCIE/PREDĹŽENIA REGISTRÁCIE</w:t>
      </w:r>
    </w:p>
    <w:p w14:paraId="716BB6BF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4C4EAB4E" w14:textId="77777777" w:rsidR="00871AAF" w:rsidRPr="006974D2" w:rsidRDefault="00871AAF" w:rsidP="007E1DD6">
      <w:pPr>
        <w:rPr>
          <w:szCs w:val="22"/>
          <w:lang w:val="sk-SK"/>
        </w:rPr>
      </w:pPr>
      <w:r w:rsidRPr="006974D2">
        <w:rPr>
          <w:szCs w:val="22"/>
          <w:lang w:val="sk-SK"/>
        </w:rPr>
        <w:t>Dátum prvej registrácie: 04.</w:t>
      </w:r>
      <w:r w:rsidR="00A81FB0">
        <w:rPr>
          <w:szCs w:val="22"/>
          <w:lang w:val="sk-SK"/>
        </w:rPr>
        <w:t>jún</w:t>
      </w:r>
      <w:r w:rsidRPr="006974D2">
        <w:rPr>
          <w:szCs w:val="22"/>
          <w:lang w:val="sk-SK"/>
        </w:rPr>
        <w:t>.1990</w:t>
      </w:r>
    </w:p>
    <w:p w14:paraId="010EBB29" w14:textId="77777777" w:rsidR="00871AAF" w:rsidRPr="006974D2" w:rsidRDefault="00871AAF" w:rsidP="007E1DD6">
      <w:pPr>
        <w:rPr>
          <w:szCs w:val="22"/>
          <w:lang w:val="sk-SK"/>
        </w:rPr>
      </w:pPr>
      <w:r>
        <w:rPr>
          <w:szCs w:val="22"/>
          <w:lang w:val="sk-SK"/>
        </w:rPr>
        <w:t>Dátum posledného predĺženia registrácie</w:t>
      </w:r>
      <w:r w:rsidRPr="006974D2">
        <w:rPr>
          <w:szCs w:val="22"/>
          <w:lang w:val="sk-SK"/>
        </w:rPr>
        <w:t xml:space="preserve">: </w:t>
      </w:r>
      <w:r>
        <w:rPr>
          <w:szCs w:val="22"/>
          <w:lang w:val="sk-SK"/>
        </w:rPr>
        <w:t>29.</w:t>
      </w:r>
      <w:r w:rsidR="00A81FB0">
        <w:rPr>
          <w:szCs w:val="22"/>
          <w:lang w:val="sk-SK"/>
        </w:rPr>
        <w:t>jún</w:t>
      </w:r>
      <w:r>
        <w:rPr>
          <w:szCs w:val="22"/>
          <w:lang w:val="sk-SK"/>
        </w:rPr>
        <w:t>.2005</w:t>
      </w:r>
    </w:p>
    <w:p w14:paraId="2D2ED5FC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78D3DFF7" w14:textId="77777777"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7343EDA4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10.</w:t>
      </w:r>
      <w:r w:rsidRPr="00543955">
        <w:rPr>
          <w:b/>
          <w:szCs w:val="22"/>
          <w:lang w:val="sk-SK"/>
        </w:rPr>
        <w:tab/>
        <w:t>DÁTUM REVÍZIE TEXTU</w:t>
      </w:r>
    </w:p>
    <w:p w14:paraId="1000AC2F" w14:textId="77777777"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DA4771" w14:textId="72F9E920" w:rsidR="00871AAF" w:rsidRPr="00543955" w:rsidRDefault="00384CE9" w:rsidP="007E1DD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highlight w:val="yellow"/>
          <w:lang w:val="sk-SK"/>
        </w:rPr>
      </w:pPr>
      <w:r>
        <w:rPr>
          <w:szCs w:val="22"/>
          <w:lang w:val="sk-SK"/>
        </w:rPr>
        <w:t>10</w:t>
      </w:r>
      <w:r w:rsidR="004E2447">
        <w:rPr>
          <w:szCs w:val="22"/>
          <w:lang w:val="sk-SK"/>
        </w:rPr>
        <w:t>/20</w:t>
      </w:r>
      <w:r w:rsidR="00D9424C">
        <w:rPr>
          <w:szCs w:val="22"/>
          <w:lang w:val="sk-SK"/>
        </w:rPr>
        <w:t>20</w:t>
      </w:r>
    </w:p>
    <w:p w14:paraId="44F36EA7" w14:textId="77777777" w:rsidR="00871AAF" w:rsidRPr="00543955" w:rsidRDefault="00871AAF" w:rsidP="007E1DD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highlight w:val="yellow"/>
          <w:lang w:val="sk-SK"/>
        </w:rPr>
      </w:pPr>
    </w:p>
    <w:p w14:paraId="49E8C3C6" w14:textId="77777777" w:rsidR="00871AAF" w:rsidRPr="007E1DD6" w:rsidRDefault="00871AAF">
      <w:pPr>
        <w:rPr>
          <w:lang w:val="sk-SK"/>
        </w:rPr>
      </w:pPr>
    </w:p>
    <w:sectPr w:rsidR="00871AAF" w:rsidRPr="007E1DD6" w:rsidSect="006108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EEA9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B1FDA" w14:textId="77777777" w:rsidR="00987C87" w:rsidRDefault="00987C87" w:rsidP="0077661B">
      <w:pPr>
        <w:spacing w:line="240" w:lineRule="auto"/>
      </w:pPr>
      <w:r>
        <w:separator/>
      </w:r>
    </w:p>
  </w:endnote>
  <w:endnote w:type="continuationSeparator" w:id="0">
    <w:p w14:paraId="65227D03" w14:textId="77777777" w:rsidR="00987C87" w:rsidRDefault="00987C87" w:rsidP="00776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DAF4D" w14:textId="77777777" w:rsidR="003B3CD6" w:rsidRDefault="003B3C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039E0" w14:textId="1C0063EA" w:rsidR="00052CF2" w:rsidRPr="008B5A5F" w:rsidRDefault="00052CF2">
    <w:pPr>
      <w:pStyle w:val="Pta"/>
      <w:jc w:val="center"/>
      <w:rPr>
        <w:sz w:val="18"/>
        <w:szCs w:val="18"/>
      </w:rPr>
    </w:pPr>
    <w:r w:rsidRPr="008B5A5F">
      <w:rPr>
        <w:sz w:val="18"/>
        <w:szCs w:val="18"/>
      </w:rPr>
      <w:fldChar w:fldCharType="begin"/>
    </w:r>
    <w:r w:rsidRPr="008B5A5F">
      <w:rPr>
        <w:sz w:val="18"/>
        <w:szCs w:val="18"/>
      </w:rPr>
      <w:instrText>PAGE   \* MERGEFORMAT</w:instrText>
    </w:r>
    <w:r w:rsidRPr="008B5A5F">
      <w:rPr>
        <w:sz w:val="18"/>
        <w:szCs w:val="18"/>
      </w:rPr>
      <w:fldChar w:fldCharType="separate"/>
    </w:r>
    <w:r w:rsidR="00376D1D" w:rsidRPr="00376D1D">
      <w:rPr>
        <w:noProof/>
        <w:sz w:val="18"/>
        <w:szCs w:val="18"/>
        <w:lang w:val="sk-SK"/>
      </w:rPr>
      <w:t>15</w:t>
    </w:r>
    <w:r w:rsidRPr="008B5A5F">
      <w:rPr>
        <w:sz w:val="18"/>
        <w:szCs w:val="18"/>
      </w:rPr>
      <w:fldChar w:fldCharType="end"/>
    </w:r>
  </w:p>
  <w:p w14:paraId="151924DD" w14:textId="77777777" w:rsidR="00052CF2" w:rsidRDefault="00052CF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2B076" w14:textId="77777777" w:rsidR="00052CF2" w:rsidRDefault="00052CF2">
    <w:pPr>
      <w:pStyle w:val="Pta"/>
      <w:jc w:val="center"/>
    </w:pPr>
    <w:r w:rsidRPr="008B5A5F">
      <w:rPr>
        <w:sz w:val="18"/>
        <w:szCs w:val="18"/>
      </w:rPr>
      <w:fldChar w:fldCharType="begin"/>
    </w:r>
    <w:r w:rsidRPr="008B5A5F">
      <w:rPr>
        <w:sz w:val="18"/>
        <w:szCs w:val="18"/>
      </w:rPr>
      <w:instrText>PAGE   \* MERGEFORMAT</w:instrText>
    </w:r>
    <w:r w:rsidRPr="008B5A5F">
      <w:rPr>
        <w:sz w:val="18"/>
        <w:szCs w:val="18"/>
      </w:rPr>
      <w:fldChar w:fldCharType="separate"/>
    </w:r>
    <w:r w:rsidR="00D755A6" w:rsidRPr="00D755A6">
      <w:rPr>
        <w:noProof/>
        <w:sz w:val="18"/>
        <w:szCs w:val="18"/>
        <w:lang w:val="sk-SK"/>
      </w:rPr>
      <w:t>1</w:t>
    </w:r>
    <w:r w:rsidRPr="008B5A5F">
      <w:rPr>
        <w:sz w:val="18"/>
        <w:szCs w:val="18"/>
      </w:rPr>
      <w:fldChar w:fldCharType="end"/>
    </w:r>
  </w:p>
  <w:p w14:paraId="66D89B2C" w14:textId="77777777" w:rsidR="00052CF2" w:rsidRDefault="00052C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3250B" w14:textId="77777777" w:rsidR="00987C87" w:rsidRDefault="00987C87" w:rsidP="0077661B">
      <w:pPr>
        <w:spacing w:line="240" w:lineRule="auto"/>
      </w:pPr>
      <w:r>
        <w:separator/>
      </w:r>
    </w:p>
  </w:footnote>
  <w:footnote w:type="continuationSeparator" w:id="0">
    <w:p w14:paraId="7E741369" w14:textId="77777777" w:rsidR="00987C87" w:rsidRDefault="00987C87" w:rsidP="00776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15BC6" w14:textId="77777777" w:rsidR="003B3CD6" w:rsidRDefault="003B3CD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C9D32" w14:textId="77D20FD5" w:rsidR="009319FE" w:rsidRDefault="009319FE" w:rsidP="009319FE">
    <w:pPr>
      <w:pStyle w:val="Nzov"/>
      <w:widowControl w:val="0"/>
      <w:spacing w:before="0"/>
      <w:jc w:val="left"/>
      <w:rPr>
        <w:rFonts w:ascii="Times New Roman" w:hAnsi="Times New Roman" w:cs="Times New Roman"/>
        <w:b w:val="0"/>
        <w:color w:val="05121F"/>
        <w:sz w:val="18"/>
        <w:szCs w:val="18"/>
      </w:rPr>
    </w:pPr>
    <w:r>
      <w:rPr>
        <w:rFonts w:ascii="Times New Roman" w:hAnsi="Times New Roman" w:cs="Times New Roman"/>
        <w:b w:val="0"/>
        <w:color w:val="05121F"/>
        <w:sz w:val="18"/>
        <w:szCs w:val="18"/>
      </w:rPr>
      <w:t>Schválený text k rozhodnutiu o zmene, ev. č.:</w:t>
    </w:r>
    <w:r w:rsidR="00B8027A">
      <w:rPr>
        <w:rFonts w:ascii="Times New Roman" w:hAnsi="Times New Roman" w:cs="Times New Roman"/>
        <w:b w:val="0"/>
        <w:color w:val="05121F"/>
        <w:sz w:val="18"/>
        <w:szCs w:val="18"/>
      </w:rPr>
      <w:t xml:space="preserve"> 2020/02856-ZME</w:t>
    </w:r>
  </w:p>
  <w:p w14:paraId="7B48427B" w14:textId="77777777" w:rsidR="003B3CD6" w:rsidRDefault="003B3CD6" w:rsidP="003B3CD6">
    <w:pPr>
      <w:pStyle w:val="Nzov"/>
      <w:widowControl w:val="0"/>
      <w:spacing w:before="0"/>
      <w:jc w:val="left"/>
      <w:rPr>
        <w:sz w:val="18"/>
        <w:szCs w:val="18"/>
      </w:rPr>
    </w:pPr>
    <w:r>
      <w:rPr>
        <w:rFonts w:ascii="Times New Roman" w:hAnsi="Times New Roman" w:cs="Times New Roman"/>
        <w:b w:val="0"/>
        <w:color w:val="05121F"/>
        <w:sz w:val="18"/>
        <w:szCs w:val="18"/>
      </w:rPr>
      <w:t xml:space="preserve">Príloha č.1 k notifikácii o zmene, </w:t>
    </w:r>
    <w:proofErr w:type="spellStart"/>
    <w:r>
      <w:rPr>
        <w:rFonts w:ascii="Times New Roman" w:hAnsi="Times New Roman" w:cs="Times New Roman"/>
        <w:b w:val="0"/>
        <w:color w:val="05121F"/>
        <w:sz w:val="18"/>
        <w:szCs w:val="18"/>
      </w:rPr>
      <w:t>ev.č</w:t>
    </w:r>
    <w:proofErr w:type="spellEnd"/>
    <w:r>
      <w:rPr>
        <w:rFonts w:ascii="Times New Roman" w:hAnsi="Times New Roman" w:cs="Times New Roman"/>
        <w:b w:val="0"/>
        <w:color w:val="05121F"/>
        <w:sz w:val="18"/>
        <w:szCs w:val="18"/>
      </w:rPr>
      <w:t>.: 2020/05368-ZIB</w:t>
    </w:r>
  </w:p>
  <w:p w14:paraId="560030AF" w14:textId="77777777" w:rsidR="003B3CD6" w:rsidRDefault="003B3CD6" w:rsidP="009319FE">
    <w:pPr>
      <w:pStyle w:val="Nzov"/>
      <w:widowControl w:val="0"/>
      <w:spacing w:before="0"/>
      <w:jc w:val="left"/>
      <w:rPr>
        <w:sz w:val="18"/>
        <w:szCs w:val="18"/>
      </w:rPr>
    </w:pPr>
  </w:p>
  <w:p w14:paraId="3EB55A48" w14:textId="77777777" w:rsidR="004D40C1" w:rsidRPr="0061089B" w:rsidRDefault="004D40C1">
    <w:pPr>
      <w:pStyle w:val="Hlavika"/>
      <w:rPr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E1847" w14:textId="77777777" w:rsidR="004D40C1" w:rsidRDefault="00052CF2" w:rsidP="0077661B">
    <w:pPr>
      <w:pStyle w:val="Hlavika"/>
      <w:rPr>
        <w:sz w:val="18"/>
        <w:szCs w:val="18"/>
        <w:lang w:val="sk-SK" w:eastAsia="cs-CZ"/>
      </w:rPr>
    </w:pPr>
    <w:r w:rsidRPr="006C67F0">
      <w:rPr>
        <w:sz w:val="18"/>
        <w:szCs w:val="18"/>
        <w:lang w:val="sk-SK" w:eastAsia="cs-CZ"/>
      </w:rPr>
      <w:t>Schválený text k rozhodnutiu o zmene, ev.</w:t>
    </w:r>
    <w:r w:rsidR="00D755A6">
      <w:rPr>
        <w:sz w:val="18"/>
        <w:szCs w:val="18"/>
        <w:lang w:val="sk-SK" w:eastAsia="cs-CZ"/>
      </w:rPr>
      <w:t xml:space="preserve"> </w:t>
    </w:r>
    <w:r w:rsidRPr="006C67F0">
      <w:rPr>
        <w:sz w:val="18"/>
        <w:szCs w:val="18"/>
        <w:lang w:val="sk-SK" w:eastAsia="cs-CZ"/>
      </w:rPr>
      <w:t>č.:</w:t>
    </w:r>
    <w:r w:rsidRPr="006C67F0" w:rsidDel="006C67F0">
      <w:rPr>
        <w:sz w:val="18"/>
        <w:szCs w:val="18"/>
        <w:lang w:val="sk-SK" w:eastAsia="cs-CZ"/>
      </w:rPr>
      <w:t xml:space="preserve"> </w:t>
    </w:r>
    <w:r>
      <w:rPr>
        <w:sz w:val="18"/>
        <w:szCs w:val="18"/>
        <w:lang w:val="sk-SK" w:eastAsia="cs-CZ"/>
      </w:rPr>
      <w:t>201</w:t>
    </w:r>
    <w:r w:rsidR="00E168F5">
      <w:rPr>
        <w:sz w:val="18"/>
        <w:szCs w:val="18"/>
        <w:lang w:val="sk-SK" w:eastAsia="cs-CZ"/>
      </w:rPr>
      <w:t>7</w:t>
    </w:r>
    <w:r>
      <w:rPr>
        <w:sz w:val="18"/>
        <w:szCs w:val="18"/>
        <w:lang w:val="sk-SK" w:eastAsia="cs-CZ"/>
      </w:rPr>
      <w:t>/0</w:t>
    </w:r>
    <w:r w:rsidR="00E168F5">
      <w:rPr>
        <w:sz w:val="18"/>
        <w:szCs w:val="18"/>
        <w:lang w:val="sk-SK" w:eastAsia="cs-CZ"/>
      </w:rPr>
      <w:t>5492</w:t>
    </w:r>
    <w:r>
      <w:rPr>
        <w:sz w:val="18"/>
        <w:szCs w:val="18"/>
        <w:lang w:val="sk-SK" w:eastAsia="cs-CZ"/>
      </w:rPr>
      <w:t>- ZME</w:t>
    </w:r>
    <w:r w:rsidR="00930657">
      <w:rPr>
        <w:sz w:val="18"/>
        <w:szCs w:val="18"/>
        <w:lang w:val="sk-SK" w:eastAsia="cs-CZ"/>
      </w:rPr>
      <w:t>.</w:t>
    </w:r>
    <w:r w:rsidR="004D40C1">
      <w:rPr>
        <w:sz w:val="18"/>
        <w:szCs w:val="18"/>
        <w:lang w:val="sk-SK" w:eastAsia="cs-CZ"/>
      </w:rPr>
      <w:t xml:space="preserve">, </w:t>
    </w:r>
  </w:p>
  <w:p w14:paraId="4EA6413F" w14:textId="77777777" w:rsidR="00052CF2" w:rsidRPr="0061089B" w:rsidRDefault="004D40C1" w:rsidP="0077661B">
    <w:pPr>
      <w:pStyle w:val="Hlavika"/>
      <w:rPr>
        <w:lang w:val="sk-SK"/>
      </w:rPr>
    </w:pPr>
    <w:r w:rsidRPr="004D40C1">
      <w:rPr>
        <w:sz w:val="18"/>
        <w:szCs w:val="18"/>
        <w:lang w:val="sk-SK" w:eastAsia="cs-CZ"/>
      </w:rPr>
      <w:t>Schválený text k rozhodnu</w:t>
    </w:r>
    <w:r>
      <w:rPr>
        <w:sz w:val="18"/>
        <w:szCs w:val="18"/>
        <w:lang w:val="sk-SK" w:eastAsia="cs-CZ"/>
      </w:rPr>
      <w:t>tiu o prevode, ev.</w:t>
    </w:r>
    <w:r w:rsidR="00D755A6">
      <w:rPr>
        <w:sz w:val="18"/>
        <w:szCs w:val="18"/>
        <w:lang w:val="sk-SK" w:eastAsia="cs-CZ"/>
      </w:rPr>
      <w:t xml:space="preserve"> </w:t>
    </w:r>
    <w:r>
      <w:rPr>
        <w:sz w:val="18"/>
        <w:szCs w:val="18"/>
        <w:lang w:val="sk-SK" w:eastAsia="cs-CZ"/>
      </w:rPr>
      <w:t>č.: 2018/</w:t>
    </w:r>
    <w:r w:rsidR="00D755A6">
      <w:rPr>
        <w:sz w:val="18"/>
        <w:szCs w:val="18"/>
        <w:lang w:val="sk-SK" w:eastAsia="cs-CZ"/>
      </w:rPr>
      <w:t>02021</w:t>
    </w:r>
    <w:r w:rsidRPr="004D40C1">
      <w:rPr>
        <w:sz w:val="18"/>
        <w:szCs w:val="18"/>
        <w:lang w:val="sk-SK" w:eastAsia="cs-CZ"/>
      </w:rPr>
      <w:t>-TR</w:t>
    </w:r>
    <w:r w:rsidR="00D755A6">
      <w:rPr>
        <w:sz w:val="18"/>
        <w:szCs w:val="18"/>
        <w:lang w:val="sk-SK" w:eastAsia="cs-CZ"/>
      </w:rPr>
      <w:t>, 2018/02022-TR, 2018/02023-TR, 2018/02053-TR</w:t>
    </w:r>
  </w:p>
  <w:p w14:paraId="5B21F0F1" w14:textId="77777777" w:rsidR="00052CF2" w:rsidRPr="0061089B" w:rsidRDefault="00052CF2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D7"/>
    <w:multiLevelType w:val="hybridMultilevel"/>
    <w:tmpl w:val="134C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0455A"/>
    <w:multiLevelType w:val="hybridMultilevel"/>
    <w:tmpl w:val="B74E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dlarova, Alena">
    <w15:presenceInfo w15:providerId="AD" w15:userId="S-1-5-21-329068152-854245398-839522115-16184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D6"/>
    <w:rsid w:val="0000342F"/>
    <w:rsid w:val="00004279"/>
    <w:rsid w:val="0001314D"/>
    <w:rsid w:val="00013707"/>
    <w:rsid w:val="0002161B"/>
    <w:rsid w:val="000337FF"/>
    <w:rsid w:val="00044E9E"/>
    <w:rsid w:val="00052CF2"/>
    <w:rsid w:val="00071D04"/>
    <w:rsid w:val="00074ADD"/>
    <w:rsid w:val="00081183"/>
    <w:rsid w:val="000940F5"/>
    <w:rsid w:val="000B1DDA"/>
    <w:rsid w:val="000B6040"/>
    <w:rsid w:val="000D45CD"/>
    <w:rsid w:val="000F4996"/>
    <w:rsid w:val="000F5613"/>
    <w:rsid w:val="001231CE"/>
    <w:rsid w:val="00136A93"/>
    <w:rsid w:val="00144DAA"/>
    <w:rsid w:val="00145900"/>
    <w:rsid w:val="0016018A"/>
    <w:rsid w:val="00165AD3"/>
    <w:rsid w:val="00166BCA"/>
    <w:rsid w:val="00174FE7"/>
    <w:rsid w:val="00182115"/>
    <w:rsid w:val="00196D92"/>
    <w:rsid w:val="00197E2D"/>
    <w:rsid w:val="001A12D2"/>
    <w:rsid w:val="001A404A"/>
    <w:rsid w:val="001D4362"/>
    <w:rsid w:val="001E2103"/>
    <w:rsid w:val="001F1703"/>
    <w:rsid w:val="0022389F"/>
    <w:rsid w:val="00235DF3"/>
    <w:rsid w:val="0024102F"/>
    <w:rsid w:val="00242A0F"/>
    <w:rsid w:val="00257FD4"/>
    <w:rsid w:val="002657A4"/>
    <w:rsid w:val="00275E57"/>
    <w:rsid w:val="0028674B"/>
    <w:rsid w:val="00286A58"/>
    <w:rsid w:val="002927FE"/>
    <w:rsid w:val="002A774F"/>
    <w:rsid w:val="002B1D9E"/>
    <w:rsid w:val="002B652C"/>
    <w:rsid w:val="002C590E"/>
    <w:rsid w:val="002D0796"/>
    <w:rsid w:val="002D479E"/>
    <w:rsid w:val="002D7848"/>
    <w:rsid w:val="002F28A8"/>
    <w:rsid w:val="0031729A"/>
    <w:rsid w:val="00323FA5"/>
    <w:rsid w:val="00330173"/>
    <w:rsid w:val="00334CB7"/>
    <w:rsid w:val="003468E4"/>
    <w:rsid w:val="00346D10"/>
    <w:rsid w:val="00376D1D"/>
    <w:rsid w:val="00384CE9"/>
    <w:rsid w:val="00390731"/>
    <w:rsid w:val="003B1094"/>
    <w:rsid w:val="003B2184"/>
    <w:rsid w:val="003B3CD6"/>
    <w:rsid w:val="003C767F"/>
    <w:rsid w:val="003E7833"/>
    <w:rsid w:val="003F35FB"/>
    <w:rsid w:val="004006E7"/>
    <w:rsid w:val="004106AC"/>
    <w:rsid w:val="00410FFB"/>
    <w:rsid w:val="00415183"/>
    <w:rsid w:val="00445732"/>
    <w:rsid w:val="00467069"/>
    <w:rsid w:val="004852D9"/>
    <w:rsid w:val="00487411"/>
    <w:rsid w:val="0049735B"/>
    <w:rsid w:val="004B0287"/>
    <w:rsid w:val="004C08B3"/>
    <w:rsid w:val="004D40C1"/>
    <w:rsid w:val="004D5537"/>
    <w:rsid w:val="004E2447"/>
    <w:rsid w:val="00501B73"/>
    <w:rsid w:val="00504193"/>
    <w:rsid w:val="00507A14"/>
    <w:rsid w:val="00527677"/>
    <w:rsid w:val="005301B8"/>
    <w:rsid w:val="005306B4"/>
    <w:rsid w:val="00543955"/>
    <w:rsid w:val="005537C8"/>
    <w:rsid w:val="00566DBF"/>
    <w:rsid w:val="00570E49"/>
    <w:rsid w:val="00575417"/>
    <w:rsid w:val="005932B4"/>
    <w:rsid w:val="005A69B6"/>
    <w:rsid w:val="005B4493"/>
    <w:rsid w:val="005C3283"/>
    <w:rsid w:val="005C5C65"/>
    <w:rsid w:val="005E4BB7"/>
    <w:rsid w:val="005F0BFE"/>
    <w:rsid w:val="005F1441"/>
    <w:rsid w:val="0061089B"/>
    <w:rsid w:val="00631DCE"/>
    <w:rsid w:val="00640E2D"/>
    <w:rsid w:val="0064167C"/>
    <w:rsid w:val="00655246"/>
    <w:rsid w:val="006629B9"/>
    <w:rsid w:val="00663132"/>
    <w:rsid w:val="00692245"/>
    <w:rsid w:val="00696CC8"/>
    <w:rsid w:val="006974D2"/>
    <w:rsid w:val="006B548A"/>
    <w:rsid w:val="006C4221"/>
    <w:rsid w:val="006C67F0"/>
    <w:rsid w:val="006E3241"/>
    <w:rsid w:val="006F3182"/>
    <w:rsid w:val="006F654B"/>
    <w:rsid w:val="00712FE6"/>
    <w:rsid w:val="00720759"/>
    <w:rsid w:val="007306EE"/>
    <w:rsid w:val="00731B26"/>
    <w:rsid w:val="00737D0E"/>
    <w:rsid w:val="00745D3B"/>
    <w:rsid w:val="0077661B"/>
    <w:rsid w:val="00781779"/>
    <w:rsid w:val="00782302"/>
    <w:rsid w:val="007A09EC"/>
    <w:rsid w:val="007A447E"/>
    <w:rsid w:val="007B249C"/>
    <w:rsid w:val="007B3B5B"/>
    <w:rsid w:val="007E1DD6"/>
    <w:rsid w:val="00821911"/>
    <w:rsid w:val="008224B9"/>
    <w:rsid w:val="0082377A"/>
    <w:rsid w:val="0082797B"/>
    <w:rsid w:val="00831144"/>
    <w:rsid w:val="0083333B"/>
    <w:rsid w:val="008440E7"/>
    <w:rsid w:val="00856E88"/>
    <w:rsid w:val="00867709"/>
    <w:rsid w:val="00871AAF"/>
    <w:rsid w:val="0087779A"/>
    <w:rsid w:val="008A2791"/>
    <w:rsid w:val="008B5A5F"/>
    <w:rsid w:val="008C2B7E"/>
    <w:rsid w:val="008C482D"/>
    <w:rsid w:val="008C626C"/>
    <w:rsid w:val="008C7C2D"/>
    <w:rsid w:val="008D6D4F"/>
    <w:rsid w:val="008E4181"/>
    <w:rsid w:val="008F599A"/>
    <w:rsid w:val="00903ED2"/>
    <w:rsid w:val="00913B7E"/>
    <w:rsid w:val="00915A26"/>
    <w:rsid w:val="00916406"/>
    <w:rsid w:val="009232B4"/>
    <w:rsid w:val="00923D59"/>
    <w:rsid w:val="00927879"/>
    <w:rsid w:val="00927E21"/>
    <w:rsid w:val="00930657"/>
    <w:rsid w:val="009319FE"/>
    <w:rsid w:val="00936E20"/>
    <w:rsid w:val="009533BD"/>
    <w:rsid w:val="00962FB4"/>
    <w:rsid w:val="00967D26"/>
    <w:rsid w:val="00987C87"/>
    <w:rsid w:val="00992C83"/>
    <w:rsid w:val="009A19E1"/>
    <w:rsid w:val="009A5975"/>
    <w:rsid w:val="009B19AF"/>
    <w:rsid w:val="009B3B57"/>
    <w:rsid w:val="009C1346"/>
    <w:rsid w:val="009E769A"/>
    <w:rsid w:val="00A070D9"/>
    <w:rsid w:val="00A317E7"/>
    <w:rsid w:val="00A37B44"/>
    <w:rsid w:val="00A414FE"/>
    <w:rsid w:val="00A50353"/>
    <w:rsid w:val="00A505E4"/>
    <w:rsid w:val="00A616D3"/>
    <w:rsid w:val="00A6636A"/>
    <w:rsid w:val="00A81FB0"/>
    <w:rsid w:val="00A827E5"/>
    <w:rsid w:val="00AB20B1"/>
    <w:rsid w:val="00AD40BF"/>
    <w:rsid w:val="00AF6C83"/>
    <w:rsid w:val="00AF78AE"/>
    <w:rsid w:val="00B123EC"/>
    <w:rsid w:val="00B14810"/>
    <w:rsid w:val="00B340C8"/>
    <w:rsid w:val="00B44214"/>
    <w:rsid w:val="00B52756"/>
    <w:rsid w:val="00B64EDF"/>
    <w:rsid w:val="00B71E1F"/>
    <w:rsid w:val="00B75C4E"/>
    <w:rsid w:val="00B8027A"/>
    <w:rsid w:val="00BA5DBA"/>
    <w:rsid w:val="00BA7F10"/>
    <w:rsid w:val="00BC168D"/>
    <w:rsid w:val="00BD2F02"/>
    <w:rsid w:val="00BE75A2"/>
    <w:rsid w:val="00C03213"/>
    <w:rsid w:val="00C25B07"/>
    <w:rsid w:val="00C34B1A"/>
    <w:rsid w:val="00C41E93"/>
    <w:rsid w:val="00C44D5F"/>
    <w:rsid w:val="00C45850"/>
    <w:rsid w:val="00C472A0"/>
    <w:rsid w:val="00C71910"/>
    <w:rsid w:val="00C77F99"/>
    <w:rsid w:val="00C93BA1"/>
    <w:rsid w:val="00C94CFC"/>
    <w:rsid w:val="00CA450F"/>
    <w:rsid w:val="00CC4AFF"/>
    <w:rsid w:val="00CC6954"/>
    <w:rsid w:val="00CC7A4E"/>
    <w:rsid w:val="00CD5105"/>
    <w:rsid w:val="00CD7839"/>
    <w:rsid w:val="00CE0A14"/>
    <w:rsid w:val="00CE5FBC"/>
    <w:rsid w:val="00D04A47"/>
    <w:rsid w:val="00D06485"/>
    <w:rsid w:val="00D10F26"/>
    <w:rsid w:val="00D143BF"/>
    <w:rsid w:val="00D16E9B"/>
    <w:rsid w:val="00D20A35"/>
    <w:rsid w:val="00D22DC3"/>
    <w:rsid w:val="00D306F3"/>
    <w:rsid w:val="00D46D33"/>
    <w:rsid w:val="00D52BB7"/>
    <w:rsid w:val="00D57836"/>
    <w:rsid w:val="00D60790"/>
    <w:rsid w:val="00D7166E"/>
    <w:rsid w:val="00D755A6"/>
    <w:rsid w:val="00D76BDB"/>
    <w:rsid w:val="00D80BAB"/>
    <w:rsid w:val="00D9354B"/>
    <w:rsid w:val="00D9424C"/>
    <w:rsid w:val="00DA7334"/>
    <w:rsid w:val="00DB2102"/>
    <w:rsid w:val="00DB6550"/>
    <w:rsid w:val="00DC044C"/>
    <w:rsid w:val="00DC1380"/>
    <w:rsid w:val="00DC1E3A"/>
    <w:rsid w:val="00DE7E12"/>
    <w:rsid w:val="00DF1CA2"/>
    <w:rsid w:val="00E05F5E"/>
    <w:rsid w:val="00E168F5"/>
    <w:rsid w:val="00E22784"/>
    <w:rsid w:val="00E320F7"/>
    <w:rsid w:val="00E32BA8"/>
    <w:rsid w:val="00E355FA"/>
    <w:rsid w:val="00E379BE"/>
    <w:rsid w:val="00E427C6"/>
    <w:rsid w:val="00E50E63"/>
    <w:rsid w:val="00E52136"/>
    <w:rsid w:val="00E52BC7"/>
    <w:rsid w:val="00E64BB6"/>
    <w:rsid w:val="00E96EA3"/>
    <w:rsid w:val="00E97222"/>
    <w:rsid w:val="00EA452C"/>
    <w:rsid w:val="00EB6B51"/>
    <w:rsid w:val="00EB7580"/>
    <w:rsid w:val="00F00B62"/>
    <w:rsid w:val="00F12E95"/>
    <w:rsid w:val="00F74203"/>
    <w:rsid w:val="00FB769B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EF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40C1"/>
    <w:pPr>
      <w:tabs>
        <w:tab w:val="left" w:pos="567"/>
      </w:tabs>
      <w:spacing w:line="260" w:lineRule="exact"/>
    </w:pPr>
    <w:rPr>
      <w:rFonts w:ascii="Times New Roman" w:eastAsia="Times New Roman" w:hAnsi="Times New Roman"/>
      <w:szCs w:val="20"/>
      <w:lang w:val="en-GB" w:eastAsia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E1DD6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locked/>
    <w:rsid w:val="007E1DD6"/>
    <w:rPr>
      <w:rFonts w:ascii="Times New Roman" w:hAnsi="Times New Roman" w:cs="Times New Roman"/>
      <w:b/>
      <w:kern w:val="28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7E1DD6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E1DD6"/>
    <w:rPr>
      <w:rFonts w:ascii="Times New Roman" w:hAnsi="Times New Roman" w:cs="Times New Roman"/>
      <w:i/>
      <w:color w:val="008000"/>
      <w:sz w:val="20"/>
      <w:szCs w:val="20"/>
      <w:lang w:val="en-GB"/>
    </w:rPr>
  </w:style>
  <w:style w:type="paragraph" w:customStyle="1" w:styleId="Text">
    <w:name w:val="Text"/>
    <w:aliases w:val="Graphic,Graphic Char Char,Graphic Char Char Char Char Char,Graphic Char Char Char Char Char Char Char C"/>
    <w:basedOn w:val="Normlny"/>
    <w:link w:val="TextChar"/>
    <w:uiPriority w:val="99"/>
    <w:rsid w:val="007E1DD6"/>
    <w:pPr>
      <w:tabs>
        <w:tab w:val="clear" w:pos="567"/>
      </w:tabs>
      <w:spacing w:before="120" w:line="240" w:lineRule="auto"/>
      <w:jc w:val="both"/>
    </w:pPr>
    <w:rPr>
      <w:rFonts w:eastAsia="Calibri"/>
      <w:sz w:val="20"/>
      <w:lang w:val="sk-SK" w:eastAsia="sk-SK"/>
    </w:rPr>
  </w:style>
  <w:style w:type="character" w:customStyle="1" w:styleId="TextChar">
    <w:name w:val="Text Char"/>
    <w:link w:val="Text"/>
    <w:uiPriority w:val="99"/>
    <w:locked/>
    <w:rsid w:val="007E1DD6"/>
    <w:rPr>
      <w:rFonts w:ascii="Times New Roman" w:hAnsi="Times New Roman"/>
      <w:sz w:val="20"/>
    </w:rPr>
  </w:style>
  <w:style w:type="paragraph" w:customStyle="1" w:styleId="Texttelo">
    <w:name w:val="Text telo"/>
    <w:uiPriority w:val="99"/>
    <w:rsid w:val="007E1DD6"/>
    <w:pPr>
      <w:tabs>
        <w:tab w:val="left" w:pos="170"/>
      </w:tabs>
      <w:jc w:val="both"/>
    </w:pPr>
    <w:rPr>
      <w:rFonts w:ascii="TimesE" w:eastAsia="Times New Roman" w:hAnsi="TimesE"/>
      <w:color w:val="000000"/>
      <w:spacing w:val="15"/>
      <w:sz w:val="16"/>
      <w:szCs w:val="20"/>
      <w:lang w:val="cs-CZ" w:eastAsia="en-US"/>
    </w:rPr>
  </w:style>
  <w:style w:type="paragraph" w:customStyle="1" w:styleId="Baleni">
    <w:name w:val="Baleni"/>
    <w:basedOn w:val="Normlny"/>
    <w:next w:val="Normlny"/>
    <w:uiPriority w:val="99"/>
    <w:rsid w:val="007E1DD6"/>
    <w:pPr>
      <w:tabs>
        <w:tab w:val="clear" w:pos="567"/>
        <w:tab w:val="left" w:pos="1134"/>
        <w:tab w:val="left" w:pos="2268"/>
        <w:tab w:val="left" w:pos="3969"/>
        <w:tab w:val="left" w:pos="4309"/>
      </w:tabs>
      <w:spacing w:line="240" w:lineRule="auto"/>
      <w:ind w:left="85" w:right="85"/>
      <w:jc w:val="both"/>
    </w:pPr>
    <w:rPr>
      <w:rFonts w:ascii="TimesE" w:hAnsi="TimesE"/>
      <w:spacing w:val="15"/>
      <w:sz w:val="16"/>
      <w:lang w:val="cs-CZ"/>
    </w:rPr>
  </w:style>
  <w:style w:type="paragraph" w:styleId="Hlavika">
    <w:name w:val="header"/>
    <w:basedOn w:val="Normlny"/>
    <w:link w:val="HlavikaChar"/>
    <w:uiPriority w:val="99"/>
    <w:rsid w:val="0077661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7661B"/>
    <w:rPr>
      <w:rFonts w:ascii="Times New Roman" w:hAnsi="Times New Roman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77661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77661B"/>
    <w:rPr>
      <w:rFonts w:ascii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77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661B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rsid w:val="00E320F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320F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320F7"/>
    <w:rPr>
      <w:rFonts w:ascii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20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320F7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textovprepojenie">
    <w:name w:val="Hyperlink"/>
    <w:basedOn w:val="Predvolenpsmoodseku"/>
    <w:uiPriority w:val="99"/>
    <w:rsid w:val="00962FB4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E22784"/>
    <w:rPr>
      <w:rFonts w:ascii="Times New Roman" w:eastAsia="Times New Roman" w:hAnsi="Times New Roman"/>
      <w:szCs w:val="20"/>
      <w:lang w:val="en-GB" w:eastAsia="en-US"/>
    </w:rPr>
  </w:style>
  <w:style w:type="paragraph" w:styleId="Nzov">
    <w:name w:val="Title"/>
    <w:basedOn w:val="Normlny"/>
    <w:link w:val="NzovChar"/>
    <w:qFormat/>
    <w:locked/>
    <w:rsid w:val="009319FE"/>
    <w:pPr>
      <w:tabs>
        <w:tab w:val="clear" w:pos="567"/>
      </w:tabs>
      <w:spacing w:before="120" w:after="120" w:line="360" w:lineRule="auto"/>
      <w:jc w:val="center"/>
    </w:pPr>
    <w:rPr>
      <w:rFonts w:ascii="Arial" w:hAnsi="Arial" w:cs="Arial"/>
      <w:b/>
      <w:bCs/>
      <w:sz w:val="32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9319FE"/>
    <w:rPr>
      <w:rFonts w:ascii="Arial" w:eastAsia="Times New Roman" w:hAnsi="Arial" w:cs="Arial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40C1"/>
    <w:pPr>
      <w:tabs>
        <w:tab w:val="left" w:pos="567"/>
      </w:tabs>
      <w:spacing w:line="260" w:lineRule="exact"/>
    </w:pPr>
    <w:rPr>
      <w:rFonts w:ascii="Times New Roman" w:eastAsia="Times New Roman" w:hAnsi="Times New Roman"/>
      <w:szCs w:val="20"/>
      <w:lang w:val="en-GB" w:eastAsia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E1DD6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locked/>
    <w:rsid w:val="007E1DD6"/>
    <w:rPr>
      <w:rFonts w:ascii="Times New Roman" w:hAnsi="Times New Roman" w:cs="Times New Roman"/>
      <w:b/>
      <w:kern w:val="28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7E1DD6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E1DD6"/>
    <w:rPr>
      <w:rFonts w:ascii="Times New Roman" w:hAnsi="Times New Roman" w:cs="Times New Roman"/>
      <w:i/>
      <w:color w:val="008000"/>
      <w:sz w:val="20"/>
      <w:szCs w:val="20"/>
      <w:lang w:val="en-GB"/>
    </w:rPr>
  </w:style>
  <w:style w:type="paragraph" w:customStyle="1" w:styleId="Text">
    <w:name w:val="Text"/>
    <w:aliases w:val="Graphic,Graphic Char Char,Graphic Char Char Char Char Char,Graphic Char Char Char Char Char Char Char C"/>
    <w:basedOn w:val="Normlny"/>
    <w:link w:val="TextChar"/>
    <w:uiPriority w:val="99"/>
    <w:rsid w:val="007E1DD6"/>
    <w:pPr>
      <w:tabs>
        <w:tab w:val="clear" w:pos="567"/>
      </w:tabs>
      <w:spacing w:before="120" w:line="240" w:lineRule="auto"/>
      <w:jc w:val="both"/>
    </w:pPr>
    <w:rPr>
      <w:rFonts w:eastAsia="Calibri"/>
      <w:sz w:val="20"/>
      <w:lang w:val="sk-SK" w:eastAsia="sk-SK"/>
    </w:rPr>
  </w:style>
  <w:style w:type="character" w:customStyle="1" w:styleId="TextChar">
    <w:name w:val="Text Char"/>
    <w:link w:val="Text"/>
    <w:uiPriority w:val="99"/>
    <w:locked/>
    <w:rsid w:val="007E1DD6"/>
    <w:rPr>
      <w:rFonts w:ascii="Times New Roman" w:hAnsi="Times New Roman"/>
      <w:sz w:val="20"/>
    </w:rPr>
  </w:style>
  <w:style w:type="paragraph" w:customStyle="1" w:styleId="Texttelo">
    <w:name w:val="Text telo"/>
    <w:uiPriority w:val="99"/>
    <w:rsid w:val="007E1DD6"/>
    <w:pPr>
      <w:tabs>
        <w:tab w:val="left" w:pos="170"/>
      </w:tabs>
      <w:jc w:val="both"/>
    </w:pPr>
    <w:rPr>
      <w:rFonts w:ascii="TimesE" w:eastAsia="Times New Roman" w:hAnsi="TimesE"/>
      <w:color w:val="000000"/>
      <w:spacing w:val="15"/>
      <w:sz w:val="16"/>
      <w:szCs w:val="20"/>
      <w:lang w:val="cs-CZ" w:eastAsia="en-US"/>
    </w:rPr>
  </w:style>
  <w:style w:type="paragraph" w:customStyle="1" w:styleId="Baleni">
    <w:name w:val="Baleni"/>
    <w:basedOn w:val="Normlny"/>
    <w:next w:val="Normlny"/>
    <w:uiPriority w:val="99"/>
    <w:rsid w:val="007E1DD6"/>
    <w:pPr>
      <w:tabs>
        <w:tab w:val="clear" w:pos="567"/>
        <w:tab w:val="left" w:pos="1134"/>
        <w:tab w:val="left" w:pos="2268"/>
        <w:tab w:val="left" w:pos="3969"/>
        <w:tab w:val="left" w:pos="4309"/>
      </w:tabs>
      <w:spacing w:line="240" w:lineRule="auto"/>
      <w:ind w:left="85" w:right="85"/>
      <w:jc w:val="both"/>
    </w:pPr>
    <w:rPr>
      <w:rFonts w:ascii="TimesE" w:hAnsi="TimesE"/>
      <w:spacing w:val="15"/>
      <w:sz w:val="16"/>
      <w:lang w:val="cs-CZ"/>
    </w:rPr>
  </w:style>
  <w:style w:type="paragraph" w:styleId="Hlavika">
    <w:name w:val="header"/>
    <w:basedOn w:val="Normlny"/>
    <w:link w:val="HlavikaChar"/>
    <w:uiPriority w:val="99"/>
    <w:rsid w:val="0077661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7661B"/>
    <w:rPr>
      <w:rFonts w:ascii="Times New Roman" w:hAnsi="Times New Roman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77661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77661B"/>
    <w:rPr>
      <w:rFonts w:ascii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77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661B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rsid w:val="00E320F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320F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320F7"/>
    <w:rPr>
      <w:rFonts w:ascii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20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320F7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textovprepojenie">
    <w:name w:val="Hyperlink"/>
    <w:basedOn w:val="Predvolenpsmoodseku"/>
    <w:uiPriority w:val="99"/>
    <w:rsid w:val="00962FB4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E22784"/>
    <w:rPr>
      <w:rFonts w:ascii="Times New Roman" w:eastAsia="Times New Roman" w:hAnsi="Times New Roman"/>
      <w:szCs w:val="20"/>
      <w:lang w:val="en-GB" w:eastAsia="en-US"/>
    </w:rPr>
  </w:style>
  <w:style w:type="paragraph" w:styleId="Nzov">
    <w:name w:val="Title"/>
    <w:basedOn w:val="Normlny"/>
    <w:link w:val="NzovChar"/>
    <w:qFormat/>
    <w:locked/>
    <w:rsid w:val="009319FE"/>
    <w:pPr>
      <w:tabs>
        <w:tab w:val="clear" w:pos="567"/>
      </w:tabs>
      <w:spacing w:before="120" w:after="120" w:line="360" w:lineRule="auto"/>
      <w:jc w:val="center"/>
    </w:pPr>
    <w:rPr>
      <w:rFonts w:ascii="Arial" w:hAnsi="Arial" w:cs="Arial"/>
      <w:b/>
      <w:bCs/>
      <w:sz w:val="32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9319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E404-A08A-4B6B-A900-3077A6FE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4272</Words>
  <Characters>27803</Characters>
  <Application>Microsoft Office Word</Application>
  <DocSecurity>0</DocSecurity>
  <Lines>231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Novartis</Company>
  <LinksUpToDate>false</LinksUpToDate>
  <CharactersWithSpaces>32011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Slahúčková, Miroslava</dc:creator>
  <cp:lastModifiedBy>Valovičová, Monika</cp:lastModifiedBy>
  <cp:revision>8</cp:revision>
  <cp:lastPrinted>2019-07-23T10:16:00Z</cp:lastPrinted>
  <dcterms:created xsi:type="dcterms:W3CDTF">2020-10-05T18:02:00Z</dcterms:created>
  <dcterms:modified xsi:type="dcterms:W3CDTF">2020-10-15T10:57:00Z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VIDLAAN1@novartis.net</vt:lpwstr>
  </property>
  <property fmtid="{D5CDD505-2E9C-101B-9397-08002B2CF9AE}" pid="5" name="MSIP_Label_4929bff8-5b33-42aa-95d2-28f72e792cb0_SetDate">
    <vt:lpwstr>2019-05-03T17:53:20.9266563Z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