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F9270" w14:textId="77777777" w:rsidR="00450114" w:rsidRPr="00310B0F" w:rsidRDefault="00450114" w:rsidP="00450114">
      <w:pPr>
        <w:pStyle w:val="Zkladntext"/>
        <w:kinsoku w:val="0"/>
        <w:overflowPunct w:val="0"/>
        <w:ind w:hanging="1"/>
        <w:jc w:val="center"/>
      </w:pPr>
      <w:bookmarkStart w:id="0" w:name="_GoBack"/>
      <w:bookmarkEnd w:id="0"/>
      <w:r>
        <w:rPr>
          <w:b/>
          <w:bCs/>
        </w:rPr>
        <w:t>SÚHRN CHARAKTERISTICKÝCH VLASTNOSTÍ LIEKU</w:t>
      </w:r>
    </w:p>
    <w:p w14:paraId="63E191DA" w14:textId="77777777" w:rsidR="00450114" w:rsidRDefault="00450114" w:rsidP="00450114">
      <w:pPr>
        <w:pStyle w:val="Zkladntext"/>
        <w:kinsoku w:val="0"/>
        <w:overflowPunct w:val="0"/>
        <w:ind w:hanging="1"/>
      </w:pPr>
    </w:p>
    <w:p w14:paraId="5FA536C1" w14:textId="77777777" w:rsidR="00450114" w:rsidRPr="00310B0F" w:rsidRDefault="00450114" w:rsidP="00450114">
      <w:pPr>
        <w:pStyle w:val="Zkladntext"/>
        <w:kinsoku w:val="0"/>
        <w:overflowPunct w:val="0"/>
        <w:ind w:hanging="1"/>
      </w:pPr>
    </w:p>
    <w:p w14:paraId="60326CCB" w14:textId="77777777" w:rsidR="00450114" w:rsidRPr="00310B0F" w:rsidRDefault="00450114" w:rsidP="00450114">
      <w:pPr>
        <w:pStyle w:val="Nadpis1"/>
        <w:numPr>
          <w:ilvl w:val="0"/>
          <w:numId w:val="12"/>
        </w:numPr>
        <w:tabs>
          <w:tab w:val="left" w:pos="567"/>
          <w:tab w:val="left" w:pos="806"/>
        </w:tabs>
        <w:kinsoku w:val="0"/>
        <w:overflowPunct w:val="0"/>
        <w:spacing w:before="0"/>
        <w:ind w:left="1" w:hanging="1"/>
      </w:pPr>
      <w:r w:rsidRPr="00310B0F">
        <w:t>NÁZOV</w:t>
      </w:r>
      <w:r w:rsidRPr="00310B0F">
        <w:rPr>
          <w:spacing w:val="-2"/>
        </w:rPr>
        <w:t xml:space="preserve"> </w:t>
      </w:r>
      <w:r w:rsidRPr="00310B0F">
        <w:t>LIEKU</w:t>
      </w:r>
    </w:p>
    <w:p w14:paraId="09848A0E" w14:textId="77777777" w:rsidR="00450114" w:rsidRPr="00310B0F" w:rsidRDefault="00450114" w:rsidP="00450114">
      <w:pPr>
        <w:pStyle w:val="Zkladntext"/>
        <w:tabs>
          <w:tab w:val="left" w:pos="567"/>
        </w:tabs>
        <w:kinsoku w:val="0"/>
        <w:overflowPunct w:val="0"/>
        <w:ind w:hanging="1"/>
        <w:rPr>
          <w:b/>
          <w:bCs/>
        </w:rPr>
      </w:pPr>
    </w:p>
    <w:p w14:paraId="3CB0FA8D" w14:textId="77777777" w:rsidR="00450114" w:rsidRPr="00310B0F" w:rsidRDefault="00450114" w:rsidP="00450114">
      <w:pPr>
        <w:pStyle w:val="Zkladntext"/>
        <w:tabs>
          <w:tab w:val="left" w:pos="567"/>
        </w:tabs>
        <w:kinsoku w:val="0"/>
        <w:overflowPunct w:val="0"/>
        <w:ind w:hanging="1"/>
      </w:pPr>
      <w:r>
        <w:t xml:space="preserve">Fingolimod </w:t>
      </w:r>
      <w:r w:rsidR="00EA7548">
        <w:t>STADA</w:t>
      </w:r>
      <w:r w:rsidR="00EA7548" w:rsidRPr="00310B0F">
        <w:t xml:space="preserve"> </w:t>
      </w:r>
      <w:r w:rsidRPr="00310B0F">
        <w:t>0,5 mg tvrdé kapsuly</w:t>
      </w:r>
    </w:p>
    <w:p w14:paraId="6C88C74A" w14:textId="77777777" w:rsidR="00450114" w:rsidRPr="00310B0F" w:rsidRDefault="00450114" w:rsidP="00450114">
      <w:pPr>
        <w:pStyle w:val="Zkladntext"/>
        <w:tabs>
          <w:tab w:val="left" w:pos="567"/>
        </w:tabs>
        <w:kinsoku w:val="0"/>
        <w:overflowPunct w:val="0"/>
        <w:ind w:hanging="1"/>
      </w:pPr>
    </w:p>
    <w:p w14:paraId="56525A71" w14:textId="77777777" w:rsidR="00450114" w:rsidRPr="00310B0F" w:rsidRDefault="00450114" w:rsidP="00450114">
      <w:pPr>
        <w:pStyle w:val="Zkladntext"/>
        <w:tabs>
          <w:tab w:val="left" w:pos="567"/>
        </w:tabs>
        <w:kinsoku w:val="0"/>
        <w:overflowPunct w:val="0"/>
        <w:ind w:hanging="1"/>
      </w:pPr>
      <w:r>
        <w:tab/>
      </w:r>
      <w:r>
        <w:tab/>
      </w:r>
    </w:p>
    <w:p w14:paraId="306484EE" w14:textId="77777777" w:rsidR="00450114" w:rsidRPr="00310B0F" w:rsidRDefault="00450114" w:rsidP="00450114">
      <w:pPr>
        <w:pStyle w:val="Nadpis1"/>
        <w:numPr>
          <w:ilvl w:val="0"/>
          <w:numId w:val="12"/>
        </w:numPr>
        <w:tabs>
          <w:tab w:val="left" w:pos="567"/>
          <w:tab w:val="left" w:pos="806"/>
        </w:tabs>
        <w:kinsoku w:val="0"/>
        <w:overflowPunct w:val="0"/>
        <w:spacing w:before="0"/>
        <w:ind w:left="0" w:hanging="1"/>
      </w:pPr>
      <w:r w:rsidRPr="00310B0F">
        <w:t>KVALITATÍVNE A KVANTITATÍVNE</w:t>
      </w:r>
      <w:r w:rsidRPr="00310B0F">
        <w:rPr>
          <w:spacing w:val="-2"/>
        </w:rPr>
        <w:t xml:space="preserve"> </w:t>
      </w:r>
      <w:r w:rsidRPr="00310B0F">
        <w:t>ZLOŽENIE</w:t>
      </w:r>
    </w:p>
    <w:p w14:paraId="1B4C7D2C" w14:textId="77777777" w:rsidR="00450114" w:rsidRPr="00310B0F" w:rsidRDefault="00450114" w:rsidP="00450114">
      <w:pPr>
        <w:pStyle w:val="Zkladntext"/>
        <w:tabs>
          <w:tab w:val="left" w:pos="567"/>
        </w:tabs>
        <w:kinsoku w:val="0"/>
        <w:overflowPunct w:val="0"/>
        <w:ind w:hanging="1"/>
        <w:rPr>
          <w:b/>
          <w:bCs/>
        </w:rPr>
      </w:pPr>
    </w:p>
    <w:p w14:paraId="606ACB3D" w14:textId="03B6FC8D" w:rsidR="00450114" w:rsidRPr="00310B0F" w:rsidRDefault="00450114" w:rsidP="00450114">
      <w:pPr>
        <w:pStyle w:val="Zkladntext"/>
        <w:tabs>
          <w:tab w:val="left" w:pos="567"/>
        </w:tabs>
        <w:kinsoku w:val="0"/>
        <w:overflowPunct w:val="0"/>
        <w:ind w:hanging="1"/>
      </w:pPr>
      <w:r w:rsidRPr="00310B0F">
        <w:t>Každá kapsula obsahuje 0,5 mg fingolimodu (</w:t>
      </w:r>
      <w:commentRangeStart w:id="1"/>
      <w:r w:rsidRPr="00310B0F">
        <w:t xml:space="preserve">vo forme </w:t>
      </w:r>
      <w:r w:rsidR="00D171C3">
        <w:t>hydro</w:t>
      </w:r>
      <w:r w:rsidRPr="00310B0F">
        <w:t>chloridu</w:t>
      </w:r>
      <w:commentRangeEnd w:id="1"/>
      <w:r w:rsidRPr="00310B0F">
        <w:t>).</w:t>
      </w:r>
    </w:p>
    <w:p w14:paraId="7C03BD38" w14:textId="77777777" w:rsidR="00450114" w:rsidRPr="00310B0F" w:rsidRDefault="00450114" w:rsidP="00450114">
      <w:pPr>
        <w:pStyle w:val="Zkladntext"/>
        <w:tabs>
          <w:tab w:val="left" w:pos="567"/>
        </w:tabs>
        <w:kinsoku w:val="0"/>
        <w:overflowPunct w:val="0"/>
        <w:ind w:hanging="1"/>
      </w:pPr>
    </w:p>
    <w:p w14:paraId="367F1A49" w14:textId="77777777" w:rsidR="00450114" w:rsidRPr="00310B0F" w:rsidRDefault="00450114" w:rsidP="00450114">
      <w:pPr>
        <w:pStyle w:val="Zkladntext"/>
        <w:tabs>
          <w:tab w:val="left" w:pos="567"/>
        </w:tabs>
        <w:kinsoku w:val="0"/>
        <w:overflowPunct w:val="0"/>
        <w:ind w:hanging="1"/>
      </w:pPr>
      <w:r w:rsidRPr="00310B0F">
        <w:t>Úplný zoznam pomocných látok, pozri časť 6.1.</w:t>
      </w:r>
    </w:p>
    <w:p w14:paraId="45202F9F" w14:textId="77777777" w:rsidR="00450114" w:rsidRPr="00310B0F" w:rsidRDefault="00450114" w:rsidP="00450114">
      <w:pPr>
        <w:pStyle w:val="Zkladntext"/>
        <w:tabs>
          <w:tab w:val="left" w:pos="567"/>
        </w:tabs>
        <w:kinsoku w:val="0"/>
        <w:overflowPunct w:val="0"/>
        <w:ind w:hanging="1"/>
      </w:pPr>
    </w:p>
    <w:p w14:paraId="7ECFBD13" w14:textId="77777777" w:rsidR="00450114" w:rsidRPr="00310B0F" w:rsidRDefault="00450114" w:rsidP="00450114">
      <w:pPr>
        <w:pStyle w:val="Zkladntext"/>
        <w:tabs>
          <w:tab w:val="left" w:pos="567"/>
        </w:tabs>
        <w:kinsoku w:val="0"/>
        <w:overflowPunct w:val="0"/>
        <w:ind w:hanging="1"/>
      </w:pPr>
    </w:p>
    <w:p w14:paraId="02958BB3" w14:textId="77777777" w:rsidR="00450114" w:rsidRPr="00310B0F" w:rsidRDefault="00450114" w:rsidP="00450114">
      <w:pPr>
        <w:pStyle w:val="Nadpis1"/>
        <w:numPr>
          <w:ilvl w:val="0"/>
          <w:numId w:val="12"/>
        </w:numPr>
        <w:tabs>
          <w:tab w:val="left" w:pos="567"/>
          <w:tab w:val="left" w:pos="806"/>
        </w:tabs>
        <w:kinsoku w:val="0"/>
        <w:overflowPunct w:val="0"/>
        <w:spacing w:before="0"/>
        <w:ind w:left="0" w:hanging="1"/>
      </w:pPr>
      <w:r w:rsidRPr="00310B0F">
        <w:t>LIEKOVÁ FORMA</w:t>
      </w:r>
    </w:p>
    <w:p w14:paraId="3E1D0701" w14:textId="77777777" w:rsidR="00450114" w:rsidRPr="00310B0F" w:rsidRDefault="00450114" w:rsidP="00450114">
      <w:pPr>
        <w:pStyle w:val="Zkladntext"/>
        <w:tabs>
          <w:tab w:val="left" w:pos="567"/>
        </w:tabs>
        <w:kinsoku w:val="0"/>
        <w:overflowPunct w:val="0"/>
        <w:ind w:hanging="1"/>
        <w:rPr>
          <w:b/>
          <w:bCs/>
        </w:rPr>
      </w:pPr>
    </w:p>
    <w:p w14:paraId="7AA274F3" w14:textId="77777777" w:rsidR="00450114" w:rsidRPr="00310B0F" w:rsidRDefault="00450114" w:rsidP="00450114">
      <w:pPr>
        <w:pStyle w:val="Zkladntext"/>
        <w:tabs>
          <w:tab w:val="left" w:pos="567"/>
        </w:tabs>
        <w:kinsoku w:val="0"/>
        <w:overflowPunct w:val="0"/>
        <w:ind w:hanging="1"/>
      </w:pPr>
      <w:r w:rsidRPr="00310B0F">
        <w:t>Tvrdá kapsula</w:t>
      </w:r>
    </w:p>
    <w:p w14:paraId="456D78FA" w14:textId="77777777" w:rsidR="00450114" w:rsidRPr="00310B0F" w:rsidRDefault="00450114" w:rsidP="00450114">
      <w:pPr>
        <w:pStyle w:val="Zkladntext"/>
        <w:tabs>
          <w:tab w:val="left" w:pos="567"/>
        </w:tabs>
        <w:kinsoku w:val="0"/>
        <w:overflowPunct w:val="0"/>
        <w:ind w:hanging="1"/>
      </w:pPr>
    </w:p>
    <w:p w14:paraId="13C6DB7A" w14:textId="77777777" w:rsidR="00450114" w:rsidRPr="00310B0F" w:rsidRDefault="00450114" w:rsidP="00450114">
      <w:pPr>
        <w:pStyle w:val="Zkladntext"/>
        <w:tabs>
          <w:tab w:val="left" w:pos="567"/>
        </w:tabs>
        <w:kinsoku w:val="0"/>
        <w:overflowPunct w:val="0"/>
        <w:ind w:hanging="1"/>
      </w:pPr>
      <w:r>
        <w:t>Tvrdá želatínová k</w:t>
      </w:r>
      <w:r w:rsidRPr="00310B0F">
        <w:t>apsula veľkosti 1</w:t>
      </w:r>
      <w:r>
        <w:t>3,53</w:t>
      </w:r>
      <w:r w:rsidRPr="00310B0F">
        <w:t xml:space="preserve"> mm </w:t>
      </w:r>
      <w:r>
        <w:t>s matným žltým uzáverom a matným bielym telom kapsuly.</w:t>
      </w:r>
    </w:p>
    <w:p w14:paraId="4EDE83D4" w14:textId="77777777" w:rsidR="00450114" w:rsidRPr="00310B0F" w:rsidRDefault="00450114" w:rsidP="00450114">
      <w:pPr>
        <w:pStyle w:val="Zkladntext"/>
        <w:tabs>
          <w:tab w:val="left" w:pos="567"/>
        </w:tabs>
        <w:kinsoku w:val="0"/>
        <w:overflowPunct w:val="0"/>
        <w:ind w:hanging="1"/>
      </w:pPr>
    </w:p>
    <w:p w14:paraId="497431CF" w14:textId="77777777" w:rsidR="00450114" w:rsidRPr="00310B0F" w:rsidRDefault="00450114" w:rsidP="00450114">
      <w:pPr>
        <w:pStyle w:val="Zkladntext"/>
        <w:tabs>
          <w:tab w:val="left" w:pos="567"/>
        </w:tabs>
        <w:kinsoku w:val="0"/>
        <w:overflowPunct w:val="0"/>
        <w:ind w:hanging="1"/>
      </w:pPr>
    </w:p>
    <w:p w14:paraId="09A7AB38" w14:textId="77777777" w:rsidR="00450114" w:rsidRPr="00310B0F" w:rsidRDefault="00450114" w:rsidP="00450114">
      <w:pPr>
        <w:pStyle w:val="Nadpis1"/>
        <w:numPr>
          <w:ilvl w:val="0"/>
          <w:numId w:val="12"/>
        </w:numPr>
        <w:tabs>
          <w:tab w:val="left" w:pos="567"/>
          <w:tab w:val="left" w:pos="806"/>
        </w:tabs>
        <w:kinsoku w:val="0"/>
        <w:overflowPunct w:val="0"/>
        <w:spacing w:before="0"/>
        <w:ind w:left="0" w:hanging="1"/>
      </w:pPr>
      <w:r w:rsidRPr="00310B0F">
        <w:t>KLINICKÉ</w:t>
      </w:r>
      <w:r w:rsidRPr="00310B0F">
        <w:rPr>
          <w:spacing w:val="-1"/>
        </w:rPr>
        <w:t xml:space="preserve"> </w:t>
      </w:r>
      <w:r w:rsidRPr="00310B0F">
        <w:t>ÚDAJE</w:t>
      </w:r>
    </w:p>
    <w:p w14:paraId="00602EBB" w14:textId="77777777" w:rsidR="00450114" w:rsidRPr="00310B0F" w:rsidRDefault="00450114" w:rsidP="00450114">
      <w:pPr>
        <w:pStyle w:val="Zkladntext"/>
        <w:tabs>
          <w:tab w:val="left" w:pos="567"/>
        </w:tabs>
        <w:kinsoku w:val="0"/>
        <w:overflowPunct w:val="0"/>
        <w:ind w:hanging="1"/>
        <w:rPr>
          <w:b/>
          <w:bCs/>
        </w:rPr>
      </w:pPr>
    </w:p>
    <w:p w14:paraId="04ED75EF" w14:textId="77777777" w:rsidR="00450114" w:rsidRPr="00310B0F" w:rsidRDefault="00450114" w:rsidP="00450114">
      <w:pPr>
        <w:pStyle w:val="Odsekzoznamu"/>
        <w:numPr>
          <w:ilvl w:val="1"/>
          <w:numId w:val="12"/>
        </w:numPr>
        <w:tabs>
          <w:tab w:val="left" w:pos="567"/>
          <w:tab w:val="left" w:pos="806"/>
        </w:tabs>
        <w:kinsoku w:val="0"/>
        <w:overflowPunct w:val="0"/>
        <w:ind w:left="0" w:hanging="1"/>
        <w:rPr>
          <w:b/>
          <w:bCs/>
          <w:sz w:val="22"/>
          <w:szCs w:val="22"/>
        </w:rPr>
      </w:pPr>
      <w:r w:rsidRPr="00310B0F">
        <w:rPr>
          <w:b/>
          <w:bCs/>
          <w:sz w:val="22"/>
          <w:szCs w:val="22"/>
        </w:rPr>
        <w:t>Terapeutické</w:t>
      </w:r>
      <w:r w:rsidRPr="00310B0F">
        <w:rPr>
          <w:b/>
          <w:bCs/>
          <w:spacing w:val="-2"/>
          <w:sz w:val="22"/>
          <w:szCs w:val="22"/>
        </w:rPr>
        <w:t xml:space="preserve"> </w:t>
      </w:r>
      <w:r w:rsidRPr="00310B0F">
        <w:rPr>
          <w:b/>
          <w:bCs/>
          <w:sz w:val="22"/>
          <w:szCs w:val="22"/>
        </w:rPr>
        <w:t>indikácie</w:t>
      </w:r>
    </w:p>
    <w:p w14:paraId="24D1F592" w14:textId="77777777" w:rsidR="00450114" w:rsidRPr="00310B0F" w:rsidRDefault="00450114" w:rsidP="00450114">
      <w:pPr>
        <w:pStyle w:val="Zkladntext"/>
        <w:kinsoku w:val="0"/>
        <w:overflowPunct w:val="0"/>
        <w:ind w:hanging="1"/>
        <w:rPr>
          <w:b/>
          <w:bCs/>
        </w:rPr>
      </w:pPr>
    </w:p>
    <w:p w14:paraId="25C6962D" w14:textId="38492505" w:rsidR="00450114" w:rsidRPr="00310B0F" w:rsidRDefault="00450114" w:rsidP="00450114">
      <w:pPr>
        <w:pStyle w:val="Zkladntext"/>
        <w:kinsoku w:val="0"/>
        <w:overflowPunct w:val="0"/>
        <w:ind w:hanging="1"/>
      </w:pPr>
      <w:commentRangeStart w:id="2"/>
      <w:r>
        <w:t xml:space="preserve">Fingolimod </w:t>
      </w:r>
      <w:r w:rsidR="00EA7548">
        <w:t>STADA</w:t>
      </w:r>
      <w:r w:rsidRPr="00310B0F">
        <w:t xml:space="preserve"> je indikovan</w:t>
      </w:r>
      <w:r>
        <w:t>ý</w:t>
      </w:r>
      <w:r w:rsidRPr="00310B0F">
        <w:t xml:space="preserve"> ako monoterapia modifikujúca ochorenie pri vysoko aktívnej relaps-remitujúcej </w:t>
      </w:r>
      <w:r w:rsidR="00253F97">
        <w:t>skleróze multiplex (</w:t>
      </w:r>
      <w:r w:rsidR="00D171C3">
        <w:t>roztrúsenej skleróze</w:t>
      </w:r>
      <w:r w:rsidR="00253F97">
        <w:t>, SM)</w:t>
      </w:r>
      <w:r w:rsidR="00D171C3">
        <w:t xml:space="preserve"> </w:t>
      </w:r>
      <w:commentRangeEnd w:id="2"/>
      <w:r w:rsidRPr="00310B0F">
        <w:t xml:space="preserve"> u nasledujúcich skupín dospelých pacientov a pediatrických pacientov vo veku</w:t>
      </w:r>
      <w:r>
        <w:t xml:space="preserve"> </w:t>
      </w:r>
      <w:r w:rsidRPr="00310B0F">
        <w:t>10 rokov a starších</w:t>
      </w:r>
      <w:r>
        <w:t xml:space="preserve"> a s telesnou </w:t>
      </w:r>
      <w:r w:rsidRPr="00ED3C01">
        <w:t xml:space="preserve">hmotnosťou </w:t>
      </w:r>
      <w:r w:rsidRPr="00ED3C01">
        <w:rPr>
          <w:rStyle w:val="Siln"/>
          <w:rFonts w:cs="Arial"/>
          <w:b w:val="0"/>
        </w:rPr>
        <w:t>&gt; 40 kg:</w:t>
      </w:r>
    </w:p>
    <w:p w14:paraId="4E7C0F7B" w14:textId="691E027C" w:rsidR="00450114" w:rsidRPr="00310B0F" w:rsidRDefault="00450114" w:rsidP="00450114">
      <w:pPr>
        <w:pStyle w:val="Odsekzoznamu"/>
        <w:numPr>
          <w:ilvl w:val="0"/>
          <w:numId w:val="13"/>
        </w:numPr>
        <w:tabs>
          <w:tab w:val="left" w:pos="567"/>
        </w:tabs>
        <w:kinsoku w:val="0"/>
        <w:overflowPunct w:val="0"/>
        <w:ind w:left="567" w:hanging="567"/>
        <w:rPr>
          <w:sz w:val="22"/>
          <w:szCs w:val="22"/>
        </w:rPr>
      </w:pPr>
      <w:r w:rsidRPr="00310B0F">
        <w:rPr>
          <w:sz w:val="22"/>
          <w:szCs w:val="22"/>
        </w:rPr>
        <w:t xml:space="preserve">Pacienti s vysoko aktívnym ochorením napriek podaniu úplného a primeraného cyklu aspoň jednej liečby modifikujúcej ochorenie (výnimky a informácie o dobách </w:t>
      </w:r>
      <w:r w:rsidR="00D171C3">
        <w:rPr>
          <w:sz w:val="22"/>
          <w:szCs w:val="22"/>
        </w:rPr>
        <w:t>eliminácie</w:t>
      </w:r>
      <w:r w:rsidRPr="00310B0F">
        <w:rPr>
          <w:sz w:val="22"/>
          <w:szCs w:val="22"/>
        </w:rPr>
        <w:t>, pozri časti 4.4 a</w:t>
      </w:r>
      <w:r w:rsidRPr="00310B0F">
        <w:rPr>
          <w:spacing w:val="-1"/>
          <w:sz w:val="22"/>
          <w:szCs w:val="22"/>
        </w:rPr>
        <w:t xml:space="preserve"> </w:t>
      </w:r>
      <w:r w:rsidRPr="00310B0F">
        <w:rPr>
          <w:sz w:val="22"/>
          <w:szCs w:val="22"/>
        </w:rPr>
        <w:t>5.1).</w:t>
      </w:r>
    </w:p>
    <w:p w14:paraId="086ABCB0" w14:textId="3F524ECD" w:rsidR="00450114" w:rsidRPr="00310B0F" w:rsidRDefault="00450114" w:rsidP="00450114">
      <w:pPr>
        <w:pStyle w:val="Odsekzoznamu"/>
        <w:numPr>
          <w:ilvl w:val="0"/>
          <w:numId w:val="13"/>
        </w:numPr>
        <w:tabs>
          <w:tab w:val="left" w:pos="567"/>
        </w:tabs>
        <w:kinsoku w:val="0"/>
        <w:overflowPunct w:val="0"/>
        <w:ind w:left="567" w:hanging="567"/>
        <w:rPr>
          <w:sz w:val="22"/>
          <w:szCs w:val="22"/>
        </w:rPr>
      </w:pPr>
      <w:r w:rsidRPr="00310B0F">
        <w:rPr>
          <w:sz w:val="22"/>
          <w:szCs w:val="22"/>
        </w:rPr>
        <w:t xml:space="preserve">Pacienti s rýchlo sa vyvíjajúcou závažnou relaps-remitujúcou </w:t>
      </w:r>
      <w:r w:rsidR="00062A93">
        <w:rPr>
          <w:sz w:val="22"/>
          <w:szCs w:val="22"/>
        </w:rPr>
        <w:t>sklerózou multiplex</w:t>
      </w:r>
      <w:r w:rsidRPr="00310B0F">
        <w:rPr>
          <w:sz w:val="22"/>
          <w:szCs w:val="22"/>
        </w:rPr>
        <w:t xml:space="preserve">, definovanou 2 alebo viacerými </w:t>
      </w:r>
      <w:r w:rsidRPr="00D171C3">
        <w:rPr>
          <w:sz w:val="22"/>
          <w:szCs w:val="22"/>
        </w:rPr>
        <w:t>invalidizujúcimi</w:t>
      </w:r>
      <w:r w:rsidRPr="00310B0F">
        <w:rPr>
          <w:sz w:val="22"/>
          <w:szCs w:val="22"/>
        </w:rPr>
        <w:t xml:space="preserve"> relapsmi počas jedného roka a s 1 alebo viacerými gadolíniom sa zvýrazňujúcimi léziami na MRI mozgu alebo významným zvýšením počtu </w:t>
      </w:r>
      <w:r w:rsidRPr="00310B0F">
        <w:rPr>
          <w:spacing w:val="2"/>
          <w:sz w:val="22"/>
          <w:szCs w:val="22"/>
        </w:rPr>
        <w:t xml:space="preserve">T2- </w:t>
      </w:r>
      <w:r w:rsidRPr="00310B0F">
        <w:rPr>
          <w:sz w:val="22"/>
          <w:szCs w:val="22"/>
        </w:rPr>
        <w:t>lézií v porovnaní s predchádzajúcim nedávnym</w:t>
      </w:r>
      <w:r w:rsidRPr="00310B0F">
        <w:rPr>
          <w:spacing w:val="-7"/>
          <w:sz w:val="22"/>
          <w:szCs w:val="22"/>
        </w:rPr>
        <w:t xml:space="preserve"> </w:t>
      </w:r>
      <w:r w:rsidRPr="00310B0F">
        <w:rPr>
          <w:sz w:val="22"/>
          <w:szCs w:val="22"/>
        </w:rPr>
        <w:t>MRI.</w:t>
      </w:r>
    </w:p>
    <w:p w14:paraId="01D56363" w14:textId="77777777" w:rsidR="00450114" w:rsidRDefault="00450114" w:rsidP="00450114">
      <w:pPr>
        <w:pStyle w:val="Odsekzoznamu"/>
        <w:tabs>
          <w:tab w:val="left" w:pos="806"/>
        </w:tabs>
        <w:kinsoku w:val="0"/>
        <w:overflowPunct w:val="0"/>
        <w:rPr>
          <w:sz w:val="22"/>
          <w:szCs w:val="22"/>
        </w:rPr>
      </w:pPr>
    </w:p>
    <w:p w14:paraId="72529053" w14:textId="77777777" w:rsidR="00450114" w:rsidRPr="00310B0F" w:rsidRDefault="00450114" w:rsidP="00450114">
      <w:pPr>
        <w:pStyle w:val="Nadpis1"/>
        <w:numPr>
          <w:ilvl w:val="1"/>
          <w:numId w:val="12"/>
        </w:numPr>
        <w:tabs>
          <w:tab w:val="left" w:pos="567"/>
        </w:tabs>
        <w:kinsoku w:val="0"/>
        <w:overflowPunct w:val="0"/>
        <w:spacing w:before="0"/>
        <w:ind w:left="0" w:hanging="1"/>
      </w:pPr>
      <w:r w:rsidRPr="00310B0F">
        <w:t>Dávkovanie a spôsob</w:t>
      </w:r>
      <w:r w:rsidRPr="00310B0F">
        <w:rPr>
          <w:spacing w:val="-2"/>
        </w:rPr>
        <w:t xml:space="preserve"> </w:t>
      </w:r>
      <w:r w:rsidRPr="00310B0F">
        <w:t>podávania</w:t>
      </w:r>
    </w:p>
    <w:p w14:paraId="6477A54E" w14:textId="77777777" w:rsidR="00450114" w:rsidRPr="00310B0F" w:rsidRDefault="00450114" w:rsidP="00450114">
      <w:pPr>
        <w:pStyle w:val="Zkladntext"/>
        <w:kinsoku w:val="0"/>
        <w:overflowPunct w:val="0"/>
        <w:ind w:hanging="1"/>
        <w:rPr>
          <w:b/>
          <w:bCs/>
        </w:rPr>
      </w:pPr>
    </w:p>
    <w:p w14:paraId="5D0D9A7E" w14:textId="53A5DCB2" w:rsidR="00450114" w:rsidRPr="00310B0F" w:rsidRDefault="00450114" w:rsidP="00450114">
      <w:pPr>
        <w:pStyle w:val="Zkladntext"/>
        <w:kinsoku w:val="0"/>
        <w:overflowPunct w:val="0"/>
        <w:ind w:hanging="1"/>
      </w:pPr>
      <w:r w:rsidRPr="00310B0F">
        <w:t xml:space="preserve">Liečbu má začať a viesť lekár so skúsenosťami so </w:t>
      </w:r>
      <w:r w:rsidR="00D171C3">
        <w:t xml:space="preserve">sklerózou </w:t>
      </w:r>
      <w:r w:rsidRPr="00310B0F">
        <w:t>multiplex.</w:t>
      </w:r>
    </w:p>
    <w:p w14:paraId="6DECC8F5" w14:textId="77777777" w:rsidR="00450114" w:rsidRPr="00310B0F" w:rsidRDefault="00450114" w:rsidP="00450114">
      <w:pPr>
        <w:pStyle w:val="Zkladntext"/>
        <w:kinsoku w:val="0"/>
        <w:overflowPunct w:val="0"/>
        <w:ind w:hanging="1"/>
      </w:pPr>
    </w:p>
    <w:p w14:paraId="2FE66281" w14:textId="77777777" w:rsidR="00450114" w:rsidRPr="00310B0F" w:rsidRDefault="00450114" w:rsidP="00450114">
      <w:pPr>
        <w:pStyle w:val="Zkladntext"/>
        <w:kinsoku w:val="0"/>
        <w:overflowPunct w:val="0"/>
        <w:ind w:hanging="1"/>
      </w:pPr>
      <w:r w:rsidRPr="00310B0F">
        <w:rPr>
          <w:u w:val="single"/>
        </w:rPr>
        <w:t>Dávkovanie</w:t>
      </w:r>
    </w:p>
    <w:p w14:paraId="345DC050" w14:textId="50A4B5BC" w:rsidR="00450114" w:rsidRPr="00310B0F" w:rsidRDefault="00450114" w:rsidP="00450114">
      <w:pPr>
        <w:pStyle w:val="Zkladntext"/>
        <w:kinsoku w:val="0"/>
        <w:overflowPunct w:val="0"/>
        <w:ind w:hanging="1"/>
      </w:pPr>
      <w:r w:rsidRPr="00310B0F">
        <w:t xml:space="preserve">U dospelých je odporúčaná dávka </w:t>
      </w:r>
      <w:r>
        <w:t>fingolimodu</w:t>
      </w:r>
      <w:r w:rsidRPr="00310B0F">
        <w:t xml:space="preserve"> 0,5 mg </w:t>
      </w:r>
      <w:r w:rsidR="00D171C3" w:rsidRPr="00310B0F">
        <w:t>užívan</w:t>
      </w:r>
      <w:r w:rsidR="00D171C3">
        <w:t>á</w:t>
      </w:r>
      <w:r w:rsidR="00D171C3" w:rsidRPr="00310B0F">
        <w:t xml:space="preserve"> </w:t>
      </w:r>
      <w:r w:rsidRPr="00310B0F">
        <w:t>perorálne raz denne.</w:t>
      </w:r>
    </w:p>
    <w:p w14:paraId="0BA7818D" w14:textId="77777777" w:rsidR="00450114" w:rsidRPr="00310B0F" w:rsidRDefault="00450114" w:rsidP="00450114">
      <w:pPr>
        <w:pStyle w:val="Zkladntext"/>
        <w:kinsoku w:val="0"/>
        <w:overflowPunct w:val="0"/>
        <w:ind w:hanging="1"/>
      </w:pPr>
    </w:p>
    <w:p w14:paraId="3421B273" w14:textId="77777777" w:rsidR="00450114" w:rsidRPr="00ED3C01" w:rsidRDefault="00450114" w:rsidP="00450114">
      <w:pPr>
        <w:pStyle w:val="Zkladntext"/>
        <w:kinsoku w:val="0"/>
        <w:overflowPunct w:val="0"/>
        <w:ind w:hanging="1"/>
      </w:pPr>
      <w:r w:rsidRPr="00ED3C01">
        <w:t>U pediatrických pacientov (vo veku 10 rokov a starších) závisí odporúčaná dávka od telesnej hmotnosti:</w:t>
      </w:r>
    </w:p>
    <w:p w14:paraId="0BC7B069" w14:textId="0FC7601F" w:rsidR="00450114" w:rsidRPr="00ED3C01" w:rsidRDefault="00450114" w:rsidP="00450114">
      <w:pPr>
        <w:pStyle w:val="Odsekzoznamu"/>
        <w:numPr>
          <w:ilvl w:val="0"/>
          <w:numId w:val="14"/>
        </w:numPr>
        <w:tabs>
          <w:tab w:val="left" w:pos="567"/>
        </w:tabs>
        <w:kinsoku w:val="0"/>
        <w:overflowPunct w:val="0"/>
        <w:ind w:left="567" w:hanging="567"/>
        <w:rPr>
          <w:sz w:val="22"/>
          <w:szCs w:val="22"/>
        </w:rPr>
      </w:pPr>
      <w:r w:rsidRPr="00ED3C01">
        <w:rPr>
          <w:sz w:val="22"/>
          <w:szCs w:val="22"/>
        </w:rPr>
        <w:t>Pediatrickí pacienti s telesnou hmotnosťou &gt;</w:t>
      </w:r>
      <w:r>
        <w:rPr>
          <w:sz w:val="22"/>
          <w:szCs w:val="22"/>
        </w:rPr>
        <w:t xml:space="preserve"> </w:t>
      </w:r>
      <w:r w:rsidRPr="00ED3C01">
        <w:rPr>
          <w:sz w:val="22"/>
          <w:szCs w:val="22"/>
        </w:rPr>
        <w:t xml:space="preserve">40 kg: </w:t>
      </w:r>
      <w:r>
        <w:rPr>
          <w:sz w:val="22"/>
          <w:szCs w:val="22"/>
        </w:rPr>
        <w:t>odporúčaná dávka je</w:t>
      </w:r>
      <w:r w:rsidRPr="00ED3C01">
        <w:rPr>
          <w:sz w:val="22"/>
          <w:szCs w:val="22"/>
        </w:rPr>
        <w:t xml:space="preserve"> 0,5 mg </w:t>
      </w:r>
      <w:r w:rsidR="00D171C3" w:rsidRPr="00ED3C01">
        <w:rPr>
          <w:sz w:val="22"/>
          <w:szCs w:val="22"/>
        </w:rPr>
        <w:t>užívan</w:t>
      </w:r>
      <w:r w:rsidR="00D171C3">
        <w:rPr>
          <w:sz w:val="22"/>
          <w:szCs w:val="22"/>
        </w:rPr>
        <w:t>á</w:t>
      </w:r>
      <w:r w:rsidR="00D171C3" w:rsidRPr="00ED3C01">
        <w:rPr>
          <w:sz w:val="22"/>
          <w:szCs w:val="22"/>
        </w:rPr>
        <w:t xml:space="preserve"> </w:t>
      </w:r>
      <w:r w:rsidRPr="00ED3C01">
        <w:rPr>
          <w:sz w:val="22"/>
          <w:szCs w:val="22"/>
        </w:rPr>
        <w:t>perorálne</w:t>
      </w:r>
      <w:r w:rsidRPr="00ED3C01">
        <w:rPr>
          <w:spacing w:val="-16"/>
          <w:sz w:val="22"/>
          <w:szCs w:val="22"/>
        </w:rPr>
        <w:t xml:space="preserve"> </w:t>
      </w:r>
      <w:r w:rsidRPr="00ED3C01">
        <w:rPr>
          <w:sz w:val="22"/>
          <w:szCs w:val="22"/>
        </w:rPr>
        <w:t>raz denne.</w:t>
      </w:r>
    </w:p>
    <w:p w14:paraId="06C75C54" w14:textId="77777777" w:rsidR="00450114" w:rsidRPr="00ED3C01" w:rsidRDefault="00450114" w:rsidP="00450114">
      <w:pPr>
        <w:pStyle w:val="Odsekzoznamu"/>
        <w:numPr>
          <w:ilvl w:val="0"/>
          <w:numId w:val="14"/>
        </w:numPr>
        <w:tabs>
          <w:tab w:val="left" w:pos="567"/>
        </w:tabs>
        <w:kinsoku w:val="0"/>
        <w:overflowPunct w:val="0"/>
        <w:ind w:left="567" w:hanging="567"/>
        <w:rPr>
          <w:sz w:val="22"/>
          <w:szCs w:val="22"/>
        </w:rPr>
      </w:pPr>
      <w:r w:rsidRPr="00ED3C01">
        <w:rPr>
          <w:sz w:val="22"/>
          <w:szCs w:val="22"/>
        </w:rPr>
        <w:t>Pediatrickí pacienti s telesnou hmotnosťou ≤</w:t>
      </w:r>
      <w:r>
        <w:rPr>
          <w:sz w:val="22"/>
          <w:szCs w:val="22"/>
        </w:rPr>
        <w:t xml:space="preserve"> </w:t>
      </w:r>
      <w:r w:rsidRPr="00ED3C01">
        <w:rPr>
          <w:sz w:val="22"/>
          <w:szCs w:val="22"/>
        </w:rPr>
        <w:t xml:space="preserve">40 kg: </w:t>
      </w:r>
      <w:r>
        <w:rPr>
          <w:sz w:val="22"/>
          <w:szCs w:val="22"/>
        </w:rPr>
        <w:t xml:space="preserve">Fingolimod </w:t>
      </w:r>
      <w:r w:rsidR="00EA7548">
        <w:rPr>
          <w:sz w:val="22"/>
          <w:szCs w:val="22"/>
        </w:rPr>
        <w:t>STADA</w:t>
      </w:r>
      <w:r>
        <w:rPr>
          <w:sz w:val="22"/>
          <w:szCs w:val="22"/>
        </w:rPr>
        <w:t xml:space="preserve"> nie je vhodný. Dostupné sú aj iné lieky obsahujúce fingolimod s nižšou silou (napr. 0,25 mg kapsuly).</w:t>
      </w:r>
    </w:p>
    <w:p w14:paraId="292DAE20" w14:textId="77777777" w:rsidR="00450114" w:rsidRPr="00310B0F" w:rsidRDefault="00450114" w:rsidP="00450114">
      <w:pPr>
        <w:pStyle w:val="Zkladntext"/>
        <w:kinsoku w:val="0"/>
        <w:overflowPunct w:val="0"/>
        <w:ind w:hanging="1"/>
      </w:pPr>
    </w:p>
    <w:p w14:paraId="587DD086" w14:textId="6EBF38E3" w:rsidR="00450114" w:rsidRPr="00310B0F" w:rsidRDefault="00450114" w:rsidP="00450114">
      <w:pPr>
        <w:pStyle w:val="Zkladntext"/>
        <w:kinsoku w:val="0"/>
        <w:overflowPunct w:val="0"/>
        <w:ind w:hanging="1"/>
      </w:pPr>
      <w:r w:rsidRPr="00310B0F">
        <w:t xml:space="preserve">Pri zmene dennej dávky z 0,25 mg na 0,5 mg sa odporúča zopakovať rovnaké sledovanie </w:t>
      </w:r>
      <w:r w:rsidR="00D171C3">
        <w:t xml:space="preserve">ako </w:t>
      </w:r>
      <w:r w:rsidRPr="00310B0F">
        <w:t>po prvej dávke pri začatí liečby.</w:t>
      </w:r>
    </w:p>
    <w:p w14:paraId="6DB588C8" w14:textId="77777777" w:rsidR="00450114" w:rsidRPr="00310B0F" w:rsidRDefault="00450114" w:rsidP="00450114">
      <w:pPr>
        <w:pStyle w:val="Zkladntext"/>
        <w:kinsoku w:val="0"/>
        <w:overflowPunct w:val="0"/>
        <w:ind w:hanging="1"/>
      </w:pPr>
    </w:p>
    <w:p w14:paraId="684D5445" w14:textId="77777777" w:rsidR="00450114" w:rsidRPr="00310B0F" w:rsidRDefault="00450114" w:rsidP="00450114">
      <w:pPr>
        <w:pStyle w:val="Zkladntext"/>
        <w:kinsoku w:val="0"/>
        <w:overflowPunct w:val="0"/>
        <w:ind w:hanging="1"/>
      </w:pPr>
      <w:r>
        <w:t xml:space="preserve">Fingolimod </w:t>
      </w:r>
      <w:r w:rsidR="00EA7548">
        <w:t>STADA</w:t>
      </w:r>
      <w:r w:rsidRPr="00310B0F">
        <w:t xml:space="preserve"> sa môže užívať s jedlom alebo bez jedla.</w:t>
      </w:r>
    </w:p>
    <w:p w14:paraId="79A6BF64" w14:textId="77777777" w:rsidR="00450114" w:rsidRPr="00310B0F" w:rsidRDefault="00450114" w:rsidP="00450114">
      <w:pPr>
        <w:pStyle w:val="Zkladntext"/>
        <w:kinsoku w:val="0"/>
        <w:overflowPunct w:val="0"/>
        <w:ind w:hanging="1"/>
      </w:pPr>
    </w:p>
    <w:p w14:paraId="0D0967DA" w14:textId="38F63C13" w:rsidR="00450114" w:rsidRPr="00310B0F" w:rsidRDefault="00450114" w:rsidP="00450114">
      <w:pPr>
        <w:pStyle w:val="Zkladntext"/>
        <w:kinsoku w:val="0"/>
        <w:overflowPunct w:val="0"/>
        <w:ind w:hanging="1"/>
      </w:pPr>
      <w:r w:rsidRPr="00310B0F">
        <w:t xml:space="preserve">Rovnaké sledovanie </w:t>
      </w:r>
      <w:r w:rsidR="00D171C3" w:rsidRPr="00310B0F">
        <w:t xml:space="preserve">ako </w:t>
      </w:r>
      <w:r w:rsidRPr="00310B0F">
        <w:t>po prvej dávke pri začatí liečby sa odporúča, keď sa podávanie preruší na:</w:t>
      </w:r>
    </w:p>
    <w:p w14:paraId="3CE1C7E0" w14:textId="77777777" w:rsidR="00450114" w:rsidRPr="00310B0F" w:rsidRDefault="00450114" w:rsidP="00450114">
      <w:pPr>
        <w:pStyle w:val="Odsekzoznamu"/>
        <w:numPr>
          <w:ilvl w:val="0"/>
          <w:numId w:val="15"/>
        </w:numPr>
        <w:tabs>
          <w:tab w:val="left" w:pos="567"/>
        </w:tabs>
        <w:kinsoku w:val="0"/>
        <w:overflowPunct w:val="0"/>
        <w:ind w:left="567" w:hanging="567"/>
        <w:rPr>
          <w:sz w:val="22"/>
          <w:szCs w:val="22"/>
        </w:rPr>
      </w:pPr>
      <w:r w:rsidRPr="00310B0F">
        <w:rPr>
          <w:sz w:val="22"/>
          <w:szCs w:val="22"/>
        </w:rPr>
        <w:lastRenderedPageBreak/>
        <w:t>1 deň alebo viac počas prvých 2 týždňov</w:t>
      </w:r>
      <w:r w:rsidRPr="00310B0F">
        <w:rPr>
          <w:spacing w:val="-1"/>
          <w:sz w:val="22"/>
          <w:szCs w:val="22"/>
        </w:rPr>
        <w:t xml:space="preserve"> </w:t>
      </w:r>
      <w:r w:rsidRPr="00310B0F">
        <w:rPr>
          <w:sz w:val="22"/>
          <w:szCs w:val="22"/>
        </w:rPr>
        <w:t>liečby.</w:t>
      </w:r>
    </w:p>
    <w:p w14:paraId="3CBDA043" w14:textId="77777777" w:rsidR="00450114" w:rsidRPr="00310B0F" w:rsidRDefault="00450114" w:rsidP="00450114">
      <w:pPr>
        <w:pStyle w:val="Odsekzoznamu"/>
        <w:numPr>
          <w:ilvl w:val="0"/>
          <w:numId w:val="15"/>
        </w:numPr>
        <w:tabs>
          <w:tab w:val="left" w:pos="567"/>
        </w:tabs>
        <w:kinsoku w:val="0"/>
        <w:overflowPunct w:val="0"/>
        <w:ind w:left="567" w:hanging="567"/>
        <w:rPr>
          <w:sz w:val="22"/>
          <w:szCs w:val="22"/>
        </w:rPr>
      </w:pPr>
      <w:r w:rsidRPr="00310B0F">
        <w:rPr>
          <w:sz w:val="22"/>
          <w:szCs w:val="22"/>
        </w:rPr>
        <w:t>viac ako 7 dní počas 3. a 4. týždňa</w:t>
      </w:r>
      <w:r w:rsidRPr="00310B0F">
        <w:rPr>
          <w:spacing w:val="-6"/>
          <w:sz w:val="22"/>
          <w:szCs w:val="22"/>
        </w:rPr>
        <w:t xml:space="preserve"> </w:t>
      </w:r>
      <w:r w:rsidRPr="00310B0F">
        <w:rPr>
          <w:sz w:val="22"/>
          <w:szCs w:val="22"/>
        </w:rPr>
        <w:t>liečby.</w:t>
      </w:r>
    </w:p>
    <w:p w14:paraId="51B9F38B" w14:textId="77777777" w:rsidR="00450114" w:rsidRPr="00310B0F" w:rsidRDefault="00450114" w:rsidP="00450114">
      <w:pPr>
        <w:pStyle w:val="Odsekzoznamu"/>
        <w:numPr>
          <w:ilvl w:val="0"/>
          <w:numId w:val="15"/>
        </w:numPr>
        <w:tabs>
          <w:tab w:val="left" w:pos="567"/>
        </w:tabs>
        <w:kinsoku w:val="0"/>
        <w:overflowPunct w:val="0"/>
        <w:ind w:left="567" w:hanging="567"/>
        <w:rPr>
          <w:sz w:val="22"/>
          <w:szCs w:val="22"/>
        </w:rPr>
      </w:pPr>
      <w:r w:rsidRPr="00310B0F">
        <w:rPr>
          <w:sz w:val="22"/>
          <w:szCs w:val="22"/>
        </w:rPr>
        <w:t>viac ako 2 týždne po jednom mesiaci</w:t>
      </w:r>
      <w:r w:rsidRPr="00310B0F">
        <w:rPr>
          <w:spacing w:val="-4"/>
          <w:sz w:val="22"/>
          <w:szCs w:val="22"/>
        </w:rPr>
        <w:t xml:space="preserve"> </w:t>
      </w:r>
      <w:r w:rsidRPr="00310B0F">
        <w:rPr>
          <w:sz w:val="22"/>
          <w:szCs w:val="22"/>
        </w:rPr>
        <w:t>liečby.</w:t>
      </w:r>
    </w:p>
    <w:p w14:paraId="65C10717" w14:textId="77777777" w:rsidR="00450114" w:rsidRDefault="00450114" w:rsidP="00450114">
      <w:pPr>
        <w:pStyle w:val="Zkladntext"/>
        <w:kinsoku w:val="0"/>
        <w:overflowPunct w:val="0"/>
        <w:ind w:hanging="1"/>
      </w:pPr>
    </w:p>
    <w:p w14:paraId="3939F744" w14:textId="77777777" w:rsidR="00450114" w:rsidRPr="00310B0F" w:rsidRDefault="00450114" w:rsidP="00450114">
      <w:pPr>
        <w:pStyle w:val="Zkladntext"/>
        <w:kinsoku w:val="0"/>
        <w:overflowPunct w:val="0"/>
        <w:ind w:hanging="1"/>
      </w:pPr>
      <w:r w:rsidRPr="00310B0F">
        <w:t>Ak prerušenie liečby trvá kratšie, ako sa uvádza vyššie, v liečbe sa má pokračovať nasledujúcou</w:t>
      </w:r>
    </w:p>
    <w:p w14:paraId="7FCFB37B" w14:textId="77777777" w:rsidR="00450114" w:rsidRDefault="00450114" w:rsidP="00450114">
      <w:pPr>
        <w:pStyle w:val="Zkladntext"/>
        <w:kinsoku w:val="0"/>
        <w:overflowPunct w:val="0"/>
        <w:ind w:hanging="1"/>
      </w:pPr>
      <w:r w:rsidRPr="00310B0F">
        <w:t xml:space="preserve">plánovanou dávkou (pozri časť 4.4). </w:t>
      </w:r>
    </w:p>
    <w:p w14:paraId="5E257655" w14:textId="77777777" w:rsidR="00450114" w:rsidRDefault="00450114" w:rsidP="00450114">
      <w:pPr>
        <w:pStyle w:val="Zkladntext"/>
        <w:kinsoku w:val="0"/>
        <w:overflowPunct w:val="0"/>
        <w:ind w:hanging="1"/>
      </w:pPr>
    </w:p>
    <w:p w14:paraId="5E39966F" w14:textId="77777777" w:rsidR="00450114" w:rsidRPr="00955BC9" w:rsidRDefault="00450114" w:rsidP="00450114">
      <w:pPr>
        <w:pStyle w:val="Zkladntext"/>
        <w:kinsoku w:val="0"/>
        <w:overflowPunct w:val="0"/>
        <w:ind w:hanging="1"/>
        <w:rPr>
          <w:b/>
          <w:i/>
        </w:rPr>
      </w:pPr>
      <w:r w:rsidRPr="00955BC9">
        <w:rPr>
          <w:b/>
          <w:i/>
        </w:rPr>
        <w:t>Osobitné skupiny</w:t>
      </w:r>
    </w:p>
    <w:p w14:paraId="624D0E51" w14:textId="77777777" w:rsidR="00450114" w:rsidRDefault="00450114" w:rsidP="00450114">
      <w:pPr>
        <w:pStyle w:val="Zkladntext"/>
        <w:kinsoku w:val="0"/>
        <w:overflowPunct w:val="0"/>
        <w:ind w:hanging="1"/>
        <w:rPr>
          <w:spacing w:val="-55"/>
          <w:w w:val="99"/>
          <w:u w:val="single"/>
        </w:rPr>
      </w:pPr>
      <w:r w:rsidRPr="00310B0F">
        <w:rPr>
          <w:spacing w:val="-55"/>
          <w:w w:val="99"/>
          <w:u w:val="single"/>
        </w:rPr>
        <w:t xml:space="preserve"> </w:t>
      </w:r>
    </w:p>
    <w:p w14:paraId="412B2C24" w14:textId="77777777" w:rsidR="00450114" w:rsidRPr="00955BC9" w:rsidRDefault="00450114" w:rsidP="00450114">
      <w:pPr>
        <w:pStyle w:val="Zkladntext"/>
        <w:kinsoku w:val="0"/>
        <w:overflowPunct w:val="0"/>
        <w:ind w:hanging="1"/>
        <w:rPr>
          <w:spacing w:val="-55"/>
          <w:w w:val="99"/>
        </w:rPr>
      </w:pPr>
      <w:r w:rsidRPr="00955BC9">
        <w:rPr>
          <w:iCs/>
          <w:u w:val="single"/>
        </w:rPr>
        <w:t>Starší ľudia</w:t>
      </w:r>
    </w:p>
    <w:p w14:paraId="30493E71" w14:textId="77777777" w:rsidR="00450114" w:rsidRPr="00310B0F" w:rsidRDefault="00450114" w:rsidP="00450114">
      <w:pPr>
        <w:pStyle w:val="Zkladntext"/>
        <w:kinsoku w:val="0"/>
        <w:overflowPunct w:val="0"/>
        <w:ind w:hanging="1"/>
      </w:pPr>
      <w:r>
        <w:t xml:space="preserve">Fingolimod </w:t>
      </w:r>
      <w:r w:rsidRPr="00310B0F">
        <w:t>sa má používať opatrne u pacientov vo veku 65 rokov a starších pre nedostatočné údaje</w:t>
      </w:r>
      <w:r>
        <w:t xml:space="preserve"> </w:t>
      </w:r>
      <w:r w:rsidRPr="00310B0F">
        <w:t>o bezpečnosti a účinnosti (pozri časť 5.2).</w:t>
      </w:r>
    </w:p>
    <w:p w14:paraId="04ED34F8" w14:textId="77777777" w:rsidR="00450114" w:rsidRPr="00310B0F" w:rsidRDefault="00450114" w:rsidP="00450114">
      <w:pPr>
        <w:pStyle w:val="Zkladntext"/>
        <w:kinsoku w:val="0"/>
        <w:overflowPunct w:val="0"/>
        <w:ind w:hanging="1"/>
      </w:pPr>
    </w:p>
    <w:p w14:paraId="1B15BF40" w14:textId="77777777" w:rsidR="00450114" w:rsidRPr="00955BC9" w:rsidRDefault="00450114" w:rsidP="00450114">
      <w:pPr>
        <w:pStyle w:val="Zkladntext"/>
        <w:kinsoku w:val="0"/>
        <w:overflowPunct w:val="0"/>
        <w:ind w:hanging="1"/>
        <w:rPr>
          <w:iCs/>
        </w:rPr>
      </w:pPr>
      <w:r w:rsidRPr="00955BC9">
        <w:rPr>
          <w:iCs/>
          <w:u w:val="single"/>
        </w:rPr>
        <w:t>Porucha funkcie obličiek</w:t>
      </w:r>
    </w:p>
    <w:p w14:paraId="2C56B3B9" w14:textId="0A9C9FB3" w:rsidR="00450114" w:rsidRPr="00310B0F" w:rsidRDefault="00450114" w:rsidP="00450114">
      <w:pPr>
        <w:pStyle w:val="Zkladntext"/>
        <w:kinsoku w:val="0"/>
        <w:overflowPunct w:val="0"/>
        <w:ind w:hanging="1"/>
      </w:pPr>
      <w:r>
        <w:t xml:space="preserve">Fingolimod </w:t>
      </w:r>
      <w:r w:rsidRPr="00310B0F">
        <w:t xml:space="preserve">sa neskúšal v pivotných štúdiách </w:t>
      </w:r>
      <w:r w:rsidR="00447422">
        <w:t>so</w:t>
      </w:r>
      <w:r w:rsidR="00447422" w:rsidRPr="00310B0F">
        <w:t xml:space="preserve"> </w:t>
      </w:r>
      <w:r w:rsidR="00447422">
        <w:t>sklerózou</w:t>
      </w:r>
      <w:r w:rsidR="00447422" w:rsidRPr="00310B0F">
        <w:t xml:space="preserve"> </w:t>
      </w:r>
      <w:r w:rsidRPr="00310B0F">
        <w:t>multiplex u pacientov s poruchou funkcie</w:t>
      </w:r>
    </w:p>
    <w:p w14:paraId="15397FE6" w14:textId="77777777" w:rsidR="00450114" w:rsidRPr="00310B0F" w:rsidRDefault="00450114" w:rsidP="00450114">
      <w:pPr>
        <w:pStyle w:val="Zkladntext"/>
        <w:kinsoku w:val="0"/>
        <w:overflowPunct w:val="0"/>
        <w:ind w:hanging="1"/>
      </w:pPr>
      <w:r w:rsidRPr="00310B0F">
        <w:t>obličiek. Na základe štúdií klinickej farmakológie nie sú potrebné žiadne úpravy dávkovania</w:t>
      </w:r>
    </w:p>
    <w:p w14:paraId="59EC5D2A" w14:textId="77777777" w:rsidR="00450114" w:rsidRPr="00310B0F" w:rsidRDefault="00450114" w:rsidP="00450114">
      <w:pPr>
        <w:pStyle w:val="Zkladntext"/>
        <w:kinsoku w:val="0"/>
        <w:overflowPunct w:val="0"/>
        <w:ind w:hanging="1"/>
      </w:pPr>
      <w:r w:rsidRPr="00310B0F">
        <w:t>u pacientov s ľahkou až ťažkou poruchou funkcie obličiek.</w:t>
      </w:r>
    </w:p>
    <w:p w14:paraId="5BBF0074" w14:textId="77777777" w:rsidR="00450114" w:rsidRPr="00310B0F" w:rsidRDefault="00450114" w:rsidP="00450114">
      <w:pPr>
        <w:pStyle w:val="Zkladntext"/>
        <w:kinsoku w:val="0"/>
        <w:overflowPunct w:val="0"/>
        <w:ind w:hanging="1"/>
      </w:pPr>
    </w:p>
    <w:p w14:paraId="49814712" w14:textId="77777777" w:rsidR="00450114" w:rsidRPr="00955BC9" w:rsidRDefault="00450114" w:rsidP="00450114">
      <w:pPr>
        <w:pStyle w:val="Zkladntext"/>
        <w:kinsoku w:val="0"/>
        <w:overflowPunct w:val="0"/>
        <w:ind w:hanging="1"/>
        <w:rPr>
          <w:iCs/>
        </w:rPr>
      </w:pPr>
      <w:r w:rsidRPr="00955BC9">
        <w:rPr>
          <w:iCs/>
          <w:u w:val="single"/>
        </w:rPr>
        <w:t>Porucha funkcie pečene</w:t>
      </w:r>
    </w:p>
    <w:p w14:paraId="7F904AB6" w14:textId="77777777" w:rsidR="00450114" w:rsidRPr="00310B0F" w:rsidRDefault="00450114" w:rsidP="00450114">
      <w:pPr>
        <w:pStyle w:val="Zkladntext"/>
        <w:kinsoku w:val="0"/>
        <w:overflowPunct w:val="0"/>
        <w:ind w:hanging="1"/>
      </w:pPr>
      <w:r>
        <w:t xml:space="preserve">Fingolimod </w:t>
      </w:r>
      <w:r w:rsidRPr="00310B0F">
        <w:t>sa nesmie používať u pacientov s ťažkou poruchou funkcie pečene (trieda C podľa Childa- Pugha) (pozri časť 4.3). Hoci u pacientov s ľahkou až stredne ťažkou poruchou funkcie pečene nie je potrebné upraviť dávku, pri začatí liečby u týchto pacientov je potrebná opatrnosť (pozri časti 4.4</w:t>
      </w:r>
    </w:p>
    <w:p w14:paraId="5D8F2BC4" w14:textId="77777777" w:rsidR="00450114" w:rsidRPr="00310B0F" w:rsidRDefault="00450114" w:rsidP="00450114">
      <w:pPr>
        <w:pStyle w:val="Zkladntext"/>
        <w:kinsoku w:val="0"/>
        <w:overflowPunct w:val="0"/>
        <w:ind w:hanging="1"/>
      </w:pPr>
      <w:r w:rsidRPr="00310B0F">
        <w:t>a 5.2).</w:t>
      </w:r>
    </w:p>
    <w:p w14:paraId="588EDD96" w14:textId="77777777" w:rsidR="00450114" w:rsidRPr="00310B0F" w:rsidRDefault="00450114" w:rsidP="00450114">
      <w:pPr>
        <w:pStyle w:val="Zkladntext"/>
        <w:kinsoku w:val="0"/>
        <w:overflowPunct w:val="0"/>
        <w:ind w:hanging="1"/>
      </w:pPr>
    </w:p>
    <w:p w14:paraId="7BD7A618" w14:textId="77777777" w:rsidR="00450114" w:rsidRPr="00955BC9" w:rsidRDefault="00450114" w:rsidP="00450114">
      <w:pPr>
        <w:pStyle w:val="Zkladntext"/>
        <w:kinsoku w:val="0"/>
        <w:overflowPunct w:val="0"/>
        <w:ind w:hanging="1"/>
        <w:rPr>
          <w:b/>
          <w:i/>
          <w:iCs/>
        </w:rPr>
      </w:pPr>
      <w:r w:rsidRPr="00955BC9">
        <w:rPr>
          <w:b/>
          <w:i/>
          <w:iCs/>
        </w:rPr>
        <w:t>Pediatrická populácia</w:t>
      </w:r>
    </w:p>
    <w:p w14:paraId="1B0BE86C" w14:textId="77777777" w:rsidR="00450114" w:rsidRPr="00310B0F" w:rsidRDefault="00450114" w:rsidP="00450114">
      <w:pPr>
        <w:pStyle w:val="Zkladntext"/>
        <w:kinsoku w:val="0"/>
        <w:overflowPunct w:val="0"/>
        <w:ind w:hanging="1"/>
      </w:pPr>
      <w:r w:rsidRPr="00310B0F">
        <w:t xml:space="preserve">Bezpečnosť a účinnosť </w:t>
      </w:r>
      <w:r>
        <w:t>fingolimodu</w:t>
      </w:r>
      <w:r w:rsidRPr="00310B0F">
        <w:t xml:space="preserve"> u detí vo veku menej ako 10 rokov neboli doteraz stanovené. Nie sú</w:t>
      </w:r>
      <w:r>
        <w:t xml:space="preserve"> </w:t>
      </w:r>
      <w:r w:rsidRPr="00310B0F">
        <w:t>dostupné žiadne údaje.</w:t>
      </w:r>
    </w:p>
    <w:p w14:paraId="32E03AE5" w14:textId="77777777" w:rsidR="00450114" w:rsidRPr="00310B0F" w:rsidRDefault="00450114" w:rsidP="00450114">
      <w:pPr>
        <w:pStyle w:val="Zkladntext"/>
        <w:kinsoku w:val="0"/>
        <w:overflowPunct w:val="0"/>
        <w:ind w:hanging="1"/>
      </w:pPr>
    </w:p>
    <w:p w14:paraId="5F403DDA" w14:textId="77777777" w:rsidR="00450114" w:rsidRPr="00310B0F" w:rsidRDefault="00450114" w:rsidP="00450114">
      <w:pPr>
        <w:pStyle w:val="Zkladntext"/>
        <w:kinsoku w:val="0"/>
        <w:overflowPunct w:val="0"/>
        <w:ind w:hanging="1"/>
      </w:pPr>
      <w:r w:rsidRPr="00310B0F">
        <w:t>Veľmi obmedzené údaje sú dostupné u detí vo veku 10–12 rokov (pozri časti 4.4, 4.8 a 5.1).</w:t>
      </w:r>
    </w:p>
    <w:p w14:paraId="3E91CC28" w14:textId="77777777" w:rsidR="00450114" w:rsidRDefault="00450114" w:rsidP="00450114">
      <w:pPr>
        <w:pStyle w:val="Zkladntext"/>
        <w:kinsoku w:val="0"/>
        <w:overflowPunct w:val="0"/>
        <w:ind w:hanging="1"/>
        <w:rPr>
          <w:u w:val="single"/>
        </w:rPr>
      </w:pPr>
    </w:p>
    <w:p w14:paraId="7A51ECF3" w14:textId="77777777" w:rsidR="00450114" w:rsidRPr="00310B0F" w:rsidRDefault="00450114" w:rsidP="00450114">
      <w:pPr>
        <w:pStyle w:val="Zkladntext"/>
        <w:kinsoku w:val="0"/>
        <w:overflowPunct w:val="0"/>
        <w:ind w:hanging="1"/>
      </w:pPr>
      <w:r w:rsidRPr="00310B0F">
        <w:rPr>
          <w:u w:val="single"/>
        </w:rPr>
        <w:t>Spôsob podávania</w:t>
      </w:r>
    </w:p>
    <w:p w14:paraId="33FC1EFD" w14:textId="35A75ABD" w:rsidR="00450114" w:rsidRDefault="00450114" w:rsidP="00450114">
      <w:pPr>
        <w:pStyle w:val="Zkladntext"/>
        <w:kinsoku w:val="0"/>
        <w:overflowPunct w:val="0"/>
        <w:ind w:hanging="1"/>
      </w:pPr>
      <w:commentRangeStart w:id="3"/>
      <w:r>
        <w:t>N</w:t>
      </w:r>
      <w:r w:rsidRPr="00310B0F">
        <w:t xml:space="preserve">a perorálne </w:t>
      </w:r>
      <w:r>
        <w:t>použitie</w:t>
      </w:r>
      <w:r w:rsidRPr="00310B0F">
        <w:t>.</w:t>
      </w:r>
      <w:commentRangeEnd w:id="3"/>
    </w:p>
    <w:p w14:paraId="40EAE0B5" w14:textId="77777777" w:rsidR="00253F97" w:rsidRDefault="00253F97" w:rsidP="00450114">
      <w:pPr>
        <w:pStyle w:val="Zkladntext"/>
        <w:kinsoku w:val="0"/>
        <w:overflowPunct w:val="0"/>
        <w:ind w:hanging="1"/>
      </w:pPr>
    </w:p>
    <w:p w14:paraId="06BECCFB" w14:textId="60CA6337" w:rsidR="00253F97" w:rsidRDefault="00253F97" w:rsidP="00450114">
      <w:pPr>
        <w:pStyle w:val="Zkladntext"/>
        <w:kinsoku w:val="0"/>
        <w:overflowPunct w:val="0"/>
        <w:ind w:hanging="1"/>
      </w:pPr>
      <w:r>
        <w:t>Kapsuly sa vždy majú prehltnúť neporušené a nemajú sa otvárať.</w:t>
      </w:r>
    </w:p>
    <w:p w14:paraId="6A3D9B5C" w14:textId="77777777" w:rsidR="00450114" w:rsidRPr="00310B0F" w:rsidRDefault="00450114" w:rsidP="00450114">
      <w:pPr>
        <w:pStyle w:val="Zkladntext"/>
        <w:kinsoku w:val="0"/>
        <w:overflowPunct w:val="0"/>
        <w:ind w:hanging="1"/>
      </w:pPr>
    </w:p>
    <w:p w14:paraId="587E1540"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Kontraindikácie</w:t>
      </w:r>
    </w:p>
    <w:p w14:paraId="7802299D" w14:textId="77777777" w:rsidR="00450114" w:rsidRPr="00310B0F" w:rsidRDefault="00450114" w:rsidP="00450114">
      <w:pPr>
        <w:pStyle w:val="Zkladntext"/>
        <w:kinsoku w:val="0"/>
        <w:overflowPunct w:val="0"/>
        <w:ind w:hanging="1"/>
        <w:rPr>
          <w:b/>
          <w:bCs/>
        </w:rPr>
      </w:pPr>
    </w:p>
    <w:p w14:paraId="0603656C"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Syndróm</w:t>
      </w:r>
      <w:r w:rsidRPr="00310B0F">
        <w:rPr>
          <w:spacing w:val="-3"/>
          <w:sz w:val="22"/>
          <w:szCs w:val="22"/>
        </w:rPr>
        <w:t xml:space="preserve"> </w:t>
      </w:r>
      <w:r w:rsidRPr="00310B0F">
        <w:rPr>
          <w:sz w:val="22"/>
          <w:szCs w:val="22"/>
        </w:rPr>
        <w:t>imunodeficiencie.</w:t>
      </w:r>
    </w:p>
    <w:p w14:paraId="4B569D9A"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Pacienti so zvýšeným rizikom</w:t>
      </w:r>
      <w:r>
        <w:rPr>
          <w:sz w:val="22"/>
          <w:szCs w:val="22"/>
        </w:rPr>
        <w:t xml:space="preserve"> </w:t>
      </w:r>
      <w:r w:rsidRPr="00310B0F">
        <w:rPr>
          <w:sz w:val="22"/>
          <w:szCs w:val="22"/>
        </w:rPr>
        <w:t>oportúnnych infekcií, vrátane pacientov s oslabenou imunitou (vrátane tých, ktorí v súčasnosti dostávajú imunosupresívnu liečbu alebo ktorí majú imunitu oslabenú predchádzajúcou</w:t>
      </w:r>
      <w:r w:rsidRPr="00310B0F">
        <w:rPr>
          <w:spacing w:val="-1"/>
          <w:sz w:val="22"/>
          <w:szCs w:val="22"/>
        </w:rPr>
        <w:t xml:space="preserve"> </w:t>
      </w:r>
      <w:r w:rsidRPr="00310B0F">
        <w:rPr>
          <w:sz w:val="22"/>
          <w:szCs w:val="22"/>
        </w:rPr>
        <w:t>liečbou).</w:t>
      </w:r>
    </w:p>
    <w:p w14:paraId="54E8EDB8"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Závažné aktívne infekcie, aktívne chronické infekcie (hepatitída,</w:t>
      </w:r>
      <w:r w:rsidRPr="00310B0F">
        <w:rPr>
          <w:spacing w:val="-10"/>
          <w:sz w:val="22"/>
          <w:szCs w:val="22"/>
        </w:rPr>
        <w:t xml:space="preserve"> </w:t>
      </w:r>
      <w:r w:rsidRPr="00310B0F">
        <w:rPr>
          <w:sz w:val="22"/>
          <w:szCs w:val="22"/>
        </w:rPr>
        <w:t>tuberkulóza).</w:t>
      </w:r>
    </w:p>
    <w:p w14:paraId="06F47E58"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Aktívne</w:t>
      </w:r>
      <w:r w:rsidRPr="00310B0F">
        <w:rPr>
          <w:spacing w:val="-2"/>
          <w:sz w:val="22"/>
          <w:szCs w:val="22"/>
        </w:rPr>
        <w:t xml:space="preserve"> </w:t>
      </w:r>
      <w:r w:rsidRPr="00310B0F">
        <w:rPr>
          <w:sz w:val="22"/>
          <w:szCs w:val="22"/>
        </w:rPr>
        <w:t>malignity.</w:t>
      </w:r>
    </w:p>
    <w:p w14:paraId="6C9FA8EB"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400C49">
        <w:rPr>
          <w:sz w:val="22"/>
          <w:szCs w:val="22"/>
        </w:rPr>
        <w:t>Závažná</w:t>
      </w:r>
      <w:r w:rsidRPr="00310B0F">
        <w:rPr>
          <w:sz w:val="22"/>
          <w:szCs w:val="22"/>
        </w:rPr>
        <w:t xml:space="preserve"> porucha funkcie pečene (trieda C podľa</w:t>
      </w:r>
      <w:r w:rsidRPr="00310B0F">
        <w:rPr>
          <w:spacing w:val="-7"/>
          <w:sz w:val="22"/>
          <w:szCs w:val="22"/>
        </w:rPr>
        <w:t xml:space="preserve"> </w:t>
      </w:r>
      <w:r w:rsidRPr="00310B0F">
        <w:rPr>
          <w:sz w:val="22"/>
          <w:szCs w:val="22"/>
        </w:rPr>
        <w:t>Childa-Pugha).</w:t>
      </w:r>
    </w:p>
    <w:p w14:paraId="44202CFE"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Pacienti, ktorí mali v predchádzajúcich 6 mesiacoch infarkt myokardu, nestabilnú anginu pectoris, mŕtvicu/prechodný ischemický záchvat, dekompenzované zlyhávanie srdca (ktoré si vyžaduje hospitalizáciu) alebo zlyhávanie srdca triedy III/IV podľa klasifikácie NYHA (New York Heart Association) (pozri časť</w:t>
      </w:r>
      <w:r w:rsidRPr="00310B0F">
        <w:rPr>
          <w:spacing w:val="-2"/>
          <w:sz w:val="22"/>
          <w:szCs w:val="22"/>
        </w:rPr>
        <w:t xml:space="preserve"> </w:t>
      </w:r>
      <w:r w:rsidRPr="00310B0F">
        <w:rPr>
          <w:sz w:val="22"/>
          <w:szCs w:val="22"/>
        </w:rPr>
        <w:t>4.4).</w:t>
      </w:r>
    </w:p>
    <w:p w14:paraId="216ADC39"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Pacienti so závažnými srdcovými arytmiami, ktoré si vyžadujú liečbu antiarytmi</w:t>
      </w:r>
      <w:r>
        <w:rPr>
          <w:sz w:val="22"/>
          <w:szCs w:val="22"/>
        </w:rPr>
        <w:t>kami</w:t>
      </w:r>
      <w:r w:rsidRPr="00310B0F">
        <w:rPr>
          <w:sz w:val="22"/>
          <w:szCs w:val="22"/>
        </w:rPr>
        <w:t xml:space="preserve"> triedy Ia alebo triedy III (pozri časť</w:t>
      </w:r>
      <w:r w:rsidRPr="00310B0F">
        <w:rPr>
          <w:spacing w:val="-1"/>
          <w:sz w:val="22"/>
          <w:szCs w:val="22"/>
        </w:rPr>
        <w:t xml:space="preserve"> </w:t>
      </w:r>
      <w:r w:rsidRPr="00310B0F">
        <w:rPr>
          <w:sz w:val="22"/>
          <w:szCs w:val="22"/>
        </w:rPr>
        <w:t>4.4).</w:t>
      </w:r>
    </w:p>
    <w:p w14:paraId="1B8F4948" w14:textId="77777777" w:rsidR="00450114"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Pacienti s druhým stupňom atrioventrikulárnej blokády typu Mobitz II alebo s tretím</w:t>
      </w:r>
      <w:r w:rsidRPr="00310B0F">
        <w:rPr>
          <w:spacing w:val="-19"/>
          <w:sz w:val="22"/>
          <w:szCs w:val="22"/>
        </w:rPr>
        <w:t xml:space="preserve"> </w:t>
      </w:r>
      <w:r w:rsidRPr="00310B0F">
        <w:rPr>
          <w:sz w:val="22"/>
          <w:szCs w:val="22"/>
        </w:rPr>
        <w:t>stupňom</w:t>
      </w:r>
    </w:p>
    <w:p w14:paraId="62FB0913" w14:textId="77777777" w:rsidR="00450114" w:rsidRPr="00310B0F" w:rsidRDefault="00450114" w:rsidP="00450114">
      <w:pPr>
        <w:pStyle w:val="Zkladntext"/>
        <w:tabs>
          <w:tab w:val="left" w:pos="567"/>
        </w:tabs>
        <w:kinsoku w:val="0"/>
        <w:overflowPunct w:val="0"/>
      </w:pPr>
      <w:r>
        <w:tab/>
      </w:r>
      <w:r w:rsidRPr="00310B0F">
        <w:t xml:space="preserve">AV blokády alebo </w:t>
      </w:r>
      <w:r w:rsidRPr="00310B0F">
        <w:rPr>
          <w:i/>
          <w:iCs/>
        </w:rPr>
        <w:t xml:space="preserve">sick-sinus </w:t>
      </w:r>
      <w:r w:rsidRPr="00310B0F">
        <w:t>syndrómom, ak nemajú kardiostimulátor (pozri časť 4.4).</w:t>
      </w:r>
    </w:p>
    <w:p w14:paraId="53980767"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Pacienti s východiskovým QTc intervalom ≥ 500 ms (pozri časť</w:t>
      </w:r>
      <w:r w:rsidRPr="00310B0F">
        <w:rPr>
          <w:spacing w:val="-8"/>
          <w:sz w:val="22"/>
          <w:szCs w:val="22"/>
        </w:rPr>
        <w:t xml:space="preserve"> </w:t>
      </w:r>
      <w:r w:rsidRPr="00310B0F">
        <w:rPr>
          <w:sz w:val="22"/>
          <w:szCs w:val="22"/>
        </w:rPr>
        <w:t>4.4).</w:t>
      </w:r>
    </w:p>
    <w:p w14:paraId="0A60CAAB"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Počas gravidity a u žien vo fertilnom veku, ktoré nepoužívajú účinnú antikoncepciu (pozri časti 4.4 a</w:t>
      </w:r>
      <w:r w:rsidRPr="00310B0F">
        <w:rPr>
          <w:spacing w:val="-2"/>
          <w:sz w:val="22"/>
          <w:szCs w:val="22"/>
        </w:rPr>
        <w:t xml:space="preserve"> </w:t>
      </w:r>
      <w:r w:rsidRPr="00310B0F">
        <w:rPr>
          <w:sz w:val="22"/>
          <w:szCs w:val="22"/>
        </w:rPr>
        <w:lastRenderedPageBreak/>
        <w:t>4.6).</w:t>
      </w:r>
    </w:p>
    <w:p w14:paraId="3E4BCA34" w14:textId="77777777" w:rsidR="00450114" w:rsidRPr="00310B0F" w:rsidRDefault="00450114" w:rsidP="00450114">
      <w:pPr>
        <w:pStyle w:val="Odsekzoznamu"/>
        <w:numPr>
          <w:ilvl w:val="0"/>
          <w:numId w:val="16"/>
        </w:numPr>
        <w:tabs>
          <w:tab w:val="left" w:pos="567"/>
        </w:tabs>
        <w:kinsoku w:val="0"/>
        <w:overflowPunct w:val="0"/>
        <w:ind w:left="567" w:hanging="567"/>
        <w:rPr>
          <w:sz w:val="22"/>
          <w:szCs w:val="22"/>
        </w:rPr>
      </w:pPr>
      <w:r w:rsidRPr="00310B0F">
        <w:rPr>
          <w:sz w:val="22"/>
          <w:szCs w:val="22"/>
        </w:rPr>
        <w:t>Precitlivenosť na liečivo alebo na ktorúkoľvek z pomocných látok uvedených v časti</w:t>
      </w:r>
      <w:r w:rsidRPr="00310B0F">
        <w:rPr>
          <w:spacing w:val="-11"/>
          <w:sz w:val="22"/>
          <w:szCs w:val="22"/>
        </w:rPr>
        <w:t xml:space="preserve"> </w:t>
      </w:r>
      <w:r w:rsidRPr="00310B0F">
        <w:rPr>
          <w:sz w:val="22"/>
          <w:szCs w:val="22"/>
        </w:rPr>
        <w:t>6.1.</w:t>
      </w:r>
    </w:p>
    <w:p w14:paraId="7C98FCB0" w14:textId="77777777" w:rsidR="00450114" w:rsidRPr="00310B0F" w:rsidRDefault="00450114" w:rsidP="00450114">
      <w:pPr>
        <w:pStyle w:val="Zkladntext"/>
        <w:kinsoku w:val="0"/>
        <w:overflowPunct w:val="0"/>
        <w:ind w:hanging="1"/>
      </w:pPr>
    </w:p>
    <w:p w14:paraId="1422D6F0"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Osobitné upozornenia a opatrenia pri</w:t>
      </w:r>
      <w:r w:rsidRPr="00310B0F">
        <w:rPr>
          <w:spacing w:val="-1"/>
        </w:rPr>
        <w:t xml:space="preserve"> </w:t>
      </w:r>
      <w:r w:rsidRPr="00310B0F">
        <w:t>používaní</w:t>
      </w:r>
    </w:p>
    <w:p w14:paraId="179C775A" w14:textId="77777777" w:rsidR="00450114" w:rsidRPr="00310B0F" w:rsidRDefault="00450114" w:rsidP="00450114">
      <w:pPr>
        <w:pStyle w:val="Zkladntext"/>
        <w:kinsoku w:val="0"/>
        <w:overflowPunct w:val="0"/>
        <w:ind w:hanging="1"/>
        <w:rPr>
          <w:b/>
          <w:bCs/>
        </w:rPr>
      </w:pPr>
    </w:p>
    <w:p w14:paraId="689B7A14" w14:textId="77777777" w:rsidR="00450114" w:rsidRPr="00310B0F" w:rsidRDefault="00450114" w:rsidP="00450114">
      <w:pPr>
        <w:pStyle w:val="Zkladntext"/>
        <w:kinsoku w:val="0"/>
        <w:overflowPunct w:val="0"/>
        <w:ind w:hanging="1"/>
      </w:pPr>
      <w:r w:rsidRPr="00310B0F">
        <w:rPr>
          <w:u w:val="single"/>
        </w:rPr>
        <w:t>Bradyarytmia</w:t>
      </w:r>
    </w:p>
    <w:p w14:paraId="2FA74EEC" w14:textId="66F3A302" w:rsidR="00450114" w:rsidRPr="00310B0F" w:rsidRDefault="00450114" w:rsidP="00450114">
      <w:pPr>
        <w:pStyle w:val="Zkladntext"/>
        <w:kinsoku w:val="0"/>
        <w:overflowPunct w:val="0"/>
        <w:ind w:hanging="1"/>
      </w:pPr>
      <w:r w:rsidRPr="00310B0F">
        <w:t xml:space="preserve">Začatie liečby </w:t>
      </w:r>
      <w:r>
        <w:t>fingolimodom</w:t>
      </w:r>
      <w:r w:rsidRPr="00310B0F">
        <w:t xml:space="preserve"> spôsobuje prechodný pokles srdcovej frekvencie a môže sa spájať aj so spomalením </w:t>
      </w:r>
      <w:r w:rsidR="00BF566A">
        <w:t>a</w:t>
      </w:r>
      <w:r w:rsidR="00BF566A" w:rsidRPr="00310B0F">
        <w:t xml:space="preserve">trioventrikulárneho </w:t>
      </w:r>
      <w:r w:rsidRPr="00310B0F">
        <w:t xml:space="preserve">prevodu, vrátane výskytu ojedinelých prípadov prechodnej kompletnej </w:t>
      </w:r>
      <w:r w:rsidR="00BF566A">
        <w:t>a</w:t>
      </w:r>
      <w:r w:rsidR="00BF566A" w:rsidRPr="00310B0F">
        <w:t xml:space="preserve">trioventrikulárnej </w:t>
      </w:r>
      <w:r w:rsidRPr="00310B0F">
        <w:t>blokády, ktorá spontánne vymizla (pozri časti 4.8 a 5.1).</w:t>
      </w:r>
    </w:p>
    <w:p w14:paraId="408B7EAA" w14:textId="77777777" w:rsidR="00450114" w:rsidRPr="00310B0F" w:rsidRDefault="00450114" w:rsidP="00450114">
      <w:pPr>
        <w:pStyle w:val="Zkladntext"/>
        <w:kinsoku w:val="0"/>
        <w:overflowPunct w:val="0"/>
        <w:ind w:hanging="1"/>
      </w:pPr>
    </w:p>
    <w:p w14:paraId="23587F1F" w14:textId="399E96C1" w:rsidR="00450114" w:rsidRPr="00310B0F" w:rsidRDefault="00450114">
      <w:pPr>
        <w:pStyle w:val="Zkladntext"/>
        <w:kinsoku w:val="0"/>
        <w:overflowPunct w:val="0"/>
        <w:ind w:hanging="1"/>
      </w:pPr>
      <w:r w:rsidRPr="00310B0F">
        <w:t>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jedného mesiaca. Avšak jednotliví pacienti sa nemusia vrátiť k východiskovej srdcovej frekvencii do konca prvého mesiaca. Poruchy vedenia boli spravidla prechodné a asymptomatické. Obvykle nevyžadovali liečbu a vymizli v priebehu</w:t>
      </w:r>
      <w:r w:rsidRPr="00310B0F">
        <w:rPr>
          <w:spacing w:val="-14"/>
        </w:rPr>
        <w:t xml:space="preserve"> </w:t>
      </w:r>
      <w:r w:rsidRPr="00310B0F">
        <w:t>prvých</w:t>
      </w:r>
      <w:r w:rsidR="00BF566A">
        <w:t xml:space="preserve"> </w:t>
      </w:r>
      <w:r w:rsidRPr="00310B0F">
        <w:t>24 hodín liečby. V prípade potreby je možné pokles srdcovej frekvencie, vyvolaný</w:t>
      </w:r>
      <w:r w:rsidRPr="00310B0F">
        <w:rPr>
          <w:spacing w:val="-33"/>
        </w:rPr>
        <w:t xml:space="preserve"> </w:t>
      </w:r>
      <w:r w:rsidRPr="00310B0F">
        <w:t>fingolimodom,</w:t>
      </w:r>
      <w:r w:rsidR="00BF566A">
        <w:t xml:space="preserve"> </w:t>
      </w:r>
      <w:r w:rsidRPr="00310B0F">
        <w:t>zvrátiť parenterálnym podaním atropínu alebo izoprenalínu.</w:t>
      </w:r>
    </w:p>
    <w:p w14:paraId="15119E48" w14:textId="77777777" w:rsidR="00450114" w:rsidRPr="00310B0F" w:rsidRDefault="00450114" w:rsidP="00450114">
      <w:pPr>
        <w:pStyle w:val="Zkladntext"/>
        <w:kinsoku w:val="0"/>
        <w:overflowPunct w:val="0"/>
        <w:ind w:hanging="1"/>
      </w:pPr>
    </w:p>
    <w:p w14:paraId="5FF1F7B6" w14:textId="77777777" w:rsidR="00450114" w:rsidRPr="00310B0F" w:rsidRDefault="00450114" w:rsidP="00450114">
      <w:pPr>
        <w:pStyle w:val="Zkladntext"/>
        <w:kinsoku w:val="0"/>
        <w:overflowPunct w:val="0"/>
        <w:ind w:hanging="1"/>
      </w:pPr>
      <w:r w:rsidRPr="00310B0F">
        <w:t xml:space="preserve">Všetkým pacientom má byť nasnímaný elektrokardiogram a zmeraný krvný tlak pred prvým podaním </w:t>
      </w:r>
      <w:r>
        <w:t>fingolimodu</w:t>
      </w:r>
      <w:r w:rsidRPr="00310B0F">
        <w:t xml:space="preserve"> a 6 hodín po ňom. Všetkých pacientov je potrebné sledovať počas 6 hodín pre prejavy</w:t>
      </w:r>
    </w:p>
    <w:p w14:paraId="60B8ECDD" w14:textId="77777777" w:rsidR="00450114" w:rsidRPr="00310B0F" w:rsidRDefault="00450114" w:rsidP="00450114">
      <w:pPr>
        <w:pStyle w:val="Zkladntext"/>
        <w:kinsoku w:val="0"/>
        <w:overflowPunct w:val="0"/>
        <w:ind w:hanging="1"/>
      </w:pPr>
      <w:r w:rsidRPr="00310B0F">
        <w:t>a príznaky bradykardie s meraním srdcovej frekvencie a krvného tlaku každú hodinu. Počas 6- hodinovej pozorovacej doby sa odporúča kontinuálne monitorovanie EKG v reálnom čase.</w:t>
      </w:r>
    </w:p>
    <w:p w14:paraId="3163BBC5" w14:textId="77777777" w:rsidR="00450114" w:rsidRPr="00310B0F" w:rsidRDefault="00450114" w:rsidP="00450114">
      <w:pPr>
        <w:pStyle w:val="Zkladntext"/>
        <w:kinsoku w:val="0"/>
        <w:overflowPunct w:val="0"/>
        <w:ind w:hanging="1"/>
      </w:pPr>
    </w:p>
    <w:p w14:paraId="5A27341B" w14:textId="77777777" w:rsidR="00450114" w:rsidRPr="00310B0F" w:rsidRDefault="00450114" w:rsidP="00450114">
      <w:pPr>
        <w:pStyle w:val="Zkladntext"/>
        <w:kinsoku w:val="0"/>
        <w:overflowPunct w:val="0"/>
        <w:ind w:hanging="1"/>
      </w:pPr>
      <w:r w:rsidRPr="00310B0F">
        <w:t>Rovnaké bezpečnostné opatrenia ako pri prvej dávke sa odporúčajú, keď sa pacientom zmení denná dávka z 0,25 mg na 0,5 mg.</w:t>
      </w:r>
    </w:p>
    <w:p w14:paraId="2D06CAD9" w14:textId="77777777" w:rsidR="00450114" w:rsidRPr="00310B0F" w:rsidRDefault="00450114" w:rsidP="00450114">
      <w:pPr>
        <w:pStyle w:val="Zkladntext"/>
        <w:kinsoku w:val="0"/>
        <w:overflowPunct w:val="0"/>
        <w:ind w:hanging="1"/>
      </w:pPr>
    </w:p>
    <w:p w14:paraId="78A0B4E7" w14:textId="77777777" w:rsidR="00450114" w:rsidRPr="00310B0F" w:rsidRDefault="00450114" w:rsidP="00450114">
      <w:pPr>
        <w:pStyle w:val="Zkladntext"/>
        <w:kinsoku w:val="0"/>
        <w:overflowPunct w:val="0"/>
        <w:ind w:hanging="1"/>
      </w:pPr>
      <w:r w:rsidRPr="00310B0F">
        <w:t xml:space="preserve">Ak sa po podaní dávky vyskytnú symptómy súvisiace s bradyarytmiou, majú sa urobiť patričné 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w:t>
      </w:r>
      <w:r>
        <w:t>fingolimodu</w:t>
      </w:r>
      <w:r w:rsidRPr="00310B0F">
        <w:t>.</w:t>
      </w:r>
    </w:p>
    <w:p w14:paraId="48490C76" w14:textId="77777777" w:rsidR="00450114" w:rsidRDefault="00450114" w:rsidP="00450114">
      <w:pPr>
        <w:pStyle w:val="Zkladntext"/>
        <w:kinsoku w:val="0"/>
        <w:overflowPunct w:val="0"/>
        <w:ind w:hanging="1"/>
      </w:pPr>
    </w:p>
    <w:p w14:paraId="356FDF2A" w14:textId="77777777" w:rsidR="00450114" w:rsidRPr="00310B0F" w:rsidRDefault="00450114" w:rsidP="00450114">
      <w:pPr>
        <w:pStyle w:val="Zkladntext"/>
        <w:kinsoku w:val="0"/>
        <w:overflowPunct w:val="0"/>
        <w:ind w:hanging="1"/>
      </w:pPr>
      <w:r w:rsidRPr="00310B0F">
        <w:t>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&lt;45 bpm u dospelých, &lt;55 bpm u pediatrických pacientov vo</w:t>
      </w:r>
      <w:r w:rsidRPr="00310B0F">
        <w:rPr>
          <w:spacing w:val="-11"/>
        </w:rPr>
        <w:t xml:space="preserve"> </w:t>
      </w:r>
      <w:r w:rsidRPr="00310B0F">
        <w:t>veku</w:t>
      </w:r>
    </w:p>
    <w:p w14:paraId="1FD10F00" w14:textId="68D7F992" w:rsidR="00450114" w:rsidRPr="00310B0F" w:rsidRDefault="00450114" w:rsidP="00450114">
      <w:pPr>
        <w:pStyle w:val="Zkladntext"/>
        <w:kinsoku w:val="0"/>
        <w:overflowPunct w:val="0"/>
        <w:ind w:hanging="1"/>
      </w:pPr>
      <w:r w:rsidRPr="00310B0F">
        <w:t xml:space="preserve">12 rokov a starších, alebo &lt;60 bpm u pediatrických pacientov vo veku od 10 do menej ako 12 rokov, alebo ak EKG vykazuje novovzniknutú </w:t>
      </w:r>
      <w:r w:rsidR="00B14B80">
        <w:t>a</w:t>
      </w:r>
      <w:r w:rsidRPr="00310B0F">
        <w:t xml:space="preserve">trioventrikulárnu blokádu druhého alebo vyššieho stupňa alebo ak vykazuje hodnotu QTc intervalu ≥500 msek, sledovanie sa má predĺžiť (aspoň cez noc), až pokiaľ sa nález neupraví. Výskyt </w:t>
      </w:r>
      <w:r w:rsidR="00B14B80">
        <w:t>a</w:t>
      </w:r>
      <w:r w:rsidRPr="00310B0F">
        <w:t>trioventrikulárnej blokády tretieho stupňa v ktoromkoľvek čase je tiež dôvodom na predĺžené sledovanie (aspoň cez noc).</w:t>
      </w:r>
    </w:p>
    <w:p w14:paraId="32392414" w14:textId="77777777" w:rsidR="00450114" w:rsidRPr="00310B0F" w:rsidRDefault="00450114" w:rsidP="00450114">
      <w:pPr>
        <w:pStyle w:val="Zkladntext"/>
        <w:kinsoku w:val="0"/>
        <w:overflowPunct w:val="0"/>
        <w:ind w:hanging="1"/>
      </w:pPr>
    </w:p>
    <w:p w14:paraId="5529EC21" w14:textId="694B4629" w:rsidR="00450114" w:rsidRPr="00310B0F" w:rsidRDefault="00450114" w:rsidP="00450114">
      <w:pPr>
        <w:pStyle w:val="Zkladntext"/>
        <w:kinsoku w:val="0"/>
        <w:overflowPunct w:val="0"/>
        <w:ind w:hanging="1"/>
      </w:pPr>
      <w:r w:rsidRPr="00310B0F">
        <w:t xml:space="preserve">Účinky na srdcovú frekvenciu a </w:t>
      </w:r>
      <w:r w:rsidR="00B14B80">
        <w:t>a</w:t>
      </w:r>
      <w:r w:rsidRPr="00310B0F">
        <w:t xml:space="preserve">trioventrikulárne vedenie sa môžu pri opätovnom podaní </w:t>
      </w:r>
      <w:r>
        <w:t>fingolimodu</w:t>
      </w:r>
      <w:r w:rsidRPr="00310B0F">
        <w:t xml:space="preserve"> zopakovať v závislosti od toho, koľko trvá prerušenie podávania a koľko času uplynulo od začatia liečby </w:t>
      </w:r>
      <w:r>
        <w:t>fingolimodom</w:t>
      </w:r>
      <w:r w:rsidRPr="00310B0F">
        <w:t xml:space="preserve">. Rovnaké sledovanie </w:t>
      </w:r>
      <w:r w:rsidR="00B14B80" w:rsidRPr="00310B0F">
        <w:t xml:space="preserve">ako </w:t>
      </w:r>
      <w:r w:rsidRPr="00310B0F">
        <w:t>p</w:t>
      </w:r>
      <w:r w:rsidR="00B14B80">
        <w:t>o</w:t>
      </w:r>
      <w:r w:rsidRPr="00310B0F">
        <w:t xml:space="preserve"> prvej dávke pri začatí liečby sa odporúča, keď sa podávanie preruší na:</w:t>
      </w:r>
    </w:p>
    <w:p w14:paraId="44549829" w14:textId="77777777" w:rsidR="00450114" w:rsidRPr="00310B0F" w:rsidRDefault="00450114" w:rsidP="00450114">
      <w:pPr>
        <w:pStyle w:val="Odsekzoznamu"/>
        <w:numPr>
          <w:ilvl w:val="0"/>
          <w:numId w:val="17"/>
        </w:numPr>
        <w:tabs>
          <w:tab w:val="left" w:pos="567"/>
        </w:tabs>
        <w:kinsoku w:val="0"/>
        <w:overflowPunct w:val="0"/>
        <w:ind w:left="567" w:hanging="567"/>
        <w:rPr>
          <w:sz w:val="22"/>
          <w:szCs w:val="22"/>
        </w:rPr>
      </w:pPr>
      <w:r w:rsidRPr="00310B0F">
        <w:rPr>
          <w:sz w:val="22"/>
          <w:szCs w:val="22"/>
        </w:rPr>
        <w:t>1 deň alebo viac počas prvých 2 týždňov</w:t>
      </w:r>
      <w:r w:rsidRPr="00310B0F">
        <w:rPr>
          <w:spacing w:val="-1"/>
          <w:sz w:val="22"/>
          <w:szCs w:val="22"/>
        </w:rPr>
        <w:t xml:space="preserve"> </w:t>
      </w:r>
      <w:r w:rsidRPr="00310B0F">
        <w:rPr>
          <w:sz w:val="22"/>
          <w:szCs w:val="22"/>
        </w:rPr>
        <w:t>liečby.</w:t>
      </w:r>
    </w:p>
    <w:p w14:paraId="7C5E457E" w14:textId="77777777" w:rsidR="00450114" w:rsidRPr="00310B0F" w:rsidRDefault="00450114" w:rsidP="00450114">
      <w:pPr>
        <w:pStyle w:val="Odsekzoznamu"/>
        <w:numPr>
          <w:ilvl w:val="0"/>
          <w:numId w:val="17"/>
        </w:numPr>
        <w:tabs>
          <w:tab w:val="left" w:pos="567"/>
        </w:tabs>
        <w:kinsoku w:val="0"/>
        <w:overflowPunct w:val="0"/>
        <w:ind w:left="567" w:hanging="567"/>
        <w:rPr>
          <w:sz w:val="22"/>
          <w:szCs w:val="22"/>
        </w:rPr>
      </w:pPr>
      <w:r w:rsidRPr="00310B0F">
        <w:rPr>
          <w:sz w:val="22"/>
          <w:szCs w:val="22"/>
        </w:rPr>
        <w:t>viac ako 7 dní počas 3. a 4. týždňa</w:t>
      </w:r>
      <w:r w:rsidRPr="00310B0F">
        <w:rPr>
          <w:spacing w:val="-6"/>
          <w:sz w:val="22"/>
          <w:szCs w:val="22"/>
        </w:rPr>
        <w:t xml:space="preserve"> </w:t>
      </w:r>
      <w:r w:rsidRPr="00310B0F">
        <w:rPr>
          <w:sz w:val="22"/>
          <w:szCs w:val="22"/>
        </w:rPr>
        <w:t>liečby.</w:t>
      </w:r>
    </w:p>
    <w:p w14:paraId="479CE27E" w14:textId="77777777" w:rsidR="00450114" w:rsidRPr="00310B0F" w:rsidRDefault="00450114" w:rsidP="00450114">
      <w:pPr>
        <w:pStyle w:val="Odsekzoznamu"/>
        <w:numPr>
          <w:ilvl w:val="0"/>
          <w:numId w:val="17"/>
        </w:numPr>
        <w:tabs>
          <w:tab w:val="left" w:pos="567"/>
        </w:tabs>
        <w:kinsoku w:val="0"/>
        <w:overflowPunct w:val="0"/>
        <w:ind w:left="567" w:hanging="567"/>
        <w:rPr>
          <w:sz w:val="22"/>
          <w:szCs w:val="22"/>
        </w:rPr>
      </w:pPr>
      <w:r w:rsidRPr="00310B0F">
        <w:rPr>
          <w:sz w:val="22"/>
          <w:szCs w:val="22"/>
        </w:rPr>
        <w:t>viac ako 2 týždne po jednom mesiaci</w:t>
      </w:r>
      <w:r w:rsidRPr="00310B0F">
        <w:rPr>
          <w:spacing w:val="-3"/>
          <w:sz w:val="22"/>
          <w:szCs w:val="22"/>
        </w:rPr>
        <w:t xml:space="preserve"> </w:t>
      </w:r>
      <w:r w:rsidRPr="00310B0F">
        <w:rPr>
          <w:sz w:val="22"/>
          <w:szCs w:val="22"/>
        </w:rPr>
        <w:t>liečby.</w:t>
      </w:r>
    </w:p>
    <w:p w14:paraId="68A9CF04" w14:textId="77777777" w:rsidR="00450114" w:rsidRPr="00310B0F" w:rsidRDefault="00450114" w:rsidP="00450114">
      <w:pPr>
        <w:pStyle w:val="Zkladntext"/>
        <w:kinsoku w:val="0"/>
        <w:overflowPunct w:val="0"/>
        <w:ind w:hanging="1"/>
      </w:pPr>
      <w:r w:rsidRPr="00310B0F">
        <w:t>Ak prerušenie liečby trvá kratšie, ako sa uvádza vyššie, v liečbe sa má pokračovať nasledujúcou</w:t>
      </w:r>
    </w:p>
    <w:p w14:paraId="5577C516" w14:textId="77777777" w:rsidR="00450114" w:rsidRPr="00310B0F" w:rsidRDefault="00450114" w:rsidP="00450114">
      <w:pPr>
        <w:pStyle w:val="Zkladntext"/>
        <w:kinsoku w:val="0"/>
        <w:overflowPunct w:val="0"/>
        <w:ind w:hanging="1"/>
      </w:pPr>
      <w:r w:rsidRPr="00310B0F">
        <w:t>plánovanou dávkou.</w:t>
      </w:r>
    </w:p>
    <w:p w14:paraId="6ED0C7C3" w14:textId="77777777" w:rsidR="00450114" w:rsidRPr="00310B0F" w:rsidRDefault="00450114" w:rsidP="00450114">
      <w:pPr>
        <w:pStyle w:val="Zkladntext"/>
        <w:kinsoku w:val="0"/>
        <w:overflowPunct w:val="0"/>
        <w:ind w:hanging="1"/>
      </w:pPr>
    </w:p>
    <w:p w14:paraId="5A8C7DD2" w14:textId="77777777" w:rsidR="00450114" w:rsidRPr="00310B0F" w:rsidRDefault="00450114" w:rsidP="00450114">
      <w:pPr>
        <w:pStyle w:val="Zkladntext"/>
        <w:kinsoku w:val="0"/>
        <w:overflowPunct w:val="0"/>
        <w:ind w:hanging="1"/>
      </w:pPr>
      <w:r w:rsidRPr="00310B0F">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w:t>
      </w:r>
    </w:p>
    <w:p w14:paraId="5AC3D667" w14:textId="77777777" w:rsidR="00450114" w:rsidRPr="00310B0F" w:rsidRDefault="00450114" w:rsidP="00450114">
      <w:pPr>
        <w:pStyle w:val="Zkladntext"/>
        <w:kinsoku w:val="0"/>
        <w:overflowPunct w:val="0"/>
        <w:ind w:hanging="1"/>
      </w:pPr>
      <w:r w:rsidRPr="00310B0F">
        <w:lastRenderedPageBreak/>
        <w:t>s kardiológom.</w:t>
      </w:r>
    </w:p>
    <w:p w14:paraId="26050396" w14:textId="77777777" w:rsidR="00450114" w:rsidRPr="00310B0F" w:rsidRDefault="00450114" w:rsidP="00450114">
      <w:pPr>
        <w:pStyle w:val="Zkladntext"/>
        <w:kinsoku w:val="0"/>
        <w:overflowPunct w:val="0"/>
        <w:ind w:hanging="1"/>
      </w:pPr>
    </w:p>
    <w:p w14:paraId="296766FD" w14:textId="77777777" w:rsidR="00450114" w:rsidRPr="00310B0F" w:rsidRDefault="00450114" w:rsidP="00450114">
      <w:pPr>
        <w:pStyle w:val="Zkladntext"/>
        <w:kinsoku w:val="0"/>
        <w:overflowPunct w:val="0"/>
        <w:ind w:hanging="1"/>
      </w:pPr>
      <w:r w:rsidRPr="00310B0F">
        <w:t xml:space="preserve">Z dôvodu rizika závažných porúch rytmu alebo závažnej bradykardie sa </w:t>
      </w:r>
      <w:r>
        <w:t xml:space="preserve">fingolimod </w:t>
      </w:r>
      <w:r w:rsidRPr="00310B0F">
        <w:t>nemá používať</w:t>
      </w:r>
    </w:p>
    <w:p w14:paraId="7EE6B50C" w14:textId="77777777" w:rsidR="00450114" w:rsidRPr="00310B0F" w:rsidRDefault="00450114" w:rsidP="00450114">
      <w:pPr>
        <w:pStyle w:val="Zkladntext"/>
        <w:kinsoku w:val="0"/>
        <w:overflowPunct w:val="0"/>
        <w:ind w:hanging="1"/>
      </w:pPr>
      <w:r w:rsidRPr="00310B0F">
        <w:t xml:space="preserve">u pacientov so sinoatriálnym srdcovým blokom, anamnézou symptomatickej bradykardie, opakovanej synkopy alebo zastavenia srdca, alebo u pacientov s výrazným predĺžením QT (QTc &gt; 470 ms [dospelé pacientky], QTc &gt;460 ms [pediatrické pacientky] alebo &gt; 450 ms [dospelí a pediatrickí pacienti mužského pohlavia]), nekontrolovanou hypertenziou alebo závažným spánkovým apnoe (pozri aj časť 4.3). U týchto pacientov je možné zvážiť liečbu </w:t>
      </w:r>
      <w:r>
        <w:t>fingolimodom</w:t>
      </w:r>
      <w:r w:rsidRPr="00310B0F">
        <w:t>, iba ak očakávaný prínos preváži možné riziká, a pred začatím liečby je potrebná konzultácia s kardiológom na stanovenie adekvátneho sledovania. Pri začatí liečby sa odporúča aspoň predĺžené sledovanie počas noci (pozri aj časť 4.5).</w:t>
      </w:r>
    </w:p>
    <w:p w14:paraId="73BC95F3" w14:textId="77777777" w:rsidR="00450114" w:rsidRPr="00310B0F" w:rsidRDefault="00450114" w:rsidP="00450114">
      <w:pPr>
        <w:pStyle w:val="Zkladntext"/>
        <w:kinsoku w:val="0"/>
        <w:overflowPunct w:val="0"/>
        <w:ind w:hanging="1"/>
      </w:pPr>
    </w:p>
    <w:p w14:paraId="24D19094" w14:textId="77777777" w:rsidR="00450114" w:rsidRPr="00310B0F" w:rsidRDefault="00450114" w:rsidP="00450114">
      <w:pPr>
        <w:pStyle w:val="Zkladntext"/>
        <w:kinsoku w:val="0"/>
        <w:overflowPunct w:val="0"/>
        <w:ind w:hanging="1"/>
      </w:pPr>
      <w:r>
        <w:t xml:space="preserve">Fingolimod </w:t>
      </w:r>
      <w:r w:rsidRPr="00310B0F">
        <w:t>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14:paraId="16A436A4" w14:textId="77777777" w:rsidR="00450114" w:rsidRPr="00310B0F" w:rsidRDefault="00450114" w:rsidP="00450114">
      <w:pPr>
        <w:pStyle w:val="Zkladntext"/>
        <w:kinsoku w:val="0"/>
        <w:overflowPunct w:val="0"/>
        <w:ind w:hanging="1"/>
      </w:pPr>
    </w:p>
    <w:p w14:paraId="34D0DFE3" w14:textId="77777777" w:rsidR="00450114" w:rsidRPr="00310B0F" w:rsidRDefault="00450114" w:rsidP="00450114">
      <w:pPr>
        <w:pStyle w:val="Zkladntext"/>
        <w:kinsoku w:val="0"/>
        <w:overflowPunct w:val="0"/>
        <w:ind w:hanging="1"/>
      </w:pPr>
      <w:r w:rsidRPr="00310B0F">
        <w:t xml:space="preserve">Skúsenosti s používaním </w:t>
      </w:r>
      <w:r>
        <w:t>fingolimodu</w:t>
      </w:r>
      <w:r w:rsidRPr="00310B0F">
        <w:t xml:space="preserve">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w:t>
      </w:r>
      <w:r>
        <w:t>fingolimodom</w:t>
      </w:r>
      <w:r w:rsidRPr="00310B0F">
        <w:t xml:space="preserve"> je spojené aj so spomalením srdcovej frekvencie (pozri časť 4.8, Bradyarytmia), súčasná liečba týmito liekmi počas začatia liečby </w:t>
      </w:r>
      <w:r>
        <w:t>fingolimodom</w:t>
      </w:r>
      <w:r w:rsidRPr="00310B0F">
        <w:t xml:space="preserve"> môže byť spojená so závažnou bradykardiou a blokádou srdca. U pacientov súbežne liečených týmito liekmi liečba </w:t>
      </w:r>
      <w:r>
        <w:t>fingolimodom</w:t>
      </w:r>
      <w:r w:rsidRPr="00310B0F">
        <w:t xml:space="preserve"> sa nemá začať z dôvodu možného aditívneho účinku na srdcovú frekvenciu (pozri časť 4.5). U týchto pacientov sa má zvážiť liečba </w:t>
      </w:r>
      <w:r>
        <w:t>fingolimodom</w:t>
      </w:r>
      <w:r w:rsidRPr="00310B0F">
        <w:t xml:space="preserve">, iba ak očakávaný prínos preváži možné riziká. Ak sa uvažuje o začatí liečby </w:t>
      </w:r>
      <w:r>
        <w:t>fingolimodom</w:t>
      </w:r>
      <w:r w:rsidRPr="00310B0F">
        <w:t>, je potrebná pred začatím liečby konzultácia s kardiológom kvôli prechodu na lieky, ktoré neznižujú srdcovú frekvenciu. Pokiaľ nie je možné ukončiť podávanie liekov znižujúcich srdcovú frekvenciu, je potrebná pre stanovenie adekvátneho sledovania po prvej dávke konzultácia s kardiológom, prinajmenšom sa odporúča predĺžené sledovanie aj počas noci (pozri aj časť</w:t>
      </w:r>
      <w:r w:rsidRPr="00310B0F">
        <w:rPr>
          <w:spacing w:val="-4"/>
        </w:rPr>
        <w:t xml:space="preserve"> </w:t>
      </w:r>
      <w:r w:rsidRPr="00310B0F">
        <w:t>4.5).</w:t>
      </w:r>
    </w:p>
    <w:p w14:paraId="4C29C4AE" w14:textId="77777777" w:rsidR="00450114" w:rsidRDefault="00450114" w:rsidP="00450114">
      <w:pPr>
        <w:pStyle w:val="Zkladntext"/>
        <w:kinsoku w:val="0"/>
        <w:overflowPunct w:val="0"/>
        <w:ind w:hanging="1"/>
        <w:rPr>
          <w:u w:val="single"/>
        </w:rPr>
      </w:pPr>
    </w:p>
    <w:p w14:paraId="796B3068" w14:textId="77777777" w:rsidR="00450114" w:rsidRPr="00310B0F" w:rsidRDefault="00450114" w:rsidP="00450114">
      <w:pPr>
        <w:pStyle w:val="Zkladntext"/>
        <w:kinsoku w:val="0"/>
        <w:overflowPunct w:val="0"/>
        <w:ind w:hanging="1"/>
      </w:pPr>
      <w:r w:rsidRPr="00310B0F">
        <w:rPr>
          <w:u w:val="single"/>
        </w:rPr>
        <w:t>Interval QT</w:t>
      </w:r>
    </w:p>
    <w:p w14:paraId="202D06E3" w14:textId="77777777" w:rsidR="00450114" w:rsidRPr="00310B0F" w:rsidRDefault="00450114" w:rsidP="00450114">
      <w:pPr>
        <w:pStyle w:val="Zkladntext"/>
        <w:kinsoku w:val="0"/>
        <w:overflowPunct w:val="0"/>
        <w:ind w:hanging="1"/>
      </w:pPr>
      <w:r w:rsidRPr="00310B0F">
        <w:t>V podrobnej štúdii preskúmania intervalu QT pri dávkach 1,25 a 2,5 mg fingolimodu v rovnovážnom stave, keď bol ešte prítomný negatívny chronotropný účinok fingolimodu, podávanie fingolimodu spôsobilo predĺženie QTcI pri hornej hranici 90 % IS ≤13,0 ms. Pri fingolimode nie je žiadny vzťah medzi dávkou alebo expozíciou a odpoveďou vzhľadom na predĺženie QTcI. V súvislosti s liečbou fingolimodom nie je žiadny jednotný signál zvýšenej incidencie odľahlých hodnôt QTcI, buď absolútnych, alebo ako zmena oproti východiskovej hodnote.</w:t>
      </w:r>
    </w:p>
    <w:p w14:paraId="7A6DE4BD" w14:textId="77777777" w:rsidR="00450114" w:rsidRPr="00310B0F" w:rsidRDefault="00450114" w:rsidP="00450114">
      <w:pPr>
        <w:pStyle w:val="Zkladntext"/>
        <w:kinsoku w:val="0"/>
        <w:overflowPunct w:val="0"/>
        <w:ind w:hanging="1"/>
      </w:pPr>
    </w:p>
    <w:p w14:paraId="64ED224A" w14:textId="07CF8816" w:rsidR="00450114" w:rsidRPr="00310B0F" w:rsidRDefault="00450114" w:rsidP="00450114">
      <w:pPr>
        <w:pStyle w:val="Zkladntext"/>
        <w:kinsoku w:val="0"/>
        <w:overflowPunct w:val="0"/>
        <w:ind w:hanging="1"/>
      </w:pPr>
      <w:r w:rsidRPr="00310B0F">
        <w:t xml:space="preserve">Klinická významnosť týchto nálezov nie je známa. V štúdiách </w:t>
      </w:r>
      <w:r w:rsidR="00EF75C5">
        <w:t>so sklerózou</w:t>
      </w:r>
      <w:r w:rsidRPr="00310B0F">
        <w:t xml:space="preserve"> multiplex sa nepozorovali klinicky významné účinky na predĺženie intervalu QTc, ale pacienti s rizikom predĺženia QT neboli zaradení do klinických štúdií.</w:t>
      </w:r>
    </w:p>
    <w:p w14:paraId="784965FE" w14:textId="77777777" w:rsidR="00450114" w:rsidRPr="00310B0F" w:rsidRDefault="00450114" w:rsidP="00450114">
      <w:pPr>
        <w:pStyle w:val="Zkladntext"/>
        <w:kinsoku w:val="0"/>
        <w:overflowPunct w:val="0"/>
        <w:ind w:hanging="1"/>
      </w:pPr>
    </w:p>
    <w:p w14:paraId="32DABDCE" w14:textId="77777777" w:rsidR="00450114" w:rsidRPr="00310B0F" w:rsidRDefault="00450114" w:rsidP="00450114">
      <w:pPr>
        <w:pStyle w:val="Zkladntext"/>
        <w:kinsoku w:val="0"/>
        <w:overflowPunct w:val="0"/>
        <w:ind w:hanging="1"/>
      </w:pPr>
      <w:r w:rsidRPr="00310B0F">
        <w:t>Lieky, ktoré môžu predĺžiť interval QTc, je lepšie nepodávať pacientom s významnými rizikovými faktormi, napr. hypokaliémiou alebo vrodeným predĺžením QT.</w:t>
      </w:r>
    </w:p>
    <w:p w14:paraId="0CB05D7C" w14:textId="77777777" w:rsidR="00450114" w:rsidRPr="00310B0F" w:rsidRDefault="00450114" w:rsidP="00450114">
      <w:pPr>
        <w:pStyle w:val="Zkladntext"/>
        <w:kinsoku w:val="0"/>
        <w:overflowPunct w:val="0"/>
        <w:ind w:hanging="1"/>
      </w:pPr>
    </w:p>
    <w:p w14:paraId="64FF02C3" w14:textId="77777777" w:rsidR="00450114" w:rsidRPr="00310B0F" w:rsidRDefault="00450114" w:rsidP="00450114">
      <w:pPr>
        <w:pStyle w:val="Zkladntext"/>
        <w:kinsoku w:val="0"/>
        <w:overflowPunct w:val="0"/>
        <w:ind w:hanging="1"/>
      </w:pPr>
      <w:r w:rsidRPr="00310B0F">
        <w:rPr>
          <w:u w:val="single"/>
        </w:rPr>
        <w:t>Imunosupresívne účinky</w:t>
      </w:r>
    </w:p>
    <w:p w14:paraId="2619CCD5" w14:textId="77777777" w:rsidR="00450114" w:rsidRPr="00310B0F" w:rsidRDefault="00450114" w:rsidP="00450114">
      <w:pPr>
        <w:pStyle w:val="Zkladntext"/>
        <w:kinsoku w:val="0"/>
        <w:overflowPunct w:val="0"/>
        <w:ind w:hanging="1"/>
      </w:pPr>
      <w:r w:rsidRPr="00310B0F">
        <w:t>Fingolimod má imunosupresívny účinok, ktorý predisponuje pacientov na riziko infekcie, vrátane oportúnnych infekcií, ktoré môžu byť smrteľné a zvyšuje riziko rozvoja lymfómov a iných malignít, predovšetkým malignít kože. Lekári majú pacientov starostlivo sledovať, najmä tých, ktorí zároveň majú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w:t>
      </w:r>
    </w:p>
    <w:p w14:paraId="46D3C0A0" w14:textId="77777777" w:rsidR="00450114" w:rsidRPr="00310B0F" w:rsidRDefault="00450114" w:rsidP="00450114">
      <w:pPr>
        <w:pStyle w:val="Zkladntext"/>
        <w:kinsoku w:val="0"/>
        <w:overflowPunct w:val="0"/>
        <w:ind w:hanging="1"/>
      </w:pPr>
    </w:p>
    <w:p w14:paraId="44918B46" w14:textId="77777777" w:rsidR="00450114" w:rsidRPr="00310B0F" w:rsidRDefault="00450114" w:rsidP="00450114">
      <w:pPr>
        <w:pStyle w:val="Zkladntext"/>
        <w:kinsoku w:val="0"/>
        <w:overflowPunct w:val="0"/>
        <w:ind w:hanging="1"/>
      </w:pPr>
      <w:r w:rsidRPr="00310B0F">
        <w:rPr>
          <w:u w:val="single"/>
        </w:rPr>
        <w:t>Infekcie</w:t>
      </w:r>
    </w:p>
    <w:p w14:paraId="1E98CB68" w14:textId="77777777" w:rsidR="00450114" w:rsidRPr="00310B0F" w:rsidRDefault="00450114" w:rsidP="00450114">
      <w:pPr>
        <w:pStyle w:val="Zkladntext"/>
        <w:kinsoku w:val="0"/>
        <w:overflowPunct w:val="0"/>
        <w:ind w:hanging="1"/>
      </w:pPr>
      <w:r w:rsidRPr="00310B0F">
        <w:t xml:space="preserve">Základným farmakodynamickým účinkom </w:t>
      </w:r>
      <w:r>
        <w:t>fingolimodu</w:t>
      </w:r>
      <w:r w:rsidRPr="00310B0F">
        <w:t xml:space="preserve"> je od dávky závislé zníženie počtu periférnych lymfocytov na 20-30 % východiskových hodnôt. Je to dôsledok reverzibilnej sekvestrácie lymfocytov v lymfatických tkanivách (pozri časť 5.1).</w:t>
      </w:r>
    </w:p>
    <w:p w14:paraId="66C0197D" w14:textId="77777777" w:rsidR="00450114" w:rsidRPr="00310B0F" w:rsidRDefault="00450114" w:rsidP="00450114">
      <w:pPr>
        <w:pStyle w:val="Zkladntext"/>
        <w:kinsoku w:val="0"/>
        <w:overflowPunct w:val="0"/>
        <w:ind w:hanging="1"/>
      </w:pPr>
    </w:p>
    <w:p w14:paraId="729EBFE7" w14:textId="77777777" w:rsidR="00450114" w:rsidRPr="00310B0F" w:rsidRDefault="00450114" w:rsidP="00450114">
      <w:pPr>
        <w:pStyle w:val="Zkladntext"/>
        <w:kinsoku w:val="0"/>
        <w:overflowPunct w:val="0"/>
        <w:ind w:hanging="1"/>
      </w:pPr>
      <w:r w:rsidRPr="00310B0F">
        <w:t xml:space="preserve">Pred začatím liečby </w:t>
      </w:r>
      <w:r>
        <w:t>fingolimodom</w:t>
      </w:r>
      <w:r w:rsidRPr="00310B0F">
        <w:t xml:space="preserve"> majú byť k dispozícii nedávne (t.j. z predchádzajúcich 6 mesiacov alebo po skončení predchádzajúcej liečby) hodnoty úplného krvného obrazu (CBC). Hodnotenie CBC sa odporúča aj pravidelne počas liečby, a to po treťom mesiaci a neskôr najmenej raz za rok, a v prípade prejavov infekcie. Absolútny počet lymfocytov &lt;0,2x10</w:t>
      </w:r>
      <w:r w:rsidRPr="00310B0F">
        <w:rPr>
          <w:vertAlign w:val="superscript"/>
        </w:rPr>
        <w:t>9</w:t>
      </w:r>
      <w:r w:rsidRPr="00310B0F">
        <w:t>/l, ak sa potvrdí, má mať za následok prerušenie liečby až do zotavenia, pretože v klinických skúšaniach sa liečba fingolimodom prerušila</w:t>
      </w:r>
    </w:p>
    <w:p w14:paraId="4F34E58C" w14:textId="77777777" w:rsidR="00450114" w:rsidRPr="00310B0F" w:rsidRDefault="00450114" w:rsidP="00450114">
      <w:pPr>
        <w:pStyle w:val="Zkladntext"/>
        <w:kinsoku w:val="0"/>
        <w:overflowPunct w:val="0"/>
        <w:ind w:hanging="1"/>
      </w:pPr>
      <w:r w:rsidRPr="00310B0F">
        <w:t>u pacientov s absolútnym počtom lymfocytov &lt;0,2x10</w:t>
      </w:r>
      <w:r w:rsidRPr="00310B0F">
        <w:rPr>
          <w:vertAlign w:val="superscript"/>
        </w:rPr>
        <w:t>9</w:t>
      </w:r>
      <w:r w:rsidRPr="00310B0F">
        <w:t>/l.</w:t>
      </w:r>
    </w:p>
    <w:p w14:paraId="3B57039A" w14:textId="77777777" w:rsidR="00450114" w:rsidRPr="00310B0F" w:rsidRDefault="00450114" w:rsidP="00450114">
      <w:pPr>
        <w:pStyle w:val="Zkladntext"/>
        <w:kinsoku w:val="0"/>
        <w:overflowPunct w:val="0"/>
        <w:ind w:hanging="1"/>
      </w:pPr>
    </w:p>
    <w:p w14:paraId="1431F953" w14:textId="77777777" w:rsidR="00450114" w:rsidRPr="00310B0F" w:rsidRDefault="00450114" w:rsidP="00450114">
      <w:pPr>
        <w:pStyle w:val="Zkladntext"/>
        <w:kinsoku w:val="0"/>
        <w:overflowPunct w:val="0"/>
        <w:ind w:hanging="1"/>
      </w:pPr>
      <w:r w:rsidRPr="00310B0F">
        <w:t xml:space="preserve">Začatie liečby </w:t>
      </w:r>
      <w:r>
        <w:t>fingolimodom</w:t>
      </w:r>
      <w:r w:rsidRPr="00310B0F">
        <w:t xml:space="preserve"> sa má odložiť u pacientov so závažnou aktívnou infekciou až do jej</w:t>
      </w:r>
    </w:p>
    <w:p w14:paraId="5C36987A" w14:textId="77777777" w:rsidR="00450114" w:rsidRPr="00310B0F" w:rsidRDefault="00450114" w:rsidP="00450114">
      <w:pPr>
        <w:pStyle w:val="Zkladntext"/>
        <w:kinsoku w:val="0"/>
        <w:overflowPunct w:val="0"/>
        <w:ind w:hanging="1"/>
      </w:pPr>
      <w:r w:rsidRPr="00310B0F">
        <w:t>vymiznutia.</w:t>
      </w:r>
    </w:p>
    <w:p w14:paraId="35846A6B" w14:textId="77777777" w:rsidR="00450114" w:rsidRPr="00310B0F" w:rsidRDefault="00450114" w:rsidP="00450114">
      <w:pPr>
        <w:pStyle w:val="Zkladntext"/>
        <w:kinsoku w:val="0"/>
        <w:overflowPunct w:val="0"/>
        <w:ind w:hanging="1"/>
      </w:pPr>
    </w:p>
    <w:p w14:paraId="33F36C81" w14:textId="77777777" w:rsidR="00450114" w:rsidRPr="00310B0F" w:rsidRDefault="00450114" w:rsidP="00450114">
      <w:pPr>
        <w:pStyle w:val="Zkladntext"/>
        <w:kinsoku w:val="0"/>
        <w:overflowPunct w:val="0"/>
        <w:ind w:hanging="1"/>
      </w:pPr>
      <w:r w:rsidRPr="00310B0F">
        <w:t xml:space="preserve">Pred liečbou </w:t>
      </w:r>
      <w:r>
        <w:t>fingolimodom</w:t>
      </w:r>
      <w:r w:rsidRPr="00310B0F">
        <w:t xml:space="preserve"> je potrebné u pacientov stanoviť imunitu proti varicele (ovčím kiahňam). U pacientov, ktorí nemajú ovčie kiahne v anamnéze potvrdené zdravotníckym pracovníkom alebo dokumentovaný úplný cyklus očkovania vakcínou proti varicele, sa pred začatím liečby</w:t>
      </w:r>
      <w:r w:rsidRPr="00310B0F">
        <w:rPr>
          <w:spacing w:val="-27"/>
        </w:rPr>
        <w:t xml:space="preserve"> </w:t>
      </w:r>
      <w:r>
        <w:t>fingolimodom</w:t>
      </w:r>
    </w:p>
    <w:p w14:paraId="1C965E57" w14:textId="77777777" w:rsidR="00450114" w:rsidRPr="00310B0F" w:rsidRDefault="00450114" w:rsidP="00450114">
      <w:pPr>
        <w:pStyle w:val="Zkladntext"/>
        <w:kinsoku w:val="0"/>
        <w:overflowPunct w:val="0"/>
        <w:ind w:hanging="1"/>
      </w:pPr>
      <w:r w:rsidRPr="00310B0F">
        <w:t>odporúča urobiť test na protilátky proti vírusu varicella zoster (VZV). U pacientov bez protilátok sa</w:t>
      </w:r>
    </w:p>
    <w:p w14:paraId="4FAE0267" w14:textId="77777777" w:rsidR="00450114" w:rsidRPr="00310B0F" w:rsidRDefault="00450114" w:rsidP="00450114">
      <w:pPr>
        <w:pStyle w:val="Zkladntext"/>
        <w:kinsoku w:val="0"/>
        <w:overflowPunct w:val="0"/>
        <w:ind w:hanging="1"/>
      </w:pPr>
      <w:r w:rsidRPr="00310B0F">
        <w:t xml:space="preserve">odporúča úplný cyklus očkovania vakcínou proti varicele pred začatím liečby </w:t>
      </w:r>
      <w:r>
        <w:t>fingolimodom</w:t>
      </w:r>
      <w:r w:rsidRPr="00310B0F">
        <w:t xml:space="preserve"> (pozri časť 4.8). Začiatok liečby </w:t>
      </w:r>
      <w:r>
        <w:t>fingolimodom</w:t>
      </w:r>
      <w:r w:rsidRPr="00310B0F">
        <w:t xml:space="preserve"> sa má odložiť o 1 mesiac, aby sa umožnilo dosiahnutie plného účinku</w:t>
      </w:r>
      <w:r w:rsidRPr="00310B0F">
        <w:rPr>
          <w:spacing w:val="-2"/>
        </w:rPr>
        <w:t xml:space="preserve"> </w:t>
      </w:r>
      <w:r w:rsidRPr="00310B0F">
        <w:t>vakcinácie.</w:t>
      </w:r>
    </w:p>
    <w:p w14:paraId="619EF83E" w14:textId="77777777" w:rsidR="00450114" w:rsidRPr="00310B0F" w:rsidRDefault="00450114" w:rsidP="00450114">
      <w:pPr>
        <w:pStyle w:val="Zkladntext"/>
        <w:kinsoku w:val="0"/>
        <w:overflowPunct w:val="0"/>
        <w:ind w:hanging="1"/>
      </w:pPr>
    </w:p>
    <w:p w14:paraId="2AA63FA9" w14:textId="77777777" w:rsidR="00450114" w:rsidRPr="00310B0F" w:rsidRDefault="00450114" w:rsidP="00450114">
      <w:pPr>
        <w:pStyle w:val="Zkladntext"/>
        <w:kinsoku w:val="0"/>
        <w:overflowPunct w:val="0"/>
        <w:ind w:hanging="1"/>
      </w:pPr>
      <w:r w:rsidRPr="00310B0F">
        <w:t xml:space="preserve">Účinky </w:t>
      </w:r>
      <w:r>
        <w:t>fingolimodu</w:t>
      </w:r>
      <w:r w:rsidRPr="00310B0F">
        <w:t xml:space="preserve"> na imunitný systém môžu zvýšiť riziko infekcií, vrátane oportúnnych infekcií (pozri</w:t>
      </w:r>
      <w:r>
        <w:t xml:space="preserve"> </w:t>
      </w:r>
      <w:r w:rsidRPr="00310B0F">
        <w:t>časť 4.8). U pacientov so symptómami infekcie počas liečby sa majú použiť účinné diagnostické</w:t>
      </w:r>
      <w:r>
        <w:t xml:space="preserve"> </w:t>
      </w:r>
      <w:r w:rsidRPr="00310B0F">
        <w:t xml:space="preserve">a terapeutické postupy. Pri hodnotení stavu pacienta, u ktorého je podozrenie na infekciu, ktorá môže byť závažná, sa má zvážiť odoslanie pacienta k lekárovi so skúsenosťami s liečbou infekcií. Pacientov užívajúcich </w:t>
      </w:r>
      <w:r>
        <w:t>fingolimod</w:t>
      </w:r>
      <w:r w:rsidRPr="00310B0F">
        <w:t xml:space="preserve"> je potrebné poučiť, aby počas liečby okamžite hlásili symptómy infekcie svojmu lekárovi.</w:t>
      </w:r>
    </w:p>
    <w:p w14:paraId="46E507C4" w14:textId="77777777" w:rsidR="00450114" w:rsidRDefault="00450114" w:rsidP="00450114">
      <w:pPr>
        <w:pStyle w:val="Zkladntext"/>
        <w:kinsoku w:val="0"/>
        <w:overflowPunct w:val="0"/>
        <w:ind w:hanging="1"/>
      </w:pPr>
    </w:p>
    <w:p w14:paraId="5B67CE15" w14:textId="77777777" w:rsidR="00450114" w:rsidRPr="00310B0F" w:rsidRDefault="00450114" w:rsidP="00450114">
      <w:pPr>
        <w:pStyle w:val="Zkladntext"/>
        <w:kinsoku w:val="0"/>
        <w:overflowPunct w:val="0"/>
        <w:ind w:hanging="1"/>
      </w:pPr>
      <w:r w:rsidRPr="00310B0F">
        <w:t xml:space="preserve">Ak sa u pacienta vyvinie závažná infekcia, je potrebné zvážiť prerušenie liečby </w:t>
      </w:r>
      <w:r>
        <w:t>fingolimodom</w:t>
      </w:r>
      <w:r w:rsidRPr="00310B0F">
        <w:t xml:space="preserve"> a pred jej</w:t>
      </w:r>
      <w:r>
        <w:t xml:space="preserve"> </w:t>
      </w:r>
      <w:r w:rsidRPr="00310B0F">
        <w:t>opätovným začatím sa má prehodnotiť jej prínos a riziká.</w:t>
      </w:r>
    </w:p>
    <w:p w14:paraId="3859DA57" w14:textId="77777777" w:rsidR="00450114" w:rsidRPr="00310B0F" w:rsidRDefault="00450114" w:rsidP="00450114">
      <w:pPr>
        <w:pStyle w:val="Zkladntext"/>
        <w:kinsoku w:val="0"/>
        <w:overflowPunct w:val="0"/>
        <w:ind w:hanging="1"/>
      </w:pPr>
    </w:p>
    <w:p w14:paraId="035FA2FD" w14:textId="21A0B294" w:rsidR="00450114" w:rsidRPr="00310B0F" w:rsidRDefault="00450114">
      <w:pPr>
        <w:pStyle w:val="Zkladntext"/>
        <w:kinsoku w:val="0"/>
        <w:overflowPunct w:val="0"/>
        <w:ind w:hanging="1"/>
      </w:pPr>
      <w:r w:rsidRPr="00310B0F">
        <w:t>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bolesťou hlavy sprevádzanou zmenami duševného stavu, ako je zmätenosť, halucinácie a/alebo zmeny osobnosti) je potrebné ihneď stanoviť diagnózu. Ak sa diagnostikuje kryptokoková meningitída, fingolimod sa musí vysadiť a má sa začať s vhodnou liečbou. Ak je opätovné začatie liečby fingolimodom odôvodnené, je potrebná multidisciplinárna konzultácia (t.j</w:t>
      </w:r>
      <w:r w:rsidR="009E2F20">
        <w:t xml:space="preserve"> </w:t>
      </w:r>
      <w:r w:rsidRPr="00310B0F">
        <w:t>s odborníkom na infekčné choroby).</w:t>
      </w:r>
    </w:p>
    <w:p w14:paraId="06FC8421" w14:textId="77777777" w:rsidR="00450114" w:rsidRPr="00310B0F" w:rsidRDefault="00450114" w:rsidP="00450114">
      <w:pPr>
        <w:pStyle w:val="Zkladntext"/>
        <w:kinsoku w:val="0"/>
        <w:overflowPunct w:val="0"/>
        <w:ind w:hanging="1"/>
      </w:pPr>
    </w:p>
    <w:p w14:paraId="20658CA7" w14:textId="77777777" w:rsidR="00450114" w:rsidRPr="00310B0F" w:rsidRDefault="00450114" w:rsidP="00450114">
      <w:pPr>
        <w:pStyle w:val="Zkladntext"/>
        <w:kinsoku w:val="0"/>
        <w:overflowPunct w:val="0"/>
        <w:ind w:hanging="1"/>
      </w:pPr>
      <w:r w:rsidRPr="00310B0F">
        <w:t>Progresívna multifokálna leukoencefalopatia (PML) bola hlásená počas liečby fingolimodom od zaregistrovania lieku (pozri časť 4.8). PML je oportúnna infekcia vyvolaná vírusom Johna Cunninghama (JCV), ktorá môže byť fatálna alebo môže spôsobiť závažné postihnutie. Prípady PML sa vyskytli po približne 2-3 rokoch podávania ako monoterapie bez predchádzajúcej expozície natalizumabu. Hoci odhadované riziko sa zrejme s kumulatívnou expozíciou časom zvyšuje, presný vzťah s trvaním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spomenúť, že negatívny výsledok testu na protilátky proti JCV nevylučuje možnosť neskoršej infekcie JCV. Pred začatím liečby fingolimodom má byť k dispozícii referenčné východiskové MRI (zvyčajne z predošlých 3 mesiacov). Nálezy na MRI môžu byť viditeľné skôr ako klinické prejavy a príznaky.</w:t>
      </w:r>
    </w:p>
    <w:p w14:paraId="72D1B204" w14:textId="77777777" w:rsidR="00450114" w:rsidRPr="00310B0F" w:rsidRDefault="00450114" w:rsidP="00450114">
      <w:pPr>
        <w:pStyle w:val="Zkladntext"/>
        <w:kinsoku w:val="0"/>
        <w:overflowPunct w:val="0"/>
        <w:ind w:hanging="1"/>
      </w:pPr>
      <w:r w:rsidRPr="00310B0F">
        <w:t>Pri rutinnom MRI (v súlade s národnými a miestnymi odporúčaniami) majú lekári venovať pozornosť léziám naznačujúcim PML. MRI možno považovať za súčasť zvýšenej ostražitosti u pacientov,</w:t>
      </w:r>
    </w:p>
    <w:p w14:paraId="71A72B00" w14:textId="77777777" w:rsidR="00450114" w:rsidRPr="00310B0F" w:rsidRDefault="00450114" w:rsidP="00450114">
      <w:pPr>
        <w:pStyle w:val="Zkladntext"/>
        <w:kinsoku w:val="0"/>
        <w:overflowPunct w:val="0"/>
        <w:ind w:hanging="1"/>
      </w:pPr>
      <w:r w:rsidRPr="00310B0F">
        <w:t>u ktorých sa predpokladá zvýšené riziko PML. Prípady asymptomatickej PML sa zaznamenali</w:t>
      </w:r>
    </w:p>
    <w:p w14:paraId="3529A067" w14:textId="77777777" w:rsidR="00450114" w:rsidRPr="00310B0F" w:rsidRDefault="00450114" w:rsidP="00450114">
      <w:pPr>
        <w:pStyle w:val="Zkladntext"/>
        <w:kinsoku w:val="0"/>
        <w:overflowPunct w:val="0"/>
        <w:ind w:hanging="1"/>
      </w:pPr>
      <w:r w:rsidRPr="00310B0F">
        <w:t>u pacientov liečených fingolimodom na základe nálezov na MRI a pozitívneho testu na DNA JCV v cerebrospinálnej tekutine. Pri podozrení na PML sa má okamžite vykonať vyšetrenie MRI na diagnostické účely a liečba fingolimodom sa má prerušiť až do vylúčenia PML.</w:t>
      </w:r>
    </w:p>
    <w:p w14:paraId="18FB5D92" w14:textId="77777777" w:rsidR="00450114" w:rsidRPr="00310B0F" w:rsidRDefault="00450114" w:rsidP="00450114">
      <w:pPr>
        <w:pStyle w:val="Zkladntext"/>
        <w:kinsoku w:val="0"/>
        <w:overflowPunct w:val="0"/>
        <w:ind w:hanging="1"/>
      </w:pPr>
    </w:p>
    <w:p w14:paraId="7E416ED2" w14:textId="77777777" w:rsidR="00450114" w:rsidRPr="00310B0F" w:rsidRDefault="00450114" w:rsidP="00450114">
      <w:pPr>
        <w:pStyle w:val="Zkladntext"/>
        <w:kinsoku w:val="0"/>
        <w:overflowPunct w:val="0"/>
        <w:ind w:hanging="1"/>
      </w:pPr>
      <w:r w:rsidRPr="00310B0F">
        <w:t>Infekcia ľudským papilomavírusom (</w:t>
      </w:r>
      <w:r w:rsidR="005B44CD">
        <w:t xml:space="preserve">human papiloma virus, </w:t>
      </w:r>
      <w:r w:rsidRPr="00310B0F">
        <w:t>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2F4564C1" w14:textId="77777777" w:rsidR="00450114" w:rsidRPr="00310B0F" w:rsidRDefault="00450114" w:rsidP="00450114">
      <w:pPr>
        <w:pStyle w:val="Zkladntext"/>
        <w:kinsoku w:val="0"/>
        <w:overflowPunct w:val="0"/>
        <w:ind w:hanging="1"/>
      </w:pPr>
    </w:p>
    <w:p w14:paraId="1436FA56" w14:textId="77777777" w:rsidR="00450114" w:rsidRPr="00310B0F" w:rsidRDefault="00450114" w:rsidP="00450114">
      <w:pPr>
        <w:pStyle w:val="Zkladntext"/>
        <w:kinsoku w:val="0"/>
        <w:overflowPunct w:val="0"/>
        <w:ind w:hanging="1"/>
      </w:pPr>
      <w:r w:rsidRPr="00310B0F">
        <w:t>Eliminácia fingolimodu po skončení liečby môže trvať až dva mesiace, preto je potrebné počas tohto obdobia naďalej venovať pozornosť infekciám. Pacientov je potrebné poučiť, aby hlásili symptómy infekcie počas 2 mesiacov od vysadenia fingolimodu.</w:t>
      </w:r>
    </w:p>
    <w:p w14:paraId="1C2E6DE4" w14:textId="77777777" w:rsidR="00450114" w:rsidRPr="00310B0F" w:rsidRDefault="00450114" w:rsidP="00450114">
      <w:pPr>
        <w:pStyle w:val="Zkladntext"/>
        <w:kinsoku w:val="0"/>
        <w:overflowPunct w:val="0"/>
        <w:ind w:hanging="1"/>
      </w:pPr>
    </w:p>
    <w:p w14:paraId="3C3A8398" w14:textId="77777777" w:rsidR="00450114" w:rsidRPr="00310B0F" w:rsidRDefault="00450114" w:rsidP="00450114">
      <w:pPr>
        <w:pStyle w:val="Zkladntext"/>
        <w:kinsoku w:val="0"/>
        <w:overflowPunct w:val="0"/>
        <w:ind w:hanging="1"/>
      </w:pPr>
      <w:r w:rsidRPr="00310B0F">
        <w:rPr>
          <w:u w:val="single"/>
        </w:rPr>
        <w:t>Makulárny edém</w:t>
      </w:r>
    </w:p>
    <w:p w14:paraId="2BD727CD" w14:textId="77777777" w:rsidR="00450114" w:rsidRPr="00310B0F" w:rsidRDefault="00450114" w:rsidP="00450114">
      <w:pPr>
        <w:pStyle w:val="Zkladntext"/>
        <w:kinsoku w:val="0"/>
        <w:overflowPunct w:val="0"/>
        <w:ind w:hanging="1"/>
      </w:pPr>
      <w:r w:rsidRPr="00310B0F">
        <w:t>Makulárny edém so symptómami súvisiacimi so zrakom alebo bez nich bol hlásený u 0,5 % pacientov</w:t>
      </w:r>
    </w:p>
    <w:p w14:paraId="781EA52F" w14:textId="77777777" w:rsidR="00450114" w:rsidRPr="00310B0F" w:rsidRDefault="00450114" w:rsidP="00450114">
      <w:pPr>
        <w:pStyle w:val="Zkladntext"/>
        <w:kinsoku w:val="0"/>
        <w:overflowPunct w:val="0"/>
        <w:ind w:hanging="1"/>
      </w:pPr>
      <w:r w:rsidRPr="00310B0F">
        <w:t>liečených 0,5 mg fingolimodu a vyskytoval sa prevažne počas prvých 3-4 mesiacov liečby (pozri časť 4.8). Preto sa odporúča vykonať oftalmologické vyšetrenie po 3-4 mesiacoch od začatia liečby. Ak pacienti hlásia poruchy zraku kedykoľvek v priebehu liečby, je potrebné vyšetriť očné pozadie vrátane makuly.</w:t>
      </w:r>
    </w:p>
    <w:p w14:paraId="4AB3E160" w14:textId="77777777" w:rsidR="00450114" w:rsidRPr="00310B0F" w:rsidRDefault="00450114" w:rsidP="00450114">
      <w:pPr>
        <w:pStyle w:val="Zkladntext"/>
        <w:kinsoku w:val="0"/>
        <w:overflowPunct w:val="0"/>
        <w:ind w:hanging="1"/>
      </w:pPr>
    </w:p>
    <w:p w14:paraId="71DA0FE4" w14:textId="7E3EC9DD" w:rsidR="00450114" w:rsidRPr="00310B0F" w:rsidRDefault="00450114" w:rsidP="00450114">
      <w:pPr>
        <w:pStyle w:val="Zkladntext"/>
        <w:kinsoku w:val="0"/>
        <w:overflowPunct w:val="0"/>
        <w:ind w:hanging="1"/>
      </w:pPr>
      <w:r w:rsidRPr="00310B0F">
        <w:t xml:space="preserve">U pacientov s uveitídou v anamnéze a u pacientov, ktorí majú diabetes mellitus, je zvýšené riziko makulárneho edému (pozri časť 4.8). </w:t>
      </w:r>
      <w:r>
        <w:t xml:space="preserve">Fingolimod </w:t>
      </w:r>
      <w:r w:rsidRPr="00310B0F">
        <w:t xml:space="preserve">sa neskúšal u pacientov so </w:t>
      </w:r>
      <w:r w:rsidR="003E299D">
        <w:t>sklerózou</w:t>
      </w:r>
      <w:r w:rsidR="003E299D" w:rsidRPr="00310B0F">
        <w:t xml:space="preserve"> </w:t>
      </w:r>
      <w:r w:rsidRPr="00310B0F">
        <w:t xml:space="preserve">multiplex, ktorí majú súčasne diabetes mellitus. U pacientov, ktorí majú </w:t>
      </w:r>
      <w:r w:rsidR="003E299D">
        <w:t>sklerózu</w:t>
      </w:r>
      <w:r w:rsidR="003E299D" w:rsidRPr="00310B0F">
        <w:t xml:space="preserve"> </w:t>
      </w:r>
      <w:r w:rsidRPr="00310B0F">
        <w:t>multiplex a súčasne diabetes mellitus alebo uveitídu v anamnéze, sa odporúča oftalmologické vyšetrenie pred začatím liečby a následné vyšetrenia počas liečby.</w:t>
      </w:r>
    </w:p>
    <w:p w14:paraId="55A08CDF" w14:textId="77777777" w:rsidR="00450114" w:rsidRDefault="00450114" w:rsidP="00450114">
      <w:pPr>
        <w:pStyle w:val="Zkladntext"/>
        <w:kinsoku w:val="0"/>
        <w:overflowPunct w:val="0"/>
        <w:ind w:hanging="1"/>
      </w:pPr>
    </w:p>
    <w:p w14:paraId="0B492859" w14:textId="77777777" w:rsidR="00450114" w:rsidRPr="00310B0F" w:rsidRDefault="00450114" w:rsidP="00450114">
      <w:pPr>
        <w:pStyle w:val="Zkladntext"/>
        <w:kinsoku w:val="0"/>
        <w:overflowPunct w:val="0"/>
        <w:ind w:hanging="1"/>
      </w:pPr>
      <w:r w:rsidRPr="00310B0F">
        <w:t xml:space="preserve">Pokračovanie v liečbe </w:t>
      </w:r>
      <w:r>
        <w:t>fingolimodom</w:t>
      </w:r>
      <w:r w:rsidRPr="00310B0F">
        <w:t xml:space="preserve"> u pacientov s makulárnym edémom sa nehodnotilo. Odporúča sa vysadiť </w:t>
      </w:r>
      <w:r>
        <w:t>fingolimod</w:t>
      </w:r>
      <w:r w:rsidRPr="00310B0F">
        <w:t xml:space="preserve">, ak u pacienta vznikne makulárny edém. Pri rozhodovaní o tom, či sa liečba </w:t>
      </w:r>
      <w:r>
        <w:t>fingolimodom</w:t>
      </w:r>
      <w:r w:rsidRPr="00310B0F">
        <w:t xml:space="preserve"> má alebo nemá znovu začať po ústupe makulárneho edému, je potrebné zohľadniť potenciálny prínos a riziká u individuálneho</w:t>
      </w:r>
      <w:r w:rsidRPr="00310B0F">
        <w:rPr>
          <w:spacing w:val="-4"/>
        </w:rPr>
        <w:t xml:space="preserve"> </w:t>
      </w:r>
      <w:r w:rsidRPr="00310B0F">
        <w:t>pacienta.</w:t>
      </w:r>
    </w:p>
    <w:p w14:paraId="109D8FF0" w14:textId="77777777" w:rsidR="00450114" w:rsidRPr="00310B0F" w:rsidRDefault="00450114" w:rsidP="00450114">
      <w:pPr>
        <w:pStyle w:val="Zkladntext"/>
        <w:kinsoku w:val="0"/>
        <w:overflowPunct w:val="0"/>
        <w:ind w:hanging="1"/>
      </w:pPr>
    </w:p>
    <w:p w14:paraId="07A7A71C" w14:textId="77777777" w:rsidR="00450114" w:rsidRPr="00310B0F" w:rsidRDefault="00450114" w:rsidP="00450114">
      <w:pPr>
        <w:pStyle w:val="Zkladntext"/>
        <w:kinsoku w:val="0"/>
        <w:overflowPunct w:val="0"/>
        <w:ind w:hanging="1"/>
      </w:pPr>
      <w:r w:rsidRPr="00310B0F">
        <w:rPr>
          <w:u w:val="single"/>
        </w:rPr>
        <w:t>Funkcia pečene</w:t>
      </w:r>
    </w:p>
    <w:p w14:paraId="45C28422" w14:textId="49D313E7" w:rsidR="00450114" w:rsidRPr="00310B0F" w:rsidRDefault="00450114" w:rsidP="00450114">
      <w:pPr>
        <w:pStyle w:val="Zkladntext"/>
        <w:kinsoku w:val="0"/>
        <w:overflowPunct w:val="0"/>
        <w:ind w:hanging="1"/>
      </w:pPr>
      <w:r w:rsidRPr="00310B0F">
        <w:t xml:space="preserve">U pacientov so </w:t>
      </w:r>
      <w:r w:rsidR="003E299D">
        <w:t>sklerózou</w:t>
      </w:r>
      <w:r w:rsidR="003E299D" w:rsidRPr="00310B0F">
        <w:t xml:space="preserve"> </w:t>
      </w:r>
      <w:r w:rsidRPr="00310B0F">
        <w:t xml:space="preserve">multiplex liečených </w:t>
      </w:r>
      <w:r>
        <w:t>fingolimodom</w:t>
      </w:r>
      <w:r w:rsidRPr="00310B0F">
        <w:t xml:space="preserve"> sa zaznamenali zvýšené pečeňové enzýmy,</w:t>
      </w:r>
      <w:r>
        <w:t xml:space="preserve"> </w:t>
      </w:r>
      <w:r w:rsidRPr="00310B0F">
        <w:t>najmä alanínaminotransferáza (ALT), ale aj gamaglutamyltransferáza (GGT)</w:t>
      </w:r>
    </w:p>
    <w:p w14:paraId="5253F793" w14:textId="77777777" w:rsidR="00450114" w:rsidRPr="00310B0F" w:rsidRDefault="00450114" w:rsidP="00450114">
      <w:pPr>
        <w:pStyle w:val="Zkladntext"/>
        <w:kinsoku w:val="0"/>
        <w:overflowPunct w:val="0"/>
        <w:ind w:hanging="1"/>
      </w:pPr>
      <w:r w:rsidRPr="00310B0F">
        <w:t>a aspartátaminotransferáza (AST). V klinických skúšaniach sa zvýšenie ALT na 3-násobok hornej hranice normálnych hodnôt (</w:t>
      </w:r>
      <w:r w:rsidR="003E299D">
        <w:t xml:space="preserve">upper limit of normal, </w:t>
      </w:r>
      <w:r w:rsidRPr="00310B0F">
        <w:t>ULN) alebo viac vyskytlo u 8,0 % dospelých pacientov liečených 0,5 mg fingolimodu v porovnaní s 1,9 % pacientov, ktorí dostávali placebo. Zvýšenie na 5-násobok ULN sa vyskytlo u 1,8 % pacientov pri fingolimode a 0,9 % pacientov pri placebe. V klinických skúšaniach sa fingolimod vysadil,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aminotransferáz v sére sa vrátili na normálne hodnoty približne do 2 mesiacov od vysadenia fingolimodu.</w:t>
      </w:r>
    </w:p>
    <w:p w14:paraId="7A4D9977" w14:textId="77777777" w:rsidR="00450114" w:rsidRPr="00310B0F" w:rsidRDefault="00450114" w:rsidP="00450114">
      <w:pPr>
        <w:pStyle w:val="Zkladntext"/>
        <w:kinsoku w:val="0"/>
        <w:overflowPunct w:val="0"/>
        <w:ind w:hanging="1"/>
      </w:pPr>
    </w:p>
    <w:p w14:paraId="0E056CFC" w14:textId="77777777" w:rsidR="00450114" w:rsidRPr="00310B0F" w:rsidRDefault="00450114" w:rsidP="00450114">
      <w:pPr>
        <w:pStyle w:val="Zkladntext"/>
        <w:kinsoku w:val="0"/>
        <w:overflowPunct w:val="0"/>
        <w:ind w:hanging="1"/>
      </w:pPr>
      <w:r>
        <w:t xml:space="preserve">Fingolimod </w:t>
      </w:r>
      <w:r w:rsidRPr="00310B0F">
        <w:t>sa neskúšal u pacientov s už prítomnou závažnou poruchou funkcie pečene (trieda C podľa</w:t>
      </w:r>
      <w:r>
        <w:t xml:space="preserve"> </w:t>
      </w:r>
      <w:r w:rsidRPr="00310B0F">
        <w:t>Childa-Pugha) a u týchto pacientov sa nemá používať (pozri časť 4.3).</w:t>
      </w:r>
    </w:p>
    <w:p w14:paraId="0132B1AE" w14:textId="77777777" w:rsidR="00450114" w:rsidRPr="00310B0F" w:rsidRDefault="00450114" w:rsidP="00450114">
      <w:pPr>
        <w:pStyle w:val="Zkladntext"/>
        <w:kinsoku w:val="0"/>
        <w:overflowPunct w:val="0"/>
        <w:ind w:hanging="1"/>
      </w:pPr>
    </w:p>
    <w:p w14:paraId="10D7012F" w14:textId="77777777" w:rsidR="00450114" w:rsidRPr="00310B0F" w:rsidRDefault="00450114" w:rsidP="00450114">
      <w:pPr>
        <w:pStyle w:val="Zkladntext"/>
        <w:kinsoku w:val="0"/>
        <w:overflowPunct w:val="0"/>
        <w:ind w:hanging="1"/>
      </w:pPr>
      <w:r w:rsidRPr="00310B0F">
        <w:t>Pre imunosupresívne vlastnosti fingolimodu sa má začiatok liečby odložiť u pacientov s aktívnou</w:t>
      </w:r>
    </w:p>
    <w:p w14:paraId="2355188E" w14:textId="77777777" w:rsidR="00450114" w:rsidRPr="00310B0F" w:rsidRDefault="00450114" w:rsidP="00450114">
      <w:pPr>
        <w:pStyle w:val="Zkladntext"/>
        <w:kinsoku w:val="0"/>
        <w:overflowPunct w:val="0"/>
        <w:ind w:hanging="1"/>
      </w:pPr>
      <w:r w:rsidRPr="00310B0F">
        <w:t>vírusovou hepatitídou až do jej vymiznutia.</w:t>
      </w:r>
    </w:p>
    <w:p w14:paraId="129BD292" w14:textId="77777777" w:rsidR="00450114" w:rsidRPr="00310B0F" w:rsidRDefault="00450114" w:rsidP="00450114">
      <w:pPr>
        <w:pStyle w:val="Zkladntext"/>
        <w:kinsoku w:val="0"/>
        <w:overflowPunct w:val="0"/>
        <w:ind w:hanging="1"/>
      </w:pPr>
    </w:p>
    <w:p w14:paraId="7EE9F819" w14:textId="77777777" w:rsidR="00450114" w:rsidRPr="00310B0F" w:rsidRDefault="00450114" w:rsidP="00450114">
      <w:pPr>
        <w:pStyle w:val="Zkladntext"/>
        <w:kinsoku w:val="0"/>
        <w:overflowPunct w:val="0"/>
        <w:ind w:hanging="1"/>
      </w:pPr>
      <w:r w:rsidRPr="00310B0F">
        <w:t xml:space="preserve">Pred začatím liečby </w:t>
      </w:r>
      <w:r>
        <w:t>fingolimodom</w:t>
      </w:r>
      <w:r w:rsidRPr="00310B0F">
        <w:t xml:space="preserve"> majú byť k dispozícii nedávne (t.j. z predchádzajúcich 6 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w:t>
      </w:r>
      <w:r>
        <w:t>fingolimodom</w:t>
      </w:r>
      <w:r w:rsidRPr="00310B0F">
        <w:t xml:space="preserve"> má prerušiť a znovu začať, až keď sa pečeňové aminotransferázy vrátia na normálne hodnot</w:t>
      </w:r>
      <w:r w:rsidRPr="00DF3BF1">
        <w:t>y.</w:t>
      </w:r>
    </w:p>
    <w:p w14:paraId="70DFE375" w14:textId="77777777" w:rsidR="00450114" w:rsidRPr="00310B0F" w:rsidRDefault="00450114" w:rsidP="00450114">
      <w:pPr>
        <w:pStyle w:val="Zkladntext"/>
        <w:kinsoku w:val="0"/>
        <w:overflowPunct w:val="0"/>
        <w:ind w:hanging="1"/>
      </w:pPr>
    </w:p>
    <w:p w14:paraId="43B0216F" w14:textId="7FDE89A1" w:rsidR="00450114" w:rsidRPr="00310B0F" w:rsidRDefault="00450114">
      <w:pPr>
        <w:pStyle w:val="Zkladntext"/>
        <w:kinsoku w:val="0"/>
        <w:overflowPunct w:val="0"/>
        <w:ind w:hanging="1"/>
      </w:pPr>
      <w:r w:rsidRPr="00310B0F">
        <w:lastRenderedPageBreak/>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w:t>
      </w:r>
      <w:r>
        <w:t xml:space="preserve">fingolimod </w:t>
      </w:r>
      <w:r w:rsidRPr="00310B0F">
        <w:t>sa má vysadiť. Opätovné začatie liečby bude závisieť od toho, či sa určí alebo neurčí iná príčina poruchy funkcie pečene a od prínosu, ktorý pre pacienta predstavuje pokračovanie liečby v</w:t>
      </w:r>
      <w:r w:rsidR="00273357">
        <w:t> </w:t>
      </w:r>
      <w:r w:rsidRPr="00310B0F">
        <w:t>porovnaní</w:t>
      </w:r>
      <w:r w:rsidR="00273357">
        <w:t xml:space="preserve"> </w:t>
      </w:r>
      <w:r w:rsidRPr="00310B0F">
        <w:t>s rizikami opakovania dysfunkcie pečene.</w:t>
      </w:r>
    </w:p>
    <w:p w14:paraId="56FF75CA" w14:textId="77777777" w:rsidR="00450114" w:rsidRPr="00310B0F" w:rsidRDefault="00450114" w:rsidP="00450114">
      <w:pPr>
        <w:pStyle w:val="Zkladntext"/>
        <w:kinsoku w:val="0"/>
        <w:overflowPunct w:val="0"/>
        <w:ind w:hanging="1"/>
      </w:pPr>
    </w:p>
    <w:p w14:paraId="2156B7C0" w14:textId="77777777" w:rsidR="00450114" w:rsidRPr="00310B0F" w:rsidRDefault="00450114" w:rsidP="00450114">
      <w:pPr>
        <w:pStyle w:val="Zkladntext"/>
        <w:kinsoku w:val="0"/>
        <w:overflowPunct w:val="0"/>
        <w:ind w:hanging="1"/>
      </w:pPr>
      <w:r w:rsidRPr="00310B0F">
        <w:t xml:space="preserve">Hoci žiadne údaje nepotvrdzujú, že u pacientov s už prítomným ochorením pečene je zvýšené riziko výskytu zvýšených testov funkcie pečene, keď užívajú </w:t>
      </w:r>
      <w:r>
        <w:t>fingolimod</w:t>
      </w:r>
      <w:r w:rsidRPr="00310B0F">
        <w:t xml:space="preserve">, pri použití </w:t>
      </w:r>
      <w:r>
        <w:t>fingolimodu</w:t>
      </w:r>
      <w:r w:rsidRPr="00310B0F">
        <w:t xml:space="preserve"> u pacientov s významným ochorením pečene v anamnéze je potrebná opatrnosť.</w:t>
      </w:r>
    </w:p>
    <w:p w14:paraId="16D413C6" w14:textId="77777777" w:rsidR="00450114" w:rsidRPr="00310B0F" w:rsidRDefault="00450114" w:rsidP="00450114">
      <w:pPr>
        <w:pStyle w:val="Zkladntext"/>
        <w:kinsoku w:val="0"/>
        <w:overflowPunct w:val="0"/>
        <w:ind w:hanging="1"/>
      </w:pPr>
    </w:p>
    <w:p w14:paraId="6107504B" w14:textId="77777777" w:rsidR="00450114" w:rsidRPr="00310B0F" w:rsidRDefault="00450114" w:rsidP="00450114">
      <w:pPr>
        <w:pStyle w:val="Zkladntext"/>
        <w:kinsoku w:val="0"/>
        <w:overflowPunct w:val="0"/>
        <w:ind w:hanging="1"/>
      </w:pPr>
      <w:r w:rsidRPr="00310B0F">
        <w:rPr>
          <w:u w:val="single"/>
        </w:rPr>
        <w:t>Interferencia so sérologickým testovaním</w:t>
      </w:r>
    </w:p>
    <w:p w14:paraId="70A04461" w14:textId="77777777" w:rsidR="00450114" w:rsidRPr="00310B0F" w:rsidRDefault="00450114" w:rsidP="00450114">
      <w:pPr>
        <w:pStyle w:val="Zkladntext"/>
        <w:kinsoku w:val="0"/>
        <w:overflowPunct w:val="0"/>
        <w:ind w:hanging="1"/>
      </w:pPr>
      <w:r w:rsidRPr="00310B0F">
        <w:t xml:space="preserve">Keďže fingolimod znižuje počet lymfocytov v krvi redistribúciou v sekundárnych lymfatických orgánoch, u pacientov liečených </w:t>
      </w:r>
      <w:r>
        <w:t>fingolimodom</w:t>
      </w:r>
      <w:r w:rsidRPr="00310B0F">
        <w:t xml:space="preserve"> sa počty lymfocytov v periférnej krvi nemôžu použiť na vyhodnotenie stavu podskupín lymfocytov. Laboratórne testy, na ktorých sa podieľajú cirkulujúce mononukleárne bunky, vyžadujú pre znížený počet cirkulujúcich lymfocytov väčšie objemy krvi.</w:t>
      </w:r>
    </w:p>
    <w:p w14:paraId="4F6C3619" w14:textId="77777777" w:rsidR="00450114" w:rsidRDefault="00450114" w:rsidP="00450114">
      <w:pPr>
        <w:pStyle w:val="Zkladntext"/>
        <w:kinsoku w:val="0"/>
        <w:overflowPunct w:val="0"/>
        <w:ind w:hanging="1"/>
      </w:pPr>
    </w:p>
    <w:p w14:paraId="0564367A" w14:textId="77777777" w:rsidR="00450114" w:rsidRPr="00310B0F" w:rsidRDefault="00450114" w:rsidP="00450114">
      <w:pPr>
        <w:pStyle w:val="Zkladntext"/>
        <w:kinsoku w:val="0"/>
        <w:overflowPunct w:val="0"/>
        <w:ind w:hanging="1"/>
      </w:pPr>
      <w:r w:rsidRPr="00310B0F">
        <w:rPr>
          <w:u w:val="single"/>
        </w:rPr>
        <w:t>Účinky na tlak krvi</w:t>
      </w:r>
    </w:p>
    <w:p w14:paraId="708A8E2E" w14:textId="5FB8E646" w:rsidR="00450114" w:rsidRPr="00310B0F" w:rsidRDefault="00450114" w:rsidP="00450114">
      <w:pPr>
        <w:pStyle w:val="Zkladntext"/>
        <w:kinsoku w:val="0"/>
        <w:overflowPunct w:val="0"/>
        <w:ind w:hanging="1"/>
      </w:pPr>
      <w:r w:rsidRPr="00310B0F">
        <w:t>Pacienti</w:t>
      </w:r>
      <w:commentRangeStart w:id="4"/>
      <w:r w:rsidRPr="00310B0F">
        <w:t xml:space="preserve">, </w:t>
      </w:r>
      <w:r w:rsidR="00063F9C" w:rsidRPr="007B1F4E">
        <w:t>u</w:t>
      </w:r>
      <w:r w:rsidR="00063F9C">
        <w:t> </w:t>
      </w:r>
      <w:r w:rsidR="00063F9C" w:rsidRPr="007B1F4E">
        <w:t xml:space="preserve">ktorých nebolo možné hypertenziu kontrolovať </w:t>
      </w:r>
      <w:commentRangeEnd w:id="4"/>
      <w:r w:rsidR="00063F9C" w:rsidRPr="007B1F4E">
        <w:t>liekmi</w:t>
      </w:r>
      <w:r w:rsidRPr="00310B0F">
        <w:t xml:space="preserve">, boli vylúčení z účasti na klinických skúšaniach pred uvedením lieku na trh a osobitná starostlivosť je potrebná, ak sa </w:t>
      </w:r>
      <w:r>
        <w:t>fingolimodom</w:t>
      </w:r>
      <w:r w:rsidRPr="00310B0F">
        <w:t xml:space="preserve"> liečia pacienti s nezvládnutou hypertenziou.</w:t>
      </w:r>
    </w:p>
    <w:p w14:paraId="0E7D6CD5" w14:textId="77777777" w:rsidR="00450114" w:rsidRPr="00310B0F" w:rsidRDefault="00450114" w:rsidP="00450114">
      <w:pPr>
        <w:pStyle w:val="Zkladntext"/>
        <w:kinsoku w:val="0"/>
        <w:overflowPunct w:val="0"/>
        <w:ind w:hanging="1"/>
      </w:pPr>
    </w:p>
    <w:p w14:paraId="7CC4CD11" w14:textId="77777777" w:rsidR="00450114" w:rsidRPr="00310B0F" w:rsidRDefault="00450114" w:rsidP="00450114">
      <w:pPr>
        <w:pStyle w:val="Zkladntext"/>
        <w:kinsoku w:val="0"/>
        <w:overflowPunct w:val="0"/>
        <w:ind w:hanging="1"/>
      </w:pPr>
      <w:r w:rsidRPr="00310B0F">
        <w:t xml:space="preserve">V klinických skúšaniach pri SM sa pacientom liečeným 0,5 mg fingolimodu v 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Krvný tlak sa má preto pravidelne kontrolovať počas liečby </w:t>
      </w:r>
      <w:r>
        <w:t>fingolimodom</w:t>
      </w:r>
      <w:r w:rsidRPr="00310B0F">
        <w:t>.</w:t>
      </w:r>
    </w:p>
    <w:p w14:paraId="24FBED07" w14:textId="77777777" w:rsidR="00450114" w:rsidRPr="00310B0F" w:rsidRDefault="00450114" w:rsidP="00450114">
      <w:pPr>
        <w:pStyle w:val="Zkladntext"/>
        <w:kinsoku w:val="0"/>
        <w:overflowPunct w:val="0"/>
        <w:ind w:hanging="1"/>
      </w:pPr>
    </w:p>
    <w:p w14:paraId="6FC0F617" w14:textId="77777777" w:rsidR="00450114" w:rsidRPr="00310B0F" w:rsidRDefault="00450114" w:rsidP="00450114">
      <w:pPr>
        <w:pStyle w:val="Zkladntext"/>
        <w:kinsoku w:val="0"/>
        <w:overflowPunct w:val="0"/>
        <w:ind w:hanging="1"/>
      </w:pPr>
      <w:r w:rsidRPr="00310B0F">
        <w:rPr>
          <w:u w:val="single"/>
        </w:rPr>
        <w:t>Účinky na dýchanie</w:t>
      </w:r>
    </w:p>
    <w:p w14:paraId="58ADB44F" w14:textId="77777777" w:rsidR="00450114" w:rsidRPr="00310B0F" w:rsidRDefault="00450114" w:rsidP="00450114">
      <w:pPr>
        <w:pStyle w:val="Zkladntext"/>
        <w:kinsoku w:val="0"/>
        <w:overflowPunct w:val="0"/>
        <w:ind w:hanging="1"/>
      </w:pPr>
      <w:r w:rsidRPr="00310B0F">
        <w:t xml:space="preserve">Pri liečbe </w:t>
      </w:r>
      <w:r>
        <w:t>fingolimodom</w:t>
      </w:r>
      <w:r w:rsidRPr="00310B0F">
        <w:t xml:space="preserve"> sa pozoroval malý, od dávky závislý pokles hodnôt úsilného výdychového objemu (</w:t>
      </w:r>
      <w:r w:rsidR="00063F9C">
        <w:t xml:space="preserve">forced epiratory volume, </w:t>
      </w:r>
      <w:r w:rsidRPr="00310B0F">
        <w:t>FEV</w:t>
      </w:r>
      <w:r w:rsidRPr="00310B0F">
        <w:rPr>
          <w:vertAlign w:val="subscript"/>
        </w:rPr>
        <w:t>1</w:t>
      </w:r>
      <w:r w:rsidRPr="00310B0F">
        <w:t>) a difúznej kapacity pre oxid uhoľnatý (</w:t>
      </w:r>
      <w:r w:rsidR="00063F9C">
        <w:t xml:space="preserve">diffusion capacity for carbon monoxide, </w:t>
      </w:r>
      <w:r w:rsidRPr="00310B0F">
        <w:t xml:space="preserve">DLCO), ktorý sa začal v 1. mesiaci a potom zostal stabilný. </w:t>
      </w:r>
      <w:r>
        <w:t xml:space="preserve">Fingolimod </w:t>
      </w:r>
      <w:r w:rsidRPr="00310B0F">
        <w:t>sa má používať opatrne u pacientov so závažným ochorením dýchacej sústavy, pľúcnou fibrózou a chronickou obštrukčnou chorobou pľúc (pozri aj časť 4.8).</w:t>
      </w:r>
    </w:p>
    <w:p w14:paraId="1AEB2088" w14:textId="77777777" w:rsidR="00450114" w:rsidRPr="00310B0F" w:rsidRDefault="00450114" w:rsidP="00450114">
      <w:pPr>
        <w:pStyle w:val="Zkladntext"/>
        <w:kinsoku w:val="0"/>
        <w:overflowPunct w:val="0"/>
        <w:ind w:hanging="1"/>
      </w:pPr>
    </w:p>
    <w:p w14:paraId="494BAF1D" w14:textId="77777777" w:rsidR="00450114" w:rsidRPr="00310B0F" w:rsidRDefault="00450114" w:rsidP="00450114">
      <w:pPr>
        <w:pStyle w:val="Zkladntext"/>
        <w:kinsoku w:val="0"/>
        <w:overflowPunct w:val="0"/>
        <w:ind w:hanging="1"/>
      </w:pPr>
      <w:r w:rsidRPr="00310B0F">
        <w:rPr>
          <w:u w:val="single"/>
        </w:rPr>
        <w:t>Syndróm reverzibilnej posteriórnej encefalopatie</w:t>
      </w:r>
    </w:p>
    <w:p w14:paraId="7A4092BC" w14:textId="5366F66D" w:rsidR="00450114" w:rsidRPr="00310B0F" w:rsidRDefault="00450114" w:rsidP="00092D58">
      <w:pPr>
        <w:pStyle w:val="Zkladntext"/>
        <w:kinsoku w:val="0"/>
        <w:overflowPunct w:val="0"/>
        <w:ind w:hanging="1"/>
        <w:jc w:val="both"/>
      </w:pPr>
      <w:r w:rsidRPr="00310B0F">
        <w:t>Zriedkavé prípady syndrómu reverzibilnej posteriórnej encefalopatie (</w:t>
      </w:r>
      <w:r w:rsidR="00063F9C">
        <w:t xml:space="preserve">posterior reversible encephalopathy syndrome, </w:t>
      </w:r>
      <w:r w:rsidRPr="00310B0F">
        <w:t>PRES) sa zaznamenali pri</w:t>
      </w:r>
      <w:r w:rsidRPr="00310B0F">
        <w:rPr>
          <w:spacing w:val="-26"/>
        </w:rPr>
        <w:t xml:space="preserve"> </w:t>
      </w:r>
      <w:r w:rsidRPr="00310B0F">
        <w:t>dávke 0,5 mg v klinických skúšaniach a po uvedení lieku na trh (pozri časť 4.8). Hlásené symptómy zahŕňali náhly nástup silnej bolesti hlavy, nauzey, vracania, zmeneného duševného stavu, porúch</w:t>
      </w:r>
      <w:r w:rsidRPr="00310B0F">
        <w:rPr>
          <w:spacing w:val="-14"/>
        </w:rPr>
        <w:t xml:space="preserve"> </w:t>
      </w:r>
      <w:r w:rsidRPr="00310B0F">
        <w:t>videnia</w:t>
      </w:r>
      <w:r w:rsidR="00063F9C">
        <w:t xml:space="preserve"> </w:t>
      </w:r>
      <w:r w:rsidRPr="00310B0F">
        <w:t xml:space="preserve">a kŕčov. Symptómy PRES sú obvykle reverzibilné, ale môžu sa vyvinúť do ischemickej mozgovej príhody alebo krvácania do mozgu. Oneskorenie stanovenia diagnózy a liečby môže viesť k trvalým neurologickým následkom. Pri podozrení na PRES sa má </w:t>
      </w:r>
      <w:r>
        <w:t xml:space="preserve">fingolimod </w:t>
      </w:r>
      <w:r w:rsidRPr="00310B0F">
        <w:t>vysadiť.</w:t>
      </w:r>
    </w:p>
    <w:p w14:paraId="1A4A3467" w14:textId="77777777" w:rsidR="00450114" w:rsidRPr="00310B0F" w:rsidRDefault="00450114" w:rsidP="00450114">
      <w:pPr>
        <w:pStyle w:val="Zkladntext"/>
        <w:kinsoku w:val="0"/>
        <w:overflowPunct w:val="0"/>
        <w:ind w:hanging="1"/>
      </w:pPr>
    </w:p>
    <w:p w14:paraId="2BC921DF" w14:textId="77777777" w:rsidR="00450114" w:rsidRPr="00310B0F" w:rsidRDefault="00450114" w:rsidP="00450114">
      <w:pPr>
        <w:pStyle w:val="Zkladntext"/>
        <w:kinsoku w:val="0"/>
        <w:overflowPunct w:val="0"/>
        <w:ind w:hanging="1"/>
      </w:pPr>
      <w:r w:rsidRPr="00310B0F">
        <w:rPr>
          <w:u w:val="single"/>
        </w:rPr>
        <w:t>Predchádzajúce podanie imunosupresívnej alebo imunomodulačnej liečby</w:t>
      </w:r>
    </w:p>
    <w:p w14:paraId="5E25224E" w14:textId="77777777" w:rsidR="00450114" w:rsidRPr="00310B0F" w:rsidRDefault="00450114" w:rsidP="00450114">
      <w:pPr>
        <w:pStyle w:val="Zkladntext"/>
        <w:kinsoku w:val="0"/>
        <w:overflowPunct w:val="0"/>
        <w:ind w:hanging="1"/>
      </w:pPr>
      <w:r w:rsidRPr="00310B0F">
        <w:t xml:space="preserve">Klinické skúšania na vyhodnotenie účinnosti a bezpečnosti </w:t>
      </w:r>
      <w:r>
        <w:t>fingolimodu</w:t>
      </w:r>
      <w:r w:rsidRPr="00310B0F">
        <w:t xml:space="preserve"> pri zmene liečby pacientov z teriflunomidu, dimetylfumarátu alebo alemtuzumabu na </w:t>
      </w:r>
      <w:r>
        <w:t>fingolimod</w:t>
      </w:r>
      <w:r w:rsidRPr="00310B0F">
        <w:t xml:space="preserve"> sa nevykonali. Pri prechode pacientov z inej liečby modifikujúcej ochorenie na </w:t>
      </w:r>
      <w:r>
        <w:t>fingolimod</w:t>
      </w:r>
      <w:r w:rsidRPr="00310B0F">
        <w:t xml:space="preserve"> sa musí vziať do úvahy polčas a spôsob účinku tejto inej liečby, aby sa zabránilo aditívnemu účinku na imunitu a súčasne sa minimalizovalo riziko reaktivácie ochorenia. Pred začatím podávania </w:t>
      </w:r>
      <w:r>
        <w:t>fingolimodu</w:t>
      </w:r>
      <w:r w:rsidRPr="00310B0F">
        <w:t xml:space="preserve"> sa odporúča CBC, aby sa overilo, že vymizli účinky predchádzajúcej liečby na imunitu (t.j. cytopénia).</w:t>
      </w:r>
    </w:p>
    <w:p w14:paraId="51A1F050" w14:textId="77777777" w:rsidR="00450114" w:rsidRPr="00310B0F" w:rsidRDefault="00450114" w:rsidP="00450114">
      <w:pPr>
        <w:pStyle w:val="Zkladntext"/>
        <w:kinsoku w:val="0"/>
        <w:overflowPunct w:val="0"/>
        <w:ind w:hanging="1"/>
      </w:pPr>
    </w:p>
    <w:p w14:paraId="4C8D0F11" w14:textId="77777777" w:rsidR="00450114" w:rsidRPr="00310B0F" w:rsidRDefault="00450114" w:rsidP="00450114">
      <w:pPr>
        <w:pStyle w:val="Zkladntext"/>
        <w:kinsoku w:val="0"/>
        <w:overflowPunct w:val="0"/>
        <w:ind w:hanging="1"/>
      </w:pPr>
      <w:r>
        <w:t>Fingolimod</w:t>
      </w:r>
      <w:r w:rsidRPr="00310B0F">
        <w:t xml:space="preserve"> možno spravidla začať podávať ihneď po vysadení interferónu alebo glatirameracetátu.</w:t>
      </w:r>
    </w:p>
    <w:p w14:paraId="5A87EF7E" w14:textId="77777777" w:rsidR="00450114" w:rsidRPr="00310B0F" w:rsidRDefault="00450114" w:rsidP="00450114">
      <w:pPr>
        <w:pStyle w:val="Zkladntext"/>
        <w:kinsoku w:val="0"/>
        <w:overflowPunct w:val="0"/>
        <w:ind w:hanging="1"/>
      </w:pPr>
    </w:p>
    <w:p w14:paraId="2BFB9954" w14:textId="30089C20" w:rsidR="00450114" w:rsidRPr="00310B0F" w:rsidRDefault="00450114" w:rsidP="00450114">
      <w:pPr>
        <w:pStyle w:val="Zkladntext"/>
        <w:kinsoku w:val="0"/>
        <w:overflowPunct w:val="0"/>
        <w:ind w:hanging="1"/>
      </w:pPr>
      <w:r w:rsidRPr="00310B0F">
        <w:t xml:space="preserve">Pri dimetylfumaráte má byť doba </w:t>
      </w:r>
      <w:r w:rsidR="00BC75B7">
        <w:t xml:space="preserve">eliminácie </w:t>
      </w:r>
      <w:r w:rsidRPr="00310B0F">
        <w:t>dostatočná na zotavenie CBC pred začatím liečby</w:t>
      </w:r>
    </w:p>
    <w:p w14:paraId="6E35FC36" w14:textId="77777777" w:rsidR="00450114" w:rsidRPr="00310B0F" w:rsidRDefault="00450114" w:rsidP="00450114">
      <w:pPr>
        <w:pStyle w:val="Zkladntext"/>
        <w:kinsoku w:val="0"/>
        <w:overflowPunct w:val="0"/>
        <w:ind w:hanging="1"/>
      </w:pPr>
      <w:r>
        <w:t>fingolimodom</w:t>
      </w:r>
      <w:r w:rsidRPr="00310B0F">
        <w:t>.</w:t>
      </w:r>
    </w:p>
    <w:p w14:paraId="28199583" w14:textId="77777777" w:rsidR="00450114" w:rsidRPr="00310B0F" w:rsidRDefault="00450114" w:rsidP="00450114">
      <w:pPr>
        <w:pStyle w:val="Zkladntext"/>
        <w:kinsoku w:val="0"/>
        <w:overflowPunct w:val="0"/>
        <w:ind w:hanging="1"/>
      </w:pPr>
    </w:p>
    <w:p w14:paraId="788979A9" w14:textId="77777777" w:rsidR="00450114" w:rsidRPr="00310B0F" w:rsidRDefault="00450114" w:rsidP="00450114">
      <w:pPr>
        <w:pStyle w:val="Zkladntext"/>
        <w:kinsoku w:val="0"/>
        <w:overflowPunct w:val="0"/>
        <w:ind w:hanging="1"/>
      </w:pPr>
      <w:r w:rsidRPr="00310B0F">
        <w:t xml:space="preserve">Vzhľadom na dlhý polčas natalizumabu trvá eliminácia zvyčajne až 2-3 mesiace po jeho vysadení.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alternatívou je doba vyplavenia, ktorá nemá byť kratšia ako 3,5 mesiaca. Vzhľadom na možné súbežné účinky na imunitu sa pri zmene liečby pacientov z natalizumabu alebo teriflunomidu na </w:t>
      </w:r>
      <w:r>
        <w:t>fingolimod</w:t>
      </w:r>
      <w:r w:rsidRPr="00310B0F">
        <w:t xml:space="preserve"> vyžaduje opatrnosť.</w:t>
      </w:r>
    </w:p>
    <w:p w14:paraId="4D0D35A4" w14:textId="77777777" w:rsidR="00450114" w:rsidRPr="00310B0F" w:rsidRDefault="00450114" w:rsidP="00450114">
      <w:pPr>
        <w:pStyle w:val="Zkladntext"/>
        <w:kinsoku w:val="0"/>
        <w:overflowPunct w:val="0"/>
        <w:ind w:hanging="1"/>
      </w:pPr>
    </w:p>
    <w:p w14:paraId="0ECFA820" w14:textId="77777777" w:rsidR="00450114" w:rsidRPr="00310B0F" w:rsidRDefault="00450114" w:rsidP="00450114">
      <w:pPr>
        <w:pStyle w:val="Zkladntext"/>
        <w:kinsoku w:val="0"/>
        <w:overflowPunct w:val="0"/>
        <w:ind w:hanging="1"/>
      </w:pPr>
      <w:r w:rsidRPr="00310B0F">
        <w:t xml:space="preserve">Alemtuzumab má silné a dlhodobé imunosupresívne účinky. Keďže skutočné trvanie týchto účinkov nie je známe, začať liečbou </w:t>
      </w:r>
      <w:r>
        <w:t>fingolimodom</w:t>
      </w:r>
      <w:r w:rsidRPr="00310B0F">
        <w:t xml:space="preserve"> po alemtuzumabe sa neodporúča, pokiaľ prínos takejto liečby nie je jednoznačne väčší ako riziká pre jednotlivého pacienta.</w:t>
      </w:r>
    </w:p>
    <w:p w14:paraId="4F719B68" w14:textId="77777777" w:rsidR="00450114" w:rsidRPr="00310B0F" w:rsidRDefault="00450114" w:rsidP="00450114">
      <w:pPr>
        <w:pStyle w:val="Zkladntext"/>
        <w:kinsoku w:val="0"/>
        <w:overflowPunct w:val="0"/>
        <w:ind w:hanging="1"/>
      </w:pPr>
    </w:p>
    <w:p w14:paraId="5463BF12" w14:textId="77777777" w:rsidR="00450114" w:rsidRPr="00310B0F" w:rsidRDefault="00450114" w:rsidP="00450114">
      <w:pPr>
        <w:pStyle w:val="Zkladntext"/>
        <w:kinsoku w:val="0"/>
        <w:overflowPunct w:val="0"/>
        <w:ind w:hanging="1"/>
      </w:pPr>
      <w:r w:rsidRPr="00310B0F">
        <w:t>Rozhodnutie podať dlhodobú súbežnú liečbu kortikosteroidmi sa má starostlivo zvážiť.</w:t>
      </w:r>
    </w:p>
    <w:p w14:paraId="11A5EAA9" w14:textId="77777777" w:rsidR="00450114" w:rsidRDefault="00450114" w:rsidP="00450114">
      <w:pPr>
        <w:pStyle w:val="Zkladntext"/>
        <w:kinsoku w:val="0"/>
        <w:overflowPunct w:val="0"/>
        <w:ind w:hanging="1"/>
        <w:rPr>
          <w:u w:val="single"/>
        </w:rPr>
      </w:pPr>
    </w:p>
    <w:p w14:paraId="2528160F" w14:textId="77777777" w:rsidR="00450114" w:rsidRPr="00310B0F" w:rsidRDefault="00450114" w:rsidP="00450114">
      <w:pPr>
        <w:pStyle w:val="Zkladntext"/>
        <w:kinsoku w:val="0"/>
        <w:overflowPunct w:val="0"/>
        <w:ind w:hanging="1"/>
      </w:pPr>
      <w:r w:rsidRPr="00310B0F">
        <w:rPr>
          <w:u w:val="single"/>
        </w:rPr>
        <w:t>Súbežné podávanie so silnými induktormi CYP450</w:t>
      </w:r>
    </w:p>
    <w:p w14:paraId="0DE30DED" w14:textId="77777777" w:rsidR="00450114" w:rsidRPr="00310B0F" w:rsidRDefault="00450114" w:rsidP="00450114">
      <w:pPr>
        <w:pStyle w:val="Zkladntext"/>
        <w:kinsoku w:val="0"/>
        <w:overflowPunct w:val="0"/>
        <w:ind w:hanging="1"/>
      </w:pPr>
      <w:r w:rsidRPr="00310B0F">
        <w:t>Kombinácia fingolimodu so silnými induktormi CYP450 sa má používať opatrne. Súbežné používanie</w:t>
      </w:r>
    </w:p>
    <w:p w14:paraId="5A99F3B8" w14:textId="77777777" w:rsidR="00450114" w:rsidRDefault="00450114" w:rsidP="00450114">
      <w:pPr>
        <w:pStyle w:val="Zkladntext"/>
        <w:kinsoku w:val="0"/>
        <w:overflowPunct w:val="0"/>
        <w:ind w:hanging="1"/>
      </w:pPr>
      <w:r w:rsidRPr="00310B0F">
        <w:t xml:space="preserve">s ľubovníkom bodkovaným sa neodporúča (pozri časť 4.5). </w:t>
      </w:r>
    </w:p>
    <w:p w14:paraId="5F27C3A4" w14:textId="77777777" w:rsidR="00450114" w:rsidRDefault="00450114" w:rsidP="00450114">
      <w:pPr>
        <w:pStyle w:val="Zkladntext"/>
        <w:kinsoku w:val="0"/>
        <w:overflowPunct w:val="0"/>
        <w:ind w:hanging="1"/>
      </w:pPr>
    </w:p>
    <w:p w14:paraId="138956B4" w14:textId="77777777" w:rsidR="00450114" w:rsidRPr="00310B0F" w:rsidRDefault="00450114" w:rsidP="00450114">
      <w:pPr>
        <w:pStyle w:val="Zkladntext"/>
        <w:kinsoku w:val="0"/>
        <w:overflowPunct w:val="0"/>
        <w:ind w:hanging="1"/>
      </w:pPr>
      <w:r w:rsidRPr="00310B0F">
        <w:rPr>
          <w:u w:val="single"/>
        </w:rPr>
        <w:t>Malignity</w:t>
      </w:r>
    </w:p>
    <w:p w14:paraId="16CFEEFE" w14:textId="77777777" w:rsidR="00450114" w:rsidRDefault="00450114" w:rsidP="00450114">
      <w:pPr>
        <w:pStyle w:val="Zkladntext"/>
        <w:kinsoku w:val="0"/>
        <w:overflowPunct w:val="0"/>
        <w:ind w:hanging="1"/>
        <w:rPr>
          <w:spacing w:val="-55"/>
          <w:w w:val="99"/>
          <w:u w:val="single"/>
        </w:rPr>
      </w:pPr>
      <w:r w:rsidRPr="00310B0F">
        <w:rPr>
          <w:spacing w:val="-55"/>
          <w:w w:val="99"/>
          <w:u w:val="single"/>
        </w:rPr>
        <w:t xml:space="preserve"> </w:t>
      </w:r>
    </w:p>
    <w:p w14:paraId="42103135" w14:textId="77777777" w:rsidR="00450114" w:rsidRPr="00310B0F" w:rsidRDefault="00450114" w:rsidP="00450114">
      <w:pPr>
        <w:pStyle w:val="Zkladntext"/>
        <w:kinsoku w:val="0"/>
        <w:overflowPunct w:val="0"/>
        <w:ind w:hanging="1"/>
        <w:rPr>
          <w:spacing w:val="-55"/>
          <w:w w:val="99"/>
        </w:rPr>
      </w:pPr>
      <w:r w:rsidRPr="00310B0F">
        <w:rPr>
          <w:i/>
          <w:iCs/>
          <w:u w:val="single"/>
        </w:rPr>
        <w:t>Kožné malignity</w:t>
      </w:r>
    </w:p>
    <w:p w14:paraId="023C9B2B" w14:textId="77777777" w:rsidR="00450114" w:rsidRPr="00310B0F" w:rsidRDefault="00450114" w:rsidP="00450114">
      <w:pPr>
        <w:pStyle w:val="Zkladntext"/>
        <w:kinsoku w:val="0"/>
        <w:overflowPunct w:val="0"/>
        <w:ind w:hanging="1"/>
      </w:pPr>
      <w:r w:rsidRPr="00310B0F">
        <w:t xml:space="preserve">U pacientov, ktorí dostávali </w:t>
      </w:r>
      <w:r>
        <w:t>fingolimod</w:t>
      </w:r>
      <w:r w:rsidRPr="00310B0F">
        <w:t>, sa zaznamenal bazocelulárny karcinóm (</w:t>
      </w:r>
      <w:r w:rsidR="005C310B">
        <w:t xml:space="preserve">basal cell carcinoma, </w:t>
      </w:r>
      <w:r w:rsidRPr="00310B0F">
        <w:t>BCC)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w:t>
      </w:r>
      <w:r w:rsidRPr="00310B0F">
        <w:rPr>
          <w:spacing w:val="-13"/>
        </w:rPr>
        <w:t xml:space="preserve"> </w:t>
      </w:r>
      <w:r w:rsidRPr="00310B0F">
        <w:t>dermatológom.</w:t>
      </w:r>
    </w:p>
    <w:p w14:paraId="6A197D16" w14:textId="77777777" w:rsidR="00450114" w:rsidRPr="00310B0F" w:rsidRDefault="00450114" w:rsidP="00450114">
      <w:pPr>
        <w:pStyle w:val="Zkladntext"/>
        <w:kinsoku w:val="0"/>
        <w:overflowPunct w:val="0"/>
        <w:ind w:hanging="1"/>
      </w:pPr>
    </w:p>
    <w:p w14:paraId="6EE0A53C" w14:textId="77777777" w:rsidR="00450114" w:rsidRPr="00310B0F" w:rsidRDefault="00450114" w:rsidP="00450114">
      <w:pPr>
        <w:pStyle w:val="Zkladntext"/>
        <w:kinsoku w:val="0"/>
        <w:overflowPunct w:val="0"/>
        <w:ind w:hanging="1"/>
      </w:pPr>
      <w:r w:rsidRPr="00310B0F">
        <w:t>Keďže existuje potenciálne riziko rastu kožných malignít, pacientov liečených fingolimodom treba poučiť, aby sa nevystavovali slnečnému žiareniu bez ochrany. Títo pacienti sa nemajú súbežne liečiť fototerapiou UVB-žiarením ani PUVA-fotochemoterapiou.</w:t>
      </w:r>
    </w:p>
    <w:p w14:paraId="3B2FE363" w14:textId="77777777" w:rsidR="00450114" w:rsidRPr="00310B0F" w:rsidRDefault="00450114" w:rsidP="00450114">
      <w:pPr>
        <w:pStyle w:val="Zkladntext"/>
        <w:kinsoku w:val="0"/>
        <w:overflowPunct w:val="0"/>
        <w:ind w:hanging="1"/>
      </w:pPr>
    </w:p>
    <w:p w14:paraId="373318B8" w14:textId="77777777" w:rsidR="00450114" w:rsidRPr="00310B0F" w:rsidRDefault="00450114" w:rsidP="00450114">
      <w:pPr>
        <w:pStyle w:val="Zkladntext"/>
        <w:kinsoku w:val="0"/>
        <w:overflowPunct w:val="0"/>
        <w:ind w:hanging="1"/>
        <w:rPr>
          <w:i/>
          <w:iCs/>
        </w:rPr>
      </w:pPr>
      <w:r w:rsidRPr="00310B0F">
        <w:rPr>
          <w:i/>
          <w:iCs/>
          <w:u w:val="single"/>
        </w:rPr>
        <w:t>Lymfómy</w:t>
      </w:r>
    </w:p>
    <w:p w14:paraId="3E4816D2" w14:textId="77777777" w:rsidR="00450114" w:rsidRPr="00310B0F" w:rsidRDefault="00450114" w:rsidP="00450114">
      <w:pPr>
        <w:pStyle w:val="Zkladntext"/>
        <w:kinsoku w:val="0"/>
        <w:overflowPunct w:val="0"/>
        <w:ind w:hanging="1"/>
      </w:pPr>
      <w:r w:rsidRPr="00310B0F">
        <w:t>Prípady lymfómu sa vyskytli v klinických štúdiách a po uvedení lieku na trh (pozri časť 4.8). Hlásené boli prípady rôzneho typu, najmä non-Hodgkinov lymfóm, vrátane B-bunkových a T-bunkových lymfómov. Zaznamenali sa prípady kožného T-bunkového lymfómu (</w:t>
      </w:r>
      <w:r w:rsidRPr="00310B0F">
        <w:rPr>
          <w:i/>
          <w:iCs/>
        </w:rPr>
        <w:t xml:space="preserve">mycosis fungoides). </w:t>
      </w:r>
      <w:r w:rsidRPr="00310B0F">
        <w:t xml:space="preserve">Zaznamenal sa tiež fatálny prípad B-bunkového lymfómu s pozitivitou na Epsteinov-Barrovej vírus (EBV). Pri podozrení na lymfóm sa má </w:t>
      </w:r>
      <w:r>
        <w:t xml:space="preserve">fingolimod </w:t>
      </w:r>
      <w:r w:rsidRPr="00310B0F">
        <w:t>vysadiť.</w:t>
      </w:r>
    </w:p>
    <w:p w14:paraId="6EA0572B" w14:textId="77777777" w:rsidR="00450114" w:rsidRPr="00310B0F" w:rsidRDefault="00450114" w:rsidP="00450114">
      <w:pPr>
        <w:pStyle w:val="Zkladntext"/>
        <w:kinsoku w:val="0"/>
        <w:overflowPunct w:val="0"/>
        <w:ind w:hanging="1"/>
      </w:pPr>
    </w:p>
    <w:p w14:paraId="183D0782" w14:textId="77777777" w:rsidR="00450114" w:rsidRPr="00310B0F" w:rsidRDefault="00450114" w:rsidP="00450114">
      <w:pPr>
        <w:pStyle w:val="Zkladntext"/>
        <w:kinsoku w:val="0"/>
        <w:overflowPunct w:val="0"/>
        <w:ind w:hanging="1"/>
      </w:pPr>
      <w:r w:rsidRPr="00310B0F">
        <w:rPr>
          <w:u w:val="single"/>
        </w:rPr>
        <w:t>Ženy vo fertilnom veku</w:t>
      </w:r>
    </w:p>
    <w:p w14:paraId="7855B581" w14:textId="77777777" w:rsidR="00450114" w:rsidRPr="00310B0F" w:rsidRDefault="00450114" w:rsidP="00450114">
      <w:pPr>
        <w:pStyle w:val="Zkladntext"/>
        <w:kinsoku w:val="0"/>
        <w:overflowPunct w:val="0"/>
        <w:ind w:hanging="1"/>
      </w:pPr>
      <w:r w:rsidRPr="00310B0F">
        <w:t xml:space="preserve">Kvôli riziku pre plod je fingolimod počas gravidity a u žien vo fertilnom veku, ktoré nepoužívajú účinnú antikoncepciu, kontraindikovaný. Pred </w:t>
      </w:r>
      <w:r>
        <w:t>začatím</w:t>
      </w:r>
      <w:r w:rsidRPr="00310B0F">
        <w:t xml:space="preserve"> liečby musia byť ženy vo fertilnom veku informované o riziku pre plod, musia mať negatívny výsledok testu na graviditu a musia používať účinnú antikoncepciu počas liečby a 2 mesiace po jej ukončení (pozri časti 4.3 a 4.6 a informácie obsiahnuté v balíku informácií pre lekára).</w:t>
      </w:r>
    </w:p>
    <w:p w14:paraId="0B21074F" w14:textId="77777777" w:rsidR="00450114" w:rsidRPr="00310B0F" w:rsidRDefault="00450114" w:rsidP="00450114">
      <w:pPr>
        <w:pStyle w:val="Zkladntext"/>
        <w:kinsoku w:val="0"/>
        <w:overflowPunct w:val="0"/>
        <w:ind w:hanging="1"/>
      </w:pPr>
    </w:p>
    <w:p w14:paraId="0D22157A" w14:textId="77777777" w:rsidR="00450114" w:rsidRPr="00310B0F" w:rsidRDefault="00450114" w:rsidP="00450114">
      <w:pPr>
        <w:pStyle w:val="Zkladntext"/>
        <w:kinsoku w:val="0"/>
        <w:overflowPunct w:val="0"/>
        <w:ind w:hanging="1"/>
      </w:pPr>
      <w:r w:rsidRPr="00310B0F">
        <w:rPr>
          <w:u w:val="single"/>
        </w:rPr>
        <w:t>Tumefaktívne lézie</w:t>
      </w:r>
    </w:p>
    <w:p w14:paraId="6F9EB080" w14:textId="555A3A03" w:rsidR="00450114" w:rsidRPr="00310B0F" w:rsidRDefault="00450114" w:rsidP="00450114">
      <w:pPr>
        <w:pStyle w:val="Zkladntext"/>
        <w:kinsoku w:val="0"/>
        <w:overflowPunct w:val="0"/>
        <w:ind w:hanging="1"/>
      </w:pPr>
      <w:r w:rsidRPr="00310B0F">
        <w:t xml:space="preserve">Po uvedení lieku na trh boli hlásené zriedkavé prípady tumefaktívnych lézií spojených s relapsom </w:t>
      </w:r>
      <w:r w:rsidR="005C310B">
        <w:t>sklerózy</w:t>
      </w:r>
      <w:r w:rsidR="005C310B" w:rsidRPr="00310B0F">
        <w:t xml:space="preserve"> </w:t>
      </w:r>
      <w:r w:rsidRPr="00310B0F">
        <w:t xml:space="preserve">multiplex. V prípade závažných relapsov je potrebné vykonať MRI vyšetrenie na vylúčenie prítomnosti tumefaktívnych lézií. V každom jednom prípade musí lekár s ohľadom na individuálny pomer prinosov a rizík zvážiť ukončenie liečby </w:t>
      </w:r>
      <w:r>
        <w:t>fingolimodom</w:t>
      </w:r>
      <w:r w:rsidRPr="00310B0F">
        <w:t>.</w:t>
      </w:r>
    </w:p>
    <w:p w14:paraId="35E60DC5" w14:textId="77777777" w:rsidR="00450114" w:rsidRPr="00310B0F" w:rsidRDefault="00450114" w:rsidP="00450114">
      <w:pPr>
        <w:pStyle w:val="Zkladntext"/>
        <w:kinsoku w:val="0"/>
        <w:overflowPunct w:val="0"/>
        <w:ind w:hanging="1"/>
      </w:pPr>
    </w:p>
    <w:p w14:paraId="55AB0E5D" w14:textId="77777777" w:rsidR="00450114" w:rsidRPr="00310B0F" w:rsidRDefault="00450114" w:rsidP="00450114">
      <w:pPr>
        <w:pStyle w:val="Zkladntext"/>
        <w:kinsoku w:val="0"/>
        <w:overflowPunct w:val="0"/>
        <w:ind w:hanging="1"/>
      </w:pPr>
      <w:r w:rsidRPr="00310B0F">
        <w:rPr>
          <w:u w:val="single"/>
        </w:rPr>
        <w:t>Návrat aktivity ochorenia („rebound“) po ukončení liečby fingolimodom</w:t>
      </w:r>
    </w:p>
    <w:p w14:paraId="1E52F0C9" w14:textId="77777777" w:rsidR="00450114" w:rsidRPr="00310B0F" w:rsidRDefault="00450114" w:rsidP="00450114">
      <w:pPr>
        <w:pStyle w:val="Zkladntext"/>
        <w:kinsoku w:val="0"/>
        <w:overflowPunct w:val="0"/>
        <w:ind w:hanging="1"/>
      </w:pPr>
      <w:r w:rsidRPr="00310B0F">
        <w:t xml:space="preserve">Po uvedení lieku na trh sa zriedkavo u niektorých pacientov, ktorí ukončili liečbu fingolimodom, vyskytlo závažné zhoršenie ochorenia, ktoré sa vo všeobecnosti pozorovalo do 12 týždňov, ale bolo hlásené aj do 24 týždňov od ukončenia liečby fingolimodom. Pri ukončení liečby je preto potrebná opatrnosť. Ak je </w:t>
      </w:r>
      <w:r w:rsidRPr="00310B0F">
        <w:lastRenderedPageBreak/>
        <w:t>ukončenie liečby fingolimodom nevyhnutné, do úvahy treba vziať možnosť rekurencie výnimočne vysokej aktivity ochorenia a u pacientov je potrebné sledovať relevantné príznaky a prejavy a podľa potreby zahájiť vhodnú liečbu (pozri nižšie „Ukončenie liečby“).</w:t>
      </w:r>
    </w:p>
    <w:p w14:paraId="715BFA75" w14:textId="77777777" w:rsidR="00A10261" w:rsidRDefault="00A10261" w:rsidP="00450114">
      <w:pPr>
        <w:pStyle w:val="Zkladntext"/>
        <w:kinsoku w:val="0"/>
        <w:overflowPunct w:val="0"/>
        <w:ind w:hanging="1"/>
        <w:rPr>
          <w:u w:val="single"/>
        </w:rPr>
      </w:pPr>
    </w:p>
    <w:p w14:paraId="70A4584E" w14:textId="77777777" w:rsidR="00450114" w:rsidRPr="00310B0F" w:rsidRDefault="00450114" w:rsidP="00450114">
      <w:pPr>
        <w:pStyle w:val="Zkladntext"/>
        <w:kinsoku w:val="0"/>
        <w:overflowPunct w:val="0"/>
        <w:ind w:hanging="1"/>
      </w:pPr>
      <w:r w:rsidRPr="00310B0F">
        <w:rPr>
          <w:u w:val="single"/>
        </w:rPr>
        <w:t>Ukončenie liečby</w:t>
      </w:r>
    </w:p>
    <w:p w14:paraId="6BDCA7A3" w14:textId="77777777" w:rsidR="00450114" w:rsidRPr="00310B0F" w:rsidRDefault="00450114" w:rsidP="00450114">
      <w:pPr>
        <w:pStyle w:val="Zkladntext"/>
        <w:kinsoku w:val="0"/>
        <w:overflowPunct w:val="0"/>
        <w:ind w:hanging="1"/>
      </w:pPr>
      <w:r w:rsidRPr="00310B0F">
        <w:t xml:space="preserve">Keď sa rozhodne o ukončení liečby </w:t>
      </w:r>
      <w:r>
        <w:t>fingolimodom</w:t>
      </w:r>
      <w:r w:rsidRPr="00310B0F">
        <w:t xml:space="preserve">, je potrebné obdobie 6 týždňov bez liečby, aby </w:t>
      </w:r>
      <w:r w:rsidR="00A10261">
        <w:t xml:space="preserve">sa </w:t>
      </w:r>
      <w:r w:rsidRPr="00310B0F">
        <w:t xml:space="preserve">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vysadení </w:t>
      </w:r>
      <w:r>
        <w:t>fingolimodu</w:t>
      </w:r>
      <w:r w:rsidRPr="00310B0F">
        <w:t xml:space="preserve"> môže viesť k aditívnemu účinku na imunitný systém, preto je potrebná</w:t>
      </w:r>
      <w:r w:rsidRPr="00310B0F">
        <w:rPr>
          <w:spacing w:val="-3"/>
        </w:rPr>
        <w:t xml:space="preserve"> </w:t>
      </w:r>
      <w:r w:rsidRPr="00310B0F">
        <w:t>opatrnosť.</w:t>
      </w:r>
    </w:p>
    <w:p w14:paraId="0B18096F" w14:textId="77777777" w:rsidR="00450114" w:rsidRPr="00310B0F" w:rsidRDefault="00450114" w:rsidP="00450114">
      <w:pPr>
        <w:pStyle w:val="Zkladntext"/>
        <w:kinsoku w:val="0"/>
        <w:overflowPunct w:val="0"/>
        <w:ind w:hanging="1"/>
      </w:pPr>
    </w:p>
    <w:p w14:paraId="342EAC7C" w14:textId="01705C63" w:rsidR="00450114" w:rsidRPr="00310B0F" w:rsidRDefault="00450114" w:rsidP="00450114">
      <w:pPr>
        <w:pStyle w:val="Zkladntext"/>
        <w:kinsoku w:val="0"/>
        <w:overflowPunct w:val="0"/>
        <w:ind w:hanging="1"/>
      </w:pPr>
      <w:r w:rsidRPr="00310B0F">
        <w:t xml:space="preserve">Kvôli riziku opätovného návratu ochorenia sa pri ukončení liečby fingolimodom odporúča opatrnosť (pozri „Návrat aktivity ochorenia („rebound“) </w:t>
      </w:r>
      <w:r w:rsidRPr="00DF3BF1">
        <w:t>po ukončení liečby fingolimodom</w:t>
      </w:r>
      <w:r w:rsidRPr="00310B0F">
        <w:t xml:space="preserve">“ vyššie). Ak je ukončenie liečby </w:t>
      </w:r>
      <w:r>
        <w:t>fingolimodom</w:t>
      </w:r>
      <w:r w:rsidRPr="00310B0F">
        <w:t xml:space="preserve"> považované za nevyhnutné, pacientov je v tom čase potrebné sledovať na relevantné </w:t>
      </w:r>
      <w:r w:rsidR="00A10261">
        <w:t xml:space="preserve">prejavy </w:t>
      </w:r>
      <w:r w:rsidRPr="00310B0F">
        <w:t>možného návratu ochorenia.</w:t>
      </w:r>
    </w:p>
    <w:p w14:paraId="7D9BDD9F" w14:textId="77777777" w:rsidR="00450114" w:rsidRPr="00310B0F" w:rsidRDefault="00450114" w:rsidP="00450114">
      <w:pPr>
        <w:pStyle w:val="Zkladntext"/>
        <w:kinsoku w:val="0"/>
        <w:overflowPunct w:val="0"/>
        <w:ind w:hanging="1"/>
      </w:pPr>
    </w:p>
    <w:p w14:paraId="5F920F07" w14:textId="77777777" w:rsidR="00450114" w:rsidRPr="00310B0F" w:rsidRDefault="00450114" w:rsidP="00450114">
      <w:pPr>
        <w:pStyle w:val="Zkladntext"/>
        <w:kinsoku w:val="0"/>
        <w:overflowPunct w:val="0"/>
        <w:ind w:hanging="1"/>
      </w:pPr>
      <w:r w:rsidRPr="00310B0F">
        <w:rPr>
          <w:u w:val="single"/>
        </w:rPr>
        <w:t>Pediatrická populácia</w:t>
      </w:r>
    </w:p>
    <w:p w14:paraId="01575989" w14:textId="77777777" w:rsidR="00450114" w:rsidRPr="00DF3BF1" w:rsidRDefault="00450114" w:rsidP="00450114">
      <w:pPr>
        <w:pStyle w:val="Zkladntext"/>
        <w:kinsoku w:val="0"/>
        <w:overflowPunct w:val="0"/>
        <w:ind w:hanging="1"/>
      </w:pPr>
      <w:r w:rsidRPr="00310B0F">
        <w:t xml:space="preserve">Profil bezpečnosti u pediatrických pacientov je podobný ako u dospelých a upozornenia a </w:t>
      </w:r>
      <w:r w:rsidRPr="00DF3BF1">
        <w:t>bezpečnostné opatrenia pre dospelých preto platia aj pre pediatrických pacientov.</w:t>
      </w:r>
    </w:p>
    <w:p w14:paraId="0F129605" w14:textId="77777777" w:rsidR="00450114" w:rsidRPr="00DF3BF1" w:rsidRDefault="00450114" w:rsidP="00450114">
      <w:pPr>
        <w:pStyle w:val="Zkladntext"/>
        <w:kinsoku w:val="0"/>
        <w:overflowPunct w:val="0"/>
        <w:ind w:hanging="1"/>
      </w:pPr>
      <w:r w:rsidRPr="00DF3BF1">
        <w:t>Pri predpisovaní fingolimodu pediatrickým pacientom je potrebné pamätať najmä na nasledovné:</w:t>
      </w:r>
    </w:p>
    <w:p w14:paraId="5711E89A"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V čase prvej dávky sa majú dodržiavať bezpečnostné opatrenia (pozri vyššie „Bradyarytmia“). Rovnaké bezpečnostné opatrenia ako pri prvej dávke sa odporúčajú, keď sa pacientom zmení denná dávka z 0,25 mg na 0,5</w:t>
      </w:r>
      <w:r w:rsidRPr="00DF3BF1">
        <w:rPr>
          <w:spacing w:val="-3"/>
          <w:sz w:val="22"/>
          <w:szCs w:val="22"/>
        </w:rPr>
        <w:t xml:space="preserve"> </w:t>
      </w:r>
      <w:r w:rsidRPr="00DF3BF1">
        <w:rPr>
          <w:sz w:val="22"/>
          <w:szCs w:val="22"/>
        </w:rPr>
        <w:t>mg.</w:t>
      </w:r>
    </w:p>
    <w:p w14:paraId="6515366B"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V kontrolovanom pediatrickom klinickom skúšaní D2311 boli hlásené prípady epileptických záchvatov, úzkosti, depresívnej nálady a depresie s vyššou incidenciou u pacientov liečených fingolimodom v porovnaní s pacientmi liečenými interferónom beta-1a. U tejto podskupiny populácie sa vyžaduje opatrnosť (pozri „Pediatrická populácia“ v časti</w:t>
      </w:r>
      <w:r w:rsidRPr="00DF3BF1">
        <w:rPr>
          <w:spacing w:val="-7"/>
          <w:sz w:val="22"/>
          <w:szCs w:val="22"/>
        </w:rPr>
        <w:t xml:space="preserve"> </w:t>
      </w:r>
      <w:r w:rsidRPr="00DF3BF1">
        <w:rPr>
          <w:sz w:val="22"/>
          <w:szCs w:val="22"/>
        </w:rPr>
        <w:t>4.8).</w:t>
      </w:r>
    </w:p>
    <w:p w14:paraId="79D5A08D"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Ojedinelé mierne zvýšenia bilirubínu sa zaznamenali u pediatrických pacientov</w:t>
      </w:r>
      <w:r w:rsidRPr="00DF3BF1">
        <w:rPr>
          <w:spacing w:val="-10"/>
          <w:sz w:val="22"/>
          <w:szCs w:val="22"/>
        </w:rPr>
        <w:t xml:space="preserve"> </w:t>
      </w:r>
      <w:r w:rsidRPr="00DF3BF1">
        <w:rPr>
          <w:sz w:val="22"/>
          <w:szCs w:val="22"/>
        </w:rPr>
        <w:t>liečených fingolimodom.</w:t>
      </w:r>
    </w:p>
    <w:p w14:paraId="137D40D4"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 xml:space="preserve">Odporúča sa, aby sa u pediatrických pacientov pred začatím liečby </w:t>
      </w:r>
      <w:r>
        <w:rPr>
          <w:sz w:val="22"/>
          <w:szCs w:val="22"/>
        </w:rPr>
        <w:t>f</w:t>
      </w:r>
      <w:r w:rsidRPr="00DF3BF1">
        <w:rPr>
          <w:sz w:val="22"/>
          <w:szCs w:val="22"/>
        </w:rPr>
        <w:t>ingolimodom ukončili</w:t>
      </w:r>
      <w:r w:rsidRPr="00DF3BF1">
        <w:rPr>
          <w:spacing w:val="-33"/>
          <w:sz w:val="22"/>
          <w:szCs w:val="22"/>
        </w:rPr>
        <w:t xml:space="preserve"> </w:t>
      </w:r>
      <w:r w:rsidRPr="00DF3BF1">
        <w:rPr>
          <w:sz w:val="22"/>
          <w:szCs w:val="22"/>
        </w:rPr>
        <w:t>všetky očkovania v súlade s platnými smernicami o imunizácii (pozri vyššie</w:t>
      </w:r>
      <w:r w:rsidRPr="00DF3BF1">
        <w:rPr>
          <w:spacing w:val="-9"/>
          <w:sz w:val="22"/>
          <w:szCs w:val="22"/>
        </w:rPr>
        <w:t xml:space="preserve"> </w:t>
      </w:r>
      <w:r w:rsidRPr="00DF3BF1">
        <w:rPr>
          <w:sz w:val="22"/>
          <w:szCs w:val="22"/>
        </w:rPr>
        <w:t>„Infekcie“).</w:t>
      </w:r>
    </w:p>
    <w:p w14:paraId="472CC561"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Dostupné sú veľmi obmedzené údaje u detí vo veku 10–12 rokov, s hmotnosťou nižšou ako 40 kg alebo s hodnotou &lt;2 na stupnici podľa Tannera (pozri časti 4.8 a 5.1). Vzhľadom na veľmi obmedzené poznatky dostupné z klinickej štúdie sa u týchto podskupín vyžaduje opatrnosť.</w:t>
      </w:r>
    </w:p>
    <w:p w14:paraId="1B9CF534" w14:textId="77777777" w:rsidR="00450114" w:rsidRPr="00DF3BF1" w:rsidRDefault="00450114" w:rsidP="00450114">
      <w:pPr>
        <w:pStyle w:val="Odsekzoznamu"/>
        <w:numPr>
          <w:ilvl w:val="0"/>
          <w:numId w:val="18"/>
        </w:numPr>
        <w:tabs>
          <w:tab w:val="left" w:pos="567"/>
        </w:tabs>
        <w:kinsoku w:val="0"/>
        <w:overflowPunct w:val="0"/>
        <w:ind w:left="567" w:hanging="567"/>
        <w:rPr>
          <w:sz w:val="22"/>
          <w:szCs w:val="22"/>
        </w:rPr>
      </w:pPr>
      <w:r w:rsidRPr="00DF3BF1">
        <w:rPr>
          <w:sz w:val="22"/>
          <w:szCs w:val="22"/>
        </w:rPr>
        <w:t>Údaje o dlhodobej bezpečnosti u pediatrickej populácie nie sú</w:t>
      </w:r>
      <w:r w:rsidRPr="00DF3BF1">
        <w:rPr>
          <w:spacing w:val="-5"/>
          <w:sz w:val="22"/>
          <w:szCs w:val="22"/>
        </w:rPr>
        <w:t xml:space="preserve"> </w:t>
      </w:r>
      <w:r w:rsidRPr="00DF3BF1">
        <w:rPr>
          <w:sz w:val="22"/>
          <w:szCs w:val="22"/>
        </w:rPr>
        <w:t>dostupné.</w:t>
      </w:r>
    </w:p>
    <w:p w14:paraId="6F7792FF" w14:textId="77777777" w:rsidR="00450114" w:rsidRPr="00310B0F" w:rsidRDefault="00450114" w:rsidP="00450114">
      <w:pPr>
        <w:pStyle w:val="Zkladntext"/>
        <w:kinsoku w:val="0"/>
        <w:overflowPunct w:val="0"/>
        <w:ind w:hanging="1"/>
      </w:pPr>
    </w:p>
    <w:p w14:paraId="594F28F0"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Liekové a iné</w:t>
      </w:r>
      <w:r w:rsidRPr="00310B0F">
        <w:rPr>
          <w:spacing w:val="-1"/>
        </w:rPr>
        <w:t xml:space="preserve"> </w:t>
      </w:r>
      <w:r w:rsidRPr="00310B0F">
        <w:t>interakcie</w:t>
      </w:r>
    </w:p>
    <w:p w14:paraId="4CE25308" w14:textId="77777777" w:rsidR="00450114" w:rsidRPr="00310B0F" w:rsidRDefault="00450114" w:rsidP="00450114">
      <w:pPr>
        <w:pStyle w:val="Zkladntext"/>
        <w:kinsoku w:val="0"/>
        <w:overflowPunct w:val="0"/>
        <w:ind w:hanging="1"/>
        <w:rPr>
          <w:b/>
          <w:bCs/>
        </w:rPr>
      </w:pPr>
    </w:p>
    <w:p w14:paraId="21983D90" w14:textId="77777777" w:rsidR="00450114" w:rsidRPr="00310B0F" w:rsidRDefault="00450114" w:rsidP="00450114">
      <w:pPr>
        <w:pStyle w:val="Zkladntext"/>
        <w:kinsoku w:val="0"/>
        <w:overflowPunct w:val="0"/>
        <w:ind w:hanging="1"/>
      </w:pPr>
      <w:r w:rsidRPr="00310B0F">
        <w:rPr>
          <w:u w:val="single"/>
        </w:rPr>
        <w:t>Cytostatická, imunomodulačná alebo imunosupresívna</w:t>
      </w:r>
      <w:r w:rsidRPr="00310B0F">
        <w:rPr>
          <w:spacing w:val="-11"/>
          <w:u w:val="single"/>
        </w:rPr>
        <w:t xml:space="preserve"> </w:t>
      </w:r>
      <w:r w:rsidRPr="00310B0F">
        <w:rPr>
          <w:u w:val="single"/>
        </w:rPr>
        <w:t>liečba</w:t>
      </w:r>
    </w:p>
    <w:p w14:paraId="687E871D" w14:textId="77777777" w:rsidR="00450114" w:rsidRPr="00310B0F" w:rsidRDefault="00450114" w:rsidP="00450114">
      <w:pPr>
        <w:pStyle w:val="Zkladntext"/>
        <w:kinsoku w:val="0"/>
        <w:overflowPunct w:val="0"/>
        <w:ind w:hanging="1"/>
        <w:jc w:val="both"/>
      </w:pPr>
      <w:r w:rsidRPr="00310B0F">
        <w:t>Cytostatická, imunomodulačná alebo imunosupresívna liečba sa nemá podávať súbežne pre riziko aditívnych účinkov na imunitný systém (pozri časti 4.3 a</w:t>
      </w:r>
      <w:r w:rsidRPr="00310B0F">
        <w:rPr>
          <w:spacing w:val="-4"/>
        </w:rPr>
        <w:t xml:space="preserve"> </w:t>
      </w:r>
      <w:r w:rsidRPr="00310B0F">
        <w:t>4.4).</w:t>
      </w:r>
    </w:p>
    <w:p w14:paraId="59126084" w14:textId="77777777" w:rsidR="00450114" w:rsidRPr="00310B0F" w:rsidRDefault="00450114" w:rsidP="00450114">
      <w:pPr>
        <w:pStyle w:val="Zkladntext"/>
        <w:kinsoku w:val="0"/>
        <w:overflowPunct w:val="0"/>
        <w:ind w:hanging="1"/>
      </w:pPr>
      <w:r w:rsidRPr="00310B0F">
        <w:t xml:space="preserve">Opatrne je tiež potrebné postupovať pri zmene liečby </w:t>
      </w:r>
      <w:r w:rsidR="00627716">
        <w:t xml:space="preserve">u </w:t>
      </w:r>
      <w:r w:rsidRPr="00310B0F">
        <w:t xml:space="preserve">pacientov </w:t>
      </w:r>
      <w:r w:rsidR="00627716">
        <w:t xml:space="preserve">s </w:t>
      </w:r>
      <w:r w:rsidRPr="00310B0F">
        <w:t>dlhodobo pôsobiacimi liekmi</w:t>
      </w:r>
    </w:p>
    <w:p w14:paraId="310D80E5" w14:textId="415CBB76" w:rsidR="00450114" w:rsidRPr="00310B0F" w:rsidRDefault="00450114" w:rsidP="00450114">
      <w:pPr>
        <w:pStyle w:val="Zkladntext"/>
        <w:kinsoku w:val="0"/>
        <w:overflowPunct w:val="0"/>
        <w:ind w:hanging="1"/>
        <w:jc w:val="both"/>
      </w:pPr>
      <w:r w:rsidRPr="00310B0F">
        <w:t xml:space="preserve">s účinkom na imunitný systém, napr. natalizumabom, teriflunomidom alebo mitoxantrónom (pozri časť 4.4). V klinických štúdiách </w:t>
      </w:r>
      <w:r w:rsidR="00627716">
        <w:t xml:space="preserve">so sklerózou </w:t>
      </w:r>
      <w:r w:rsidRPr="00310B0F">
        <w:t>multiplex sa súbežná liečba relapsov krátkym cyklom kortikosteroidov nespájala so zvýšeným výskytom infekcií.</w:t>
      </w:r>
    </w:p>
    <w:p w14:paraId="6E169BF8" w14:textId="77777777" w:rsidR="00450114" w:rsidRPr="00310B0F" w:rsidRDefault="00450114" w:rsidP="00450114">
      <w:pPr>
        <w:pStyle w:val="Zkladntext"/>
        <w:kinsoku w:val="0"/>
        <w:overflowPunct w:val="0"/>
        <w:ind w:hanging="1"/>
      </w:pPr>
    </w:p>
    <w:p w14:paraId="746A5D92" w14:textId="77777777" w:rsidR="00450114" w:rsidRPr="00310B0F" w:rsidRDefault="00450114" w:rsidP="00450114">
      <w:pPr>
        <w:pStyle w:val="Zkladntext"/>
        <w:kinsoku w:val="0"/>
        <w:overflowPunct w:val="0"/>
        <w:ind w:hanging="1"/>
        <w:jc w:val="both"/>
      </w:pPr>
      <w:r w:rsidRPr="00310B0F">
        <w:rPr>
          <w:u w:val="single"/>
        </w:rPr>
        <w:t>Vakcinácia</w:t>
      </w:r>
    </w:p>
    <w:p w14:paraId="2F949A35" w14:textId="77777777" w:rsidR="00450114" w:rsidRPr="00310B0F" w:rsidRDefault="00450114" w:rsidP="00450114">
      <w:pPr>
        <w:pStyle w:val="Zkladntext"/>
        <w:kinsoku w:val="0"/>
        <w:overflowPunct w:val="0"/>
        <w:ind w:hanging="1"/>
      </w:pPr>
      <w:r w:rsidRPr="00310B0F">
        <w:t xml:space="preserve">Počas liečby </w:t>
      </w:r>
      <w:r>
        <w:t>fingolimodom</w:t>
      </w:r>
      <w:r w:rsidRPr="00310B0F">
        <w:t xml:space="preserve"> a do dvoch mesiacov od jej ukončenia môže byť vakcinácia menej účinná. Použitie živých oslabených vakcín môže sprevádzať riziko infekcií, preto je potrebné sa mu vyhnúť (pozri časti 4.4 a 4.8).</w:t>
      </w:r>
    </w:p>
    <w:p w14:paraId="72ECB9F1" w14:textId="77777777" w:rsidR="00450114" w:rsidRDefault="00450114" w:rsidP="00450114">
      <w:pPr>
        <w:pStyle w:val="Zkladntext"/>
        <w:kinsoku w:val="0"/>
        <w:overflowPunct w:val="0"/>
        <w:ind w:hanging="1"/>
      </w:pPr>
    </w:p>
    <w:p w14:paraId="7EA658D2" w14:textId="77777777" w:rsidR="00450114" w:rsidRPr="00310B0F" w:rsidRDefault="00450114" w:rsidP="00450114">
      <w:pPr>
        <w:pStyle w:val="Zkladntext"/>
        <w:kinsoku w:val="0"/>
        <w:overflowPunct w:val="0"/>
        <w:ind w:hanging="1"/>
      </w:pPr>
      <w:r w:rsidRPr="00310B0F">
        <w:rPr>
          <w:u w:val="single"/>
        </w:rPr>
        <w:t>Látky vyvolávajúce bradykardiu</w:t>
      </w:r>
    </w:p>
    <w:p w14:paraId="4EAA5D4F" w14:textId="77777777" w:rsidR="00450114" w:rsidRPr="00310B0F" w:rsidRDefault="00450114" w:rsidP="00450114">
      <w:pPr>
        <w:pStyle w:val="Zkladntext"/>
        <w:kinsoku w:val="0"/>
        <w:overflowPunct w:val="0"/>
        <w:ind w:hanging="1"/>
      </w:pPr>
      <w:r w:rsidRPr="00310B0F">
        <w:t>Fingolimod sa sledoval v kombinácii s atenololom a diltiazemom. Pri podávaní fingolimodu</w:t>
      </w:r>
    </w:p>
    <w:p w14:paraId="78CA84A0" w14:textId="77777777" w:rsidR="00450114" w:rsidRPr="00310B0F" w:rsidRDefault="00450114" w:rsidP="00450114">
      <w:pPr>
        <w:pStyle w:val="Zkladntext"/>
        <w:kinsoku w:val="0"/>
        <w:overflowPunct w:val="0"/>
        <w:ind w:hanging="1"/>
      </w:pPr>
      <w:r w:rsidRPr="00310B0F">
        <w:lastRenderedPageBreak/>
        <w:t xml:space="preserve">s atenololom v štúdii interakcií u zdravých dobrovoľníkov sa na začiatku liečby fingolimodom znížila srdcová frekvencia o ďalších 15 %, čo je účinok, ktorý sa nepozoruje pri diltiazeme. Liečba </w:t>
      </w:r>
      <w:r>
        <w:t>fingolimodom</w:t>
      </w:r>
      <w:r w:rsidRPr="00310B0F">
        <w:t xml:space="preserve"> sa nemá začať u pacientov užívajúcich betablokátory alebo iné látky, ktoré môžu znížiť srdcovú frekvenciu, napr. antiarytmiká triedy Ia a III, blokátory kalciových kanálov (ako napr. verapamil alebo diltiazem), ivabradín, digoxín, anticholínesterázy alebo pilokarpín, z dôvodu možných aditívnych účinkov na srdcovú frekvenciu (pozri časti 4.4 a 4.8). Ak sa u takýchto pacientov uvažuje o začatí liečby </w:t>
      </w:r>
      <w:r>
        <w:t>fingolimodom</w:t>
      </w:r>
      <w:r w:rsidRPr="00310B0F">
        <w:t>, je potrebná konzultácia s kardiológom kvôli prechodu na lieky, ktoré neznižujú srdcovú frekvenciu alebo adekvátnemu sledovaniu pri začatí liečby, pokiaľ nie je možné ukončiť podávanie liekov znižujúcich srdcovú frekvenciu, prinajmenšom sa odporúča sledovanie aj počas noci.</w:t>
      </w:r>
    </w:p>
    <w:p w14:paraId="0C4EE1AB" w14:textId="77777777" w:rsidR="00450114" w:rsidRPr="00310B0F" w:rsidRDefault="00450114" w:rsidP="00450114">
      <w:pPr>
        <w:pStyle w:val="Zkladntext"/>
        <w:kinsoku w:val="0"/>
        <w:overflowPunct w:val="0"/>
        <w:ind w:hanging="1"/>
      </w:pPr>
    </w:p>
    <w:p w14:paraId="49341431" w14:textId="77777777" w:rsidR="00450114" w:rsidRPr="00310B0F" w:rsidRDefault="00450114" w:rsidP="00450114">
      <w:pPr>
        <w:pStyle w:val="Zkladntext"/>
        <w:kinsoku w:val="0"/>
        <w:overflowPunct w:val="0"/>
        <w:ind w:hanging="1"/>
      </w:pPr>
      <w:r w:rsidRPr="00310B0F">
        <w:rPr>
          <w:u w:val="single"/>
        </w:rPr>
        <w:t>Ovplyvnenie farmakokinetiky fingolimodu inými látkami</w:t>
      </w:r>
    </w:p>
    <w:p w14:paraId="6DF7890B" w14:textId="485EC2AB" w:rsidR="00450114" w:rsidRPr="00310B0F" w:rsidRDefault="00450114" w:rsidP="00450114">
      <w:pPr>
        <w:pStyle w:val="Zkladntext"/>
        <w:kinsoku w:val="0"/>
        <w:overflowPunct w:val="0"/>
        <w:ind w:hanging="1"/>
      </w:pPr>
      <w:r w:rsidRPr="00310B0F">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w:t>
      </w:r>
      <w:r w:rsidR="00627716">
        <w:t> </w:t>
      </w:r>
      <w:r w:rsidRPr="00310B0F">
        <w:t>fingolim</w:t>
      </w:r>
      <w:r w:rsidR="00627716">
        <w:t>ó</w:t>
      </w:r>
      <w:r w:rsidRPr="00310B0F">
        <w:t>d</w:t>
      </w:r>
      <w:r w:rsidR="00627716">
        <w:t>ium-</w:t>
      </w:r>
      <w:r w:rsidRPr="00310B0F">
        <w:t>fosfátu. Opatrnosť je potrebná pri látkach, ktoré môžu inhibovať CYP3A4 (inhibítory proteáz, azolové antimykotiká, niektoré makrolidové zlúčeniny, napr. klaritromycín alebo telitromycín).</w:t>
      </w:r>
    </w:p>
    <w:p w14:paraId="4C5164C1" w14:textId="77777777" w:rsidR="00450114" w:rsidRPr="00310B0F" w:rsidRDefault="00450114" w:rsidP="00450114">
      <w:pPr>
        <w:pStyle w:val="Zkladntext"/>
        <w:kinsoku w:val="0"/>
        <w:overflowPunct w:val="0"/>
        <w:ind w:hanging="1"/>
      </w:pPr>
    </w:p>
    <w:p w14:paraId="4C4EAC31" w14:textId="765F05CA" w:rsidR="00450114" w:rsidRPr="00310B0F" w:rsidRDefault="00450114">
      <w:pPr>
        <w:pStyle w:val="Zkladntext"/>
        <w:kinsoku w:val="0"/>
        <w:overflowPunct w:val="0"/>
        <w:ind w:hanging="1"/>
        <w:jc w:val="both"/>
      </w:pPr>
      <w:r w:rsidRPr="00310B0F">
        <w:t>Súčasné podanie 600 mg karbamazepínu dvakrát denne v rovnovážnom stave a jednorazovej dávky 2 mg fingolimodu znížilo AUC fingolimodu a jeho metabolitu približne o 40 %. Iné silné induktory enzýmu CYP3A4, napr. rifampicín, fenobarbital, fenytoín, efavirenz a ľubovník bodkovaný, môžu</w:t>
      </w:r>
      <w:r w:rsidR="00627716">
        <w:t xml:space="preserve"> </w:t>
      </w:r>
      <w:r w:rsidRPr="00310B0F">
        <w:t>znížiť AUC fingolimodu a jeho metabolitu minimálne v rovnakej miere. Keďže sa tým môže prípadne zhoršiť účinnosť, pri ich súbežnom podávaní je potrebná opatrnosť. Súbežné podávanie s ľubovníkom bodkovaným sa však neodporúča (pozri časť 4.4).</w:t>
      </w:r>
    </w:p>
    <w:p w14:paraId="0130A40E" w14:textId="77777777" w:rsidR="00450114" w:rsidRPr="00310B0F" w:rsidRDefault="00450114" w:rsidP="00450114">
      <w:pPr>
        <w:pStyle w:val="Zkladntext"/>
        <w:kinsoku w:val="0"/>
        <w:overflowPunct w:val="0"/>
        <w:ind w:hanging="1"/>
      </w:pPr>
    </w:p>
    <w:p w14:paraId="42124ECE" w14:textId="77777777" w:rsidR="00450114" w:rsidRPr="00310B0F" w:rsidRDefault="00450114" w:rsidP="00450114">
      <w:pPr>
        <w:pStyle w:val="Zkladntext"/>
        <w:kinsoku w:val="0"/>
        <w:overflowPunct w:val="0"/>
        <w:ind w:hanging="1"/>
        <w:jc w:val="both"/>
      </w:pPr>
      <w:r w:rsidRPr="00310B0F">
        <w:rPr>
          <w:u w:val="single"/>
        </w:rPr>
        <w:t>Ovplyvnenie farmakokinetiky iných látok fingolimodom</w:t>
      </w:r>
    </w:p>
    <w:p w14:paraId="536604A3" w14:textId="77777777" w:rsidR="00450114" w:rsidRPr="00310B0F" w:rsidRDefault="00450114" w:rsidP="00450114">
      <w:pPr>
        <w:pStyle w:val="Zkladntext"/>
        <w:kinsoku w:val="0"/>
        <w:overflowPunct w:val="0"/>
        <w:ind w:hanging="1"/>
      </w:pPr>
      <w:r w:rsidRPr="00310B0F">
        <w:t>Fingolimod pravdepodobne neinteraguje s látkami, ktoré sa eliminujú prevažne prostredníctvom</w:t>
      </w:r>
    </w:p>
    <w:p w14:paraId="0BCCB151" w14:textId="77777777" w:rsidR="00450114" w:rsidRPr="00310B0F" w:rsidRDefault="00450114" w:rsidP="00450114">
      <w:pPr>
        <w:pStyle w:val="Zkladntext"/>
        <w:kinsoku w:val="0"/>
        <w:overflowPunct w:val="0"/>
        <w:ind w:hanging="1"/>
      </w:pPr>
      <w:r w:rsidRPr="00310B0F">
        <w:t>enzýmov CYP450 alebo substrátmi hlavných transportných bielkovín.</w:t>
      </w:r>
    </w:p>
    <w:p w14:paraId="46BB2A92" w14:textId="77777777" w:rsidR="00450114" w:rsidRPr="00310B0F" w:rsidRDefault="00450114" w:rsidP="00450114">
      <w:pPr>
        <w:pStyle w:val="Zkladntext"/>
        <w:kinsoku w:val="0"/>
        <w:overflowPunct w:val="0"/>
        <w:ind w:hanging="1"/>
      </w:pPr>
    </w:p>
    <w:p w14:paraId="155CFB15" w14:textId="77777777" w:rsidR="00450114" w:rsidRPr="00310B0F" w:rsidRDefault="00450114" w:rsidP="00450114">
      <w:pPr>
        <w:pStyle w:val="Zkladntext"/>
        <w:kinsoku w:val="0"/>
        <w:overflowPunct w:val="0"/>
        <w:ind w:hanging="1"/>
      </w:pPr>
      <w:r w:rsidRPr="00310B0F">
        <w:t>Súbežné podávanie fingolimodu s cyklosporínom nevyvolalo žiadne zmeny expozície cyklosporínu alebo fingolimodu. Preto sa neočakáva, že by fingolimod menil farmakokinetiku liekov, ktoré sú substrátmi CYP3A4.</w:t>
      </w:r>
    </w:p>
    <w:p w14:paraId="2B191884" w14:textId="77777777" w:rsidR="00450114" w:rsidRPr="00310B0F" w:rsidRDefault="00450114" w:rsidP="00450114">
      <w:pPr>
        <w:pStyle w:val="Zkladntext"/>
        <w:kinsoku w:val="0"/>
        <w:overflowPunct w:val="0"/>
        <w:ind w:hanging="1"/>
      </w:pPr>
    </w:p>
    <w:p w14:paraId="0089188A" w14:textId="387F2900" w:rsidR="00450114" w:rsidRPr="00310B0F" w:rsidRDefault="00450114">
      <w:pPr>
        <w:pStyle w:val="Zkladntext"/>
        <w:kinsoku w:val="0"/>
        <w:overflowPunct w:val="0"/>
        <w:ind w:hanging="1"/>
      </w:pPr>
      <w:r w:rsidRPr="00310B0F">
        <w:t>Súbežné podávanie fingolimodu s perorálnymi kontraceptívami (etinylestradiolom a levonorgestrelom) nevyvolalo zmeny v expozícii perorálnym kontraceptívam. Interakčné štúdie</w:t>
      </w:r>
      <w:r w:rsidR="00853B61">
        <w:t xml:space="preserve"> </w:t>
      </w:r>
      <w:r w:rsidRPr="00310B0F">
        <w:t>s perorálnymi kontraceptívami obsahujúcimi iné gestagény sa nevykonali, ale neočakáva sa účinok</w:t>
      </w:r>
      <w:r w:rsidR="00853B61">
        <w:t xml:space="preserve"> </w:t>
      </w:r>
      <w:r w:rsidRPr="00310B0F">
        <w:t>fingolimodu na ich expozíciu.</w:t>
      </w:r>
    </w:p>
    <w:p w14:paraId="267F078D" w14:textId="77777777" w:rsidR="00450114" w:rsidRDefault="00450114" w:rsidP="00450114">
      <w:pPr>
        <w:pStyle w:val="Zkladntext"/>
        <w:kinsoku w:val="0"/>
        <w:overflowPunct w:val="0"/>
        <w:ind w:hanging="1"/>
      </w:pPr>
    </w:p>
    <w:p w14:paraId="72518682"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Fertilita, gravidita a</w:t>
      </w:r>
      <w:r w:rsidRPr="00310B0F">
        <w:rPr>
          <w:spacing w:val="-3"/>
        </w:rPr>
        <w:t xml:space="preserve"> </w:t>
      </w:r>
      <w:r w:rsidRPr="00310B0F">
        <w:t>laktácia</w:t>
      </w:r>
    </w:p>
    <w:p w14:paraId="3CA23036" w14:textId="77777777" w:rsidR="00450114" w:rsidRPr="00310B0F" w:rsidRDefault="00450114" w:rsidP="00450114">
      <w:pPr>
        <w:pStyle w:val="Zkladntext"/>
        <w:kinsoku w:val="0"/>
        <w:overflowPunct w:val="0"/>
        <w:ind w:hanging="1"/>
        <w:rPr>
          <w:b/>
          <w:bCs/>
        </w:rPr>
      </w:pPr>
    </w:p>
    <w:p w14:paraId="352056F8" w14:textId="77777777" w:rsidR="00450114" w:rsidRPr="00310B0F" w:rsidRDefault="00450114" w:rsidP="00450114">
      <w:pPr>
        <w:pStyle w:val="Zkladntext"/>
        <w:kinsoku w:val="0"/>
        <w:overflowPunct w:val="0"/>
        <w:ind w:hanging="1"/>
      </w:pPr>
      <w:r w:rsidRPr="00310B0F">
        <w:rPr>
          <w:u w:val="single"/>
        </w:rPr>
        <w:t>Ženy v reprodukčnom veku / Antikoncepcia u žien</w:t>
      </w:r>
    </w:p>
    <w:p w14:paraId="34B52948" w14:textId="77777777" w:rsidR="00450114" w:rsidRPr="00310B0F" w:rsidRDefault="00450114" w:rsidP="00450114">
      <w:pPr>
        <w:pStyle w:val="Zkladntext"/>
        <w:kinsoku w:val="0"/>
        <w:overflowPunct w:val="0"/>
        <w:ind w:hanging="1"/>
      </w:pPr>
    </w:p>
    <w:p w14:paraId="24FD8A0C" w14:textId="77777777" w:rsidR="00450114" w:rsidRPr="00310B0F" w:rsidRDefault="00450114" w:rsidP="00450114">
      <w:pPr>
        <w:pStyle w:val="Zkladntext"/>
        <w:kinsoku w:val="0"/>
        <w:overflowPunct w:val="0"/>
        <w:ind w:hanging="1"/>
      </w:pPr>
      <w:r w:rsidRPr="00310B0F">
        <w:t>Fingolimod je kontraindikovaný u žien v reprodukčnom veku, ktoré nepoužívajú účinnú antikoncepciu (pozri časť 4.3), preto pred začatím liečby musí byť u žien v reprodukčnom veku k dispozícii negatívny výsledok testu na graviditu a má sa poskytnúť poradenstvo o závažnom riziku pre plod.</w:t>
      </w:r>
    </w:p>
    <w:p w14:paraId="2DA5AE80" w14:textId="77777777" w:rsidR="00450114" w:rsidRPr="00310B0F" w:rsidRDefault="00450114" w:rsidP="00450114">
      <w:pPr>
        <w:pStyle w:val="Zkladntext"/>
        <w:kinsoku w:val="0"/>
        <w:overflowPunct w:val="0"/>
        <w:ind w:hanging="1"/>
      </w:pPr>
      <w:r w:rsidRPr="00310B0F">
        <w:t xml:space="preserve">Ženy vo fertilnom veku musia používať účinnú antikoncepciu počas liečby a 2 mesiace po ukončení liečby </w:t>
      </w:r>
      <w:r>
        <w:t>fingolimodom</w:t>
      </w:r>
      <w:r w:rsidRPr="00310B0F">
        <w:t>, keďže eliminácia fingolimodu z tela trvá približne2 mesiace od ukončenia liečby (pozri časť 4.4).</w:t>
      </w:r>
    </w:p>
    <w:p w14:paraId="48242A8F" w14:textId="77777777" w:rsidR="00450114" w:rsidRPr="00310B0F" w:rsidRDefault="00450114" w:rsidP="00450114">
      <w:pPr>
        <w:pStyle w:val="Zkladntext"/>
        <w:kinsoku w:val="0"/>
        <w:overflowPunct w:val="0"/>
        <w:ind w:hanging="1"/>
      </w:pPr>
    </w:p>
    <w:p w14:paraId="2E81836C" w14:textId="2B49AE5B" w:rsidR="00450114" w:rsidRPr="00310B0F" w:rsidRDefault="00450114" w:rsidP="00450114">
      <w:pPr>
        <w:pStyle w:val="Zkladntext"/>
        <w:kinsoku w:val="0"/>
        <w:overflowPunct w:val="0"/>
        <w:ind w:hanging="1"/>
      </w:pPr>
      <w:r w:rsidRPr="00310B0F">
        <w:t xml:space="preserve">Špecifické opatrenia sú tiež zahrnuté v balíku informácií pre lekára. Tieto opatrenia musia byť implementované predtým, ako sa fingolimod predpíše </w:t>
      </w:r>
      <w:r w:rsidR="00853B61">
        <w:t>pacientkam</w:t>
      </w:r>
      <w:r w:rsidRPr="00310B0F">
        <w:t xml:space="preserve"> a počas liečby.</w:t>
      </w:r>
    </w:p>
    <w:p w14:paraId="399B870C" w14:textId="77777777" w:rsidR="00450114" w:rsidRPr="00310B0F" w:rsidRDefault="00450114" w:rsidP="00450114">
      <w:pPr>
        <w:pStyle w:val="Zkladntext"/>
        <w:kinsoku w:val="0"/>
        <w:overflowPunct w:val="0"/>
        <w:ind w:hanging="1"/>
      </w:pPr>
    </w:p>
    <w:p w14:paraId="1E98B5C5" w14:textId="77777777" w:rsidR="00450114" w:rsidRPr="00310B0F" w:rsidRDefault="00450114" w:rsidP="00450114">
      <w:pPr>
        <w:pStyle w:val="Zkladntext"/>
        <w:kinsoku w:val="0"/>
        <w:overflowPunct w:val="0"/>
        <w:ind w:hanging="1"/>
      </w:pPr>
      <w:r w:rsidRPr="00310B0F">
        <w:t>Pri ukončení liečby fingolimodom z dôvodu plánovania gravidity je potrebné vziať do úvahy možný</w:t>
      </w:r>
    </w:p>
    <w:p w14:paraId="63821B4F" w14:textId="77777777" w:rsidR="00450114" w:rsidRDefault="00450114" w:rsidP="00450114">
      <w:pPr>
        <w:pStyle w:val="Zkladntext"/>
        <w:kinsoku w:val="0"/>
        <w:overflowPunct w:val="0"/>
        <w:ind w:hanging="1"/>
      </w:pPr>
      <w:r w:rsidRPr="00310B0F">
        <w:t xml:space="preserve">návrat aktivity ochorenia (pozri časť 4.4). </w:t>
      </w:r>
    </w:p>
    <w:p w14:paraId="115E9040" w14:textId="77777777" w:rsidR="00450114" w:rsidRDefault="00450114" w:rsidP="00450114">
      <w:pPr>
        <w:pStyle w:val="Zkladntext"/>
        <w:kinsoku w:val="0"/>
        <w:overflowPunct w:val="0"/>
        <w:ind w:hanging="1"/>
      </w:pPr>
    </w:p>
    <w:p w14:paraId="73D0A5F6" w14:textId="77777777" w:rsidR="00450114" w:rsidRPr="00310B0F" w:rsidRDefault="00450114" w:rsidP="00450114">
      <w:pPr>
        <w:pStyle w:val="Zkladntext"/>
        <w:kinsoku w:val="0"/>
        <w:overflowPunct w:val="0"/>
        <w:ind w:hanging="1"/>
      </w:pPr>
      <w:r w:rsidRPr="00310B0F">
        <w:rPr>
          <w:u w:val="single"/>
        </w:rPr>
        <w:t>Gravidita</w:t>
      </w:r>
    </w:p>
    <w:p w14:paraId="267BCFD8" w14:textId="77777777" w:rsidR="00450114" w:rsidRPr="00310B0F" w:rsidRDefault="00450114" w:rsidP="00450114">
      <w:pPr>
        <w:pStyle w:val="Zkladntext"/>
        <w:kinsoku w:val="0"/>
        <w:overflowPunct w:val="0"/>
        <w:ind w:hanging="1"/>
      </w:pPr>
      <w:r w:rsidRPr="00310B0F">
        <w:lastRenderedPageBreak/>
        <w:t>Údaje po uvedení lieku na trh na základe použitia u ľudí naznačujú, že používanie fingolimodu podávaného počas tehotenstva je spojené s 2-násobným zvýšením rizika závažných kongenitálnych malformácii v porovnaní s výskytom pozorovaným u bežnej populácie (2-3 %; EUROCAT).</w:t>
      </w:r>
    </w:p>
    <w:p w14:paraId="76E16682" w14:textId="77777777" w:rsidR="00450114" w:rsidRPr="00310B0F" w:rsidRDefault="00450114" w:rsidP="00450114">
      <w:pPr>
        <w:pStyle w:val="Zkladntext"/>
        <w:kinsoku w:val="0"/>
        <w:overflowPunct w:val="0"/>
        <w:ind w:hanging="1"/>
      </w:pPr>
    </w:p>
    <w:p w14:paraId="40268FA6" w14:textId="77777777" w:rsidR="00450114" w:rsidRPr="00310B0F" w:rsidRDefault="00450114" w:rsidP="00450114">
      <w:pPr>
        <w:pStyle w:val="Zkladntext"/>
        <w:kinsoku w:val="0"/>
        <w:overflowPunct w:val="0"/>
        <w:ind w:hanging="1"/>
      </w:pPr>
      <w:r w:rsidRPr="00310B0F">
        <w:t>Nasledujúce závažné malformácie boli zaznamenané najčastejšie:</w:t>
      </w:r>
    </w:p>
    <w:p w14:paraId="2261A80D" w14:textId="77777777" w:rsidR="00450114" w:rsidRPr="00DF3BF1" w:rsidRDefault="00450114" w:rsidP="00450114">
      <w:pPr>
        <w:pStyle w:val="Odsekzoznamu"/>
        <w:numPr>
          <w:ilvl w:val="0"/>
          <w:numId w:val="19"/>
        </w:numPr>
        <w:tabs>
          <w:tab w:val="left" w:pos="567"/>
        </w:tabs>
        <w:kinsoku w:val="0"/>
        <w:overflowPunct w:val="0"/>
        <w:ind w:left="567" w:hanging="567"/>
        <w:rPr>
          <w:sz w:val="22"/>
          <w:szCs w:val="22"/>
        </w:rPr>
      </w:pPr>
      <w:r w:rsidRPr="00DF3BF1">
        <w:rPr>
          <w:sz w:val="22"/>
          <w:szCs w:val="22"/>
        </w:rPr>
        <w:t>vrodené srdcové poruchy, ako napríklad defekty predsieňového a komorového septa,</w:t>
      </w:r>
      <w:r w:rsidRPr="00DF3BF1">
        <w:rPr>
          <w:spacing w:val="-35"/>
          <w:sz w:val="22"/>
          <w:szCs w:val="22"/>
        </w:rPr>
        <w:t xml:space="preserve"> </w:t>
      </w:r>
      <w:r w:rsidRPr="00DF3BF1">
        <w:rPr>
          <w:sz w:val="22"/>
          <w:szCs w:val="22"/>
        </w:rPr>
        <w:t>Fallotova tetralógia</w:t>
      </w:r>
    </w:p>
    <w:p w14:paraId="1778BEE9" w14:textId="77777777" w:rsidR="00450114" w:rsidRPr="00DF3BF1" w:rsidRDefault="00450114" w:rsidP="00450114">
      <w:pPr>
        <w:pStyle w:val="Odsekzoznamu"/>
        <w:numPr>
          <w:ilvl w:val="0"/>
          <w:numId w:val="19"/>
        </w:numPr>
        <w:tabs>
          <w:tab w:val="left" w:pos="567"/>
        </w:tabs>
        <w:kinsoku w:val="0"/>
        <w:overflowPunct w:val="0"/>
        <w:ind w:left="567" w:hanging="567"/>
        <w:rPr>
          <w:sz w:val="22"/>
          <w:szCs w:val="22"/>
        </w:rPr>
      </w:pPr>
      <w:r w:rsidRPr="00DF3BF1">
        <w:rPr>
          <w:sz w:val="22"/>
          <w:szCs w:val="22"/>
        </w:rPr>
        <w:t>abnormality obličiek</w:t>
      </w:r>
    </w:p>
    <w:p w14:paraId="0E40AF5D" w14:textId="77777777" w:rsidR="00450114" w:rsidRPr="00DF3BF1" w:rsidRDefault="00450114" w:rsidP="00450114">
      <w:pPr>
        <w:pStyle w:val="Odsekzoznamu"/>
        <w:numPr>
          <w:ilvl w:val="0"/>
          <w:numId w:val="19"/>
        </w:numPr>
        <w:tabs>
          <w:tab w:val="left" w:pos="567"/>
        </w:tabs>
        <w:kinsoku w:val="0"/>
        <w:overflowPunct w:val="0"/>
        <w:ind w:left="567" w:hanging="567"/>
        <w:rPr>
          <w:sz w:val="22"/>
          <w:szCs w:val="22"/>
        </w:rPr>
      </w:pPr>
      <w:r w:rsidRPr="00DF3BF1">
        <w:rPr>
          <w:sz w:val="22"/>
          <w:szCs w:val="22"/>
        </w:rPr>
        <w:t>abnormality kostrovej a svalovej</w:t>
      </w:r>
      <w:r w:rsidRPr="00DF3BF1">
        <w:rPr>
          <w:spacing w:val="-1"/>
          <w:sz w:val="22"/>
          <w:szCs w:val="22"/>
        </w:rPr>
        <w:t xml:space="preserve"> </w:t>
      </w:r>
      <w:r w:rsidRPr="00DF3BF1">
        <w:rPr>
          <w:sz w:val="22"/>
          <w:szCs w:val="22"/>
        </w:rPr>
        <w:t>sústavy.</w:t>
      </w:r>
    </w:p>
    <w:p w14:paraId="62943788" w14:textId="77777777" w:rsidR="00450114" w:rsidRPr="00310B0F" w:rsidRDefault="00450114" w:rsidP="00450114">
      <w:pPr>
        <w:pStyle w:val="Zkladntext"/>
        <w:kinsoku w:val="0"/>
        <w:overflowPunct w:val="0"/>
        <w:ind w:hanging="1"/>
      </w:pPr>
    </w:p>
    <w:p w14:paraId="6B2357D0" w14:textId="77777777" w:rsidR="00450114" w:rsidRPr="00310B0F" w:rsidRDefault="00450114" w:rsidP="00450114">
      <w:pPr>
        <w:pStyle w:val="Zkladntext"/>
        <w:kinsoku w:val="0"/>
        <w:overflowPunct w:val="0"/>
        <w:ind w:hanging="1"/>
      </w:pPr>
      <w:r w:rsidRPr="00310B0F">
        <w:t>Nie sú žiadne údaje o účinkoch fingolimodu na pôrodné sťahy a pôrod.</w:t>
      </w:r>
    </w:p>
    <w:p w14:paraId="45ECA69F" w14:textId="77777777" w:rsidR="00450114" w:rsidRPr="00310B0F" w:rsidRDefault="00450114" w:rsidP="00450114">
      <w:pPr>
        <w:pStyle w:val="Zkladntext"/>
        <w:kinsoku w:val="0"/>
        <w:overflowPunct w:val="0"/>
        <w:ind w:hanging="1"/>
      </w:pPr>
    </w:p>
    <w:p w14:paraId="22C0F682" w14:textId="77777777" w:rsidR="00450114" w:rsidRPr="00310B0F" w:rsidRDefault="00450114" w:rsidP="00450114">
      <w:pPr>
        <w:pStyle w:val="Zkladntext"/>
        <w:kinsoku w:val="0"/>
        <w:overflowPunct w:val="0"/>
        <w:ind w:hanging="1"/>
      </w:pPr>
      <w:r w:rsidRPr="00310B0F">
        <w:t xml:space="preserve">Štúdie na zvieratách preukázali reprodukčnú toxicitu vrátane uhynutia plodov a orgánových poškodení, najmä pretrvávajúceho </w:t>
      </w:r>
      <w:r w:rsidRPr="00310B0F">
        <w:rPr>
          <w:i/>
          <w:iCs/>
        </w:rPr>
        <w:t xml:space="preserve">truncus arteriosus </w:t>
      </w:r>
      <w:r w:rsidRPr="00310B0F">
        <w:t>a defektu medzikomorovej priehradky (pozri časť 5.3). Navyše o receptore ovplyvňovanom fingolimodom (receptor sfingozín-1-fosfátu) je známe, že sa podieľa na formovaní ciev počas embryogenézy.</w:t>
      </w:r>
    </w:p>
    <w:p w14:paraId="5FBD9D69" w14:textId="77777777" w:rsidR="00450114" w:rsidRPr="00310B0F" w:rsidRDefault="00450114" w:rsidP="00450114">
      <w:pPr>
        <w:pStyle w:val="Zkladntext"/>
        <w:kinsoku w:val="0"/>
        <w:overflowPunct w:val="0"/>
        <w:ind w:hanging="1"/>
      </w:pPr>
    </w:p>
    <w:p w14:paraId="084CAA3A" w14:textId="77777777" w:rsidR="00450114" w:rsidRPr="00310B0F" w:rsidRDefault="00450114" w:rsidP="00450114">
      <w:pPr>
        <w:pStyle w:val="Zkladntext"/>
        <w:kinsoku w:val="0"/>
        <w:overflowPunct w:val="0"/>
        <w:ind w:hanging="1"/>
      </w:pPr>
      <w:r w:rsidRPr="00310B0F">
        <w:t>Preto je fingolimod kontraindikovaný počas gravidity (pozri časť 4.3). Liečba fingolimodom sa má ukončiť 2 mesiace pred plánovaním gravidity (pozri časť 4.4). Ak žena otehotnie počas liečby, fingolimod sa musí vysadiť. V takom prípade je potrebné poskytnúť lekársku pomoc týkajúcu sa rizika škodlivých účinkov na plod spojených s liečbou a vykonať ultrasonografické vyšetrenie.</w:t>
      </w:r>
    </w:p>
    <w:p w14:paraId="002B27D3" w14:textId="77777777" w:rsidR="00450114" w:rsidRPr="00310B0F" w:rsidRDefault="00450114" w:rsidP="00450114">
      <w:pPr>
        <w:pStyle w:val="Zkladntext"/>
        <w:kinsoku w:val="0"/>
        <w:overflowPunct w:val="0"/>
        <w:ind w:hanging="1"/>
      </w:pPr>
    </w:p>
    <w:p w14:paraId="12A37856" w14:textId="77777777" w:rsidR="00450114" w:rsidRPr="00310B0F" w:rsidRDefault="00450114" w:rsidP="00450114">
      <w:pPr>
        <w:pStyle w:val="Zkladntext"/>
        <w:kinsoku w:val="0"/>
        <w:overflowPunct w:val="0"/>
        <w:ind w:hanging="1"/>
      </w:pPr>
      <w:r w:rsidRPr="00310B0F">
        <w:rPr>
          <w:u w:val="single"/>
        </w:rPr>
        <w:t>Dojčenie</w:t>
      </w:r>
    </w:p>
    <w:p w14:paraId="244C34F1" w14:textId="77777777" w:rsidR="00450114" w:rsidRPr="00310B0F" w:rsidRDefault="00450114" w:rsidP="00450114">
      <w:pPr>
        <w:pStyle w:val="Zkladntext"/>
        <w:kinsoku w:val="0"/>
        <w:overflowPunct w:val="0"/>
        <w:ind w:hanging="1"/>
      </w:pPr>
      <w:r w:rsidRPr="00310B0F">
        <w:t xml:space="preserve">Fingolimod sa vylučuje do mlieka zvierat pri podávaní počas laktácie (pozri časť 5.3). Ženy užívajúce </w:t>
      </w:r>
      <w:r>
        <w:t>fingolimod</w:t>
      </w:r>
      <w:r w:rsidRPr="00310B0F">
        <w:t xml:space="preserve"> nemajú dojčiť pre možné závažné nežiaduce reakcie na fingolimod u dojčiat.</w:t>
      </w:r>
    </w:p>
    <w:p w14:paraId="1A97BE27" w14:textId="77777777" w:rsidR="00450114" w:rsidRPr="00310B0F" w:rsidRDefault="00450114" w:rsidP="00450114">
      <w:pPr>
        <w:pStyle w:val="Zkladntext"/>
        <w:kinsoku w:val="0"/>
        <w:overflowPunct w:val="0"/>
        <w:ind w:hanging="1"/>
      </w:pPr>
    </w:p>
    <w:p w14:paraId="4A66977D" w14:textId="77777777" w:rsidR="00450114" w:rsidRPr="00310B0F" w:rsidRDefault="00450114" w:rsidP="00450114">
      <w:pPr>
        <w:pStyle w:val="Zkladntext"/>
        <w:kinsoku w:val="0"/>
        <w:overflowPunct w:val="0"/>
        <w:ind w:hanging="1"/>
      </w:pPr>
      <w:r w:rsidRPr="00310B0F">
        <w:rPr>
          <w:u w:val="single"/>
        </w:rPr>
        <w:t>Fertilita</w:t>
      </w:r>
    </w:p>
    <w:p w14:paraId="5CCE6E86" w14:textId="77777777" w:rsidR="00450114" w:rsidRPr="00310B0F" w:rsidRDefault="00450114" w:rsidP="00450114">
      <w:pPr>
        <w:pStyle w:val="Zkladntext"/>
        <w:kinsoku w:val="0"/>
        <w:overflowPunct w:val="0"/>
        <w:ind w:hanging="1"/>
      </w:pPr>
      <w:r w:rsidRPr="00310B0F">
        <w:t>Údaje z predklinických štúdií nenaznačujú, že by sa fingolimod spájal so zvýšeným rizikom zníženej</w:t>
      </w:r>
    </w:p>
    <w:p w14:paraId="7672FBE5" w14:textId="77777777" w:rsidR="00450114" w:rsidRPr="00310B0F" w:rsidRDefault="00450114" w:rsidP="00450114">
      <w:pPr>
        <w:pStyle w:val="Zkladntext"/>
        <w:kinsoku w:val="0"/>
        <w:overflowPunct w:val="0"/>
        <w:ind w:hanging="1"/>
      </w:pPr>
      <w:r w:rsidRPr="00310B0F">
        <w:t>fertility (pozri časť 5.3).</w:t>
      </w:r>
    </w:p>
    <w:p w14:paraId="34366BA4" w14:textId="77777777" w:rsidR="00450114" w:rsidRDefault="00450114" w:rsidP="00450114">
      <w:pPr>
        <w:pStyle w:val="Zkladntext"/>
        <w:kinsoku w:val="0"/>
        <w:overflowPunct w:val="0"/>
        <w:ind w:hanging="1"/>
      </w:pPr>
    </w:p>
    <w:p w14:paraId="26CC3857"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Ovplyvnenie schopnosti viesť vozidlá a obsluhovať</w:t>
      </w:r>
      <w:r w:rsidRPr="00310B0F">
        <w:rPr>
          <w:spacing w:val="-4"/>
        </w:rPr>
        <w:t xml:space="preserve"> </w:t>
      </w:r>
      <w:r w:rsidRPr="00310B0F">
        <w:t>stroje</w:t>
      </w:r>
    </w:p>
    <w:p w14:paraId="039A1935" w14:textId="77777777" w:rsidR="00450114" w:rsidRPr="00310B0F" w:rsidRDefault="00450114" w:rsidP="00450114">
      <w:pPr>
        <w:pStyle w:val="Zkladntext"/>
        <w:kinsoku w:val="0"/>
        <w:overflowPunct w:val="0"/>
        <w:ind w:hanging="1"/>
        <w:rPr>
          <w:b/>
          <w:bCs/>
        </w:rPr>
      </w:pPr>
    </w:p>
    <w:p w14:paraId="49C5B130" w14:textId="77777777" w:rsidR="00450114" w:rsidRPr="00310B0F" w:rsidRDefault="00450114" w:rsidP="00450114">
      <w:pPr>
        <w:pStyle w:val="Zkladntext"/>
        <w:kinsoku w:val="0"/>
        <w:overflowPunct w:val="0"/>
        <w:ind w:hanging="1"/>
      </w:pPr>
      <w:r>
        <w:t xml:space="preserve">Fingolimod </w:t>
      </w:r>
      <w:r w:rsidRPr="00310B0F">
        <w:t>nemá žiadny alebo má zanedbateľný vplyv na schopnosť viesť vozidlá a obsluhovať stroje.</w:t>
      </w:r>
    </w:p>
    <w:p w14:paraId="402B5B59" w14:textId="77777777" w:rsidR="00450114" w:rsidRPr="00310B0F" w:rsidRDefault="00450114" w:rsidP="00450114">
      <w:pPr>
        <w:pStyle w:val="Zkladntext"/>
        <w:kinsoku w:val="0"/>
        <w:overflowPunct w:val="0"/>
        <w:ind w:hanging="1"/>
      </w:pPr>
    </w:p>
    <w:p w14:paraId="5A5C4829" w14:textId="77777777" w:rsidR="00450114" w:rsidRPr="00310B0F" w:rsidRDefault="00450114" w:rsidP="00450114">
      <w:pPr>
        <w:pStyle w:val="Zkladntext"/>
        <w:kinsoku w:val="0"/>
        <w:overflowPunct w:val="0"/>
        <w:ind w:hanging="1"/>
      </w:pPr>
      <w:r w:rsidRPr="00310B0F">
        <w:t xml:space="preserve">Príležitostne sa však môžu vyskytnúť závraty alebo ospalosť, keď sa začína liečba </w:t>
      </w:r>
      <w:r>
        <w:t>fingolimodom</w:t>
      </w:r>
      <w:r w:rsidRPr="00310B0F">
        <w:t xml:space="preserve">. Pri začatí liečby </w:t>
      </w:r>
      <w:r>
        <w:t>fingolimodom</w:t>
      </w:r>
      <w:r w:rsidRPr="00310B0F">
        <w:t xml:space="preserve"> sa odporúča pacientov 6 hodín pozorovať (pozri časť 4.4, Bradyarytmia).</w:t>
      </w:r>
    </w:p>
    <w:p w14:paraId="21493D24" w14:textId="77777777" w:rsidR="00450114" w:rsidRPr="00310B0F" w:rsidRDefault="00450114" w:rsidP="00450114">
      <w:pPr>
        <w:pStyle w:val="Zkladntext"/>
        <w:kinsoku w:val="0"/>
        <w:overflowPunct w:val="0"/>
        <w:ind w:hanging="1"/>
      </w:pPr>
    </w:p>
    <w:p w14:paraId="11BB454E"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Nežiaduce</w:t>
      </w:r>
      <w:r w:rsidRPr="00310B0F">
        <w:rPr>
          <w:spacing w:val="-2"/>
        </w:rPr>
        <w:t xml:space="preserve"> </w:t>
      </w:r>
      <w:r w:rsidRPr="00310B0F">
        <w:t>účinky</w:t>
      </w:r>
    </w:p>
    <w:p w14:paraId="585E6FCA" w14:textId="77777777" w:rsidR="00450114" w:rsidRPr="00310B0F" w:rsidRDefault="00450114" w:rsidP="00450114">
      <w:pPr>
        <w:pStyle w:val="Zkladntext"/>
        <w:kinsoku w:val="0"/>
        <w:overflowPunct w:val="0"/>
        <w:ind w:hanging="1"/>
        <w:rPr>
          <w:b/>
          <w:bCs/>
        </w:rPr>
      </w:pPr>
    </w:p>
    <w:p w14:paraId="39F389E6" w14:textId="77777777" w:rsidR="00450114" w:rsidRPr="00310B0F" w:rsidRDefault="00450114" w:rsidP="00450114">
      <w:pPr>
        <w:pStyle w:val="Zkladntext"/>
        <w:kinsoku w:val="0"/>
        <w:overflowPunct w:val="0"/>
        <w:ind w:hanging="1"/>
      </w:pPr>
      <w:r w:rsidRPr="00310B0F">
        <w:rPr>
          <w:u w:val="single"/>
        </w:rPr>
        <w:t>Zhrnutie bezpečnostného profilu</w:t>
      </w:r>
    </w:p>
    <w:p w14:paraId="4EFE1D83" w14:textId="77777777" w:rsidR="00450114" w:rsidRPr="00310B0F" w:rsidRDefault="00450114" w:rsidP="00450114">
      <w:pPr>
        <w:pStyle w:val="Zkladntext"/>
        <w:kinsoku w:val="0"/>
        <w:overflowPunct w:val="0"/>
        <w:ind w:hanging="1"/>
      </w:pPr>
    </w:p>
    <w:p w14:paraId="05BF0615" w14:textId="77777777" w:rsidR="00450114" w:rsidRPr="00310B0F" w:rsidRDefault="00450114" w:rsidP="00450114">
      <w:pPr>
        <w:pStyle w:val="Zkladntext"/>
        <w:kinsoku w:val="0"/>
        <w:overflowPunct w:val="0"/>
        <w:ind w:hanging="1"/>
      </w:pPr>
      <w:r w:rsidRPr="00310B0F">
        <w:t xml:space="preserve">Nežiaduce reakcie hlásené pri </w:t>
      </w:r>
      <w:r>
        <w:t>fingolimode</w:t>
      </w:r>
      <w:r w:rsidRPr="00310B0F">
        <w:t xml:space="preserve"> 0,5 mg v štúdiách D2301 (FREEDOMS) a D2309 (FREEDOMS II) sú uvedené nižšie. Uvedené sú aj nežiaduce reakcie odvodené zo spontánnych hlásení a prípadov z literatúry na základe skúseností po uvedení </w:t>
      </w:r>
      <w:r>
        <w:t>fingolimodu</w:t>
      </w:r>
      <w:r w:rsidRPr="00310B0F">
        <w:t xml:space="preserve"> na trh. Frekvencie boli definované pomocou nasledujúcej konvencie: veľmi časté (≥</w:t>
      </w:r>
      <w:r>
        <w:t xml:space="preserve"> </w:t>
      </w:r>
      <w:r w:rsidRPr="00310B0F">
        <w:t>1/10), časté (≥</w:t>
      </w:r>
      <w:r>
        <w:t xml:space="preserve"> </w:t>
      </w:r>
      <w:r w:rsidRPr="00310B0F">
        <w:t>1/100 až &lt;</w:t>
      </w:r>
      <w:r>
        <w:t xml:space="preserve"> </w:t>
      </w:r>
      <w:r w:rsidRPr="00310B0F">
        <w:t>1/10), menej časté (≥</w:t>
      </w:r>
      <w:r>
        <w:t xml:space="preserve"> </w:t>
      </w:r>
      <w:r w:rsidRPr="00310B0F">
        <w:t>1/1 000 až &lt;</w:t>
      </w:r>
      <w:r>
        <w:t xml:space="preserve"> </w:t>
      </w:r>
      <w:r w:rsidRPr="00310B0F">
        <w:t>1/100), zriedkavé (≥</w:t>
      </w:r>
      <w:r>
        <w:t xml:space="preserve"> </w:t>
      </w:r>
      <w:r w:rsidRPr="00310B0F">
        <w:t>1/10 000 až &lt;</w:t>
      </w:r>
      <w:r>
        <w:t xml:space="preserve"> </w:t>
      </w:r>
      <w:r w:rsidRPr="00310B0F">
        <w:t>1/1 000), veľmi zriedkavé (&lt;</w:t>
      </w:r>
      <w:r>
        <w:t xml:space="preserve"> </w:t>
      </w:r>
      <w:r w:rsidRPr="00310B0F">
        <w:t>1/10 000), neznáme (z dostupných údajov).</w:t>
      </w:r>
    </w:p>
    <w:p w14:paraId="0C58FECB" w14:textId="77777777" w:rsidR="00450114" w:rsidRPr="00310B0F" w:rsidRDefault="00450114" w:rsidP="00450114">
      <w:pPr>
        <w:pStyle w:val="Zkladntext"/>
        <w:kinsoku w:val="0"/>
        <w:overflowPunct w:val="0"/>
        <w:ind w:hanging="1"/>
      </w:pPr>
    </w:p>
    <w:p w14:paraId="4D3356D6" w14:textId="77777777" w:rsidR="00450114" w:rsidRPr="00310B0F" w:rsidRDefault="00450114" w:rsidP="00450114">
      <w:pPr>
        <w:pStyle w:val="Zkladntext"/>
        <w:kinsoku w:val="0"/>
        <w:overflowPunct w:val="0"/>
        <w:ind w:hanging="1"/>
      </w:pPr>
      <w:r w:rsidRPr="00310B0F">
        <w:rPr>
          <w:u w:val="single"/>
        </w:rPr>
        <w:t>Tabuľkový zoznam nežiaducich reakcií</w:t>
      </w:r>
    </w:p>
    <w:p w14:paraId="45972636" w14:textId="77777777" w:rsidR="00450114" w:rsidRPr="00310B0F" w:rsidRDefault="00450114" w:rsidP="00450114">
      <w:pPr>
        <w:pStyle w:val="Zkladntext"/>
        <w:kinsoku w:val="0"/>
        <w:overflowPunct w:val="0"/>
        <w:ind w:hanging="1"/>
      </w:pPr>
    </w:p>
    <w:tbl>
      <w:tblPr>
        <w:tblW w:w="9073" w:type="dxa"/>
        <w:tblInd w:w="356" w:type="dxa"/>
        <w:tblLayout w:type="fixed"/>
        <w:tblCellMar>
          <w:left w:w="0" w:type="dxa"/>
          <w:right w:w="0" w:type="dxa"/>
        </w:tblCellMar>
        <w:tblLook w:val="0000" w:firstRow="0" w:lastRow="0" w:firstColumn="0" w:lastColumn="0" w:noHBand="0" w:noVBand="0"/>
      </w:tblPr>
      <w:tblGrid>
        <w:gridCol w:w="2553"/>
        <w:gridCol w:w="6520"/>
      </w:tblGrid>
      <w:tr w:rsidR="00450114" w:rsidRPr="00310B0F" w14:paraId="200196C9"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52A1B09F"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Infekcie a nákazy</w:t>
            </w:r>
          </w:p>
        </w:tc>
      </w:tr>
      <w:tr w:rsidR="00450114" w:rsidRPr="00310B0F" w14:paraId="7D282095" w14:textId="77777777" w:rsidTr="00D171C3">
        <w:trPr>
          <w:trHeight w:val="505"/>
        </w:trPr>
        <w:tc>
          <w:tcPr>
            <w:tcW w:w="2553" w:type="dxa"/>
            <w:tcBorders>
              <w:top w:val="single" w:sz="4" w:space="0" w:color="000000"/>
              <w:left w:val="single" w:sz="4" w:space="0" w:color="000000"/>
              <w:bottom w:val="single" w:sz="4" w:space="0" w:color="000000"/>
              <w:right w:val="single" w:sz="4" w:space="0" w:color="000000"/>
            </w:tcBorders>
          </w:tcPr>
          <w:p w14:paraId="78025A62"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0D5258BE" w14:textId="77777777" w:rsidR="00450114" w:rsidRDefault="00450114" w:rsidP="00D171C3">
            <w:pPr>
              <w:pStyle w:val="TableParagraph"/>
              <w:kinsoku w:val="0"/>
              <w:overflowPunct w:val="0"/>
              <w:ind w:left="0" w:hanging="1"/>
              <w:rPr>
                <w:sz w:val="22"/>
                <w:szCs w:val="22"/>
              </w:rPr>
            </w:pPr>
            <w:r w:rsidRPr="00310B0F">
              <w:rPr>
                <w:sz w:val="22"/>
                <w:szCs w:val="22"/>
              </w:rPr>
              <w:t xml:space="preserve">Chrípka </w:t>
            </w:r>
          </w:p>
          <w:p w14:paraId="2B231D4F" w14:textId="77777777" w:rsidR="00450114" w:rsidRPr="00310B0F" w:rsidRDefault="00450114" w:rsidP="00D171C3">
            <w:pPr>
              <w:pStyle w:val="TableParagraph"/>
              <w:kinsoku w:val="0"/>
              <w:overflowPunct w:val="0"/>
              <w:ind w:left="0" w:hanging="1"/>
              <w:rPr>
                <w:sz w:val="22"/>
                <w:szCs w:val="22"/>
              </w:rPr>
            </w:pPr>
            <w:r w:rsidRPr="00310B0F">
              <w:rPr>
                <w:sz w:val="22"/>
                <w:szCs w:val="22"/>
              </w:rPr>
              <w:t>Sínusitída</w:t>
            </w:r>
          </w:p>
        </w:tc>
      </w:tr>
      <w:tr w:rsidR="00450114" w:rsidRPr="00310B0F" w14:paraId="41EDDA1F" w14:textId="77777777" w:rsidTr="00D171C3">
        <w:trPr>
          <w:trHeight w:val="757"/>
        </w:trPr>
        <w:tc>
          <w:tcPr>
            <w:tcW w:w="2553" w:type="dxa"/>
            <w:tcBorders>
              <w:top w:val="single" w:sz="4" w:space="0" w:color="000000"/>
              <w:left w:val="single" w:sz="4" w:space="0" w:color="000000"/>
              <w:bottom w:val="single" w:sz="4" w:space="0" w:color="000000"/>
              <w:right w:val="single" w:sz="4" w:space="0" w:color="000000"/>
            </w:tcBorders>
          </w:tcPr>
          <w:p w14:paraId="0776FFE0"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7B42DEB5" w14:textId="77777777" w:rsidR="00450114" w:rsidRDefault="00450114" w:rsidP="00D171C3">
            <w:pPr>
              <w:pStyle w:val="TableParagraph"/>
              <w:kinsoku w:val="0"/>
              <w:overflowPunct w:val="0"/>
              <w:ind w:left="0" w:hanging="1"/>
              <w:rPr>
                <w:sz w:val="22"/>
                <w:szCs w:val="22"/>
              </w:rPr>
            </w:pPr>
            <w:r w:rsidRPr="00310B0F">
              <w:rPr>
                <w:sz w:val="22"/>
                <w:szCs w:val="22"/>
              </w:rPr>
              <w:t xml:space="preserve">Infekcie spôsobené herpetickými vírusmi </w:t>
            </w:r>
          </w:p>
          <w:p w14:paraId="4F66B7A5" w14:textId="77777777" w:rsidR="00450114" w:rsidRPr="00310B0F" w:rsidRDefault="00450114" w:rsidP="00D171C3">
            <w:pPr>
              <w:pStyle w:val="TableParagraph"/>
              <w:kinsoku w:val="0"/>
              <w:overflowPunct w:val="0"/>
              <w:ind w:left="0" w:hanging="1"/>
              <w:rPr>
                <w:sz w:val="22"/>
                <w:szCs w:val="22"/>
              </w:rPr>
            </w:pPr>
            <w:r w:rsidRPr="00310B0F">
              <w:rPr>
                <w:sz w:val="22"/>
                <w:szCs w:val="22"/>
              </w:rPr>
              <w:t>Bronchitída</w:t>
            </w:r>
          </w:p>
          <w:p w14:paraId="32A01261" w14:textId="77777777" w:rsidR="00450114" w:rsidRPr="00310B0F" w:rsidRDefault="00450114" w:rsidP="00D171C3">
            <w:pPr>
              <w:pStyle w:val="TableParagraph"/>
              <w:kinsoku w:val="0"/>
              <w:overflowPunct w:val="0"/>
              <w:ind w:left="0" w:hanging="1"/>
              <w:rPr>
                <w:sz w:val="22"/>
                <w:szCs w:val="22"/>
              </w:rPr>
            </w:pPr>
            <w:r w:rsidRPr="00310B0F">
              <w:rPr>
                <w:sz w:val="22"/>
                <w:szCs w:val="22"/>
              </w:rPr>
              <w:t>Tinea versicolor</w:t>
            </w:r>
          </w:p>
        </w:tc>
      </w:tr>
      <w:tr w:rsidR="00450114" w:rsidRPr="00310B0F" w14:paraId="161B39B2"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5CD5AAA8" w14:textId="77777777" w:rsidR="00450114" w:rsidRPr="00310B0F" w:rsidRDefault="00450114" w:rsidP="00D171C3">
            <w:pPr>
              <w:pStyle w:val="TableParagraph"/>
              <w:kinsoku w:val="0"/>
              <w:overflowPunct w:val="0"/>
              <w:ind w:left="0" w:hanging="1"/>
              <w:rPr>
                <w:sz w:val="22"/>
                <w:szCs w:val="22"/>
              </w:rPr>
            </w:pPr>
            <w:r w:rsidRPr="00310B0F">
              <w:rPr>
                <w:sz w:val="22"/>
                <w:szCs w:val="22"/>
              </w:rPr>
              <w:lastRenderedPageBreak/>
              <w:t>Menej časté:</w:t>
            </w:r>
          </w:p>
        </w:tc>
        <w:tc>
          <w:tcPr>
            <w:tcW w:w="6520" w:type="dxa"/>
            <w:tcBorders>
              <w:top w:val="single" w:sz="4" w:space="0" w:color="000000"/>
              <w:left w:val="single" w:sz="4" w:space="0" w:color="000000"/>
              <w:bottom w:val="single" w:sz="4" w:space="0" w:color="000000"/>
              <w:right w:val="single" w:sz="4" w:space="0" w:color="000000"/>
            </w:tcBorders>
          </w:tcPr>
          <w:p w14:paraId="0C00CF3E" w14:textId="77777777" w:rsidR="00450114" w:rsidRPr="00310B0F" w:rsidRDefault="00450114" w:rsidP="00D171C3">
            <w:pPr>
              <w:pStyle w:val="TableParagraph"/>
              <w:kinsoku w:val="0"/>
              <w:overflowPunct w:val="0"/>
              <w:ind w:left="0" w:hanging="1"/>
              <w:rPr>
                <w:sz w:val="22"/>
                <w:szCs w:val="22"/>
              </w:rPr>
            </w:pPr>
            <w:r w:rsidRPr="00310B0F">
              <w:rPr>
                <w:sz w:val="22"/>
                <w:szCs w:val="22"/>
              </w:rPr>
              <w:t>Pneumónia</w:t>
            </w:r>
          </w:p>
        </w:tc>
      </w:tr>
      <w:tr w:rsidR="00450114" w:rsidRPr="00310B0F" w14:paraId="3E1FE680"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2D810FAC" w14:textId="77777777" w:rsidR="00450114" w:rsidRPr="00310B0F" w:rsidRDefault="00450114" w:rsidP="00D171C3">
            <w:pPr>
              <w:pStyle w:val="TableParagraph"/>
              <w:kinsoku w:val="0"/>
              <w:overflowPunct w:val="0"/>
              <w:ind w:left="0" w:hanging="1"/>
              <w:rPr>
                <w:sz w:val="22"/>
                <w:szCs w:val="22"/>
              </w:rPr>
            </w:pPr>
            <w:r w:rsidRPr="00310B0F">
              <w:rPr>
                <w:sz w:val="22"/>
                <w:szCs w:val="22"/>
              </w:rPr>
              <w:t>Neznáme:</w:t>
            </w:r>
          </w:p>
        </w:tc>
        <w:tc>
          <w:tcPr>
            <w:tcW w:w="6520" w:type="dxa"/>
            <w:tcBorders>
              <w:top w:val="single" w:sz="4" w:space="0" w:color="000000"/>
              <w:left w:val="single" w:sz="4" w:space="0" w:color="000000"/>
              <w:bottom w:val="single" w:sz="4" w:space="0" w:color="000000"/>
              <w:right w:val="single" w:sz="4" w:space="0" w:color="000000"/>
            </w:tcBorders>
          </w:tcPr>
          <w:p w14:paraId="4B430131" w14:textId="77777777" w:rsidR="00450114" w:rsidRDefault="00450114" w:rsidP="00D171C3">
            <w:pPr>
              <w:pStyle w:val="TableParagraph"/>
              <w:kinsoku w:val="0"/>
              <w:overflowPunct w:val="0"/>
              <w:ind w:left="0" w:hanging="1"/>
              <w:rPr>
                <w:sz w:val="22"/>
                <w:szCs w:val="22"/>
              </w:rPr>
            </w:pPr>
            <w:r w:rsidRPr="00310B0F">
              <w:rPr>
                <w:sz w:val="22"/>
                <w:szCs w:val="22"/>
              </w:rPr>
              <w:t xml:space="preserve">Progresívna multifokálna leukoencefalopatia (PML)** </w:t>
            </w:r>
          </w:p>
          <w:p w14:paraId="6491881E" w14:textId="77777777" w:rsidR="00450114" w:rsidRPr="00310B0F" w:rsidRDefault="00450114" w:rsidP="00D171C3">
            <w:pPr>
              <w:pStyle w:val="TableParagraph"/>
              <w:kinsoku w:val="0"/>
              <w:overflowPunct w:val="0"/>
              <w:ind w:left="0" w:hanging="1"/>
              <w:rPr>
                <w:sz w:val="22"/>
                <w:szCs w:val="22"/>
              </w:rPr>
            </w:pPr>
            <w:r w:rsidRPr="00310B0F">
              <w:rPr>
                <w:sz w:val="22"/>
                <w:szCs w:val="22"/>
              </w:rPr>
              <w:t>Kryptokokové infekcie**</w:t>
            </w:r>
          </w:p>
        </w:tc>
      </w:tr>
      <w:tr w:rsidR="00450114" w:rsidRPr="00310B0F" w14:paraId="26B1E32A" w14:textId="77777777" w:rsidTr="00D171C3">
        <w:trPr>
          <w:trHeight w:val="250"/>
        </w:trPr>
        <w:tc>
          <w:tcPr>
            <w:tcW w:w="9073" w:type="dxa"/>
            <w:gridSpan w:val="2"/>
            <w:tcBorders>
              <w:top w:val="single" w:sz="4" w:space="0" w:color="000000"/>
              <w:left w:val="single" w:sz="4" w:space="0" w:color="000000"/>
              <w:bottom w:val="single" w:sz="4" w:space="0" w:color="000000"/>
              <w:right w:val="single" w:sz="4" w:space="0" w:color="000000"/>
            </w:tcBorders>
          </w:tcPr>
          <w:p w14:paraId="68DAA326"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Benígne a malígne nádory, vrátane nešpecifikovaných novotvarov (cysty a polypy)</w:t>
            </w:r>
          </w:p>
        </w:tc>
      </w:tr>
      <w:tr w:rsidR="00450114" w:rsidRPr="00310B0F" w14:paraId="3915E8D3"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11648D7D"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5994B5F9" w14:textId="77777777" w:rsidR="00450114" w:rsidRPr="00310B0F" w:rsidRDefault="00450114" w:rsidP="00D171C3">
            <w:pPr>
              <w:pStyle w:val="TableParagraph"/>
              <w:kinsoku w:val="0"/>
              <w:overflowPunct w:val="0"/>
              <w:ind w:left="0" w:hanging="1"/>
              <w:rPr>
                <w:sz w:val="22"/>
                <w:szCs w:val="22"/>
              </w:rPr>
            </w:pPr>
            <w:r w:rsidRPr="00310B0F">
              <w:rPr>
                <w:sz w:val="22"/>
                <w:szCs w:val="22"/>
              </w:rPr>
              <w:t>Bazocelulárny karcinóm</w:t>
            </w:r>
          </w:p>
        </w:tc>
      </w:tr>
      <w:tr w:rsidR="00450114" w:rsidRPr="00310B0F" w14:paraId="263BDD65"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1891B88D"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2961C128" w14:textId="77777777" w:rsidR="00450114" w:rsidRPr="00310B0F" w:rsidRDefault="00450114" w:rsidP="00D171C3">
            <w:pPr>
              <w:pStyle w:val="TableParagraph"/>
              <w:kinsoku w:val="0"/>
              <w:overflowPunct w:val="0"/>
              <w:ind w:left="0" w:hanging="1"/>
              <w:rPr>
                <w:sz w:val="22"/>
                <w:szCs w:val="22"/>
              </w:rPr>
            </w:pPr>
            <w:r w:rsidRPr="00310B0F">
              <w:rPr>
                <w:sz w:val="22"/>
                <w:szCs w:val="22"/>
              </w:rPr>
              <w:t>Malígny melanóm****</w:t>
            </w:r>
          </w:p>
        </w:tc>
      </w:tr>
      <w:tr w:rsidR="00450114" w:rsidRPr="00310B0F" w14:paraId="7EF3FD91"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61A93891" w14:textId="77777777" w:rsidR="00450114" w:rsidRPr="00310B0F" w:rsidRDefault="00450114" w:rsidP="00D171C3">
            <w:pPr>
              <w:pStyle w:val="TableParagraph"/>
              <w:kinsoku w:val="0"/>
              <w:overflowPunct w:val="0"/>
              <w:ind w:left="0" w:hanging="1"/>
              <w:rPr>
                <w:sz w:val="22"/>
                <w:szCs w:val="22"/>
              </w:rPr>
            </w:pPr>
            <w:r w:rsidRPr="00310B0F">
              <w:rPr>
                <w:sz w:val="22"/>
                <w:szCs w:val="22"/>
              </w:rPr>
              <w:t>Zriedkavé:</w:t>
            </w:r>
          </w:p>
        </w:tc>
        <w:tc>
          <w:tcPr>
            <w:tcW w:w="6520" w:type="dxa"/>
            <w:tcBorders>
              <w:top w:val="single" w:sz="4" w:space="0" w:color="000000"/>
              <w:left w:val="single" w:sz="4" w:space="0" w:color="000000"/>
              <w:bottom w:val="single" w:sz="4" w:space="0" w:color="000000"/>
              <w:right w:val="single" w:sz="4" w:space="0" w:color="000000"/>
            </w:tcBorders>
          </w:tcPr>
          <w:p w14:paraId="33EBFA74" w14:textId="77777777" w:rsidR="00450114" w:rsidRPr="00310B0F" w:rsidRDefault="00450114" w:rsidP="00D171C3">
            <w:pPr>
              <w:pStyle w:val="TableParagraph"/>
              <w:kinsoku w:val="0"/>
              <w:overflowPunct w:val="0"/>
              <w:ind w:left="0" w:hanging="1"/>
              <w:rPr>
                <w:sz w:val="22"/>
                <w:szCs w:val="22"/>
              </w:rPr>
            </w:pPr>
            <w:r w:rsidRPr="00310B0F">
              <w:rPr>
                <w:sz w:val="22"/>
                <w:szCs w:val="22"/>
              </w:rPr>
              <w:t>Lymfóm***</w:t>
            </w:r>
          </w:p>
        </w:tc>
      </w:tr>
      <w:tr w:rsidR="00450114" w:rsidRPr="00310B0F" w14:paraId="7378DD0A"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7153A42D" w14:textId="77777777" w:rsidR="00450114" w:rsidRPr="00310B0F" w:rsidRDefault="00450114" w:rsidP="00D171C3">
            <w:pPr>
              <w:pStyle w:val="TableParagraph"/>
              <w:kinsoku w:val="0"/>
              <w:overflowPunct w:val="0"/>
              <w:ind w:left="0" w:hanging="1"/>
              <w:rPr>
                <w:sz w:val="22"/>
                <w:szCs w:val="22"/>
              </w:rPr>
            </w:pPr>
          </w:p>
        </w:tc>
        <w:tc>
          <w:tcPr>
            <w:tcW w:w="6520" w:type="dxa"/>
            <w:tcBorders>
              <w:top w:val="single" w:sz="4" w:space="0" w:color="000000"/>
              <w:left w:val="single" w:sz="4" w:space="0" w:color="000000"/>
              <w:bottom w:val="single" w:sz="4" w:space="0" w:color="000000"/>
              <w:right w:val="single" w:sz="4" w:space="0" w:color="000000"/>
            </w:tcBorders>
          </w:tcPr>
          <w:p w14:paraId="30CE3FF8" w14:textId="77777777" w:rsidR="00450114" w:rsidRPr="00310B0F" w:rsidRDefault="00450114" w:rsidP="00D171C3">
            <w:pPr>
              <w:pStyle w:val="TableParagraph"/>
              <w:kinsoku w:val="0"/>
              <w:overflowPunct w:val="0"/>
              <w:ind w:left="0" w:hanging="1"/>
              <w:rPr>
                <w:sz w:val="22"/>
                <w:szCs w:val="22"/>
              </w:rPr>
            </w:pPr>
            <w:r w:rsidRPr="00310B0F">
              <w:rPr>
                <w:sz w:val="22"/>
                <w:szCs w:val="22"/>
              </w:rPr>
              <w:t>Spinocelulárny karcinóm****</w:t>
            </w:r>
          </w:p>
        </w:tc>
      </w:tr>
      <w:tr w:rsidR="00450114" w:rsidRPr="00310B0F" w14:paraId="639DDB51" w14:textId="77777777" w:rsidTr="00D171C3">
        <w:trPr>
          <w:trHeight w:val="253"/>
        </w:trPr>
        <w:tc>
          <w:tcPr>
            <w:tcW w:w="2553" w:type="dxa"/>
            <w:tcBorders>
              <w:top w:val="single" w:sz="4" w:space="0" w:color="000000"/>
              <w:left w:val="single" w:sz="4" w:space="0" w:color="000000"/>
              <w:bottom w:val="single" w:sz="4" w:space="0" w:color="000000"/>
              <w:right w:val="single" w:sz="4" w:space="0" w:color="000000"/>
            </w:tcBorders>
          </w:tcPr>
          <w:p w14:paraId="7EC4C190"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zriedkavé:</w:t>
            </w:r>
          </w:p>
        </w:tc>
        <w:tc>
          <w:tcPr>
            <w:tcW w:w="6520" w:type="dxa"/>
            <w:tcBorders>
              <w:top w:val="single" w:sz="4" w:space="0" w:color="000000"/>
              <w:left w:val="single" w:sz="4" w:space="0" w:color="000000"/>
              <w:bottom w:val="single" w:sz="4" w:space="0" w:color="000000"/>
              <w:right w:val="single" w:sz="4" w:space="0" w:color="000000"/>
            </w:tcBorders>
          </w:tcPr>
          <w:p w14:paraId="5D42B81B" w14:textId="77777777" w:rsidR="00450114" w:rsidRPr="00310B0F" w:rsidRDefault="00450114" w:rsidP="00D171C3">
            <w:pPr>
              <w:pStyle w:val="TableParagraph"/>
              <w:kinsoku w:val="0"/>
              <w:overflowPunct w:val="0"/>
              <w:ind w:left="0" w:hanging="1"/>
              <w:rPr>
                <w:sz w:val="22"/>
                <w:szCs w:val="22"/>
              </w:rPr>
            </w:pPr>
            <w:r w:rsidRPr="00310B0F">
              <w:rPr>
                <w:sz w:val="22"/>
                <w:szCs w:val="22"/>
              </w:rPr>
              <w:t>Kaposiho sarkóm****</w:t>
            </w:r>
          </w:p>
        </w:tc>
      </w:tr>
      <w:tr w:rsidR="00450114" w:rsidRPr="00310B0F" w14:paraId="3649B024"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39F3A7C4" w14:textId="77777777" w:rsidR="00450114" w:rsidRPr="00310B0F" w:rsidRDefault="00450114" w:rsidP="00D171C3">
            <w:pPr>
              <w:pStyle w:val="TableParagraph"/>
              <w:kinsoku w:val="0"/>
              <w:overflowPunct w:val="0"/>
              <w:ind w:left="0" w:hanging="1"/>
              <w:rPr>
                <w:sz w:val="22"/>
                <w:szCs w:val="22"/>
              </w:rPr>
            </w:pPr>
            <w:r w:rsidRPr="00310B0F">
              <w:rPr>
                <w:sz w:val="22"/>
                <w:szCs w:val="22"/>
              </w:rPr>
              <w:t>Neznáme</w:t>
            </w:r>
          </w:p>
        </w:tc>
        <w:tc>
          <w:tcPr>
            <w:tcW w:w="6520" w:type="dxa"/>
            <w:tcBorders>
              <w:top w:val="single" w:sz="4" w:space="0" w:color="000000"/>
              <w:left w:val="single" w:sz="4" w:space="0" w:color="000000"/>
              <w:bottom w:val="single" w:sz="4" w:space="0" w:color="000000"/>
              <w:right w:val="single" w:sz="4" w:space="0" w:color="000000"/>
            </w:tcBorders>
          </w:tcPr>
          <w:p w14:paraId="5377CEE9" w14:textId="77777777" w:rsidR="00450114" w:rsidRPr="00310B0F" w:rsidRDefault="00450114" w:rsidP="00D171C3">
            <w:pPr>
              <w:pStyle w:val="TableParagraph"/>
              <w:kinsoku w:val="0"/>
              <w:overflowPunct w:val="0"/>
              <w:ind w:left="0" w:hanging="1"/>
              <w:rPr>
                <w:sz w:val="22"/>
                <w:szCs w:val="22"/>
              </w:rPr>
            </w:pPr>
            <w:r w:rsidRPr="00310B0F">
              <w:rPr>
                <w:sz w:val="22"/>
                <w:szCs w:val="22"/>
              </w:rPr>
              <w:t>Karcinóm z Merkelových buniek***</w:t>
            </w:r>
          </w:p>
        </w:tc>
      </w:tr>
      <w:tr w:rsidR="00450114" w:rsidRPr="00310B0F" w14:paraId="78ADEEA2"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43F71358"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krvi a lymfatického systému</w:t>
            </w:r>
          </w:p>
        </w:tc>
      </w:tr>
      <w:tr w:rsidR="00450114" w:rsidRPr="00310B0F" w14:paraId="39A734E2"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43A8AA9F"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38A673A6" w14:textId="77777777" w:rsidR="00450114" w:rsidRDefault="00450114" w:rsidP="00D171C3">
            <w:pPr>
              <w:pStyle w:val="TableParagraph"/>
              <w:kinsoku w:val="0"/>
              <w:overflowPunct w:val="0"/>
              <w:ind w:left="0" w:hanging="1"/>
              <w:rPr>
                <w:w w:val="99"/>
                <w:sz w:val="22"/>
                <w:szCs w:val="22"/>
              </w:rPr>
            </w:pPr>
            <w:r w:rsidRPr="00310B0F">
              <w:rPr>
                <w:sz w:val="22"/>
                <w:szCs w:val="22"/>
              </w:rPr>
              <w:t>Lymfopénia</w:t>
            </w:r>
            <w:r w:rsidRPr="00310B0F">
              <w:rPr>
                <w:w w:val="99"/>
                <w:sz w:val="22"/>
                <w:szCs w:val="22"/>
              </w:rPr>
              <w:t xml:space="preserve"> </w:t>
            </w:r>
          </w:p>
          <w:p w14:paraId="64AF71A2" w14:textId="77777777" w:rsidR="00450114" w:rsidRPr="00310B0F" w:rsidRDefault="00450114" w:rsidP="00D171C3">
            <w:pPr>
              <w:pStyle w:val="TableParagraph"/>
              <w:kinsoku w:val="0"/>
              <w:overflowPunct w:val="0"/>
              <w:ind w:left="0" w:hanging="1"/>
              <w:rPr>
                <w:sz w:val="22"/>
                <w:szCs w:val="22"/>
              </w:rPr>
            </w:pPr>
            <w:r w:rsidRPr="00310B0F">
              <w:rPr>
                <w:sz w:val="22"/>
                <w:szCs w:val="22"/>
              </w:rPr>
              <w:t>Leukopénia</w:t>
            </w:r>
          </w:p>
        </w:tc>
      </w:tr>
      <w:tr w:rsidR="00450114" w:rsidRPr="00310B0F" w14:paraId="43A47B86" w14:textId="77777777" w:rsidTr="00D171C3">
        <w:trPr>
          <w:trHeight w:val="250"/>
        </w:trPr>
        <w:tc>
          <w:tcPr>
            <w:tcW w:w="2553" w:type="dxa"/>
            <w:tcBorders>
              <w:top w:val="single" w:sz="4" w:space="0" w:color="000000"/>
              <w:left w:val="single" w:sz="4" w:space="0" w:color="000000"/>
              <w:bottom w:val="single" w:sz="4" w:space="0" w:color="000000"/>
              <w:right w:val="single" w:sz="4" w:space="0" w:color="000000"/>
            </w:tcBorders>
          </w:tcPr>
          <w:p w14:paraId="5EA4A48E"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6D49CF59" w14:textId="77777777" w:rsidR="00450114" w:rsidRPr="00310B0F" w:rsidRDefault="00450114" w:rsidP="00D171C3">
            <w:pPr>
              <w:pStyle w:val="TableParagraph"/>
              <w:kinsoku w:val="0"/>
              <w:overflowPunct w:val="0"/>
              <w:ind w:left="0" w:hanging="1"/>
              <w:rPr>
                <w:sz w:val="22"/>
                <w:szCs w:val="22"/>
              </w:rPr>
            </w:pPr>
            <w:r w:rsidRPr="00310B0F">
              <w:rPr>
                <w:sz w:val="22"/>
                <w:szCs w:val="22"/>
              </w:rPr>
              <w:t>Trombocytopénia</w:t>
            </w:r>
          </w:p>
        </w:tc>
      </w:tr>
      <w:tr w:rsidR="00450114" w:rsidRPr="00310B0F" w14:paraId="0321648C"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182396A1" w14:textId="77777777" w:rsidR="00450114" w:rsidRPr="00310B0F" w:rsidRDefault="00450114" w:rsidP="00D171C3">
            <w:pPr>
              <w:pStyle w:val="TableParagraph"/>
              <w:kinsoku w:val="0"/>
              <w:overflowPunct w:val="0"/>
              <w:ind w:left="0" w:hanging="1"/>
              <w:rPr>
                <w:sz w:val="22"/>
                <w:szCs w:val="22"/>
              </w:rPr>
            </w:pPr>
            <w:r w:rsidRPr="00310B0F">
              <w:rPr>
                <w:sz w:val="22"/>
                <w:szCs w:val="22"/>
              </w:rPr>
              <w:t>Neznáme:</w:t>
            </w:r>
          </w:p>
        </w:tc>
        <w:tc>
          <w:tcPr>
            <w:tcW w:w="6520" w:type="dxa"/>
            <w:tcBorders>
              <w:top w:val="single" w:sz="4" w:space="0" w:color="000000"/>
              <w:left w:val="single" w:sz="4" w:space="0" w:color="000000"/>
              <w:bottom w:val="single" w:sz="4" w:space="0" w:color="000000"/>
              <w:right w:val="single" w:sz="4" w:space="0" w:color="000000"/>
            </w:tcBorders>
          </w:tcPr>
          <w:p w14:paraId="285654E3" w14:textId="77777777" w:rsidR="00450114" w:rsidRDefault="00450114" w:rsidP="00D171C3">
            <w:pPr>
              <w:pStyle w:val="TableParagraph"/>
              <w:kinsoku w:val="0"/>
              <w:overflowPunct w:val="0"/>
              <w:ind w:left="0" w:hanging="1"/>
              <w:rPr>
                <w:sz w:val="22"/>
                <w:szCs w:val="22"/>
              </w:rPr>
            </w:pPr>
            <w:r w:rsidRPr="00310B0F">
              <w:rPr>
                <w:sz w:val="22"/>
                <w:szCs w:val="22"/>
              </w:rPr>
              <w:t xml:space="preserve">Autoimunitná hemolytická anémia*** </w:t>
            </w:r>
          </w:p>
          <w:p w14:paraId="13035D5D" w14:textId="77777777" w:rsidR="00450114" w:rsidRPr="00310B0F" w:rsidRDefault="00450114" w:rsidP="00D171C3">
            <w:pPr>
              <w:pStyle w:val="TableParagraph"/>
              <w:kinsoku w:val="0"/>
              <w:overflowPunct w:val="0"/>
              <w:ind w:left="0" w:hanging="1"/>
              <w:rPr>
                <w:sz w:val="22"/>
                <w:szCs w:val="22"/>
              </w:rPr>
            </w:pPr>
            <w:r w:rsidRPr="00310B0F">
              <w:rPr>
                <w:sz w:val="22"/>
                <w:szCs w:val="22"/>
              </w:rPr>
              <w:t>Periférny edém***</w:t>
            </w:r>
          </w:p>
        </w:tc>
      </w:tr>
      <w:tr w:rsidR="00450114" w:rsidRPr="00310B0F" w14:paraId="2EA869BF" w14:textId="77777777" w:rsidTr="00D171C3">
        <w:trPr>
          <w:trHeight w:val="250"/>
        </w:trPr>
        <w:tc>
          <w:tcPr>
            <w:tcW w:w="9073" w:type="dxa"/>
            <w:gridSpan w:val="2"/>
            <w:tcBorders>
              <w:top w:val="single" w:sz="4" w:space="0" w:color="000000"/>
              <w:left w:val="single" w:sz="4" w:space="0" w:color="000000"/>
              <w:bottom w:val="single" w:sz="4" w:space="0" w:color="000000"/>
              <w:right w:val="single" w:sz="4" w:space="0" w:color="000000"/>
            </w:tcBorders>
          </w:tcPr>
          <w:p w14:paraId="331B0555"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imunitného systému</w:t>
            </w:r>
          </w:p>
        </w:tc>
      </w:tr>
      <w:tr w:rsidR="00450114" w:rsidRPr="00310B0F" w14:paraId="3406E948"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0DED8308" w14:textId="77777777" w:rsidR="00450114" w:rsidRPr="00310B0F" w:rsidRDefault="00450114" w:rsidP="00D171C3">
            <w:pPr>
              <w:pStyle w:val="TableParagraph"/>
              <w:kinsoku w:val="0"/>
              <w:overflowPunct w:val="0"/>
              <w:ind w:left="0" w:hanging="1"/>
              <w:rPr>
                <w:sz w:val="22"/>
                <w:szCs w:val="22"/>
              </w:rPr>
            </w:pPr>
            <w:r w:rsidRPr="00310B0F">
              <w:rPr>
                <w:sz w:val="22"/>
                <w:szCs w:val="22"/>
              </w:rPr>
              <w:t>Neznáme:</w:t>
            </w:r>
          </w:p>
        </w:tc>
        <w:tc>
          <w:tcPr>
            <w:tcW w:w="6520" w:type="dxa"/>
            <w:tcBorders>
              <w:top w:val="single" w:sz="4" w:space="0" w:color="000000"/>
              <w:left w:val="single" w:sz="4" w:space="0" w:color="000000"/>
              <w:bottom w:val="single" w:sz="4" w:space="0" w:color="000000"/>
              <w:right w:val="single" w:sz="4" w:space="0" w:color="000000"/>
            </w:tcBorders>
          </w:tcPr>
          <w:p w14:paraId="6BC877AF" w14:textId="77777777" w:rsidR="00450114" w:rsidRPr="00310B0F" w:rsidRDefault="00450114" w:rsidP="00D171C3">
            <w:pPr>
              <w:pStyle w:val="TableParagraph"/>
              <w:kinsoku w:val="0"/>
              <w:overflowPunct w:val="0"/>
              <w:ind w:left="0" w:hanging="1"/>
              <w:rPr>
                <w:sz w:val="22"/>
                <w:szCs w:val="22"/>
              </w:rPr>
            </w:pPr>
            <w:r w:rsidRPr="00310B0F">
              <w:rPr>
                <w:sz w:val="22"/>
                <w:szCs w:val="22"/>
              </w:rPr>
              <w:t>Reakcie z precitlivenosti vrátane exantému, urtikárie a angioedému pri</w:t>
            </w:r>
          </w:p>
          <w:p w14:paraId="04A4741B" w14:textId="77777777" w:rsidR="00450114" w:rsidRPr="00310B0F" w:rsidRDefault="00450114" w:rsidP="00D171C3">
            <w:pPr>
              <w:pStyle w:val="TableParagraph"/>
              <w:kinsoku w:val="0"/>
              <w:overflowPunct w:val="0"/>
              <w:ind w:left="0" w:hanging="1"/>
              <w:rPr>
                <w:sz w:val="22"/>
                <w:szCs w:val="22"/>
              </w:rPr>
            </w:pPr>
            <w:r w:rsidRPr="00310B0F">
              <w:rPr>
                <w:sz w:val="22"/>
                <w:szCs w:val="22"/>
              </w:rPr>
              <w:t>začatí liečby***</w:t>
            </w:r>
          </w:p>
        </w:tc>
      </w:tr>
      <w:tr w:rsidR="00450114" w:rsidRPr="00310B0F" w14:paraId="3B81FD72"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08302ED9"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Psychické poruchy</w:t>
            </w:r>
          </w:p>
        </w:tc>
      </w:tr>
      <w:tr w:rsidR="00450114" w:rsidRPr="00310B0F" w14:paraId="3B38E41A" w14:textId="77777777" w:rsidTr="00D171C3">
        <w:trPr>
          <w:trHeight w:val="253"/>
        </w:trPr>
        <w:tc>
          <w:tcPr>
            <w:tcW w:w="2553" w:type="dxa"/>
            <w:tcBorders>
              <w:top w:val="single" w:sz="4" w:space="0" w:color="000000"/>
              <w:left w:val="single" w:sz="4" w:space="0" w:color="000000"/>
              <w:bottom w:val="single" w:sz="4" w:space="0" w:color="000000"/>
              <w:right w:val="single" w:sz="4" w:space="0" w:color="000000"/>
            </w:tcBorders>
          </w:tcPr>
          <w:p w14:paraId="04E4C440"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574989D0" w14:textId="77777777" w:rsidR="00450114" w:rsidRPr="00310B0F" w:rsidRDefault="00450114" w:rsidP="00D171C3">
            <w:pPr>
              <w:pStyle w:val="TableParagraph"/>
              <w:kinsoku w:val="0"/>
              <w:overflowPunct w:val="0"/>
              <w:ind w:left="0" w:hanging="1"/>
              <w:rPr>
                <w:sz w:val="22"/>
                <w:szCs w:val="22"/>
              </w:rPr>
            </w:pPr>
            <w:r w:rsidRPr="00310B0F">
              <w:rPr>
                <w:sz w:val="22"/>
                <w:szCs w:val="22"/>
              </w:rPr>
              <w:t>Depresia</w:t>
            </w:r>
          </w:p>
        </w:tc>
      </w:tr>
      <w:tr w:rsidR="00450114" w:rsidRPr="00310B0F" w14:paraId="6E8E1D29" w14:textId="77777777" w:rsidTr="00D171C3">
        <w:trPr>
          <w:trHeight w:val="253"/>
        </w:trPr>
        <w:tc>
          <w:tcPr>
            <w:tcW w:w="2553" w:type="dxa"/>
            <w:tcBorders>
              <w:top w:val="single" w:sz="4" w:space="0" w:color="000000"/>
              <w:left w:val="single" w:sz="4" w:space="0" w:color="000000"/>
              <w:bottom w:val="single" w:sz="4" w:space="0" w:color="000000"/>
              <w:right w:val="single" w:sz="4" w:space="0" w:color="000000"/>
            </w:tcBorders>
          </w:tcPr>
          <w:p w14:paraId="109396BC"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090A633F" w14:textId="77777777" w:rsidR="00450114" w:rsidRPr="00310B0F" w:rsidRDefault="00450114" w:rsidP="00D171C3">
            <w:pPr>
              <w:pStyle w:val="TableParagraph"/>
              <w:kinsoku w:val="0"/>
              <w:overflowPunct w:val="0"/>
              <w:ind w:left="0" w:hanging="1"/>
              <w:rPr>
                <w:sz w:val="22"/>
                <w:szCs w:val="22"/>
              </w:rPr>
            </w:pPr>
            <w:r w:rsidRPr="00310B0F">
              <w:rPr>
                <w:sz w:val="22"/>
                <w:szCs w:val="22"/>
              </w:rPr>
              <w:t>Depresívna nálada</w:t>
            </w:r>
          </w:p>
        </w:tc>
      </w:tr>
      <w:tr w:rsidR="00450114" w:rsidRPr="00310B0F" w14:paraId="1F989F6C"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5D018D5A"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nervového systému</w:t>
            </w:r>
          </w:p>
        </w:tc>
      </w:tr>
      <w:tr w:rsidR="00450114" w:rsidRPr="00310B0F" w14:paraId="19687C44"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3D28B106"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5D1C1542" w14:textId="77777777" w:rsidR="00450114" w:rsidRPr="00310B0F" w:rsidRDefault="00450114" w:rsidP="00D171C3">
            <w:pPr>
              <w:pStyle w:val="TableParagraph"/>
              <w:kinsoku w:val="0"/>
              <w:overflowPunct w:val="0"/>
              <w:ind w:left="0" w:hanging="1"/>
              <w:rPr>
                <w:sz w:val="22"/>
                <w:szCs w:val="22"/>
              </w:rPr>
            </w:pPr>
            <w:r w:rsidRPr="00310B0F">
              <w:rPr>
                <w:sz w:val="22"/>
                <w:szCs w:val="22"/>
              </w:rPr>
              <w:t>Bolesť hlavy</w:t>
            </w:r>
          </w:p>
        </w:tc>
      </w:tr>
      <w:tr w:rsidR="00450114" w:rsidRPr="00310B0F" w14:paraId="643A6E6A" w14:textId="77777777" w:rsidTr="00D171C3">
        <w:trPr>
          <w:trHeight w:val="505"/>
        </w:trPr>
        <w:tc>
          <w:tcPr>
            <w:tcW w:w="2553" w:type="dxa"/>
            <w:tcBorders>
              <w:top w:val="single" w:sz="4" w:space="0" w:color="000000"/>
              <w:left w:val="single" w:sz="4" w:space="0" w:color="000000"/>
              <w:bottom w:val="single" w:sz="4" w:space="0" w:color="000000"/>
              <w:right w:val="single" w:sz="4" w:space="0" w:color="000000"/>
            </w:tcBorders>
          </w:tcPr>
          <w:p w14:paraId="5873F6C5"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73CEDB00" w14:textId="77777777" w:rsidR="00450114" w:rsidRDefault="00450114" w:rsidP="00D171C3">
            <w:pPr>
              <w:pStyle w:val="TableParagraph"/>
              <w:kinsoku w:val="0"/>
              <w:overflowPunct w:val="0"/>
              <w:ind w:left="0" w:hanging="1"/>
              <w:rPr>
                <w:sz w:val="22"/>
                <w:szCs w:val="22"/>
              </w:rPr>
            </w:pPr>
            <w:r w:rsidRPr="00310B0F">
              <w:rPr>
                <w:sz w:val="22"/>
                <w:szCs w:val="22"/>
              </w:rPr>
              <w:t xml:space="preserve">Závraty </w:t>
            </w:r>
          </w:p>
          <w:p w14:paraId="61B47D5E" w14:textId="77777777" w:rsidR="00450114" w:rsidRPr="00310B0F" w:rsidRDefault="00450114" w:rsidP="00D171C3">
            <w:pPr>
              <w:pStyle w:val="TableParagraph"/>
              <w:kinsoku w:val="0"/>
              <w:overflowPunct w:val="0"/>
              <w:ind w:left="0" w:hanging="1"/>
              <w:rPr>
                <w:sz w:val="22"/>
                <w:szCs w:val="22"/>
              </w:rPr>
            </w:pPr>
            <w:r w:rsidRPr="00310B0F">
              <w:rPr>
                <w:sz w:val="22"/>
                <w:szCs w:val="22"/>
              </w:rPr>
              <w:t>Migréna</w:t>
            </w:r>
          </w:p>
        </w:tc>
      </w:tr>
      <w:tr w:rsidR="00450114" w:rsidRPr="00310B0F" w14:paraId="449F3A88" w14:textId="77777777" w:rsidTr="00D171C3">
        <w:trPr>
          <w:trHeight w:val="250"/>
        </w:trPr>
        <w:tc>
          <w:tcPr>
            <w:tcW w:w="2553" w:type="dxa"/>
            <w:tcBorders>
              <w:top w:val="single" w:sz="4" w:space="0" w:color="000000"/>
              <w:left w:val="single" w:sz="4" w:space="0" w:color="000000"/>
              <w:bottom w:val="single" w:sz="4" w:space="0" w:color="000000"/>
              <w:right w:val="single" w:sz="4" w:space="0" w:color="000000"/>
            </w:tcBorders>
          </w:tcPr>
          <w:p w14:paraId="30AACE99"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23C48140" w14:textId="77777777" w:rsidR="00450114" w:rsidRPr="00310B0F" w:rsidRDefault="00450114" w:rsidP="00D171C3">
            <w:pPr>
              <w:pStyle w:val="TableParagraph"/>
              <w:kinsoku w:val="0"/>
              <w:overflowPunct w:val="0"/>
              <w:ind w:left="0" w:hanging="1"/>
              <w:rPr>
                <w:sz w:val="22"/>
                <w:szCs w:val="22"/>
              </w:rPr>
            </w:pPr>
            <w:r w:rsidRPr="00310B0F">
              <w:rPr>
                <w:sz w:val="22"/>
                <w:szCs w:val="22"/>
              </w:rPr>
              <w:t>Epileptický záchvat</w:t>
            </w:r>
          </w:p>
        </w:tc>
      </w:tr>
      <w:tr w:rsidR="00450114" w:rsidRPr="00310B0F" w14:paraId="3672F521"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2B955BC8" w14:textId="77777777" w:rsidR="00450114" w:rsidRPr="00310B0F" w:rsidRDefault="00450114" w:rsidP="00D171C3">
            <w:pPr>
              <w:pStyle w:val="TableParagraph"/>
              <w:kinsoku w:val="0"/>
              <w:overflowPunct w:val="0"/>
              <w:ind w:left="0" w:hanging="1"/>
              <w:rPr>
                <w:sz w:val="22"/>
                <w:szCs w:val="22"/>
              </w:rPr>
            </w:pPr>
            <w:r w:rsidRPr="00310B0F">
              <w:rPr>
                <w:sz w:val="22"/>
                <w:szCs w:val="22"/>
              </w:rPr>
              <w:t>Zriedkavé:</w:t>
            </w:r>
          </w:p>
        </w:tc>
        <w:tc>
          <w:tcPr>
            <w:tcW w:w="6520" w:type="dxa"/>
            <w:tcBorders>
              <w:top w:val="single" w:sz="4" w:space="0" w:color="000000"/>
              <w:left w:val="single" w:sz="4" w:space="0" w:color="000000"/>
              <w:bottom w:val="single" w:sz="4" w:space="0" w:color="000000"/>
              <w:right w:val="single" w:sz="4" w:space="0" w:color="000000"/>
            </w:tcBorders>
          </w:tcPr>
          <w:p w14:paraId="1BEEE279" w14:textId="77777777" w:rsidR="00450114" w:rsidRPr="00310B0F" w:rsidRDefault="00450114" w:rsidP="00D171C3">
            <w:pPr>
              <w:pStyle w:val="TableParagraph"/>
              <w:kinsoku w:val="0"/>
              <w:overflowPunct w:val="0"/>
              <w:ind w:left="0" w:hanging="1"/>
              <w:rPr>
                <w:sz w:val="22"/>
                <w:szCs w:val="22"/>
              </w:rPr>
            </w:pPr>
            <w:r w:rsidRPr="00310B0F">
              <w:rPr>
                <w:sz w:val="22"/>
                <w:szCs w:val="22"/>
              </w:rPr>
              <w:t>Syndróm reverzibilnej</w:t>
            </w:r>
            <w:r>
              <w:rPr>
                <w:sz w:val="22"/>
                <w:szCs w:val="22"/>
              </w:rPr>
              <w:t xml:space="preserve"> </w:t>
            </w:r>
            <w:r w:rsidRPr="00310B0F">
              <w:rPr>
                <w:sz w:val="22"/>
                <w:szCs w:val="22"/>
              </w:rPr>
              <w:t>posteriórnej encefalopatie (PRES)*</w:t>
            </w:r>
          </w:p>
        </w:tc>
      </w:tr>
      <w:tr w:rsidR="00450114" w:rsidRPr="00310B0F" w14:paraId="389F7041" w14:textId="77777777" w:rsidTr="00D171C3">
        <w:trPr>
          <w:trHeight w:val="254"/>
        </w:trPr>
        <w:tc>
          <w:tcPr>
            <w:tcW w:w="2553" w:type="dxa"/>
            <w:tcBorders>
              <w:top w:val="single" w:sz="4" w:space="0" w:color="000000"/>
              <w:left w:val="single" w:sz="4" w:space="0" w:color="000000"/>
              <w:bottom w:val="single" w:sz="4" w:space="0" w:color="000000"/>
              <w:right w:val="single" w:sz="4" w:space="0" w:color="000000"/>
            </w:tcBorders>
          </w:tcPr>
          <w:p w14:paraId="7332BD2A" w14:textId="77777777" w:rsidR="00450114" w:rsidRPr="00310B0F" w:rsidRDefault="00450114" w:rsidP="00D171C3">
            <w:pPr>
              <w:pStyle w:val="TableParagraph"/>
              <w:kinsoku w:val="0"/>
              <w:overflowPunct w:val="0"/>
              <w:ind w:left="0" w:hanging="1"/>
              <w:rPr>
                <w:sz w:val="22"/>
                <w:szCs w:val="22"/>
              </w:rPr>
            </w:pPr>
            <w:r w:rsidRPr="00310B0F">
              <w:rPr>
                <w:sz w:val="22"/>
                <w:szCs w:val="22"/>
              </w:rPr>
              <w:t>Neznáme:</w:t>
            </w:r>
          </w:p>
        </w:tc>
        <w:tc>
          <w:tcPr>
            <w:tcW w:w="6520" w:type="dxa"/>
            <w:tcBorders>
              <w:top w:val="single" w:sz="4" w:space="0" w:color="000000"/>
              <w:left w:val="single" w:sz="4" w:space="0" w:color="000000"/>
              <w:bottom w:val="single" w:sz="4" w:space="0" w:color="000000"/>
              <w:right w:val="single" w:sz="4" w:space="0" w:color="000000"/>
            </w:tcBorders>
          </w:tcPr>
          <w:p w14:paraId="7C8FEDB7" w14:textId="77777777" w:rsidR="00450114" w:rsidRPr="00310B0F" w:rsidRDefault="00450114" w:rsidP="00D171C3">
            <w:pPr>
              <w:pStyle w:val="TableParagraph"/>
              <w:kinsoku w:val="0"/>
              <w:overflowPunct w:val="0"/>
              <w:ind w:left="0" w:hanging="1"/>
              <w:rPr>
                <w:sz w:val="22"/>
                <w:szCs w:val="22"/>
              </w:rPr>
            </w:pPr>
            <w:r w:rsidRPr="00310B0F">
              <w:rPr>
                <w:sz w:val="22"/>
                <w:szCs w:val="22"/>
              </w:rPr>
              <w:t xml:space="preserve">Závažné zhoršenie ochorenia po vysadení </w:t>
            </w:r>
            <w:r>
              <w:rPr>
                <w:sz w:val="22"/>
                <w:szCs w:val="22"/>
              </w:rPr>
              <w:t>fingolimodu</w:t>
            </w:r>
            <w:r w:rsidRPr="00310B0F">
              <w:rPr>
                <w:sz w:val="22"/>
                <w:szCs w:val="22"/>
              </w:rPr>
              <w:t>***</w:t>
            </w:r>
          </w:p>
        </w:tc>
      </w:tr>
      <w:tr w:rsidR="00450114" w:rsidRPr="00310B0F" w14:paraId="06B0496C"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57A2414F"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oka</w:t>
            </w:r>
          </w:p>
        </w:tc>
      </w:tr>
      <w:tr w:rsidR="00450114" w:rsidRPr="00310B0F" w14:paraId="5F8B5424"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33FD5FEB"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1A55903E" w14:textId="77777777" w:rsidR="00450114" w:rsidRPr="00310B0F" w:rsidRDefault="00450114" w:rsidP="00D171C3">
            <w:pPr>
              <w:pStyle w:val="TableParagraph"/>
              <w:kinsoku w:val="0"/>
              <w:overflowPunct w:val="0"/>
              <w:ind w:left="0" w:hanging="1"/>
              <w:rPr>
                <w:sz w:val="22"/>
                <w:szCs w:val="22"/>
              </w:rPr>
            </w:pPr>
            <w:r w:rsidRPr="00310B0F">
              <w:rPr>
                <w:sz w:val="22"/>
                <w:szCs w:val="22"/>
              </w:rPr>
              <w:t>Neostré videnie</w:t>
            </w:r>
          </w:p>
        </w:tc>
      </w:tr>
      <w:tr w:rsidR="00450114" w:rsidRPr="00310B0F" w14:paraId="6147724D"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7F27DD10"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3758B5E9" w14:textId="77777777" w:rsidR="00450114" w:rsidRPr="00310B0F" w:rsidRDefault="00450114" w:rsidP="00D171C3">
            <w:pPr>
              <w:pStyle w:val="TableParagraph"/>
              <w:kinsoku w:val="0"/>
              <w:overflowPunct w:val="0"/>
              <w:ind w:left="0" w:hanging="1"/>
              <w:rPr>
                <w:sz w:val="22"/>
                <w:szCs w:val="22"/>
              </w:rPr>
            </w:pPr>
            <w:r w:rsidRPr="00310B0F">
              <w:rPr>
                <w:sz w:val="22"/>
                <w:szCs w:val="22"/>
              </w:rPr>
              <w:t>Makulárny edém</w:t>
            </w:r>
          </w:p>
        </w:tc>
      </w:tr>
      <w:tr w:rsidR="00450114" w:rsidRPr="00310B0F" w14:paraId="41A30339" w14:textId="77777777" w:rsidTr="00D171C3">
        <w:trPr>
          <w:trHeight w:val="254"/>
        </w:trPr>
        <w:tc>
          <w:tcPr>
            <w:tcW w:w="9073" w:type="dxa"/>
            <w:gridSpan w:val="2"/>
            <w:tcBorders>
              <w:top w:val="single" w:sz="4" w:space="0" w:color="000000"/>
              <w:left w:val="single" w:sz="4" w:space="0" w:color="000000"/>
              <w:bottom w:val="single" w:sz="4" w:space="0" w:color="000000"/>
              <w:right w:val="single" w:sz="4" w:space="0" w:color="000000"/>
            </w:tcBorders>
          </w:tcPr>
          <w:p w14:paraId="0CF8D8D4"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srdca a srdcovej činnosti</w:t>
            </w:r>
          </w:p>
        </w:tc>
      </w:tr>
      <w:tr w:rsidR="00450114" w:rsidRPr="00310B0F" w14:paraId="5CEFA9D0"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25BF831E"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3F15CE78" w14:textId="77777777" w:rsidR="00450114" w:rsidRPr="00310B0F" w:rsidRDefault="00450114" w:rsidP="00D171C3">
            <w:pPr>
              <w:pStyle w:val="TableParagraph"/>
              <w:kinsoku w:val="0"/>
              <w:overflowPunct w:val="0"/>
              <w:ind w:left="0" w:hanging="1"/>
              <w:rPr>
                <w:sz w:val="22"/>
                <w:szCs w:val="22"/>
              </w:rPr>
            </w:pPr>
            <w:r w:rsidRPr="00310B0F">
              <w:rPr>
                <w:sz w:val="22"/>
                <w:szCs w:val="22"/>
              </w:rPr>
              <w:t>Bradykardia</w:t>
            </w:r>
          </w:p>
          <w:p w14:paraId="429EB0C1" w14:textId="44B2AB7B" w:rsidR="00450114" w:rsidRPr="00310B0F" w:rsidRDefault="00853B61" w:rsidP="00D171C3">
            <w:pPr>
              <w:pStyle w:val="TableParagraph"/>
              <w:kinsoku w:val="0"/>
              <w:overflowPunct w:val="0"/>
              <w:ind w:left="0" w:hanging="1"/>
              <w:rPr>
                <w:sz w:val="22"/>
                <w:szCs w:val="22"/>
              </w:rPr>
            </w:pPr>
            <w:r>
              <w:rPr>
                <w:sz w:val="22"/>
                <w:szCs w:val="22"/>
              </w:rPr>
              <w:t>A</w:t>
            </w:r>
            <w:r w:rsidR="00450114" w:rsidRPr="00310B0F">
              <w:rPr>
                <w:sz w:val="22"/>
                <w:szCs w:val="22"/>
              </w:rPr>
              <w:t>trioventrikulárna blokáda</w:t>
            </w:r>
          </w:p>
        </w:tc>
      </w:tr>
      <w:tr w:rsidR="00450114" w:rsidRPr="00310B0F" w14:paraId="3ED3A898"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71527843"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zriedkavé:</w:t>
            </w:r>
          </w:p>
        </w:tc>
        <w:tc>
          <w:tcPr>
            <w:tcW w:w="6520" w:type="dxa"/>
            <w:tcBorders>
              <w:top w:val="single" w:sz="4" w:space="0" w:color="000000"/>
              <w:left w:val="single" w:sz="4" w:space="0" w:color="000000"/>
              <w:bottom w:val="single" w:sz="4" w:space="0" w:color="000000"/>
              <w:right w:val="single" w:sz="4" w:space="0" w:color="000000"/>
            </w:tcBorders>
          </w:tcPr>
          <w:p w14:paraId="03DC8B2B" w14:textId="77777777" w:rsidR="00450114" w:rsidRPr="00310B0F" w:rsidRDefault="00450114" w:rsidP="00D171C3">
            <w:pPr>
              <w:pStyle w:val="TableParagraph"/>
              <w:kinsoku w:val="0"/>
              <w:overflowPunct w:val="0"/>
              <w:ind w:left="0" w:hanging="1"/>
              <w:rPr>
                <w:sz w:val="22"/>
                <w:szCs w:val="22"/>
              </w:rPr>
            </w:pPr>
            <w:r w:rsidRPr="00310B0F">
              <w:rPr>
                <w:sz w:val="22"/>
                <w:szCs w:val="22"/>
              </w:rPr>
              <w:t>Inverzia vlny T***</w:t>
            </w:r>
          </w:p>
        </w:tc>
      </w:tr>
      <w:tr w:rsidR="00450114" w:rsidRPr="00310B0F" w14:paraId="2E4EAAF2"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58F79CFE"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ciev</w:t>
            </w:r>
          </w:p>
        </w:tc>
      </w:tr>
      <w:tr w:rsidR="00450114" w:rsidRPr="00310B0F" w14:paraId="4DC2EA89"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1B00C442"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0775D040" w14:textId="77777777" w:rsidR="00450114" w:rsidRPr="00310B0F" w:rsidRDefault="00450114" w:rsidP="00D171C3">
            <w:pPr>
              <w:pStyle w:val="TableParagraph"/>
              <w:kinsoku w:val="0"/>
              <w:overflowPunct w:val="0"/>
              <w:ind w:left="0" w:hanging="1"/>
              <w:rPr>
                <w:sz w:val="22"/>
                <w:szCs w:val="22"/>
              </w:rPr>
            </w:pPr>
            <w:r w:rsidRPr="00310B0F">
              <w:rPr>
                <w:sz w:val="22"/>
                <w:szCs w:val="22"/>
              </w:rPr>
              <w:t>Hypertenzia</w:t>
            </w:r>
          </w:p>
        </w:tc>
      </w:tr>
      <w:tr w:rsidR="00450114" w:rsidRPr="00310B0F" w14:paraId="761CE1D7"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49AC67F4"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dýchacej sústavy, hrudníka a mediastína</w:t>
            </w:r>
          </w:p>
        </w:tc>
      </w:tr>
      <w:tr w:rsidR="00450114" w:rsidRPr="00310B0F" w14:paraId="04191055"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4D10EC04"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1D3B397C" w14:textId="77777777" w:rsidR="00450114" w:rsidRPr="00310B0F" w:rsidRDefault="00450114" w:rsidP="00D171C3">
            <w:pPr>
              <w:pStyle w:val="TableParagraph"/>
              <w:kinsoku w:val="0"/>
              <w:overflowPunct w:val="0"/>
              <w:ind w:left="0" w:hanging="1"/>
              <w:rPr>
                <w:sz w:val="22"/>
                <w:szCs w:val="22"/>
              </w:rPr>
            </w:pPr>
            <w:r w:rsidRPr="00310B0F">
              <w:rPr>
                <w:sz w:val="22"/>
                <w:szCs w:val="22"/>
              </w:rPr>
              <w:t>Kašeľ</w:t>
            </w:r>
          </w:p>
        </w:tc>
      </w:tr>
      <w:tr w:rsidR="00450114" w:rsidRPr="00310B0F" w14:paraId="69FF821C"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50944EE4"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64A35BA4" w14:textId="77777777" w:rsidR="00450114" w:rsidRPr="00310B0F" w:rsidRDefault="00450114" w:rsidP="00D171C3">
            <w:pPr>
              <w:pStyle w:val="TableParagraph"/>
              <w:kinsoku w:val="0"/>
              <w:overflowPunct w:val="0"/>
              <w:ind w:left="0" w:hanging="1"/>
              <w:rPr>
                <w:sz w:val="22"/>
                <w:szCs w:val="22"/>
              </w:rPr>
            </w:pPr>
            <w:r w:rsidRPr="00310B0F">
              <w:rPr>
                <w:sz w:val="22"/>
                <w:szCs w:val="22"/>
              </w:rPr>
              <w:t>Dyspnoe</w:t>
            </w:r>
          </w:p>
        </w:tc>
      </w:tr>
      <w:tr w:rsidR="00450114" w:rsidRPr="00310B0F" w14:paraId="5604AB93" w14:textId="77777777" w:rsidTr="00D171C3">
        <w:trPr>
          <w:trHeight w:val="253"/>
        </w:trPr>
        <w:tc>
          <w:tcPr>
            <w:tcW w:w="9073" w:type="dxa"/>
            <w:gridSpan w:val="2"/>
            <w:tcBorders>
              <w:top w:val="single" w:sz="4" w:space="0" w:color="000000"/>
              <w:left w:val="single" w:sz="4" w:space="0" w:color="000000"/>
              <w:bottom w:val="single" w:sz="4" w:space="0" w:color="000000"/>
              <w:right w:val="single" w:sz="4" w:space="0" w:color="000000"/>
            </w:tcBorders>
          </w:tcPr>
          <w:p w14:paraId="0A2F5CB8"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gastrointestinálneho traktu</w:t>
            </w:r>
          </w:p>
        </w:tc>
      </w:tr>
      <w:tr w:rsidR="00450114" w:rsidRPr="00310B0F" w14:paraId="585694F4"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0C37111B"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3797DF19" w14:textId="77777777" w:rsidR="00450114" w:rsidRPr="00310B0F" w:rsidRDefault="00450114" w:rsidP="00D171C3">
            <w:pPr>
              <w:pStyle w:val="TableParagraph"/>
              <w:kinsoku w:val="0"/>
              <w:overflowPunct w:val="0"/>
              <w:ind w:left="0" w:hanging="1"/>
              <w:rPr>
                <w:sz w:val="22"/>
                <w:szCs w:val="22"/>
              </w:rPr>
            </w:pPr>
            <w:r w:rsidRPr="00310B0F">
              <w:rPr>
                <w:sz w:val="22"/>
                <w:szCs w:val="22"/>
              </w:rPr>
              <w:t>Hnačka</w:t>
            </w:r>
          </w:p>
        </w:tc>
      </w:tr>
      <w:tr w:rsidR="00450114" w:rsidRPr="00310B0F" w14:paraId="1A79845B"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0C9D2A70"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0471BD58" w14:textId="77777777" w:rsidR="00450114" w:rsidRPr="00310B0F" w:rsidRDefault="00450114" w:rsidP="00D171C3">
            <w:pPr>
              <w:pStyle w:val="TableParagraph"/>
              <w:kinsoku w:val="0"/>
              <w:overflowPunct w:val="0"/>
              <w:ind w:left="0" w:hanging="1"/>
              <w:rPr>
                <w:sz w:val="22"/>
                <w:szCs w:val="22"/>
              </w:rPr>
            </w:pPr>
            <w:r w:rsidRPr="00310B0F">
              <w:rPr>
                <w:sz w:val="22"/>
                <w:szCs w:val="22"/>
              </w:rPr>
              <w:t>Nauzea***</w:t>
            </w:r>
          </w:p>
        </w:tc>
      </w:tr>
      <w:tr w:rsidR="00450114" w:rsidRPr="00310B0F" w14:paraId="594D5030"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42D7510E"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kože a podkožného tkaniva</w:t>
            </w:r>
          </w:p>
        </w:tc>
      </w:tr>
      <w:tr w:rsidR="00450114" w:rsidRPr="00310B0F" w14:paraId="58A2ED23" w14:textId="77777777" w:rsidTr="00D171C3">
        <w:trPr>
          <w:trHeight w:val="759"/>
        </w:trPr>
        <w:tc>
          <w:tcPr>
            <w:tcW w:w="2553" w:type="dxa"/>
            <w:tcBorders>
              <w:top w:val="single" w:sz="4" w:space="0" w:color="000000"/>
              <w:left w:val="single" w:sz="4" w:space="0" w:color="000000"/>
              <w:bottom w:val="single" w:sz="4" w:space="0" w:color="000000"/>
              <w:right w:val="single" w:sz="4" w:space="0" w:color="000000"/>
            </w:tcBorders>
          </w:tcPr>
          <w:p w14:paraId="060A33EF"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5076F9EA" w14:textId="77777777" w:rsidR="00450114" w:rsidRPr="00310B0F" w:rsidRDefault="00450114" w:rsidP="00D171C3">
            <w:pPr>
              <w:pStyle w:val="TableParagraph"/>
              <w:kinsoku w:val="0"/>
              <w:overflowPunct w:val="0"/>
              <w:ind w:left="0" w:hanging="1"/>
              <w:rPr>
                <w:sz w:val="22"/>
                <w:szCs w:val="22"/>
              </w:rPr>
            </w:pPr>
            <w:r w:rsidRPr="00310B0F">
              <w:rPr>
                <w:sz w:val="22"/>
                <w:szCs w:val="22"/>
              </w:rPr>
              <w:t>Ekzém</w:t>
            </w:r>
          </w:p>
          <w:p w14:paraId="7F5E78A5" w14:textId="77777777" w:rsidR="00450114" w:rsidRDefault="00450114" w:rsidP="00D171C3">
            <w:pPr>
              <w:pStyle w:val="TableParagraph"/>
              <w:kinsoku w:val="0"/>
              <w:overflowPunct w:val="0"/>
              <w:ind w:left="0" w:hanging="1"/>
              <w:rPr>
                <w:w w:val="99"/>
                <w:sz w:val="22"/>
                <w:szCs w:val="22"/>
              </w:rPr>
            </w:pPr>
            <w:r w:rsidRPr="00310B0F">
              <w:rPr>
                <w:sz w:val="22"/>
                <w:szCs w:val="22"/>
              </w:rPr>
              <w:t>Alopécia</w:t>
            </w:r>
            <w:r w:rsidRPr="00310B0F">
              <w:rPr>
                <w:w w:val="99"/>
                <w:sz w:val="22"/>
                <w:szCs w:val="22"/>
              </w:rPr>
              <w:t xml:space="preserve"> </w:t>
            </w:r>
          </w:p>
          <w:p w14:paraId="66474EB2" w14:textId="77777777" w:rsidR="00450114" w:rsidRPr="00310B0F" w:rsidRDefault="00450114" w:rsidP="00D171C3">
            <w:pPr>
              <w:pStyle w:val="TableParagraph"/>
              <w:kinsoku w:val="0"/>
              <w:overflowPunct w:val="0"/>
              <w:ind w:left="0" w:hanging="1"/>
              <w:rPr>
                <w:sz w:val="22"/>
                <w:szCs w:val="22"/>
              </w:rPr>
            </w:pPr>
            <w:r w:rsidRPr="00310B0F">
              <w:rPr>
                <w:sz w:val="22"/>
                <w:szCs w:val="22"/>
              </w:rPr>
              <w:t>Pruritus</w:t>
            </w:r>
          </w:p>
        </w:tc>
      </w:tr>
      <w:tr w:rsidR="00450114" w:rsidRPr="00310B0F" w14:paraId="54CDBEE3"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7D7035D2"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Poruchy kostrovej a svalovej sústavy a spojivového tkaniva</w:t>
            </w:r>
          </w:p>
        </w:tc>
      </w:tr>
      <w:tr w:rsidR="00450114" w:rsidRPr="00310B0F" w14:paraId="5DB343B3"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7420DF35"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2C1FDECE" w14:textId="77777777" w:rsidR="00450114" w:rsidRPr="00310B0F" w:rsidRDefault="00450114" w:rsidP="00D171C3">
            <w:pPr>
              <w:pStyle w:val="TableParagraph"/>
              <w:kinsoku w:val="0"/>
              <w:overflowPunct w:val="0"/>
              <w:ind w:left="0" w:hanging="1"/>
              <w:rPr>
                <w:sz w:val="22"/>
                <w:szCs w:val="22"/>
              </w:rPr>
            </w:pPr>
            <w:r w:rsidRPr="00310B0F">
              <w:rPr>
                <w:sz w:val="22"/>
                <w:szCs w:val="22"/>
              </w:rPr>
              <w:t>Bolesť chrbta</w:t>
            </w:r>
          </w:p>
        </w:tc>
      </w:tr>
      <w:tr w:rsidR="00450114" w:rsidRPr="00310B0F" w14:paraId="5CCD5819"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41391314"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459DB311" w14:textId="77777777" w:rsidR="00450114" w:rsidRPr="00310B0F" w:rsidRDefault="00450114" w:rsidP="00D171C3">
            <w:pPr>
              <w:pStyle w:val="TableParagraph"/>
              <w:kinsoku w:val="0"/>
              <w:overflowPunct w:val="0"/>
              <w:ind w:left="0" w:hanging="1"/>
              <w:rPr>
                <w:sz w:val="22"/>
                <w:szCs w:val="22"/>
              </w:rPr>
            </w:pPr>
            <w:r w:rsidRPr="00310B0F">
              <w:rPr>
                <w:sz w:val="22"/>
                <w:szCs w:val="22"/>
              </w:rPr>
              <w:t>Myalgia</w:t>
            </w:r>
          </w:p>
          <w:p w14:paraId="4DEB73FC" w14:textId="77777777" w:rsidR="00450114" w:rsidRPr="00310B0F" w:rsidRDefault="00450114" w:rsidP="00D171C3">
            <w:pPr>
              <w:pStyle w:val="TableParagraph"/>
              <w:kinsoku w:val="0"/>
              <w:overflowPunct w:val="0"/>
              <w:ind w:left="0" w:hanging="1"/>
              <w:rPr>
                <w:sz w:val="22"/>
                <w:szCs w:val="22"/>
              </w:rPr>
            </w:pPr>
            <w:r w:rsidRPr="00310B0F">
              <w:rPr>
                <w:sz w:val="22"/>
                <w:szCs w:val="22"/>
              </w:rPr>
              <w:t>Artralgia</w:t>
            </w:r>
          </w:p>
        </w:tc>
      </w:tr>
      <w:tr w:rsidR="00450114" w:rsidRPr="00310B0F" w14:paraId="05F69F8A" w14:textId="77777777" w:rsidTr="00D171C3">
        <w:trPr>
          <w:trHeight w:val="252"/>
        </w:trPr>
        <w:tc>
          <w:tcPr>
            <w:tcW w:w="9073" w:type="dxa"/>
            <w:gridSpan w:val="2"/>
            <w:tcBorders>
              <w:top w:val="single" w:sz="4" w:space="0" w:color="000000"/>
              <w:left w:val="single" w:sz="4" w:space="0" w:color="000000"/>
              <w:bottom w:val="single" w:sz="4" w:space="0" w:color="000000"/>
              <w:right w:val="single" w:sz="4" w:space="0" w:color="000000"/>
            </w:tcBorders>
          </w:tcPr>
          <w:p w14:paraId="4CB990D8"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Celkové poruchy a reakcie v mieste podania</w:t>
            </w:r>
          </w:p>
        </w:tc>
      </w:tr>
      <w:tr w:rsidR="00450114" w:rsidRPr="00310B0F" w14:paraId="1A01BC01" w14:textId="77777777" w:rsidTr="00D171C3">
        <w:trPr>
          <w:trHeight w:val="252"/>
        </w:trPr>
        <w:tc>
          <w:tcPr>
            <w:tcW w:w="2553" w:type="dxa"/>
            <w:tcBorders>
              <w:top w:val="single" w:sz="4" w:space="0" w:color="000000"/>
              <w:left w:val="single" w:sz="4" w:space="0" w:color="000000"/>
              <w:bottom w:val="single" w:sz="4" w:space="0" w:color="000000"/>
              <w:right w:val="single" w:sz="4" w:space="0" w:color="000000"/>
            </w:tcBorders>
          </w:tcPr>
          <w:p w14:paraId="61532847" w14:textId="77777777" w:rsidR="00450114" w:rsidRPr="00310B0F" w:rsidRDefault="00450114" w:rsidP="00D171C3">
            <w:pPr>
              <w:pStyle w:val="TableParagraph"/>
              <w:kinsoku w:val="0"/>
              <w:overflowPunct w:val="0"/>
              <w:ind w:left="0" w:hanging="1"/>
              <w:rPr>
                <w:sz w:val="22"/>
                <w:szCs w:val="22"/>
              </w:rPr>
            </w:pPr>
            <w:r w:rsidRPr="00310B0F">
              <w:rPr>
                <w:sz w:val="22"/>
                <w:szCs w:val="22"/>
              </w:rPr>
              <w:lastRenderedPageBreak/>
              <w:t>Časté:</w:t>
            </w:r>
          </w:p>
        </w:tc>
        <w:tc>
          <w:tcPr>
            <w:tcW w:w="6520" w:type="dxa"/>
            <w:tcBorders>
              <w:top w:val="single" w:sz="4" w:space="0" w:color="000000"/>
              <w:left w:val="single" w:sz="4" w:space="0" w:color="000000"/>
              <w:bottom w:val="single" w:sz="4" w:space="0" w:color="000000"/>
              <w:right w:val="single" w:sz="4" w:space="0" w:color="000000"/>
            </w:tcBorders>
          </w:tcPr>
          <w:p w14:paraId="4E3D2002" w14:textId="77777777" w:rsidR="00450114" w:rsidRPr="00310B0F" w:rsidRDefault="00450114" w:rsidP="00D171C3">
            <w:pPr>
              <w:pStyle w:val="TableParagraph"/>
              <w:kinsoku w:val="0"/>
              <w:overflowPunct w:val="0"/>
              <w:ind w:left="0" w:hanging="1"/>
              <w:rPr>
                <w:sz w:val="22"/>
                <w:szCs w:val="22"/>
              </w:rPr>
            </w:pPr>
            <w:r w:rsidRPr="00310B0F">
              <w:rPr>
                <w:sz w:val="22"/>
                <w:szCs w:val="22"/>
              </w:rPr>
              <w:t>Asténia</w:t>
            </w:r>
          </w:p>
        </w:tc>
      </w:tr>
      <w:tr w:rsidR="00450114" w:rsidRPr="00310B0F" w14:paraId="4F392F23" w14:textId="77777777" w:rsidTr="00D171C3">
        <w:trPr>
          <w:trHeight w:val="253"/>
        </w:trPr>
        <w:tc>
          <w:tcPr>
            <w:tcW w:w="9073" w:type="dxa"/>
            <w:gridSpan w:val="2"/>
            <w:tcBorders>
              <w:top w:val="single" w:sz="4" w:space="0" w:color="000000"/>
              <w:left w:val="single" w:sz="4" w:space="0" w:color="000000"/>
              <w:bottom w:val="single" w:sz="4" w:space="0" w:color="000000"/>
              <w:right w:val="single" w:sz="4" w:space="0" w:color="000000"/>
            </w:tcBorders>
          </w:tcPr>
          <w:p w14:paraId="4F962C95"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Laboratórne a funkčné vyšetrenia</w:t>
            </w:r>
          </w:p>
        </w:tc>
      </w:tr>
      <w:tr w:rsidR="00450114" w:rsidRPr="00310B0F" w14:paraId="123C66A1" w14:textId="77777777" w:rsidTr="00D171C3">
        <w:trPr>
          <w:trHeight w:val="505"/>
        </w:trPr>
        <w:tc>
          <w:tcPr>
            <w:tcW w:w="2553" w:type="dxa"/>
            <w:tcBorders>
              <w:top w:val="single" w:sz="4" w:space="0" w:color="000000"/>
              <w:left w:val="single" w:sz="4" w:space="0" w:color="000000"/>
              <w:bottom w:val="single" w:sz="4" w:space="0" w:color="000000"/>
              <w:right w:val="single" w:sz="4" w:space="0" w:color="000000"/>
            </w:tcBorders>
          </w:tcPr>
          <w:p w14:paraId="5FD237D7" w14:textId="77777777" w:rsidR="00450114" w:rsidRPr="00310B0F" w:rsidRDefault="00450114" w:rsidP="00D171C3">
            <w:pPr>
              <w:pStyle w:val="TableParagraph"/>
              <w:kinsoku w:val="0"/>
              <w:overflowPunct w:val="0"/>
              <w:ind w:left="0" w:hanging="1"/>
              <w:rPr>
                <w:sz w:val="22"/>
                <w:szCs w:val="22"/>
              </w:rPr>
            </w:pPr>
            <w:r w:rsidRPr="00310B0F">
              <w:rPr>
                <w:sz w:val="22"/>
                <w:szCs w:val="22"/>
              </w:rPr>
              <w:t>Veľmi časté:</w:t>
            </w:r>
          </w:p>
        </w:tc>
        <w:tc>
          <w:tcPr>
            <w:tcW w:w="6520" w:type="dxa"/>
            <w:tcBorders>
              <w:top w:val="single" w:sz="4" w:space="0" w:color="000000"/>
              <w:left w:val="single" w:sz="4" w:space="0" w:color="000000"/>
              <w:bottom w:val="single" w:sz="4" w:space="0" w:color="000000"/>
              <w:right w:val="single" w:sz="4" w:space="0" w:color="000000"/>
            </w:tcBorders>
          </w:tcPr>
          <w:p w14:paraId="1EB5230D" w14:textId="77777777" w:rsidR="00450114" w:rsidRPr="00310B0F" w:rsidRDefault="00450114" w:rsidP="00D171C3">
            <w:pPr>
              <w:pStyle w:val="TableParagraph"/>
              <w:kinsoku w:val="0"/>
              <w:overflowPunct w:val="0"/>
              <w:ind w:left="0" w:hanging="1"/>
              <w:rPr>
                <w:sz w:val="22"/>
                <w:szCs w:val="22"/>
              </w:rPr>
            </w:pPr>
            <w:r w:rsidRPr="00310B0F">
              <w:rPr>
                <w:sz w:val="22"/>
                <w:szCs w:val="22"/>
              </w:rPr>
              <w:t>Zvýšené pečeňové enzýmy (zvýšená ALT, gamaglutamyltransferáza,</w:t>
            </w:r>
          </w:p>
          <w:p w14:paraId="260E6B70" w14:textId="77777777" w:rsidR="00450114" w:rsidRPr="00310B0F" w:rsidRDefault="00450114" w:rsidP="00D171C3">
            <w:pPr>
              <w:pStyle w:val="TableParagraph"/>
              <w:kinsoku w:val="0"/>
              <w:overflowPunct w:val="0"/>
              <w:ind w:left="0" w:hanging="1"/>
              <w:rPr>
                <w:sz w:val="22"/>
                <w:szCs w:val="22"/>
              </w:rPr>
            </w:pPr>
            <w:r w:rsidRPr="00310B0F">
              <w:rPr>
                <w:sz w:val="22"/>
                <w:szCs w:val="22"/>
              </w:rPr>
              <w:t>aspartátaminotransferáza)</w:t>
            </w:r>
          </w:p>
        </w:tc>
      </w:tr>
      <w:tr w:rsidR="00450114" w:rsidRPr="00310B0F" w14:paraId="2CA95985" w14:textId="77777777" w:rsidTr="00D171C3">
        <w:trPr>
          <w:trHeight w:val="506"/>
        </w:trPr>
        <w:tc>
          <w:tcPr>
            <w:tcW w:w="2553" w:type="dxa"/>
            <w:tcBorders>
              <w:top w:val="single" w:sz="4" w:space="0" w:color="000000"/>
              <w:left w:val="single" w:sz="4" w:space="0" w:color="000000"/>
              <w:bottom w:val="single" w:sz="4" w:space="0" w:color="000000"/>
              <w:right w:val="single" w:sz="4" w:space="0" w:color="000000"/>
            </w:tcBorders>
          </w:tcPr>
          <w:p w14:paraId="3239F825" w14:textId="77777777" w:rsidR="00450114" w:rsidRPr="00310B0F" w:rsidRDefault="00450114" w:rsidP="00D171C3">
            <w:pPr>
              <w:pStyle w:val="TableParagraph"/>
              <w:kinsoku w:val="0"/>
              <w:overflowPunct w:val="0"/>
              <w:ind w:left="0" w:hanging="1"/>
              <w:rPr>
                <w:sz w:val="22"/>
                <w:szCs w:val="22"/>
              </w:rPr>
            </w:pPr>
            <w:r w:rsidRPr="00310B0F">
              <w:rPr>
                <w:sz w:val="22"/>
                <w:szCs w:val="22"/>
              </w:rPr>
              <w:t>Časté:</w:t>
            </w:r>
          </w:p>
        </w:tc>
        <w:tc>
          <w:tcPr>
            <w:tcW w:w="6520" w:type="dxa"/>
            <w:tcBorders>
              <w:top w:val="single" w:sz="4" w:space="0" w:color="000000"/>
              <w:left w:val="single" w:sz="4" w:space="0" w:color="000000"/>
              <w:bottom w:val="single" w:sz="4" w:space="0" w:color="000000"/>
              <w:right w:val="single" w:sz="4" w:space="0" w:color="000000"/>
            </w:tcBorders>
          </w:tcPr>
          <w:p w14:paraId="74F16C1E" w14:textId="77777777" w:rsidR="00450114" w:rsidRPr="00310B0F" w:rsidRDefault="00450114" w:rsidP="00D171C3">
            <w:pPr>
              <w:pStyle w:val="TableParagraph"/>
              <w:kinsoku w:val="0"/>
              <w:overflowPunct w:val="0"/>
              <w:ind w:left="0" w:hanging="1"/>
              <w:rPr>
                <w:sz w:val="22"/>
                <w:szCs w:val="22"/>
              </w:rPr>
            </w:pPr>
            <w:r w:rsidRPr="00310B0F">
              <w:rPr>
                <w:sz w:val="22"/>
                <w:szCs w:val="22"/>
              </w:rPr>
              <w:t>Pokles telesnej hmotnosti***</w:t>
            </w:r>
          </w:p>
          <w:p w14:paraId="6CCDC271" w14:textId="77777777" w:rsidR="00450114" w:rsidRPr="00310B0F" w:rsidRDefault="00450114" w:rsidP="00D171C3">
            <w:pPr>
              <w:pStyle w:val="TableParagraph"/>
              <w:kinsoku w:val="0"/>
              <w:overflowPunct w:val="0"/>
              <w:ind w:left="0" w:hanging="1"/>
              <w:rPr>
                <w:sz w:val="22"/>
                <w:szCs w:val="22"/>
              </w:rPr>
            </w:pPr>
            <w:r w:rsidRPr="00310B0F">
              <w:rPr>
                <w:sz w:val="22"/>
                <w:szCs w:val="22"/>
              </w:rPr>
              <w:t>Zvýšené triacylglyceroly v krvi</w:t>
            </w:r>
          </w:p>
        </w:tc>
      </w:tr>
      <w:tr w:rsidR="00450114" w:rsidRPr="00310B0F" w14:paraId="15F6B12F" w14:textId="77777777" w:rsidTr="00D171C3">
        <w:trPr>
          <w:trHeight w:val="253"/>
        </w:trPr>
        <w:tc>
          <w:tcPr>
            <w:tcW w:w="2553" w:type="dxa"/>
            <w:tcBorders>
              <w:top w:val="single" w:sz="4" w:space="0" w:color="000000"/>
              <w:left w:val="single" w:sz="4" w:space="0" w:color="000000"/>
              <w:bottom w:val="single" w:sz="4" w:space="0" w:color="000000"/>
              <w:right w:val="single" w:sz="4" w:space="0" w:color="000000"/>
            </w:tcBorders>
          </w:tcPr>
          <w:p w14:paraId="77DC0F84" w14:textId="77777777" w:rsidR="00450114" w:rsidRPr="00310B0F" w:rsidRDefault="00450114" w:rsidP="00D171C3">
            <w:pPr>
              <w:pStyle w:val="TableParagraph"/>
              <w:kinsoku w:val="0"/>
              <w:overflowPunct w:val="0"/>
              <w:ind w:left="0" w:hanging="1"/>
              <w:rPr>
                <w:sz w:val="22"/>
                <w:szCs w:val="22"/>
              </w:rPr>
            </w:pPr>
            <w:r w:rsidRPr="00310B0F">
              <w:rPr>
                <w:sz w:val="22"/>
                <w:szCs w:val="22"/>
              </w:rPr>
              <w:t>Menej časté:</w:t>
            </w:r>
          </w:p>
        </w:tc>
        <w:tc>
          <w:tcPr>
            <w:tcW w:w="6520" w:type="dxa"/>
            <w:tcBorders>
              <w:top w:val="single" w:sz="4" w:space="0" w:color="000000"/>
              <w:left w:val="single" w:sz="4" w:space="0" w:color="000000"/>
              <w:bottom w:val="single" w:sz="4" w:space="0" w:color="000000"/>
              <w:right w:val="single" w:sz="4" w:space="0" w:color="000000"/>
            </w:tcBorders>
          </w:tcPr>
          <w:p w14:paraId="504C30BD" w14:textId="77777777" w:rsidR="00450114" w:rsidRPr="00310B0F" w:rsidRDefault="00450114" w:rsidP="00D171C3">
            <w:pPr>
              <w:pStyle w:val="TableParagraph"/>
              <w:kinsoku w:val="0"/>
              <w:overflowPunct w:val="0"/>
              <w:ind w:left="0" w:hanging="1"/>
              <w:rPr>
                <w:sz w:val="22"/>
                <w:szCs w:val="22"/>
              </w:rPr>
            </w:pPr>
            <w:r w:rsidRPr="00310B0F">
              <w:rPr>
                <w:sz w:val="22"/>
                <w:szCs w:val="22"/>
              </w:rPr>
              <w:t>Znížený počet neutrofilov</w:t>
            </w:r>
          </w:p>
        </w:tc>
      </w:tr>
      <w:tr w:rsidR="00450114" w:rsidRPr="00310B0F" w14:paraId="1D8E09C3" w14:textId="77777777" w:rsidTr="00D171C3">
        <w:trPr>
          <w:trHeight w:val="2023"/>
        </w:trPr>
        <w:tc>
          <w:tcPr>
            <w:tcW w:w="9073" w:type="dxa"/>
            <w:gridSpan w:val="2"/>
            <w:tcBorders>
              <w:top w:val="single" w:sz="4" w:space="0" w:color="000000"/>
              <w:left w:val="single" w:sz="4" w:space="0" w:color="000000"/>
              <w:bottom w:val="single" w:sz="4" w:space="0" w:color="000000"/>
              <w:right w:val="single" w:sz="4" w:space="0" w:color="000000"/>
            </w:tcBorders>
          </w:tcPr>
          <w:p w14:paraId="33F8087B" w14:textId="77777777" w:rsidR="00450114"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Nehlásené v štúdiách FREEDOMS, FREEDOMS II a TRANSFORMS. Kategória</w:t>
            </w:r>
            <w:r w:rsidRPr="00310B0F">
              <w:rPr>
                <w:spacing w:val="-14"/>
                <w:sz w:val="22"/>
                <w:szCs w:val="22"/>
              </w:rPr>
              <w:t xml:space="preserve"> </w:t>
            </w:r>
            <w:r w:rsidRPr="00310B0F">
              <w:rPr>
                <w:sz w:val="22"/>
                <w:szCs w:val="22"/>
              </w:rPr>
              <w:t>frekvencie</w:t>
            </w:r>
          </w:p>
          <w:p w14:paraId="4D6A1732" w14:textId="77777777" w:rsidR="00450114" w:rsidRDefault="00450114" w:rsidP="00D171C3">
            <w:pPr>
              <w:pStyle w:val="TableParagraph"/>
              <w:tabs>
                <w:tab w:val="left" w:pos="675"/>
              </w:tabs>
              <w:kinsoku w:val="0"/>
              <w:overflowPunct w:val="0"/>
              <w:ind w:left="0" w:hanging="1"/>
              <w:rPr>
                <w:sz w:val="22"/>
                <w:szCs w:val="22"/>
              </w:rPr>
            </w:pPr>
            <w:r w:rsidRPr="00310B0F">
              <w:rPr>
                <w:sz w:val="22"/>
                <w:szCs w:val="22"/>
              </w:rPr>
              <w:t xml:space="preserve"> </w:t>
            </w:r>
            <w:r>
              <w:rPr>
                <w:sz w:val="22"/>
                <w:szCs w:val="22"/>
              </w:rPr>
              <w:t xml:space="preserve">            </w:t>
            </w:r>
            <w:r w:rsidRPr="00310B0F">
              <w:rPr>
                <w:sz w:val="22"/>
                <w:szCs w:val="22"/>
              </w:rPr>
              <w:t>bola založená na odhadovanej expozícii fingolimodu u približne 10 000 pacientov vo všetkých</w:t>
            </w:r>
          </w:p>
          <w:p w14:paraId="7A08C20F" w14:textId="77777777" w:rsidR="00450114" w:rsidRPr="00310B0F" w:rsidRDefault="00450114" w:rsidP="00D171C3">
            <w:pPr>
              <w:pStyle w:val="TableParagraph"/>
              <w:tabs>
                <w:tab w:val="left" w:pos="675"/>
              </w:tabs>
              <w:kinsoku w:val="0"/>
              <w:overflowPunct w:val="0"/>
              <w:ind w:left="0" w:hanging="1"/>
              <w:rPr>
                <w:sz w:val="22"/>
                <w:szCs w:val="22"/>
              </w:rPr>
            </w:pPr>
            <w:r>
              <w:rPr>
                <w:sz w:val="22"/>
                <w:szCs w:val="22"/>
              </w:rPr>
              <w:t xml:space="preserve">         </w:t>
            </w:r>
            <w:r w:rsidRPr="00310B0F">
              <w:rPr>
                <w:sz w:val="22"/>
                <w:szCs w:val="22"/>
              </w:rPr>
              <w:t xml:space="preserve"> </w:t>
            </w:r>
            <w:r>
              <w:rPr>
                <w:sz w:val="22"/>
                <w:szCs w:val="22"/>
              </w:rPr>
              <w:t xml:space="preserve">   </w:t>
            </w:r>
            <w:r w:rsidRPr="00310B0F">
              <w:rPr>
                <w:sz w:val="22"/>
                <w:szCs w:val="22"/>
              </w:rPr>
              <w:t>klinických</w:t>
            </w:r>
            <w:r w:rsidRPr="00310B0F">
              <w:rPr>
                <w:spacing w:val="-2"/>
                <w:sz w:val="22"/>
                <w:szCs w:val="22"/>
              </w:rPr>
              <w:t xml:space="preserve"> </w:t>
            </w:r>
            <w:r w:rsidRPr="00310B0F">
              <w:rPr>
                <w:sz w:val="22"/>
                <w:szCs w:val="22"/>
              </w:rPr>
              <w:t>skúšaniach.</w:t>
            </w:r>
          </w:p>
          <w:p w14:paraId="3D09C50B" w14:textId="77777777" w:rsidR="00450114"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PML a kryptokokové infekcie (vrátane prípadov kryptokokovej meningitídy) boli hlásené</w:t>
            </w:r>
            <w:r w:rsidRPr="00310B0F">
              <w:rPr>
                <w:spacing w:val="-23"/>
                <w:sz w:val="22"/>
                <w:szCs w:val="22"/>
              </w:rPr>
              <w:t xml:space="preserve"> </w:t>
            </w:r>
            <w:r w:rsidRPr="00310B0F">
              <w:rPr>
                <w:sz w:val="22"/>
                <w:szCs w:val="22"/>
              </w:rPr>
              <w:t>pri</w:t>
            </w:r>
          </w:p>
          <w:p w14:paraId="3AD8F9C2" w14:textId="77777777" w:rsidR="00450114" w:rsidRPr="00310B0F" w:rsidRDefault="00450114" w:rsidP="00D171C3">
            <w:pPr>
              <w:pStyle w:val="TableParagraph"/>
              <w:kinsoku w:val="0"/>
              <w:overflowPunct w:val="0"/>
              <w:ind w:left="0" w:hanging="1"/>
              <w:rPr>
                <w:sz w:val="22"/>
                <w:szCs w:val="22"/>
              </w:rPr>
            </w:pPr>
            <w:r>
              <w:rPr>
                <w:sz w:val="22"/>
                <w:szCs w:val="22"/>
              </w:rPr>
              <w:t xml:space="preserve">            </w:t>
            </w:r>
            <w:r w:rsidRPr="00310B0F">
              <w:rPr>
                <w:sz w:val="22"/>
                <w:szCs w:val="22"/>
              </w:rPr>
              <w:t>používaní lieku po jeho uvedení na trh (pozri časť 4.4).</w:t>
            </w:r>
          </w:p>
          <w:p w14:paraId="30F25B3F"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Nežiaduce reakcie na liek zo spontánnych hlásení a</w:t>
            </w:r>
            <w:r w:rsidRPr="00310B0F">
              <w:rPr>
                <w:spacing w:val="-5"/>
                <w:sz w:val="22"/>
                <w:szCs w:val="22"/>
              </w:rPr>
              <w:t xml:space="preserve"> </w:t>
            </w:r>
            <w:r w:rsidRPr="00310B0F">
              <w:rPr>
                <w:sz w:val="22"/>
                <w:szCs w:val="22"/>
              </w:rPr>
              <w:t>literatúry</w:t>
            </w:r>
          </w:p>
          <w:p w14:paraId="5CA35C92" w14:textId="77777777" w:rsidR="00450114" w:rsidRDefault="00450114" w:rsidP="00D171C3">
            <w:pPr>
              <w:pStyle w:val="TableParagraph"/>
              <w:kinsoku w:val="0"/>
              <w:overflowPunct w:val="0"/>
              <w:ind w:left="0" w:hanging="1"/>
              <w:rPr>
                <w:sz w:val="22"/>
                <w:szCs w:val="22"/>
              </w:rPr>
            </w:pPr>
            <w:r w:rsidRPr="00310B0F">
              <w:rPr>
                <w:sz w:val="22"/>
                <w:szCs w:val="22"/>
              </w:rPr>
              <w:t xml:space="preserve">**** </w:t>
            </w:r>
            <w:r>
              <w:rPr>
                <w:sz w:val="22"/>
                <w:szCs w:val="22"/>
              </w:rPr>
              <w:t xml:space="preserve">   </w:t>
            </w:r>
            <w:r w:rsidRPr="00310B0F">
              <w:rPr>
                <w:sz w:val="22"/>
                <w:szCs w:val="22"/>
              </w:rPr>
              <w:t xml:space="preserve">Kategória frekvencie a hodnotenie rizika sú založené na odhadovanej expozícii 0,5 mg </w:t>
            </w:r>
            <w:r>
              <w:rPr>
                <w:sz w:val="22"/>
                <w:szCs w:val="22"/>
              </w:rPr>
              <w:t xml:space="preserve">  </w:t>
            </w:r>
          </w:p>
          <w:p w14:paraId="02234155" w14:textId="77777777" w:rsidR="00450114" w:rsidRPr="00310B0F" w:rsidRDefault="00450114" w:rsidP="00D171C3">
            <w:pPr>
              <w:pStyle w:val="TableParagraph"/>
              <w:kinsoku w:val="0"/>
              <w:overflowPunct w:val="0"/>
              <w:ind w:left="0" w:hanging="1"/>
              <w:rPr>
                <w:sz w:val="22"/>
                <w:szCs w:val="22"/>
              </w:rPr>
            </w:pPr>
            <w:r>
              <w:rPr>
                <w:sz w:val="22"/>
                <w:szCs w:val="22"/>
              </w:rPr>
              <w:t xml:space="preserve">            f</w:t>
            </w:r>
            <w:r w:rsidRPr="00310B0F">
              <w:rPr>
                <w:sz w:val="22"/>
                <w:szCs w:val="22"/>
              </w:rPr>
              <w:t>ingolimodu u viac ako 24 000 pacientov vo všetkých klinických štúdiách.</w:t>
            </w:r>
          </w:p>
        </w:tc>
      </w:tr>
    </w:tbl>
    <w:p w14:paraId="6D1933F0" w14:textId="77777777" w:rsidR="00450114" w:rsidRPr="00310B0F" w:rsidRDefault="00450114" w:rsidP="00450114">
      <w:pPr>
        <w:pStyle w:val="Zkladntext"/>
        <w:kinsoku w:val="0"/>
        <w:overflowPunct w:val="0"/>
        <w:ind w:hanging="1"/>
      </w:pPr>
    </w:p>
    <w:p w14:paraId="7AEA7492" w14:textId="77777777" w:rsidR="00450114" w:rsidRPr="00310B0F" w:rsidRDefault="00450114" w:rsidP="00450114">
      <w:pPr>
        <w:pStyle w:val="Zkladntext"/>
        <w:kinsoku w:val="0"/>
        <w:overflowPunct w:val="0"/>
        <w:ind w:hanging="1"/>
      </w:pPr>
      <w:r>
        <w:rPr>
          <w:u w:val="single"/>
        </w:rPr>
        <w:t>O</w:t>
      </w:r>
      <w:r w:rsidRPr="00310B0F">
        <w:rPr>
          <w:u w:val="single"/>
        </w:rPr>
        <w:t>pis vybraných nežiaducich reakcií</w:t>
      </w:r>
    </w:p>
    <w:p w14:paraId="0F8704F2" w14:textId="77777777" w:rsidR="00450114" w:rsidRPr="00310B0F" w:rsidRDefault="00450114" w:rsidP="00450114">
      <w:pPr>
        <w:pStyle w:val="Zkladntext"/>
        <w:kinsoku w:val="0"/>
        <w:overflowPunct w:val="0"/>
        <w:ind w:hanging="1"/>
      </w:pPr>
    </w:p>
    <w:p w14:paraId="49D56DCA" w14:textId="77777777" w:rsidR="00450114" w:rsidRPr="00310B0F" w:rsidRDefault="00450114" w:rsidP="00450114">
      <w:pPr>
        <w:pStyle w:val="Zkladntext"/>
        <w:kinsoku w:val="0"/>
        <w:overflowPunct w:val="0"/>
        <w:ind w:hanging="1"/>
        <w:rPr>
          <w:i/>
          <w:iCs/>
        </w:rPr>
      </w:pPr>
      <w:r w:rsidRPr="00310B0F">
        <w:rPr>
          <w:i/>
          <w:iCs/>
          <w:u w:val="single"/>
        </w:rPr>
        <w:t>Infekcie</w:t>
      </w:r>
    </w:p>
    <w:p w14:paraId="1BE1A8DD" w14:textId="15696B89" w:rsidR="00450114" w:rsidRPr="00310B0F" w:rsidRDefault="00450114" w:rsidP="00450114">
      <w:pPr>
        <w:pStyle w:val="Zkladntext"/>
        <w:kinsoku w:val="0"/>
        <w:overflowPunct w:val="0"/>
        <w:ind w:hanging="1"/>
      </w:pPr>
      <w:r w:rsidRPr="00310B0F">
        <w:t xml:space="preserve">V klinických štúdiách </w:t>
      </w:r>
      <w:r w:rsidR="00D20260">
        <w:t>so sklerózou</w:t>
      </w:r>
      <w:r w:rsidRPr="00310B0F">
        <w:t xml:space="preserve"> multiplex bol celkový výskyt infekcií (65,1 %) pri dávke 0,5 mg podobný ako pri placebe. Infekcie dolných dýchacích ciest, najmä bronchitída a v menšej miere herpetická infekcia a pneumónia, boli však častejšie u pacientov liečených </w:t>
      </w:r>
      <w:r>
        <w:t>fingolimodom</w:t>
      </w:r>
      <w:r w:rsidRPr="00310B0F">
        <w:t>.</w:t>
      </w:r>
    </w:p>
    <w:p w14:paraId="3B17EEE4" w14:textId="77777777" w:rsidR="00450114" w:rsidRPr="00310B0F" w:rsidRDefault="00450114" w:rsidP="00450114">
      <w:pPr>
        <w:pStyle w:val="Zkladntext"/>
        <w:kinsoku w:val="0"/>
        <w:overflowPunct w:val="0"/>
        <w:ind w:hanging="1"/>
      </w:pPr>
    </w:p>
    <w:p w14:paraId="20347B0B" w14:textId="77777777" w:rsidR="00450114" w:rsidRPr="00310B0F" w:rsidRDefault="00450114" w:rsidP="00450114">
      <w:pPr>
        <w:pStyle w:val="Zkladntext"/>
        <w:kinsoku w:val="0"/>
        <w:overflowPunct w:val="0"/>
        <w:ind w:hanging="1"/>
      </w:pPr>
      <w:r w:rsidRPr="00310B0F">
        <w:t>Niekoľko prípadov diseminovanej herpetickej infekcie, vrátane prípadov končiacich sa úmrtím, sa</w:t>
      </w:r>
    </w:p>
    <w:p w14:paraId="18612326" w14:textId="77777777" w:rsidR="00450114" w:rsidRPr="00310B0F" w:rsidRDefault="00450114" w:rsidP="00450114">
      <w:pPr>
        <w:pStyle w:val="Zkladntext"/>
        <w:kinsoku w:val="0"/>
        <w:overflowPunct w:val="0"/>
        <w:ind w:hanging="1"/>
      </w:pPr>
      <w:r w:rsidRPr="00310B0F">
        <w:t>zaznamenalo aj pri dávke 0,5 mg.</w:t>
      </w:r>
    </w:p>
    <w:p w14:paraId="618E2D96" w14:textId="77777777" w:rsidR="00450114" w:rsidRPr="00310B0F" w:rsidRDefault="00450114" w:rsidP="00450114">
      <w:pPr>
        <w:pStyle w:val="Zkladntext"/>
        <w:kinsoku w:val="0"/>
        <w:overflowPunct w:val="0"/>
        <w:ind w:hanging="1"/>
      </w:pPr>
    </w:p>
    <w:p w14:paraId="5C8B7626" w14:textId="084F1A79" w:rsidR="00450114" w:rsidRPr="00310B0F" w:rsidRDefault="00450114">
      <w:pPr>
        <w:pStyle w:val="Zkladntext"/>
        <w:kinsoku w:val="0"/>
        <w:overflowPunct w:val="0"/>
        <w:ind w:hanging="1"/>
      </w:pPr>
      <w:r w:rsidRPr="00310B0F">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w:t>
      </w:r>
      <w:r w:rsidR="00D20260">
        <w:t xml:space="preserve"> </w:t>
      </w:r>
      <w:r w:rsidRPr="00310B0F">
        <w:t>z ktorých niektoré boli smrteľné (pozri časť 4.4).</w:t>
      </w:r>
    </w:p>
    <w:p w14:paraId="6D4067D8" w14:textId="77777777" w:rsidR="00450114" w:rsidRDefault="00450114" w:rsidP="00450114">
      <w:pPr>
        <w:pStyle w:val="Zkladntext"/>
        <w:kinsoku w:val="0"/>
        <w:overflowPunct w:val="0"/>
        <w:ind w:hanging="1"/>
      </w:pPr>
    </w:p>
    <w:p w14:paraId="5ADCB3B7" w14:textId="77777777" w:rsidR="00450114" w:rsidRPr="00310B0F" w:rsidRDefault="00450114" w:rsidP="00450114">
      <w:pPr>
        <w:pStyle w:val="Zkladntext"/>
        <w:kinsoku w:val="0"/>
        <w:overflowPunct w:val="0"/>
        <w:ind w:hanging="1"/>
      </w:pPr>
      <w:r w:rsidRPr="00310B0F">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5FE76332" w14:textId="77777777" w:rsidR="00450114" w:rsidRPr="00310B0F" w:rsidRDefault="00450114" w:rsidP="00450114">
      <w:pPr>
        <w:pStyle w:val="Zkladntext"/>
        <w:kinsoku w:val="0"/>
        <w:overflowPunct w:val="0"/>
        <w:ind w:hanging="1"/>
      </w:pPr>
    </w:p>
    <w:p w14:paraId="4AD56EB3" w14:textId="77777777" w:rsidR="00450114" w:rsidRPr="00310B0F" w:rsidRDefault="00450114" w:rsidP="00450114">
      <w:pPr>
        <w:pStyle w:val="Zkladntext"/>
        <w:kinsoku w:val="0"/>
        <w:overflowPunct w:val="0"/>
        <w:ind w:hanging="1"/>
        <w:rPr>
          <w:i/>
          <w:iCs/>
        </w:rPr>
      </w:pPr>
      <w:r w:rsidRPr="00310B0F">
        <w:rPr>
          <w:i/>
          <w:iCs/>
          <w:u w:val="single"/>
        </w:rPr>
        <w:t>Makulárny edém</w:t>
      </w:r>
    </w:p>
    <w:p w14:paraId="79049454" w14:textId="6C0BE770" w:rsidR="00450114" w:rsidRPr="00310B0F" w:rsidRDefault="00450114" w:rsidP="00450114">
      <w:pPr>
        <w:pStyle w:val="Zkladntext"/>
        <w:kinsoku w:val="0"/>
        <w:overflowPunct w:val="0"/>
        <w:ind w:hanging="1"/>
      </w:pPr>
      <w:r w:rsidRPr="00310B0F">
        <w:t xml:space="preserve">V klinických štúdiách </w:t>
      </w:r>
      <w:r w:rsidR="00D20260">
        <w:t>so sklerózou</w:t>
      </w:r>
      <w:r w:rsidRPr="00310B0F">
        <w:t xml:space="preserve"> multiplex sa makulárny edém vyskytol u 0,5 % pacientov liečených odporúčanou dávkou 0,5 mg a u 1,1 % pacientov liečených vyššou dávkou 1,25 mg. Väčšina prípadov sa vyskytla v priebehu prvých 3-4 mesiacov liečby. U niektorých pacientov sa prejavoval zahmleným videním alebo zníženou zrakovou ostrosťou, ale iní boli asymptomatickí a diagnostikovaní pri rutinnom oftalmologickom vyšetrení. Makulárny edém sa spravidla zlepšil alebo spontánne ustúpil po vysadení </w:t>
      </w:r>
      <w:r>
        <w:t>fingolimodu</w:t>
      </w:r>
      <w:r w:rsidRPr="00310B0F">
        <w:t>. Riziko recidívy po opätovnom podaní liečby sa nehodnotilo.</w:t>
      </w:r>
    </w:p>
    <w:p w14:paraId="3FBB4969" w14:textId="77777777" w:rsidR="00450114" w:rsidRPr="00310B0F" w:rsidRDefault="00450114" w:rsidP="00450114">
      <w:pPr>
        <w:pStyle w:val="Zkladntext"/>
        <w:kinsoku w:val="0"/>
        <w:overflowPunct w:val="0"/>
        <w:ind w:hanging="1"/>
      </w:pPr>
    </w:p>
    <w:p w14:paraId="0EFC1465" w14:textId="77777777" w:rsidR="00450114" w:rsidRPr="00310B0F" w:rsidRDefault="00450114" w:rsidP="00450114">
      <w:pPr>
        <w:pStyle w:val="Zkladntext"/>
        <w:kinsoku w:val="0"/>
        <w:overflowPunct w:val="0"/>
        <w:ind w:hanging="1"/>
      </w:pPr>
      <w:r w:rsidRPr="00310B0F">
        <w:t xml:space="preserve">Incidencia makulárneho edému je vyššia u pacientov so sclerosis multiplex, ktorí majú v anamnéze uveitídu (17 % s uveitídou v anamnéze oproti 0,6 % bez uveitídy v anamnéze). </w:t>
      </w:r>
      <w:r>
        <w:t xml:space="preserve">Fingolimod </w:t>
      </w:r>
      <w:r w:rsidRPr="00310B0F">
        <w:t>sa neskúšal u pacientov so sclerosis multiplex, ktorí mali súčasne diabetes mellitus, čo je ochorenie, ktoré sa</w:t>
      </w:r>
      <w:r w:rsidRPr="00310B0F">
        <w:rPr>
          <w:spacing w:val="-36"/>
        </w:rPr>
        <w:t xml:space="preserve"> </w:t>
      </w:r>
      <w:r w:rsidRPr="00310B0F">
        <w:t>spája so zvýšeným rizikom makulárneho edému (pozri časť 4.4). V klinických štúdiách pri transplantácii obličky, do ktorých boli zaradení aj pacienti, ktorí mali diabetes mellitus, liečba 2,5 mg a 5 mg fingolimodu mala za následok zvýšenie incidencie makulárneho edému na</w:t>
      </w:r>
      <w:r w:rsidRPr="00310B0F">
        <w:rPr>
          <w:spacing w:val="-11"/>
        </w:rPr>
        <w:t xml:space="preserve"> </w:t>
      </w:r>
      <w:r w:rsidRPr="00310B0F">
        <w:t>2-násobok.</w:t>
      </w:r>
    </w:p>
    <w:p w14:paraId="77A71299" w14:textId="77777777" w:rsidR="00450114" w:rsidRPr="00310B0F" w:rsidRDefault="00450114" w:rsidP="00450114">
      <w:pPr>
        <w:pStyle w:val="Zkladntext"/>
        <w:kinsoku w:val="0"/>
        <w:overflowPunct w:val="0"/>
        <w:ind w:hanging="1"/>
      </w:pPr>
    </w:p>
    <w:p w14:paraId="5F81625A" w14:textId="77777777" w:rsidR="00450114" w:rsidRPr="00310B0F" w:rsidRDefault="00450114" w:rsidP="00450114">
      <w:pPr>
        <w:pStyle w:val="Zkladntext"/>
        <w:kinsoku w:val="0"/>
        <w:overflowPunct w:val="0"/>
        <w:ind w:hanging="1"/>
        <w:rPr>
          <w:i/>
          <w:iCs/>
        </w:rPr>
      </w:pPr>
      <w:r w:rsidRPr="00310B0F">
        <w:rPr>
          <w:i/>
          <w:iCs/>
          <w:u w:val="single"/>
        </w:rPr>
        <w:t>Bradyarytmia</w:t>
      </w:r>
    </w:p>
    <w:p w14:paraId="01A710C2" w14:textId="54E24E32" w:rsidR="00450114" w:rsidRPr="00310B0F" w:rsidRDefault="00450114" w:rsidP="00450114">
      <w:pPr>
        <w:pStyle w:val="Zkladntext"/>
        <w:kinsoku w:val="0"/>
        <w:overflowPunct w:val="0"/>
        <w:ind w:hanging="1"/>
      </w:pPr>
      <w:r w:rsidRPr="00310B0F">
        <w:t xml:space="preserve">Začatie liečby </w:t>
      </w:r>
      <w:r>
        <w:t>fingolimodom</w:t>
      </w:r>
      <w:r w:rsidRPr="00310B0F">
        <w:t xml:space="preserve"> spôsobuje prechodné zníženie srdcovej frekvencie a môže byť spojené aj so </w:t>
      </w:r>
      <w:r w:rsidRPr="00310B0F">
        <w:lastRenderedPageBreak/>
        <w:t xml:space="preserve">spomalením </w:t>
      </w:r>
      <w:r w:rsidR="002E2907">
        <w:t>a</w:t>
      </w:r>
      <w:r w:rsidR="002E2907" w:rsidRPr="00310B0F">
        <w:t xml:space="preserve">trioventrikulárneho </w:t>
      </w:r>
      <w:r w:rsidRPr="00310B0F">
        <w:t xml:space="preserve">prevodu. V klinických štúdiách </w:t>
      </w:r>
      <w:r w:rsidR="002E2907">
        <w:t>so sklerózou</w:t>
      </w:r>
      <w:r w:rsidRPr="00310B0F">
        <w:t xml:space="preserve"> multiplex sa maximálny pokles srdcovej frekvencie zaznamenal do 6 hodín od začatia liečby, s poklesom priemernej srdcovej frekvencie o 12-13 úderov za minútu pri </w:t>
      </w:r>
      <w:r>
        <w:t>fingolimode</w:t>
      </w:r>
      <w:r w:rsidRPr="00310B0F">
        <w:t xml:space="preserve"> 0,5 mg. Srdcová frekvencia nižšia ako 40 úderov za minútu u dospelých pacientov a nižšia ako 50 úderov za minútu</w:t>
      </w:r>
    </w:p>
    <w:p w14:paraId="013A91D6" w14:textId="77777777" w:rsidR="00450114" w:rsidRPr="00310B0F" w:rsidRDefault="00450114" w:rsidP="00450114">
      <w:pPr>
        <w:pStyle w:val="Zkladntext"/>
        <w:kinsoku w:val="0"/>
        <w:overflowPunct w:val="0"/>
        <w:ind w:hanging="1"/>
      </w:pPr>
      <w:r w:rsidRPr="00310B0F">
        <w:t xml:space="preserve">u pediatrických pacientov sa zriedkavo pozorovala u pacientov užívajúcich </w:t>
      </w:r>
      <w:r>
        <w:t>fingolimod</w:t>
      </w:r>
      <w:r w:rsidRPr="00310B0F">
        <w:t xml:space="preserve"> 0,5 mg. Priemerná srdcová frekvencia sa vrátila k východiskovým hodnotám do 1 mesiaca pravidelnej liečby.</w:t>
      </w:r>
    </w:p>
    <w:p w14:paraId="3EF96A6D" w14:textId="77777777" w:rsidR="00450114" w:rsidRPr="00310B0F" w:rsidRDefault="00450114" w:rsidP="00450114">
      <w:pPr>
        <w:pStyle w:val="Zkladntext"/>
        <w:kinsoku w:val="0"/>
        <w:overflowPunct w:val="0"/>
        <w:ind w:hanging="1"/>
      </w:pPr>
      <w:r w:rsidRPr="00310B0F">
        <w:t>Bradykardia bola vo všeobecnosti asymptomatická, ale u niektorých pacientov sa objavili mierne až stredne závažné symptómy vrátane hypotenzie, závratov, únavy a/alebo palpitácií, ktoré zmizli do 24 hodín od začatia liečby (pozri tiež časti 4.4 a 5.1).</w:t>
      </w:r>
    </w:p>
    <w:p w14:paraId="0174B8F8" w14:textId="77777777" w:rsidR="00450114" w:rsidRPr="00310B0F" w:rsidRDefault="00450114" w:rsidP="00450114">
      <w:pPr>
        <w:pStyle w:val="Zkladntext"/>
        <w:kinsoku w:val="0"/>
        <w:overflowPunct w:val="0"/>
        <w:ind w:hanging="1"/>
      </w:pPr>
    </w:p>
    <w:p w14:paraId="02042694" w14:textId="65C2A01F" w:rsidR="002E2907" w:rsidRDefault="00450114" w:rsidP="00450114">
      <w:pPr>
        <w:pStyle w:val="Zkladntext"/>
        <w:kinsoku w:val="0"/>
        <w:overflowPunct w:val="0"/>
        <w:ind w:hanging="1"/>
      </w:pPr>
      <w:r w:rsidRPr="00310B0F">
        <w:t xml:space="preserve">V klinických štúdiách </w:t>
      </w:r>
      <w:r w:rsidR="002E2907">
        <w:t>so sklerózou</w:t>
      </w:r>
      <w:r w:rsidRPr="00310B0F">
        <w:t xml:space="preserve"> multiplex sa zistila na začiatku liečby </w:t>
      </w:r>
      <w:r w:rsidR="002E2907">
        <w:t>a</w:t>
      </w:r>
      <w:r w:rsidR="002E2907" w:rsidRPr="00310B0F">
        <w:t xml:space="preserve">trioventrikulárna </w:t>
      </w:r>
      <w:r w:rsidRPr="00310B0F">
        <w:t xml:space="preserve">blokáda prvého stupňa (predĺžený PR interval na EKG) u dospelých a pediatrických pacientov. V klinických skúšaniach s dospelými sa vyskytla u 4,7 % pacientov pri 0,5 mg fingolimodu, u </w:t>
      </w:r>
    </w:p>
    <w:p w14:paraId="75E8B365" w14:textId="7FCD6C94" w:rsidR="00450114" w:rsidRPr="00310B0F" w:rsidRDefault="00450114" w:rsidP="00450114">
      <w:pPr>
        <w:pStyle w:val="Zkladntext"/>
        <w:kinsoku w:val="0"/>
        <w:overflowPunct w:val="0"/>
        <w:ind w:hanging="1"/>
      </w:pPr>
      <w:r w:rsidRPr="00310B0F">
        <w:t xml:space="preserve">2,8 % pacientov pri intramuskulárnom interferóne beta-1a a u 1,6 % pacientov pri placebe. </w:t>
      </w:r>
      <w:r w:rsidR="00B05F08">
        <w:t>A</w:t>
      </w:r>
      <w:r w:rsidR="00B05F08" w:rsidRPr="00310B0F">
        <w:t xml:space="preserve">trioventrikulárna </w:t>
      </w:r>
      <w:r w:rsidRPr="00310B0F">
        <w:t xml:space="preserve">blokáda druhého stupňa sa zistila u menej ako 0,2 % dospelých pacientov pri </w:t>
      </w:r>
      <w:r>
        <w:t>fingolimode</w:t>
      </w:r>
      <w:r w:rsidRPr="00310B0F">
        <w:t xml:space="preserve"> 0,5 mg. Po uvedení lieku na trh sa zaznamenali počas šesť hodinovej pozorovacej doby po podaní prvej dávky </w:t>
      </w:r>
      <w:r>
        <w:t>Fingolimodu</w:t>
      </w:r>
      <w:r w:rsidRPr="00310B0F">
        <w:t xml:space="preserve"> ojedinelé prípady prechodnej kompletnej </w:t>
      </w:r>
      <w:r w:rsidR="00B05F08">
        <w:t>a</w:t>
      </w:r>
      <w:r w:rsidR="00B05F08" w:rsidRPr="00310B0F">
        <w:t xml:space="preserve">trioventrikulárnej </w:t>
      </w:r>
      <w:r w:rsidRPr="00310B0F">
        <w:t>blokády, ktorá spontánne vymizla.</w:t>
      </w:r>
      <w:r>
        <w:t xml:space="preserve"> </w:t>
      </w:r>
      <w:r w:rsidRPr="00310B0F">
        <w:t xml:space="preserve">Pacienti sa zotavili spontánne. Poruchy prevodu zaznamenané počas klinických skúšaní aj po uvedení lieku na trh boli obvykle prechodné, asymptomatické a zmizli počas prvých 24 hodín od začatia liečby. Hoci väčšina pacientov nevyžadovala lekársku intervenciu, jeden pacient užívajúci </w:t>
      </w:r>
      <w:r>
        <w:t>fingolimod</w:t>
      </w:r>
      <w:r w:rsidRPr="00310B0F">
        <w:t xml:space="preserve"> 0,5 mg dostal izoprenalín proti asymptomatickej </w:t>
      </w:r>
      <w:r w:rsidR="00B05F08">
        <w:t>a</w:t>
      </w:r>
      <w:r w:rsidR="00B05F08" w:rsidRPr="00310B0F">
        <w:t xml:space="preserve">trioventrikulárnej </w:t>
      </w:r>
      <w:r w:rsidRPr="00310B0F">
        <w:t>blokáde Mobitz I druhého</w:t>
      </w:r>
      <w:r w:rsidRPr="00310B0F">
        <w:rPr>
          <w:spacing w:val="-20"/>
        </w:rPr>
        <w:t xml:space="preserve"> </w:t>
      </w:r>
      <w:r w:rsidRPr="00310B0F">
        <w:t>stupňa.</w:t>
      </w:r>
    </w:p>
    <w:p w14:paraId="7B371776" w14:textId="77777777" w:rsidR="00450114" w:rsidRPr="00310B0F" w:rsidRDefault="00450114" w:rsidP="00450114">
      <w:pPr>
        <w:pStyle w:val="Zkladntext"/>
        <w:kinsoku w:val="0"/>
        <w:overflowPunct w:val="0"/>
        <w:ind w:hanging="1"/>
      </w:pPr>
    </w:p>
    <w:p w14:paraId="0B8BF34B" w14:textId="77777777" w:rsidR="00450114" w:rsidRPr="00310B0F" w:rsidRDefault="00450114" w:rsidP="00450114">
      <w:pPr>
        <w:pStyle w:val="Zkladntext"/>
        <w:kinsoku w:val="0"/>
        <w:overflowPunct w:val="0"/>
        <w:ind w:hanging="1"/>
      </w:pPr>
      <w:r w:rsidRPr="00310B0F">
        <w:t xml:space="preserve">Po uvedení lieku na trh sa ojedinele zaznamenal do 24 hodín po podaní prvej dávky oneskorený nástup reakcií, vrátane prechodnej asystolie a neobjasneného úmrtia. Tieto prípady boli skreslené súčasne podávanými liekmi a/alebo už jestvujúcim ochorením. Spojitosť týchto udalostí s </w:t>
      </w:r>
      <w:r>
        <w:t>fingolimodom</w:t>
      </w:r>
      <w:r w:rsidRPr="00310B0F">
        <w:t xml:space="preserve"> nie je známa.</w:t>
      </w:r>
    </w:p>
    <w:p w14:paraId="13014D9B" w14:textId="77777777" w:rsidR="00450114" w:rsidRDefault="00450114" w:rsidP="00450114">
      <w:pPr>
        <w:pStyle w:val="Zkladntext"/>
        <w:kinsoku w:val="0"/>
        <w:overflowPunct w:val="0"/>
        <w:ind w:hanging="1"/>
      </w:pPr>
    </w:p>
    <w:p w14:paraId="340AE01E" w14:textId="77777777" w:rsidR="00450114" w:rsidRPr="00310B0F" w:rsidRDefault="00450114" w:rsidP="00450114">
      <w:pPr>
        <w:pStyle w:val="Zkladntext"/>
        <w:kinsoku w:val="0"/>
        <w:overflowPunct w:val="0"/>
        <w:ind w:hanging="1"/>
        <w:rPr>
          <w:i/>
          <w:iCs/>
        </w:rPr>
      </w:pPr>
      <w:r w:rsidRPr="00310B0F">
        <w:rPr>
          <w:i/>
          <w:iCs/>
          <w:u w:val="single"/>
        </w:rPr>
        <w:t>Krvný tlak</w:t>
      </w:r>
    </w:p>
    <w:p w14:paraId="2044AA34" w14:textId="06CB6F97" w:rsidR="00450114" w:rsidRPr="00310B0F" w:rsidRDefault="00450114" w:rsidP="00450114">
      <w:pPr>
        <w:pStyle w:val="Zkladntext"/>
        <w:kinsoku w:val="0"/>
        <w:overflowPunct w:val="0"/>
        <w:ind w:hanging="1"/>
      </w:pPr>
      <w:r w:rsidRPr="00310B0F">
        <w:t xml:space="preserve">V klinických štúdiách </w:t>
      </w:r>
      <w:r w:rsidR="004C1BF6">
        <w:t>so sklerózou</w:t>
      </w:r>
      <w:r w:rsidRPr="00310B0F">
        <w:t xml:space="preserve"> multiplex sa užívanie </w:t>
      </w:r>
      <w:r>
        <w:t>fingolimodu</w:t>
      </w:r>
      <w:r w:rsidRPr="00310B0F">
        <w:t xml:space="preserve"> 0,5 mg spájalo s priemerným zvýšením systolického tlaku približne o 3 mmHg a diastolického tlaku približne o 1 mmHg, ktoré sa prejavilo asi 1 mesiac po začatí liečby. Toto zvýšenie pretrvávalo pri pokračujúcej liečbe. Hypertenzia bola hlásená u 6,5 % pacientov pri 0,5 mg fingolimodu a u 3,3 % pacientov pri placebe. Po uvedení lieku na trh boli počas prvého mesiaca po začatí liečby a aj počas prvého dňa liečby hlásené prípady hypertenzie, ktoré môžu vyžadovať antihypertenzívnu liečbu alebo ukončenie liečby </w:t>
      </w:r>
      <w:r>
        <w:t>fingolimodom</w:t>
      </w:r>
      <w:r w:rsidRPr="00310B0F">
        <w:t xml:space="preserve"> (pozri aj časť 4.4, Účinky na tlak krvi).</w:t>
      </w:r>
    </w:p>
    <w:p w14:paraId="0542556D" w14:textId="77777777" w:rsidR="00450114" w:rsidRPr="00310B0F" w:rsidRDefault="00450114" w:rsidP="00450114">
      <w:pPr>
        <w:pStyle w:val="Zkladntext"/>
        <w:kinsoku w:val="0"/>
        <w:overflowPunct w:val="0"/>
        <w:ind w:hanging="1"/>
      </w:pPr>
    </w:p>
    <w:p w14:paraId="5CD3E37A" w14:textId="77777777" w:rsidR="00450114" w:rsidRPr="00310B0F" w:rsidRDefault="00450114" w:rsidP="00450114">
      <w:pPr>
        <w:pStyle w:val="Zkladntext"/>
        <w:kinsoku w:val="0"/>
        <w:overflowPunct w:val="0"/>
        <w:ind w:hanging="1"/>
        <w:rPr>
          <w:i/>
          <w:iCs/>
        </w:rPr>
      </w:pPr>
      <w:r w:rsidRPr="00310B0F">
        <w:rPr>
          <w:i/>
          <w:iCs/>
          <w:u w:val="single"/>
        </w:rPr>
        <w:t>Funkcia pečene</w:t>
      </w:r>
    </w:p>
    <w:p w14:paraId="47CAB7F4" w14:textId="4584B737" w:rsidR="00450114" w:rsidRPr="00310B0F" w:rsidRDefault="00450114" w:rsidP="00450114">
      <w:pPr>
        <w:pStyle w:val="Zkladntext"/>
        <w:kinsoku w:val="0"/>
        <w:overflowPunct w:val="0"/>
        <w:ind w:hanging="1"/>
      </w:pPr>
      <w:r w:rsidRPr="00310B0F">
        <w:t xml:space="preserve">U dospelých a pediatrických pacientov so </w:t>
      </w:r>
      <w:r w:rsidR="00810F31">
        <w:t>sklerózou</w:t>
      </w:r>
      <w:r w:rsidR="00810F31" w:rsidRPr="00310B0F">
        <w:t xml:space="preserve"> </w:t>
      </w:r>
      <w:r w:rsidRPr="00310B0F">
        <w:t xml:space="preserve">multiplex liečených </w:t>
      </w:r>
      <w:r>
        <w:t>fingolimodom</w:t>
      </w:r>
      <w:r w:rsidRPr="00310B0F">
        <w:t xml:space="preserve"> sa zaznamenali zvýšené pečeňové enzýmy. V klinických štúdiách sa u 8,0 % dospelých pacientov liečených </w:t>
      </w:r>
      <w:r>
        <w:t>fingolimodom</w:t>
      </w:r>
      <w:r w:rsidRPr="00310B0F">
        <w:t xml:space="preserve"> 0,5 mg vyskytlo asymptomatické zvýšenie sérových hladín ALT ≥3x ULN (horná hranica normy) a</w:t>
      </w:r>
      <w:r>
        <w:t xml:space="preserve"> </w:t>
      </w:r>
      <w:r w:rsidRPr="00310B0F">
        <w:t xml:space="preserve">u 1,8 % dospelých pacientov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vysadenia </w:t>
      </w:r>
      <w:r>
        <w:t>fingolimodu</w:t>
      </w:r>
      <w:r w:rsidRPr="00310B0F">
        <w:t xml:space="preserve">. U malého počtu pacientov (N=10 pri 1,25 mg, N=2 pri 0,5 mg), u ktorých došlo k zvýšeniu ALT ≥5x ULN a ktorí pokračovali v liečbe </w:t>
      </w:r>
      <w:r>
        <w:t>fingolimodom</w:t>
      </w:r>
      <w:r w:rsidRPr="00310B0F">
        <w:t>, sa hladiny ALT vrátili do normálu približne do 5 mesiacov (pozri aj časť 4.4, Funkcia pečene).</w:t>
      </w:r>
    </w:p>
    <w:p w14:paraId="46FFF66A" w14:textId="77777777" w:rsidR="00450114" w:rsidRPr="00310B0F" w:rsidRDefault="00450114" w:rsidP="00450114">
      <w:pPr>
        <w:pStyle w:val="Zkladntext"/>
        <w:kinsoku w:val="0"/>
        <w:overflowPunct w:val="0"/>
        <w:ind w:hanging="1"/>
      </w:pPr>
    </w:p>
    <w:p w14:paraId="649D1420" w14:textId="77777777" w:rsidR="00450114" w:rsidRPr="00310B0F" w:rsidRDefault="00450114" w:rsidP="00450114">
      <w:pPr>
        <w:pStyle w:val="Zkladntext"/>
        <w:kinsoku w:val="0"/>
        <w:overflowPunct w:val="0"/>
        <w:ind w:hanging="1"/>
        <w:rPr>
          <w:i/>
          <w:iCs/>
        </w:rPr>
      </w:pPr>
      <w:r w:rsidRPr="00310B0F">
        <w:rPr>
          <w:i/>
          <w:iCs/>
          <w:u w:val="single"/>
        </w:rPr>
        <w:t>Poruchy nervového</w:t>
      </w:r>
      <w:r w:rsidRPr="00310B0F">
        <w:rPr>
          <w:i/>
          <w:iCs/>
          <w:spacing w:val="-6"/>
          <w:u w:val="single"/>
        </w:rPr>
        <w:t xml:space="preserve"> </w:t>
      </w:r>
      <w:r w:rsidRPr="00310B0F">
        <w:rPr>
          <w:i/>
          <w:iCs/>
          <w:u w:val="single"/>
        </w:rPr>
        <w:t>systému</w:t>
      </w:r>
    </w:p>
    <w:p w14:paraId="791A04BC" w14:textId="2724C821" w:rsidR="00450114" w:rsidRPr="00310B0F" w:rsidRDefault="00450114" w:rsidP="00450114">
      <w:pPr>
        <w:pStyle w:val="Zkladntext"/>
        <w:kinsoku w:val="0"/>
        <w:overflowPunct w:val="0"/>
        <w:ind w:hanging="1"/>
      </w:pPr>
      <w:r w:rsidRPr="00310B0F">
        <w:t>V klinických skúšaniach sa vyskytli zriedkavé udalosti postihujúce nervový systém u pacientov liečených vyššími dávkami fingolimodu (1,25 alebo 5 mg), zahŕňajúce ischemické a hemoragické mozgové príhody a neurologické atypické poruchy, napr. prípady podobné akútnej</w:t>
      </w:r>
      <w:r w:rsidRPr="00310B0F">
        <w:rPr>
          <w:spacing w:val="-26"/>
        </w:rPr>
        <w:t xml:space="preserve"> </w:t>
      </w:r>
      <w:r w:rsidRPr="00310B0F">
        <w:t>diseminovanej encefalomyelitíde</w:t>
      </w:r>
      <w:r w:rsidRPr="00310B0F">
        <w:rPr>
          <w:spacing w:val="-2"/>
        </w:rPr>
        <w:t xml:space="preserve"> </w:t>
      </w:r>
      <w:r w:rsidRPr="00310B0F">
        <w:t>(</w:t>
      </w:r>
      <w:r w:rsidR="00A66833">
        <w:t xml:space="preserve">acute diseminated encephalomyelitis, </w:t>
      </w:r>
      <w:r w:rsidRPr="00310B0F">
        <w:t>ADEM).</w:t>
      </w:r>
    </w:p>
    <w:p w14:paraId="76349CD3" w14:textId="77777777" w:rsidR="00450114" w:rsidRPr="00310B0F" w:rsidRDefault="00450114" w:rsidP="00450114">
      <w:pPr>
        <w:pStyle w:val="Zkladntext"/>
        <w:kinsoku w:val="0"/>
        <w:overflowPunct w:val="0"/>
        <w:ind w:hanging="1"/>
      </w:pPr>
    </w:p>
    <w:p w14:paraId="5B7146A8" w14:textId="77777777" w:rsidR="00450114" w:rsidRPr="00310B0F" w:rsidRDefault="00450114" w:rsidP="00450114">
      <w:pPr>
        <w:pStyle w:val="Zkladntext"/>
        <w:kinsoku w:val="0"/>
        <w:overflowPunct w:val="0"/>
        <w:ind w:hanging="1"/>
      </w:pPr>
      <w:r w:rsidRPr="00310B0F">
        <w:t xml:space="preserve">Prípady epileptických záchvatov vrátane status epilepticus boli hlásené pri použití </w:t>
      </w:r>
      <w:r>
        <w:t>fingolimodu</w:t>
      </w:r>
    </w:p>
    <w:p w14:paraId="23B08C8D" w14:textId="77777777" w:rsidR="00450114" w:rsidRPr="00310B0F" w:rsidRDefault="00450114" w:rsidP="00450114">
      <w:pPr>
        <w:pStyle w:val="Zkladntext"/>
        <w:kinsoku w:val="0"/>
        <w:overflowPunct w:val="0"/>
        <w:ind w:hanging="1"/>
      </w:pPr>
      <w:r w:rsidRPr="00310B0F">
        <w:lastRenderedPageBreak/>
        <w:t>v klinických štúdiách a po jej uvedení na trh.</w:t>
      </w:r>
    </w:p>
    <w:p w14:paraId="470CB7D1" w14:textId="77777777" w:rsidR="00450114" w:rsidRPr="00310B0F" w:rsidRDefault="00450114" w:rsidP="00450114">
      <w:pPr>
        <w:pStyle w:val="Zkladntext"/>
        <w:kinsoku w:val="0"/>
        <w:overflowPunct w:val="0"/>
        <w:ind w:hanging="1"/>
      </w:pPr>
    </w:p>
    <w:p w14:paraId="4DF4A86A" w14:textId="77777777" w:rsidR="00450114" w:rsidRPr="00310B0F" w:rsidRDefault="00450114" w:rsidP="00450114">
      <w:pPr>
        <w:pStyle w:val="Zkladntext"/>
        <w:kinsoku w:val="0"/>
        <w:overflowPunct w:val="0"/>
        <w:ind w:hanging="1"/>
        <w:rPr>
          <w:i/>
          <w:iCs/>
        </w:rPr>
      </w:pPr>
      <w:r w:rsidRPr="00310B0F">
        <w:rPr>
          <w:i/>
          <w:iCs/>
          <w:u w:val="single"/>
        </w:rPr>
        <w:t>Cievne poruchy</w:t>
      </w:r>
    </w:p>
    <w:p w14:paraId="3DEDBC08" w14:textId="77777777" w:rsidR="00450114" w:rsidRPr="00310B0F" w:rsidRDefault="00450114" w:rsidP="00450114">
      <w:pPr>
        <w:pStyle w:val="Zkladntext"/>
        <w:kinsoku w:val="0"/>
        <w:overflowPunct w:val="0"/>
        <w:ind w:hanging="1"/>
      </w:pPr>
      <w:r w:rsidRPr="00310B0F">
        <w:t>Zriedkavé prípady okluzívnej choroby periférnych tepien sa vyskytli u pacientov liečených vyššími</w:t>
      </w:r>
    </w:p>
    <w:p w14:paraId="64534A5B" w14:textId="77777777" w:rsidR="00450114" w:rsidRPr="00310B0F" w:rsidRDefault="00450114" w:rsidP="00450114">
      <w:pPr>
        <w:pStyle w:val="Zkladntext"/>
        <w:kinsoku w:val="0"/>
        <w:overflowPunct w:val="0"/>
        <w:ind w:hanging="1"/>
      </w:pPr>
      <w:r w:rsidRPr="00310B0F">
        <w:t>dávkami fingolimodu (1,25 mg).</w:t>
      </w:r>
    </w:p>
    <w:p w14:paraId="6A5881E3" w14:textId="77777777" w:rsidR="00450114" w:rsidRPr="00310B0F" w:rsidRDefault="00450114" w:rsidP="00450114">
      <w:pPr>
        <w:pStyle w:val="Zkladntext"/>
        <w:kinsoku w:val="0"/>
        <w:overflowPunct w:val="0"/>
        <w:ind w:hanging="1"/>
      </w:pPr>
    </w:p>
    <w:p w14:paraId="607BD2D4" w14:textId="77777777" w:rsidR="00450114" w:rsidRPr="00310B0F" w:rsidRDefault="00450114" w:rsidP="00450114">
      <w:pPr>
        <w:pStyle w:val="Zkladntext"/>
        <w:kinsoku w:val="0"/>
        <w:overflowPunct w:val="0"/>
        <w:ind w:hanging="1"/>
        <w:rPr>
          <w:i/>
          <w:iCs/>
        </w:rPr>
      </w:pPr>
      <w:r w:rsidRPr="00310B0F">
        <w:rPr>
          <w:i/>
          <w:iCs/>
          <w:u w:val="single"/>
        </w:rPr>
        <w:t>Dýchacia sústava</w:t>
      </w:r>
    </w:p>
    <w:p w14:paraId="09540867" w14:textId="77777777" w:rsidR="00450114" w:rsidRPr="00310B0F" w:rsidRDefault="00450114" w:rsidP="00450114">
      <w:pPr>
        <w:pStyle w:val="Zkladntext"/>
        <w:kinsoku w:val="0"/>
        <w:overflowPunct w:val="0"/>
        <w:ind w:hanging="1"/>
      </w:pPr>
      <w:r w:rsidRPr="00310B0F">
        <w:t xml:space="preserve">Pri liečbe </w:t>
      </w:r>
      <w:r>
        <w:t>fingolimodom</w:t>
      </w:r>
      <w:r w:rsidRPr="00310B0F">
        <w:t xml:space="preserve"> sa pozoroval mierny, od dávky závislý pokles hodnôt objemu úsilného výdychu (FEV</w:t>
      </w:r>
      <w:r w:rsidRPr="00310B0F">
        <w:rPr>
          <w:vertAlign w:val="subscript"/>
        </w:rPr>
        <w:t>1</w:t>
      </w:r>
      <w:r w:rsidRPr="00310B0F">
        <w:t>) a difúznej kapacity pre oxid uhoľnatý (DLCO), ktorý sa objavil v 1. mesiaci a odvtedy zostal stabilný. Po 24 mesiacoch bol pokles v percentách prediktívneho FEV</w:t>
      </w:r>
      <w:r w:rsidRPr="00310B0F">
        <w:rPr>
          <w:vertAlign w:val="subscript"/>
        </w:rPr>
        <w:t>1</w:t>
      </w:r>
      <w:r w:rsidRPr="00310B0F">
        <w:t xml:space="preserve"> oproti východiskovým hodnotám 2,7 % pri 0,5 mg fingolimodu a 1,2 % pri placebe, čo bol rozdiel, ktorý zmizol po ukončení liečby. Pri DLCO bol pokles po 24 mesiacoch 3,3 % pri 0,5 mg fingolimodu a 2,7 % pri placebe.</w:t>
      </w:r>
    </w:p>
    <w:p w14:paraId="77D314C8" w14:textId="77777777" w:rsidR="00450114" w:rsidRPr="00310B0F" w:rsidRDefault="00450114" w:rsidP="00450114">
      <w:pPr>
        <w:pStyle w:val="Zkladntext"/>
        <w:kinsoku w:val="0"/>
        <w:overflowPunct w:val="0"/>
        <w:ind w:hanging="1"/>
      </w:pPr>
    </w:p>
    <w:p w14:paraId="77D133CA" w14:textId="77777777" w:rsidR="00450114" w:rsidRPr="00310B0F" w:rsidRDefault="00450114" w:rsidP="00450114">
      <w:pPr>
        <w:pStyle w:val="Zkladntext"/>
        <w:kinsoku w:val="0"/>
        <w:overflowPunct w:val="0"/>
        <w:ind w:hanging="1"/>
        <w:rPr>
          <w:i/>
          <w:iCs/>
        </w:rPr>
      </w:pPr>
      <w:r w:rsidRPr="00310B0F">
        <w:rPr>
          <w:i/>
          <w:iCs/>
          <w:u w:val="single"/>
        </w:rPr>
        <w:t>Lymfómy</w:t>
      </w:r>
    </w:p>
    <w:p w14:paraId="2FBCC565" w14:textId="77777777" w:rsidR="00450114" w:rsidRPr="00310B0F" w:rsidRDefault="00450114" w:rsidP="00450114">
      <w:pPr>
        <w:pStyle w:val="Zkladntext"/>
        <w:kinsoku w:val="0"/>
        <w:overflowPunct w:val="0"/>
        <w:ind w:hanging="1"/>
      </w:pPr>
      <w:r w:rsidRPr="00310B0F">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 T-bunkových) bola vyššia v klinických skúšaniach, ako sa očakáva u všeobecnej populácie. Po uvedení lieku na trh bolo hlásených aj niekoľko prípadov T-bunkových lymfómov, vrátane prípadov kožného T-bunkového lymfómu (mycosis fungoides).</w:t>
      </w:r>
    </w:p>
    <w:p w14:paraId="77ED74A7" w14:textId="77777777" w:rsidR="00450114" w:rsidRPr="00310B0F" w:rsidRDefault="00450114" w:rsidP="00450114">
      <w:pPr>
        <w:pStyle w:val="Zkladntext"/>
        <w:kinsoku w:val="0"/>
        <w:overflowPunct w:val="0"/>
        <w:ind w:hanging="1"/>
      </w:pPr>
    </w:p>
    <w:p w14:paraId="6BA11703" w14:textId="77777777" w:rsidR="00450114" w:rsidRPr="00310B0F" w:rsidRDefault="00450114" w:rsidP="00450114">
      <w:pPr>
        <w:pStyle w:val="Zkladntext"/>
        <w:kinsoku w:val="0"/>
        <w:overflowPunct w:val="0"/>
        <w:ind w:hanging="1"/>
        <w:rPr>
          <w:i/>
          <w:iCs/>
        </w:rPr>
      </w:pPr>
      <w:r w:rsidRPr="00310B0F">
        <w:rPr>
          <w:i/>
          <w:iCs/>
          <w:u w:val="single"/>
        </w:rPr>
        <w:t>Hemofagocytový syndróm</w:t>
      </w:r>
    </w:p>
    <w:p w14:paraId="1DFCC11B" w14:textId="0D7C0D9A" w:rsidR="00450114" w:rsidRPr="00310B0F" w:rsidRDefault="00450114" w:rsidP="00450114">
      <w:pPr>
        <w:pStyle w:val="Zkladntext"/>
        <w:kinsoku w:val="0"/>
        <w:overflowPunct w:val="0"/>
        <w:ind w:hanging="1"/>
        <w:jc w:val="both"/>
      </w:pPr>
      <w:r w:rsidRPr="00310B0F">
        <w:t>Veľmi zriedkavé prípady hemofagocytového syndrómu (</w:t>
      </w:r>
      <w:r w:rsidR="00743BC4">
        <w:t xml:space="preserve">haemophagocytic syndrome, </w:t>
      </w:r>
      <w:r w:rsidRPr="00310B0F">
        <w:t>HPS) v spojení s infekciou končiace sa úmrtím boli hlásené u pacientov liečených fingolimodom. HPS je zriedkavé ochorenie, ktoré sa popísalo v súvislosti s infekciami, imunosupresiou a rôznymi autoimunitnými chorobami.</w:t>
      </w:r>
    </w:p>
    <w:p w14:paraId="0488FBC2" w14:textId="77777777" w:rsidR="00450114" w:rsidRDefault="00450114" w:rsidP="00450114">
      <w:pPr>
        <w:pStyle w:val="Zkladntext"/>
        <w:kinsoku w:val="0"/>
        <w:overflowPunct w:val="0"/>
        <w:ind w:hanging="1"/>
        <w:jc w:val="both"/>
      </w:pPr>
    </w:p>
    <w:p w14:paraId="162EF7E1" w14:textId="77777777" w:rsidR="00450114" w:rsidRPr="00310B0F" w:rsidRDefault="00450114" w:rsidP="00450114">
      <w:pPr>
        <w:pStyle w:val="Zkladntext"/>
        <w:kinsoku w:val="0"/>
        <w:overflowPunct w:val="0"/>
        <w:ind w:hanging="1"/>
      </w:pPr>
      <w:r w:rsidRPr="00310B0F">
        <w:rPr>
          <w:u w:val="single"/>
        </w:rPr>
        <w:t>Pediatrická populácia</w:t>
      </w:r>
    </w:p>
    <w:p w14:paraId="22E82145" w14:textId="77777777" w:rsidR="00450114" w:rsidRPr="00310B0F" w:rsidRDefault="00450114" w:rsidP="00450114">
      <w:pPr>
        <w:pStyle w:val="Zkladntext"/>
        <w:kinsoku w:val="0"/>
        <w:overflowPunct w:val="0"/>
        <w:ind w:hanging="1"/>
      </w:pPr>
      <w:r w:rsidRPr="00310B0F">
        <w:t>V kontrolovanom pediatrickom klinickom skúšaní D2311 (pozri časť 5.1) bol profil bezpečnosti</w:t>
      </w:r>
    </w:p>
    <w:p w14:paraId="3E512630" w14:textId="77777777" w:rsidR="00450114" w:rsidRPr="00310B0F" w:rsidRDefault="00450114" w:rsidP="00450114">
      <w:pPr>
        <w:pStyle w:val="Zkladntext"/>
        <w:kinsoku w:val="0"/>
        <w:overflowPunct w:val="0"/>
        <w:ind w:hanging="1"/>
      </w:pPr>
      <w:r w:rsidRPr="00310B0F">
        <w:t>u pediatrických pacientov (vo veku od 10 do menej ako 18 rokov), ktorí dostávali fingolimod 0,25 mg alebo 0,5 mg denne, celkovo podobný, aký sa pozoroval u dospelých pacientov. V štúdii sa však zaznamenalo viac neurologických a psychických porúch. Vzhľadom na veľmi obmedzené poznatky dostupné z klinickej štúdie sa u tejto podskupiny vyžaduje opatrnosť.</w:t>
      </w:r>
    </w:p>
    <w:p w14:paraId="4A32DC46" w14:textId="77777777" w:rsidR="00450114" w:rsidRPr="00310B0F" w:rsidRDefault="00450114" w:rsidP="00450114">
      <w:pPr>
        <w:pStyle w:val="Zkladntext"/>
        <w:kinsoku w:val="0"/>
        <w:overflowPunct w:val="0"/>
        <w:ind w:hanging="1"/>
      </w:pPr>
    </w:p>
    <w:p w14:paraId="1C39454B" w14:textId="77777777" w:rsidR="00450114" w:rsidRPr="00310B0F" w:rsidRDefault="00450114" w:rsidP="00450114">
      <w:pPr>
        <w:pStyle w:val="Zkladntext"/>
        <w:kinsoku w:val="0"/>
        <w:overflowPunct w:val="0"/>
        <w:ind w:hanging="1"/>
      </w:pPr>
      <w:r w:rsidRPr="00310B0F">
        <w:t>V pediatrickej štúdii boli hlásené prípady epileptických záchvatov u 5,6 % pacientov liečených</w:t>
      </w:r>
    </w:p>
    <w:p w14:paraId="5C241C3F" w14:textId="77777777" w:rsidR="00450114" w:rsidRPr="00310B0F" w:rsidRDefault="00450114" w:rsidP="00450114">
      <w:pPr>
        <w:pStyle w:val="Zkladntext"/>
        <w:kinsoku w:val="0"/>
        <w:overflowPunct w:val="0"/>
        <w:ind w:hanging="1"/>
      </w:pPr>
      <w:r w:rsidRPr="00310B0F">
        <w:t>fingolimodom a u 0,9 % pacientov liečených interferónom beta-1a.</w:t>
      </w:r>
    </w:p>
    <w:p w14:paraId="705C7A18" w14:textId="77777777" w:rsidR="00450114" w:rsidRPr="00310B0F" w:rsidRDefault="00450114" w:rsidP="00450114">
      <w:pPr>
        <w:pStyle w:val="Zkladntext"/>
        <w:kinsoku w:val="0"/>
        <w:overflowPunct w:val="0"/>
        <w:ind w:hanging="1"/>
      </w:pPr>
    </w:p>
    <w:p w14:paraId="26C4E96D" w14:textId="77777777" w:rsidR="00450114" w:rsidRPr="00310B0F" w:rsidRDefault="00450114" w:rsidP="00450114">
      <w:pPr>
        <w:pStyle w:val="Zkladntext"/>
        <w:kinsoku w:val="0"/>
        <w:overflowPunct w:val="0"/>
        <w:ind w:hanging="1"/>
      </w:pPr>
      <w:r w:rsidRPr="00310B0F">
        <w:t>Je známe, že depresia a úzkosť sa vyskytujú so zvýšenou frekvenciou u populácie so sclerosis multiplex. Depresia a úzkosť boli hlásené aj u pediatrických pacientov liečených fingolimodom.</w:t>
      </w:r>
    </w:p>
    <w:p w14:paraId="6B3BB411" w14:textId="77777777" w:rsidR="00450114" w:rsidRPr="00310B0F" w:rsidRDefault="00450114" w:rsidP="00450114">
      <w:pPr>
        <w:pStyle w:val="Zkladntext"/>
        <w:kinsoku w:val="0"/>
        <w:overflowPunct w:val="0"/>
        <w:ind w:hanging="1"/>
      </w:pPr>
    </w:p>
    <w:p w14:paraId="6C77D63A" w14:textId="77777777" w:rsidR="00450114" w:rsidRPr="00310B0F" w:rsidRDefault="00450114" w:rsidP="00450114">
      <w:pPr>
        <w:pStyle w:val="Zkladntext"/>
        <w:kinsoku w:val="0"/>
        <w:overflowPunct w:val="0"/>
        <w:ind w:hanging="1"/>
      </w:pPr>
      <w:r w:rsidRPr="00310B0F">
        <w:t>Ojedinelé mierne zvýšenia bilirubínu sa zaznamenali u pediatrických pacientov liečených</w:t>
      </w:r>
    </w:p>
    <w:p w14:paraId="4C625832" w14:textId="77777777" w:rsidR="00450114" w:rsidRPr="00310B0F" w:rsidRDefault="00450114" w:rsidP="00450114">
      <w:pPr>
        <w:pStyle w:val="Zkladntext"/>
        <w:kinsoku w:val="0"/>
        <w:overflowPunct w:val="0"/>
        <w:ind w:hanging="1"/>
      </w:pPr>
      <w:r w:rsidRPr="00310B0F">
        <w:t>fingolimodom.</w:t>
      </w:r>
    </w:p>
    <w:p w14:paraId="73DE4A02" w14:textId="77777777" w:rsidR="00450114" w:rsidRPr="00310B0F" w:rsidRDefault="00450114" w:rsidP="00450114">
      <w:pPr>
        <w:pStyle w:val="Zkladntext"/>
        <w:kinsoku w:val="0"/>
        <w:overflowPunct w:val="0"/>
        <w:ind w:hanging="1"/>
      </w:pPr>
    </w:p>
    <w:p w14:paraId="31CA1262" w14:textId="77777777" w:rsidR="00450114" w:rsidRPr="00310B0F" w:rsidRDefault="00450114" w:rsidP="00450114">
      <w:pPr>
        <w:pStyle w:val="Zkladntext"/>
        <w:kinsoku w:val="0"/>
        <w:overflowPunct w:val="0"/>
        <w:ind w:hanging="1"/>
      </w:pPr>
      <w:r w:rsidRPr="00310B0F">
        <w:rPr>
          <w:u w:val="single"/>
        </w:rPr>
        <w:t>Hlásenie podozrení na nežiaduce reakcie</w:t>
      </w:r>
    </w:p>
    <w:p w14:paraId="3030038F" w14:textId="77777777" w:rsidR="00450114" w:rsidRPr="00310B0F" w:rsidRDefault="00450114" w:rsidP="00450114">
      <w:pPr>
        <w:pStyle w:val="Zkladntext"/>
        <w:kinsoku w:val="0"/>
        <w:overflowPunct w:val="0"/>
        <w:ind w:hanging="1"/>
      </w:pPr>
    </w:p>
    <w:p w14:paraId="3D054324" w14:textId="77777777" w:rsidR="00450114" w:rsidRPr="00310B0F" w:rsidRDefault="00450114" w:rsidP="00450114">
      <w:pPr>
        <w:pStyle w:val="Zkladntext"/>
        <w:kinsoku w:val="0"/>
        <w:overflowPunct w:val="0"/>
        <w:ind w:hanging="1"/>
        <w:rPr>
          <w:color w:val="000000"/>
        </w:rPr>
      </w:pPr>
      <w:r w:rsidRPr="00310B0F">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10B0F">
        <w:rPr>
          <w:shd w:val="clear" w:color="auto" w:fill="D9D9D9"/>
        </w:rPr>
        <w:t xml:space="preserve">národné centrum hlásenia uvedené v </w:t>
      </w:r>
      <w:hyperlink r:id="rId7" w:history="1">
        <w:r w:rsidRPr="00310B0F">
          <w:rPr>
            <w:color w:val="0000FF"/>
            <w:u w:val="single"/>
            <w:shd w:val="clear" w:color="auto" w:fill="D9D9D9"/>
          </w:rPr>
          <w:t>Prílohe V</w:t>
        </w:r>
        <w:r w:rsidRPr="00310B0F">
          <w:rPr>
            <w:color w:val="000000"/>
          </w:rPr>
          <w:t>.</w:t>
        </w:r>
      </w:hyperlink>
    </w:p>
    <w:p w14:paraId="0DED8CC7" w14:textId="77777777" w:rsidR="00450114" w:rsidRPr="00310B0F" w:rsidRDefault="00450114" w:rsidP="00450114">
      <w:pPr>
        <w:pStyle w:val="Zkladntext"/>
        <w:kinsoku w:val="0"/>
        <w:overflowPunct w:val="0"/>
        <w:ind w:hanging="1"/>
      </w:pPr>
    </w:p>
    <w:p w14:paraId="6D3E79D1" w14:textId="77777777" w:rsidR="00450114" w:rsidRPr="00B22918" w:rsidRDefault="00450114" w:rsidP="00450114">
      <w:pPr>
        <w:pStyle w:val="Nadpis1"/>
        <w:numPr>
          <w:ilvl w:val="1"/>
          <w:numId w:val="12"/>
        </w:numPr>
        <w:tabs>
          <w:tab w:val="left" w:pos="806"/>
        </w:tabs>
        <w:kinsoku w:val="0"/>
        <w:overflowPunct w:val="0"/>
        <w:spacing w:before="0"/>
        <w:ind w:left="0" w:hanging="1"/>
      </w:pPr>
      <w:r w:rsidRPr="00B22918">
        <w:t>Predávkovanie</w:t>
      </w:r>
    </w:p>
    <w:p w14:paraId="10D44ABA" w14:textId="77777777" w:rsidR="00450114" w:rsidRPr="00310B0F" w:rsidRDefault="00450114" w:rsidP="00450114">
      <w:pPr>
        <w:pStyle w:val="Zkladntext"/>
        <w:kinsoku w:val="0"/>
        <w:overflowPunct w:val="0"/>
        <w:ind w:hanging="1"/>
        <w:rPr>
          <w:b/>
          <w:bCs/>
        </w:rPr>
      </w:pPr>
    </w:p>
    <w:p w14:paraId="3B438887" w14:textId="77777777" w:rsidR="00450114" w:rsidRPr="00310B0F" w:rsidRDefault="00450114" w:rsidP="00450114">
      <w:pPr>
        <w:pStyle w:val="Zkladntext"/>
        <w:kinsoku w:val="0"/>
        <w:overflowPunct w:val="0"/>
        <w:ind w:hanging="1"/>
      </w:pPr>
      <w:r w:rsidRPr="00310B0F">
        <w:t>Jednorazové dávky až do 80-násobku odporúčanej dávky (0,5 mg) dobre znášali dospelí zdraví</w:t>
      </w:r>
    </w:p>
    <w:p w14:paraId="28D97D69" w14:textId="77777777" w:rsidR="00450114" w:rsidRPr="00310B0F" w:rsidRDefault="00450114" w:rsidP="00450114">
      <w:pPr>
        <w:pStyle w:val="Zkladntext"/>
        <w:kinsoku w:val="0"/>
        <w:overflowPunct w:val="0"/>
        <w:ind w:hanging="1"/>
      </w:pPr>
      <w:r w:rsidRPr="00310B0F">
        <w:t>dobrovoľníci. Pri dávke 40 mg 5 zo 6 osôb hlásilo mierne zvieranie alebo nepríjemné pocity v hrudníku, čo klinicky zodpovedalo slabej reaktivite dýchacích ciest.</w:t>
      </w:r>
    </w:p>
    <w:p w14:paraId="3AACDADE" w14:textId="77777777" w:rsidR="00450114" w:rsidRPr="00310B0F" w:rsidRDefault="00450114" w:rsidP="00450114">
      <w:pPr>
        <w:pStyle w:val="Zkladntext"/>
        <w:kinsoku w:val="0"/>
        <w:overflowPunct w:val="0"/>
        <w:ind w:hanging="1"/>
      </w:pPr>
    </w:p>
    <w:p w14:paraId="1455598F" w14:textId="0F759E23" w:rsidR="00450114" w:rsidRPr="00310B0F" w:rsidRDefault="00450114" w:rsidP="00450114">
      <w:pPr>
        <w:pStyle w:val="Zkladntext"/>
        <w:kinsoku w:val="0"/>
        <w:overflowPunct w:val="0"/>
        <w:ind w:hanging="1"/>
      </w:pPr>
      <w:r w:rsidRPr="00310B0F">
        <w:t xml:space="preserve">Pri začatí liečby môže fingolimod vyvolať bradykardiu. Pokles srdcovej frekvencie zvyčajne začína do </w:t>
      </w:r>
      <w:r w:rsidRPr="00310B0F">
        <w:lastRenderedPageBreak/>
        <w:t xml:space="preserve">jednej hodiny od podania prvej dávky a je najprudší počas prvých šiestich hodín. Negatívny chronotropný účinok </w:t>
      </w:r>
      <w:r>
        <w:t>fingolimodu</w:t>
      </w:r>
      <w:r w:rsidRPr="00310B0F">
        <w:t xml:space="preserve"> pretrváva viac ako 6 hodín a počas následných dní liečby sa postupne oslabuje (detailne, pozri časť 4.4). Hlásené boli prípady pomalého </w:t>
      </w:r>
      <w:r w:rsidR="00893CAB">
        <w:t>a</w:t>
      </w:r>
      <w:r w:rsidR="00893CAB" w:rsidRPr="00310B0F">
        <w:t xml:space="preserve">trioventrikulárneho </w:t>
      </w:r>
      <w:r w:rsidRPr="00310B0F">
        <w:t>prevodu</w:t>
      </w:r>
      <w:r>
        <w:t xml:space="preserve"> </w:t>
      </w:r>
      <w:r w:rsidRPr="00310B0F">
        <w:t>s ojedinelými hláseniami prechodnej, spontánne vymiznúcej úplnej AV blokády (pozri časti 4.4 a 4.8).</w:t>
      </w:r>
    </w:p>
    <w:p w14:paraId="29596D6F" w14:textId="77777777" w:rsidR="00450114" w:rsidRPr="00310B0F" w:rsidRDefault="00450114" w:rsidP="00450114">
      <w:pPr>
        <w:pStyle w:val="Zkladntext"/>
        <w:kinsoku w:val="0"/>
        <w:overflowPunct w:val="0"/>
        <w:ind w:hanging="1"/>
      </w:pPr>
    </w:p>
    <w:p w14:paraId="66C814C9" w14:textId="77777777" w:rsidR="00450114" w:rsidRPr="00310B0F" w:rsidRDefault="00450114" w:rsidP="00450114">
      <w:pPr>
        <w:pStyle w:val="Zkladntext"/>
        <w:kinsoku w:val="0"/>
        <w:overflowPunct w:val="0"/>
        <w:ind w:hanging="1"/>
      </w:pPr>
      <w:r w:rsidRPr="00310B0F">
        <w:t xml:space="preserve">Ak dôjde k predávkovaniu pri prvom podaní </w:t>
      </w:r>
      <w:r>
        <w:t>fingolimodu</w:t>
      </w:r>
      <w:r w:rsidRPr="00310B0F">
        <w:t>, je dôležité aspoň počas prvých 6 hodín sledovať pacienta kontinuálnym monitorovaním EKG v reálnom čase a meraním srdcovej frekvencie a krvného tlaku každú hodinu (pozri časť 4.4).</w:t>
      </w:r>
    </w:p>
    <w:p w14:paraId="24D25E94" w14:textId="77777777" w:rsidR="00450114" w:rsidRPr="00310B0F" w:rsidRDefault="00450114" w:rsidP="00450114">
      <w:pPr>
        <w:pStyle w:val="Zkladntext"/>
        <w:kinsoku w:val="0"/>
        <w:overflowPunct w:val="0"/>
        <w:ind w:hanging="1"/>
      </w:pPr>
    </w:p>
    <w:p w14:paraId="35831B66" w14:textId="77777777" w:rsidR="00450114" w:rsidRPr="00310B0F" w:rsidRDefault="00450114" w:rsidP="00450114">
      <w:pPr>
        <w:pStyle w:val="Zkladntext"/>
        <w:kinsoku w:val="0"/>
        <w:overflowPunct w:val="0"/>
        <w:ind w:hanging="1"/>
      </w:pPr>
      <w:r>
        <w:t>Navyše</w:t>
      </w:r>
      <w:r w:rsidRPr="00310B0F">
        <w:t xml:space="preserve"> ak je hodnota srdcovej frekvencie po 6 hodinách &lt;45 bpm u dospelých, &lt;55 bpm</w:t>
      </w:r>
    </w:p>
    <w:p w14:paraId="01BEE469" w14:textId="2E40606F" w:rsidR="00450114" w:rsidRPr="00310B0F" w:rsidRDefault="00450114" w:rsidP="00450114">
      <w:pPr>
        <w:pStyle w:val="Zkladntext"/>
        <w:kinsoku w:val="0"/>
        <w:overflowPunct w:val="0"/>
        <w:ind w:hanging="1"/>
      </w:pPr>
      <w:r w:rsidRPr="00310B0F">
        <w:t xml:space="preserve">u pediatrických pacientov vo veku 12 rokov a starších, alebo &lt;60 bpm u pediatrických pacientov vo veku od 10 rokov do menej ako 12 rokov, alebo ak EKG po 6 hodinách po prvej dávke vykazuje AV blokádu druhého alebo vyššieho stupňa alebo QTc interval ≥500 msek, monitorovanie je potrebné predĺžiť aj počas noci až do upravenia nálezu. Výskyt </w:t>
      </w:r>
      <w:r w:rsidR="00893CAB">
        <w:t>a</w:t>
      </w:r>
      <w:r w:rsidRPr="00310B0F">
        <w:t>trioventrikulárnej blokády tretieho stupňa</w:t>
      </w:r>
    </w:p>
    <w:p w14:paraId="134D4725" w14:textId="77777777" w:rsidR="00450114" w:rsidRDefault="00450114" w:rsidP="00450114">
      <w:pPr>
        <w:pStyle w:val="Zkladntext"/>
        <w:kinsoku w:val="0"/>
        <w:overflowPunct w:val="0"/>
        <w:ind w:hanging="1"/>
      </w:pPr>
      <w:r w:rsidRPr="00310B0F">
        <w:t>v ktoromkoľvek čase je tiež dôvodom na predĺžené sledovanie, vrátane sledovania počas noci. Dialýza ani výmena plazmy nemajú za následok odstránenie fingolimodu z tela.</w:t>
      </w:r>
    </w:p>
    <w:p w14:paraId="16AF165C" w14:textId="77777777" w:rsidR="00450114" w:rsidRDefault="00450114" w:rsidP="00450114">
      <w:pPr>
        <w:pStyle w:val="Zkladntext"/>
        <w:kinsoku w:val="0"/>
        <w:overflowPunct w:val="0"/>
        <w:ind w:hanging="1"/>
      </w:pPr>
    </w:p>
    <w:p w14:paraId="55F98F94" w14:textId="77777777" w:rsidR="00450114" w:rsidRPr="00310B0F" w:rsidRDefault="00450114" w:rsidP="00450114">
      <w:pPr>
        <w:pStyle w:val="Zkladntext"/>
        <w:kinsoku w:val="0"/>
        <w:overflowPunct w:val="0"/>
        <w:ind w:hanging="1"/>
      </w:pPr>
    </w:p>
    <w:p w14:paraId="6205F788" w14:textId="77777777" w:rsidR="00450114" w:rsidRPr="00310B0F" w:rsidRDefault="00450114" w:rsidP="00450114">
      <w:pPr>
        <w:pStyle w:val="Nadpis1"/>
        <w:numPr>
          <w:ilvl w:val="0"/>
          <w:numId w:val="12"/>
        </w:numPr>
        <w:tabs>
          <w:tab w:val="left" w:pos="806"/>
        </w:tabs>
        <w:kinsoku w:val="0"/>
        <w:overflowPunct w:val="0"/>
        <w:spacing w:before="0"/>
        <w:ind w:left="0" w:hanging="1"/>
      </w:pPr>
      <w:r w:rsidRPr="00310B0F">
        <w:t>FARMAKOLOGICKÉ</w:t>
      </w:r>
      <w:r w:rsidRPr="00310B0F">
        <w:rPr>
          <w:spacing w:val="-1"/>
        </w:rPr>
        <w:t xml:space="preserve"> </w:t>
      </w:r>
      <w:r w:rsidRPr="00310B0F">
        <w:t>VLASTNOSTI</w:t>
      </w:r>
    </w:p>
    <w:p w14:paraId="19F60349" w14:textId="77777777" w:rsidR="00450114" w:rsidRPr="00310B0F" w:rsidRDefault="00450114" w:rsidP="00450114">
      <w:pPr>
        <w:pStyle w:val="Zkladntext"/>
        <w:kinsoku w:val="0"/>
        <w:overflowPunct w:val="0"/>
        <w:ind w:hanging="1"/>
        <w:rPr>
          <w:b/>
          <w:bCs/>
        </w:rPr>
      </w:pPr>
    </w:p>
    <w:p w14:paraId="0DE8CA0F" w14:textId="77777777" w:rsidR="00450114" w:rsidRPr="00310B0F" w:rsidRDefault="00450114" w:rsidP="00450114">
      <w:pPr>
        <w:pStyle w:val="Odsekzoznamu"/>
        <w:numPr>
          <w:ilvl w:val="1"/>
          <w:numId w:val="12"/>
        </w:numPr>
        <w:tabs>
          <w:tab w:val="left" w:pos="806"/>
        </w:tabs>
        <w:kinsoku w:val="0"/>
        <w:overflowPunct w:val="0"/>
        <w:ind w:left="0" w:hanging="1"/>
        <w:rPr>
          <w:b/>
          <w:bCs/>
          <w:sz w:val="22"/>
          <w:szCs w:val="22"/>
        </w:rPr>
      </w:pPr>
      <w:r w:rsidRPr="00310B0F">
        <w:rPr>
          <w:b/>
          <w:bCs/>
          <w:sz w:val="22"/>
          <w:szCs w:val="22"/>
        </w:rPr>
        <w:t>Farmakodynamické</w:t>
      </w:r>
      <w:r w:rsidRPr="00310B0F">
        <w:rPr>
          <w:b/>
          <w:bCs/>
          <w:spacing w:val="-2"/>
          <w:sz w:val="22"/>
          <w:szCs w:val="22"/>
        </w:rPr>
        <w:t xml:space="preserve"> </w:t>
      </w:r>
      <w:r w:rsidRPr="00310B0F">
        <w:rPr>
          <w:b/>
          <w:bCs/>
          <w:sz w:val="22"/>
          <w:szCs w:val="22"/>
        </w:rPr>
        <w:t>vlastnosti</w:t>
      </w:r>
    </w:p>
    <w:p w14:paraId="369C6051" w14:textId="77777777" w:rsidR="00450114" w:rsidRPr="00310B0F" w:rsidRDefault="00450114" w:rsidP="00450114">
      <w:pPr>
        <w:pStyle w:val="Zkladntext"/>
        <w:kinsoku w:val="0"/>
        <w:overflowPunct w:val="0"/>
        <w:ind w:hanging="1"/>
        <w:rPr>
          <w:b/>
          <w:bCs/>
        </w:rPr>
      </w:pPr>
    </w:p>
    <w:p w14:paraId="2827C61D" w14:textId="77777777" w:rsidR="00450114" w:rsidRDefault="00450114" w:rsidP="00450114">
      <w:pPr>
        <w:pStyle w:val="Zkladntext"/>
        <w:kinsoku w:val="0"/>
        <w:overflowPunct w:val="0"/>
        <w:ind w:hanging="1"/>
      </w:pPr>
      <w:r w:rsidRPr="00310B0F">
        <w:t xml:space="preserve">Farmakoterapeutická skupina: Imunosupresíva, selektívne imunosupresíva, ATC kód: L04AA27 </w:t>
      </w:r>
    </w:p>
    <w:p w14:paraId="18E81357" w14:textId="77777777" w:rsidR="00450114" w:rsidRDefault="00450114" w:rsidP="00450114">
      <w:pPr>
        <w:pStyle w:val="Zkladntext"/>
        <w:kinsoku w:val="0"/>
        <w:overflowPunct w:val="0"/>
        <w:ind w:hanging="1"/>
      </w:pPr>
    </w:p>
    <w:p w14:paraId="1A3AAB0D" w14:textId="77777777" w:rsidR="00450114" w:rsidRPr="00310B0F" w:rsidRDefault="00450114" w:rsidP="00450114">
      <w:pPr>
        <w:pStyle w:val="Zkladntext"/>
        <w:kinsoku w:val="0"/>
        <w:overflowPunct w:val="0"/>
        <w:ind w:hanging="1"/>
      </w:pPr>
      <w:r w:rsidRPr="00310B0F">
        <w:rPr>
          <w:u w:val="single"/>
        </w:rPr>
        <w:t>Mechanizmus účinku</w:t>
      </w:r>
    </w:p>
    <w:p w14:paraId="57C0DF46" w14:textId="56177029" w:rsidR="00450114" w:rsidRPr="00310B0F" w:rsidRDefault="00450114" w:rsidP="00450114">
      <w:pPr>
        <w:pStyle w:val="Zkladntext"/>
        <w:kinsoku w:val="0"/>
        <w:overflowPunct w:val="0"/>
        <w:ind w:hanging="1"/>
      </w:pPr>
      <w:r w:rsidRPr="00310B0F">
        <w:t xml:space="preserve">Fingolimod je modulátor receptora sfingozín-1-fosfátu. Fingolimod sa metabolizuje sfingozínkinázou na aktívny metabolit </w:t>
      </w:r>
      <w:commentRangeStart w:id="5"/>
      <w:r w:rsidRPr="00310B0F">
        <w:t>fingolim</w:t>
      </w:r>
      <w:r w:rsidR="00893CAB">
        <w:t>ó</w:t>
      </w:r>
      <w:r w:rsidRPr="00310B0F">
        <w:t>d</w:t>
      </w:r>
      <w:r w:rsidR="00893CAB">
        <w:t>ium-</w:t>
      </w:r>
      <w:r w:rsidRPr="00310B0F">
        <w:t>fosfát</w:t>
      </w:r>
      <w:commentRangeEnd w:id="5"/>
      <w:r w:rsidRPr="00310B0F">
        <w:t>. Fingolim</w:t>
      </w:r>
      <w:r w:rsidR="00893CAB">
        <w:t>ó</w:t>
      </w:r>
      <w:r w:rsidRPr="00310B0F">
        <w:t>d</w:t>
      </w:r>
      <w:r w:rsidR="00893CAB">
        <w:t>ium-</w:t>
      </w:r>
      <w:r w:rsidRPr="00310B0F">
        <w:t>fosfát 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fingolim</w:t>
      </w:r>
      <w:r w:rsidR="00893CAB">
        <w:t>ó</w:t>
      </w:r>
      <w:r w:rsidRPr="00310B0F">
        <w:t>d</w:t>
      </w:r>
      <w:r w:rsidR="00893CAB">
        <w:t>ium-</w:t>
      </w:r>
      <w:r w:rsidRPr="00310B0F">
        <w:t>fosfát blokuje schopnosť lymfocytov vystupovať</w:t>
      </w:r>
    </w:p>
    <w:p w14:paraId="1D425A32" w14:textId="77777777" w:rsidR="00450114" w:rsidRPr="00310B0F" w:rsidRDefault="00450114" w:rsidP="00450114">
      <w:pPr>
        <w:pStyle w:val="Zkladntext"/>
        <w:kinsoku w:val="0"/>
        <w:overflowPunct w:val="0"/>
        <w:ind w:hanging="1"/>
      </w:pPr>
      <w:r w:rsidRPr="00310B0F">
        <w:t xml:space="preserve">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310B0F">
        <w:rPr>
          <w:i/>
          <w:iCs/>
        </w:rPr>
        <w:t xml:space="preserve">in vitro </w:t>
      </w:r>
      <w:r w:rsidRPr="00310B0F">
        <w:t>naznačujú, že fingolimod môže účinkovať aj prostredníctvom interakcie s receptormi S1P na nervových</w:t>
      </w:r>
      <w:r w:rsidRPr="00310B0F">
        <w:rPr>
          <w:spacing w:val="-3"/>
        </w:rPr>
        <w:t xml:space="preserve"> </w:t>
      </w:r>
      <w:r w:rsidRPr="00310B0F">
        <w:t>bunkách.</w:t>
      </w:r>
    </w:p>
    <w:p w14:paraId="158AFADF" w14:textId="77777777" w:rsidR="00450114" w:rsidRPr="00310B0F" w:rsidRDefault="00450114" w:rsidP="00450114">
      <w:pPr>
        <w:pStyle w:val="Zkladntext"/>
        <w:kinsoku w:val="0"/>
        <w:overflowPunct w:val="0"/>
        <w:ind w:hanging="1"/>
      </w:pPr>
    </w:p>
    <w:p w14:paraId="0FC6F42A" w14:textId="77777777" w:rsidR="00450114" w:rsidRPr="00310B0F" w:rsidRDefault="00450114" w:rsidP="00450114">
      <w:pPr>
        <w:pStyle w:val="Zkladntext"/>
        <w:kinsoku w:val="0"/>
        <w:overflowPunct w:val="0"/>
        <w:ind w:hanging="1"/>
      </w:pPr>
      <w:r w:rsidRPr="00310B0F">
        <w:rPr>
          <w:u w:val="single"/>
        </w:rPr>
        <w:t>Farmakodynamické účinky</w:t>
      </w:r>
    </w:p>
    <w:p w14:paraId="5E9196BE" w14:textId="77777777" w:rsidR="00450114" w:rsidRPr="00310B0F" w:rsidRDefault="00450114" w:rsidP="00450114">
      <w:pPr>
        <w:pStyle w:val="Zkladntext"/>
        <w:kinsoku w:val="0"/>
        <w:overflowPunct w:val="0"/>
        <w:ind w:hanging="1"/>
      </w:pPr>
      <w:r w:rsidRPr="00310B0F">
        <w:t>V priebehu 4-6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18 % pacientov dosiahlo minimálny počet pod</w:t>
      </w:r>
    </w:p>
    <w:p w14:paraId="1250ECAA" w14:textId="77777777" w:rsidR="00450114" w:rsidRPr="00310B0F" w:rsidRDefault="00450114" w:rsidP="00450114">
      <w:pPr>
        <w:pStyle w:val="Zkladntext"/>
        <w:kinsoku w:val="0"/>
        <w:overflowPunct w:val="0"/>
        <w:ind w:hanging="1"/>
      </w:pPr>
      <w:r w:rsidRPr="00310B0F">
        <w:t>200 buniek/mikroliter pri najmenej jednom vyšetrení. Nízky počet lymfocytov sa udržiava pri dlhodobom dennom užívaní. Väčšina T a B lymfocytov pravidelne prechádza cez lymfatické orgány a toto sú bunky, ktoré fingolimod najviac ovplyvňuje. Približne 15-20 % T lymfocytov má fenotyp efektorovej pamäte, čo sú bunky, ktoré sú dôležité pre dohľad nad periférnou imunitou. Keďže táto podskupina lymfocytov spravidla neprechádza cez lymfatické orgány, nie je fingolimodom</w:t>
      </w:r>
    </w:p>
    <w:p w14:paraId="4593EFFA" w14:textId="77777777" w:rsidR="00450114" w:rsidRPr="00310B0F" w:rsidRDefault="00450114" w:rsidP="00450114">
      <w:pPr>
        <w:pStyle w:val="Zkladntext"/>
        <w:kinsoku w:val="0"/>
        <w:overflowPunct w:val="0"/>
        <w:ind w:hanging="1"/>
      </w:pPr>
      <w:r w:rsidRPr="00310B0F">
        <w:t>ovplyvnená. Nárast počtu periférnych lymfocytov je zrejmý po niekoľkých dňoch od vysadenia liečby fingolimodom a normálne počty sa obvykle dosiahnu po jednom až dvoch mesiacoch. Dlhodobé užívanie fingolimodu vedie k miernemu poklesu počtu neutrofilov na približne 80 % východiskových hodnôt. Fingolimod neovplyvňuje monocyty.</w:t>
      </w:r>
    </w:p>
    <w:p w14:paraId="576A28D4" w14:textId="77777777" w:rsidR="00450114" w:rsidRPr="00310B0F" w:rsidRDefault="00450114" w:rsidP="00450114">
      <w:pPr>
        <w:pStyle w:val="Zkladntext"/>
        <w:kinsoku w:val="0"/>
        <w:overflowPunct w:val="0"/>
        <w:ind w:hanging="1"/>
      </w:pPr>
    </w:p>
    <w:p w14:paraId="1EAD3325" w14:textId="5C36BFF7" w:rsidR="00450114" w:rsidRPr="00310B0F" w:rsidRDefault="00450114" w:rsidP="00450114">
      <w:pPr>
        <w:pStyle w:val="Zkladntext"/>
        <w:kinsoku w:val="0"/>
        <w:overflowPunct w:val="0"/>
        <w:ind w:hanging="1"/>
      </w:pPr>
      <w:r w:rsidRPr="00310B0F">
        <w:t xml:space="preserve">Fingolimod spôsobuje na začiatku liečby prechodný pokles srdcovej frekvencie a zníženie </w:t>
      </w:r>
      <w:r w:rsidR="00893CAB">
        <w:t>a</w:t>
      </w:r>
      <w:r w:rsidRPr="00310B0F">
        <w:t xml:space="preserve">trioventrikulárneho prevodu (pozri časti 4.4 a 4.8). Maximálny pokles srdcovej frekvencie sa pozoruje počas 6 hodín od užitia, pričom 70 % negatívneho chronotropného účinku sa dosahuje v prvý deň. Pri </w:t>
      </w:r>
      <w:r w:rsidRPr="00310B0F">
        <w:lastRenderedPageBreak/>
        <w:t>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cirkadiálnych zmien srdcovej frekvencie a reakcie na záťaž.</w:t>
      </w:r>
    </w:p>
    <w:p w14:paraId="758FDC05" w14:textId="77777777" w:rsidR="00450114" w:rsidRPr="00310B0F" w:rsidRDefault="00450114" w:rsidP="00450114">
      <w:pPr>
        <w:pStyle w:val="Zkladntext"/>
        <w:kinsoku w:val="0"/>
        <w:overflowPunct w:val="0"/>
        <w:ind w:hanging="1"/>
      </w:pPr>
    </w:p>
    <w:p w14:paraId="2AF893E5" w14:textId="77777777" w:rsidR="00450114" w:rsidRPr="00310B0F" w:rsidRDefault="00450114" w:rsidP="00450114">
      <w:pPr>
        <w:pStyle w:val="Zkladntext"/>
        <w:kinsoku w:val="0"/>
        <w:overflowPunct w:val="0"/>
        <w:ind w:hanging="1"/>
      </w:pPr>
      <w:r w:rsidRPr="00310B0F">
        <w:t xml:space="preserve">S1P4 mohol čiastočne prispieť k účinku, ale nebol hlavným receptorom zodpovedným za pokles lymfocytov. Mechanizmus účinku bradykardie a vazokonstrikcie sa tiež skúmali </w:t>
      </w:r>
      <w:r w:rsidRPr="00310B0F">
        <w:rPr>
          <w:i/>
          <w:iCs/>
        </w:rPr>
        <w:t xml:space="preserve">in vitro </w:t>
      </w:r>
      <w:r w:rsidRPr="00310B0F">
        <w:t>na morčatách a na izolovanej králičej aorte a koronárej artérii. Prišlo sa k záveru, že bradykardia môže byť primárne sprostredkovaná aktiváciou smerovania draslíkového kanála dovnútra alebo G-proteínom aktivovaného smerovania K</w:t>
      </w:r>
      <w:r w:rsidRPr="00310B0F">
        <w:rPr>
          <w:vertAlign w:val="superscript"/>
        </w:rPr>
        <w:t>+</w:t>
      </w:r>
      <w:r w:rsidRPr="00310B0F">
        <w:t xml:space="preserve"> kanála (IKACh/GIRK) dovnútra a že vazokonstrikcia sa zdá byť sprostredkovaná Rho kinázou a mechanizmom závislým od vápnika.</w:t>
      </w:r>
    </w:p>
    <w:p w14:paraId="1D4E7735" w14:textId="77777777" w:rsidR="00450114" w:rsidRDefault="00450114" w:rsidP="00450114">
      <w:pPr>
        <w:pStyle w:val="Zkladntext"/>
        <w:kinsoku w:val="0"/>
        <w:overflowPunct w:val="0"/>
        <w:ind w:hanging="1"/>
      </w:pPr>
    </w:p>
    <w:p w14:paraId="663FFCE0" w14:textId="5FEA9714" w:rsidR="00450114" w:rsidRPr="00310B0F" w:rsidRDefault="00450114" w:rsidP="00450114">
      <w:pPr>
        <w:pStyle w:val="Zkladntext"/>
        <w:kinsoku w:val="0"/>
        <w:overflowPunct w:val="0"/>
        <w:ind w:hanging="1"/>
      </w:pPr>
      <w:r w:rsidRPr="00310B0F">
        <w:t>Jednorazové alebo opakované podávanie fingolimodu v dávkach 0,5 a 1,25 mg počas dvoch týždňov sa nespája s preukázateľným zvýšením odporu dýchacích ciest, meraným ako FEV</w:t>
      </w:r>
      <w:r w:rsidRPr="00310B0F">
        <w:rPr>
          <w:vertAlign w:val="subscript"/>
        </w:rPr>
        <w:t>1</w:t>
      </w:r>
      <w:r w:rsidRPr="00310B0F">
        <w:t xml:space="preserve"> a úsilný exspiračný prietok (</w:t>
      </w:r>
      <w:r w:rsidR="00893CAB">
        <w:t xml:space="preserve">forced expiratory flow rate, </w:t>
      </w:r>
      <w:r w:rsidRPr="00310B0F">
        <w:t>FEF) 25-75. Avšak jednorazové dávky fingolimodu ≥5 mg (10-násobok 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3FD5084C" w14:textId="77777777" w:rsidR="00450114" w:rsidRPr="00310B0F" w:rsidRDefault="00450114" w:rsidP="00450114">
      <w:pPr>
        <w:pStyle w:val="Zkladntext"/>
        <w:kinsoku w:val="0"/>
        <w:overflowPunct w:val="0"/>
        <w:ind w:hanging="1"/>
      </w:pPr>
    </w:p>
    <w:p w14:paraId="6AAC2D2A" w14:textId="77777777" w:rsidR="00450114" w:rsidRPr="00310B0F" w:rsidRDefault="00450114" w:rsidP="00450114">
      <w:pPr>
        <w:pStyle w:val="Zkladntext"/>
        <w:kinsoku w:val="0"/>
        <w:overflowPunct w:val="0"/>
        <w:ind w:hanging="1"/>
      </w:pPr>
      <w:r w:rsidRPr="00310B0F">
        <w:rPr>
          <w:u w:val="single"/>
        </w:rPr>
        <w:t>Klinická účinnosť a bezpečnosť</w:t>
      </w:r>
    </w:p>
    <w:p w14:paraId="6A4D9120" w14:textId="3B6F5639" w:rsidR="00450114" w:rsidRPr="00310B0F" w:rsidRDefault="00450114" w:rsidP="00450114">
      <w:pPr>
        <w:pStyle w:val="Zkladntext"/>
        <w:kinsoku w:val="0"/>
        <w:overflowPunct w:val="0"/>
        <w:ind w:hanging="1"/>
      </w:pPr>
      <w:r w:rsidRPr="00310B0F">
        <w:t xml:space="preserve">Účinnosť </w:t>
      </w:r>
      <w:r>
        <w:t>fingolimodu</w:t>
      </w:r>
      <w:r w:rsidRPr="00310B0F">
        <w:t xml:space="preserve"> sa preukázala v dvoch štúdiách, ktoré hodnotili dávky 0,5 mg a 1,25 mg fingolimodu raz denne u dospelých pacientov s relaps-remitujúcou </w:t>
      </w:r>
      <w:r w:rsidR="008D1889">
        <w:t xml:space="preserve">sklerózou </w:t>
      </w:r>
      <w:r w:rsidRPr="00310B0F">
        <w:t>multiplex (RRSM). Do oboch štúdií boli zaradení dospelí pacienti, ktorí prekonali ≥2 relapsy počas predchádzajúcich 2 rokov alebo ≥1 relaps počas predchádzajúceho roka. Ich skóre rozšírenej Kurtzkeho škály funkčnej nespôsobilosti (</w:t>
      </w:r>
      <w:r w:rsidR="008D1889">
        <w:t xml:space="preserve">Expanded Disability Status Score, </w:t>
      </w:r>
      <w:r w:rsidRPr="00310B0F">
        <w:t xml:space="preserve">EDSS) bolo medzi 0 a 5,5. Tretia štúdia zameraná na rovnakú populáciu dospelých pacientov sa skončila po zaregistrovaní </w:t>
      </w:r>
      <w:r>
        <w:t>fingolimodu</w:t>
      </w:r>
      <w:r w:rsidRPr="00310B0F">
        <w:t>.</w:t>
      </w:r>
    </w:p>
    <w:p w14:paraId="3CC575E8" w14:textId="77777777" w:rsidR="00450114" w:rsidRPr="00310B0F" w:rsidRDefault="00450114" w:rsidP="00450114">
      <w:pPr>
        <w:pStyle w:val="Zkladntext"/>
        <w:kinsoku w:val="0"/>
        <w:overflowPunct w:val="0"/>
        <w:ind w:hanging="1"/>
      </w:pPr>
    </w:p>
    <w:p w14:paraId="7E4913BA" w14:textId="77777777" w:rsidR="00450114" w:rsidRPr="00310B0F" w:rsidRDefault="00450114" w:rsidP="00450114">
      <w:pPr>
        <w:pStyle w:val="Zkladntext"/>
        <w:kinsoku w:val="0"/>
        <w:overflowPunct w:val="0"/>
        <w:ind w:hanging="1"/>
      </w:pPr>
      <w:r w:rsidRPr="00310B0F">
        <w:t>Štúdia D2301 (FREEDOMS) bola randomizovaná, dvojito slepá, placebom kontrolovaná štúdia fázy III trvajúca 2 roky u 1 272 pacientov (n=425 pri 0,5 mg, 429 pri 1,25 mg, 418 pri placebe). Hodnoty mediánu východiskových charakteristických znakov boli: vek 37 rokov, trvanie ochorenia 6,7 roka a skóre EDSS 2,0. Záverečné výsledky sú uvedené v Tabuľke 1. Nepreukázali sa žiadne významné rozdiely medzi dávkami 0,5 mg a 1,25 mg ani pri jednom z ukazovateľov.</w:t>
      </w:r>
    </w:p>
    <w:p w14:paraId="5486CD97" w14:textId="77777777" w:rsidR="00450114" w:rsidRPr="00310B0F" w:rsidRDefault="00450114" w:rsidP="00450114">
      <w:pPr>
        <w:pStyle w:val="Zkladntext"/>
        <w:kinsoku w:val="0"/>
        <w:overflowPunct w:val="0"/>
        <w:ind w:hanging="1"/>
      </w:pPr>
    </w:p>
    <w:p w14:paraId="5289FFFB" w14:textId="77777777" w:rsidR="00450114" w:rsidRPr="00310B0F" w:rsidRDefault="00450114" w:rsidP="00450114">
      <w:pPr>
        <w:pStyle w:val="Nadpis1"/>
        <w:tabs>
          <w:tab w:val="left" w:pos="1657"/>
        </w:tabs>
        <w:kinsoku w:val="0"/>
        <w:overflowPunct w:val="0"/>
        <w:spacing w:before="0"/>
        <w:ind w:left="0" w:hanging="1"/>
      </w:pPr>
      <w:r w:rsidRPr="00310B0F">
        <w:t>Tabuľka</w:t>
      </w:r>
      <w:r w:rsidRPr="00310B0F">
        <w:rPr>
          <w:spacing w:val="-1"/>
        </w:rPr>
        <w:t xml:space="preserve"> </w:t>
      </w:r>
      <w:r w:rsidRPr="00310B0F">
        <w:t>1</w:t>
      </w:r>
      <w:r w:rsidRPr="00310B0F">
        <w:tab/>
        <w:t>Štúdia D2301 (FREEDOMS): hlavné</w:t>
      </w:r>
      <w:r w:rsidRPr="00310B0F">
        <w:rPr>
          <w:spacing w:val="-2"/>
        </w:rPr>
        <w:t xml:space="preserve"> </w:t>
      </w:r>
      <w:r w:rsidRPr="00310B0F">
        <w:t>výsledky</w:t>
      </w:r>
    </w:p>
    <w:p w14:paraId="132E3021" w14:textId="77777777" w:rsidR="00450114" w:rsidRPr="00310B0F" w:rsidRDefault="00450114" w:rsidP="00450114">
      <w:pPr>
        <w:pStyle w:val="Zkladntext"/>
        <w:kinsoku w:val="0"/>
        <w:overflowPunct w:val="0"/>
        <w:ind w:hanging="1"/>
        <w:rPr>
          <w:b/>
          <w:bCs/>
        </w:rPr>
      </w:pPr>
    </w:p>
    <w:tbl>
      <w:tblPr>
        <w:tblW w:w="0" w:type="auto"/>
        <w:tblInd w:w="248" w:type="dxa"/>
        <w:tblLayout w:type="fixed"/>
        <w:tblCellMar>
          <w:left w:w="0" w:type="dxa"/>
          <w:right w:w="0" w:type="dxa"/>
        </w:tblCellMar>
        <w:tblLook w:val="0000" w:firstRow="0" w:lastRow="0" w:firstColumn="0" w:lastColumn="0" w:noHBand="0" w:noVBand="0"/>
      </w:tblPr>
      <w:tblGrid>
        <w:gridCol w:w="4644"/>
        <w:gridCol w:w="1843"/>
        <w:gridCol w:w="1843"/>
      </w:tblGrid>
      <w:tr w:rsidR="00450114" w:rsidRPr="00310B0F" w14:paraId="4C882573"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6DF923B3"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9DB6F56"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Fingolimod 0,5 mg</w:t>
            </w:r>
          </w:p>
        </w:tc>
        <w:tc>
          <w:tcPr>
            <w:tcW w:w="1843" w:type="dxa"/>
            <w:tcBorders>
              <w:top w:val="single" w:sz="4" w:space="0" w:color="000000"/>
              <w:left w:val="single" w:sz="4" w:space="0" w:color="000000"/>
              <w:bottom w:val="single" w:sz="4" w:space="0" w:color="000000"/>
              <w:right w:val="single" w:sz="4" w:space="0" w:color="000000"/>
            </w:tcBorders>
          </w:tcPr>
          <w:p w14:paraId="424AD989"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Placebo</w:t>
            </w:r>
          </w:p>
        </w:tc>
      </w:tr>
      <w:tr w:rsidR="00450114" w:rsidRPr="00310B0F" w14:paraId="3D21008F"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1E118DF6"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Klinické ukazovatele</w:t>
            </w:r>
          </w:p>
        </w:tc>
        <w:tc>
          <w:tcPr>
            <w:tcW w:w="1843" w:type="dxa"/>
            <w:tcBorders>
              <w:top w:val="single" w:sz="4" w:space="0" w:color="000000"/>
              <w:left w:val="single" w:sz="4" w:space="0" w:color="000000"/>
              <w:bottom w:val="single" w:sz="4" w:space="0" w:color="000000"/>
              <w:right w:val="single" w:sz="4" w:space="0" w:color="000000"/>
            </w:tcBorders>
          </w:tcPr>
          <w:p w14:paraId="227FE066"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D06E37" w14:textId="77777777" w:rsidR="00450114" w:rsidRPr="00310B0F" w:rsidRDefault="00450114" w:rsidP="00D171C3">
            <w:pPr>
              <w:pStyle w:val="TableParagraph"/>
              <w:kinsoku w:val="0"/>
              <w:overflowPunct w:val="0"/>
              <w:ind w:left="0" w:hanging="1"/>
              <w:rPr>
                <w:sz w:val="22"/>
                <w:szCs w:val="22"/>
              </w:rPr>
            </w:pPr>
          </w:p>
        </w:tc>
      </w:tr>
      <w:tr w:rsidR="00450114" w:rsidRPr="00310B0F" w14:paraId="12EB2CD5"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361F39DA" w14:textId="77777777" w:rsidR="00450114" w:rsidRPr="00310B0F" w:rsidRDefault="00450114" w:rsidP="00D171C3">
            <w:pPr>
              <w:pStyle w:val="TableParagraph"/>
              <w:kinsoku w:val="0"/>
              <w:overflowPunct w:val="0"/>
              <w:ind w:left="0" w:hanging="1"/>
              <w:rPr>
                <w:sz w:val="22"/>
                <w:szCs w:val="22"/>
              </w:rPr>
            </w:pPr>
            <w:r w:rsidRPr="00310B0F">
              <w:rPr>
                <w:sz w:val="22"/>
                <w:szCs w:val="22"/>
              </w:rPr>
              <w:t>Frekvencia relapsov za rok (primárny ukazovateľ)</w:t>
            </w:r>
          </w:p>
        </w:tc>
        <w:tc>
          <w:tcPr>
            <w:tcW w:w="1843" w:type="dxa"/>
            <w:tcBorders>
              <w:top w:val="single" w:sz="4" w:space="0" w:color="000000"/>
              <w:left w:val="single" w:sz="4" w:space="0" w:color="000000"/>
              <w:bottom w:val="single" w:sz="4" w:space="0" w:color="000000"/>
              <w:right w:val="single" w:sz="4" w:space="0" w:color="000000"/>
            </w:tcBorders>
          </w:tcPr>
          <w:p w14:paraId="66FB3A1B" w14:textId="77777777" w:rsidR="00450114" w:rsidRPr="00310B0F" w:rsidRDefault="00450114" w:rsidP="00D171C3">
            <w:pPr>
              <w:pStyle w:val="TableParagraph"/>
              <w:kinsoku w:val="0"/>
              <w:overflowPunct w:val="0"/>
              <w:ind w:left="0" w:hanging="1"/>
              <w:rPr>
                <w:sz w:val="22"/>
                <w:szCs w:val="22"/>
              </w:rPr>
            </w:pPr>
            <w:r w:rsidRPr="00310B0F">
              <w:rPr>
                <w:sz w:val="22"/>
                <w:szCs w:val="22"/>
              </w:rPr>
              <w:t>0,18**</w:t>
            </w:r>
          </w:p>
        </w:tc>
        <w:tc>
          <w:tcPr>
            <w:tcW w:w="1843" w:type="dxa"/>
            <w:tcBorders>
              <w:top w:val="single" w:sz="4" w:space="0" w:color="000000"/>
              <w:left w:val="single" w:sz="4" w:space="0" w:color="000000"/>
              <w:bottom w:val="single" w:sz="4" w:space="0" w:color="000000"/>
              <w:right w:val="single" w:sz="4" w:space="0" w:color="000000"/>
            </w:tcBorders>
          </w:tcPr>
          <w:p w14:paraId="4EF11CD0" w14:textId="77777777" w:rsidR="00450114" w:rsidRPr="00310B0F" w:rsidRDefault="00450114" w:rsidP="00D171C3">
            <w:pPr>
              <w:pStyle w:val="TableParagraph"/>
              <w:kinsoku w:val="0"/>
              <w:overflowPunct w:val="0"/>
              <w:ind w:left="0" w:hanging="1"/>
              <w:rPr>
                <w:sz w:val="22"/>
                <w:szCs w:val="22"/>
              </w:rPr>
            </w:pPr>
            <w:r w:rsidRPr="00310B0F">
              <w:rPr>
                <w:sz w:val="22"/>
                <w:szCs w:val="22"/>
              </w:rPr>
              <w:t>0,40</w:t>
            </w:r>
          </w:p>
        </w:tc>
      </w:tr>
      <w:tr w:rsidR="00450114" w:rsidRPr="00310B0F" w14:paraId="2744C35B"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6323B5FA" w14:textId="77777777" w:rsidR="00450114" w:rsidRPr="00310B0F" w:rsidRDefault="00450114" w:rsidP="00D171C3">
            <w:pPr>
              <w:pStyle w:val="TableParagraph"/>
              <w:kinsoku w:val="0"/>
              <w:overflowPunct w:val="0"/>
              <w:ind w:left="0" w:hanging="1"/>
              <w:rPr>
                <w:sz w:val="22"/>
                <w:szCs w:val="22"/>
              </w:rPr>
            </w:pPr>
            <w:r w:rsidRPr="00310B0F">
              <w:rPr>
                <w:sz w:val="22"/>
                <w:szCs w:val="22"/>
              </w:rPr>
              <w:t>Percentuálny podiel pacientov bez relapsov po 24 mesiacoch</w:t>
            </w:r>
          </w:p>
        </w:tc>
        <w:tc>
          <w:tcPr>
            <w:tcW w:w="1843" w:type="dxa"/>
            <w:tcBorders>
              <w:top w:val="single" w:sz="4" w:space="0" w:color="000000"/>
              <w:left w:val="single" w:sz="4" w:space="0" w:color="000000"/>
              <w:bottom w:val="single" w:sz="4" w:space="0" w:color="000000"/>
              <w:right w:val="single" w:sz="4" w:space="0" w:color="000000"/>
            </w:tcBorders>
          </w:tcPr>
          <w:p w14:paraId="6C092669" w14:textId="77777777" w:rsidR="00450114" w:rsidRPr="00310B0F" w:rsidRDefault="00450114" w:rsidP="00D171C3">
            <w:pPr>
              <w:pStyle w:val="TableParagraph"/>
              <w:kinsoku w:val="0"/>
              <w:overflowPunct w:val="0"/>
              <w:ind w:left="0" w:hanging="1"/>
              <w:rPr>
                <w:sz w:val="22"/>
                <w:szCs w:val="22"/>
              </w:rPr>
            </w:pPr>
            <w:r w:rsidRPr="00310B0F">
              <w:rPr>
                <w:sz w:val="22"/>
                <w:szCs w:val="22"/>
              </w:rPr>
              <w:t>70 %**</w:t>
            </w:r>
          </w:p>
        </w:tc>
        <w:tc>
          <w:tcPr>
            <w:tcW w:w="1843" w:type="dxa"/>
            <w:tcBorders>
              <w:top w:val="single" w:sz="4" w:space="0" w:color="000000"/>
              <w:left w:val="single" w:sz="4" w:space="0" w:color="000000"/>
              <w:bottom w:val="single" w:sz="4" w:space="0" w:color="000000"/>
              <w:right w:val="single" w:sz="4" w:space="0" w:color="000000"/>
            </w:tcBorders>
          </w:tcPr>
          <w:p w14:paraId="36138E3E" w14:textId="77777777" w:rsidR="00450114" w:rsidRPr="00310B0F" w:rsidRDefault="00450114" w:rsidP="00D171C3">
            <w:pPr>
              <w:pStyle w:val="TableParagraph"/>
              <w:kinsoku w:val="0"/>
              <w:overflowPunct w:val="0"/>
              <w:ind w:left="0" w:hanging="1"/>
              <w:rPr>
                <w:sz w:val="22"/>
                <w:szCs w:val="22"/>
              </w:rPr>
            </w:pPr>
            <w:r w:rsidRPr="00310B0F">
              <w:rPr>
                <w:sz w:val="22"/>
                <w:szCs w:val="22"/>
              </w:rPr>
              <w:t>46 %</w:t>
            </w:r>
          </w:p>
        </w:tc>
      </w:tr>
      <w:tr w:rsidR="00450114" w:rsidRPr="00310B0F" w14:paraId="23F0D3E8" w14:textId="77777777" w:rsidTr="00D171C3">
        <w:trPr>
          <w:trHeight w:val="518"/>
        </w:trPr>
        <w:tc>
          <w:tcPr>
            <w:tcW w:w="4644" w:type="dxa"/>
            <w:tcBorders>
              <w:top w:val="single" w:sz="4" w:space="0" w:color="000000"/>
              <w:left w:val="single" w:sz="4" w:space="0" w:color="000000"/>
              <w:bottom w:val="none" w:sz="6" w:space="0" w:color="auto"/>
              <w:right w:val="single" w:sz="4" w:space="0" w:color="000000"/>
            </w:tcBorders>
          </w:tcPr>
          <w:p w14:paraId="140743F1" w14:textId="77777777" w:rsidR="00450114" w:rsidRPr="00310B0F" w:rsidRDefault="00450114" w:rsidP="00D171C3">
            <w:pPr>
              <w:pStyle w:val="TableParagraph"/>
              <w:kinsoku w:val="0"/>
              <w:overflowPunct w:val="0"/>
              <w:ind w:left="0" w:hanging="1"/>
              <w:rPr>
                <w:sz w:val="22"/>
                <w:szCs w:val="22"/>
              </w:rPr>
            </w:pPr>
            <w:r w:rsidRPr="00310B0F">
              <w:rPr>
                <w:sz w:val="22"/>
                <w:szCs w:val="22"/>
              </w:rPr>
              <w:t>Podiel s progresiou invalidizácie potvrdenou po 3 mesiacoch†</w:t>
            </w:r>
          </w:p>
        </w:tc>
        <w:tc>
          <w:tcPr>
            <w:tcW w:w="1843" w:type="dxa"/>
            <w:tcBorders>
              <w:top w:val="single" w:sz="4" w:space="0" w:color="000000"/>
              <w:left w:val="single" w:sz="4" w:space="0" w:color="000000"/>
              <w:bottom w:val="none" w:sz="6" w:space="0" w:color="auto"/>
              <w:right w:val="single" w:sz="4" w:space="0" w:color="000000"/>
            </w:tcBorders>
          </w:tcPr>
          <w:p w14:paraId="75C62BC5" w14:textId="77777777" w:rsidR="00450114" w:rsidRPr="00310B0F" w:rsidRDefault="00450114" w:rsidP="00D171C3">
            <w:pPr>
              <w:pStyle w:val="TableParagraph"/>
              <w:kinsoku w:val="0"/>
              <w:overflowPunct w:val="0"/>
              <w:ind w:left="0" w:hanging="1"/>
              <w:rPr>
                <w:sz w:val="22"/>
                <w:szCs w:val="22"/>
              </w:rPr>
            </w:pPr>
            <w:r w:rsidRPr="00310B0F">
              <w:rPr>
                <w:sz w:val="22"/>
                <w:szCs w:val="22"/>
              </w:rPr>
              <w:t>17 %</w:t>
            </w:r>
          </w:p>
        </w:tc>
        <w:tc>
          <w:tcPr>
            <w:tcW w:w="1843" w:type="dxa"/>
            <w:vMerge w:val="restart"/>
            <w:tcBorders>
              <w:top w:val="single" w:sz="4" w:space="0" w:color="000000"/>
              <w:left w:val="single" w:sz="4" w:space="0" w:color="000000"/>
              <w:bottom w:val="single" w:sz="4" w:space="0" w:color="000000"/>
              <w:right w:val="single" w:sz="4" w:space="0" w:color="000000"/>
            </w:tcBorders>
          </w:tcPr>
          <w:p w14:paraId="4E8A1FBF" w14:textId="77777777" w:rsidR="00450114" w:rsidRPr="00310B0F" w:rsidRDefault="00450114" w:rsidP="00D171C3">
            <w:pPr>
              <w:pStyle w:val="TableParagraph"/>
              <w:kinsoku w:val="0"/>
              <w:overflowPunct w:val="0"/>
              <w:ind w:left="0" w:hanging="1"/>
              <w:rPr>
                <w:sz w:val="22"/>
                <w:szCs w:val="22"/>
              </w:rPr>
            </w:pPr>
            <w:r w:rsidRPr="00310B0F">
              <w:rPr>
                <w:sz w:val="22"/>
                <w:szCs w:val="22"/>
              </w:rPr>
              <w:t>24 %</w:t>
            </w:r>
          </w:p>
        </w:tc>
      </w:tr>
      <w:tr w:rsidR="00450114" w:rsidRPr="00310B0F" w14:paraId="166328A8" w14:textId="77777777" w:rsidTr="00D171C3">
        <w:trPr>
          <w:trHeight w:val="249"/>
        </w:trPr>
        <w:tc>
          <w:tcPr>
            <w:tcW w:w="4644" w:type="dxa"/>
            <w:tcBorders>
              <w:top w:val="none" w:sz="6" w:space="0" w:color="auto"/>
              <w:left w:val="single" w:sz="4" w:space="0" w:color="000000"/>
              <w:bottom w:val="single" w:sz="4" w:space="0" w:color="000000"/>
              <w:right w:val="single" w:sz="4" w:space="0" w:color="000000"/>
            </w:tcBorders>
          </w:tcPr>
          <w:p w14:paraId="68FE25DF" w14:textId="77777777" w:rsidR="00450114" w:rsidRPr="00310B0F" w:rsidRDefault="00450114" w:rsidP="00D171C3">
            <w:pPr>
              <w:pStyle w:val="TableParagraph"/>
              <w:kinsoku w:val="0"/>
              <w:overflowPunct w:val="0"/>
              <w:ind w:left="0" w:hanging="1"/>
              <w:rPr>
                <w:sz w:val="22"/>
                <w:szCs w:val="22"/>
              </w:rPr>
            </w:pPr>
            <w:r w:rsidRPr="00310B0F">
              <w:rPr>
                <w:sz w:val="22"/>
                <w:szCs w:val="22"/>
              </w:rPr>
              <w:t>Pomer rizika (95 % IS)</w:t>
            </w:r>
          </w:p>
        </w:tc>
        <w:tc>
          <w:tcPr>
            <w:tcW w:w="1843" w:type="dxa"/>
            <w:tcBorders>
              <w:top w:val="none" w:sz="6" w:space="0" w:color="auto"/>
              <w:left w:val="single" w:sz="4" w:space="0" w:color="000000"/>
              <w:bottom w:val="single" w:sz="4" w:space="0" w:color="000000"/>
              <w:right w:val="single" w:sz="4" w:space="0" w:color="000000"/>
            </w:tcBorders>
          </w:tcPr>
          <w:p w14:paraId="78FFDDDC" w14:textId="77777777" w:rsidR="00450114" w:rsidRPr="00310B0F" w:rsidRDefault="00450114" w:rsidP="00D171C3">
            <w:pPr>
              <w:pStyle w:val="TableParagraph"/>
              <w:kinsoku w:val="0"/>
              <w:overflowPunct w:val="0"/>
              <w:ind w:left="0" w:hanging="1"/>
              <w:rPr>
                <w:sz w:val="22"/>
                <w:szCs w:val="22"/>
              </w:rPr>
            </w:pPr>
            <w:r w:rsidRPr="00310B0F">
              <w:rPr>
                <w:sz w:val="22"/>
                <w:szCs w:val="22"/>
              </w:rPr>
              <w:t>0,70 (0,52, 0,96)*</w:t>
            </w:r>
          </w:p>
        </w:tc>
        <w:tc>
          <w:tcPr>
            <w:tcW w:w="1843" w:type="dxa"/>
            <w:vMerge/>
            <w:tcBorders>
              <w:top w:val="nil"/>
              <w:left w:val="single" w:sz="4" w:space="0" w:color="000000"/>
              <w:bottom w:val="single" w:sz="4" w:space="0" w:color="000000"/>
              <w:right w:val="single" w:sz="4" w:space="0" w:color="000000"/>
            </w:tcBorders>
          </w:tcPr>
          <w:p w14:paraId="0AEF38D0" w14:textId="77777777" w:rsidR="00450114" w:rsidRPr="00310B0F" w:rsidRDefault="00450114" w:rsidP="00D171C3">
            <w:pPr>
              <w:pStyle w:val="Zkladntext"/>
              <w:kinsoku w:val="0"/>
              <w:overflowPunct w:val="0"/>
              <w:ind w:hanging="1"/>
              <w:rPr>
                <w:b/>
                <w:bCs/>
              </w:rPr>
            </w:pPr>
          </w:p>
        </w:tc>
      </w:tr>
      <w:tr w:rsidR="00450114" w:rsidRPr="00310B0F" w14:paraId="301A9CE3"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751B6522"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Ukazovatele MRI</w:t>
            </w:r>
          </w:p>
        </w:tc>
        <w:tc>
          <w:tcPr>
            <w:tcW w:w="1843" w:type="dxa"/>
            <w:tcBorders>
              <w:top w:val="single" w:sz="4" w:space="0" w:color="000000"/>
              <w:left w:val="single" w:sz="4" w:space="0" w:color="000000"/>
              <w:bottom w:val="single" w:sz="4" w:space="0" w:color="000000"/>
              <w:right w:val="single" w:sz="4" w:space="0" w:color="000000"/>
            </w:tcBorders>
          </w:tcPr>
          <w:p w14:paraId="3703BAB8"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51EF7F1" w14:textId="77777777" w:rsidR="00450114" w:rsidRPr="00310B0F" w:rsidRDefault="00450114" w:rsidP="00D171C3">
            <w:pPr>
              <w:pStyle w:val="TableParagraph"/>
              <w:kinsoku w:val="0"/>
              <w:overflowPunct w:val="0"/>
              <w:ind w:left="0" w:hanging="1"/>
              <w:rPr>
                <w:sz w:val="22"/>
                <w:szCs w:val="22"/>
              </w:rPr>
            </w:pPr>
          </w:p>
        </w:tc>
      </w:tr>
      <w:tr w:rsidR="00450114" w:rsidRPr="00310B0F" w14:paraId="1414BB71"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08017D1F"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nových alebo zväčšujúcich sa T2-lézií počas 24 mesiacov</w:t>
            </w:r>
          </w:p>
        </w:tc>
        <w:tc>
          <w:tcPr>
            <w:tcW w:w="1843" w:type="dxa"/>
            <w:tcBorders>
              <w:top w:val="single" w:sz="4" w:space="0" w:color="000000"/>
              <w:left w:val="single" w:sz="4" w:space="0" w:color="000000"/>
              <w:bottom w:val="single" w:sz="4" w:space="0" w:color="000000"/>
              <w:right w:val="single" w:sz="4" w:space="0" w:color="000000"/>
            </w:tcBorders>
          </w:tcPr>
          <w:p w14:paraId="3C29BAC5" w14:textId="77777777" w:rsidR="00450114" w:rsidRPr="00310B0F" w:rsidRDefault="00450114" w:rsidP="00D171C3">
            <w:pPr>
              <w:pStyle w:val="TableParagraph"/>
              <w:kinsoku w:val="0"/>
              <w:overflowPunct w:val="0"/>
              <w:ind w:left="0" w:hanging="1"/>
              <w:rPr>
                <w:sz w:val="22"/>
                <w:szCs w:val="22"/>
              </w:rPr>
            </w:pPr>
            <w:r w:rsidRPr="00310B0F">
              <w:rPr>
                <w:sz w:val="22"/>
                <w:szCs w:val="22"/>
              </w:rPr>
              <w:t>0,0 (2,5)**</w:t>
            </w:r>
          </w:p>
        </w:tc>
        <w:tc>
          <w:tcPr>
            <w:tcW w:w="1843" w:type="dxa"/>
            <w:tcBorders>
              <w:top w:val="single" w:sz="4" w:space="0" w:color="000000"/>
              <w:left w:val="single" w:sz="4" w:space="0" w:color="000000"/>
              <w:bottom w:val="single" w:sz="4" w:space="0" w:color="000000"/>
              <w:right w:val="single" w:sz="4" w:space="0" w:color="000000"/>
            </w:tcBorders>
          </w:tcPr>
          <w:p w14:paraId="27EEED5C" w14:textId="77777777" w:rsidR="00450114" w:rsidRPr="00310B0F" w:rsidRDefault="00450114" w:rsidP="00D171C3">
            <w:pPr>
              <w:pStyle w:val="TableParagraph"/>
              <w:kinsoku w:val="0"/>
              <w:overflowPunct w:val="0"/>
              <w:ind w:left="0" w:hanging="1"/>
              <w:rPr>
                <w:sz w:val="22"/>
                <w:szCs w:val="22"/>
              </w:rPr>
            </w:pPr>
            <w:r w:rsidRPr="00310B0F">
              <w:rPr>
                <w:sz w:val="22"/>
                <w:szCs w:val="22"/>
              </w:rPr>
              <w:t>5,0 (9,8)</w:t>
            </w:r>
          </w:p>
        </w:tc>
      </w:tr>
      <w:tr w:rsidR="00450114" w:rsidRPr="00310B0F" w14:paraId="678446B6" w14:textId="77777777" w:rsidTr="00D171C3">
        <w:trPr>
          <w:trHeight w:val="519"/>
        </w:trPr>
        <w:tc>
          <w:tcPr>
            <w:tcW w:w="4644" w:type="dxa"/>
            <w:tcBorders>
              <w:top w:val="single" w:sz="4" w:space="0" w:color="000000"/>
              <w:left w:val="single" w:sz="4" w:space="0" w:color="000000"/>
              <w:bottom w:val="single" w:sz="4" w:space="0" w:color="000000"/>
              <w:right w:val="single" w:sz="4" w:space="0" w:color="000000"/>
            </w:tcBorders>
          </w:tcPr>
          <w:p w14:paraId="7A67896E"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Gd-zvýrazňujúcich sa</w:t>
            </w:r>
          </w:p>
          <w:p w14:paraId="711047AE" w14:textId="77777777" w:rsidR="00450114" w:rsidRPr="00310B0F" w:rsidRDefault="00450114" w:rsidP="00D171C3">
            <w:pPr>
              <w:pStyle w:val="TableParagraph"/>
              <w:kinsoku w:val="0"/>
              <w:overflowPunct w:val="0"/>
              <w:ind w:left="0" w:hanging="1"/>
              <w:rPr>
                <w:sz w:val="22"/>
                <w:szCs w:val="22"/>
              </w:rPr>
            </w:pPr>
            <w:r w:rsidRPr="00310B0F">
              <w:rPr>
                <w:sz w:val="22"/>
                <w:szCs w:val="22"/>
              </w:rPr>
              <w:t>lézií po 24 mesiacoch</w:t>
            </w:r>
          </w:p>
        </w:tc>
        <w:tc>
          <w:tcPr>
            <w:tcW w:w="1843" w:type="dxa"/>
            <w:tcBorders>
              <w:top w:val="single" w:sz="4" w:space="0" w:color="000000"/>
              <w:left w:val="single" w:sz="4" w:space="0" w:color="000000"/>
              <w:bottom w:val="single" w:sz="4" w:space="0" w:color="000000"/>
              <w:right w:val="single" w:sz="4" w:space="0" w:color="000000"/>
            </w:tcBorders>
          </w:tcPr>
          <w:p w14:paraId="189ACED5" w14:textId="77777777" w:rsidR="00450114" w:rsidRPr="00310B0F" w:rsidRDefault="00450114" w:rsidP="00D171C3">
            <w:pPr>
              <w:pStyle w:val="TableParagraph"/>
              <w:kinsoku w:val="0"/>
              <w:overflowPunct w:val="0"/>
              <w:ind w:left="0" w:hanging="1"/>
              <w:rPr>
                <w:sz w:val="22"/>
                <w:szCs w:val="22"/>
              </w:rPr>
            </w:pPr>
            <w:r w:rsidRPr="00310B0F">
              <w:rPr>
                <w:sz w:val="22"/>
                <w:szCs w:val="22"/>
              </w:rPr>
              <w:t>0,0 (0,2)**</w:t>
            </w:r>
          </w:p>
        </w:tc>
        <w:tc>
          <w:tcPr>
            <w:tcW w:w="1843" w:type="dxa"/>
            <w:tcBorders>
              <w:top w:val="single" w:sz="4" w:space="0" w:color="000000"/>
              <w:left w:val="single" w:sz="4" w:space="0" w:color="000000"/>
              <w:bottom w:val="single" w:sz="4" w:space="0" w:color="000000"/>
              <w:right w:val="single" w:sz="4" w:space="0" w:color="000000"/>
            </w:tcBorders>
          </w:tcPr>
          <w:p w14:paraId="05FD7529" w14:textId="77777777" w:rsidR="00450114" w:rsidRPr="00310B0F" w:rsidRDefault="00450114" w:rsidP="00D171C3">
            <w:pPr>
              <w:pStyle w:val="TableParagraph"/>
              <w:kinsoku w:val="0"/>
              <w:overflowPunct w:val="0"/>
              <w:ind w:left="0" w:hanging="1"/>
              <w:rPr>
                <w:sz w:val="22"/>
                <w:szCs w:val="22"/>
              </w:rPr>
            </w:pPr>
            <w:r w:rsidRPr="00310B0F">
              <w:rPr>
                <w:sz w:val="22"/>
                <w:szCs w:val="22"/>
              </w:rPr>
              <w:t>0,0 (1,1)</w:t>
            </w:r>
          </w:p>
        </w:tc>
      </w:tr>
      <w:tr w:rsidR="00450114" w:rsidRPr="00310B0F" w14:paraId="569F6240"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5899A362" w14:textId="77777777" w:rsidR="00450114" w:rsidRPr="00310B0F" w:rsidRDefault="00450114" w:rsidP="00D171C3">
            <w:pPr>
              <w:pStyle w:val="TableParagraph"/>
              <w:kinsoku w:val="0"/>
              <w:overflowPunct w:val="0"/>
              <w:ind w:left="0" w:hanging="1"/>
              <w:rPr>
                <w:sz w:val="22"/>
                <w:szCs w:val="22"/>
              </w:rPr>
            </w:pPr>
            <w:r w:rsidRPr="00310B0F">
              <w:rPr>
                <w:sz w:val="22"/>
                <w:szCs w:val="22"/>
              </w:rPr>
              <w:lastRenderedPageBreak/>
              <w:t>Medián (priemer) % zmeny objemu mozgu počas</w:t>
            </w:r>
          </w:p>
          <w:p w14:paraId="191DDCB1" w14:textId="77777777" w:rsidR="00450114" w:rsidRPr="00310B0F" w:rsidRDefault="00450114" w:rsidP="00D171C3">
            <w:pPr>
              <w:pStyle w:val="TableParagraph"/>
              <w:kinsoku w:val="0"/>
              <w:overflowPunct w:val="0"/>
              <w:ind w:left="0" w:hanging="1"/>
              <w:rPr>
                <w:sz w:val="22"/>
                <w:szCs w:val="22"/>
              </w:rPr>
            </w:pPr>
            <w:r w:rsidRPr="00310B0F">
              <w:rPr>
                <w:sz w:val="22"/>
                <w:szCs w:val="22"/>
              </w:rPr>
              <w:t>24 mesiacov</w:t>
            </w:r>
          </w:p>
        </w:tc>
        <w:tc>
          <w:tcPr>
            <w:tcW w:w="1843" w:type="dxa"/>
            <w:tcBorders>
              <w:top w:val="single" w:sz="4" w:space="0" w:color="000000"/>
              <w:left w:val="single" w:sz="4" w:space="0" w:color="000000"/>
              <w:bottom w:val="single" w:sz="4" w:space="0" w:color="000000"/>
              <w:right w:val="single" w:sz="4" w:space="0" w:color="000000"/>
            </w:tcBorders>
          </w:tcPr>
          <w:p w14:paraId="29A82FF8" w14:textId="77777777" w:rsidR="00450114" w:rsidRPr="00310B0F" w:rsidRDefault="00450114" w:rsidP="00D171C3">
            <w:pPr>
              <w:pStyle w:val="TableParagraph"/>
              <w:kinsoku w:val="0"/>
              <w:overflowPunct w:val="0"/>
              <w:ind w:left="0" w:hanging="1"/>
              <w:rPr>
                <w:sz w:val="22"/>
                <w:szCs w:val="22"/>
              </w:rPr>
            </w:pPr>
            <w:r w:rsidRPr="00310B0F">
              <w:rPr>
                <w:sz w:val="22"/>
                <w:szCs w:val="22"/>
              </w:rPr>
              <w:t>-0,7 (-0,8)**</w:t>
            </w:r>
          </w:p>
        </w:tc>
        <w:tc>
          <w:tcPr>
            <w:tcW w:w="1843" w:type="dxa"/>
            <w:tcBorders>
              <w:top w:val="single" w:sz="4" w:space="0" w:color="000000"/>
              <w:left w:val="single" w:sz="4" w:space="0" w:color="000000"/>
              <w:bottom w:val="single" w:sz="4" w:space="0" w:color="000000"/>
              <w:right w:val="single" w:sz="4" w:space="0" w:color="000000"/>
            </w:tcBorders>
          </w:tcPr>
          <w:p w14:paraId="34450361" w14:textId="77777777" w:rsidR="00450114" w:rsidRPr="00310B0F" w:rsidRDefault="00450114" w:rsidP="00D171C3">
            <w:pPr>
              <w:pStyle w:val="TableParagraph"/>
              <w:kinsoku w:val="0"/>
              <w:overflowPunct w:val="0"/>
              <w:ind w:left="0" w:hanging="1"/>
              <w:rPr>
                <w:sz w:val="22"/>
                <w:szCs w:val="22"/>
              </w:rPr>
            </w:pPr>
            <w:r w:rsidRPr="00310B0F">
              <w:rPr>
                <w:sz w:val="22"/>
                <w:szCs w:val="22"/>
              </w:rPr>
              <w:t>-1,0 (-1,3)</w:t>
            </w:r>
          </w:p>
        </w:tc>
      </w:tr>
      <w:tr w:rsidR="00450114" w:rsidRPr="00310B0F" w14:paraId="73597DAF" w14:textId="77777777" w:rsidTr="00D171C3">
        <w:trPr>
          <w:trHeight w:val="1285"/>
        </w:trPr>
        <w:tc>
          <w:tcPr>
            <w:tcW w:w="8330" w:type="dxa"/>
            <w:gridSpan w:val="3"/>
            <w:tcBorders>
              <w:top w:val="single" w:sz="4" w:space="0" w:color="000000"/>
              <w:left w:val="single" w:sz="4" w:space="0" w:color="000000"/>
              <w:bottom w:val="single" w:sz="4" w:space="0" w:color="000000"/>
              <w:right w:val="single" w:sz="4" w:space="0" w:color="000000"/>
            </w:tcBorders>
          </w:tcPr>
          <w:p w14:paraId="3B890C10"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Progresia invalidizácie definovaná ako zvýšenie EDSS o 1 bod potvrdená</w:t>
            </w:r>
            <w:r w:rsidRPr="00310B0F">
              <w:rPr>
                <w:spacing w:val="-26"/>
                <w:sz w:val="22"/>
                <w:szCs w:val="22"/>
              </w:rPr>
              <w:t xml:space="preserve"> </w:t>
            </w:r>
            <w:r w:rsidRPr="00310B0F">
              <w:rPr>
                <w:sz w:val="22"/>
                <w:szCs w:val="22"/>
              </w:rPr>
              <w:t>o 3 mesiace</w:t>
            </w:r>
            <w:r w:rsidRPr="00310B0F">
              <w:rPr>
                <w:spacing w:val="-2"/>
                <w:sz w:val="22"/>
                <w:szCs w:val="22"/>
              </w:rPr>
              <w:t xml:space="preserve"> </w:t>
            </w:r>
            <w:r w:rsidRPr="00310B0F">
              <w:rPr>
                <w:sz w:val="22"/>
                <w:szCs w:val="22"/>
              </w:rPr>
              <w:t>neskôr.</w:t>
            </w:r>
          </w:p>
          <w:p w14:paraId="13A0A159"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p&lt;0,001, *p&lt;0,05 v porovnaní s</w:t>
            </w:r>
            <w:r w:rsidRPr="00310B0F">
              <w:rPr>
                <w:spacing w:val="-2"/>
                <w:sz w:val="22"/>
                <w:szCs w:val="22"/>
              </w:rPr>
              <w:t xml:space="preserve"> </w:t>
            </w:r>
            <w:r w:rsidRPr="00310B0F">
              <w:rPr>
                <w:sz w:val="22"/>
                <w:szCs w:val="22"/>
              </w:rPr>
              <w:t>placebom</w:t>
            </w:r>
          </w:p>
          <w:p w14:paraId="145A9D84" w14:textId="77777777" w:rsidR="00450114" w:rsidRPr="00310B0F" w:rsidRDefault="00450114" w:rsidP="00D171C3">
            <w:pPr>
              <w:pStyle w:val="TableParagraph"/>
              <w:kinsoku w:val="0"/>
              <w:overflowPunct w:val="0"/>
              <w:ind w:left="0" w:hanging="1"/>
              <w:rPr>
                <w:sz w:val="22"/>
                <w:szCs w:val="22"/>
              </w:rPr>
            </w:pPr>
            <w:r w:rsidRPr="00310B0F">
              <w:rPr>
                <w:sz w:val="22"/>
                <w:szCs w:val="22"/>
              </w:rPr>
              <w:t>Všetky analýzy klinických ukazovateľov boli hodnotené pri liečebnom zámere (intent-to- treat). Analýzy MRI používali vyhodnotiteľný súbor údajov.</w:t>
            </w:r>
          </w:p>
        </w:tc>
      </w:tr>
    </w:tbl>
    <w:p w14:paraId="4B378D46" w14:textId="77777777" w:rsidR="00450114" w:rsidRPr="00310B0F" w:rsidRDefault="00450114" w:rsidP="00450114">
      <w:pPr>
        <w:pStyle w:val="Zkladntext"/>
        <w:kinsoku w:val="0"/>
        <w:overflowPunct w:val="0"/>
        <w:ind w:hanging="1"/>
        <w:rPr>
          <w:b/>
          <w:bCs/>
        </w:rPr>
      </w:pPr>
    </w:p>
    <w:p w14:paraId="2D338315" w14:textId="77777777" w:rsidR="00450114" w:rsidRPr="00310B0F" w:rsidRDefault="00450114" w:rsidP="00450114">
      <w:pPr>
        <w:pStyle w:val="Zkladntext"/>
        <w:kinsoku w:val="0"/>
        <w:overflowPunct w:val="0"/>
        <w:ind w:hanging="1"/>
      </w:pPr>
      <w:r w:rsidRPr="00310B0F">
        <w:t>Pacienti, ktorí ukončili 24 mesiacov základnej štúdie FREEDOMS, mohli byť zaradení do extenzie</w:t>
      </w:r>
    </w:p>
    <w:p w14:paraId="2C388F80" w14:textId="77777777" w:rsidR="00450114" w:rsidRPr="00310B0F" w:rsidRDefault="00450114" w:rsidP="00450114">
      <w:pPr>
        <w:pStyle w:val="Zkladntext"/>
        <w:kinsoku w:val="0"/>
        <w:overflowPunct w:val="0"/>
        <w:ind w:hanging="1"/>
      </w:pPr>
      <w:r w:rsidRPr="00310B0F">
        <w:t>(D2301E1) so zaslepenou dávkou a dostávať fingolimod. Celkovo sa extenzie zúčastnilo</w:t>
      </w:r>
    </w:p>
    <w:p w14:paraId="10E5F74C" w14:textId="77777777" w:rsidR="00450114" w:rsidRPr="00310B0F" w:rsidRDefault="00450114" w:rsidP="00450114">
      <w:pPr>
        <w:pStyle w:val="Zkladntext"/>
        <w:kinsoku w:val="0"/>
        <w:overflowPunct w:val="0"/>
        <w:ind w:hanging="1"/>
      </w:pPr>
      <w:r w:rsidRPr="00310B0F">
        <w:t>920 pacientov (n=331 pokračovalo s 0,5 mg, 289 pokračovalo s 1,25 mg, 155 prešlo z placeba na</w:t>
      </w:r>
    </w:p>
    <w:p w14:paraId="614CD142" w14:textId="31FA7EBF" w:rsidR="00450114" w:rsidRPr="00310B0F" w:rsidRDefault="00450114" w:rsidP="00450114">
      <w:pPr>
        <w:pStyle w:val="Zkladntext"/>
        <w:kinsoku w:val="0"/>
        <w:overflowPunct w:val="0"/>
        <w:ind w:hanging="1"/>
      </w:pPr>
      <w:r w:rsidRPr="00310B0F">
        <w:t>0,5 mg a 145 prešlo z placeba na 1,25 mg). Po 12 mesiacoch (36. mesiac) bolo ešte stále zaradených 856 pacientov (93 %). Medzi 24. a 36. mesiacom frekvencia relapsov za rok (</w:t>
      </w:r>
      <w:r w:rsidR="008D1889">
        <w:t xml:space="preserve">annualised relaps rate, </w:t>
      </w:r>
      <w:r w:rsidRPr="00310B0F">
        <w:t>ARR) u pacientov, ktorí dostávali 0,5 mg fingolimodu v základnej štúdii a zostali na dávke 0,5 mg, bola 0,17 (0,21 v základnej štúdii). ARR u pacientov, ktorí prešli z placeba na 0,5 mg fingolimodu, bola 0,22 (0,42 v základnej štúdii).</w:t>
      </w:r>
    </w:p>
    <w:p w14:paraId="5B04C916" w14:textId="77777777" w:rsidR="00450114" w:rsidRDefault="00450114" w:rsidP="00450114">
      <w:pPr>
        <w:pStyle w:val="Zkladntext"/>
        <w:kinsoku w:val="0"/>
        <w:overflowPunct w:val="0"/>
        <w:ind w:hanging="1"/>
      </w:pPr>
    </w:p>
    <w:p w14:paraId="61A33159" w14:textId="77777777" w:rsidR="00450114" w:rsidRPr="00310B0F" w:rsidRDefault="00450114" w:rsidP="00450114">
      <w:pPr>
        <w:pStyle w:val="Zkladntext"/>
        <w:kinsoku w:val="0"/>
        <w:overflowPunct w:val="0"/>
        <w:ind w:hanging="1"/>
      </w:pPr>
      <w:r w:rsidRPr="00310B0F">
        <w:t>Porovnateľné výsledky sa zistili v opakovanej randomizovanej, dvojito slepej, placebom kontrolovanej štúdii fingolimodu fázy III trvajúcej 2 roky u 1 083 pacientov s RRMS (n=358 pri 0,5 mg, 370 pri</w:t>
      </w:r>
    </w:p>
    <w:p w14:paraId="4CA913CD" w14:textId="77777777" w:rsidR="00450114" w:rsidRPr="00310B0F" w:rsidRDefault="00450114" w:rsidP="00450114">
      <w:pPr>
        <w:pStyle w:val="Zkladntext"/>
        <w:kinsoku w:val="0"/>
        <w:overflowPunct w:val="0"/>
        <w:ind w:hanging="1"/>
      </w:pPr>
      <w:r w:rsidRPr="00310B0F">
        <w:t>1,25 mg, 355 pri placebe) (D2309; FREEDOMS 2). Medián východiskových charakteristických hodnôt: vek 41 rokov, trvanie choroby 8,9 rokov, skóre EDSS 2,5.</w:t>
      </w:r>
    </w:p>
    <w:p w14:paraId="0D696B9A" w14:textId="77777777" w:rsidR="00450114" w:rsidRPr="00310B0F" w:rsidRDefault="00450114" w:rsidP="00450114">
      <w:pPr>
        <w:pStyle w:val="Zkladntext"/>
        <w:kinsoku w:val="0"/>
        <w:overflowPunct w:val="0"/>
        <w:ind w:hanging="1"/>
      </w:pPr>
    </w:p>
    <w:p w14:paraId="2051BB67" w14:textId="58D68359" w:rsidR="00450114" w:rsidRPr="00310B0F" w:rsidRDefault="00450114" w:rsidP="00450114">
      <w:pPr>
        <w:pStyle w:val="Nadpis1"/>
        <w:tabs>
          <w:tab w:val="left" w:pos="1657"/>
        </w:tabs>
        <w:kinsoku w:val="0"/>
        <w:overflowPunct w:val="0"/>
        <w:spacing w:before="0"/>
        <w:ind w:left="0" w:hanging="1"/>
      </w:pPr>
      <w:r w:rsidRPr="00310B0F">
        <w:t>Tabuľka</w:t>
      </w:r>
      <w:r w:rsidRPr="00310B0F">
        <w:rPr>
          <w:spacing w:val="-1"/>
        </w:rPr>
        <w:t xml:space="preserve"> </w:t>
      </w:r>
      <w:r w:rsidRPr="00310B0F">
        <w:t>2</w:t>
      </w:r>
      <w:r w:rsidRPr="00310B0F">
        <w:tab/>
        <w:t>Štúdia D2309 (FREEDOMS</w:t>
      </w:r>
      <w:r w:rsidR="008D1889">
        <w:t xml:space="preserve"> 2</w:t>
      </w:r>
      <w:r w:rsidRPr="00310B0F">
        <w:t>): hlavné</w:t>
      </w:r>
      <w:r w:rsidRPr="00310B0F">
        <w:rPr>
          <w:spacing w:val="-2"/>
        </w:rPr>
        <w:t xml:space="preserve"> </w:t>
      </w:r>
      <w:r w:rsidRPr="00310B0F">
        <w:t>výsledky</w:t>
      </w:r>
    </w:p>
    <w:p w14:paraId="7A8F2AB1" w14:textId="77777777" w:rsidR="00450114" w:rsidRPr="00310B0F" w:rsidRDefault="00450114" w:rsidP="00450114">
      <w:pPr>
        <w:pStyle w:val="Zkladntext"/>
        <w:kinsoku w:val="0"/>
        <w:overflowPunct w:val="0"/>
        <w:ind w:hanging="1"/>
        <w:rPr>
          <w:b/>
          <w:bCs/>
        </w:rPr>
      </w:pPr>
    </w:p>
    <w:tbl>
      <w:tblPr>
        <w:tblW w:w="0" w:type="auto"/>
        <w:tblInd w:w="356" w:type="dxa"/>
        <w:tblLayout w:type="fixed"/>
        <w:tblCellMar>
          <w:left w:w="0" w:type="dxa"/>
          <w:right w:w="0" w:type="dxa"/>
        </w:tblCellMar>
        <w:tblLook w:val="0000" w:firstRow="0" w:lastRow="0" w:firstColumn="0" w:lastColumn="0" w:noHBand="0" w:noVBand="0"/>
      </w:tblPr>
      <w:tblGrid>
        <w:gridCol w:w="4500"/>
        <w:gridCol w:w="1890"/>
        <w:gridCol w:w="1939"/>
      </w:tblGrid>
      <w:tr w:rsidR="00450114" w:rsidRPr="00310B0F" w14:paraId="66B1EEAE" w14:textId="77777777" w:rsidTr="00D171C3">
        <w:trPr>
          <w:trHeight w:val="520"/>
        </w:trPr>
        <w:tc>
          <w:tcPr>
            <w:tcW w:w="4500" w:type="dxa"/>
            <w:tcBorders>
              <w:top w:val="single" w:sz="4" w:space="0" w:color="000000"/>
              <w:left w:val="single" w:sz="4" w:space="0" w:color="000000"/>
              <w:bottom w:val="single" w:sz="4" w:space="0" w:color="000000"/>
              <w:right w:val="single" w:sz="4" w:space="0" w:color="000000"/>
            </w:tcBorders>
          </w:tcPr>
          <w:p w14:paraId="6165C50E" w14:textId="77777777" w:rsidR="00450114" w:rsidRPr="00310B0F" w:rsidRDefault="00450114" w:rsidP="00D171C3">
            <w:pPr>
              <w:pStyle w:val="TableParagraph"/>
              <w:kinsoku w:val="0"/>
              <w:overflowPunct w:val="0"/>
              <w:ind w:left="0" w:hanging="1"/>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459490"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Fingolimod 0,5 mg</w:t>
            </w:r>
          </w:p>
        </w:tc>
        <w:tc>
          <w:tcPr>
            <w:tcW w:w="1939" w:type="dxa"/>
            <w:tcBorders>
              <w:top w:val="single" w:sz="4" w:space="0" w:color="000000"/>
              <w:left w:val="single" w:sz="4" w:space="0" w:color="000000"/>
              <w:bottom w:val="single" w:sz="4" w:space="0" w:color="000000"/>
              <w:right w:val="single" w:sz="4" w:space="0" w:color="000000"/>
            </w:tcBorders>
          </w:tcPr>
          <w:p w14:paraId="4061100F"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Placebo</w:t>
            </w:r>
          </w:p>
        </w:tc>
      </w:tr>
      <w:tr w:rsidR="00450114" w:rsidRPr="00310B0F" w14:paraId="27ED1CAE" w14:textId="77777777" w:rsidTr="00D171C3">
        <w:trPr>
          <w:trHeight w:val="260"/>
        </w:trPr>
        <w:tc>
          <w:tcPr>
            <w:tcW w:w="4500" w:type="dxa"/>
            <w:tcBorders>
              <w:top w:val="single" w:sz="4" w:space="0" w:color="000000"/>
              <w:left w:val="single" w:sz="4" w:space="0" w:color="000000"/>
              <w:bottom w:val="single" w:sz="4" w:space="0" w:color="000000"/>
              <w:right w:val="single" w:sz="4" w:space="0" w:color="000000"/>
            </w:tcBorders>
          </w:tcPr>
          <w:p w14:paraId="531E843E"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Klinické ukazovatele</w:t>
            </w:r>
          </w:p>
        </w:tc>
        <w:tc>
          <w:tcPr>
            <w:tcW w:w="1890" w:type="dxa"/>
            <w:tcBorders>
              <w:top w:val="single" w:sz="4" w:space="0" w:color="000000"/>
              <w:left w:val="single" w:sz="4" w:space="0" w:color="000000"/>
              <w:bottom w:val="single" w:sz="4" w:space="0" w:color="000000"/>
              <w:right w:val="single" w:sz="4" w:space="0" w:color="000000"/>
            </w:tcBorders>
          </w:tcPr>
          <w:p w14:paraId="54C4221A" w14:textId="77777777" w:rsidR="00450114" w:rsidRPr="00310B0F" w:rsidRDefault="00450114" w:rsidP="00D171C3">
            <w:pPr>
              <w:pStyle w:val="TableParagraph"/>
              <w:kinsoku w:val="0"/>
              <w:overflowPunct w:val="0"/>
              <w:ind w:left="0" w:hanging="1"/>
              <w:rPr>
                <w:sz w:val="22"/>
                <w:szCs w:val="22"/>
              </w:rPr>
            </w:pPr>
          </w:p>
        </w:tc>
        <w:tc>
          <w:tcPr>
            <w:tcW w:w="1939" w:type="dxa"/>
            <w:tcBorders>
              <w:top w:val="single" w:sz="4" w:space="0" w:color="000000"/>
              <w:left w:val="single" w:sz="4" w:space="0" w:color="000000"/>
              <w:bottom w:val="single" w:sz="4" w:space="0" w:color="000000"/>
              <w:right w:val="single" w:sz="4" w:space="0" w:color="000000"/>
            </w:tcBorders>
          </w:tcPr>
          <w:p w14:paraId="035D28A6" w14:textId="77777777" w:rsidR="00450114" w:rsidRPr="00310B0F" w:rsidRDefault="00450114" w:rsidP="00D171C3">
            <w:pPr>
              <w:pStyle w:val="TableParagraph"/>
              <w:kinsoku w:val="0"/>
              <w:overflowPunct w:val="0"/>
              <w:ind w:left="0" w:hanging="1"/>
              <w:rPr>
                <w:sz w:val="22"/>
                <w:szCs w:val="22"/>
              </w:rPr>
            </w:pPr>
          </w:p>
        </w:tc>
      </w:tr>
      <w:tr w:rsidR="00450114" w:rsidRPr="00310B0F" w14:paraId="0300B00B" w14:textId="77777777" w:rsidTr="00D171C3">
        <w:trPr>
          <w:trHeight w:val="520"/>
        </w:trPr>
        <w:tc>
          <w:tcPr>
            <w:tcW w:w="4500" w:type="dxa"/>
            <w:tcBorders>
              <w:top w:val="single" w:sz="4" w:space="0" w:color="000000"/>
              <w:left w:val="single" w:sz="4" w:space="0" w:color="000000"/>
              <w:bottom w:val="single" w:sz="4" w:space="0" w:color="000000"/>
              <w:right w:val="single" w:sz="4" w:space="0" w:color="000000"/>
            </w:tcBorders>
          </w:tcPr>
          <w:p w14:paraId="4E7217C7" w14:textId="77777777" w:rsidR="00450114" w:rsidRPr="00310B0F" w:rsidRDefault="00450114" w:rsidP="00D171C3">
            <w:pPr>
              <w:pStyle w:val="TableParagraph"/>
              <w:kinsoku w:val="0"/>
              <w:overflowPunct w:val="0"/>
              <w:ind w:left="0" w:hanging="1"/>
              <w:rPr>
                <w:sz w:val="22"/>
                <w:szCs w:val="22"/>
              </w:rPr>
            </w:pPr>
            <w:r w:rsidRPr="00310B0F">
              <w:rPr>
                <w:sz w:val="22"/>
                <w:szCs w:val="22"/>
              </w:rPr>
              <w:t>Frekvencia relapsov za rok (primárny</w:t>
            </w:r>
          </w:p>
          <w:p w14:paraId="0A06FB99" w14:textId="77777777" w:rsidR="00450114" w:rsidRPr="00310B0F" w:rsidRDefault="00450114" w:rsidP="00D171C3">
            <w:pPr>
              <w:pStyle w:val="TableParagraph"/>
              <w:kinsoku w:val="0"/>
              <w:overflowPunct w:val="0"/>
              <w:ind w:left="0" w:hanging="1"/>
              <w:rPr>
                <w:sz w:val="22"/>
                <w:szCs w:val="22"/>
              </w:rPr>
            </w:pPr>
            <w:r w:rsidRPr="00310B0F">
              <w:rPr>
                <w:sz w:val="22"/>
                <w:szCs w:val="22"/>
              </w:rPr>
              <w:t>ukazovateľ)</w:t>
            </w:r>
          </w:p>
        </w:tc>
        <w:tc>
          <w:tcPr>
            <w:tcW w:w="1890" w:type="dxa"/>
            <w:tcBorders>
              <w:top w:val="single" w:sz="4" w:space="0" w:color="000000"/>
              <w:left w:val="single" w:sz="4" w:space="0" w:color="000000"/>
              <w:bottom w:val="single" w:sz="4" w:space="0" w:color="000000"/>
              <w:right w:val="single" w:sz="4" w:space="0" w:color="000000"/>
            </w:tcBorders>
          </w:tcPr>
          <w:p w14:paraId="48EEC8F0" w14:textId="77777777" w:rsidR="00450114" w:rsidRPr="00310B0F" w:rsidRDefault="00450114" w:rsidP="00D171C3">
            <w:pPr>
              <w:pStyle w:val="TableParagraph"/>
              <w:kinsoku w:val="0"/>
              <w:overflowPunct w:val="0"/>
              <w:ind w:left="0" w:hanging="1"/>
              <w:rPr>
                <w:sz w:val="22"/>
                <w:szCs w:val="22"/>
              </w:rPr>
            </w:pPr>
            <w:r w:rsidRPr="00310B0F">
              <w:rPr>
                <w:sz w:val="22"/>
                <w:szCs w:val="22"/>
              </w:rPr>
              <w:t>0,21**</w:t>
            </w:r>
          </w:p>
        </w:tc>
        <w:tc>
          <w:tcPr>
            <w:tcW w:w="1939" w:type="dxa"/>
            <w:tcBorders>
              <w:top w:val="single" w:sz="4" w:space="0" w:color="000000"/>
              <w:left w:val="single" w:sz="4" w:space="0" w:color="000000"/>
              <w:bottom w:val="single" w:sz="4" w:space="0" w:color="000000"/>
              <w:right w:val="single" w:sz="4" w:space="0" w:color="000000"/>
            </w:tcBorders>
          </w:tcPr>
          <w:p w14:paraId="0B9F8D69" w14:textId="77777777" w:rsidR="00450114" w:rsidRPr="00310B0F" w:rsidRDefault="00450114" w:rsidP="00D171C3">
            <w:pPr>
              <w:pStyle w:val="TableParagraph"/>
              <w:kinsoku w:val="0"/>
              <w:overflowPunct w:val="0"/>
              <w:ind w:left="0" w:hanging="1"/>
              <w:rPr>
                <w:sz w:val="22"/>
                <w:szCs w:val="22"/>
              </w:rPr>
            </w:pPr>
            <w:r w:rsidRPr="00310B0F">
              <w:rPr>
                <w:sz w:val="22"/>
                <w:szCs w:val="22"/>
              </w:rPr>
              <w:t>0,40</w:t>
            </w:r>
          </w:p>
        </w:tc>
      </w:tr>
      <w:tr w:rsidR="00450114" w:rsidRPr="00310B0F" w14:paraId="36BBB356" w14:textId="77777777" w:rsidTr="00D171C3">
        <w:trPr>
          <w:trHeight w:val="519"/>
        </w:trPr>
        <w:tc>
          <w:tcPr>
            <w:tcW w:w="4500" w:type="dxa"/>
            <w:tcBorders>
              <w:top w:val="single" w:sz="4" w:space="0" w:color="000000"/>
              <w:left w:val="single" w:sz="4" w:space="0" w:color="000000"/>
              <w:bottom w:val="single" w:sz="4" w:space="0" w:color="000000"/>
              <w:right w:val="single" w:sz="4" w:space="0" w:color="000000"/>
            </w:tcBorders>
          </w:tcPr>
          <w:p w14:paraId="4C6E40A1" w14:textId="77777777" w:rsidR="00450114" w:rsidRPr="00310B0F" w:rsidRDefault="00450114" w:rsidP="00D171C3">
            <w:pPr>
              <w:pStyle w:val="TableParagraph"/>
              <w:kinsoku w:val="0"/>
              <w:overflowPunct w:val="0"/>
              <w:ind w:left="0" w:hanging="1"/>
              <w:rPr>
                <w:sz w:val="22"/>
                <w:szCs w:val="22"/>
              </w:rPr>
            </w:pPr>
            <w:r w:rsidRPr="00310B0F">
              <w:rPr>
                <w:sz w:val="22"/>
                <w:szCs w:val="22"/>
              </w:rPr>
              <w:t>Percentuálny podiel pacientov bez relapsov po 24 mesiacoch</w:t>
            </w:r>
          </w:p>
        </w:tc>
        <w:tc>
          <w:tcPr>
            <w:tcW w:w="1890" w:type="dxa"/>
            <w:tcBorders>
              <w:top w:val="single" w:sz="4" w:space="0" w:color="000000"/>
              <w:left w:val="single" w:sz="4" w:space="0" w:color="000000"/>
              <w:bottom w:val="single" w:sz="4" w:space="0" w:color="000000"/>
              <w:right w:val="single" w:sz="4" w:space="0" w:color="000000"/>
            </w:tcBorders>
          </w:tcPr>
          <w:p w14:paraId="3CB247E4" w14:textId="77777777" w:rsidR="00450114" w:rsidRPr="00310B0F" w:rsidRDefault="00450114" w:rsidP="00D171C3">
            <w:pPr>
              <w:pStyle w:val="TableParagraph"/>
              <w:kinsoku w:val="0"/>
              <w:overflowPunct w:val="0"/>
              <w:ind w:left="0" w:hanging="1"/>
              <w:rPr>
                <w:sz w:val="22"/>
                <w:szCs w:val="22"/>
              </w:rPr>
            </w:pPr>
            <w:r w:rsidRPr="00310B0F">
              <w:rPr>
                <w:sz w:val="22"/>
                <w:szCs w:val="22"/>
              </w:rPr>
              <w:t>71,5 %**</w:t>
            </w:r>
          </w:p>
        </w:tc>
        <w:tc>
          <w:tcPr>
            <w:tcW w:w="1939" w:type="dxa"/>
            <w:tcBorders>
              <w:top w:val="single" w:sz="4" w:space="0" w:color="000000"/>
              <w:left w:val="single" w:sz="4" w:space="0" w:color="000000"/>
              <w:bottom w:val="single" w:sz="4" w:space="0" w:color="000000"/>
              <w:right w:val="single" w:sz="4" w:space="0" w:color="000000"/>
            </w:tcBorders>
          </w:tcPr>
          <w:p w14:paraId="1E7CD9C9" w14:textId="77777777" w:rsidR="00450114" w:rsidRPr="00310B0F" w:rsidRDefault="00450114" w:rsidP="00D171C3">
            <w:pPr>
              <w:pStyle w:val="TableParagraph"/>
              <w:kinsoku w:val="0"/>
              <w:overflowPunct w:val="0"/>
              <w:ind w:left="0" w:hanging="1"/>
              <w:rPr>
                <w:sz w:val="22"/>
                <w:szCs w:val="22"/>
              </w:rPr>
            </w:pPr>
            <w:r w:rsidRPr="00310B0F">
              <w:rPr>
                <w:sz w:val="22"/>
                <w:szCs w:val="22"/>
              </w:rPr>
              <w:t>52,7 %</w:t>
            </w:r>
          </w:p>
        </w:tc>
      </w:tr>
      <w:tr w:rsidR="00450114" w:rsidRPr="00310B0F" w14:paraId="1E8694CD" w14:textId="77777777" w:rsidTr="00D171C3">
        <w:trPr>
          <w:trHeight w:val="519"/>
        </w:trPr>
        <w:tc>
          <w:tcPr>
            <w:tcW w:w="4500" w:type="dxa"/>
            <w:tcBorders>
              <w:top w:val="single" w:sz="4" w:space="0" w:color="000000"/>
              <w:left w:val="single" w:sz="4" w:space="0" w:color="000000"/>
              <w:bottom w:val="none" w:sz="6" w:space="0" w:color="auto"/>
              <w:right w:val="single" w:sz="4" w:space="0" w:color="000000"/>
            </w:tcBorders>
          </w:tcPr>
          <w:p w14:paraId="59DBB060" w14:textId="77777777" w:rsidR="00450114" w:rsidRPr="00310B0F" w:rsidRDefault="00450114" w:rsidP="00D171C3">
            <w:pPr>
              <w:pStyle w:val="TableParagraph"/>
              <w:kinsoku w:val="0"/>
              <w:overflowPunct w:val="0"/>
              <w:ind w:left="0" w:hanging="1"/>
              <w:rPr>
                <w:sz w:val="22"/>
                <w:szCs w:val="22"/>
              </w:rPr>
            </w:pPr>
            <w:r w:rsidRPr="00310B0F">
              <w:rPr>
                <w:sz w:val="22"/>
                <w:szCs w:val="22"/>
              </w:rPr>
              <w:t>Podiel s progresiou invalidizácie potvrdenou po</w:t>
            </w:r>
          </w:p>
          <w:p w14:paraId="5C0A2D50" w14:textId="77777777" w:rsidR="00450114" w:rsidRPr="00310B0F" w:rsidRDefault="00450114" w:rsidP="00D171C3">
            <w:pPr>
              <w:pStyle w:val="TableParagraph"/>
              <w:kinsoku w:val="0"/>
              <w:overflowPunct w:val="0"/>
              <w:ind w:left="0" w:hanging="1"/>
              <w:rPr>
                <w:sz w:val="22"/>
                <w:szCs w:val="22"/>
              </w:rPr>
            </w:pPr>
            <w:r w:rsidRPr="00310B0F">
              <w:rPr>
                <w:sz w:val="22"/>
                <w:szCs w:val="22"/>
              </w:rPr>
              <w:t>3 mesiacoch†</w:t>
            </w:r>
          </w:p>
        </w:tc>
        <w:tc>
          <w:tcPr>
            <w:tcW w:w="1890" w:type="dxa"/>
            <w:tcBorders>
              <w:top w:val="single" w:sz="4" w:space="0" w:color="000000"/>
              <w:left w:val="single" w:sz="4" w:space="0" w:color="000000"/>
              <w:bottom w:val="none" w:sz="6" w:space="0" w:color="auto"/>
              <w:right w:val="single" w:sz="4" w:space="0" w:color="000000"/>
            </w:tcBorders>
          </w:tcPr>
          <w:p w14:paraId="0D79391F" w14:textId="77777777" w:rsidR="00450114" w:rsidRPr="00310B0F" w:rsidRDefault="00450114" w:rsidP="00D171C3">
            <w:pPr>
              <w:pStyle w:val="TableParagraph"/>
              <w:kinsoku w:val="0"/>
              <w:overflowPunct w:val="0"/>
              <w:ind w:left="0" w:hanging="1"/>
              <w:rPr>
                <w:sz w:val="22"/>
                <w:szCs w:val="22"/>
              </w:rPr>
            </w:pPr>
            <w:r w:rsidRPr="00310B0F">
              <w:rPr>
                <w:sz w:val="22"/>
                <w:szCs w:val="22"/>
              </w:rPr>
              <w:t>25 %</w:t>
            </w:r>
          </w:p>
        </w:tc>
        <w:tc>
          <w:tcPr>
            <w:tcW w:w="1939" w:type="dxa"/>
            <w:vMerge w:val="restart"/>
            <w:tcBorders>
              <w:top w:val="single" w:sz="4" w:space="0" w:color="000000"/>
              <w:left w:val="single" w:sz="4" w:space="0" w:color="000000"/>
              <w:bottom w:val="single" w:sz="4" w:space="0" w:color="000000"/>
              <w:right w:val="single" w:sz="4" w:space="0" w:color="000000"/>
            </w:tcBorders>
          </w:tcPr>
          <w:p w14:paraId="7E9112AE" w14:textId="77777777" w:rsidR="00450114" w:rsidRPr="00310B0F" w:rsidRDefault="00450114" w:rsidP="00D171C3">
            <w:pPr>
              <w:pStyle w:val="TableParagraph"/>
              <w:kinsoku w:val="0"/>
              <w:overflowPunct w:val="0"/>
              <w:ind w:left="0" w:hanging="1"/>
              <w:rPr>
                <w:sz w:val="22"/>
                <w:szCs w:val="22"/>
              </w:rPr>
            </w:pPr>
            <w:r w:rsidRPr="00310B0F">
              <w:rPr>
                <w:sz w:val="22"/>
                <w:szCs w:val="22"/>
              </w:rPr>
              <w:t>29 %</w:t>
            </w:r>
          </w:p>
        </w:tc>
      </w:tr>
      <w:tr w:rsidR="00450114" w:rsidRPr="00310B0F" w14:paraId="0D8FB8CE" w14:textId="77777777" w:rsidTr="00D171C3">
        <w:trPr>
          <w:trHeight w:val="250"/>
        </w:trPr>
        <w:tc>
          <w:tcPr>
            <w:tcW w:w="4500" w:type="dxa"/>
            <w:tcBorders>
              <w:top w:val="none" w:sz="6" w:space="0" w:color="auto"/>
              <w:left w:val="single" w:sz="4" w:space="0" w:color="000000"/>
              <w:bottom w:val="single" w:sz="4" w:space="0" w:color="000000"/>
              <w:right w:val="single" w:sz="4" w:space="0" w:color="000000"/>
            </w:tcBorders>
          </w:tcPr>
          <w:p w14:paraId="2C072C0E" w14:textId="77777777" w:rsidR="00450114" w:rsidRPr="00310B0F" w:rsidRDefault="00450114" w:rsidP="00D171C3">
            <w:pPr>
              <w:pStyle w:val="TableParagraph"/>
              <w:kinsoku w:val="0"/>
              <w:overflowPunct w:val="0"/>
              <w:ind w:left="0" w:hanging="1"/>
              <w:rPr>
                <w:sz w:val="22"/>
                <w:szCs w:val="22"/>
              </w:rPr>
            </w:pPr>
            <w:r w:rsidRPr="00310B0F">
              <w:rPr>
                <w:sz w:val="22"/>
                <w:szCs w:val="22"/>
              </w:rPr>
              <w:t>Pomer rizika (95 % IS)</w:t>
            </w:r>
          </w:p>
        </w:tc>
        <w:tc>
          <w:tcPr>
            <w:tcW w:w="1890" w:type="dxa"/>
            <w:tcBorders>
              <w:top w:val="none" w:sz="6" w:space="0" w:color="auto"/>
              <w:left w:val="single" w:sz="4" w:space="0" w:color="000000"/>
              <w:bottom w:val="single" w:sz="4" w:space="0" w:color="000000"/>
              <w:right w:val="single" w:sz="4" w:space="0" w:color="000000"/>
            </w:tcBorders>
          </w:tcPr>
          <w:p w14:paraId="2A31D5AD" w14:textId="77777777" w:rsidR="00450114" w:rsidRPr="00310B0F" w:rsidRDefault="00450114" w:rsidP="00D171C3">
            <w:pPr>
              <w:pStyle w:val="TableParagraph"/>
              <w:kinsoku w:val="0"/>
              <w:overflowPunct w:val="0"/>
              <w:ind w:left="0" w:hanging="1"/>
              <w:rPr>
                <w:sz w:val="22"/>
                <w:szCs w:val="22"/>
              </w:rPr>
            </w:pPr>
            <w:r w:rsidRPr="00310B0F">
              <w:rPr>
                <w:sz w:val="22"/>
                <w:szCs w:val="22"/>
              </w:rPr>
              <w:t>0,83 (0,61, 1,12)</w:t>
            </w:r>
          </w:p>
        </w:tc>
        <w:tc>
          <w:tcPr>
            <w:tcW w:w="1939" w:type="dxa"/>
            <w:vMerge/>
            <w:tcBorders>
              <w:top w:val="nil"/>
              <w:left w:val="single" w:sz="4" w:space="0" w:color="000000"/>
              <w:bottom w:val="single" w:sz="4" w:space="0" w:color="000000"/>
              <w:right w:val="single" w:sz="4" w:space="0" w:color="000000"/>
            </w:tcBorders>
          </w:tcPr>
          <w:p w14:paraId="54DF175A" w14:textId="77777777" w:rsidR="00450114" w:rsidRPr="00310B0F" w:rsidRDefault="00450114" w:rsidP="00D171C3">
            <w:pPr>
              <w:pStyle w:val="Zkladntext"/>
              <w:kinsoku w:val="0"/>
              <w:overflowPunct w:val="0"/>
              <w:ind w:hanging="1"/>
              <w:rPr>
                <w:b/>
                <w:bCs/>
              </w:rPr>
            </w:pPr>
          </w:p>
        </w:tc>
      </w:tr>
      <w:tr w:rsidR="00450114" w:rsidRPr="00310B0F" w14:paraId="53A3F969" w14:textId="77777777" w:rsidTr="00D171C3">
        <w:trPr>
          <w:trHeight w:val="260"/>
        </w:trPr>
        <w:tc>
          <w:tcPr>
            <w:tcW w:w="4500" w:type="dxa"/>
            <w:tcBorders>
              <w:top w:val="single" w:sz="4" w:space="0" w:color="000000"/>
              <w:left w:val="single" w:sz="4" w:space="0" w:color="000000"/>
              <w:bottom w:val="single" w:sz="4" w:space="0" w:color="000000"/>
              <w:right w:val="single" w:sz="4" w:space="0" w:color="000000"/>
            </w:tcBorders>
          </w:tcPr>
          <w:p w14:paraId="5DB179E5"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Ukazovatele MRI</w:t>
            </w:r>
          </w:p>
        </w:tc>
        <w:tc>
          <w:tcPr>
            <w:tcW w:w="1890" w:type="dxa"/>
            <w:tcBorders>
              <w:top w:val="single" w:sz="4" w:space="0" w:color="000000"/>
              <w:left w:val="single" w:sz="4" w:space="0" w:color="000000"/>
              <w:bottom w:val="single" w:sz="4" w:space="0" w:color="000000"/>
              <w:right w:val="single" w:sz="4" w:space="0" w:color="000000"/>
            </w:tcBorders>
          </w:tcPr>
          <w:p w14:paraId="7C9E35D5" w14:textId="77777777" w:rsidR="00450114" w:rsidRPr="00310B0F" w:rsidRDefault="00450114" w:rsidP="00D171C3">
            <w:pPr>
              <w:pStyle w:val="TableParagraph"/>
              <w:kinsoku w:val="0"/>
              <w:overflowPunct w:val="0"/>
              <w:ind w:left="0" w:hanging="1"/>
              <w:rPr>
                <w:sz w:val="22"/>
                <w:szCs w:val="22"/>
              </w:rPr>
            </w:pPr>
          </w:p>
        </w:tc>
        <w:tc>
          <w:tcPr>
            <w:tcW w:w="1939" w:type="dxa"/>
            <w:tcBorders>
              <w:top w:val="single" w:sz="4" w:space="0" w:color="000000"/>
              <w:left w:val="single" w:sz="4" w:space="0" w:color="000000"/>
              <w:bottom w:val="single" w:sz="4" w:space="0" w:color="000000"/>
              <w:right w:val="single" w:sz="4" w:space="0" w:color="000000"/>
            </w:tcBorders>
          </w:tcPr>
          <w:p w14:paraId="5C841EF1" w14:textId="77777777" w:rsidR="00450114" w:rsidRPr="00310B0F" w:rsidRDefault="00450114" w:rsidP="00D171C3">
            <w:pPr>
              <w:pStyle w:val="TableParagraph"/>
              <w:kinsoku w:val="0"/>
              <w:overflowPunct w:val="0"/>
              <w:ind w:left="0" w:hanging="1"/>
              <w:rPr>
                <w:sz w:val="22"/>
                <w:szCs w:val="22"/>
              </w:rPr>
            </w:pPr>
          </w:p>
        </w:tc>
      </w:tr>
      <w:tr w:rsidR="00450114" w:rsidRPr="00310B0F" w14:paraId="44A9ED58" w14:textId="77777777" w:rsidTr="00D171C3">
        <w:trPr>
          <w:trHeight w:val="519"/>
        </w:trPr>
        <w:tc>
          <w:tcPr>
            <w:tcW w:w="4500" w:type="dxa"/>
            <w:tcBorders>
              <w:top w:val="single" w:sz="4" w:space="0" w:color="000000"/>
              <w:left w:val="single" w:sz="4" w:space="0" w:color="000000"/>
              <w:bottom w:val="single" w:sz="4" w:space="0" w:color="000000"/>
              <w:right w:val="single" w:sz="4" w:space="0" w:color="000000"/>
            </w:tcBorders>
          </w:tcPr>
          <w:p w14:paraId="54A426A2"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nových alebo zväčšujúcich sa T2-lézií počas 24 mesiacov</w:t>
            </w:r>
          </w:p>
        </w:tc>
        <w:tc>
          <w:tcPr>
            <w:tcW w:w="1890" w:type="dxa"/>
            <w:tcBorders>
              <w:top w:val="single" w:sz="4" w:space="0" w:color="000000"/>
              <w:left w:val="single" w:sz="4" w:space="0" w:color="000000"/>
              <w:bottom w:val="single" w:sz="4" w:space="0" w:color="000000"/>
              <w:right w:val="single" w:sz="4" w:space="0" w:color="000000"/>
            </w:tcBorders>
          </w:tcPr>
          <w:p w14:paraId="386AE780" w14:textId="77777777" w:rsidR="00450114" w:rsidRPr="00310B0F" w:rsidRDefault="00450114" w:rsidP="00D171C3">
            <w:pPr>
              <w:pStyle w:val="TableParagraph"/>
              <w:kinsoku w:val="0"/>
              <w:overflowPunct w:val="0"/>
              <w:ind w:left="0" w:hanging="1"/>
              <w:rPr>
                <w:sz w:val="22"/>
                <w:szCs w:val="22"/>
              </w:rPr>
            </w:pPr>
            <w:r w:rsidRPr="00310B0F">
              <w:rPr>
                <w:sz w:val="22"/>
                <w:szCs w:val="22"/>
              </w:rPr>
              <w:t>0,0 (2,3)**</w:t>
            </w:r>
          </w:p>
        </w:tc>
        <w:tc>
          <w:tcPr>
            <w:tcW w:w="1939" w:type="dxa"/>
            <w:tcBorders>
              <w:top w:val="single" w:sz="4" w:space="0" w:color="000000"/>
              <w:left w:val="single" w:sz="4" w:space="0" w:color="000000"/>
              <w:bottom w:val="single" w:sz="4" w:space="0" w:color="000000"/>
              <w:right w:val="single" w:sz="4" w:space="0" w:color="000000"/>
            </w:tcBorders>
          </w:tcPr>
          <w:p w14:paraId="783FDA63" w14:textId="77777777" w:rsidR="00450114" w:rsidRPr="00310B0F" w:rsidRDefault="00450114" w:rsidP="00D171C3">
            <w:pPr>
              <w:pStyle w:val="TableParagraph"/>
              <w:kinsoku w:val="0"/>
              <w:overflowPunct w:val="0"/>
              <w:ind w:left="0" w:hanging="1"/>
              <w:rPr>
                <w:sz w:val="22"/>
                <w:szCs w:val="22"/>
              </w:rPr>
            </w:pPr>
            <w:r w:rsidRPr="00310B0F">
              <w:rPr>
                <w:sz w:val="22"/>
                <w:szCs w:val="22"/>
              </w:rPr>
              <w:t>4,0 (8,9)</w:t>
            </w:r>
          </w:p>
        </w:tc>
      </w:tr>
      <w:tr w:rsidR="00450114" w:rsidRPr="00310B0F" w14:paraId="0CA13F8D" w14:textId="77777777" w:rsidTr="00D171C3">
        <w:trPr>
          <w:trHeight w:val="519"/>
        </w:trPr>
        <w:tc>
          <w:tcPr>
            <w:tcW w:w="4500" w:type="dxa"/>
            <w:tcBorders>
              <w:top w:val="single" w:sz="4" w:space="0" w:color="000000"/>
              <w:left w:val="single" w:sz="4" w:space="0" w:color="000000"/>
              <w:bottom w:val="single" w:sz="4" w:space="0" w:color="000000"/>
              <w:right w:val="single" w:sz="4" w:space="0" w:color="000000"/>
            </w:tcBorders>
          </w:tcPr>
          <w:p w14:paraId="460319AB"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Gd-zvýrazňujúcich sa</w:t>
            </w:r>
          </w:p>
          <w:p w14:paraId="7FFC80A5" w14:textId="77777777" w:rsidR="00450114" w:rsidRPr="00310B0F" w:rsidRDefault="00450114" w:rsidP="00D171C3">
            <w:pPr>
              <w:pStyle w:val="TableParagraph"/>
              <w:kinsoku w:val="0"/>
              <w:overflowPunct w:val="0"/>
              <w:ind w:left="0" w:hanging="1"/>
              <w:rPr>
                <w:sz w:val="22"/>
                <w:szCs w:val="22"/>
              </w:rPr>
            </w:pPr>
            <w:r w:rsidRPr="00310B0F">
              <w:rPr>
                <w:sz w:val="22"/>
                <w:szCs w:val="22"/>
              </w:rPr>
              <w:t>lézií po 24 mesiacoch</w:t>
            </w:r>
          </w:p>
        </w:tc>
        <w:tc>
          <w:tcPr>
            <w:tcW w:w="1890" w:type="dxa"/>
            <w:tcBorders>
              <w:top w:val="single" w:sz="4" w:space="0" w:color="000000"/>
              <w:left w:val="single" w:sz="4" w:space="0" w:color="000000"/>
              <w:bottom w:val="single" w:sz="4" w:space="0" w:color="000000"/>
              <w:right w:val="single" w:sz="4" w:space="0" w:color="000000"/>
            </w:tcBorders>
          </w:tcPr>
          <w:p w14:paraId="14E03DBE" w14:textId="77777777" w:rsidR="00450114" w:rsidRPr="00310B0F" w:rsidRDefault="00450114" w:rsidP="00D171C3">
            <w:pPr>
              <w:pStyle w:val="TableParagraph"/>
              <w:kinsoku w:val="0"/>
              <w:overflowPunct w:val="0"/>
              <w:ind w:left="0" w:hanging="1"/>
              <w:rPr>
                <w:sz w:val="22"/>
                <w:szCs w:val="22"/>
              </w:rPr>
            </w:pPr>
            <w:r w:rsidRPr="00310B0F">
              <w:rPr>
                <w:sz w:val="22"/>
                <w:szCs w:val="22"/>
              </w:rPr>
              <w:t>0,0 (0,4)**</w:t>
            </w:r>
          </w:p>
        </w:tc>
        <w:tc>
          <w:tcPr>
            <w:tcW w:w="1939" w:type="dxa"/>
            <w:tcBorders>
              <w:top w:val="single" w:sz="4" w:space="0" w:color="000000"/>
              <w:left w:val="single" w:sz="4" w:space="0" w:color="000000"/>
              <w:bottom w:val="single" w:sz="4" w:space="0" w:color="000000"/>
              <w:right w:val="single" w:sz="4" w:space="0" w:color="000000"/>
            </w:tcBorders>
          </w:tcPr>
          <w:p w14:paraId="79AD68FA" w14:textId="77777777" w:rsidR="00450114" w:rsidRPr="00310B0F" w:rsidRDefault="00450114" w:rsidP="00D171C3">
            <w:pPr>
              <w:pStyle w:val="TableParagraph"/>
              <w:kinsoku w:val="0"/>
              <w:overflowPunct w:val="0"/>
              <w:ind w:left="0" w:hanging="1"/>
              <w:rPr>
                <w:sz w:val="22"/>
                <w:szCs w:val="22"/>
              </w:rPr>
            </w:pPr>
            <w:r w:rsidRPr="00310B0F">
              <w:rPr>
                <w:sz w:val="22"/>
                <w:szCs w:val="22"/>
              </w:rPr>
              <w:t>0,0 (1,2)</w:t>
            </w:r>
          </w:p>
        </w:tc>
      </w:tr>
      <w:tr w:rsidR="00450114" w:rsidRPr="00310B0F" w14:paraId="5D101883" w14:textId="77777777" w:rsidTr="00D171C3">
        <w:trPr>
          <w:trHeight w:val="520"/>
        </w:trPr>
        <w:tc>
          <w:tcPr>
            <w:tcW w:w="4500" w:type="dxa"/>
            <w:tcBorders>
              <w:top w:val="single" w:sz="4" w:space="0" w:color="000000"/>
              <w:left w:val="single" w:sz="4" w:space="0" w:color="000000"/>
              <w:bottom w:val="single" w:sz="4" w:space="0" w:color="000000"/>
              <w:right w:val="single" w:sz="4" w:space="0" w:color="000000"/>
            </w:tcBorders>
          </w:tcPr>
          <w:p w14:paraId="210FBA19"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 zmeny objemu mozgu</w:t>
            </w:r>
          </w:p>
          <w:p w14:paraId="73631B8F" w14:textId="77777777" w:rsidR="00450114" w:rsidRPr="00310B0F" w:rsidRDefault="00450114" w:rsidP="00D171C3">
            <w:pPr>
              <w:pStyle w:val="TableParagraph"/>
              <w:kinsoku w:val="0"/>
              <w:overflowPunct w:val="0"/>
              <w:ind w:left="0" w:hanging="1"/>
              <w:rPr>
                <w:sz w:val="22"/>
                <w:szCs w:val="22"/>
              </w:rPr>
            </w:pPr>
            <w:r w:rsidRPr="00310B0F">
              <w:rPr>
                <w:sz w:val="22"/>
                <w:szCs w:val="22"/>
              </w:rPr>
              <w:t>počas 24 mesiacov</w:t>
            </w:r>
          </w:p>
        </w:tc>
        <w:tc>
          <w:tcPr>
            <w:tcW w:w="1890" w:type="dxa"/>
            <w:tcBorders>
              <w:top w:val="single" w:sz="4" w:space="0" w:color="000000"/>
              <w:left w:val="single" w:sz="4" w:space="0" w:color="000000"/>
              <w:bottom w:val="single" w:sz="4" w:space="0" w:color="000000"/>
              <w:right w:val="single" w:sz="4" w:space="0" w:color="000000"/>
            </w:tcBorders>
          </w:tcPr>
          <w:p w14:paraId="3C252BEB" w14:textId="77777777" w:rsidR="00450114" w:rsidRPr="00310B0F" w:rsidRDefault="00450114" w:rsidP="00D171C3">
            <w:pPr>
              <w:pStyle w:val="TableParagraph"/>
              <w:kinsoku w:val="0"/>
              <w:overflowPunct w:val="0"/>
              <w:ind w:left="0" w:hanging="1"/>
              <w:rPr>
                <w:sz w:val="22"/>
                <w:szCs w:val="22"/>
              </w:rPr>
            </w:pPr>
            <w:r w:rsidRPr="00310B0F">
              <w:rPr>
                <w:sz w:val="22"/>
                <w:szCs w:val="22"/>
              </w:rPr>
              <w:t>-0,71 (-0,86)**</w:t>
            </w:r>
          </w:p>
        </w:tc>
        <w:tc>
          <w:tcPr>
            <w:tcW w:w="1939" w:type="dxa"/>
            <w:tcBorders>
              <w:top w:val="single" w:sz="4" w:space="0" w:color="000000"/>
              <w:left w:val="single" w:sz="4" w:space="0" w:color="000000"/>
              <w:bottom w:val="single" w:sz="4" w:space="0" w:color="000000"/>
              <w:right w:val="single" w:sz="4" w:space="0" w:color="000000"/>
            </w:tcBorders>
          </w:tcPr>
          <w:p w14:paraId="7912B0A8" w14:textId="77777777" w:rsidR="00450114" w:rsidRPr="00310B0F" w:rsidRDefault="00450114" w:rsidP="00D171C3">
            <w:pPr>
              <w:pStyle w:val="TableParagraph"/>
              <w:kinsoku w:val="0"/>
              <w:overflowPunct w:val="0"/>
              <w:ind w:left="0" w:hanging="1"/>
              <w:rPr>
                <w:sz w:val="22"/>
                <w:szCs w:val="22"/>
              </w:rPr>
            </w:pPr>
            <w:r w:rsidRPr="00310B0F">
              <w:rPr>
                <w:sz w:val="22"/>
                <w:szCs w:val="22"/>
              </w:rPr>
              <w:t>-1,02 (-1,28)</w:t>
            </w:r>
          </w:p>
        </w:tc>
      </w:tr>
      <w:tr w:rsidR="00450114" w:rsidRPr="00310B0F" w14:paraId="245C9E73" w14:textId="77777777" w:rsidTr="00D171C3">
        <w:trPr>
          <w:trHeight w:val="1300"/>
        </w:trPr>
        <w:tc>
          <w:tcPr>
            <w:tcW w:w="8329" w:type="dxa"/>
            <w:gridSpan w:val="3"/>
            <w:tcBorders>
              <w:top w:val="single" w:sz="4" w:space="0" w:color="000000"/>
              <w:left w:val="single" w:sz="4" w:space="0" w:color="000000"/>
              <w:bottom w:val="single" w:sz="4" w:space="0" w:color="000000"/>
              <w:right w:val="single" w:sz="4" w:space="0" w:color="000000"/>
            </w:tcBorders>
          </w:tcPr>
          <w:p w14:paraId="4D89409E"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Progresia invalidizácie definovaná ako zvýšenie EDSS o 1 bod potvrdená</w:t>
            </w:r>
            <w:r w:rsidRPr="00310B0F">
              <w:rPr>
                <w:spacing w:val="-25"/>
                <w:sz w:val="22"/>
                <w:szCs w:val="22"/>
              </w:rPr>
              <w:t xml:space="preserve"> </w:t>
            </w:r>
            <w:r w:rsidRPr="00310B0F">
              <w:rPr>
                <w:sz w:val="22"/>
                <w:szCs w:val="22"/>
              </w:rPr>
              <w:t>o 3 mesiace</w:t>
            </w:r>
            <w:r w:rsidRPr="00310B0F">
              <w:rPr>
                <w:spacing w:val="-2"/>
                <w:sz w:val="22"/>
                <w:szCs w:val="22"/>
              </w:rPr>
              <w:t xml:space="preserve"> </w:t>
            </w:r>
            <w:r w:rsidRPr="00310B0F">
              <w:rPr>
                <w:sz w:val="22"/>
                <w:szCs w:val="22"/>
              </w:rPr>
              <w:t>neskôr</w:t>
            </w:r>
          </w:p>
          <w:p w14:paraId="2580BDE0"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p&lt;0,001 v porovnaní s</w:t>
            </w:r>
            <w:r w:rsidRPr="00310B0F">
              <w:rPr>
                <w:spacing w:val="-1"/>
                <w:sz w:val="22"/>
                <w:szCs w:val="22"/>
              </w:rPr>
              <w:t xml:space="preserve"> </w:t>
            </w:r>
            <w:r w:rsidRPr="00310B0F">
              <w:rPr>
                <w:sz w:val="22"/>
                <w:szCs w:val="22"/>
              </w:rPr>
              <w:t>placebom</w:t>
            </w:r>
          </w:p>
          <w:p w14:paraId="5700F0FF" w14:textId="77777777" w:rsidR="00450114" w:rsidRPr="00310B0F" w:rsidRDefault="00450114" w:rsidP="00D171C3">
            <w:pPr>
              <w:pStyle w:val="TableParagraph"/>
              <w:kinsoku w:val="0"/>
              <w:overflowPunct w:val="0"/>
              <w:ind w:left="0" w:hanging="1"/>
              <w:rPr>
                <w:sz w:val="22"/>
                <w:szCs w:val="22"/>
              </w:rPr>
            </w:pPr>
            <w:r w:rsidRPr="00310B0F">
              <w:rPr>
                <w:sz w:val="22"/>
                <w:szCs w:val="22"/>
              </w:rPr>
              <w:t>Všetky analýzy klinických ukazovateľov boli hodnotené pri liečebnom zámere (intent-to-</w:t>
            </w:r>
          </w:p>
          <w:p w14:paraId="5A2A506F" w14:textId="77777777" w:rsidR="00450114" w:rsidRPr="00310B0F" w:rsidRDefault="00450114" w:rsidP="00D171C3">
            <w:pPr>
              <w:pStyle w:val="TableParagraph"/>
              <w:kinsoku w:val="0"/>
              <w:overflowPunct w:val="0"/>
              <w:ind w:left="0" w:hanging="1"/>
              <w:rPr>
                <w:sz w:val="22"/>
                <w:szCs w:val="22"/>
              </w:rPr>
            </w:pPr>
            <w:r w:rsidRPr="00310B0F">
              <w:rPr>
                <w:sz w:val="22"/>
                <w:szCs w:val="22"/>
              </w:rPr>
              <w:t>treat). Analýzy MRI používali vyhodnotiteľný súbor údajov.</w:t>
            </w:r>
          </w:p>
        </w:tc>
      </w:tr>
    </w:tbl>
    <w:p w14:paraId="10375961" w14:textId="77777777" w:rsidR="00450114" w:rsidRPr="00310B0F" w:rsidRDefault="00450114" w:rsidP="00450114">
      <w:pPr>
        <w:pStyle w:val="Zkladntext"/>
        <w:kinsoku w:val="0"/>
        <w:overflowPunct w:val="0"/>
        <w:ind w:hanging="1"/>
        <w:rPr>
          <w:b/>
          <w:bCs/>
        </w:rPr>
      </w:pPr>
    </w:p>
    <w:p w14:paraId="366C892C" w14:textId="77777777" w:rsidR="00450114" w:rsidRPr="00310B0F" w:rsidRDefault="00450114" w:rsidP="00450114">
      <w:pPr>
        <w:pStyle w:val="Zkladntext"/>
        <w:kinsoku w:val="0"/>
        <w:overflowPunct w:val="0"/>
        <w:ind w:hanging="1"/>
      </w:pPr>
      <w:r w:rsidRPr="00310B0F">
        <w:t>Štúdia D2302 (TRANSFORMS) bola randomizovaná, dvojito slepá, dvojito maskovaná, účinným liekom (interferón beta-1a) kontrolovaná štúdia fázy III trvajúca 1 rok u 1 280 pacientov (n=429 pri 0,5 mg, 420 pri 1,25 mg, 431 pri interferóne beta-1a 30 µg podávanom intramuskulárnou injekciou raz za týždeň). Hodnoty mediánu východiskových charakteristických znakov boli: vek 36 rokov, trvanie ochorenia 5,9 roka a skóre EDSS 2,0. Záverečné výsledky sú uvedené v Tabuľke 3. Pri ukazovateľoch štúdie sa nepreukázali žiadne významné rozdiely medzi dávkami 0,5 mg a 1,25 mg.</w:t>
      </w:r>
    </w:p>
    <w:p w14:paraId="7CD739E4" w14:textId="77777777" w:rsidR="00450114" w:rsidRDefault="00450114" w:rsidP="00450114">
      <w:pPr>
        <w:pStyle w:val="Nadpis1"/>
        <w:tabs>
          <w:tab w:val="left" w:pos="1657"/>
        </w:tabs>
        <w:kinsoku w:val="0"/>
        <w:overflowPunct w:val="0"/>
        <w:spacing w:before="0"/>
        <w:ind w:left="0" w:hanging="1"/>
      </w:pPr>
    </w:p>
    <w:p w14:paraId="3096C8E1" w14:textId="77777777" w:rsidR="00400C49" w:rsidRDefault="00400C49" w:rsidP="00092D58"/>
    <w:p w14:paraId="23A52067" w14:textId="77777777" w:rsidR="00400C49" w:rsidRPr="00074127" w:rsidRDefault="00400C49" w:rsidP="00092D58"/>
    <w:p w14:paraId="67D4E905" w14:textId="77777777" w:rsidR="00450114" w:rsidRPr="00310B0F" w:rsidRDefault="00450114" w:rsidP="00450114">
      <w:pPr>
        <w:pStyle w:val="Nadpis1"/>
        <w:tabs>
          <w:tab w:val="left" w:pos="1657"/>
        </w:tabs>
        <w:kinsoku w:val="0"/>
        <w:overflowPunct w:val="0"/>
        <w:spacing w:before="0"/>
        <w:ind w:left="0" w:hanging="1"/>
      </w:pPr>
      <w:r w:rsidRPr="00310B0F">
        <w:t>Tabuľka</w:t>
      </w:r>
      <w:r w:rsidRPr="00310B0F">
        <w:rPr>
          <w:spacing w:val="-1"/>
        </w:rPr>
        <w:t xml:space="preserve"> </w:t>
      </w:r>
      <w:r w:rsidRPr="00310B0F">
        <w:t>3</w:t>
      </w:r>
      <w:r w:rsidRPr="00310B0F">
        <w:tab/>
        <w:t>Štúdia D2302 (TRANSFORMS): hlavné</w:t>
      </w:r>
      <w:r w:rsidRPr="00310B0F">
        <w:rPr>
          <w:spacing w:val="-1"/>
        </w:rPr>
        <w:t xml:space="preserve"> </w:t>
      </w:r>
      <w:r w:rsidRPr="00310B0F">
        <w:t>výsledky</w:t>
      </w:r>
    </w:p>
    <w:p w14:paraId="6DFC5522" w14:textId="77777777" w:rsidR="00450114" w:rsidRPr="00310B0F" w:rsidRDefault="00450114" w:rsidP="00450114">
      <w:pPr>
        <w:pStyle w:val="Zkladntext"/>
        <w:kinsoku w:val="0"/>
        <w:overflowPunct w:val="0"/>
        <w:ind w:hanging="1"/>
        <w:rPr>
          <w:b/>
          <w:bCs/>
        </w:rPr>
      </w:pPr>
    </w:p>
    <w:tbl>
      <w:tblPr>
        <w:tblW w:w="0" w:type="auto"/>
        <w:tblInd w:w="248" w:type="dxa"/>
        <w:tblLayout w:type="fixed"/>
        <w:tblCellMar>
          <w:left w:w="0" w:type="dxa"/>
          <w:right w:w="0" w:type="dxa"/>
        </w:tblCellMar>
        <w:tblLook w:val="0000" w:firstRow="0" w:lastRow="0" w:firstColumn="0" w:lastColumn="0" w:noHBand="0" w:noVBand="0"/>
      </w:tblPr>
      <w:tblGrid>
        <w:gridCol w:w="4644"/>
        <w:gridCol w:w="1843"/>
        <w:gridCol w:w="1843"/>
      </w:tblGrid>
      <w:tr w:rsidR="00450114" w:rsidRPr="00310B0F" w14:paraId="72824455"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045ADDE9"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CFFDE21"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Fingolimod 0,5 mg</w:t>
            </w:r>
          </w:p>
        </w:tc>
        <w:tc>
          <w:tcPr>
            <w:tcW w:w="1843" w:type="dxa"/>
            <w:tcBorders>
              <w:top w:val="single" w:sz="4" w:space="0" w:color="000000"/>
              <w:left w:val="single" w:sz="4" w:space="0" w:color="000000"/>
              <w:bottom w:val="single" w:sz="4" w:space="0" w:color="000000"/>
              <w:right w:val="single" w:sz="4" w:space="0" w:color="000000"/>
            </w:tcBorders>
          </w:tcPr>
          <w:p w14:paraId="6EF97173"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Interferón beta- 1a, 30 μg</w:t>
            </w:r>
          </w:p>
        </w:tc>
      </w:tr>
      <w:tr w:rsidR="00450114" w:rsidRPr="00310B0F" w14:paraId="038D71D6"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0A845EF4"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Klinické ukazovatele</w:t>
            </w:r>
          </w:p>
        </w:tc>
        <w:tc>
          <w:tcPr>
            <w:tcW w:w="1843" w:type="dxa"/>
            <w:tcBorders>
              <w:top w:val="single" w:sz="4" w:space="0" w:color="000000"/>
              <w:left w:val="single" w:sz="4" w:space="0" w:color="000000"/>
              <w:bottom w:val="single" w:sz="4" w:space="0" w:color="000000"/>
              <w:right w:val="single" w:sz="4" w:space="0" w:color="000000"/>
            </w:tcBorders>
          </w:tcPr>
          <w:p w14:paraId="133B63AD"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86B9DB1" w14:textId="77777777" w:rsidR="00450114" w:rsidRPr="00310B0F" w:rsidRDefault="00450114" w:rsidP="00D171C3">
            <w:pPr>
              <w:pStyle w:val="TableParagraph"/>
              <w:kinsoku w:val="0"/>
              <w:overflowPunct w:val="0"/>
              <w:ind w:left="0" w:hanging="1"/>
              <w:rPr>
                <w:sz w:val="22"/>
                <w:szCs w:val="22"/>
              </w:rPr>
            </w:pPr>
          </w:p>
        </w:tc>
      </w:tr>
      <w:tr w:rsidR="00450114" w:rsidRPr="00310B0F" w14:paraId="037637E5"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6454CCBF" w14:textId="77777777" w:rsidR="00450114" w:rsidRPr="00310B0F" w:rsidRDefault="00450114" w:rsidP="00D171C3">
            <w:pPr>
              <w:pStyle w:val="TableParagraph"/>
              <w:kinsoku w:val="0"/>
              <w:overflowPunct w:val="0"/>
              <w:ind w:left="0" w:hanging="1"/>
              <w:rPr>
                <w:sz w:val="22"/>
                <w:szCs w:val="22"/>
              </w:rPr>
            </w:pPr>
            <w:r w:rsidRPr="00310B0F">
              <w:rPr>
                <w:sz w:val="22"/>
                <w:szCs w:val="22"/>
              </w:rPr>
              <w:t>Frekvencia relapsov za rok (primárny ukazovateľ)</w:t>
            </w:r>
          </w:p>
        </w:tc>
        <w:tc>
          <w:tcPr>
            <w:tcW w:w="1843" w:type="dxa"/>
            <w:tcBorders>
              <w:top w:val="single" w:sz="4" w:space="0" w:color="000000"/>
              <w:left w:val="single" w:sz="4" w:space="0" w:color="000000"/>
              <w:bottom w:val="single" w:sz="4" w:space="0" w:color="000000"/>
              <w:right w:val="single" w:sz="4" w:space="0" w:color="000000"/>
            </w:tcBorders>
          </w:tcPr>
          <w:p w14:paraId="243FA975" w14:textId="77777777" w:rsidR="00450114" w:rsidRPr="00310B0F" w:rsidRDefault="00450114" w:rsidP="00D171C3">
            <w:pPr>
              <w:pStyle w:val="TableParagraph"/>
              <w:kinsoku w:val="0"/>
              <w:overflowPunct w:val="0"/>
              <w:ind w:left="0" w:hanging="1"/>
              <w:rPr>
                <w:sz w:val="22"/>
                <w:szCs w:val="22"/>
              </w:rPr>
            </w:pPr>
            <w:r w:rsidRPr="00310B0F">
              <w:rPr>
                <w:sz w:val="22"/>
                <w:szCs w:val="22"/>
              </w:rPr>
              <w:t>0,16**</w:t>
            </w:r>
          </w:p>
        </w:tc>
        <w:tc>
          <w:tcPr>
            <w:tcW w:w="1843" w:type="dxa"/>
            <w:tcBorders>
              <w:top w:val="single" w:sz="4" w:space="0" w:color="000000"/>
              <w:left w:val="single" w:sz="4" w:space="0" w:color="000000"/>
              <w:bottom w:val="single" w:sz="4" w:space="0" w:color="000000"/>
              <w:right w:val="single" w:sz="4" w:space="0" w:color="000000"/>
            </w:tcBorders>
          </w:tcPr>
          <w:p w14:paraId="3954C0D3" w14:textId="77777777" w:rsidR="00450114" w:rsidRPr="00310B0F" w:rsidRDefault="00450114" w:rsidP="00D171C3">
            <w:pPr>
              <w:pStyle w:val="TableParagraph"/>
              <w:kinsoku w:val="0"/>
              <w:overflowPunct w:val="0"/>
              <w:ind w:left="0" w:hanging="1"/>
              <w:rPr>
                <w:sz w:val="22"/>
                <w:szCs w:val="22"/>
              </w:rPr>
            </w:pPr>
            <w:r w:rsidRPr="00310B0F">
              <w:rPr>
                <w:sz w:val="22"/>
                <w:szCs w:val="22"/>
              </w:rPr>
              <w:t>0,33</w:t>
            </w:r>
          </w:p>
        </w:tc>
      </w:tr>
      <w:tr w:rsidR="00450114" w:rsidRPr="00310B0F" w14:paraId="6E4C649C"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694B0C7A" w14:textId="77777777" w:rsidR="00450114" w:rsidRPr="00310B0F" w:rsidRDefault="00450114" w:rsidP="00D171C3">
            <w:pPr>
              <w:pStyle w:val="TableParagraph"/>
              <w:kinsoku w:val="0"/>
              <w:overflowPunct w:val="0"/>
              <w:ind w:left="0" w:hanging="1"/>
              <w:rPr>
                <w:sz w:val="22"/>
                <w:szCs w:val="22"/>
              </w:rPr>
            </w:pPr>
            <w:r w:rsidRPr="00310B0F">
              <w:rPr>
                <w:sz w:val="22"/>
                <w:szCs w:val="22"/>
              </w:rPr>
              <w:t>Percentuálny podiel pacientov bez relapsov po 12 mesiacoch</w:t>
            </w:r>
          </w:p>
        </w:tc>
        <w:tc>
          <w:tcPr>
            <w:tcW w:w="1843" w:type="dxa"/>
            <w:tcBorders>
              <w:top w:val="single" w:sz="4" w:space="0" w:color="000000"/>
              <w:left w:val="single" w:sz="4" w:space="0" w:color="000000"/>
              <w:bottom w:val="single" w:sz="4" w:space="0" w:color="000000"/>
              <w:right w:val="single" w:sz="4" w:space="0" w:color="000000"/>
            </w:tcBorders>
          </w:tcPr>
          <w:p w14:paraId="7F2A9EAD" w14:textId="77777777" w:rsidR="00450114" w:rsidRPr="00310B0F" w:rsidRDefault="00450114" w:rsidP="00D171C3">
            <w:pPr>
              <w:pStyle w:val="TableParagraph"/>
              <w:kinsoku w:val="0"/>
              <w:overflowPunct w:val="0"/>
              <w:ind w:left="0" w:hanging="1"/>
              <w:rPr>
                <w:sz w:val="22"/>
                <w:szCs w:val="22"/>
              </w:rPr>
            </w:pPr>
            <w:r w:rsidRPr="00310B0F">
              <w:rPr>
                <w:sz w:val="22"/>
                <w:szCs w:val="22"/>
              </w:rPr>
              <w:t>83 %**</w:t>
            </w:r>
          </w:p>
        </w:tc>
        <w:tc>
          <w:tcPr>
            <w:tcW w:w="1843" w:type="dxa"/>
            <w:tcBorders>
              <w:top w:val="single" w:sz="4" w:space="0" w:color="000000"/>
              <w:left w:val="single" w:sz="4" w:space="0" w:color="000000"/>
              <w:bottom w:val="single" w:sz="4" w:space="0" w:color="000000"/>
              <w:right w:val="single" w:sz="4" w:space="0" w:color="000000"/>
            </w:tcBorders>
          </w:tcPr>
          <w:p w14:paraId="21164471" w14:textId="77777777" w:rsidR="00450114" w:rsidRPr="00310B0F" w:rsidRDefault="00450114" w:rsidP="00D171C3">
            <w:pPr>
              <w:pStyle w:val="TableParagraph"/>
              <w:kinsoku w:val="0"/>
              <w:overflowPunct w:val="0"/>
              <w:ind w:left="0" w:hanging="1"/>
              <w:rPr>
                <w:sz w:val="22"/>
                <w:szCs w:val="22"/>
              </w:rPr>
            </w:pPr>
            <w:r w:rsidRPr="00310B0F">
              <w:rPr>
                <w:sz w:val="22"/>
                <w:szCs w:val="22"/>
              </w:rPr>
              <w:t>71 %</w:t>
            </w:r>
          </w:p>
        </w:tc>
      </w:tr>
      <w:tr w:rsidR="00450114" w:rsidRPr="00310B0F" w14:paraId="5A824137" w14:textId="77777777" w:rsidTr="00D171C3">
        <w:trPr>
          <w:trHeight w:val="518"/>
        </w:trPr>
        <w:tc>
          <w:tcPr>
            <w:tcW w:w="4644" w:type="dxa"/>
            <w:tcBorders>
              <w:top w:val="single" w:sz="4" w:space="0" w:color="000000"/>
              <w:left w:val="single" w:sz="4" w:space="0" w:color="000000"/>
              <w:bottom w:val="none" w:sz="6" w:space="0" w:color="auto"/>
              <w:right w:val="single" w:sz="4" w:space="0" w:color="000000"/>
            </w:tcBorders>
          </w:tcPr>
          <w:p w14:paraId="03BCB268" w14:textId="77777777" w:rsidR="00450114" w:rsidRPr="00310B0F" w:rsidRDefault="00450114" w:rsidP="00D171C3">
            <w:pPr>
              <w:pStyle w:val="TableParagraph"/>
              <w:kinsoku w:val="0"/>
              <w:overflowPunct w:val="0"/>
              <w:ind w:left="0" w:hanging="1"/>
              <w:rPr>
                <w:sz w:val="22"/>
                <w:szCs w:val="22"/>
              </w:rPr>
            </w:pPr>
            <w:r w:rsidRPr="00310B0F">
              <w:rPr>
                <w:sz w:val="22"/>
                <w:szCs w:val="22"/>
              </w:rPr>
              <w:t>Podiel s progresiou invalidizácie potvrdenou po 3 mesiacoch†</w:t>
            </w:r>
          </w:p>
        </w:tc>
        <w:tc>
          <w:tcPr>
            <w:tcW w:w="1843" w:type="dxa"/>
            <w:tcBorders>
              <w:top w:val="single" w:sz="4" w:space="0" w:color="000000"/>
              <w:left w:val="single" w:sz="4" w:space="0" w:color="000000"/>
              <w:bottom w:val="none" w:sz="6" w:space="0" w:color="auto"/>
              <w:right w:val="single" w:sz="4" w:space="0" w:color="000000"/>
            </w:tcBorders>
          </w:tcPr>
          <w:p w14:paraId="7914EB76" w14:textId="77777777" w:rsidR="00450114" w:rsidRPr="00310B0F" w:rsidRDefault="00450114" w:rsidP="00D171C3">
            <w:pPr>
              <w:pStyle w:val="TableParagraph"/>
              <w:kinsoku w:val="0"/>
              <w:overflowPunct w:val="0"/>
              <w:ind w:left="0" w:hanging="1"/>
              <w:rPr>
                <w:sz w:val="22"/>
                <w:szCs w:val="22"/>
              </w:rPr>
            </w:pPr>
            <w:r w:rsidRPr="00310B0F">
              <w:rPr>
                <w:sz w:val="22"/>
                <w:szCs w:val="22"/>
              </w:rPr>
              <w:t>6 %</w:t>
            </w:r>
          </w:p>
        </w:tc>
        <w:tc>
          <w:tcPr>
            <w:tcW w:w="1843" w:type="dxa"/>
            <w:vMerge w:val="restart"/>
            <w:tcBorders>
              <w:top w:val="single" w:sz="4" w:space="0" w:color="000000"/>
              <w:left w:val="single" w:sz="4" w:space="0" w:color="000000"/>
              <w:bottom w:val="single" w:sz="4" w:space="0" w:color="000000"/>
              <w:right w:val="single" w:sz="4" w:space="0" w:color="000000"/>
            </w:tcBorders>
          </w:tcPr>
          <w:p w14:paraId="329A0A19" w14:textId="77777777" w:rsidR="00450114" w:rsidRPr="00310B0F" w:rsidRDefault="00450114" w:rsidP="00D171C3">
            <w:pPr>
              <w:pStyle w:val="TableParagraph"/>
              <w:kinsoku w:val="0"/>
              <w:overflowPunct w:val="0"/>
              <w:ind w:left="0" w:hanging="1"/>
              <w:rPr>
                <w:sz w:val="22"/>
                <w:szCs w:val="22"/>
              </w:rPr>
            </w:pPr>
            <w:r w:rsidRPr="00310B0F">
              <w:rPr>
                <w:sz w:val="22"/>
                <w:szCs w:val="22"/>
              </w:rPr>
              <w:t>8 %</w:t>
            </w:r>
          </w:p>
        </w:tc>
      </w:tr>
      <w:tr w:rsidR="00450114" w:rsidRPr="00310B0F" w14:paraId="0AA2085E" w14:textId="77777777" w:rsidTr="00D171C3">
        <w:trPr>
          <w:trHeight w:val="249"/>
        </w:trPr>
        <w:tc>
          <w:tcPr>
            <w:tcW w:w="4644" w:type="dxa"/>
            <w:tcBorders>
              <w:top w:val="none" w:sz="6" w:space="0" w:color="auto"/>
              <w:left w:val="single" w:sz="4" w:space="0" w:color="000000"/>
              <w:bottom w:val="single" w:sz="4" w:space="0" w:color="000000"/>
              <w:right w:val="single" w:sz="4" w:space="0" w:color="000000"/>
            </w:tcBorders>
          </w:tcPr>
          <w:p w14:paraId="520CB68B" w14:textId="77777777" w:rsidR="00450114" w:rsidRPr="00310B0F" w:rsidRDefault="00450114" w:rsidP="00D171C3">
            <w:pPr>
              <w:pStyle w:val="TableParagraph"/>
              <w:kinsoku w:val="0"/>
              <w:overflowPunct w:val="0"/>
              <w:ind w:left="0" w:hanging="1"/>
              <w:rPr>
                <w:sz w:val="22"/>
                <w:szCs w:val="22"/>
              </w:rPr>
            </w:pPr>
            <w:r w:rsidRPr="00310B0F">
              <w:rPr>
                <w:sz w:val="22"/>
                <w:szCs w:val="22"/>
              </w:rPr>
              <w:t>Pomer rizika (95 % IS)</w:t>
            </w:r>
          </w:p>
        </w:tc>
        <w:tc>
          <w:tcPr>
            <w:tcW w:w="1843" w:type="dxa"/>
            <w:tcBorders>
              <w:top w:val="none" w:sz="6" w:space="0" w:color="auto"/>
              <w:left w:val="single" w:sz="4" w:space="0" w:color="000000"/>
              <w:bottom w:val="single" w:sz="4" w:space="0" w:color="000000"/>
              <w:right w:val="single" w:sz="4" w:space="0" w:color="000000"/>
            </w:tcBorders>
          </w:tcPr>
          <w:p w14:paraId="4CC3CAFC" w14:textId="77777777" w:rsidR="00450114" w:rsidRPr="00310B0F" w:rsidRDefault="00450114" w:rsidP="00D171C3">
            <w:pPr>
              <w:pStyle w:val="TableParagraph"/>
              <w:kinsoku w:val="0"/>
              <w:overflowPunct w:val="0"/>
              <w:ind w:left="0" w:hanging="1"/>
              <w:rPr>
                <w:sz w:val="22"/>
                <w:szCs w:val="22"/>
              </w:rPr>
            </w:pPr>
            <w:r w:rsidRPr="00310B0F">
              <w:rPr>
                <w:sz w:val="22"/>
                <w:szCs w:val="22"/>
              </w:rPr>
              <w:t>0,71 (0,42, 1,21)</w:t>
            </w:r>
          </w:p>
        </w:tc>
        <w:tc>
          <w:tcPr>
            <w:tcW w:w="1843" w:type="dxa"/>
            <w:vMerge/>
            <w:tcBorders>
              <w:top w:val="nil"/>
              <w:left w:val="single" w:sz="4" w:space="0" w:color="000000"/>
              <w:bottom w:val="single" w:sz="4" w:space="0" w:color="000000"/>
              <w:right w:val="single" w:sz="4" w:space="0" w:color="000000"/>
            </w:tcBorders>
          </w:tcPr>
          <w:p w14:paraId="0E4F133F" w14:textId="77777777" w:rsidR="00450114" w:rsidRPr="00310B0F" w:rsidRDefault="00450114" w:rsidP="00D171C3">
            <w:pPr>
              <w:pStyle w:val="Zkladntext"/>
              <w:kinsoku w:val="0"/>
              <w:overflowPunct w:val="0"/>
              <w:ind w:hanging="1"/>
              <w:rPr>
                <w:b/>
                <w:bCs/>
              </w:rPr>
            </w:pPr>
          </w:p>
        </w:tc>
      </w:tr>
      <w:tr w:rsidR="00450114" w:rsidRPr="00310B0F" w14:paraId="4A3059DD" w14:textId="77777777" w:rsidTr="00D171C3">
        <w:trPr>
          <w:trHeight w:val="260"/>
        </w:trPr>
        <w:tc>
          <w:tcPr>
            <w:tcW w:w="4644" w:type="dxa"/>
            <w:tcBorders>
              <w:top w:val="single" w:sz="4" w:space="0" w:color="000000"/>
              <w:left w:val="single" w:sz="4" w:space="0" w:color="000000"/>
              <w:bottom w:val="single" w:sz="4" w:space="0" w:color="000000"/>
              <w:right w:val="single" w:sz="4" w:space="0" w:color="000000"/>
            </w:tcBorders>
          </w:tcPr>
          <w:p w14:paraId="0527C5A2"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Ukazovatele MRI</w:t>
            </w:r>
          </w:p>
        </w:tc>
        <w:tc>
          <w:tcPr>
            <w:tcW w:w="1843" w:type="dxa"/>
            <w:tcBorders>
              <w:top w:val="single" w:sz="4" w:space="0" w:color="000000"/>
              <w:left w:val="single" w:sz="4" w:space="0" w:color="000000"/>
              <w:bottom w:val="single" w:sz="4" w:space="0" w:color="000000"/>
              <w:right w:val="single" w:sz="4" w:space="0" w:color="000000"/>
            </w:tcBorders>
          </w:tcPr>
          <w:p w14:paraId="61D59644" w14:textId="77777777" w:rsidR="00450114" w:rsidRPr="00310B0F" w:rsidRDefault="00450114" w:rsidP="00D171C3">
            <w:pPr>
              <w:pStyle w:val="TableParagraph"/>
              <w:kinsoku w:val="0"/>
              <w:overflowPunct w:val="0"/>
              <w:ind w:left="0" w:hanging="1"/>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9F2944E" w14:textId="77777777" w:rsidR="00450114" w:rsidRPr="00310B0F" w:rsidRDefault="00450114" w:rsidP="00D171C3">
            <w:pPr>
              <w:pStyle w:val="TableParagraph"/>
              <w:kinsoku w:val="0"/>
              <w:overflowPunct w:val="0"/>
              <w:ind w:left="0" w:hanging="1"/>
              <w:rPr>
                <w:sz w:val="22"/>
                <w:szCs w:val="22"/>
              </w:rPr>
            </w:pPr>
          </w:p>
        </w:tc>
      </w:tr>
      <w:tr w:rsidR="00450114" w:rsidRPr="00310B0F" w14:paraId="3F5B7A00"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3BF451D8"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nových alebo zväčšujúcich sa T2-lézií počas 12 mesiacov</w:t>
            </w:r>
          </w:p>
        </w:tc>
        <w:tc>
          <w:tcPr>
            <w:tcW w:w="1843" w:type="dxa"/>
            <w:tcBorders>
              <w:top w:val="single" w:sz="4" w:space="0" w:color="000000"/>
              <w:left w:val="single" w:sz="4" w:space="0" w:color="000000"/>
              <w:bottom w:val="single" w:sz="4" w:space="0" w:color="000000"/>
              <w:right w:val="single" w:sz="4" w:space="0" w:color="000000"/>
            </w:tcBorders>
          </w:tcPr>
          <w:p w14:paraId="26F4AE27" w14:textId="77777777" w:rsidR="00450114" w:rsidRPr="00310B0F" w:rsidRDefault="00450114" w:rsidP="00D171C3">
            <w:pPr>
              <w:pStyle w:val="TableParagraph"/>
              <w:kinsoku w:val="0"/>
              <w:overflowPunct w:val="0"/>
              <w:ind w:left="0" w:hanging="1"/>
              <w:rPr>
                <w:sz w:val="22"/>
                <w:szCs w:val="22"/>
              </w:rPr>
            </w:pPr>
            <w:r w:rsidRPr="00310B0F">
              <w:rPr>
                <w:sz w:val="22"/>
                <w:szCs w:val="22"/>
              </w:rPr>
              <w:t>0,0 (1,7)*</w:t>
            </w:r>
          </w:p>
        </w:tc>
        <w:tc>
          <w:tcPr>
            <w:tcW w:w="1843" w:type="dxa"/>
            <w:tcBorders>
              <w:top w:val="single" w:sz="4" w:space="0" w:color="000000"/>
              <w:left w:val="single" w:sz="4" w:space="0" w:color="000000"/>
              <w:bottom w:val="single" w:sz="4" w:space="0" w:color="000000"/>
              <w:right w:val="single" w:sz="4" w:space="0" w:color="000000"/>
            </w:tcBorders>
          </w:tcPr>
          <w:p w14:paraId="13C9CA1D" w14:textId="77777777" w:rsidR="00450114" w:rsidRPr="00310B0F" w:rsidRDefault="00450114" w:rsidP="00D171C3">
            <w:pPr>
              <w:pStyle w:val="TableParagraph"/>
              <w:kinsoku w:val="0"/>
              <w:overflowPunct w:val="0"/>
              <w:ind w:left="0" w:hanging="1"/>
              <w:rPr>
                <w:sz w:val="22"/>
                <w:szCs w:val="22"/>
              </w:rPr>
            </w:pPr>
            <w:r w:rsidRPr="00310B0F">
              <w:rPr>
                <w:sz w:val="22"/>
                <w:szCs w:val="22"/>
              </w:rPr>
              <w:t>1,0 (2,6)</w:t>
            </w:r>
          </w:p>
        </w:tc>
      </w:tr>
      <w:tr w:rsidR="00450114" w:rsidRPr="00310B0F" w14:paraId="72BED2CF" w14:textId="77777777" w:rsidTr="00D171C3">
        <w:trPr>
          <w:trHeight w:val="519"/>
        </w:trPr>
        <w:tc>
          <w:tcPr>
            <w:tcW w:w="4644" w:type="dxa"/>
            <w:tcBorders>
              <w:top w:val="single" w:sz="4" w:space="0" w:color="000000"/>
              <w:left w:val="single" w:sz="4" w:space="0" w:color="000000"/>
              <w:bottom w:val="single" w:sz="4" w:space="0" w:color="000000"/>
              <w:right w:val="single" w:sz="4" w:space="0" w:color="000000"/>
            </w:tcBorders>
          </w:tcPr>
          <w:p w14:paraId="33642612"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počtu Gd-zvýrazňujúcich sa</w:t>
            </w:r>
          </w:p>
          <w:p w14:paraId="241552BD" w14:textId="77777777" w:rsidR="00450114" w:rsidRPr="00310B0F" w:rsidRDefault="00450114" w:rsidP="00D171C3">
            <w:pPr>
              <w:pStyle w:val="TableParagraph"/>
              <w:kinsoku w:val="0"/>
              <w:overflowPunct w:val="0"/>
              <w:ind w:left="0" w:hanging="1"/>
              <w:rPr>
                <w:sz w:val="22"/>
                <w:szCs w:val="22"/>
              </w:rPr>
            </w:pPr>
            <w:r w:rsidRPr="00310B0F">
              <w:rPr>
                <w:sz w:val="22"/>
                <w:szCs w:val="22"/>
              </w:rPr>
              <w:t>lézií po 12 mesiacoch</w:t>
            </w:r>
          </w:p>
        </w:tc>
        <w:tc>
          <w:tcPr>
            <w:tcW w:w="1843" w:type="dxa"/>
            <w:tcBorders>
              <w:top w:val="single" w:sz="4" w:space="0" w:color="000000"/>
              <w:left w:val="single" w:sz="4" w:space="0" w:color="000000"/>
              <w:bottom w:val="single" w:sz="4" w:space="0" w:color="000000"/>
              <w:right w:val="single" w:sz="4" w:space="0" w:color="000000"/>
            </w:tcBorders>
          </w:tcPr>
          <w:p w14:paraId="6113DA1A" w14:textId="77777777" w:rsidR="00450114" w:rsidRPr="00310B0F" w:rsidRDefault="00450114" w:rsidP="00D171C3">
            <w:pPr>
              <w:pStyle w:val="TableParagraph"/>
              <w:kinsoku w:val="0"/>
              <w:overflowPunct w:val="0"/>
              <w:ind w:left="0" w:hanging="1"/>
              <w:rPr>
                <w:sz w:val="22"/>
                <w:szCs w:val="22"/>
              </w:rPr>
            </w:pPr>
            <w:r w:rsidRPr="00310B0F">
              <w:rPr>
                <w:sz w:val="22"/>
                <w:szCs w:val="22"/>
              </w:rPr>
              <w:t>0,0 (0,2)**</w:t>
            </w:r>
          </w:p>
        </w:tc>
        <w:tc>
          <w:tcPr>
            <w:tcW w:w="1843" w:type="dxa"/>
            <w:tcBorders>
              <w:top w:val="single" w:sz="4" w:space="0" w:color="000000"/>
              <w:left w:val="single" w:sz="4" w:space="0" w:color="000000"/>
              <w:bottom w:val="single" w:sz="4" w:space="0" w:color="000000"/>
              <w:right w:val="single" w:sz="4" w:space="0" w:color="000000"/>
            </w:tcBorders>
          </w:tcPr>
          <w:p w14:paraId="51A2EF30" w14:textId="77777777" w:rsidR="00450114" w:rsidRPr="00310B0F" w:rsidRDefault="00450114" w:rsidP="00D171C3">
            <w:pPr>
              <w:pStyle w:val="TableParagraph"/>
              <w:kinsoku w:val="0"/>
              <w:overflowPunct w:val="0"/>
              <w:ind w:left="0" w:hanging="1"/>
              <w:rPr>
                <w:sz w:val="22"/>
                <w:szCs w:val="22"/>
              </w:rPr>
            </w:pPr>
            <w:r w:rsidRPr="00310B0F">
              <w:rPr>
                <w:sz w:val="22"/>
                <w:szCs w:val="22"/>
              </w:rPr>
              <w:t>0,0 (0,5)</w:t>
            </w:r>
          </w:p>
        </w:tc>
      </w:tr>
      <w:tr w:rsidR="00450114" w:rsidRPr="00310B0F" w14:paraId="1CBC3441" w14:textId="77777777" w:rsidTr="00D171C3">
        <w:trPr>
          <w:trHeight w:val="520"/>
        </w:trPr>
        <w:tc>
          <w:tcPr>
            <w:tcW w:w="4644" w:type="dxa"/>
            <w:tcBorders>
              <w:top w:val="single" w:sz="4" w:space="0" w:color="000000"/>
              <w:left w:val="single" w:sz="4" w:space="0" w:color="000000"/>
              <w:bottom w:val="single" w:sz="4" w:space="0" w:color="000000"/>
              <w:right w:val="single" w:sz="4" w:space="0" w:color="000000"/>
            </w:tcBorders>
          </w:tcPr>
          <w:p w14:paraId="1DAA4F41" w14:textId="77777777" w:rsidR="00450114" w:rsidRPr="00310B0F" w:rsidRDefault="00450114" w:rsidP="00D171C3">
            <w:pPr>
              <w:pStyle w:val="TableParagraph"/>
              <w:kinsoku w:val="0"/>
              <w:overflowPunct w:val="0"/>
              <w:ind w:left="0" w:hanging="1"/>
              <w:rPr>
                <w:sz w:val="22"/>
                <w:szCs w:val="22"/>
              </w:rPr>
            </w:pPr>
            <w:r w:rsidRPr="00310B0F">
              <w:rPr>
                <w:sz w:val="22"/>
                <w:szCs w:val="22"/>
              </w:rPr>
              <w:t>Medián (priemer) % zmeny objemu mozgu počas</w:t>
            </w:r>
          </w:p>
          <w:p w14:paraId="29AF346D" w14:textId="77777777" w:rsidR="00450114" w:rsidRPr="00310B0F" w:rsidRDefault="00450114" w:rsidP="00D171C3">
            <w:pPr>
              <w:pStyle w:val="TableParagraph"/>
              <w:kinsoku w:val="0"/>
              <w:overflowPunct w:val="0"/>
              <w:ind w:left="0" w:hanging="1"/>
              <w:rPr>
                <w:sz w:val="22"/>
                <w:szCs w:val="22"/>
              </w:rPr>
            </w:pPr>
            <w:r w:rsidRPr="00310B0F">
              <w:rPr>
                <w:sz w:val="22"/>
                <w:szCs w:val="22"/>
              </w:rPr>
              <w:t>12 mesiacov</w:t>
            </w:r>
          </w:p>
        </w:tc>
        <w:tc>
          <w:tcPr>
            <w:tcW w:w="1843" w:type="dxa"/>
            <w:tcBorders>
              <w:top w:val="single" w:sz="4" w:space="0" w:color="000000"/>
              <w:left w:val="single" w:sz="4" w:space="0" w:color="000000"/>
              <w:bottom w:val="single" w:sz="4" w:space="0" w:color="000000"/>
              <w:right w:val="single" w:sz="4" w:space="0" w:color="000000"/>
            </w:tcBorders>
          </w:tcPr>
          <w:p w14:paraId="417AFBD6" w14:textId="77777777" w:rsidR="00450114" w:rsidRPr="00310B0F" w:rsidRDefault="00450114" w:rsidP="00D171C3">
            <w:pPr>
              <w:pStyle w:val="TableParagraph"/>
              <w:kinsoku w:val="0"/>
              <w:overflowPunct w:val="0"/>
              <w:ind w:left="0" w:hanging="1"/>
              <w:rPr>
                <w:sz w:val="22"/>
                <w:szCs w:val="22"/>
              </w:rPr>
            </w:pPr>
            <w:r w:rsidRPr="00310B0F">
              <w:rPr>
                <w:sz w:val="22"/>
                <w:szCs w:val="22"/>
              </w:rPr>
              <w:t>-0,2 (-0,3)**</w:t>
            </w:r>
          </w:p>
        </w:tc>
        <w:tc>
          <w:tcPr>
            <w:tcW w:w="1843" w:type="dxa"/>
            <w:tcBorders>
              <w:top w:val="single" w:sz="4" w:space="0" w:color="000000"/>
              <w:left w:val="single" w:sz="4" w:space="0" w:color="000000"/>
              <w:bottom w:val="single" w:sz="4" w:space="0" w:color="000000"/>
              <w:right w:val="single" w:sz="4" w:space="0" w:color="000000"/>
            </w:tcBorders>
          </w:tcPr>
          <w:p w14:paraId="261C0A19" w14:textId="77777777" w:rsidR="00450114" w:rsidRPr="00310B0F" w:rsidRDefault="00450114" w:rsidP="00D171C3">
            <w:pPr>
              <w:pStyle w:val="TableParagraph"/>
              <w:kinsoku w:val="0"/>
              <w:overflowPunct w:val="0"/>
              <w:ind w:left="0" w:hanging="1"/>
              <w:rPr>
                <w:sz w:val="22"/>
                <w:szCs w:val="22"/>
              </w:rPr>
            </w:pPr>
            <w:r w:rsidRPr="00310B0F">
              <w:rPr>
                <w:sz w:val="22"/>
                <w:szCs w:val="22"/>
              </w:rPr>
              <w:t>-0,4 (-0,5)</w:t>
            </w:r>
          </w:p>
        </w:tc>
      </w:tr>
      <w:tr w:rsidR="00450114" w:rsidRPr="00310B0F" w14:paraId="7FBE8EF6" w14:textId="77777777" w:rsidTr="00D171C3">
        <w:trPr>
          <w:trHeight w:val="1300"/>
        </w:trPr>
        <w:tc>
          <w:tcPr>
            <w:tcW w:w="8330" w:type="dxa"/>
            <w:gridSpan w:val="3"/>
            <w:tcBorders>
              <w:top w:val="single" w:sz="4" w:space="0" w:color="000000"/>
              <w:left w:val="single" w:sz="4" w:space="0" w:color="000000"/>
              <w:bottom w:val="single" w:sz="4" w:space="0" w:color="000000"/>
              <w:right w:val="single" w:sz="4" w:space="0" w:color="000000"/>
            </w:tcBorders>
          </w:tcPr>
          <w:p w14:paraId="7B2D6CEA"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Progresia invalidizácie definovaná ako zvýšenie EDSS o 1 bod potvrdená</w:t>
            </w:r>
            <w:r w:rsidRPr="00310B0F">
              <w:rPr>
                <w:spacing w:val="-26"/>
                <w:sz w:val="22"/>
                <w:szCs w:val="22"/>
              </w:rPr>
              <w:t xml:space="preserve"> </w:t>
            </w:r>
            <w:r w:rsidRPr="00310B0F">
              <w:rPr>
                <w:sz w:val="22"/>
                <w:szCs w:val="22"/>
              </w:rPr>
              <w:t>o 3 mesiace</w:t>
            </w:r>
            <w:r w:rsidRPr="00310B0F">
              <w:rPr>
                <w:spacing w:val="-2"/>
                <w:sz w:val="22"/>
                <w:szCs w:val="22"/>
              </w:rPr>
              <w:t xml:space="preserve"> </w:t>
            </w:r>
            <w:r w:rsidRPr="00310B0F">
              <w:rPr>
                <w:sz w:val="22"/>
                <w:szCs w:val="22"/>
              </w:rPr>
              <w:t>neskôr.</w:t>
            </w:r>
          </w:p>
          <w:p w14:paraId="18B83BE8"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p&lt;0,01,** p&lt;0,001 v porovnaní s interferónom</w:t>
            </w:r>
            <w:r w:rsidRPr="00310B0F">
              <w:rPr>
                <w:spacing w:val="-5"/>
                <w:sz w:val="22"/>
                <w:szCs w:val="22"/>
              </w:rPr>
              <w:t xml:space="preserve"> </w:t>
            </w:r>
            <w:r w:rsidRPr="00310B0F">
              <w:rPr>
                <w:sz w:val="22"/>
                <w:szCs w:val="22"/>
              </w:rPr>
              <w:t>beta-1a</w:t>
            </w:r>
          </w:p>
          <w:p w14:paraId="6EDEE029" w14:textId="77777777" w:rsidR="00450114" w:rsidRPr="00310B0F" w:rsidRDefault="00450114" w:rsidP="00D171C3">
            <w:pPr>
              <w:pStyle w:val="TableParagraph"/>
              <w:kinsoku w:val="0"/>
              <w:overflowPunct w:val="0"/>
              <w:ind w:left="0" w:hanging="1"/>
              <w:rPr>
                <w:sz w:val="22"/>
                <w:szCs w:val="22"/>
              </w:rPr>
            </w:pPr>
            <w:r w:rsidRPr="00310B0F">
              <w:rPr>
                <w:sz w:val="22"/>
                <w:szCs w:val="22"/>
              </w:rPr>
              <w:t>Všetky analýzy klinických ukazovateľov boli hodnotené pri liečebnom zámere (intent-to-</w:t>
            </w:r>
          </w:p>
          <w:p w14:paraId="774A7D87" w14:textId="77777777" w:rsidR="00450114" w:rsidRPr="00310B0F" w:rsidRDefault="00450114" w:rsidP="00D171C3">
            <w:pPr>
              <w:pStyle w:val="TableParagraph"/>
              <w:kinsoku w:val="0"/>
              <w:overflowPunct w:val="0"/>
              <w:ind w:left="0" w:hanging="1"/>
              <w:rPr>
                <w:sz w:val="22"/>
                <w:szCs w:val="22"/>
              </w:rPr>
            </w:pPr>
            <w:r w:rsidRPr="00310B0F">
              <w:rPr>
                <w:sz w:val="22"/>
                <w:szCs w:val="22"/>
              </w:rPr>
              <w:t>treat). Analýzy MRI používali vyhodnotiteľný súbor údajov.</w:t>
            </w:r>
          </w:p>
        </w:tc>
      </w:tr>
    </w:tbl>
    <w:p w14:paraId="4C7F7B5D" w14:textId="77777777" w:rsidR="00450114" w:rsidRPr="00310B0F" w:rsidRDefault="00450114" w:rsidP="00450114">
      <w:pPr>
        <w:pStyle w:val="Zkladntext"/>
        <w:kinsoku w:val="0"/>
        <w:overflowPunct w:val="0"/>
        <w:ind w:hanging="1"/>
        <w:rPr>
          <w:b/>
          <w:bCs/>
        </w:rPr>
      </w:pPr>
    </w:p>
    <w:p w14:paraId="51AC6C56" w14:textId="77777777" w:rsidR="00450114" w:rsidRPr="00310B0F" w:rsidRDefault="00450114" w:rsidP="00450114">
      <w:pPr>
        <w:pStyle w:val="Zkladntext"/>
        <w:kinsoku w:val="0"/>
        <w:overflowPunct w:val="0"/>
        <w:ind w:hanging="1"/>
      </w:pPr>
      <w:r w:rsidRPr="00310B0F">
        <w:t>Pacienti, ktorí ukončili 12 mesiacov základnej štúdie TRANSFORMS, mohli byť zaradení do extenzie (D2302E1) so zaslepenou dávkou a dostávať fingolimod. Celkovo sa extenzie zúčastnilo</w:t>
      </w:r>
    </w:p>
    <w:p w14:paraId="5EC4F901" w14:textId="77777777" w:rsidR="00450114" w:rsidRPr="00310B0F" w:rsidRDefault="00450114" w:rsidP="00450114">
      <w:pPr>
        <w:pStyle w:val="Zkladntext"/>
        <w:kinsoku w:val="0"/>
        <w:overflowPunct w:val="0"/>
        <w:ind w:hanging="1"/>
      </w:pPr>
      <w:r w:rsidRPr="00310B0F">
        <w:t>1 030 pacientov, avšak 3 z týchto pacientov nedostali liečbu (n=356 pokračovalo s 0,5 mg, 330</w:t>
      </w:r>
    </w:p>
    <w:p w14:paraId="45918C6E" w14:textId="77777777" w:rsidR="00450114" w:rsidRPr="00310B0F" w:rsidRDefault="00450114" w:rsidP="00450114">
      <w:pPr>
        <w:pStyle w:val="Zkladntext"/>
        <w:kinsoku w:val="0"/>
        <w:overflowPunct w:val="0"/>
        <w:ind w:hanging="1"/>
      </w:pPr>
      <w:r w:rsidRPr="00310B0F">
        <w:t>pokračovalo s 1,25 mg, 167 prešlo z interferónu beta-1a na 0,5 mg a 174 z interferónu beta-1a na</w:t>
      </w:r>
    </w:p>
    <w:p w14:paraId="7BC53578" w14:textId="77777777" w:rsidR="00450114" w:rsidRPr="00310B0F" w:rsidRDefault="00450114" w:rsidP="00450114">
      <w:pPr>
        <w:pStyle w:val="Zkladntext"/>
        <w:kinsoku w:val="0"/>
        <w:overflowPunct w:val="0"/>
        <w:ind w:hanging="1"/>
      </w:pPr>
      <w:r w:rsidRPr="00310B0F">
        <w:t>1,25 mg). Po 12 mesiacoch (24. mesiac) bolo ešte stále zaradených 882 pacientov (86 %). Medzi 12. a</w:t>
      </w:r>
    </w:p>
    <w:p w14:paraId="57A130CE" w14:textId="77777777" w:rsidR="00450114" w:rsidRPr="00310B0F" w:rsidRDefault="00450114" w:rsidP="00450114">
      <w:pPr>
        <w:pStyle w:val="Zkladntext"/>
        <w:kinsoku w:val="0"/>
        <w:overflowPunct w:val="0"/>
        <w:ind w:hanging="1"/>
      </w:pPr>
      <w:r w:rsidRPr="00310B0F">
        <w:t>24. mesiacom ARR u pacientov, ktorí dostávali 0,5 mg fingolimodu v základnej štúdii a zostali na dávke 0,5 mg, bola 0,20 (0,19 v základnej štúdii). ARR u pacientov, ktorí prešli z interferónu beta-1a na 0,5 mg fingolimodu, bola 0,33 (0,48 v základnej štúdii).</w:t>
      </w:r>
    </w:p>
    <w:p w14:paraId="5DDA448C" w14:textId="77777777" w:rsidR="00450114" w:rsidRPr="00310B0F" w:rsidRDefault="00450114" w:rsidP="00450114">
      <w:pPr>
        <w:pStyle w:val="Zkladntext"/>
        <w:kinsoku w:val="0"/>
        <w:overflowPunct w:val="0"/>
        <w:ind w:hanging="1"/>
      </w:pPr>
    </w:p>
    <w:p w14:paraId="1984966A" w14:textId="77777777" w:rsidR="00450114" w:rsidRPr="00310B0F" w:rsidRDefault="00450114" w:rsidP="00450114">
      <w:pPr>
        <w:pStyle w:val="Zkladntext"/>
        <w:kinsoku w:val="0"/>
        <w:overflowPunct w:val="0"/>
        <w:ind w:hanging="1"/>
      </w:pPr>
      <w:r w:rsidRPr="00310B0F">
        <w:t>Zlúčené výsledky štúdií D2301 a D2302 ukázali zhodný a štatisticky významný pokles frekvencie relapsov prerátanej na rok v porovnaní s komparátorom v podskupinách definovaných pohlavím, vekom, predchádzajúcou liečbou sclerosis multiplex a východiskovou aktivitou ochorenia alebo stupňom invalidizácie.</w:t>
      </w:r>
    </w:p>
    <w:p w14:paraId="0E8B1509" w14:textId="77777777" w:rsidR="00450114" w:rsidRPr="00310B0F" w:rsidRDefault="00450114" w:rsidP="00450114">
      <w:pPr>
        <w:pStyle w:val="Zkladntext"/>
        <w:kinsoku w:val="0"/>
        <w:overflowPunct w:val="0"/>
        <w:ind w:hanging="1"/>
      </w:pPr>
    </w:p>
    <w:p w14:paraId="08B2BA69" w14:textId="77777777" w:rsidR="00450114" w:rsidRPr="00310B0F" w:rsidRDefault="00450114" w:rsidP="00450114">
      <w:pPr>
        <w:pStyle w:val="Zkladntext"/>
        <w:kinsoku w:val="0"/>
        <w:overflowPunct w:val="0"/>
        <w:ind w:hanging="1"/>
      </w:pPr>
      <w:r w:rsidRPr="00310B0F">
        <w:t>Ďalšie analýzy údajov z klinických skúšaní ukazujú zhodné účinky liečby u podskupín pacientov s vysoko aktívnou relaps-remitujúcou sclerosis multiplex.</w:t>
      </w:r>
    </w:p>
    <w:p w14:paraId="4BA61434" w14:textId="77777777" w:rsidR="00450114" w:rsidRPr="00310B0F" w:rsidRDefault="00450114" w:rsidP="00450114">
      <w:pPr>
        <w:pStyle w:val="Zkladntext"/>
        <w:kinsoku w:val="0"/>
        <w:overflowPunct w:val="0"/>
        <w:ind w:hanging="1"/>
      </w:pPr>
    </w:p>
    <w:p w14:paraId="3D61E25C" w14:textId="77777777" w:rsidR="00450114" w:rsidRPr="00310B0F" w:rsidRDefault="00450114" w:rsidP="00450114">
      <w:pPr>
        <w:pStyle w:val="Zkladntext"/>
        <w:kinsoku w:val="0"/>
        <w:overflowPunct w:val="0"/>
        <w:ind w:hanging="1"/>
      </w:pPr>
      <w:r w:rsidRPr="00310B0F">
        <w:rPr>
          <w:u w:val="single"/>
        </w:rPr>
        <w:t>Pediatrická populácia</w:t>
      </w:r>
    </w:p>
    <w:p w14:paraId="6F35CA98" w14:textId="394BAD56" w:rsidR="00450114" w:rsidRPr="00310B0F" w:rsidRDefault="00450114" w:rsidP="00450114">
      <w:pPr>
        <w:pStyle w:val="Zkladntext"/>
        <w:kinsoku w:val="0"/>
        <w:overflowPunct w:val="0"/>
        <w:ind w:hanging="1"/>
      </w:pPr>
      <w:r w:rsidRPr="00310B0F">
        <w:t xml:space="preserve">Účinnosť a bezpečnosť dávok fingolimodu 0,25 mg alebo 0,5 mg podávaných raz denne (dávka určená na základe telesnej hmotnosti a merania expozície) sa stanovili u pediatrických pacientov vo veku 10 až &lt;18 rokov s relaps-remitujúcou </w:t>
      </w:r>
      <w:r w:rsidR="0029041E">
        <w:t>sklerózou</w:t>
      </w:r>
      <w:r w:rsidR="0029041E" w:rsidRPr="00310B0F">
        <w:t xml:space="preserve"> </w:t>
      </w:r>
      <w:r w:rsidRPr="00310B0F">
        <w:t>multiplex.</w:t>
      </w:r>
    </w:p>
    <w:p w14:paraId="7DAA2DFD" w14:textId="77777777" w:rsidR="00450114" w:rsidRPr="00310B0F" w:rsidRDefault="00450114" w:rsidP="00450114">
      <w:pPr>
        <w:pStyle w:val="Zkladntext"/>
        <w:kinsoku w:val="0"/>
        <w:overflowPunct w:val="0"/>
        <w:ind w:hanging="1"/>
      </w:pPr>
    </w:p>
    <w:p w14:paraId="04B33E05" w14:textId="77777777" w:rsidR="00450114" w:rsidRPr="00310B0F" w:rsidRDefault="00450114" w:rsidP="00450114">
      <w:pPr>
        <w:pStyle w:val="Zkladntext"/>
        <w:kinsoku w:val="0"/>
        <w:overflowPunct w:val="0"/>
        <w:ind w:hanging="1"/>
      </w:pPr>
      <w:r w:rsidRPr="00310B0F">
        <w:t>Štúdia D2311 (PARADIGMS) bola dvojito zaslepená, dvojito maskovaná, účinným liekom kontrolovaná štúdia s premenlivým trvaním do 24 mesiacov, s 215 pacientmi vo veku 10 až &lt;18 rokov (n=107 liečených fingolimodom, 108 liečených interferónom beta-1a 30 µg podávaným intramuskulárnou injekciou raz týždenne).</w:t>
      </w:r>
    </w:p>
    <w:p w14:paraId="6B5F0A13" w14:textId="77777777" w:rsidR="00450114" w:rsidRPr="00310B0F" w:rsidRDefault="00450114" w:rsidP="00450114">
      <w:pPr>
        <w:pStyle w:val="Zkladntext"/>
        <w:kinsoku w:val="0"/>
        <w:overflowPunct w:val="0"/>
        <w:ind w:hanging="1"/>
      </w:pPr>
    </w:p>
    <w:p w14:paraId="381266F3" w14:textId="77777777" w:rsidR="00450114" w:rsidRPr="00310B0F" w:rsidRDefault="00450114" w:rsidP="00450114">
      <w:pPr>
        <w:pStyle w:val="Zkladntext"/>
        <w:kinsoku w:val="0"/>
        <w:overflowPunct w:val="0"/>
        <w:ind w:hanging="1"/>
      </w:pPr>
      <w:r w:rsidRPr="00310B0F">
        <w:t xml:space="preserve">Hodnoty mediánu východiskových charakteristík boli: vek 16 rokov, medián trvania choroby 1,5 roka a </w:t>
      </w:r>
      <w:r w:rsidRPr="00310B0F">
        <w:lastRenderedPageBreak/>
        <w:t>skóre EDSS 1,5. Väčšina pacientov mala stupeň 2 alebo vyšší podľa Tannera (94,4 %) a hmotnosť</w:t>
      </w:r>
    </w:p>
    <w:p w14:paraId="35044F6C" w14:textId="77777777" w:rsidR="00450114" w:rsidRPr="00310B0F" w:rsidRDefault="00450114" w:rsidP="00450114">
      <w:pPr>
        <w:pStyle w:val="Zkladntext"/>
        <w:kinsoku w:val="0"/>
        <w:overflowPunct w:val="0"/>
        <w:ind w:hanging="1"/>
      </w:pPr>
      <w:r w:rsidRPr="00310B0F">
        <w:t>&gt;40 kg (95,3 %). Celkovo 180 (84 %) pacientov ukončilo základnú fázu liečby skúšaným liekom</w:t>
      </w:r>
    </w:p>
    <w:p w14:paraId="01679F3B" w14:textId="77777777" w:rsidR="00450114" w:rsidRPr="00310B0F" w:rsidRDefault="00450114" w:rsidP="00450114">
      <w:pPr>
        <w:pStyle w:val="Zkladntext"/>
        <w:kinsoku w:val="0"/>
        <w:overflowPunct w:val="0"/>
        <w:ind w:hanging="1"/>
      </w:pPr>
      <w:r w:rsidRPr="00310B0F">
        <w:t>(n=99 [92,5 %] fingolimodom, 81 [75 %] interferónom beta-1a). Výsledky sú uvedené v Tabuľke 4.</w:t>
      </w:r>
    </w:p>
    <w:p w14:paraId="7F54485C" w14:textId="77777777" w:rsidR="00450114" w:rsidRDefault="00450114" w:rsidP="00450114">
      <w:pPr>
        <w:pStyle w:val="Nadpis1"/>
        <w:kinsoku w:val="0"/>
        <w:overflowPunct w:val="0"/>
        <w:spacing w:before="0"/>
        <w:ind w:left="0" w:hanging="1"/>
      </w:pPr>
    </w:p>
    <w:p w14:paraId="5F68FEE3" w14:textId="77777777" w:rsidR="00450114" w:rsidRPr="00310B0F" w:rsidRDefault="00450114" w:rsidP="00450114">
      <w:pPr>
        <w:pStyle w:val="Nadpis1"/>
        <w:kinsoku w:val="0"/>
        <w:overflowPunct w:val="0"/>
        <w:spacing w:before="0"/>
        <w:ind w:left="0" w:hanging="1"/>
      </w:pPr>
      <w:r w:rsidRPr="00310B0F">
        <w:t>Tabuľka 4 Štúdia D2311 (PARADIGMS): hlavné výsledky</w:t>
      </w:r>
    </w:p>
    <w:p w14:paraId="5A072D72" w14:textId="77777777" w:rsidR="00450114" w:rsidRPr="00310B0F" w:rsidRDefault="00450114" w:rsidP="00450114">
      <w:pPr>
        <w:pStyle w:val="Zkladntext"/>
        <w:kinsoku w:val="0"/>
        <w:overflowPunct w:val="0"/>
        <w:ind w:hanging="1"/>
        <w:rPr>
          <w:b/>
          <w:bCs/>
        </w:rPr>
      </w:pPr>
    </w:p>
    <w:tbl>
      <w:tblPr>
        <w:tblW w:w="0" w:type="auto"/>
        <w:tblInd w:w="248" w:type="dxa"/>
        <w:tblLayout w:type="fixed"/>
        <w:tblCellMar>
          <w:left w:w="0" w:type="dxa"/>
          <w:right w:w="0" w:type="dxa"/>
        </w:tblCellMar>
        <w:tblLook w:val="0000" w:firstRow="0" w:lastRow="0" w:firstColumn="0" w:lastColumn="0" w:noHBand="0" w:noVBand="0"/>
      </w:tblPr>
      <w:tblGrid>
        <w:gridCol w:w="4809"/>
        <w:gridCol w:w="2197"/>
        <w:gridCol w:w="2057"/>
      </w:tblGrid>
      <w:tr w:rsidR="00450114" w:rsidRPr="00310B0F" w14:paraId="70677B8A" w14:textId="77777777" w:rsidTr="00D171C3">
        <w:trPr>
          <w:trHeight w:val="505"/>
        </w:trPr>
        <w:tc>
          <w:tcPr>
            <w:tcW w:w="4809" w:type="dxa"/>
            <w:tcBorders>
              <w:top w:val="single" w:sz="4" w:space="0" w:color="000000"/>
              <w:left w:val="single" w:sz="4" w:space="0" w:color="000000"/>
              <w:bottom w:val="single" w:sz="4" w:space="0" w:color="000000"/>
              <w:right w:val="single" w:sz="4" w:space="0" w:color="000000"/>
            </w:tcBorders>
          </w:tcPr>
          <w:p w14:paraId="6067463A" w14:textId="77777777" w:rsidR="00450114" w:rsidRPr="00310B0F" w:rsidRDefault="00450114" w:rsidP="00D171C3">
            <w:pPr>
              <w:pStyle w:val="TableParagraph"/>
              <w:kinsoku w:val="0"/>
              <w:overflowPunct w:val="0"/>
              <w:ind w:left="0" w:hanging="1"/>
              <w:rPr>
                <w:sz w:val="22"/>
                <w:szCs w:val="22"/>
              </w:rPr>
            </w:pPr>
          </w:p>
        </w:tc>
        <w:tc>
          <w:tcPr>
            <w:tcW w:w="2197" w:type="dxa"/>
            <w:tcBorders>
              <w:top w:val="single" w:sz="4" w:space="0" w:color="000000"/>
              <w:left w:val="single" w:sz="4" w:space="0" w:color="000000"/>
              <w:bottom w:val="single" w:sz="4" w:space="0" w:color="000000"/>
              <w:right w:val="single" w:sz="4" w:space="0" w:color="000000"/>
            </w:tcBorders>
          </w:tcPr>
          <w:p w14:paraId="74FE1AC6"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Fingolimod</w:t>
            </w:r>
          </w:p>
          <w:p w14:paraId="535619DC"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0,25 mg alebo 0,5 mg</w:t>
            </w:r>
          </w:p>
        </w:tc>
        <w:tc>
          <w:tcPr>
            <w:tcW w:w="2057" w:type="dxa"/>
            <w:tcBorders>
              <w:top w:val="single" w:sz="4" w:space="0" w:color="000000"/>
              <w:left w:val="single" w:sz="4" w:space="0" w:color="000000"/>
              <w:bottom w:val="single" w:sz="4" w:space="0" w:color="000000"/>
              <w:right w:val="single" w:sz="4" w:space="0" w:color="000000"/>
            </w:tcBorders>
          </w:tcPr>
          <w:p w14:paraId="292AF78C"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Interferón beta-1a 30 µg</w:t>
            </w:r>
          </w:p>
        </w:tc>
      </w:tr>
      <w:tr w:rsidR="00450114" w:rsidRPr="00310B0F" w14:paraId="1ED5C078" w14:textId="77777777" w:rsidTr="00D171C3">
        <w:trPr>
          <w:trHeight w:val="252"/>
        </w:trPr>
        <w:tc>
          <w:tcPr>
            <w:tcW w:w="4809" w:type="dxa"/>
            <w:tcBorders>
              <w:top w:val="single" w:sz="4" w:space="0" w:color="000000"/>
              <w:left w:val="single" w:sz="4" w:space="0" w:color="000000"/>
              <w:bottom w:val="single" w:sz="4" w:space="0" w:color="000000"/>
              <w:right w:val="single" w:sz="4" w:space="0" w:color="000000"/>
            </w:tcBorders>
          </w:tcPr>
          <w:p w14:paraId="4CFB5A7D"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Klinické ukazovatele</w:t>
            </w:r>
          </w:p>
        </w:tc>
        <w:tc>
          <w:tcPr>
            <w:tcW w:w="2197" w:type="dxa"/>
            <w:tcBorders>
              <w:top w:val="single" w:sz="4" w:space="0" w:color="000000"/>
              <w:left w:val="single" w:sz="4" w:space="0" w:color="000000"/>
              <w:bottom w:val="single" w:sz="4" w:space="0" w:color="000000"/>
              <w:right w:val="single" w:sz="4" w:space="0" w:color="000000"/>
            </w:tcBorders>
          </w:tcPr>
          <w:p w14:paraId="61CB42E7" w14:textId="77777777" w:rsidR="00450114" w:rsidRPr="00310B0F" w:rsidRDefault="00450114" w:rsidP="00D171C3">
            <w:pPr>
              <w:pStyle w:val="TableParagraph"/>
              <w:kinsoku w:val="0"/>
              <w:overflowPunct w:val="0"/>
              <w:ind w:left="0" w:hanging="1"/>
              <w:rPr>
                <w:sz w:val="22"/>
                <w:szCs w:val="22"/>
              </w:rPr>
            </w:pPr>
            <w:r w:rsidRPr="00310B0F">
              <w:rPr>
                <w:sz w:val="22"/>
                <w:szCs w:val="22"/>
              </w:rPr>
              <w:t>N=107</w:t>
            </w:r>
          </w:p>
        </w:tc>
        <w:tc>
          <w:tcPr>
            <w:tcW w:w="2057" w:type="dxa"/>
            <w:tcBorders>
              <w:top w:val="single" w:sz="4" w:space="0" w:color="000000"/>
              <w:left w:val="single" w:sz="4" w:space="0" w:color="000000"/>
              <w:bottom w:val="single" w:sz="4" w:space="0" w:color="000000"/>
              <w:right w:val="single" w:sz="4" w:space="0" w:color="000000"/>
            </w:tcBorders>
          </w:tcPr>
          <w:p w14:paraId="4DD27B6C" w14:textId="77777777" w:rsidR="00450114" w:rsidRPr="00310B0F" w:rsidRDefault="00450114" w:rsidP="00D171C3">
            <w:pPr>
              <w:pStyle w:val="TableParagraph"/>
              <w:kinsoku w:val="0"/>
              <w:overflowPunct w:val="0"/>
              <w:ind w:left="0" w:hanging="1"/>
              <w:rPr>
                <w:sz w:val="22"/>
                <w:szCs w:val="22"/>
                <w:vertAlign w:val="superscript"/>
              </w:rPr>
            </w:pPr>
            <w:r w:rsidRPr="00310B0F">
              <w:rPr>
                <w:sz w:val="22"/>
                <w:szCs w:val="22"/>
              </w:rPr>
              <w:t>N=107</w:t>
            </w:r>
            <w:r w:rsidRPr="00310B0F">
              <w:rPr>
                <w:sz w:val="22"/>
                <w:szCs w:val="22"/>
                <w:vertAlign w:val="superscript"/>
              </w:rPr>
              <w:t>#</w:t>
            </w:r>
          </w:p>
        </w:tc>
      </w:tr>
      <w:tr w:rsidR="00450114" w:rsidRPr="00310B0F" w14:paraId="041D748B" w14:textId="77777777" w:rsidTr="00D171C3">
        <w:trPr>
          <w:trHeight w:val="252"/>
        </w:trPr>
        <w:tc>
          <w:tcPr>
            <w:tcW w:w="4809" w:type="dxa"/>
            <w:tcBorders>
              <w:top w:val="single" w:sz="4" w:space="0" w:color="000000"/>
              <w:left w:val="single" w:sz="4" w:space="0" w:color="000000"/>
              <w:bottom w:val="single" w:sz="4" w:space="0" w:color="000000"/>
              <w:right w:val="single" w:sz="4" w:space="0" w:color="000000"/>
            </w:tcBorders>
          </w:tcPr>
          <w:p w14:paraId="09457418" w14:textId="77777777" w:rsidR="00450114" w:rsidRPr="00310B0F" w:rsidRDefault="00450114" w:rsidP="00D171C3">
            <w:pPr>
              <w:pStyle w:val="TableParagraph"/>
              <w:kinsoku w:val="0"/>
              <w:overflowPunct w:val="0"/>
              <w:ind w:left="0" w:hanging="1"/>
              <w:rPr>
                <w:sz w:val="22"/>
                <w:szCs w:val="22"/>
              </w:rPr>
            </w:pPr>
            <w:r w:rsidRPr="00310B0F">
              <w:rPr>
                <w:sz w:val="22"/>
                <w:szCs w:val="22"/>
              </w:rPr>
              <w:t>Frekvencia relapsov za rok (primárny ukazovateľ)</w:t>
            </w:r>
          </w:p>
        </w:tc>
        <w:tc>
          <w:tcPr>
            <w:tcW w:w="2197" w:type="dxa"/>
            <w:tcBorders>
              <w:top w:val="single" w:sz="4" w:space="0" w:color="000000"/>
              <w:left w:val="single" w:sz="4" w:space="0" w:color="000000"/>
              <w:bottom w:val="single" w:sz="4" w:space="0" w:color="000000"/>
              <w:right w:val="single" w:sz="4" w:space="0" w:color="000000"/>
            </w:tcBorders>
          </w:tcPr>
          <w:p w14:paraId="48836E8C" w14:textId="77777777" w:rsidR="00450114" w:rsidRPr="00310B0F" w:rsidRDefault="00450114" w:rsidP="00D171C3">
            <w:pPr>
              <w:pStyle w:val="TableParagraph"/>
              <w:kinsoku w:val="0"/>
              <w:overflowPunct w:val="0"/>
              <w:ind w:left="0" w:hanging="1"/>
              <w:rPr>
                <w:sz w:val="22"/>
                <w:szCs w:val="22"/>
              </w:rPr>
            </w:pPr>
            <w:r w:rsidRPr="00310B0F">
              <w:rPr>
                <w:sz w:val="22"/>
                <w:szCs w:val="22"/>
              </w:rPr>
              <w:t>0,122**</w:t>
            </w:r>
          </w:p>
        </w:tc>
        <w:tc>
          <w:tcPr>
            <w:tcW w:w="2057" w:type="dxa"/>
            <w:tcBorders>
              <w:top w:val="single" w:sz="4" w:space="0" w:color="000000"/>
              <w:left w:val="single" w:sz="4" w:space="0" w:color="000000"/>
              <w:bottom w:val="single" w:sz="4" w:space="0" w:color="000000"/>
              <w:right w:val="single" w:sz="4" w:space="0" w:color="000000"/>
            </w:tcBorders>
          </w:tcPr>
          <w:p w14:paraId="7534C2AE" w14:textId="77777777" w:rsidR="00450114" w:rsidRPr="00310B0F" w:rsidRDefault="00450114" w:rsidP="00D171C3">
            <w:pPr>
              <w:pStyle w:val="TableParagraph"/>
              <w:kinsoku w:val="0"/>
              <w:overflowPunct w:val="0"/>
              <w:ind w:left="0" w:hanging="1"/>
              <w:rPr>
                <w:sz w:val="22"/>
                <w:szCs w:val="22"/>
              </w:rPr>
            </w:pPr>
            <w:r w:rsidRPr="00310B0F">
              <w:rPr>
                <w:sz w:val="22"/>
                <w:szCs w:val="22"/>
              </w:rPr>
              <w:t>0,675</w:t>
            </w:r>
          </w:p>
        </w:tc>
      </w:tr>
      <w:tr w:rsidR="00450114" w:rsidRPr="00310B0F" w14:paraId="1D5529C0" w14:textId="77777777" w:rsidTr="00D171C3">
        <w:trPr>
          <w:trHeight w:val="506"/>
        </w:trPr>
        <w:tc>
          <w:tcPr>
            <w:tcW w:w="4809" w:type="dxa"/>
            <w:tcBorders>
              <w:top w:val="single" w:sz="4" w:space="0" w:color="000000"/>
              <w:left w:val="single" w:sz="4" w:space="0" w:color="000000"/>
              <w:bottom w:val="single" w:sz="4" w:space="0" w:color="000000"/>
              <w:right w:val="single" w:sz="4" w:space="0" w:color="000000"/>
            </w:tcBorders>
          </w:tcPr>
          <w:p w14:paraId="790C9830" w14:textId="77777777" w:rsidR="00450114" w:rsidRPr="00310B0F" w:rsidRDefault="00450114" w:rsidP="00D171C3">
            <w:pPr>
              <w:pStyle w:val="TableParagraph"/>
              <w:kinsoku w:val="0"/>
              <w:overflowPunct w:val="0"/>
              <w:ind w:left="0" w:hanging="1"/>
              <w:rPr>
                <w:sz w:val="22"/>
                <w:szCs w:val="22"/>
              </w:rPr>
            </w:pPr>
            <w:r w:rsidRPr="00310B0F">
              <w:rPr>
                <w:sz w:val="22"/>
                <w:szCs w:val="22"/>
              </w:rPr>
              <w:t>Percentuálny podiel pacientov bez relapsov po 24 mesiacoch</w:t>
            </w:r>
          </w:p>
        </w:tc>
        <w:tc>
          <w:tcPr>
            <w:tcW w:w="2197" w:type="dxa"/>
            <w:tcBorders>
              <w:top w:val="single" w:sz="4" w:space="0" w:color="000000"/>
              <w:left w:val="single" w:sz="4" w:space="0" w:color="000000"/>
              <w:bottom w:val="single" w:sz="4" w:space="0" w:color="000000"/>
              <w:right w:val="single" w:sz="4" w:space="0" w:color="000000"/>
            </w:tcBorders>
          </w:tcPr>
          <w:p w14:paraId="73376345" w14:textId="77777777" w:rsidR="00450114" w:rsidRPr="00310B0F" w:rsidRDefault="00450114" w:rsidP="00D171C3">
            <w:pPr>
              <w:pStyle w:val="TableParagraph"/>
              <w:kinsoku w:val="0"/>
              <w:overflowPunct w:val="0"/>
              <w:ind w:left="0" w:hanging="1"/>
              <w:rPr>
                <w:sz w:val="22"/>
                <w:szCs w:val="22"/>
              </w:rPr>
            </w:pPr>
            <w:r w:rsidRPr="00310B0F">
              <w:rPr>
                <w:sz w:val="22"/>
                <w:szCs w:val="22"/>
              </w:rPr>
              <w:t>85,7**</w:t>
            </w:r>
          </w:p>
        </w:tc>
        <w:tc>
          <w:tcPr>
            <w:tcW w:w="2057" w:type="dxa"/>
            <w:tcBorders>
              <w:top w:val="single" w:sz="4" w:space="0" w:color="000000"/>
              <w:left w:val="single" w:sz="4" w:space="0" w:color="000000"/>
              <w:bottom w:val="single" w:sz="4" w:space="0" w:color="000000"/>
              <w:right w:val="single" w:sz="4" w:space="0" w:color="000000"/>
            </w:tcBorders>
          </w:tcPr>
          <w:p w14:paraId="2EE83565" w14:textId="77777777" w:rsidR="00450114" w:rsidRPr="00310B0F" w:rsidRDefault="00450114" w:rsidP="00D171C3">
            <w:pPr>
              <w:pStyle w:val="TableParagraph"/>
              <w:kinsoku w:val="0"/>
              <w:overflowPunct w:val="0"/>
              <w:ind w:left="0" w:hanging="1"/>
              <w:rPr>
                <w:sz w:val="22"/>
                <w:szCs w:val="22"/>
              </w:rPr>
            </w:pPr>
            <w:r w:rsidRPr="00310B0F">
              <w:rPr>
                <w:sz w:val="22"/>
                <w:szCs w:val="22"/>
              </w:rPr>
              <w:t>38,8</w:t>
            </w:r>
          </w:p>
        </w:tc>
      </w:tr>
      <w:tr w:rsidR="00450114" w:rsidRPr="00310B0F" w14:paraId="3DCF2951" w14:textId="77777777" w:rsidTr="00D171C3">
        <w:trPr>
          <w:trHeight w:val="250"/>
        </w:trPr>
        <w:tc>
          <w:tcPr>
            <w:tcW w:w="4809" w:type="dxa"/>
            <w:tcBorders>
              <w:top w:val="single" w:sz="4" w:space="0" w:color="000000"/>
              <w:left w:val="single" w:sz="4" w:space="0" w:color="000000"/>
              <w:bottom w:val="single" w:sz="4" w:space="0" w:color="000000"/>
              <w:right w:val="single" w:sz="4" w:space="0" w:color="000000"/>
            </w:tcBorders>
          </w:tcPr>
          <w:p w14:paraId="672F7E38" w14:textId="77777777" w:rsidR="00450114" w:rsidRPr="00310B0F" w:rsidRDefault="00450114" w:rsidP="00D171C3">
            <w:pPr>
              <w:pStyle w:val="TableParagraph"/>
              <w:kinsoku w:val="0"/>
              <w:overflowPunct w:val="0"/>
              <w:ind w:left="0" w:hanging="1"/>
              <w:rPr>
                <w:b/>
                <w:bCs/>
                <w:sz w:val="22"/>
                <w:szCs w:val="22"/>
              </w:rPr>
            </w:pPr>
            <w:r w:rsidRPr="00310B0F">
              <w:rPr>
                <w:b/>
                <w:bCs/>
                <w:sz w:val="22"/>
                <w:szCs w:val="22"/>
              </w:rPr>
              <w:t>Ukazovatele MRI</w:t>
            </w:r>
          </w:p>
        </w:tc>
        <w:tc>
          <w:tcPr>
            <w:tcW w:w="2197" w:type="dxa"/>
            <w:tcBorders>
              <w:top w:val="single" w:sz="4" w:space="0" w:color="000000"/>
              <w:left w:val="single" w:sz="4" w:space="0" w:color="000000"/>
              <w:bottom w:val="single" w:sz="4" w:space="0" w:color="000000"/>
              <w:right w:val="single" w:sz="4" w:space="0" w:color="000000"/>
            </w:tcBorders>
          </w:tcPr>
          <w:p w14:paraId="240A1186" w14:textId="77777777" w:rsidR="00450114" w:rsidRPr="00310B0F" w:rsidRDefault="00450114" w:rsidP="00D171C3">
            <w:pPr>
              <w:pStyle w:val="TableParagraph"/>
              <w:kinsoku w:val="0"/>
              <w:overflowPunct w:val="0"/>
              <w:ind w:left="0" w:hanging="1"/>
              <w:rPr>
                <w:sz w:val="22"/>
                <w:szCs w:val="22"/>
              </w:rPr>
            </w:pPr>
          </w:p>
        </w:tc>
        <w:tc>
          <w:tcPr>
            <w:tcW w:w="2057" w:type="dxa"/>
            <w:tcBorders>
              <w:top w:val="single" w:sz="4" w:space="0" w:color="000000"/>
              <w:left w:val="single" w:sz="4" w:space="0" w:color="000000"/>
              <w:bottom w:val="single" w:sz="4" w:space="0" w:color="000000"/>
              <w:right w:val="single" w:sz="4" w:space="0" w:color="000000"/>
            </w:tcBorders>
          </w:tcPr>
          <w:p w14:paraId="314EF9BA" w14:textId="77777777" w:rsidR="00450114" w:rsidRPr="00310B0F" w:rsidRDefault="00450114" w:rsidP="00D171C3">
            <w:pPr>
              <w:pStyle w:val="TableParagraph"/>
              <w:kinsoku w:val="0"/>
              <w:overflowPunct w:val="0"/>
              <w:ind w:left="0" w:hanging="1"/>
              <w:rPr>
                <w:sz w:val="22"/>
                <w:szCs w:val="22"/>
              </w:rPr>
            </w:pPr>
          </w:p>
        </w:tc>
      </w:tr>
      <w:tr w:rsidR="00450114" w:rsidRPr="00310B0F" w14:paraId="090C3C55" w14:textId="77777777" w:rsidTr="00D171C3">
        <w:trPr>
          <w:trHeight w:val="505"/>
        </w:trPr>
        <w:tc>
          <w:tcPr>
            <w:tcW w:w="4809" w:type="dxa"/>
            <w:tcBorders>
              <w:top w:val="single" w:sz="4" w:space="0" w:color="000000"/>
              <w:left w:val="single" w:sz="4" w:space="0" w:color="000000"/>
              <w:bottom w:val="single" w:sz="4" w:space="0" w:color="000000"/>
              <w:right w:val="single" w:sz="4" w:space="0" w:color="000000"/>
            </w:tcBorders>
          </w:tcPr>
          <w:p w14:paraId="4F70CC9C" w14:textId="77777777" w:rsidR="00450114" w:rsidRPr="00310B0F" w:rsidRDefault="00450114" w:rsidP="00D171C3">
            <w:pPr>
              <w:pStyle w:val="TableParagraph"/>
              <w:kinsoku w:val="0"/>
              <w:overflowPunct w:val="0"/>
              <w:ind w:left="0" w:hanging="1"/>
              <w:rPr>
                <w:sz w:val="22"/>
                <w:szCs w:val="22"/>
              </w:rPr>
            </w:pPr>
            <w:r w:rsidRPr="00310B0F">
              <w:rPr>
                <w:sz w:val="22"/>
                <w:szCs w:val="22"/>
              </w:rPr>
              <w:t>Výskyt nových alebo novo sa zväčšujúcich T2-lézií za rok</w:t>
            </w:r>
          </w:p>
        </w:tc>
        <w:tc>
          <w:tcPr>
            <w:tcW w:w="2197" w:type="dxa"/>
            <w:tcBorders>
              <w:top w:val="single" w:sz="4" w:space="0" w:color="000000"/>
              <w:left w:val="single" w:sz="4" w:space="0" w:color="000000"/>
              <w:bottom w:val="single" w:sz="4" w:space="0" w:color="000000"/>
              <w:right w:val="single" w:sz="4" w:space="0" w:color="000000"/>
            </w:tcBorders>
          </w:tcPr>
          <w:p w14:paraId="356661C0" w14:textId="77777777" w:rsidR="00450114" w:rsidRPr="00310B0F" w:rsidRDefault="00450114" w:rsidP="00D171C3">
            <w:pPr>
              <w:pStyle w:val="TableParagraph"/>
              <w:kinsoku w:val="0"/>
              <w:overflowPunct w:val="0"/>
              <w:ind w:left="0" w:hanging="1"/>
              <w:rPr>
                <w:sz w:val="22"/>
                <w:szCs w:val="22"/>
              </w:rPr>
            </w:pPr>
            <w:r w:rsidRPr="00310B0F">
              <w:rPr>
                <w:sz w:val="22"/>
                <w:szCs w:val="22"/>
              </w:rPr>
              <w:t>n=106</w:t>
            </w:r>
          </w:p>
        </w:tc>
        <w:tc>
          <w:tcPr>
            <w:tcW w:w="2057" w:type="dxa"/>
            <w:tcBorders>
              <w:top w:val="single" w:sz="4" w:space="0" w:color="000000"/>
              <w:left w:val="single" w:sz="4" w:space="0" w:color="000000"/>
              <w:bottom w:val="single" w:sz="4" w:space="0" w:color="000000"/>
              <w:right w:val="single" w:sz="4" w:space="0" w:color="000000"/>
            </w:tcBorders>
          </w:tcPr>
          <w:p w14:paraId="33C0DDDD" w14:textId="77777777" w:rsidR="00450114" w:rsidRPr="00310B0F" w:rsidRDefault="00450114" w:rsidP="00D171C3">
            <w:pPr>
              <w:pStyle w:val="TableParagraph"/>
              <w:kinsoku w:val="0"/>
              <w:overflowPunct w:val="0"/>
              <w:ind w:left="0" w:hanging="1"/>
              <w:rPr>
                <w:sz w:val="22"/>
                <w:szCs w:val="22"/>
              </w:rPr>
            </w:pPr>
            <w:r w:rsidRPr="00310B0F">
              <w:rPr>
                <w:sz w:val="22"/>
                <w:szCs w:val="22"/>
              </w:rPr>
              <w:t>n=102</w:t>
            </w:r>
          </w:p>
        </w:tc>
      </w:tr>
      <w:tr w:rsidR="00450114" w:rsidRPr="00310B0F" w14:paraId="7D538234" w14:textId="77777777" w:rsidTr="00D171C3">
        <w:trPr>
          <w:trHeight w:val="250"/>
        </w:trPr>
        <w:tc>
          <w:tcPr>
            <w:tcW w:w="4809" w:type="dxa"/>
            <w:tcBorders>
              <w:top w:val="single" w:sz="4" w:space="0" w:color="000000"/>
              <w:left w:val="single" w:sz="4" w:space="0" w:color="000000"/>
              <w:bottom w:val="single" w:sz="4" w:space="0" w:color="000000"/>
              <w:right w:val="single" w:sz="4" w:space="0" w:color="000000"/>
            </w:tcBorders>
          </w:tcPr>
          <w:p w14:paraId="35734293" w14:textId="77777777" w:rsidR="00450114" w:rsidRPr="00310B0F" w:rsidRDefault="00450114" w:rsidP="00D171C3">
            <w:pPr>
              <w:pStyle w:val="TableParagraph"/>
              <w:kinsoku w:val="0"/>
              <w:overflowPunct w:val="0"/>
              <w:ind w:left="0" w:hanging="1"/>
              <w:rPr>
                <w:sz w:val="22"/>
                <w:szCs w:val="22"/>
              </w:rPr>
            </w:pPr>
            <w:r w:rsidRPr="00310B0F">
              <w:rPr>
                <w:sz w:val="22"/>
                <w:szCs w:val="22"/>
              </w:rPr>
              <w:t>Upravený priemer</w:t>
            </w:r>
          </w:p>
        </w:tc>
        <w:tc>
          <w:tcPr>
            <w:tcW w:w="2197" w:type="dxa"/>
            <w:tcBorders>
              <w:top w:val="single" w:sz="4" w:space="0" w:color="000000"/>
              <w:left w:val="single" w:sz="4" w:space="0" w:color="000000"/>
              <w:bottom w:val="single" w:sz="4" w:space="0" w:color="000000"/>
              <w:right w:val="single" w:sz="4" w:space="0" w:color="000000"/>
            </w:tcBorders>
          </w:tcPr>
          <w:p w14:paraId="21CDD600" w14:textId="77777777" w:rsidR="00450114" w:rsidRPr="00310B0F" w:rsidRDefault="00450114" w:rsidP="00D171C3">
            <w:pPr>
              <w:pStyle w:val="TableParagraph"/>
              <w:kinsoku w:val="0"/>
              <w:overflowPunct w:val="0"/>
              <w:ind w:left="0" w:hanging="1"/>
              <w:rPr>
                <w:sz w:val="22"/>
                <w:szCs w:val="22"/>
              </w:rPr>
            </w:pPr>
            <w:r w:rsidRPr="00310B0F">
              <w:rPr>
                <w:sz w:val="22"/>
                <w:szCs w:val="22"/>
              </w:rPr>
              <w:t>4,393**</w:t>
            </w:r>
          </w:p>
        </w:tc>
        <w:tc>
          <w:tcPr>
            <w:tcW w:w="2057" w:type="dxa"/>
            <w:tcBorders>
              <w:top w:val="single" w:sz="4" w:space="0" w:color="000000"/>
              <w:left w:val="single" w:sz="4" w:space="0" w:color="000000"/>
              <w:bottom w:val="single" w:sz="4" w:space="0" w:color="000000"/>
              <w:right w:val="single" w:sz="4" w:space="0" w:color="000000"/>
            </w:tcBorders>
          </w:tcPr>
          <w:p w14:paraId="7097743F" w14:textId="77777777" w:rsidR="00450114" w:rsidRPr="00310B0F" w:rsidRDefault="00450114" w:rsidP="00D171C3">
            <w:pPr>
              <w:pStyle w:val="TableParagraph"/>
              <w:kinsoku w:val="0"/>
              <w:overflowPunct w:val="0"/>
              <w:ind w:left="0" w:hanging="1"/>
              <w:rPr>
                <w:sz w:val="22"/>
                <w:szCs w:val="22"/>
              </w:rPr>
            </w:pPr>
            <w:r w:rsidRPr="00310B0F">
              <w:rPr>
                <w:sz w:val="22"/>
                <w:szCs w:val="22"/>
              </w:rPr>
              <w:t>9,269</w:t>
            </w:r>
          </w:p>
        </w:tc>
      </w:tr>
      <w:tr w:rsidR="00450114" w:rsidRPr="00310B0F" w14:paraId="542C0095" w14:textId="77777777" w:rsidTr="00D171C3">
        <w:trPr>
          <w:trHeight w:val="506"/>
        </w:trPr>
        <w:tc>
          <w:tcPr>
            <w:tcW w:w="4809" w:type="dxa"/>
            <w:tcBorders>
              <w:top w:val="single" w:sz="4" w:space="0" w:color="000000"/>
              <w:left w:val="single" w:sz="4" w:space="0" w:color="000000"/>
              <w:bottom w:val="single" w:sz="4" w:space="0" w:color="000000"/>
              <w:right w:val="single" w:sz="4" w:space="0" w:color="000000"/>
            </w:tcBorders>
          </w:tcPr>
          <w:p w14:paraId="07B705B2" w14:textId="77777777" w:rsidR="00450114" w:rsidRPr="00310B0F" w:rsidRDefault="00450114" w:rsidP="00D171C3">
            <w:pPr>
              <w:pStyle w:val="TableParagraph"/>
              <w:kinsoku w:val="0"/>
              <w:overflowPunct w:val="0"/>
              <w:ind w:left="0" w:hanging="1"/>
              <w:rPr>
                <w:sz w:val="22"/>
                <w:szCs w:val="22"/>
              </w:rPr>
            </w:pPr>
            <w:r w:rsidRPr="00310B0F">
              <w:rPr>
                <w:sz w:val="22"/>
                <w:szCs w:val="22"/>
              </w:rPr>
              <w:t>Počet Gd-zvýrazňujúcich sa T1-lézií pripadajúci na sken do 24 mesiacov</w:t>
            </w:r>
          </w:p>
        </w:tc>
        <w:tc>
          <w:tcPr>
            <w:tcW w:w="2197" w:type="dxa"/>
            <w:tcBorders>
              <w:top w:val="single" w:sz="4" w:space="0" w:color="000000"/>
              <w:left w:val="single" w:sz="4" w:space="0" w:color="000000"/>
              <w:bottom w:val="single" w:sz="4" w:space="0" w:color="000000"/>
              <w:right w:val="single" w:sz="4" w:space="0" w:color="000000"/>
            </w:tcBorders>
          </w:tcPr>
          <w:p w14:paraId="13623A6F" w14:textId="77777777" w:rsidR="00450114" w:rsidRPr="00310B0F" w:rsidRDefault="00450114" w:rsidP="00D171C3">
            <w:pPr>
              <w:pStyle w:val="TableParagraph"/>
              <w:kinsoku w:val="0"/>
              <w:overflowPunct w:val="0"/>
              <w:ind w:left="0" w:hanging="1"/>
              <w:rPr>
                <w:sz w:val="22"/>
                <w:szCs w:val="22"/>
              </w:rPr>
            </w:pPr>
            <w:r w:rsidRPr="00310B0F">
              <w:rPr>
                <w:sz w:val="22"/>
                <w:szCs w:val="22"/>
              </w:rPr>
              <w:t>n=105</w:t>
            </w:r>
          </w:p>
        </w:tc>
        <w:tc>
          <w:tcPr>
            <w:tcW w:w="2057" w:type="dxa"/>
            <w:tcBorders>
              <w:top w:val="single" w:sz="4" w:space="0" w:color="000000"/>
              <w:left w:val="single" w:sz="4" w:space="0" w:color="000000"/>
              <w:bottom w:val="single" w:sz="4" w:space="0" w:color="000000"/>
              <w:right w:val="single" w:sz="4" w:space="0" w:color="000000"/>
            </w:tcBorders>
          </w:tcPr>
          <w:p w14:paraId="3A6873B7" w14:textId="77777777" w:rsidR="00450114" w:rsidRPr="00310B0F" w:rsidRDefault="00450114" w:rsidP="00D171C3">
            <w:pPr>
              <w:pStyle w:val="TableParagraph"/>
              <w:kinsoku w:val="0"/>
              <w:overflowPunct w:val="0"/>
              <w:ind w:left="0" w:hanging="1"/>
              <w:rPr>
                <w:sz w:val="22"/>
                <w:szCs w:val="22"/>
              </w:rPr>
            </w:pPr>
            <w:r w:rsidRPr="00310B0F">
              <w:rPr>
                <w:sz w:val="22"/>
                <w:szCs w:val="22"/>
              </w:rPr>
              <w:t>n=95</w:t>
            </w:r>
          </w:p>
        </w:tc>
      </w:tr>
      <w:tr w:rsidR="00450114" w:rsidRPr="00310B0F" w14:paraId="2E1827EA" w14:textId="77777777" w:rsidTr="00D171C3">
        <w:trPr>
          <w:trHeight w:val="250"/>
        </w:trPr>
        <w:tc>
          <w:tcPr>
            <w:tcW w:w="4809" w:type="dxa"/>
            <w:tcBorders>
              <w:top w:val="single" w:sz="4" w:space="0" w:color="000000"/>
              <w:left w:val="single" w:sz="4" w:space="0" w:color="000000"/>
              <w:bottom w:val="single" w:sz="4" w:space="0" w:color="000000"/>
              <w:right w:val="single" w:sz="4" w:space="0" w:color="000000"/>
            </w:tcBorders>
          </w:tcPr>
          <w:p w14:paraId="371F2A72" w14:textId="77777777" w:rsidR="00450114" w:rsidRPr="00310B0F" w:rsidRDefault="00450114" w:rsidP="00D171C3">
            <w:pPr>
              <w:pStyle w:val="TableParagraph"/>
              <w:kinsoku w:val="0"/>
              <w:overflowPunct w:val="0"/>
              <w:ind w:left="0" w:hanging="1"/>
              <w:rPr>
                <w:sz w:val="22"/>
                <w:szCs w:val="22"/>
              </w:rPr>
            </w:pPr>
            <w:r w:rsidRPr="00310B0F">
              <w:rPr>
                <w:sz w:val="22"/>
                <w:szCs w:val="22"/>
              </w:rPr>
              <w:t>Upravený priemer</w:t>
            </w:r>
          </w:p>
        </w:tc>
        <w:tc>
          <w:tcPr>
            <w:tcW w:w="2197" w:type="dxa"/>
            <w:tcBorders>
              <w:top w:val="single" w:sz="4" w:space="0" w:color="000000"/>
              <w:left w:val="single" w:sz="4" w:space="0" w:color="000000"/>
              <w:bottom w:val="single" w:sz="4" w:space="0" w:color="000000"/>
              <w:right w:val="single" w:sz="4" w:space="0" w:color="000000"/>
            </w:tcBorders>
          </w:tcPr>
          <w:p w14:paraId="41AC3AD8" w14:textId="77777777" w:rsidR="00450114" w:rsidRPr="00310B0F" w:rsidRDefault="00450114" w:rsidP="00D171C3">
            <w:pPr>
              <w:pStyle w:val="TableParagraph"/>
              <w:kinsoku w:val="0"/>
              <w:overflowPunct w:val="0"/>
              <w:ind w:left="0" w:hanging="1"/>
              <w:rPr>
                <w:sz w:val="22"/>
                <w:szCs w:val="22"/>
              </w:rPr>
            </w:pPr>
            <w:r w:rsidRPr="00310B0F">
              <w:rPr>
                <w:sz w:val="22"/>
                <w:szCs w:val="22"/>
              </w:rPr>
              <w:t>0,436**</w:t>
            </w:r>
          </w:p>
        </w:tc>
        <w:tc>
          <w:tcPr>
            <w:tcW w:w="2057" w:type="dxa"/>
            <w:tcBorders>
              <w:top w:val="single" w:sz="4" w:space="0" w:color="000000"/>
              <w:left w:val="single" w:sz="4" w:space="0" w:color="000000"/>
              <w:bottom w:val="single" w:sz="4" w:space="0" w:color="000000"/>
              <w:right w:val="single" w:sz="4" w:space="0" w:color="000000"/>
            </w:tcBorders>
          </w:tcPr>
          <w:p w14:paraId="075A4BBC" w14:textId="77777777" w:rsidR="00450114" w:rsidRPr="00310B0F" w:rsidRDefault="00450114" w:rsidP="00D171C3">
            <w:pPr>
              <w:pStyle w:val="TableParagraph"/>
              <w:kinsoku w:val="0"/>
              <w:overflowPunct w:val="0"/>
              <w:ind w:left="0" w:hanging="1"/>
              <w:rPr>
                <w:sz w:val="22"/>
                <w:szCs w:val="22"/>
              </w:rPr>
            </w:pPr>
            <w:r w:rsidRPr="00310B0F">
              <w:rPr>
                <w:sz w:val="22"/>
                <w:szCs w:val="22"/>
              </w:rPr>
              <w:t>1,282</w:t>
            </w:r>
          </w:p>
        </w:tc>
      </w:tr>
      <w:tr w:rsidR="00450114" w:rsidRPr="00310B0F" w14:paraId="6AD09B3B" w14:textId="77777777" w:rsidTr="00D171C3">
        <w:trPr>
          <w:trHeight w:val="505"/>
        </w:trPr>
        <w:tc>
          <w:tcPr>
            <w:tcW w:w="4809" w:type="dxa"/>
            <w:tcBorders>
              <w:top w:val="single" w:sz="4" w:space="0" w:color="000000"/>
              <w:left w:val="single" w:sz="4" w:space="0" w:color="000000"/>
              <w:bottom w:val="single" w:sz="4" w:space="0" w:color="000000"/>
              <w:right w:val="single" w:sz="4" w:space="0" w:color="000000"/>
            </w:tcBorders>
          </w:tcPr>
          <w:p w14:paraId="6FC013D2" w14:textId="77777777" w:rsidR="00450114" w:rsidRPr="00310B0F" w:rsidRDefault="00450114" w:rsidP="00D171C3">
            <w:pPr>
              <w:pStyle w:val="TableParagraph"/>
              <w:kinsoku w:val="0"/>
              <w:overflowPunct w:val="0"/>
              <w:ind w:left="0" w:hanging="1"/>
              <w:rPr>
                <w:sz w:val="22"/>
                <w:szCs w:val="22"/>
              </w:rPr>
            </w:pPr>
            <w:r w:rsidRPr="00310B0F">
              <w:rPr>
                <w:sz w:val="22"/>
                <w:szCs w:val="22"/>
              </w:rPr>
              <w:t>Výskyt atrofie mozgu za rok oproti východiskovému stavu do 24 mesiacov</w:t>
            </w:r>
          </w:p>
        </w:tc>
        <w:tc>
          <w:tcPr>
            <w:tcW w:w="2197" w:type="dxa"/>
            <w:tcBorders>
              <w:top w:val="single" w:sz="4" w:space="0" w:color="000000"/>
              <w:left w:val="single" w:sz="4" w:space="0" w:color="000000"/>
              <w:bottom w:val="single" w:sz="4" w:space="0" w:color="000000"/>
              <w:right w:val="single" w:sz="4" w:space="0" w:color="000000"/>
            </w:tcBorders>
          </w:tcPr>
          <w:p w14:paraId="36C55AFF" w14:textId="77777777" w:rsidR="00450114" w:rsidRPr="00310B0F" w:rsidRDefault="00450114" w:rsidP="00D171C3">
            <w:pPr>
              <w:pStyle w:val="TableParagraph"/>
              <w:kinsoku w:val="0"/>
              <w:overflowPunct w:val="0"/>
              <w:ind w:left="0" w:hanging="1"/>
              <w:rPr>
                <w:sz w:val="22"/>
                <w:szCs w:val="22"/>
              </w:rPr>
            </w:pPr>
            <w:r w:rsidRPr="00310B0F">
              <w:rPr>
                <w:sz w:val="22"/>
                <w:szCs w:val="22"/>
              </w:rPr>
              <w:t>n=96</w:t>
            </w:r>
          </w:p>
        </w:tc>
        <w:tc>
          <w:tcPr>
            <w:tcW w:w="2057" w:type="dxa"/>
            <w:tcBorders>
              <w:top w:val="single" w:sz="4" w:space="0" w:color="000000"/>
              <w:left w:val="single" w:sz="4" w:space="0" w:color="000000"/>
              <w:bottom w:val="single" w:sz="4" w:space="0" w:color="000000"/>
              <w:right w:val="single" w:sz="4" w:space="0" w:color="000000"/>
            </w:tcBorders>
          </w:tcPr>
          <w:p w14:paraId="4C40BE48" w14:textId="77777777" w:rsidR="00450114" w:rsidRPr="00310B0F" w:rsidRDefault="00450114" w:rsidP="00D171C3">
            <w:pPr>
              <w:pStyle w:val="TableParagraph"/>
              <w:kinsoku w:val="0"/>
              <w:overflowPunct w:val="0"/>
              <w:ind w:left="0" w:hanging="1"/>
              <w:rPr>
                <w:sz w:val="22"/>
                <w:szCs w:val="22"/>
              </w:rPr>
            </w:pPr>
            <w:r w:rsidRPr="00310B0F">
              <w:rPr>
                <w:sz w:val="22"/>
                <w:szCs w:val="22"/>
              </w:rPr>
              <w:t>n=89</w:t>
            </w:r>
          </w:p>
        </w:tc>
      </w:tr>
      <w:tr w:rsidR="00450114" w:rsidRPr="00310B0F" w14:paraId="44F55F14" w14:textId="77777777" w:rsidTr="00D171C3">
        <w:trPr>
          <w:trHeight w:val="250"/>
        </w:trPr>
        <w:tc>
          <w:tcPr>
            <w:tcW w:w="4809" w:type="dxa"/>
            <w:tcBorders>
              <w:top w:val="single" w:sz="4" w:space="0" w:color="000000"/>
              <w:left w:val="single" w:sz="4" w:space="0" w:color="000000"/>
              <w:bottom w:val="single" w:sz="4" w:space="0" w:color="000000"/>
              <w:right w:val="single" w:sz="4" w:space="0" w:color="000000"/>
            </w:tcBorders>
          </w:tcPr>
          <w:p w14:paraId="5FE026C9" w14:textId="77777777" w:rsidR="00450114" w:rsidRPr="00310B0F" w:rsidRDefault="00450114" w:rsidP="00D171C3">
            <w:pPr>
              <w:pStyle w:val="TableParagraph"/>
              <w:kinsoku w:val="0"/>
              <w:overflowPunct w:val="0"/>
              <w:ind w:left="0" w:hanging="1"/>
              <w:rPr>
                <w:sz w:val="22"/>
                <w:szCs w:val="22"/>
              </w:rPr>
            </w:pPr>
            <w:r w:rsidRPr="00310B0F">
              <w:rPr>
                <w:sz w:val="22"/>
                <w:szCs w:val="22"/>
              </w:rPr>
              <w:t>Priemer metódou najmenších štvorcov</w:t>
            </w:r>
          </w:p>
        </w:tc>
        <w:tc>
          <w:tcPr>
            <w:tcW w:w="2197" w:type="dxa"/>
            <w:tcBorders>
              <w:top w:val="single" w:sz="4" w:space="0" w:color="000000"/>
              <w:left w:val="single" w:sz="4" w:space="0" w:color="000000"/>
              <w:bottom w:val="single" w:sz="4" w:space="0" w:color="000000"/>
              <w:right w:val="single" w:sz="4" w:space="0" w:color="000000"/>
            </w:tcBorders>
          </w:tcPr>
          <w:p w14:paraId="353CCCB4" w14:textId="77777777" w:rsidR="00450114" w:rsidRPr="00310B0F" w:rsidRDefault="00450114" w:rsidP="00D171C3">
            <w:pPr>
              <w:pStyle w:val="TableParagraph"/>
              <w:kinsoku w:val="0"/>
              <w:overflowPunct w:val="0"/>
              <w:ind w:left="0" w:hanging="1"/>
              <w:rPr>
                <w:sz w:val="22"/>
                <w:szCs w:val="22"/>
              </w:rPr>
            </w:pPr>
            <w:r w:rsidRPr="00310B0F">
              <w:rPr>
                <w:sz w:val="22"/>
                <w:szCs w:val="22"/>
              </w:rPr>
              <w:t>-0,48*</w:t>
            </w:r>
          </w:p>
        </w:tc>
        <w:tc>
          <w:tcPr>
            <w:tcW w:w="2057" w:type="dxa"/>
            <w:tcBorders>
              <w:top w:val="single" w:sz="4" w:space="0" w:color="000000"/>
              <w:left w:val="single" w:sz="4" w:space="0" w:color="000000"/>
              <w:bottom w:val="single" w:sz="4" w:space="0" w:color="000000"/>
              <w:right w:val="single" w:sz="4" w:space="0" w:color="000000"/>
            </w:tcBorders>
          </w:tcPr>
          <w:p w14:paraId="7885ED81" w14:textId="77777777" w:rsidR="00450114" w:rsidRPr="00310B0F" w:rsidRDefault="00450114" w:rsidP="00D171C3">
            <w:pPr>
              <w:pStyle w:val="TableParagraph"/>
              <w:kinsoku w:val="0"/>
              <w:overflowPunct w:val="0"/>
              <w:ind w:left="0" w:hanging="1"/>
              <w:rPr>
                <w:sz w:val="22"/>
                <w:szCs w:val="22"/>
              </w:rPr>
            </w:pPr>
            <w:r w:rsidRPr="00310B0F">
              <w:rPr>
                <w:sz w:val="22"/>
                <w:szCs w:val="22"/>
              </w:rPr>
              <w:t>-0,80</w:t>
            </w:r>
          </w:p>
        </w:tc>
      </w:tr>
      <w:tr w:rsidR="00450114" w:rsidRPr="00310B0F" w14:paraId="6440100E" w14:textId="77777777" w:rsidTr="00D171C3">
        <w:trPr>
          <w:trHeight w:val="1407"/>
        </w:trPr>
        <w:tc>
          <w:tcPr>
            <w:tcW w:w="9063" w:type="dxa"/>
            <w:gridSpan w:val="3"/>
            <w:tcBorders>
              <w:top w:val="single" w:sz="4" w:space="0" w:color="000000"/>
              <w:left w:val="single" w:sz="4" w:space="0" w:color="000000"/>
              <w:bottom w:val="single" w:sz="4" w:space="0" w:color="000000"/>
              <w:right w:val="single" w:sz="4" w:space="0" w:color="000000"/>
            </w:tcBorders>
          </w:tcPr>
          <w:p w14:paraId="144D6DCA"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Jeden pacient randomizovaný na podávanie interferónu beta-1a intramuskulárnou injekciou nebol schopný prehĺtať dvojito maskovanú medikáciu a ukončil účasť v štúdii. Pacient bol vylúčený z úplného súboru na analýzu a</w:t>
            </w:r>
            <w:r w:rsidRPr="00310B0F">
              <w:rPr>
                <w:spacing w:val="-4"/>
                <w:sz w:val="22"/>
                <w:szCs w:val="22"/>
              </w:rPr>
              <w:t xml:space="preserve"> </w:t>
            </w:r>
            <w:r w:rsidRPr="00310B0F">
              <w:rPr>
                <w:sz w:val="22"/>
                <w:szCs w:val="22"/>
              </w:rPr>
              <w:t>bezpečnosť.</w:t>
            </w:r>
          </w:p>
          <w:p w14:paraId="7979AAF5" w14:textId="77777777" w:rsidR="00450114" w:rsidRPr="00310B0F" w:rsidRDefault="00450114" w:rsidP="00D171C3">
            <w:pPr>
              <w:pStyle w:val="TableParagraph"/>
              <w:tabs>
                <w:tab w:val="left" w:pos="675"/>
              </w:tabs>
              <w:kinsoku w:val="0"/>
              <w:overflowPunct w:val="0"/>
              <w:ind w:left="0" w:hanging="1"/>
              <w:rPr>
                <w:sz w:val="22"/>
                <w:szCs w:val="22"/>
              </w:rPr>
            </w:pPr>
            <w:r w:rsidRPr="00310B0F">
              <w:rPr>
                <w:sz w:val="22"/>
                <w:szCs w:val="22"/>
              </w:rPr>
              <w:t>*</w:t>
            </w:r>
            <w:r w:rsidRPr="00310B0F">
              <w:rPr>
                <w:sz w:val="22"/>
                <w:szCs w:val="22"/>
              </w:rPr>
              <w:tab/>
              <w:t>p&lt;0,05, ** p&lt;0,001, v porovnaní s interferónom</w:t>
            </w:r>
            <w:r w:rsidRPr="00310B0F">
              <w:rPr>
                <w:spacing w:val="-5"/>
                <w:sz w:val="22"/>
                <w:szCs w:val="22"/>
              </w:rPr>
              <w:t xml:space="preserve"> </w:t>
            </w:r>
            <w:r w:rsidRPr="00310B0F">
              <w:rPr>
                <w:sz w:val="22"/>
                <w:szCs w:val="22"/>
              </w:rPr>
              <w:t>beta-1a.</w:t>
            </w:r>
          </w:p>
          <w:p w14:paraId="4BA06B45" w14:textId="77777777" w:rsidR="00450114" w:rsidRPr="00310B0F" w:rsidRDefault="00450114" w:rsidP="00D171C3">
            <w:pPr>
              <w:pStyle w:val="TableParagraph"/>
              <w:kinsoku w:val="0"/>
              <w:overflowPunct w:val="0"/>
              <w:ind w:left="0" w:hanging="1"/>
              <w:rPr>
                <w:sz w:val="22"/>
                <w:szCs w:val="22"/>
              </w:rPr>
            </w:pPr>
            <w:r w:rsidRPr="00310B0F">
              <w:rPr>
                <w:sz w:val="22"/>
                <w:szCs w:val="22"/>
              </w:rPr>
              <w:t>Všetky analýzy klinických ukazovateľov sa vykonali s úplným súborom na analýzu.</w:t>
            </w:r>
          </w:p>
        </w:tc>
      </w:tr>
    </w:tbl>
    <w:p w14:paraId="08B4C8B3" w14:textId="77777777" w:rsidR="00450114" w:rsidRPr="00310B0F" w:rsidRDefault="00450114" w:rsidP="00450114">
      <w:pPr>
        <w:pStyle w:val="Zkladntext"/>
        <w:kinsoku w:val="0"/>
        <w:overflowPunct w:val="0"/>
        <w:ind w:hanging="1"/>
        <w:rPr>
          <w:b/>
          <w:bCs/>
        </w:rPr>
      </w:pPr>
    </w:p>
    <w:p w14:paraId="1A8425D0" w14:textId="77777777" w:rsidR="00450114" w:rsidRPr="00310B0F" w:rsidRDefault="00450114" w:rsidP="00450114">
      <w:pPr>
        <w:pStyle w:val="Odsekzoznamu"/>
        <w:numPr>
          <w:ilvl w:val="1"/>
          <w:numId w:val="12"/>
        </w:numPr>
        <w:tabs>
          <w:tab w:val="left" w:pos="806"/>
        </w:tabs>
        <w:kinsoku w:val="0"/>
        <w:overflowPunct w:val="0"/>
        <w:ind w:left="0" w:hanging="1"/>
        <w:rPr>
          <w:b/>
          <w:bCs/>
          <w:sz w:val="22"/>
          <w:szCs w:val="22"/>
        </w:rPr>
      </w:pPr>
      <w:r w:rsidRPr="00310B0F">
        <w:rPr>
          <w:b/>
          <w:bCs/>
          <w:sz w:val="22"/>
          <w:szCs w:val="22"/>
        </w:rPr>
        <w:t>Farmakokinetické</w:t>
      </w:r>
      <w:r w:rsidRPr="00310B0F">
        <w:rPr>
          <w:b/>
          <w:bCs/>
          <w:spacing w:val="-2"/>
          <w:sz w:val="22"/>
          <w:szCs w:val="22"/>
        </w:rPr>
        <w:t xml:space="preserve"> </w:t>
      </w:r>
      <w:r w:rsidRPr="00310B0F">
        <w:rPr>
          <w:b/>
          <w:bCs/>
          <w:sz w:val="22"/>
          <w:szCs w:val="22"/>
        </w:rPr>
        <w:t>vlastnosti</w:t>
      </w:r>
    </w:p>
    <w:p w14:paraId="5AAB6B89" w14:textId="77777777" w:rsidR="00450114" w:rsidRPr="00310B0F" w:rsidRDefault="00450114" w:rsidP="00450114">
      <w:pPr>
        <w:pStyle w:val="Zkladntext"/>
        <w:kinsoku w:val="0"/>
        <w:overflowPunct w:val="0"/>
        <w:ind w:hanging="1"/>
        <w:rPr>
          <w:b/>
          <w:bCs/>
        </w:rPr>
      </w:pPr>
    </w:p>
    <w:p w14:paraId="7D4951D7" w14:textId="77777777" w:rsidR="00450114" w:rsidRPr="00310B0F" w:rsidRDefault="00450114" w:rsidP="00450114">
      <w:pPr>
        <w:pStyle w:val="Zkladntext"/>
        <w:kinsoku w:val="0"/>
        <w:overflowPunct w:val="0"/>
        <w:ind w:hanging="1"/>
      </w:pPr>
      <w:r w:rsidRPr="00310B0F">
        <w:t>Farmakokinetické údaje sa získali u zdravých dospelých dobrovoľníkov, dospelých pacientov po</w:t>
      </w:r>
    </w:p>
    <w:p w14:paraId="00D5949A" w14:textId="3348190D" w:rsidR="00450114" w:rsidRDefault="00450114" w:rsidP="00450114">
      <w:pPr>
        <w:pStyle w:val="Zkladntext"/>
        <w:kinsoku w:val="0"/>
        <w:overflowPunct w:val="0"/>
        <w:ind w:hanging="1"/>
      </w:pPr>
      <w:r w:rsidRPr="00310B0F">
        <w:t xml:space="preserve">transplantácii obličky a u dospelých pacientov so </w:t>
      </w:r>
      <w:r w:rsidR="0029041E">
        <w:t>sklerózou</w:t>
      </w:r>
      <w:r w:rsidR="0029041E" w:rsidRPr="00310B0F">
        <w:t xml:space="preserve"> </w:t>
      </w:r>
      <w:r w:rsidRPr="00310B0F">
        <w:t>multiplex. Farmakologicky aktívny metabolit zodpovedný za účinnosť je fingolim</w:t>
      </w:r>
      <w:r w:rsidR="0029041E">
        <w:t>ó</w:t>
      </w:r>
      <w:r w:rsidRPr="00310B0F">
        <w:t>d</w:t>
      </w:r>
      <w:r w:rsidR="0029041E">
        <w:t>ium-</w:t>
      </w:r>
      <w:r w:rsidRPr="00310B0F">
        <w:t xml:space="preserve">fosfát. </w:t>
      </w:r>
    </w:p>
    <w:p w14:paraId="1CB29637" w14:textId="77777777" w:rsidR="00450114" w:rsidRDefault="00450114" w:rsidP="00450114">
      <w:pPr>
        <w:pStyle w:val="Zkladntext"/>
        <w:kinsoku w:val="0"/>
        <w:overflowPunct w:val="0"/>
        <w:ind w:hanging="1"/>
      </w:pPr>
    </w:p>
    <w:p w14:paraId="0A396D4A" w14:textId="77777777" w:rsidR="00450114" w:rsidRPr="00310B0F" w:rsidRDefault="00450114" w:rsidP="00450114">
      <w:pPr>
        <w:pStyle w:val="Zkladntext"/>
        <w:kinsoku w:val="0"/>
        <w:overflowPunct w:val="0"/>
        <w:ind w:hanging="1"/>
      </w:pPr>
      <w:r w:rsidRPr="00310B0F">
        <w:rPr>
          <w:u w:val="single"/>
        </w:rPr>
        <w:t>Absorpcia</w:t>
      </w:r>
    </w:p>
    <w:p w14:paraId="58225C6D" w14:textId="77777777" w:rsidR="00450114" w:rsidRPr="00310B0F" w:rsidRDefault="00450114" w:rsidP="00450114">
      <w:pPr>
        <w:pStyle w:val="Zkladntext"/>
        <w:kinsoku w:val="0"/>
        <w:overflowPunct w:val="0"/>
        <w:ind w:hanging="1"/>
      </w:pPr>
      <w:r w:rsidRPr="00310B0F">
        <w:t>Absorpcia fingolimodu je pomalá (t</w:t>
      </w:r>
      <w:r w:rsidRPr="00310B0F">
        <w:rPr>
          <w:vertAlign w:val="subscript"/>
        </w:rPr>
        <w:t>max</w:t>
      </w:r>
      <w:r w:rsidRPr="00310B0F">
        <w:t xml:space="preserve"> 12-16 hodín) a rozsiahla (≥85 %). Zdanlivá absolútna perorálna</w:t>
      </w:r>
    </w:p>
    <w:p w14:paraId="3940AE0F" w14:textId="77777777" w:rsidR="00450114" w:rsidRPr="00310B0F" w:rsidRDefault="00450114" w:rsidP="00450114">
      <w:pPr>
        <w:pStyle w:val="Zkladntext"/>
        <w:kinsoku w:val="0"/>
        <w:overflowPunct w:val="0"/>
        <w:ind w:hanging="1"/>
      </w:pPr>
      <w:r w:rsidRPr="00310B0F">
        <w:t>biologická dostupnosť je 93 % (95 % interval spoľahlivosti: 79-111 %). Koncentrácie v krvi</w:t>
      </w:r>
    </w:p>
    <w:p w14:paraId="01623930" w14:textId="77777777" w:rsidR="00450114" w:rsidRPr="00310B0F" w:rsidRDefault="00450114" w:rsidP="00450114">
      <w:pPr>
        <w:pStyle w:val="Zkladntext"/>
        <w:kinsoku w:val="0"/>
        <w:overflowPunct w:val="0"/>
        <w:ind w:hanging="1"/>
      </w:pPr>
      <w:r w:rsidRPr="00310B0F">
        <w:t>v rovnovážnom stave sa dosiahnu do 1 až 2 mesiacov pri podávaní raz denne a rovnovážne hladiny sú približne 10-násobne vyššie ako po začiatočnej dávke.</w:t>
      </w:r>
    </w:p>
    <w:p w14:paraId="3038A1B5" w14:textId="77777777" w:rsidR="00450114" w:rsidRPr="00310B0F" w:rsidRDefault="00450114" w:rsidP="00450114">
      <w:pPr>
        <w:pStyle w:val="Zkladntext"/>
        <w:kinsoku w:val="0"/>
        <w:overflowPunct w:val="0"/>
        <w:ind w:hanging="1"/>
      </w:pPr>
    </w:p>
    <w:p w14:paraId="07A06A3C" w14:textId="6FF5E588" w:rsidR="00450114" w:rsidRPr="00310B0F" w:rsidRDefault="00450114" w:rsidP="00450114">
      <w:pPr>
        <w:pStyle w:val="Zkladntext"/>
        <w:kinsoku w:val="0"/>
        <w:overflowPunct w:val="0"/>
        <w:ind w:hanging="1"/>
      </w:pPr>
      <w:r w:rsidRPr="00310B0F">
        <w:t>Požitie jedla nemení C</w:t>
      </w:r>
      <w:r w:rsidRPr="00310B0F">
        <w:rPr>
          <w:vertAlign w:val="subscript"/>
        </w:rPr>
        <w:t>max</w:t>
      </w:r>
      <w:r w:rsidRPr="00310B0F">
        <w:t xml:space="preserve"> alebo expozíciu (AUC) fingolimodu. C</w:t>
      </w:r>
      <w:r w:rsidRPr="00310B0F">
        <w:rPr>
          <w:vertAlign w:val="subscript"/>
        </w:rPr>
        <w:t>max</w:t>
      </w:r>
      <w:r w:rsidRPr="00310B0F">
        <w:t xml:space="preserve"> fingolim</w:t>
      </w:r>
      <w:r w:rsidR="0029041E">
        <w:t>ó</w:t>
      </w:r>
      <w:r w:rsidRPr="00310B0F">
        <w:t>d</w:t>
      </w:r>
      <w:r w:rsidR="0029041E">
        <w:t>ium-</w:t>
      </w:r>
      <w:r w:rsidRPr="00310B0F">
        <w:t xml:space="preserve">fosfátu sa mierne znížila o 34 %, ale AUC sa nezmenila. </w:t>
      </w:r>
      <w:r>
        <w:t>Fingolimod</w:t>
      </w:r>
      <w:r w:rsidRPr="00310B0F">
        <w:t xml:space="preserve"> možno preto užívať bez ohľadu na jedlo (pozri časť 4.2).</w:t>
      </w:r>
    </w:p>
    <w:p w14:paraId="301837BB" w14:textId="77777777" w:rsidR="00450114" w:rsidRPr="00310B0F" w:rsidRDefault="00450114" w:rsidP="00450114">
      <w:pPr>
        <w:pStyle w:val="Zkladntext"/>
        <w:kinsoku w:val="0"/>
        <w:overflowPunct w:val="0"/>
        <w:ind w:hanging="1"/>
      </w:pPr>
    </w:p>
    <w:p w14:paraId="2C1EDE68" w14:textId="77777777" w:rsidR="00450114" w:rsidRPr="00310B0F" w:rsidRDefault="00450114" w:rsidP="00450114">
      <w:pPr>
        <w:pStyle w:val="Zkladntext"/>
        <w:kinsoku w:val="0"/>
        <w:overflowPunct w:val="0"/>
        <w:ind w:hanging="1"/>
      </w:pPr>
      <w:r w:rsidRPr="00310B0F">
        <w:rPr>
          <w:u w:val="single"/>
        </w:rPr>
        <w:t>Distribúcia</w:t>
      </w:r>
    </w:p>
    <w:p w14:paraId="37471955" w14:textId="76B29E07" w:rsidR="00450114" w:rsidRPr="00310B0F" w:rsidRDefault="00450114" w:rsidP="00450114">
      <w:pPr>
        <w:pStyle w:val="Zkladntext"/>
        <w:kinsoku w:val="0"/>
        <w:overflowPunct w:val="0"/>
        <w:ind w:hanging="1"/>
      </w:pPr>
      <w:r w:rsidRPr="00310B0F">
        <w:t>Fingolimod sa vo veľkej miere distribuuje do červených krviniek, s podielom 86 % v krvinkách. Fingolim</w:t>
      </w:r>
      <w:r w:rsidR="0029041E">
        <w:t>ó</w:t>
      </w:r>
      <w:r w:rsidRPr="00310B0F">
        <w:t>d</w:t>
      </w:r>
      <w:r w:rsidR="0029041E">
        <w:t>ium-</w:t>
      </w:r>
      <w:r w:rsidRPr="00310B0F">
        <w:t>fosfát má nižšie, &lt;17 % vychytávanie krvinkami. Fingolimod a</w:t>
      </w:r>
      <w:r w:rsidR="0029041E">
        <w:t> </w:t>
      </w:r>
      <w:r w:rsidRPr="00310B0F">
        <w:t>fingolim</w:t>
      </w:r>
      <w:r w:rsidR="0029041E">
        <w:t>ó</w:t>
      </w:r>
      <w:r w:rsidRPr="00310B0F">
        <w:t>d</w:t>
      </w:r>
      <w:r w:rsidR="0029041E">
        <w:t>ium-</w:t>
      </w:r>
      <w:r w:rsidRPr="00310B0F">
        <w:t>fosfát sa vo veľkej miere viažu na bielkoviny (&gt;99 %).</w:t>
      </w:r>
    </w:p>
    <w:p w14:paraId="3DA39008" w14:textId="77777777" w:rsidR="00450114" w:rsidRPr="00310B0F" w:rsidRDefault="00450114" w:rsidP="00450114">
      <w:pPr>
        <w:pStyle w:val="Zkladntext"/>
        <w:kinsoku w:val="0"/>
        <w:overflowPunct w:val="0"/>
        <w:ind w:hanging="1"/>
      </w:pPr>
    </w:p>
    <w:p w14:paraId="46D96344" w14:textId="77777777" w:rsidR="00450114" w:rsidRPr="00310B0F" w:rsidRDefault="00450114" w:rsidP="00450114">
      <w:pPr>
        <w:pStyle w:val="Zkladntext"/>
        <w:kinsoku w:val="0"/>
        <w:overflowPunct w:val="0"/>
        <w:ind w:hanging="1"/>
      </w:pPr>
      <w:r w:rsidRPr="00310B0F">
        <w:t>Fingolimod sa v značnej miere distribuuje do tkanív organizmu, s distribučným objemom približne</w:t>
      </w:r>
    </w:p>
    <w:p w14:paraId="1CC1F1CF" w14:textId="3D6565B5" w:rsidR="00450114" w:rsidRPr="00310B0F" w:rsidRDefault="00450114" w:rsidP="00450114">
      <w:pPr>
        <w:pStyle w:val="Zkladntext"/>
        <w:kinsoku w:val="0"/>
        <w:overflowPunct w:val="0"/>
        <w:ind w:hanging="1"/>
        <w:jc w:val="both"/>
      </w:pPr>
      <w:r w:rsidRPr="00310B0F">
        <w:t>1 200</w:t>
      </w:r>
      <w:r>
        <w:t>±</w:t>
      </w:r>
      <w:r w:rsidRPr="00310B0F">
        <w:t xml:space="preserve">260 litrov. Štúdia so štyrmi zdravými osobami, ktoré dostali intravenózne jednorazovú dávku rádioaktívne značeného analógu fingolimodu, preukázala penetráciu fingolimodu do mozgu. V štúdii s 13 pacientmi so </w:t>
      </w:r>
      <w:r w:rsidR="00FD04A6">
        <w:t xml:space="preserve">sklerózou </w:t>
      </w:r>
      <w:r w:rsidRPr="00310B0F">
        <w:t xml:space="preserve">multiplex, ktorí dostávali </w:t>
      </w:r>
      <w:r>
        <w:t>fingolimod</w:t>
      </w:r>
      <w:r w:rsidRPr="00310B0F">
        <w:t xml:space="preserve"> 0,5 mg/deň, stredné množstvo</w:t>
      </w:r>
    </w:p>
    <w:p w14:paraId="57665E53" w14:textId="75FBB1A2" w:rsidR="00450114" w:rsidRPr="00310B0F" w:rsidRDefault="00450114" w:rsidP="00450114">
      <w:pPr>
        <w:pStyle w:val="Zkladntext"/>
        <w:kinsoku w:val="0"/>
        <w:overflowPunct w:val="0"/>
        <w:ind w:hanging="1"/>
      </w:pPr>
      <w:r w:rsidRPr="00310B0F">
        <w:t>fingolimodu (a fingolim</w:t>
      </w:r>
      <w:r w:rsidR="00FD04A6">
        <w:t>ó</w:t>
      </w:r>
      <w:r w:rsidRPr="00310B0F">
        <w:t>d</w:t>
      </w:r>
      <w:r w:rsidR="00FD04A6">
        <w:t>ium-</w:t>
      </w:r>
      <w:r w:rsidRPr="00310B0F">
        <w:t>fosfátu) v ejakuláte semena bolo v rovnovážnom stave približne 10 000-krát</w:t>
      </w:r>
    </w:p>
    <w:p w14:paraId="0D3D84FA" w14:textId="77777777" w:rsidR="00450114" w:rsidRPr="00310B0F" w:rsidRDefault="00450114" w:rsidP="00450114">
      <w:pPr>
        <w:pStyle w:val="Zkladntext"/>
        <w:kinsoku w:val="0"/>
        <w:overflowPunct w:val="0"/>
        <w:ind w:hanging="1"/>
      </w:pPr>
      <w:r w:rsidRPr="00310B0F">
        <w:t>nižšie ako perorálne podávaná dávka (0,5 mg).</w:t>
      </w:r>
    </w:p>
    <w:p w14:paraId="0C2310BD" w14:textId="77777777" w:rsidR="00450114" w:rsidRDefault="00450114" w:rsidP="00450114">
      <w:pPr>
        <w:pStyle w:val="Zkladntext"/>
        <w:kinsoku w:val="0"/>
        <w:overflowPunct w:val="0"/>
        <w:ind w:hanging="1"/>
        <w:rPr>
          <w:u w:val="single"/>
        </w:rPr>
      </w:pPr>
    </w:p>
    <w:p w14:paraId="3845D2B1" w14:textId="77777777" w:rsidR="00450114" w:rsidRPr="00310B0F" w:rsidRDefault="00450114" w:rsidP="00450114">
      <w:pPr>
        <w:pStyle w:val="Zkladntext"/>
        <w:kinsoku w:val="0"/>
        <w:overflowPunct w:val="0"/>
        <w:ind w:hanging="1"/>
      </w:pPr>
      <w:r w:rsidRPr="00310B0F">
        <w:rPr>
          <w:u w:val="single"/>
        </w:rPr>
        <w:t>Biotransformácia</w:t>
      </w:r>
    </w:p>
    <w:p w14:paraId="69B09455" w14:textId="53DA8EBC" w:rsidR="00450114" w:rsidRPr="00310B0F" w:rsidRDefault="00450114" w:rsidP="00450114">
      <w:pPr>
        <w:pStyle w:val="Zkladntext"/>
        <w:kinsoku w:val="0"/>
        <w:overflowPunct w:val="0"/>
        <w:ind w:hanging="1"/>
      </w:pPr>
      <w:r w:rsidRPr="00310B0F">
        <w:t>Fingolimod sa u ľudí transformuje reverzibilnou stereoselektívnou fosforyláciou na farmakologicky aktívny (S)-enantiomér fingolim</w:t>
      </w:r>
      <w:r w:rsidR="00FD04A6">
        <w:t>ó</w:t>
      </w:r>
      <w:r w:rsidRPr="00310B0F">
        <w:t>d</w:t>
      </w:r>
      <w:r w:rsidR="00FD04A6">
        <w:t>ium-</w:t>
      </w:r>
      <w:r w:rsidRPr="00310B0F">
        <w:t>fosfátu.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14:paraId="36377E62" w14:textId="77777777" w:rsidR="00450114" w:rsidRPr="00310B0F" w:rsidRDefault="00450114" w:rsidP="00450114">
      <w:pPr>
        <w:pStyle w:val="Zkladntext"/>
        <w:kinsoku w:val="0"/>
        <w:overflowPunct w:val="0"/>
        <w:ind w:hanging="1"/>
      </w:pPr>
    </w:p>
    <w:p w14:paraId="09F858F6" w14:textId="77777777" w:rsidR="00450114" w:rsidRPr="00310B0F" w:rsidRDefault="00450114" w:rsidP="00450114">
      <w:pPr>
        <w:pStyle w:val="Zkladntext"/>
        <w:kinsoku w:val="0"/>
        <w:overflowPunct w:val="0"/>
        <w:ind w:hanging="1"/>
      </w:pPr>
      <w:r w:rsidRPr="00310B0F">
        <w:t>Po jednorazovej perorálnej dávke [</w:t>
      </w:r>
      <w:r w:rsidRPr="00310B0F">
        <w:rPr>
          <w:vertAlign w:val="superscript"/>
        </w:rPr>
        <w:t>14</w:t>
      </w:r>
      <w:r w:rsidRPr="00310B0F">
        <w:t>C] fingolimodu sú hlavnými zložkami v krvi, ktoré súvisia</w:t>
      </w:r>
    </w:p>
    <w:p w14:paraId="1779834D" w14:textId="02A297F2" w:rsidR="00450114" w:rsidRPr="00310B0F" w:rsidRDefault="00450114" w:rsidP="00450114">
      <w:pPr>
        <w:pStyle w:val="Zkladntext"/>
        <w:kinsoku w:val="0"/>
        <w:overflowPunct w:val="0"/>
        <w:ind w:hanging="1"/>
      </w:pPr>
      <w:r w:rsidRPr="00310B0F">
        <w:t>s fingolimodom, ako sa usudzuje z ich podielu na AUC všetkých rádioaktívne značených zložiek až do 34 dní po podaní, samotný fingolimod (23 %), fingolim</w:t>
      </w:r>
      <w:r w:rsidR="00FD04A6">
        <w:t>ó</w:t>
      </w:r>
      <w:r w:rsidRPr="00310B0F">
        <w:t>d</w:t>
      </w:r>
      <w:r w:rsidR="00FD04A6">
        <w:t>ium-</w:t>
      </w:r>
      <w:r w:rsidRPr="00310B0F">
        <w:t>fosfát (10 %) a neaktívne metabolity (metabolit charakteru karboxylovej kyseliny M3 (8 %), ceramidový metabolit M29 (9 %) a ceramidový metabolit M30 (7</w:t>
      </w:r>
      <w:r w:rsidRPr="00310B0F">
        <w:rPr>
          <w:spacing w:val="1"/>
        </w:rPr>
        <w:t xml:space="preserve"> </w:t>
      </w:r>
      <w:r w:rsidRPr="00310B0F">
        <w:t>%)).</w:t>
      </w:r>
    </w:p>
    <w:p w14:paraId="2BAEE1B6" w14:textId="77777777" w:rsidR="00450114" w:rsidRPr="00310B0F" w:rsidRDefault="00450114" w:rsidP="00450114">
      <w:pPr>
        <w:pStyle w:val="Zkladntext"/>
        <w:kinsoku w:val="0"/>
        <w:overflowPunct w:val="0"/>
        <w:ind w:hanging="1"/>
      </w:pPr>
    </w:p>
    <w:p w14:paraId="6F15DA8E" w14:textId="77777777" w:rsidR="00450114" w:rsidRPr="00310B0F" w:rsidRDefault="00450114" w:rsidP="00450114">
      <w:pPr>
        <w:pStyle w:val="Zkladntext"/>
        <w:kinsoku w:val="0"/>
        <w:overflowPunct w:val="0"/>
        <w:ind w:hanging="1"/>
      </w:pPr>
      <w:r w:rsidRPr="00310B0F">
        <w:rPr>
          <w:u w:val="single"/>
        </w:rPr>
        <w:t>Eliminácia</w:t>
      </w:r>
    </w:p>
    <w:p w14:paraId="346E78D1" w14:textId="32ABC3A1" w:rsidR="00450114" w:rsidRPr="00310B0F" w:rsidRDefault="00450114" w:rsidP="00450114">
      <w:pPr>
        <w:pStyle w:val="Zkladntext"/>
        <w:kinsoku w:val="0"/>
        <w:overflowPunct w:val="0"/>
        <w:ind w:hanging="1"/>
      </w:pPr>
      <w:r w:rsidRPr="00310B0F">
        <w:t>Klírens fingolimodu z krvi je 6,3</w:t>
      </w:r>
      <w:r>
        <w:t>±</w:t>
      </w:r>
      <w:r w:rsidRPr="00310B0F">
        <w:t>2,3 l/h a priemerný zdanlivý konečný polčas (t</w:t>
      </w:r>
      <w:r w:rsidRPr="00310B0F">
        <w:rPr>
          <w:vertAlign w:val="subscript"/>
        </w:rPr>
        <w:t>1/2</w:t>
      </w:r>
      <w:r w:rsidRPr="00310B0F">
        <w:t>) je 6-9 dní. Hladiny fingolimodu a fingolim</w:t>
      </w:r>
      <w:r w:rsidR="00FD04A6">
        <w:t>ó</w:t>
      </w:r>
      <w:r w:rsidRPr="00310B0F">
        <w:t>d</w:t>
      </w:r>
      <w:r w:rsidR="00FD04A6">
        <w:t>ium</w:t>
      </w:r>
      <w:r w:rsidRPr="00310B0F">
        <w:t>fosfátu v krvi klesajú v záverečnej fáze paralelne, čoho dôsledkom sú podobné polčasy oboch látok.</w:t>
      </w:r>
    </w:p>
    <w:p w14:paraId="0D1DADE4" w14:textId="77777777" w:rsidR="00450114" w:rsidRPr="00310B0F" w:rsidRDefault="00450114" w:rsidP="00450114">
      <w:pPr>
        <w:pStyle w:val="Zkladntext"/>
        <w:kinsoku w:val="0"/>
        <w:overflowPunct w:val="0"/>
        <w:ind w:hanging="1"/>
      </w:pPr>
    </w:p>
    <w:p w14:paraId="46A4ADA3" w14:textId="097D2BEF" w:rsidR="00450114" w:rsidRPr="00310B0F" w:rsidRDefault="00450114" w:rsidP="00450114">
      <w:pPr>
        <w:pStyle w:val="Zkladntext"/>
        <w:kinsoku w:val="0"/>
        <w:overflowPunct w:val="0"/>
        <w:ind w:hanging="1"/>
      </w:pPr>
      <w:r w:rsidRPr="00310B0F">
        <w:t>Po perorálnom podaní sa asi 81 % dávky pomaly vylúči močom ako neaktívne metabolity. Fingolimod a</w:t>
      </w:r>
      <w:r w:rsidR="00FD04A6">
        <w:t> </w:t>
      </w:r>
      <w:r w:rsidRPr="00310B0F">
        <w:t>fingolim</w:t>
      </w:r>
      <w:r w:rsidR="00FD04A6">
        <w:t>ó</w:t>
      </w:r>
      <w:r w:rsidRPr="00310B0F">
        <w:t>d</w:t>
      </w:r>
      <w:r w:rsidR="00FD04A6">
        <w:t>ium-</w:t>
      </w:r>
      <w:r w:rsidRPr="00310B0F">
        <w:t>fosfát sa močom nevylučujú v nezmenenej forme, ale sú hlavnými zložkami v stolici, pričom množstvo každého z nich predstavuje menej ako 2,5 % dávky. Po 34 dňoch sa nájde 89 % podanej dávky.</w:t>
      </w:r>
    </w:p>
    <w:p w14:paraId="36A62DB1" w14:textId="77777777" w:rsidR="00450114" w:rsidRPr="00310B0F" w:rsidRDefault="00450114" w:rsidP="00450114">
      <w:pPr>
        <w:pStyle w:val="Zkladntext"/>
        <w:kinsoku w:val="0"/>
        <w:overflowPunct w:val="0"/>
        <w:ind w:hanging="1"/>
      </w:pPr>
    </w:p>
    <w:p w14:paraId="2033B339" w14:textId="77777777" w:rsidR="00450114" w:rsidRPr="00310B0F" w:rsidRDefault="00450114" w:rsidP="00450114">
      <w:pPr>
        <w:pStyle w:val="Zkladntext"/>
        <w:kinsoku w:val="0"/>
        <w:overflowPunct w:val="0"/>
        <w:ind w:hanging="1"/>
      </w:pPr>
      <w:r w:rsidRPr="00310B0F">
        <w:rPr>
          <w:u w:val="single"/>
        </w:rPr>
        <w:t>Linearita</w:t>
      </w:r>
    </w:p>
    <w:p w14:paraId="7A6F55F7" w14:textId="236CA613" w:rsidR="00450114" w:rsidRPr="00310B0F" w:rsidRDefault="00450114" w:rsidP="00450114">
      <w:pPr>
        <w:pStyle w:val="Zkladntext"/>
        <w:kinsoku w:val="0"/>
        <w:overflowPunct w:val="0"/>
        <w:ind w:hanging="1"/>
      </w:pPr>
      <w:r w:rsidRPr="00310B0F">
        <w:t>Koncentrácie fingolimodu a</w:t>
      </w:r>
      <w:r w:rsidR="00FD04A6">
        <w:t> </w:t>
      </w:r>
      <w:r w:rsidRPr="00310B0F">
        <w:t>fingolimd</w:t>
      </w:r>
      <w:r w:rsidR="00FD04A6">
        <w:t>íum-</w:t>
      </w:r>
      <w:r w:rsidRPr="00310B0F">
        <w:t>fosfátu po opakovanom podávaní dávok 0,5 mg alebo 1,25 mg</w:t>
      </w:r>
    </w:p>
    <w:p w14:paraId="1C41D0C8" w14:textId="77777777" w:rsidR="00450114" w:rsidRPr="00310B0F" w:rsidRDefault="00450114" w:rsidP="00450114">
      <w:pPr>
        <w:pStyle w:val="Zkladntext"/>
        <w:kinsoku w:val="0"/>
        <w:overflowPunct w:val="0"/>
        <w:ind w:hanging="1"/>
      </w:pPr>
      <w:r w:rsidRPr="00310B0F">
        <w:t>raz denne sa zjavne zvyšujú úmerne dávke.</w:t>
      </w:r>
    </w:p>
    <w:p w14:paraId="23F33970" w14:textId="77777777" w:rsidR="00450114" w:rsidRPr="00310B0F" w:rsidRDefault="00450114" w:rsidP="00450114">
      <w:pPr>
        <w:pStyle w:val="Zkladntext"/>
        <w:kinsoku w:val="0"/>
        <w:overflowPunct w:val="0"/>
        <w:ind w:hanging="1"/>
      </w:pPr>
    </w:p>
    <w:p w14:paraId="44EF3AAE" w14:textId="77777777" w:rsidR="00450114" w:rsidRPr="00310B0F" w:rsidRDefault="00450114" w:rsidP="00450114">
      <w:pPr>
        <w:pStyle w:val="Zkladntext"/>
        <w:kinsoku w:val="0"/>
        <w:overflowPunct w:val="0"/>
        <w:ind w:hanging="1"/>
      </w:pPr>
      <w:r w:rsidRPr="00310B0F">
        <w:rPr>
          <w:u w:val="single"/>
        </w:rPr>
        <w:t>Charakteristika u osobitných skupín pacientov</w:t>
      </w:r>
    </w:p>
    <w:p w14:paraId="28AAF982" w14:textId="2412C70C" w:rsidR="00450114" w:rsidRPr="00310B0F" w:rsidRDefault="00450114" w:rsidP="00450114">
      <w:pPr>
        <w:pStyle w:val="Zkladntext"/>
        <w:kinsoku w:val="0"/>
        <w:overflowPunct w:val="0"/>
        <w:ind w:hanging="1"/>
      </w:pPr>
      <w:r w:rsidRPr="00310B0F">
        <w:t>Farmakokinetika fingolimodu a</w:t>
      </w:r>
      <w:r w:rsidR="00FD04A6">
        <w:t> </w:t>
      </w:r>
      <w:r w:rsidRPr="00310B0F">
        <w:t>fingolim</w:t>
      </w:r>
      <w:r w:rsidR="00FD04A6">
        <w:t>ó</w:t>
      </w:r>
      <w:r w:rsidRPr="00310B0F">
        <w:t>d</w:t>
      </w:r>
      <w:r w:rsidR="00FD04A6">
        <w:t>ium-</w:t>
      </w:r>
      <w:r w:rsidRPr="00310B0F">
        <w:t>fosfátu sa nelíši u mužov a žien, u pacientov rôzneho etnického pôvodu, alebo u pacientov s ľahkou až ťažkou poruchou funkcie obličiek.</w:t>
      </w:r>
    </w:p>
    <w:p w14:paraId="4232B0F7" w14:textId="77777777" w:rsidR="00450114" w:rsidRPr="00310B0F" w:rsidRDefault="00450114" w:rsidP="00450114">
      <w:pPr>
        <w:pStyle w:val="Zkladntext"/>
        <w:kinsoku w:val="0"/>
        <w:overflowPunct w:val="0"/>
        <w:ind w:hanging="1"/>
      </w:pPr>
    </w:p>
    <w:p w14:paraId="2DBBCB2C" w14:textId="77777777" w:rsidR="00450114" w:rsidRPr="00310B0F" w:rsidRDefault="00450114" w:rsidP="00450114">
      <w:pPr>
        <w:pStyle w:val="Zkladntext"/>
        <w:kinsoku w:val="0"/>
        <w:overflowPunct w:val="0"/>
        <w:ind w:hanging="1"/>
      </w:pPr>
      <w:r w:rsidRPr="00310B0F">
        <w:t>U osôb s ľahkou, stredne ťažkou alebo ťažkou poruchou funkcie pečene (trieda A, B a C podľa</w:t>
      </w:r>
    </w:p>
    <w:p w14:paraId="186E2FDA" w14:textId="77777777" w:rsidR="00450114" w:rsidRPr="00310B0F" w:rsidRDefault="00450114" w:rsidP="00450114">
      <w:pPr>
        <w:pStyle w:val="Zkladntext"/>
        <w:kinsoku w:val="0"/>
        <w:overflowPunct w:val="0"/>
        <w:ind w:hanging="1"/>
      </w:pPr>
      <w:r w:rsidRPr="00310B0F">
        <w:t>Childa-Pugha) sa nepozorovala zmena C</w:t>
      </w:r>
      <w:r w:rsidRPr="00310B0F">
        <w:rPr>
          <w:vertAlign w:val="subscript"/>
        </w:rPr>
        <w:t>max</w:t>
      </w:r>
      <w:r w:rsidRPr="00310B0F">
        <w:t xml:space="preserve"> fingolimodu, ale AUC fingolimodu sa príslušne zvýšila</w:t>
      </w:r>
    </w:p>
    <w:p w14:paraId="562E8201" w14:textId="433FC3F2" w:rsidR="00450114" w:rsidRPr="00310B0F" w:rsidRDefault="00450114" w:rsidP="00450114">
      <w:pPr>
        <w:pStyle w:val="Zkladntext"/>
        <w:kinsoku w:val="0"/>
        <w:overflowPunct w:val="0"/>
        <w:ind w:hanging="1"/>
      </w:pPr>
      <w:r w:rsidRPr="00310B0F">
        <w:t>o 12 %, 44 % a 103 %. U pacientov s ťažkou poruchou funkcie pečene (trieda C podľa Childa-Pugha) sa C</w:t>
      </w:r>
      <w:r w:rsidRPr="00310B0F">
        <w:rPr>
          <w:vertAlign w:val="subscript"/>
        </w:rPr>
        <w:t>max</w:t>
      </w:r>
      <w:r w:rsidRPr="00310B0F">
        <w:t xml:space="preserve"> fingolim</w:t>
      </w:r>
      <w:r w:rsidR="00FD04A6">
        <w:t>ó</w:t>
      </w:r>
      <w:r w:rsidRPr="00310B0F">
        <w:t>d</w:t>
      </w:r>
      <w:r w:rsidR="00FD04A6">
        <w:t>ium-</w:t>
      </w:r>
      <w:r w:rsidRPr="00310B0F">
        <w:t>fosfátu znížila o 22 % a AUC sa podstatne nezmenila. Farmakokinetika fingolimd</w:t>
      </w:r>
      <w:r w:rsidR="00FD04A6">
        <w:t>íum-</w:t>
      </w:r>
      <w:r w:rsidRPr="00310B0F">
        <w:t>fosfátu sa nehodnotila u pacientov s ľahkou alebo stredne ťažkou poruchou funkcie pečene. Zdanlivý polčas eliminácie fingolimodu nie je zmenený u osôb s ľahkou poruchou funkcie pečene, ale predlžuje sa asi o 50 % u pacientov so stredne ťažkou alebo ťažkou poruchou funkcie pečene.</w:t>
      </w:r>
    </w:p>
    <w:p w14:paraId="513E48F6" w14:textId="77777777" w:rsidR="00450114" w:rsidRPr="00310B0F" w:rsidRDefault="00450114" w:rsidP="00450114">
      <w:pPr>
        <w:pStyle w:val="Zkladntext"/>
        <w:kinsoku w:val="0"/>
        <w:overflowPunct w:val="0"/>
        <w:ind w:hanging="1"/>
      </w:pPr>
    </w:p>
    <w:p w14:paraId="5D81F515" w14:textId="77777777" w:rsidR="00450114" w:rsidRPr="00310B0F" w:rsidRDefault="00450114" w:rsidP="00450114">
      <w:pPr>
        <w:pStyle w:val="Zkladntext"/>
        <w:kinsoku w:val="0"/>
        <w:overflowPunct w:val="0"/>
        <w:ind w:hanging="1"/>
      </w:pPr>
      <w:r w:rsidRPr="00310B0F">
        <w:t>Fingolimod sa nemá používať u pacientov s ťažkou poruchou funkcie pečene (trieda C podľa Childa- Pugha) (pozri časť 4.3). Liečba fingolimodom sa má začať opatrne u pacientov s ľahkou a stredne ťažkou poruchou funkcie pečene (pozri časť 4.2).</w:t>
      </w:r>
    </w:p>
    <w:p w14:paraId="5DA42029" w14:textId="77777777" w:rsidR="00450114" w:rsidRPr="00310B0F" w:rsidRDefault="00450114" w:rsidP="00450114">
      <w:pPr>
        <w:pStyle w:val="Zkladntext"/>
        <w:kinsoku w:val="0"/>
        <w:overflowPunct w:val="0"/>
        <w:ind w:hanging="1"/>
      </w:pPr>
    </w:p>
    <w:p w14:paraId="7C72B68F" w14:textId="77777777" w:rsidR="00450114" w:rsidRPr="00310B0F" w:rsidRDefault="00450114" w:rsidP="00450114">
      <w:pPr>
        <w:pStyle w:val="Zkladntext"/>
        <w:kinsoku w:val="0"/>
        <w:overflowPunct w:val="0"/>
        <w:ind w:hanging="1"/>
      </w:pPr>
      <w:r w:rsidRPr="00310B0F">
        <w:t>Klinické skúsenosti a údaje o farmakokinetike u pacientov starších ako 65 rokov sú obmedzené.</w:t>
      </w:r>
    </w:p>
    <w:p w14:paraId="57D27AD8" w14:textId="77777777" w:rsidR="00450114" w:rsidRPr="00310B0F" w:rsidRDefault="00450114" w:rsidP="00450114">
      <w:pPr>
        <w:pStyle w:val="Zkladntext"/>
        <w:kinsoku w:val="0"/>
        <w:overflowPunct w:val="0"/>
        <w:ind w:hanging="1"/>
      </w:pPr>
      <w:r>
        <w:t xml:space="preserve">Fingolimod </w:t>
      </w:r>
      <w:r w:rsidRPr="00310B0F">
        <w:t>sa má používať opatrne u 65-ročných a starších pacientov (pozri časť 4.2).</w:t>
      </w:r>
    </w:p>
    <w:p w14:paraId="40BF83B7" w14:textId="77777777" w:rsidR="00450114" w:rsidRDefault="00450114" w:rsidP="00450114">
      <w:pPr>
        <w:pStyle w:val="Zkladntext"/>
        <w:kinsoku w:val="0"/>
        <w:overflowPunct w:val="0"/>
        <w:ind w:hanging="1"/>
        <w:rPr>
          <w:u w:val="single"/>
        </w:rPr>
      </w:pPr>
    </w:p>
    <w:p w14:paraId="0E2CD5C1" w14:textId="77777777" w:rsidR="00450114" w:rsidRPr="00310B0F" w:rsidRDefault="00450114" w:rsidP="00450114">
      <w:pPr>
        <w:pStyle w:val="Zkladntext"/>
        <w:kinsoku w:val="0"/>
        <w:overflowPunct w:val="0"/>
        <w:ind w:hanging="1"/>
      </w:pPr>
      <w:r w:rsidRPr="00310B0F">
        <w:rPr>
          <w:u w:val="single"/>
        </w:rPr>
        <w:t>Pediatrická populácia</w:t>
      </w:r>
    </w:p>
    <w:p w14:paraId="69111185" w14:textId="004D0431" w:rsidR="00450114" w:rsidRPr="00310B0F" w:rsidRDefault="00450114" w:rsidP="00450114">
      <w:pPr>
        <w:pStyle w:val="Zkladntext"/>
        <w:kinsoku w:val="0"/>
        <w:overflowPunct w:val="0"/>
        <w:ind w:hanging="1"/>
      </w:pPr>
      <w:r w:rsidRPr="00310B0F">
        <w:t>U pediatrických pacientov (vo veku 10 rokov a starších) sa koncentrácie fingolim</w:t>
      </w:r>
      <w:r w:rsidR="00FD04A6">
        <w:t>ó</w:t>
      </w:r>
      <w:r w:rsidRPr="00310B0F">
        <w:t>d</w:t>
      </w:r>
      <w:r w:rsidR="00FD04A6">
        <w:t>ium-</w:t>
      </w:r>
      <w:r w:rsidRPr="00310B0F">
        <w:t>fosfátu zjavne zvyšujú úmerne dávke medzi 0,25 mg a 0,5 mg.</w:t>
      </w:r>
    </w:p>
    <w:p w14:paraId="4EDA154D" w14:textId="77777777" w:rsidR="00450114" w:rsidRPr="00310B0F" w:rsidRDefault="00450114" w:rsidP="00450114">
      <w:pPr>
        <w:pStyle w:val="Zkladntext"/>
        <w:kinsoku w:val="0"/>
        <w:overflowPunct w:val="0"/>
        <w:ind w:hanging="1"/>
      </w:pPr>
    </w:p>
    <w:p w14:paraId="1F6FF9B9" w14:textId="25A68725" w:rsidR="00450114" w:rsidRPr="00310B0F" w:rsidRDefault="00450114" w:rsidP="00450114">
      <w:pPr>
        <w:pStyle w:val="Zkladntext"/>
        <w:kinsoku w:val="0"/>
        <w:overflowPunct w:val="0"/>
        <w:ind w:hanging="1"/>
      </w:pPr>
      <w:r w:rsidRPr="00310B0F">
        <w:t>Koncentrácia fingolim</w:t>
      </w:r>
      <w:r w:rsidR="00FD04A6">
        <w:t>ó</w:t>
      </w:r>
      <w:r w:rsidRPr="00310B0F">
        <w:t>d</w:t>
      </w:r>
      <w:r w:rsidR="00FD04A6">
        <w:t>ium-</w:t>
      </w:r>
      <w:r w:rsidRPr="00310B0F">
        <w:t>fosfátu v rovnovážnom stave je približne o 25 % nižšia u pediatrických pacientov (vo veku 10 rokov a starších) po podaní 0,25 mg alebo 0,5 mg fingolimodu v porovnaní s koncentráciou u dospelých pacientov liečených fingolimodom 0,5 mg raz denne.</w:t>
      </w:r>
    </w:p>
    <w:p w14:paraId="25CC0460" w14:textId="77777777" w:rsidR="00450114" w:rsidRPr="00310B0F" w:rsidRDefault="00450114" w:rsidP="00450114">
      <w:pPr>
        <w:pStyle w:val="Zkladntext"/>
        <w:kinsoku w:val="0"/>
        <w:overflowPunct w:val="0"/>
        <w:ind w:hanging="1"/>
      </w:pPr>
      <w:r w:rsidRPr="00310B0F">
        <w:lastRenderedPageBreak/>
        <w:t>Nie sú dostupné údaje u pediatrických pacientov mladších ako 10 rokov.</w:t>
      </w:r>
    </w:p>
    <w:p w14:paraId="1ED0AC5F" w14:textId="77777777" w:rsidR="00450114" w:rsidRPr="00310B0F" w:rsidRDefault="00450114" w:rsidP="00450114">
      <w:pPr>
        <w:pStyle w:val="Zkladntext"/>
        <w:kinsoku w:val="0"/>
        <w:overflowPunct w:val="0"/>
        <w:ind w:hanging="1"/>
      </w:pPr>
    </w:p>
    <w:p w14:paraId="467175A7"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Predklinické údaje o</w:t>
      </w:r>
      <w:r w:rsidRPr="00310B0F">
        <w:rPr>
          <w:spacing w:val="-2"/>
        </w:rPr>
        <w:t xml:space="preserve"> </w:t>
      </w:r>
      <w:r w:rsidRPr="00310B0F">
        <w:t>bezpečnosti</w:t>
      </w:r>
    </w:p>
    <w:p w14:paraId="09BB69E7" w14:textId="77777777" w:rsidR="00450114" w:rsidRPr="00310B0F" w:rsidRDefault="00450114" w:rsidP="00450114">
      <w:pPr>
        <w:pStyle w:val="Zkladntext"/>
        <w:kinsoku w:val="0"/>
        <w:overflowPunct w:val="0"/>
        <w:ind w:hanging="1"/>
        <w:rPr>
          <w:b/>
          <w:bCs/>
        </w:rPr>
      </w:pPr>
    </w:p>
    <w:p w14:paraId="75DA7B69" w14:textId="77777777" w:rsidR="00450114" w:rsidRPr="00310B0F" w:rsidRDefault="00450114" w:rsidP="00450114">
      <w:pPr>
        <w:pStyle w:val="Zkladntext"/>
        <w:kinsoku w:val="0"/>
        <w:overflowPunct w:val="0"/>
        <w:ind w:hanging="1"/>
      </w:pPr>
      <w:r w:rsidRPr="00310B0F">
        <w:t>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hornej hranice systémovej expozície (AUC) u ľudí pri dennej dávke 0,5 mg.</w:t>
      </w:r>
    </w:p>
    <w:p w14:paraId="59BD69B2" w14:textId="77777777" w:rsidR="00450114" w:rsidRPr="00310B0F" w:rsidRDefault="00450114" w:rsidP="00450114">
      <w:pPr>
        <w:pStyle w:val="Zkladntext"/>
        <w:kinsoku w:val="0"/>
        <w:overflowPunct w:val="0"/>
        <w:ind w:hanging="1"/>
      </w:pPr>
    </w:p>
    <w:p w14:paraId="528CC9EC" w14:textId="77777777" w:rsidR="00450114" w:rsidRPr="00310B0F" w:rsidRDefault="00450114" w:rsidP="00450114">
      <w:pPr>
        <w:pStyle w:val="Zkladntext"/>
        <w:kinsoku w:val="0"/>
        <w:overflowPunct w:val="0"/>
        <w:ind w:hanging="1"/>
      </w:pPr>
      <w:r w:rsidRPr="00310B0F">
        <w:t>Dôkazy karcinogenity sa nepozorovali v biologickom stanovení trvajúcom 2 roky na potkanoch pri perorálnych dávkach fingolimodu až do maximálnej tolerovanej dávky 2,5 mg/kg, čo predstavuje približne 50-násobok hornej hranice systémovej expozície (AUC) u ľudí pri dávke 0,5 mg. Avšak</w:t>
      </w:r>
    </w:p>
    <w:p w14:paraId="7E2B5106" w14:textId="77777777" w:rsidR="00450114" w:rsidRPr="00310B0F" w:rsidRDefault="00450114" w:rsidP="00450114">
      <w:pPr>
        <w:pStyle w:val="Zkladntext"/>
        <w:kinsoku w:val="0"/>
        <w:overflowPunct w:val="0"/>
        <w:ind w:hanging="1"/>
      </w:pPr>
      <w:r w:rsidRPr="00310B0F">
        <w:t>v štúdii na myšiach trvajúcej 2 roky sa zaznamenal zvýšený výskyt malígneho lymfómu pri dávkach 0,25 mg/kg a vyšších, čo predstavuje približne 6-násobok hornej hranice systémovej expozície (AUC) u ľudí pri dennej dávke 0,5 mg.</w:t>
      </w:r>
    </w:p>
    <w:p w14:paraId="5ED061C4" w14:textId="77777777" w:rsidR="00450114" w:rsidRPr="00310B0F" w:rsidRDefault="00450114" w:rsidP="00450114">
      <w:pPr>
        <w:pStyle w:val="Zkladntext"/>
        <w:kinsoku w:val="0"/>
        <w:overflowPunct w:val="0"/>
        <w:ind w:hanging="1"/>
      </w:pPr>
    </w:p>
    <w:p w14:paraId="7B438F84" w14:textId="77777777" w:rsidR="00450114" w:rsidRPr="00310B0F" w:rsidRDefault="00450114" w:rsidP="00450114">
      <w:pPr>
        <w:pStyle w:val="Zkladntext"/>
        <w:kinsoku w:val="0"/>
        <w:overflowPunct w:val="0"/>
        <w:ind w:hanging="1"/>
      </w:pPr>
      <w:r w:rsidRPr="00310B0F">
        <w:t>Fingolimod nebol mutagénny ani klastogénny v štúdiách na zvieratách.</w:t>
      </w:r>
    </w:p>
    <w:p w14:paraId="69E5A9B2" w14:textId="77777777" w:rsidR="00450114" w:rsidRPr="00310B0F" w:rsidRDefault="00450114" w:rsidP="00450114">
      <w:pPr>
        <w:pStyle w:val="Zkladntext"/>
        <w:kinsoku w:val="0"/>
        <w:overflowPunct w:val="0"/>
        <w:ind w:hanging="1"/>
      </w:pPr>
    </w:p>
    <w:p w14:paraId="2AABFD7D" w14:textId="77777777" w:rsidR="00450114" w:rsidRPr="00310B0F" w:rsidRDefault="00450114" w:rsidP="00450114">
      <w:pPr>
        <w:pStyle w:val="Zkladntext"/>
        <w:kinsoku w:val="0"/>
        <w:overflowPunct w:val="0"/>
        <w:ind w:hanging="1"/>
      </w:pPr>
      <w:r w:rsidRPr="00310B0F">
        <w:t>Fingolimod nemal vplyv na počet/pohyblivosť spermií alebo na fertilitu u samcov a samíc potkana až do najvyššej testovanej dávky (10 mg/kg), čo predstavuje približne 150-násobok hornej hranice systémovej expozície (AUC) u ľudí pri dennej dávke 0,5 mg.</w:t>
      </w:r>
    </w:p>
    <w:p w14:paraId="23286680" w14:textId="77777777" w:rsidR="00450114" w:rsidRPr="00310B0F" w:rsidRDefault="00450114" w:rsidP="00450114">
      <w:pPr>
        <w:pStyle w:val="Zkladntext"/>
        <w:kinsoku w:val="0"/>
        <w:overflowPunct w:val="0"/>
        <w:ind w:hanging="1"/>
      </w:pPr>
    </w:p>
    <w:p w14:paraId="5FF0F7EB" w14:textId="77777777" w:rsidR="00450114" w:rsidRPr="00310B0F" w:rsidRDefault="00450114" w:rsidP="00450114">
      <w:pPr>
        <w:pStyle w:val="Zkladntext"/>
        <w:kinsoku w:val="0"/>
        <w:overflowPunct w:val="0"/>
        <w:ind w:hanging="1"/>
      </w:pPr>
      <w:r w:rsidRPr="00310B0F">
        <w:t>Fingolimod bol teratogénny u potkanov pri dávkach 0,1 mg/kg alebo vyšších. Expozícia liečivu</w:t>
      </w:r>
    </w:p>
    <w:p w14:paraId="3A63CDC9" w14:textId="77777777" w:rsidR="00450114" w:rsidRPr="00310B0F" w:rsidRDefault="00450114" w:rsidP="00450114">
      <w:pPr>
        <w:pStyle w:val="Zkladntext"/>
        <w:kinsoku w:val="0"/>
        <w:overflowPunct w:val="0"/>
        <w:ind w:hanging="1"/>
      </w:pPr>
      <w:r w:rsidRPr="00310B0F">
        <w:t>u potkanov pri tejto dávke bola podobná ako u pacientov pri terapeutickej dávke (0,5 mg). Najčastejšie malformácie vnútorných orgánov u plodov zahŕňali pretrvávajúci truncus arteriosus a defekt medzikomorovej priehradky. Teratogénny potenciál u králikov nebolo možné úplne stanoviť, ale zvýšená úmrtnosť embryí a fétov sa pozorovala pri dávkach 1,5 mg/kg a vyšších a pokles počtu životaschopných fétov a spomalenie rastu fétov sa pozorovali pri 5 mg/kg. Expozícia liečivu</w:t>
      </w:r>
    </w:p>
    <w:p w14:paraId="21DA6293" w14:textId="77777777" w:rsidR="00450114" w:rsidRPr="00310B0F" w:rsidRDefault="00450114" w:rsidP="00450114">
      <w:pPr>
        <w:pStyle w:val="Zkladntext"/>
        <w:kinsoku w:val="0"/>
        <w:overflowPunct w:val="0"/>
        <w:ind w:hanging="1"/>
      </w:pPr>
      <w:r w:rsidRPr="00310B0F">
        <w:t>u králikov pri týchto dávkach bola podobná ako u pacientov.</w:t>
      </w:r>
    </w:p>
    <w:p w14:paraId="520470FA" w14:textId="77777777" w:rsidR="00450114" w:rsidRPr="00310B0F" w:rsidRDefault="00450114" w:rsidP="00450114">
      <w:pPr>
        <w:pStyle w:val="Zkladntext"/>
        <w:kinsoku w:val="0"/>
        <w:overflowPunct w:val="0"/>
        <w:ind w:hanging="1"/>
      </w:pPr>
    </w:p>
    <w:p w14:paraId="0F6EFCEB" w14:textId="77777777" w:rsidR="00450114" w:rsidRPr="00310B0F" w:rsidRDefault="00450114" w:rsidP="00450114">
      <w:pPr>
        <w:pStyle w:val="Zkladntext"/>
        <w:kinsoku w:val="0"/>
        <w:overflowPunct w:val="0"/>
        <w:ind w:hanging="1"/>
      </w:pPr>
      <w:r w:rsidRPr="00310B0F">
        <w:t>U potkanov sa znížilo prežívanie mláďat generácie F1 vo včasnom popôrodnom období pri dávkach, ktoré neboli toxické pre matky. Avšak podávanie fingolimodu neovplyvnilo telesnú hmotnosť, vývin, správanie a fertilitu generácie F1.</w:t>
      </w:r>
    </w:p>
    <w:p w14:paraId="2FE96B89" w14:textId="77777777" w:rsidR="00450114" w:rsidRPr="00310B0F" w:rsidRDefault="00450114" w:rsidP="00450114">
      <w:pPr>
        <w:pStyle w:val="Zkladntext"/>
        <w:kinsoku w:val="0"/>
        <w:overflowPunct w:val="0"/>
        <w:ind w:hanging="1"/>
      </w:pPr>
    </w:p>
    <w:p w14:paraId="28CF2809" w14:textId="77777777" w:rsidR="00450114" w:rsidRPr="00310B0F" w:rsidRDefault="00450114" w:rsidP="00450114">
      <w:pPr>
        <w:pStyle w:val="Zkladntext"/>
        <w:kinsoku w:val="0"/>
        <w:overflowPunct w:val="0"/>
        <w:ind w:hanging="1"/>
      </w:pPr>
      <w:r w:rsidRPr="00310B0F">
        <w:t>Fingolimod sa pri podávaní počas laktácie vylučoval do mlieka zvierat v koncentráciách 2- až 3- násobne vyšších, ako sa zistili v plazme matiek. Fingolimod a jeho metabolity prestupovali placentárnu bariéru u gravidných králikov.</w:t>
      </w:r>
    </w:p>
    <w:p w14:paraId="2E3F9CC4" w14:textId="77777777" w:rsidR="00450114" w:rsidRDefault="00450114" w:rsidP="00450114">
      <w:pPr>
        <w:pStyle w:val="Zkladntext"/>
        <w:kinsoku w:val="0"/>
        <w:overflowPunct w:val="0"/>
        <w:ind w:hanging="1"/>
        <w:rPr>
          <w:u w:val="single"/>
        </w:rPr>
      </w:pPr>
    </w:p>
    <w:p w14:paraId="596DC738" w14:textId="77777777" w:rsidR="00450114" w:rsidRPr="00310B0F" w:rsidRDefault="00450114" w:rsidP="00450114">
      <w:pPr>
        <w:pStyle w:val="Zkladntext"/>
        <w:kinsoku w:val="0"/>
        <w:overflowPunct w:val="0"/>
        <w:ind w:hanging="1"/>
      </w:pPr>
      <w:r w:rsidRPr="00310B0F">
        <w:rPr>
          <w:u w:val="single"/>
        </w:rPr>
        <w:t>Štúdie na mladých zvieratách</w:t>
      </w:r>
    </w:p>
    <w:p w14:paraId="57F2E107" w14:textId="009B6AE4" w:rsidR="00450114" w:rsidRPr="00310B0F" w:rsidRDefault="00450114" w:rsidP="00400C49">
      <w:pPr>
        <w:pStyle w:val="Zkladntext"/>
        <w:kinsoku w:val="0"/>
        <w:overflowPunct w:val="0"/>
        <w:ind w:hanging="1"/>
      </w:pPr>
      <w:r w:rsidRPr="00310B0F">
        <w:t>Výsledky dvoch štúdií toxicity na mladých potkanoch ukázali malé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w:t>
      </w:r>
      <w:r w:rsidR="00400C49">
        <w:t xml:space="preserve"> </w:t>
      </w:r>
      <w:r w:rsidRPr="00310B0F">
        <w:t>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1BAF9C1E" w14:textId="77777777" w:rsidR="00450114" w:rsidRPr="00310B0F" w:rsidRDefault="00450114" w:rsidP="00450114">
      <w:pPr>
        <w:pStyle w:val="Zkladntext"/>
        <w:kinsoku w:val="0"/>
        <w:overflowPunct w:val="0"/>
        <w:ind w:hanging="1"/>
      </w:pPr>
    </w:p>
    <w:p w14:paraId="3B04E4D2" w14:textId="77777777" w:rsidR="00450114" w:rsidRPr="00310B0F" w:rsidRDefault="00450114" w:rsidP="00450114">
      <w:pPr>
        <w:pStyle w:val="Zkladntext"/>
        <w:kinsoku w:val="0"/>
        <w:overflowPunct w:val="0"/>
        <w:ind w:hanging="1"/>
      </w:pPr>
    </w:p>
    <w:p w14:paraId="45CB0F6D" w14:textId="77777777" w:rsidR="00450114" w:rsidRPr="00310B0F" w:rsidRDefault="00450114" w:rsidP="00450114">
      <w:pPr>
        <w:pStyle w:val="Nadpis1"/>
        <w:numPr>
          <w:ilvl w:val="0"/>
          <w:numId w:val="12"/>
        </w:numPr>
        <w:tabs>
          <w:tab w:val="left" w:pos="806"/>
        </w:tabs>
        <w:kinsoku w:val="0"/>
        <w:overflowPunct w:val="0"/>
        <w:spacing w:before="0"/>
        <w:ind w:left="0" w:hanging="1"/>
      </w:pPr>
      <w:r w:rsidRPr="00310B0F">
        <w:t>FARMACEUTICKÉ</w:t>
      </w:r>
      <w:r w:rsidRPr="00310B0F">
        <w:rPr>
          <w:spacing w:val="-2"/>
        </w:rPr>
        <w:t xml:space="preserve"> </w:t>
      </w:r>
      <w:r w:rsidRPr="00310B0F">
        <w:t>INFORMÁCIE</w:t>
      </w:r>
    </w:p>
    <w:p w14:paraId="1A1B98D9" w14:textId="77777777" w:rsidR="00450114" w:rsidRPr="00310B0F" w:rsidRDefault="00450114" w:rsidP="00450114">
      <w:pPr>
        <w:pStyle w:val="Zkladntext"/>
        <w:kinsoku w:val="0"/>
        <w:overflowPunct w:val="0"/>
        <w:ind w:hanging="1"/>
        <w:rPr>
          <w:b/>
          <w:bCs/>
        </w:rPr>
      </w:pPr>
    </w:p>
    <w:p w14:paraId="2FC384EA" w14:textId="77777777" w:rsidR="00450114" w:rsidRPr="00310B0F" w:rsidRDefault="00450114" w:rsidP="00450114">
      <w:pPr>
        <w:pStyle w:val="Odsekzoznamu"/>
        <w:numPr>
          <w:ilvl w:val="1"/>
          <w:numId w:val="12"/>
        </w:numPr>
        <w:tabs>
          <w:tab w:val="left" w:pos="806"/>
        </w:tabs>
        <w:kinsoku w:val="0"/>
        <w:overflowPunct w:val="0"/>
        <w:ind w:left="0" w:hanging="1"/>
        <w:rPr>
          <w:b/>
          <w:bCs/>
          <w:sz w:val="22"/>
          <w:szCs w:val="22"/>
        </w:rPr>
      </w:pPr>
      <w:r w:rsidRPr="00310B0F">
        <w:rPr>
          <w:b/>
          <w:bCs/>
          <w:sz w:val="22"/>
          <w:szCs w:val="22"/>
        </w:rPr>
        <w:t>Zoznam pomocných</w:t>
      </w:r>
      <w:r w:rsidRPr="00310B0F">
        <w:rPr>
          <w:b/>
          <w:bCs/>
          <w:spacing w:val="-3"/>
          <w:sz w:val="22"/>
          <w:szCs w:val="22"/>
        </w:rPr>
        <w:t xml:space="preserve"> </w:t>
      </w:r>
      <w:r w:rsidRPr="00310B0F">
        <w:rPr>
          <w:b/>
          <w:bCs/>
          <w:sz w:val="22"/>
          <w:szCs w:val="22"/>
        </w:rPr>
        <w:t>látok</w:t>
      </w:r>
    </w:p>
    <w:p w14:paraId="7ACED4CE" w14:textId="77777777" w:rsidR="00450114" w:rsidRPr="00310B0F" w:rsidRDefault="00450114" w:rsidP="00450114">
      <w:pPr>
        <w:pStyle w:val="Zkladntext"/>
        <w:kinsoku w:val="0"/>
        <w:overflowPunct w:val="0"/>
        <w:ind w:hanging="1"/>
        <w:rPr>
          <w:b/>
          <w:bCs/>
        </w:rPr>
      </w:pPr>
    </w:p>
    <w:p w14:paraId="6BC6CDD5" w14:textId="77777777" w:rsidR="00450114" w:rsidRPr="00B22918" w:rsidRDefault="00450114" w:rsidP="00450114">
      <w:pPr>
        <w:pStyle w:val="Zkladntext"/>
        <w:kinsoku w:val="0"/>
        <w:overflowPunct w:val="0"/>
        <w:ind w:hanging="1"/>
        <w:rPr>
          <w:iCs/>
        </w:rPr>
      </w:pPr>
      <w:r w:rsidRPr="00B22918">
        <w:rPr>
          <w:iCs/>
          <w:u w:val="single"/>
        </w:rPr>
        <w:t>Obsah kapsuly</w:t>
      </w:r>
    </w:p>
    <w:p w14:paraId="44D34CE7" w14:textId="65606386" w:rsidR="00450114" w:rsidRDefault="00400C49" w:rsidP="00450114">
      <w:pPr>
        <w:pStyle w:val="Zkladntext"/>
        <w:kinsoku w:val="0"/>
        <w:overflowPunct w:val="0"/>
        <w:ind w:hanging="1"/>
      </w:pPr>
      <w:r>
        <w:t>m</w:t>
      </w:r>
      <w:r w:rsidR="00450114">
        <w:t>ikrokryštalická celulóza</w:t>
      </w:r>
    </w:p>
    <w:p w14:paraId="793A22BD" w14:textId="77777777" w:rsidR="00450114" w:rsidRDefault="00450114" w:rsidP="00450114">
      <w:pPr>
        <w:pStyle w:val="Zkladntext"/>
        <w:kinsoku w:val="0"/>
        <w:overflowPunct w:val="0"/>
        <w:ind w:hanging="1"/>
      </w:pPr>
      <w:r>
        <w:t>koloidný bezvodý oxid kremičitý</w:t>
      </w:r>
    </w:p>
    <w:p w14:paraId="4653B148" w14:textId="77777777" w:rsidR="00450114" w:rsidRPr="00310B0F" w:rsidRDefault="00450114" w:rsidP="00450114">
      <w:pPr>
        <w:pStyle w:val="Zkladntext"/>
        <w:kinsoku w:val="0"/>
        <w:overflowPunct w:val="0"/>
        <w:ind w:hanging="1"/>
      </w:pPr>
      <w:r>
        <w:t>stearát horečnatý</w:t>
      </w:r>
    </w:p>
    <w:p w14:paraId="13C5047B" w14:textId="77777777" w:rsidR="00450114" w:rsidRPr="00310B0F" w:rsidRDefault="00450114" w:rsidP="00450114">
      <w:pPr>
        <w:pStyle w:val="Zkladntext"/>
        <w:kinsoku w:val="0"/>
        <w:overflowPunct w:val="0"/>
        <w:ind w:hanging="1"/>
      </w:pPr>
    </w:p>
    <w:p w14:paraId="084996B0" w14:textId="59277390" w:rsidR="00450114" w:rsidRPr="00B22918" w:rsidRDefault="00450114" w:rsidP="00450114">
      <w:pPr>
        <w:pStyle w:val="Zkladntext"/>
        <w:kinsoku w:val="0"/>
        <w:overflowPunct w:val="0"/>
        <w:ind w:hanging="1"/>
        <w:rPr>
          <w:u w:val="single"/>
        </w:rPr>
      </w:pPr>
      <w:r>
        <w:rPr>
          <w:u w:val="single"/>
        </w:rPr>
        <w:t>Matný žltý uzáver</w:t>
      </w:r>
      <w:r w:rsidR="00400C49">
        <w:rPr>
          <w:u w:val="single"/>
        </w:rPr>
        <w:t xml:space="preserve"> kapsuly</w:t>
      </w:r>
    </w:p>
    <w:p w14:paraId="0A2693AA" w14:textId="3DD6FC73" w:rsidR="00450114" w:rsidRDefault="00400C49" w:rsidP="00450114">
      <w:pPr>
        <w:pStyle w:val="Zkladntext"/>
        <w:kinsoku w:val="0"/>
        <w:overflowPunct w:val="0"/>
        <w:ind w:hanging="1"/>
      </w:pPr>
      <w:r>
        <w:t>o</w:t>
      </w:r>
      <w:r w:rsidR="00450114">
        <w:t>xid titaničitý (E171)</w:t>
      </w:r>
    </w:p>
    <w:p w14:paraId="04FB9D4E" w14:textId="77777777" w:rsidR="00450114" w:rsidRDefault="00450114" w:rsidP="00450114">
      <w:pPr>
        <w:pStyle w:val="Zkladntext"/>
        <w:kinsoku w:val="0"/>
        <w:overflowPunct w:val="0"/>
        <w:ind w:hanging="1"/>
      </w:pPr>
      <w:r>
        <w:t>žltý oxid železitý (E172)</w:t>
      </w:r>
    </w:p>
    <w:p w14:paraId="43CE63D2" w14:textId="77777777" w:rsidR="00450114" w:rsidRDefault="00450114" w:rsidP="00450114">
      <w:pPr>
        <w:pStyle w:val="Zkladntext"/>
        <w:kinsoku w:val="0"/>
        <w:overflowPunct w:val="0"/>
        <w:ind w:hanging="1"/>
      </w:pPr>
      <w:r>
        <w:t>želatína</w:t>
      </w:r>
    </w:p>
    <w:p w14:paraId="5FD848C0" w14:textId="77777777" w:rsidR="00450114" w:rsidRDefault="00450114" w:rsidP="00450114">
      <w:pPr>
        <w:pStyle w:val="Zkladntext"/>
        <w:kinsoku w:val="0"/>
        <w:overflowPunct w:val="0"/>
        <w:ind w:hanging="1"/>
      </w:pPr>
    </w:p>
    <w:p w14:paraId="076BE94F" w14:textId="77777777" w:rsidR="00450114" w:rsidRDefault="00450114" w:rsidP="00450114">
      <w:pPr>
        <w:pStyle w:val="Zkladntext"/>
        <w:kinsoku w:val="0"/>
        <w:overflowPunct w:val="0"/>
        <w:ind w:hanging="1"/>
        <w:rPr>
          <w:u w:val="single"/>
        </w:rPr>
      </w:pPr>
      <w:r>
        <w:rPr>
          <w:u w:val="single"/>
        </w:rPr>
        <w:t>Matné biele telo kapsuly</w:t>
      </w:r>
    </w:p>
    <w:p w14:paraId="51E24354" w14:textId="7B9F94E0" w:rsidR="00450114" w:rsidRDefault="00400C49" w:rsidP="00450114">
      <w:pPr>
        <w:pStyle w:val="Zkladntext"/>
        <w:kinsoku w:val="0"/>
        <w:overflowPunct w:val="0"/>
        <w:ind w:hanging="1"/>
      </w:pPr>
      <w:r>
        <w:t>o</w:t>
      </w:r>
      <w:r w:rsidR="00450114">
        <w:t>xid titaničitý (E171)</w:t>
      </w:r>
    </w:p>
    <w:p w14:paraId="703DE03A" w14:textId="77777777" w:rsidR="00450114" w:rsidRDefault="00450114" w:rsidP="00450114">
      <w:pPr>
        <w:pStyle w:val="Zkladntext"/>
        <w:kinsoku w:val="0"/>
        <w:overflowPunct w:val="0"/>
        <w:ind w:hanging="1"/>
      </w:pPr>
      <w:r>
        <w:t>želatína</w:t>
      </w:r>
    </w:p>
    <w:p w14:paraId="10D014CC" w14:textId="77777777" w:rsidR="00450114" w:rsidRPr="00310B0F" w:rsidRDefault="00450114" w:rsidP="00450114">
      <w:pPr>
        <w:pStyle w:val="Zkladntext"/>
        <w:kinsoku w:val="0"/>
        <w:overflowPunct w:val="0"/>
        <w:ind w:hanging="1"/>
      </w:pPr>
    </w:p>
    <w:p w14:paraId="19BA962D"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Inkompatibility</w:t>
      </w:r>
    </w:p>
    <w:p w14:paraId="261FFB70" w14:textId="77777777" w:rsidR="00450114" w:rsidRPr="00310B0F" w:rsidRDefault="00450114" w:rsidP="00450114">
      <w:pPr>
        <w:pStyle w:val="Zkladntext"/>
        <w:kinsoku w:val="0"/>
        <w:overflowPunct w:val="0"/>
        <w:ind w:hanging="1"/>
        <w:rPr>
          <w:b/>
          <w:bCs/>
        </w:rPr>
      </w:pPr>
    </w:p>
    <w:p w14:paraId="33FDCF48" w14:textId="77777777" w:rsidR="00450114" w:rsidRPr="00310B0F" w:rsidRDefault="00450114" w:rsidP="00450114">
      <w:pPr>
        <w:pStyle w:val="Zkladntext"/>
        <w:kinsoku w:val="0"/>
        <w:overflowPunct w:val="0"/>
        <w:ind w:hanging="1"/>
      </w:pPr>
      <w:r w:rsidRPr="00310B0F">
        <w:t>Neaplikovateľné.</w:t>
      </w:r>
    </w:p>
    <w:p w14:paraId="2B05BD99" w14:textId="77777777" w:rsidR="00450114" w:rsidRPr="00310B0F" w:rsidRDefault="00450114" w:rsidP="00450114">
      <w:pPr>
        <w:pStyle w:val="Zkladntext"/>
        <w:kinsoku w:val="0"/>
        <w:overflowPunct w:val="0"/>
        <w:ind w:hanging="1"/>
      </w:pPr>
    </w:p>
    <w:p w14:paraId="16475227"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Čas</w:t>
      </w:r>
      <w:r w:rsidRPr="00310B0F">
        <w:rPr>
          <w:spacing w:val="-2"/>
        </w:rPr>
        <w:t xml:space="preserve"> </w:t>
      </w:r>
      <w:r w:rsidRPr="00310B0F">
        <w:t>použiteľnosti</w:t>
      </w:r>
    </w:p>
    <w:p w14:paraId="49276527" w14:textId="77777777" w:rsidR="00450114" w:rsidRPr="00310B0F" w:rsidRDefault="00450114" w:rsidP="00450114">
      <w:pPr>
        <w:pStyle w:val="Zkladntext"/>
        <w:kinsoku w:val="0"/>
        <w:overflowPunct w:val="0"/>
        <w:ind w:hanging="1"/>
        <w:rPr>
          <w:b/>
          <w:bCs/>
        </w:rPr>
      </w:pPr>
    </w:p>
    <w:p w14:paraId="076071D9" w14:textId="77777777" w:rsidR="00450114" w:rsidRPr="00310B0F" w:rsidRDefault="00450114" w:rsidP="00450114">
      <w:pPr>
        <w:pStyle w:val="Zkladntext"/>
        <w:kinsoku w:val="0"/>
        <w:overflowPunct w:val="0"/>
        <w:ind w:hanging="1"/>
      </w:pPr>
      <w:r w:rsidRPr="00310B0F">
        <w:t>2 roky</w:t>
      </w:r>
    </w:p>
    <w:p w14:paraId="19FC3BCB" w14:textId="77777777" w:rsidR="00450114" w:rsidRPr="00310B0F" w:rsidRDefault="00450114" w:rsidP="00450114">
      <w:pPr>
        <w:pStyle w:val="Zkladntext"/>
        <w:kinsoku w:val="0"/>
        <w:overflowPunct w:val="0"/>
        <w:ind w:hanging="1"/>
      </w:pPr>
    </w:p>
    <w:p w14:paraId="7C8EA9CB"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Špeciálne upozornenia na</w:t>
      </w:r>
      <w:r w:rsidRPr="00310B0F">
        <w:rPr>
          <w:spacing w:val="-2"/>
        </w:rPr>
        <w:t xml:space="preserve"> </w:t>
      </w:r>
      <w:r w:rsidRPr="00310B0F">
        <w:t>uchovávanie</w:t>
      </w:r>
    </w:p>
    <w:p w14:paraId="0814C2CA" w14:textId="77777777" w:rsidR="00450114" w:rsidRPr="00310B0F" w:rsidRDefault="00450114" w:rsidP="00450114">
      <w:pPr>
        <w:pStyle w:val="Zkladntext"/>
        <w:kinsoku w:val="0"/>
        <w:overflowPunct w:val="0"/>
        <w:ind w:hanging="1"/>
        <w:rPr>
          <w:b/>
          <w:bCs/>
        </w:rPr>
      </w:pPr>
    </w:p>
    <w:p w14:paraId="1F81848B" w14:textId="77777777" w:rsidR="00450114" w:rsidRPr="00310B0F" w:rsidRDefault="00450114" w:rsidP="00450114">
      <w:pPr>
        <w:pStyle w:val="Zkladntext"/>
        <w:kinsoku w:val="0"/>
        <w:overflowPunct w:val="0"/>
        <w:ind w:hanging="1"/>
      </w:pPr>
      <w:r w:rsidRPr="00310B0F">
        <w:t>Uchovávajte pri teplote neprevyšujúcej 25</w:t>
      </w:r>
      <w:r>
        <w:t xml:space="preserve"> °C.</w:t>
      </w:r>
    </w:p>
    <w:p w14:paraId="46C69513" w14:textId="77777777" w:rsidR="00450114" w:rsidRPr="00310B0F" w:rsidRDefault="00450114" w:rsidP="00450114">
      <w:pPr>
        <w:pStyle w:val="Zkladntext"/>
        <w:kinsoku w:val="0"/>
        <w:overflowPunct w:val="0"/>
        <w:ind w:hanging="1"/>
      </w:pPr>
    </w:p>
    <w:p w14:paraId="4B51C5CE"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Druh obalu a obsah</w:t>
      </w:r>
      <w:r w:rsidRPr="00310B0F">
        <w:rPr>
          <w:spacing w:val="-1"/>
        </w:rPr>
        <w:t xml:space="preserve"> </w:t>
      </w:r>
      <w:r w:rsidRPr="00310B0F">
        <w:t>balenia</w:t>
      </w:r>
    </w:p>
    <w:p w14:paraId="1B1E49C1" w14:textId="77777777" w:rsidR="00450114" w:rsidRPr="00310B0F" w:rsidRDefault="00450114" w:rsidP="00450114">
      <w:pPr>
        <w:pStyle w:val="Zkladntext"/>
        <w:kinsoku w:val="0"/>
        <w:overflowPunct w:val="0"/>
        <w:ind w:hanging="1"/>
        <w:rPr>
          <w:b/>
          <w:bCs/>
        </w:rPr>
      </w:pPr>
    </w:p>
    <w:p w14:paraId="74002363" w14:textId="77777777" w:rsidR="00450114" w:rsidRPr="00310B0F" w:rsidRDefault="00450114" w:rsidP="00450114">
      <w:pPr>
        <w:pStyle w:val="Zkladntext"/>
        <w:kinsoku w:val="0"/>
        <w:overflowPunct w:val="0"/>
        <w:ind w:hanging="1"/>
      </w:pPr>
      <w:r w:rsidRPr="00310B0F">
        <w:t>PVC/PVDC/hliníkové blistr</w:t>
      </w:r>
      <w:r>
        <w:t>e</w:t>
      </w:r>
      <w:r w:rsidRPr="00310B0F">
        <w:t xml:space="preserve"> obsahujúce 7, 28</w:t>
      </w:r>
      <w:r>
        <w:t>, 30, 56, 84, 98, 100</w:t>
      </w:r>
      <w:r w:rsidRPr="00310B0F">
        <w:t xml:space="preserve"> tvrdých kapsúl alebo </w:t>
      </w:r>
    </w:p>
    <w:p w14:paraId="445A8899" w14:textId="77777777" w:rsidR="00450114" w:rsidRPr="00310B0F" w:rsidRDefault="00450114" w:rsidP="00450114">
      <w:pPr>
        <w:pStyle w:val="Zkladntext"/>
        <w:kinsoku w:val="0"/>
        <w:overflowPunct w:val="0"/>
        <w:ind w:hanging="1"/>
      </w:pPr>
      <w:r w:rsidRPr="00310B0F">
        <w:t>PVC/PVDC/hliníkové blistr</w:t>
      </w:r>
      <w:r>
        <w:t>e</w:t>
      </w:r>
      <w:r w:rsidRPr="00310B0F">
        <w:t xml:space="preserve"> s jednotlivými dávkami obsahujúce 7</w:t>
      </w:r>
      <w:r>
        <w:t>x1</w:t>
      </w:r>
      <w:r w:rsidRPr="00310B0F">
        <w:t>, 28</w:t>
      </w:r>
      <w:r>
        <w:t>x1, 30x1, 56x1, 84x1, 98x1, 100x1</w:t>
      </w:r>
      <w:r w:rsidRPr="00310B0F">
        <w:t xml:space="preserve"> tvrdú kapsulu.</w:t>
      </w:r>
    </w:p>
    <w:p w14:paraId="60372454" w14:textId="77777777" w:rsidR="00450114" w:rsidRPr="00310B0F" w:rsidRDefault="00450114" w:rsidP="00450114">
      <w:pPr>
        <w:pStyle w:val="Zkladntext"/>
        <w:kinsoku w:val="0"/>
        <w:overflowPunct w:val="0"/>
        <w:ind w:hanging="1"/>
      </w:pPr>
    </w:p>
    <w:p w14:paraId="3E79A70C" w14:textId="77777777" w:rsidR="00450114" w:rsidRPr="00310B0F" w:rsidRDefault="00450114" w:rsidP="00450114">
      <w:pPr>
        <w:pStyle w:val="Zkladntext"/>
        <w:kinsoku w:val="0"/>
        <w:overflowPunct w:val="0"/>
        <w:ind w:hanging="1"/>
      </w:pPr>
      <w:r w:rsidRPr="00310B0F">
        <w:t>Na trh nemusia byť uvedené všetky veľkosti balenia.</w:t>
      </w:r>
    </w:p>
    <w:p w14:paraId="5C0A4CDA" w14:textId="77777777" w:rsidR="00450114" w:rsidRPr="00310B0F" w:rsidRDefault="00450114" w:rsidP="00450114">
      <w:pPr>
        <w:pStyle w:val="Zkladntext"/>
        <w:kinsoku w:val="0"/>
        <w:overflowPunct w:val="0"/>
        <w:ind w:hanging="1"/>
      </w:pPr>
    </w:p>
    <w:p w14:paraId="12332AB4" w14:textId="77777777" w:rsidR="00450114" w:rsidRPr="00310B0F" w:rsidRDefault="00450114" w:rsidP="00450114">
      <w:pPr>
        <w:pStyle w:val="Nadpis1"/>
        <w:numPr>
          <w:ilvl w:val="1"/>
          <w:numId w:val="12"/>
        </w:numPr>
        <w:tabs>
          <w:tab w:val="left" w:pos="806"/>
        </w:tabs>
        <w:kinsoku w:val="0"/>
        <w:overflowPunct w:val="0"/>
        <w:spacing w:before="0"/>
        <w:ind w:left="0" w:hanging="1"/>
      </w:pPr>
      <w:r w:rsidRPr="00310B0F">
        <w:t>Špeciálne opatrenia na</w:t>
      </w:r>
      <w:r w:rsidRPr="00310B0F">
        <w:rPr>
          <w:spacing w:val="-2"/>
        </w:rPr>
        <w:t xml:space="preserve"> </w:t>
      </w:r>
      <w:r w:rsidRPr="00310B0F">
        <w:t>likvidáciu</w:t>
      </w:r>
    </w:p>
    <w:p w14:paraId="4FF9F742" w14:textId="77777777" w:rsidR="00450114" w:rsidRPr="00310B0F" w:rsidRDefault="00450114" w:rsidP="00450114">
      <w:pPr>
        <w:pStyle w:val="Zkladntext"/>
        <w:kinsoku w:val="0"/>
        <w:overflowPunct w:val="0"/>
        <w:ind w:hanging="1"/>
        <w:rPr>
          <w:b/>
          <w:bCs/>
        </w:rPr>
      </w:pPr>
    </w:p>
    <w:p w14:paraId="438F7DD6" w14:textId="77777777" w:rsidR="00450114" w:rsidRPr="00310B0F" w:rsidRDefault="00450114" w:rsidP="00450114">
      <w:pPr>
        <w:pStyle w:val="Zkladntext"/>
        <w:kinsoku w:val="0"/>
        <w:overflowPunct w:val="0"/>
        <w:ind w:hanging="1"/>
      </w:pPr>
      <w:r w:rsidRPr="00310B0F">
        <w:t>Všetok nepoužitý liek alebo odpad vzniknutý z lieku sa má zlikvidovať v súlade s národnými</w:t>
      </w:r>
    </w:p>
    <w:p w14:paraId="72DB52EE" w14:textId="77777777" w:rsidR="00450114" w:rsidRDefault="00450114" w:rsidP="00450114">
      <w:pPr>
        <w:pStyle w:val="Zkladntext"/>
        <w:kinsoku w:val="0"/>
        <w:overflowPunct w:val="0"/>
        <w:ind w:hanging="1"/>
      </w:pPr>
      <w:r w:rsidRPr="00310B0F">
        <w:t>požiadavkami.</w:t>
      </w:r>
    </w:p>
    <w:p w14:paraId="63096CA5" w14:textId="77777777" w:rsidR="00450114" w:rsidRDefault="00450114" w:rsidP="00450114">
      <w:pPr>
        <w:pStyle w:val="Zkladntext"/>
        <w:kinsoku w:val="0"/>
        <w:overflowPunct w:val="0"/>
        <w:ind w:hanging="1"/>
      </w:pPr>
    </w:p>
    <w:p w14:paraId="7B99DD44" w14:textId="77777777" w:rsidR="00450114" w:rsidRPr="00310B0F" w:rsidRDefault="00450114" w:rsidP="00450114">
      <w:pPr>
        <w:pStyle w:val="Zkladntext"/>
        <w:kinsoku w:val="0"/>
        <w:overflowPunct w:val="0"/>
        <w:ind w:hanging="1"/>
      </w:pPr>
    </w:p>
    <w:p w14:paraId="58CA660C" w14:textId="77777777" w:rsidR="00450114" w:rsidRPr="00310B0F" w:rsidRDefault="00450114" w:rsidP="00450114">
      <w:pPr>
        <w:pStyle w:val="Nadpis1"/>
        <w:numPr>
          <w:ilvl w:val="0"/>
          <w:numId w:val="12"/>
        </w:numPr>
        <w:tabs>
          <w:tab w:val="left" w:pos="806"/>
        </w:tabs>
        <w:kinsoku w:val="0"/>
        <w:overflowPunct w:val="0"/>
        <w:spacing w:before="0"/>
        <w:ind w:left="0" w:hanging="1"/>
      </w:pPr>
      <w:r w:rsidRPr="00310B0F">
        <w:t>DRŽITEĽ ROZHODNUTIA O</w:t>
      </w:r>
      <w:r w:rsidRPr="00310B0F">
        <w:rPr>
          <w:spacing w:val="-3"/>
        </w:rPr>
        <w:t xml:space="preserve"> </w:t>
      </w:r>
      <w:r w:rsidRPr="00310B0F">
        <w:t>REGISTRÁCII</w:t>
      </w:r>
    </w:p>
    <w:p w14:paraId="67B9CD5F" w14:textId="77777777" w:rsidR="00450114" w:rsidRPr="00310B0F" w:rsidRDefault="00450114" w:rsidP="00450114">
      <w:pPr>
        <w:pStyle w:val="Zkladntext"/>
        <w:kinsoku w:val="0"/>
        <w:overflowPunct w:val="0"/>
        <w:ind w:hanging="1"/>
        <w:rPr>
          <w:b/>
          <w:bCs/>
        </w:rPr>
      </w:pPr>
    </w:p>
    <w:p w14:paraId="5E08AEBF" w14:textId="77777777" w:rsidR="00450114" w:rsidRDefault="00450114" w:rsidP="00450114">
      <w:pPr>
        <w:pStyle w:val="Zkladntext"/>
        <w:kinsoku w:val="0"/>
        <w:overflowPunct w:val="0"/>
        <w:ind w:hanging="1"/>
      </w:pPr>
      <w:r>
        <w:t>STADA Arzneimittel AG</w:t>
      </w:r>
    </w:p>
    <w:p w14:paraId="0E24AB2F" w14:textId="77777777" w:rsidR="00450114" w:rsidRDefault="00450114" w:rsidP="00450114">
      <w:pPr>
        <w:pStyle w:val="Zkladntext"/>
        <w:kinsoku w:val="0"/>
        <w:overflowPunct w:val="0"/>
        <w:ind w:hanging="1"/>
      </w:pPr>
      <w:r>
        <w:t>Stadastrasse 2-18</w:t>
      </w:r>
    </w:p>
    <w:p w14:paraId="2FC7DCBA" w14:textId="77777777" w:rsidR="00450114" w:rsidRDefault="00450114" w:rsidP="00450114">
      <w:pPr>
        <w:pStyle w:val="Zkladntext"/>
        <w:kinsoku w:val="0"/>
        <w:overflowPunct w:val="0"/>
        <w:ind w:hanging="1"/>
      </w:pPr>
      <w:r>
        <w:t>61118 Bad Vilbel</w:t>
      </w:r>
    </w:p>
    <w:p w14:paraId="216B9D52" w14:textId="77777777" w:rsidR="00450114" w:rsidRPr="00310B0F" w:rsidRDefault="00450114" w:rsidP="00450114">
      <w:pPr>
        <w:pStyle w:val="Zkladntext"/>
        <w:kinsoku w:val="0"/>
        <w:overflowPunct w:val="0"/>
        <w:ind w:hanging="1"/>
      </w:pPr>
      <w:r>
        <w:t>Nemecko</w:t>
      </w:r>
    </w:p>
    <w:p w14:paraId="387F0CC9" w14:textId="77777777" w:rsidR="00450114" w:rsidRPr="00310B0F" w:rsidRDefault="00450114" w:rsidP="00450114">
      <w:pPr>
        <w:pStyle w:val="Zkladntext"/>
        <w:kinsoku w:val="0"/>
        <w:overflowPunct w:val="0"/>
        <w:ind w:hanging="1"/>
      </w:pPr>
    </w:p>
    <w:p w14:paraId="7D1A451F" w14:textId="77777777" w:rsidR="00450114" w:rsidRPr="00310B0F" w:rsidRDefault="00450114" w:rsidP="00450114">
      <w:pPr>
        <w:pStyle w:val="Zkladntext"/>
        <w:kinsoku w:val="0"/>
        <w:overflowPunct w:val="0"/>
        <w:ind w:hanging="1"/>
      </w:pPr>
    </w:p>
    <w:p w14:paraId="73DAA8C0" w14:textId="77777777" w:rsidR="00450114" w:rsidRPr="00310B0F" w:rsidRDefault="00450114" w:rsidP="00450114">
      <w:pPr>
        <w:pStyle w:val="Nadpis1"/>
        <w:numPr>
          <w:ilvl w:val="0"/>
          <w:numId w:val="12"/>
        </w:numPr>
        <w:tabs>
          <w:tab w:val="left" w:pos="806"/>
        </w:tabs>
        <w:kinsoku w:val="0"/>
        <w:overflowPunct w:val="0"/>
        <w:spacing w:before="0"/>
        <w:ind w:left="0" w:hanging="1"/>
      </w:pPr>
      <w:r w:rsidRPr="00310B0F">
        <w:t>REGISTRAČNÉ</w:t>
      </w:r>
      <w:r w:rsidRPr="00310B0F">
        <w:rPr>
          <w:spacing w:val="-2"/>
        </w:rPr>
        <w:t xml:space="preserve"> </w:t>
      </w:r>
      <w:r w:rsidRPr="00310B0F">
        <w:t>ČÍSL</w:t>
      </w:r>
      <w:r>
        <w:t>O</w:t>
      </w:r>
    </w:p>
    <w:p w14:paraId="2688BC92" w14:textId="77777777" w:rsidR="00450114" w:rsidRPr="00310B0F" w:rsidRDefault="00450114" w:rsidP="00450114">
      <w:pPr>
        <w:pStyle w:val="Zkladntext"/>
        <w:kinsoku w:val="0"/>
        <w:overflowPunct w:val="0"/>
        <w:ind w:hanging="1"/>
        <w:rPr>
          <w:b/>
          <w:bCs/>
        </w:rPr>
      </w:pPr>
    </w:p>
    <w:p w14:paraId="7A9B75A8" w14:textId="77777777" w:rsidR="006D42C1" w:rsidRDefault="006D42C1" w:rsidP="006D42C1">
      <w:pPr>
        <w:pStyle w:val="Zkladntext"/>
        <w:kinsoku w:val="0"/>
        <w:overflowPunct w:val="0"/>
        <w:ind w:hanging="1"/>
      </w:pPr>
      <w:r w:rsidRPr="007053B0">
        <w:t>59/0223/20-S</w:t>
      </w:r>
    </w:p>
    <w:p w14:paraId="66B6F964" w14:textId="77777777" w:rsidR="00450114" w:rsidRDefault="00450114" w:rsidP="00450114">
      <w:pPr>
        <w:pStyle w:val="Zkladntext"/>
        <w:kinsoku w:val="0"/>
        <w:overflowPunct w:val="0"/>
        <w:ind w:hanging="1"/>
      </w:pPr>
    </w:p>
    <w:p w14:paraId="6B120AD0" w14:textId="77777777" w:rsidR="00400C49" w:rsidRPr="00310B0F" w:rsidRDefault="00400C49" w:rsidP="00450114">
      <w:pPr>
        <w:pStyle w:val="Zkladntext"/>
        <w:kinsoku w:val="0"/>
        <w:overflowPunct w:val="0"/>
        <w:ind w:hanging="1"/>
      </w:pPr>
    </w:p>
    <w:p w14:paraId="148A4EB1" w14:textId="77777777" w:rsidR="00450114" w:rsidRPr="00310B0F" w:rsidRDefault="00450114" w:rsidP="00450114">
      <w:pPr>
        <w:pStyle w:val="Zkladntext"/>
        <w:kinsoku w:val="0"/>
        <w:overflowPunct w:val="0"/>
        <w:ind w:hanging="1"/>
      </w:pPr>
    </w:p>
    <w:p w14:paraId="18F99C38" w14:textId="77777777" w:rsidR="00450114" w:rsidRPr="00310B0F" w:rsidRDefault="00450114" w:rsidP="00450114">
      <w:pPr>
        <w:pStyle w:val="Nadpis1"/>
        <w:numPr>
          <w:ilvl w:val="0"/>
          <w:numId w:val="12"/>
        </w:numPr>
        <w:tabs>
          <w:tab w:val="left" w:pos="806"/>
        </w:tabs>
        <w:kinsoku w:val="0"/>
        <w:overflowPunct w:val="0"/>
        <w:spacing w:before="0"/>
        <w:ind w:left="0" w:hanging="1"/>
      </w:pPr>
      <w:r w:rsidRPr="00310B0F">
        <w:lastRenderedPageBreak/>
        <w:t>DÁTUM PRVEJ REGISTRÁCIE/PREDĹŽENIA REGISTRÁCIE</w:t>
      </w:r>
    </w:p>
    <w:p w14:paraId="3AEAC17F" w14:textId="77777777" w:rsidR="00450114" w:rsidRPr="00310B0F" w:rsidRDefault="00450114" w:rsidP="00450114">
      <w:pPr>
        <w:pStyle w:val="Zkladntext"/>
        <w:kinsoku w:val="0"/>
        <w:overflowPunct w:val="0"/>
        <w:ind w:hanging="1"/>
        <w:rPr>
          <w:b/>
          <w:bCs/>
        </w:rPr>
      </w:pPr>
    </w:p>
    <w:p w14:paraId="5B0E04F8" w14:textId="77777777" w:rsidR="00450114" w:rsidRPr="00310B0F" w:rsidRDefault="00450114" w:rsidP="00450114">
      <w:pPr>
        <w:pStyle w:val="Zkladntext"/>
        <w:kinsoku w:val="0"/>
        <w:overflowPunct w:val="0"/>
        <w:ind w:hanging="1"/>
      </w:pPr>
      <w:r w:rsidRPr="00310B0F">
        <w:t xml:space="preserve">Dátum prvej registrácie: </w:t>
      </w:r>
    </w:p>
    <w:p w14:paraId="43E18425" w14:textId="77777777" w:rsidR="00450114" w:rsidRPr="00310B0F" w:rsidRDefault="00450114" w:rsidP="00450114">
      <w:pPr>
        <w:pStyle w:val="Zkladntext"/>
        <w:kinsoku w:val="0"/>
        <w:overflowPunct w:val="0"/>
        <w:ind w:hanging="1"/>
      </w:pPr>
    </w:p>
    <w:p w14:paraId="3D97686B" w14:textId="77777777" w:rsidR="00450114" w:rsidRPr="00310B0F" w:rsidRDefault="00450114" w:rsidP="00450114">
      <w:pPr>
        <w:pStyle w:val="Zkladntext"/>
        <w:kinsoku w:val="0"/>
        <w:overflowPunct w:val="0"/>
        <w:ind w:hanging="1"/>
      </w:pPr>
    </w:p>
    <w:p w14:paraId="748D96B4" w14:textId="77777777" w:rsidR="00450114" w:rsidRDefault="00450114" w:rsidP="00450114">
      <w:pPr>
        <w:pStyle w:val="Nadpis1"/>
        <w:numPr>
          <w:ilvl w:val="0"/>
          <w:numId w:val="12"/>
        </w:numPr>
        <w:tabs>
          <w:tab w:val="left" w:pos="806"/>
        </w:tabs>
        <w:kinsoku w:val="0"/>
        <w:overflowPunct w:val="0"/>
        <w:spacing w:before="0"/>
        <w:ind w:left="0" w:hanging="1"/>
      </w:pPr>
      <w:r w:rsidRPr="00310B0F">
        <w:t>DÁTUM REVÍZIE</w:t>
      </w:r>
      <w:r w:rsidRPr="00310B0F">
        <w:rPr>
          <w:spacing w:val="-1"/>
        </w:rPr>
        <w:t xml:space="preserve"> </w:t>
      </w:r>
      <w:r w:rsidRPr="00310B0F">
        <w:t>TEXTU</w:t>
      </w:r>
    </w:p>
    <w:p w14:paraId="10D8DFE5" w14:textId="77777777" w:rsidR="00400C49" w:rsidRDefault="00400C49" w:rsidP="00092D58"/>
    <w:p w14:paraId="15D643E1" w14:textId="57F6C2AA" w:rsidR="00400C49" w:rsidRPr="00400C49" w:rsidRDefault="00400C49" w:rsidP="00092D58">
      <w:r>
        <w:t>10/2020</w:t>
      </w:r>
    </w:p>
    <w:p w14:paraId="76DB5C51" w14:textId="77777777" w:rsidR="00450114" w:rsidRPr="00310B0F" w:rsidRDefault="00450114" w:rsidP="00450114">
      <w:pPr>
        <w:pStyle w:val="Zkladntext"/>
        <w:kinsoku w:val="0"/>
        <w:overflowPunct w:val="0"/>
        <w:ind w:hanging="1"/>
        <w:rPr>
          <w:b/>
          <w:bCs/>
        </w:rPr>
      </w:pPr>
    </w:p>
    <w:p w14:paraId="5871830A" w14:textId="77777777" w:rsidR="00113435" w:rsidRDefault="00113435"/>
    <w:sectPr w:rsidR="00113435" w:rsidSect="00092D58">
      <w:headerReference w:type="default" r:id="rId8"/>
      <w:footerReference w:type="default" r:id="rId9"/>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195F" w14:textId="77777777" w:rsidR="00DF0A76" w:rsidRDefault="00DF0A76" w:rsidP="00EA7548">
      <w:r>
        <w:separator/>
      </w:r>
    </w:p>
  </w:endnote>
  <w:endnote w:type="continuationSeparator" w:id="0">
    <w:p w14:paraId="69995B25" w14:textId="77777777" w:rsidR="00DF0A76" w:rsidRDefault="00DF0A76" w:rsidP="00E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97BCA" w14:textId="77777777" w:rsidR="00074127" w:rsidRPr="00310B0F" w:rsidRDefault="00074127">
    <w:pPr>
      <w:pStyle w:val="Pta"/>
      <w:jc w:val="center"/>
      <w:rPr>
        <w:sz w:val="18"/>
        <w:szCs w:val="18"/>
      </w:rPr>
    </w:pPr>
    <w:r w:rsidRPr="00310B0F">
      <w:rPr>
        <w:sz w:val="18"/>
        <w:szCs w:val="18"/>
      </w:rPr>
      <w:fldChar w:fldCharType="begin"/>
    </w:r>
    <w:r w:rsidRPr="00310B0F">
      <w:rPr>
        <w:sz w:val="18"/>
        <w:szCs w:val="18"/>
      </w:rPr>
      <w:instrText>PAGE   \* MERGEFORMAT</w:instrText>
    </w:r>
    <w:r w:rsidRPr="00310B0F">
      <w:rPr>
        <w:sz w:val="18"/>
        <w:szCs w:val="18"/>
      </w:rPr>
      <w:fldChar w:fldCharType="separate"/>
    </w:r>
    <w:r w:rsidR="00092D58" w:rsidRPr="00092D58">
      <w:rPr>
        <w:noProof/>
        <w:sz w:val="18"/>
        <w:szCs w:val="18"/>
        <w:lang w:val="cs-CZ"/>
      </w:rPr>
      <w:t>1</w:t>
    </w:r>
    <w:r w:rsidRPr="00310B0F">
      <w:rPr>
        <w:sz w:val="18"/>
        <w:szCs w:val="18"/>
      </w:rPr>
      <w:fldChar w:fldCharType="end"/>
    </w:r>
  </w:p>
  <w:p w14:paraId="128EA4DD" w14:textId="77777777" w:rsidR="00074127" w:rsidRDefault="00074127">
    <w:pPr>
      <w:pStyle w:val="Zkladntext"/>
      <w:kinsoku w:val="0"/>
      <w:overflowPunct w:val="0"/>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1CF7" w14:textId="77777777" w:rsidR="00DF0A76" w:rsidRDefault="00DF0A76" w:rsidP="00EA7548">
      <w:r>
        <w:separator/>
      </w:r>
    </w:p>
  </w:footnote>
  <w:footnote w:type="continuationSeparator" w:id="0">
    <w:p w14:paraId="2BFEF7A8" w14:textId="77777777" w:rsidR="00DF0A76" w:rsidRDefault="00DF0A76" w:rsidP="00EA7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37396" w14:textId="77777777" w:rsidR="00074127" w:rsidRPr="00310B0F" w:rsidRDefault="00074127">
    <w:pPr>
      <w:pStyle w:val="Hlavika"/>
      <w:rPr>
        <w:sz w:val="18"/>
        <w:szCs w:val="18"/>
      </w:rPr>
    </w:pPr>
    <w:r w:rsidRPr="00310B0F">
      <w:rPr>
        <w:sz w:val="18"/>
        <w:szCs w:val="18"/>
      </w:rPr>
      <w:t xml:space="preserve">Schválený text k rozhodnutiu o registrácii, ev. č.: </w:t>
    </w:r>
    <w:r>
      <w:rPr>
        <w:sz w:val="18"/>
        <w:szCs w:val="18"/>
      </w:rPr>
      <w:t>2019/01736-REG</w:t>
    </w:r>
  </w:p>
  <w:p w14:paraId="3296443E" w14:textId="77777777" w:rsidR="00074127" w:rsidRDefault="0007412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06" w:hanging="568"/>
      </w:pPr>
      <w:rPr>
        <w:rFonts w:ascii="Times New Roman" w:hAnsi="Times New Roman" w:cs="Times New Roman"/>
        <w:b/>
        <w:bCs/>
        <w:w w:val="99"/>
        <w:sz w:val="22"/>
        <w:szCs w:val="22"/>
      </w:rPr>
    </w:lvl>
    <w:lvl w:ilvl="1">
      <w:start w:val="1"/>
      <w:numFmt w:val="decimal"/>
      <w:lvlText w:val="%1.%2"/>
      <w:lvlJc w:val="left"/>
      <w:pPr>
        <w:ind w:left="806" w:hanging="568"/>
      </w:pPr>
      <w:rPr>
        <w:rFonts w:ascii="Times New Roman" w:hAnsi="Times New Roman" w:cs="Times New Roman"/>
        <w:b/>
        <w:bCs/>
        <w:w w:val="99"/>
        <w:sz w:val="22"/>
        <w:szCs w:val="22"/>
      </w:r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 w15:restartNumberingAfterBreak="0">
    <w:nsid w:val="00000403"/>
    <w:multiLevelType w:val="multilevel"/>
    <w:tmpl w:val="00000886"/>
    <w:lvl w:ilvl="0">
      <w:numFmt w:val="bullet"/>
      <w:lvlText w:val="-"/>
      <w:lvlJc w:val="left"/>
      <w:pPr>
        <w:ind w:left="806" w:hanging="568"/>
      </w:pPr>
      <w:rPr>
        <w:rFonts w:ascii="Arial" w:hAnsi="Arial" w:cs="Arial"/>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2" w15:restartNumberingAfterBreak="0">
    <w:nsid w:val="00000404"/>
    <w:multiLevelType w:val="multilevel"/>
    <w:tmpl w:val="00000887"/>
    <w:lvl w:ilvl="0">
      <w:numFmt w:val="bullet"/>
      <w:lvlText w:val="-"/>
      <w:lvlJc w:val="left"/>
      <w:pPr>
        <w:ind w:left="806" w:hanging="568"/>
      </w:pPr>
      <w:rPr>
        <w:rFonts w:ascii="Times New Roman" w:hAnsi="Times New Roman" w:cs="Times New Roman"/>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3" w15:restartNumberingAfterBreak="0">
    <w:nsid w:val="00000405"/>
    <w:multiLevelType w:val="multilevel"/>
    <w:tmpl w:val="00000888"/>
    <w:lvl w:ilvl="0">
      <w:numFmt w:val="bullet"/>
      <w:lvlText w:val=""/>
      <w:lvlJc w:val="left"/>
      <w:pPr>
        <w:ind w:left="806" w:hanging="568"/>
      </w:pPr>
      <w:rPr>
        <w:rFonts w:ascii="Symbol" w:hAnsi="Symbol" w:cs="Symbol"/>
        <w:b w:val="0"/>
        <w:bCs w:val="0"/>
        <w:w w:val="99"/>
        <w:sz w:val="22"/>
        <w:szCs w:val="22"/>
      </w:rPr>
    </w:lvl>
    <w:lvl w:ilvl="1">
      <w:numFmt w:val="bullet"/>
      <w:lvlText w:val="o"/>
      <w:lvlJc w:val="left"/>
      <w:pPr>
        <w:ind w:left="1372" w:hanging="568"/>
      </w:pPr>
      <w:rPr>
        <w:rFonts w:ascii="Courier New" w:hAnsi="Courier New" w:cs="Courier New"/>
        <w:b w:val="0"/>
        <w:bCs w:val="0"/>
        <w:w w:val="99"/>
        <w:sz w:val="22"/>
        <w:szCs w:val="22"/>
      </w:rPr>
    </w:lvl>
    <w:lvl w:ilvl="2">
      <w:numFmt w:val="bullet"/>
      <w:lvlText w:val=""/>
      <w:lvlJc w:val="left"/>
      <w:pPr>
        <w:ind w:left="1940" w:hanging="568"/>
      </w:pPr>
      <w:rPr>
        <w:rFonts w:ascii="Symbol" w:hAnsi="Symbol" w:cs="Symbol"/>
        <w:b w:val="0"/>
        <w:bCs w:val="0"/>
        <w:w w:val="99"/>
        <w:sz w:val="22"/>
        <w:szCs w:val="22"/>
      </w:rPr>
    </w:lvl>
    <w:lvl w:ilvl="3">
      <w:numFmt w:val="bullet"/>
      <w:lvlText w:val="•"/>
      <w:lvlJc w:val="left"/>
      <w:pPr>
        <w:ind w:left="2890" w:hanging="568"/>
      </w:pPr>
    </w:lvl>
    <w:lvl w:ilvl="4">
      <w:numFmt w:val="bullet"/>
      <w:lvlText w:val="•"/>
      <w:lvlJc w:val="left"/>
      <w:pPr>
        <w:ind w:left="3841" w:hanging="568"/>
      </w:pPr>
    </w:lvl>
    <w:lvl w:ilvl="5">
      <w:numFmt w:val="bullet"/>
      <w:lvlText w:val="•"/>
      <w:lvlJc w:val="left"/>
      <w:pPr>
        <w:ind w:left="4792" w:hanging="568"/>
      </w:pPr>
    </w:lvl>
    <w:lvl w:ilvl="6">
      <w:numFmt w:val="bullet"/>
      <w:lvlText w:val="•"/>
      <w:lvlJc w:val="left"/>
      <w:pPr>
        <w:ind w:left="5743" w:hanging="568"/>
      </w:pPr>
    </w:lvl>
    <w:lvl w:ilvl="7">
      <w:numFmt w:val="bullet"/>
      <w:lvlText w:val="•"/>
      <w:lvlJc w:val="left"/>
      <w:pPr>
        <w:ind w:left="6694" w:hanging="568"/>
      </w:pPr>
    </w:lvl>
    <w:lvl w:ilvl="8">
      <w:numFmt w:val="bullet"/>
      <w:lvlText w:val="•"/>
      <w:lvlJc w:val="left"/>
      <w:pPr>
        <w:ind w:left="7645" w:hanging="568"/>
      </w:pPr>
    </w:lvl>
  </w:abstractNum>
  <w:abstractNum w:abstractNumId="4" w15:restartNumberingAfterBreak="0">
    <w:nsid w:val="00000406"/>
    <w:multiLevelType w:val="multilevel"/>
    <w:tmpl w:val="00000889"/>
    <w:lvl w:ilvl="0">
      <w:start w:val="1"/>
      <w:numFmt w:val="upperLetter"/>
      <w:lvlText w:val="%1."/>
      <w:lvlJc w:val="left"/>
      <w:pPr>
        <w:ind w:left="1940" w:hanging="709"/>
      </w:pPr>
      <w:rPr>
        <w:rFonts w:ascii="Times New Roman" w:hAnsi="Times New Roman" w:cs="Times New Roman"/>
        <w:b/>
        <w:bCs/>
        <w:spacing w:val="-1"/>
        <w:w w:val="99"/>
        <w:sz w:val="22"/>
        <w:szCs w:val="22"/>
      </w:rPr>
    </w:lvl>
    <w:lvl w:ilvl="1">
      <w:numFmt w:val="bullet"/>
      <w:lvlText w:val="•"/>
      <w:lvlJc w:val="left"/>
      <w:pPr>
        <w:ind w:left="2700" w:hanging="709"/>
      </w:pPr>
    </w:lvl>
    <w:lvl w:ilvl="2">
      <w:numFmt w:val="bullet"/>
      <w:lvlText w:val="•"/>
      <w:lvlJc w:val="left"/>
      <w:pPr>
        <w:ind w:left="3461" w:hanging="709"/>
      </w:pPr>
    </w:lvl>
    <w:lvl w:ilvl="3">
      <w:numFmt w:val="bullet"/>
      <w:lvlText w:val="•"/>
      <w:lvlJc w:val="left"/>
      <w:pPr>
        <w:ind w:left="4222" w:hanging="709"/>
      </w:pPr>
    </w:lvl>
    <w:lvl w:ilvl="4">
      <w:numFmt w:val="bullet"/>
      <w:lvlText w:val="•"/>
      <w:lvlJc w:val="left"/>
      <w:pPr>
        <w:ind w:left="4983" w:hanging="709"/>
      </w:pPr>
    </w:lvl>
    <w:lvl w:ilvl="5">
      <w:numFmt w:val="bullet"/>
      <w:lvlText w:val="•"/>
      <w:lvlJc w:val="left"/>
      <w:pPr>
        <w:ind w:left="5743" w:hanging="709"/>
      </w:pPr>
    </w:lvl>
    <w:lvl w:ilvl="6">
      <w:numFmt w:val="bullet"/>
      <w:lvlText w:val="•"/>
      <w:lvlJc w:val="left"/>
      <w:pPr>
        <w:ind w:left="6504" w:hanging="709"/>
      </w:pPr>
    </w:lvl>
    <w:lvl w:ilvl="7">
      <w:numFmt w:val="bullet"/>
      <w:lvlText w:val="•"/>
      <w:lvlJc w:val="left"/>
      <w:pPr>
        <w:ind w:left="7265" w:hanging="709"/>
      </w:pPr>
    </w:lvl>
    <w:lvl w:ilvl="8">
      <w:numFmt w:val="bullet"/>
      <w:lvlText w:val="•"/>
      <w:lvlJc w:val="left"/>
      <w:pPr>
        <w:ind w:left="8026" w:hanging="709"/>
      </w:pPr>
    </w:lvl>
  </w:abstractNum>
  <w:abstractNum w:abstractNumId="5" w15:restartNumberingAfterBreak="0">
    <w:nsid w:val="00000407"/>
    <w:multiLevelType w:val="multilevel"/>
    <w:tmpl w:val="0000088A"/>
    <w:lvl w:ilvl="0">
      <w:start w:val="1"/>
      <w:numFmt w:val="upperLetter"/>
      <w:lvlText w:val="%1."/>
      <w:lvlJc w:val="left"/>
      <w:pPr>
        <w:ind w:left="806" w:hanging="568"/>
      </w:pPr>
      <w:rPr>
        <w:rFonts w:ascii="Times New Roman" w:hAnsi="Times New Roman" w:cs="Times New Roman"/>
        <w:b/>
        <w:bCs/>
        <w:spacing w:val="-1"/>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6" w15:restartNumberingAfterBreak="0">
    <w:nsid w:val="00000408"/>
    <w:multiLevelType w:val="multilevel"/>
    <w:tmpl w:val="0000088B"/>
    <w:lvl w:ilvl="0">
      <w:start w:val="1"/>
      <w:numFmt w:val="decimal"/>
      <w:lvlText w:val="%1."/>
      <w:lvlJc w:val="left"/>
      <w:pPr>
        <w:ind w:left="806" w:hanging="568"/>
      </w:pPr>
      <w:rPr>
        <w:rFonts w:ascii="Times New Roman" w:hAnsi="Times New Roman" w:cs="Times New Roman"/>
        <w:b w:val="0"/>
        <w:bCs w:val="0"/>
        <w:w w:val="99"/>
        <w:sz w:val="22"/>
        <w:szCs w:val="22"/>
      </w:rPr>
    </w:lvl>
    <w:lvl w:ilvl="1">
      <w:start w:val="1"/>
      <w:numFmt w:val="lowerLetter"/>
      <w:lvlText w:val="%2."/>
      <w:lvlJc w:val="left"/>
      <w:pPr>
        <w:ind w:left="2488" w:hanging="360"/>
      </w:pPr>
      <w:rPr>
        <w:rFonts w:ascii="Times New Roman" w:hAnsi="Times New Roman" w:cs="Times New Roman"/>
        <w:b w:val="0"/>
        <w:bCs w:val="0"/>
        <w:spacing w:val="-1"/>
        <w:w w:val="99"/>
        <w:sz w:val="22"/>
        <w:szCs w:val="22"/>
      </w:rPr>
    </w:lvl>
    <w:lvl w:ilvl="2">
      <w:numFmt w:val="bullet"/>
      <w:lvlText w:val="•"/>
      <w:lvlJc w:val="left"/>
      <w:pPr>
        <w:ind w:left="3265" w:hanging="360"/>
      </w:pPr>
    </w:lvl>
    <w:lvl w:ilvl="3">
      <w:numFmt w:val="bullet"/>
      <w:lvlText w:val="•"/>
      <w:lvlJc w:val="left"/>
      <w:pPr>
        <w:ind w:left="4050" w:hanging="360"/>
      </w:pPr>
    </w:lvl>
    <w:lvl w:ilvl="4">
      <w:numFmt w:val="bullet"/>
      <w:lvlText w:val="•"/>
      <w:lvlJc w:val="left"/>
      <w:pPr>
        <w:ind w:left="4835" w:hanging="360"/>
      </w:pPr>
    </w:lvl>
    <w:lvl w:ilvl="5">
      <w:numFmt w:val="bullet"/>
      <w:lvlText w:val="•"/>
      <w:lvlJc w:val="left"/>
      <w:pPr>
        <w:ind w:left="5621" w:hanging="360"/>
      </w:pPr>
    </w:lvl>
    <w:lvl w:ilvl="6">
      <w:numFmt w:val="bullet"/>
      <w:lvlText w:val="•"/>
      <w:lvlJc w:val="left"/>
      <w:pPr>
        <w:ind w:left="6406" w:hanging="360"/>
      </w:pPr>
    </w:lvl>
    <w:lvl w:ilvl="7">
      <w:numFmt w:val="bullet"/>
      <w:lvlText w:val="•"/>
      <w:lvlJc w:val="left"/>
      <w:pPr>
        <w:ind w:left="7191" w:hanging="360"/>
      </w:pPr>
    </w:lvl>
    <w:lvl w:ilvl="8">
      <w:numFmt w:val="bullet"/>
      <w:lvlText w:val="•"/>
      <w:lvlJc w:val="left"/>
      <w:pPr>
        <w:ind w:left="7977" w:hanging="360"/>
      </w:pPr>
    </w:lvl>
  </w:abstractNum>
  <w:abstractNum w:abstractNumId="7" w15:restartNumberingAfterBreak="0">
    <w:nsid w:val="00000409"/>
    <w:multiLevelType w:val="multilevel"/>
    <w:tmpl w:val="0000088C"/>
    <w:lvl w:ilvl="0">
      <w:numFmt w:val="bullet"/>
      <w:lvlText w:val="o"/>
      <w:lvlJc w:val="left"/>
      <w:pPr>
        <w:ind w:left="806" w:hanging="568"/>
      </w:pPr>
      <w:rPr>
        <w:rFonts w:ascii="Courier New" w:hAnsi="Courier New" w:cs="Courier New"/>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8" w15:restartNumberingAfterBreak="0">
    <w:nsid w:val="0000040A"/>
    <w:multiLevelType w:val="multilevel"/>
    <w:tmpl w:val="0000088D"/>
    <w:lvl w:ilvl="0">
      <w:start w:val="1"/>
      <w:numFmt w:val="decimal"/>
      <w:lvlText w:val="%1."/>
      <w:lvlJc w:val="left"/>
      <w:pPr>
        <w:ind w:left="1026" w:hanging="221"/>
      </w:pPr>
      <w:rPr>
        <w:rFonts w:ascii="Times New Roman" w:hAnsi="Times New Roman" w:cs="Times New Roman"/>
        <w:b w:val="0"/>
        <w:bCs w:val="0"/>
        <w:w w:val="99"/>
        <w:sz w:val="22"/>
        <w:szCs w:val="22"/>
      </w:rPr>
    </w:lvl>
    <w:lvl w:ilvl="1">
      <w:start w:val="1"/>
      <w:numFmt w:val="upperLetter"/>
      <w:lvlText w:val="%2."/>
      <w:lvlJc w:val="left"/>
      <w:pPr>
        <w:ind w:left="3823" w:hanging="269"/>
      </w:pPr>
      <w:rPr>
        <w:rFonts w:ascii="Times New Roman" w:hAnsi="Times New Roman" w:cs="Times New Roman"/>
        <w:b/>
        <w:bCs/>
        <w:spacing w:val="-1"/>
        <w:w w:val="99"/>
        <w:sz w:val="22"/>
        <w:szCs w:val="22"/>
      </w:rPr>
    </w:lvl>
    <w:lvl w:ilvl="2">
      <w:numFmt w:val="bullet"/>
      <w:lvlText w:val="•"/>
      <w:lvlJc w:val="left"/>
      <w:pPr>
        <w:ind w:left="4456" w:hanging="269"/>
      </w:pPr>
    </w:lvl>
    <w:lvl w:ilvl="3">
      <w:numFmt w:val="bullet"/>
      <w:lvlText w:val="•"/>
      <w:lvlJc w:val="left"/>
      <w:pPr>
        <w:ind w:left="5092" w:hanging="269"/>
      </w:pPr>
    </w:lvl>
    <w:lvl w:ilvl="4">
      <w:numFmt w:val="bullet"/>
      <w:lvlText w:val="•"/>
      <w:lvlJc w:val="left"/>
      <w:pPr>
        <w:ind w:left="5729" w:hanging="269"/>
      </w:pPr>
    </w:lvl>
    <w:lvl w:ilvl="5">
      <w:numFmt w:val="bullet"/>
      <w:lvlText w:val="•"/>
      <w:lvlJc w:val="left"/>
      <w:pPr>
        <w:ind w:left="6365" w:hanging="269"/>
      </w:pPr>
    </w:lvl>
    <w:lvl w:ilvl="6">
      <w:numFmt w:val="bullet"/>
      <w:lvlText w:val="•"/>
      <w:lvlJc w:val="left"/>
      <w:pPr>
        <w:ind w:left="7002" w:hanging="269"/>
      </w:pPr>
    </w:lvl>
    <w:lvl w:ilvl="7">
      <w:numFmt w:val="bullet"/>
      <w:lvlText w:val="•"/>
      <w:lvlJc w:val="left"/>
      <w:pPr>
        <w:ind w:left="7638" w:hanging="269"/>
      </w:pPr>
    </w:lvl>
    <w:lvl w:ilvl="8">
      <w:numFmt w:val="bullet"/>
      <w:lvlText w:val="•"/>
      <w:lvlJc w:val="left"/>
      <w:pPr>
        <w:ind w:left="8274" w:hanging="269"/>
      </w:pPr>
    </w:lvl>
  </w:abstractNum>
  <w:abstractNum w:abstractNumId="9" w15:restartNumberingAfterBreak="0">
    <w:nsid w:val="0000040B"/>
    <w:multiLevelType w:val="multilevel"/>
    <w:tmpl w:val="0000088E"/>
    <w:lvl w:ilvl="0">
      <w:start w:val="1"/>
      <w:numFmt w:val="decimal"/>
      <w:lvlText w:val="%1."/>
      <w:lvlJc w:val="left"/>
      <w:pPr>
        <w:ind w:left="806" w:hanging="568"/>
      </w:pPr>
      <w:rPr>
        <w:rFonts w:ascii="Times New Roman" w:hAnsi="Times New Roman" w:cs="Times New Roman"/>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0" w15:restartNumberingAfterBreak="0">
    <w:nsid w:val="0000040C"/>
    <w:multiLevelType w:val="multilevel"/>
    <w:tmpl w:val="0000088F"/>
    <w:lvl w:ilvl="0">
      <w:start w:val="1"/>
      <w:numFmt w:val="decimal"/>
      <w:lvlText w:val="%1."/>
      <w:lvlJc w:val="left"/>
      <w:pPr>
        <w:ind w:left="238" w:hanging="568"/>
      </w:pPr>
      <w:rPr>
        <w:rFonts w:ascii="Times New Roman" w:hAnsi="Times New Roman" w:cs="Times New Roman"/>
        <w:b/>
        <w:bCs/>
        <w:w w:val="99"/>
        <w:sz w:val="22"/>
        <w:szCs w:val="22"/>
      </w:rPr>
    </w:lvl>
    <w:lvl w:ilvl="1">
      <w:numFmt w:val="bullet"/>
      <w:lvlText w:val="•"/>
      <w:lvlJc w:val="left"/>
      <w:pPr>
        <w:ind w:left="1170" w:hanging="568"/>
      </w:pPr>
    </w:lvl>
    <w:lvl w:ilvl="2">
      <w:numFmt w:val="bullet"/>
      <w:lvlText w:val="•"/>
      <w:lvlJc w:val="left"/>
      <w:pPr>
        <w:ind w:left="2101" w:hanging="568"/>
      </w:pPr>
    </w:lvl>
    <w:lvl w:ilvl="3">
      <w:numFmt w:val="bullet"/>
      <w:lvlText w:val="•"/>
      <w:lvlJc w:val="left"/>
      <w:pPr>
        <w:ind w:left="3032" w:hanging="568"/>
      </w:pPr>
    </w:lvl>
    <w:lvl w:ilvl="4">
      <w:numFmt w:val="bullet"/>
      <w:lvlText w:val="•"/>
      <w:lvlJc w:val="left"/>
      <w:pPr>
        <w:ind w:left="3963" w:hanging="568"/>
      </w:pPr>
    </w:lvl>
    <w:lvl w:ilvl="5">
      <w:numFmt w:val="bullet"/>
      <w:lvlText w:val="•"/>
      <w:lvlJc w:val="left"/>
      <w:pPr>
        <w:ind w:left="4893" w:hanging="568"/>
      </w:pPr>
    </w:lvl>
    <w:lvl w:ilvl="6">
      <w:numFmt w:val="bullet"/>
      <w:lvlText w:val="•"/>
      <w:lvlJc w:val="left"/>
      <w:pPr>
        <w:ind w:left="5824" w:hanging="568"/>
      </w:pPr>
    </w:lvl>
    <w:lvl w:ilvl="7">
      <w:numFmt w:val="bullet"/>
      <w:lvlText w:val="•"/>
      <w:lvlJc w:val="left"/>
      <w:pPr>
        <w:ind w:left="6755" w:hanging="568"/>
      </w:pPr>
    </w:lvl>
    <w:lvl w:ilvl="8">
      <w:numFmt w:val="bullet"/>
      <w:lvlText w:val="•"/>
      <w:lvlJc w:val="left"/>
      <w:pPr>
        <w:ind w:left="7686" w:hanging="568"/>
      </w:pPr>
    </w:lvl>
  </w:abstractNum>
  <w:abstractNum w:abstractNumId="11" w15:restartNumberingAfterBreak="0">
    <w:nsid w:val="0000040D"/>
    <w:multiLevelType w:val="multilevel"/>
    <w:tmpl w:val="00000890"/>
    <w:lvl w:ilvl="0">
      <w:numFmt w:val="bullet"/>
      <w:lvlText w:val="•"/>
      <w:lvlJc w:val="left"/>
      <w:pPr>
        <w:ind w:left="806" w:hanging="568"/>
      </w:pPr>
      <w:rPr>
        <w:rFonts w:ascii="Times New Roman" w:hAnsi="Times New Roman" w:cs="Times New Roman"/>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2" w15:restartNumberingAfterBreak="0">
    <w:nsid w:val="0B817C93"/>
    <w:multiLevelType w:val="hybridMultilevel"/>
    <w:tmpl w:val="EFCAD4F6"/>
    <w:lvl w:ilvl="0" w:tplc="041B0001">
      <w:start w:val="1"/>
      <w:numFmt w:val="bullet"/>
      <w:lvlText w:val=""/>
      <w:lvlJc w:val="left"/>
      <w:pPr>
        <w:ind w:left="719" w:hanging="360"/>
      </w:pPr>
      <w:rPr>
        <w:rFonts w:ascii="Symbol" w:hAnsi="Symbol" w:hint="default"/>
      </w:rPr>
    </w:lvl>
    <w:lvl w:ilvl="1" w:tplc="041B0003" w:tentative="1">
      <w:start w:val="1"/>
      <w:numFmt w:val="bullet"/>
      <w:lvlText w:val="o"/>
      <w:lvlJc w:val="left"/>
      <w:pPr>
        <w:ind w:left="1439" w:hanging="360"/>
      </w:pPr>
      <w:rPr>
        <w:rFonts w:ascii="Courier New" w:hAnsi="Courier New" w:cs="Courier New" w:hint="default"/>
      </w:rPr>
    </w:lvl>
    <w:lvl w:ilvl="2" w:tplc="041B0005" w:tentative="1">
      <w:start w:val="1"/>
      <w:numFmt w:val="bullet"/>
      <w:lvlText w:val=""/>
      <w:lvlJc w:val="left"/>
      <w:pPr>
        <w:ind w:left="2159" w:hanging="360"/>
      </w:pPr>
      <w:rPr>
        <w:rFonts w:ascii="Wingdings" w:hAnsi="Wingdings" w:hint="default"/>
      </w:rPr>
    </w:lvl>
    <w:lvl w:ilvl="3" w:tplc="041B0001" w:tentative="1">
      <w:start w:val="1"/>
      <w:numFmt w:val="bullet"/>
      <w:lvlText w:val=""/>
      <w:lvlJc w:val="left"/>
      <w:pPr>
        <w:ind w:left="2879" w:hanging="360"/>
      </w:pPr>
      <w:rPr>
        <w:rFonts w:ascii="Symbol" w:hAnsi="Symbol" w:hint="default"/>
      </w:rPr>
    </w:lvl>
    <w:lvl w:ilvl="4" w:tplc="041B0003" w:tentative="1">
      <w:start w:val="1"/>
      <w:numFmt w:val="bullet"/>
      <w:lvlText w:val="o"/>
      <w:lvlJc w:val="left"/>
      <w:pPr>
        <w:ind w:left="3599" w:hanging="360"/>
      </w:pPr>
      <w:rPr>
        <w:rFonts w:ascii="Courier New" w:hAnsi="Courier New" w:cs="Courier New" w:hint="default"/>
      </w:rPr>
    </w:lvl>
    <w:lvl w:ilvl="5" w:tplc="041B0005" w:tentative="1">
      <w:start w:val="1"/>
      <w:numFmt w:val="bullet"/>
      <w:lvlText w:val=""/>
      <w:lvlJc w:val="left"/>
      <w:pPr>
        <w:ind w:left="4319" w:hanging="360"/>
      </w:pPr>
      <w:rPr>
        <w:rFonts w:ascii="Wingdings" w:hAnsi="Wingdings" w:hint="default"/>
      </w:rPr>
    </w:lvl>
    <w:lvl w:ilvl="6" w:tplc="041B0001" w:tentative="1">
      <w:start w:val="1"/>
      <w:numFmt w:val="bullet"/>
      <w:lvlText w:val=""/>
      <w:lvlJc w:val="left"/>
      <w:pPr>
        <w:ind w:left="5039" w:hanging="360"/>
      </w:pPr>
      <w:rPr>
        <w:rFonts w:ascii="Symbol" w:hAnsi="Symbol" w:hint="default"/>
      </w:rPr>
    </w:lvl>
    <w:lvl w:ilvl="7" w:tplc="041B0003" w:tentative="1">
      <w:start w:val="1"/>
      <w:numFmt w:val="bullet"/>
      <w:lvlText w:val="o"/>
      <w:lvlJc w:val="left"/>
      <w:pPr>
        <w:ind w:left="5759" w:hanging="360"/>
      </w:pPr>
      <w:rPr>
        <w:rFonts w:ascii="Courier New" w:hAnsi="Courier New" w:cs="Courier New" w:hint="default"/>
      </w:rPr>
    </w:lvl>
    <w:lvl w:ilvl="8" w:tplc="041B0005" w:tentative="1">
      <w:start w:val="1"/>
      <w:numFmt w:val="bullet"/>
      <w:lvlText w:val=""/>
      <w:lvlJc w:val="left"/>
      <w:pPr>
        <w:ind w:left="6479" w:hanging="360"/>
      </w:pPr>
      <w:rPr>
        <w:rFonts w:ascii="Wingdings" w:hAnsi="Wingdings" w:hint="default"/>
      </w:rPr>
    </w:lvl>
  </w:abstractNum>
  <w:abstractNum w:abstractNumId="13" w15:restartNumberingAfterBreak="0">
    <w:nsid w:val="20743425"/>
    <w:multiLevelType w:val="hybridMultilevel"/>
    <w:tmpl w:val="59ACA770"/>
    <w:lvl w:ilvl="0" w:tplc="041B0001">
      <w:start w:val="1"/>
      <w:numFmt w:val="bullet"/>
      <w:lvlText w:val=""/>
      <w:lvlJc w:val="left"/>
      <w:pPr>
        <w:ind w:left="719" w:hanging="360"/>
      </w:pPr>
      <w:rPr>
        <w:rFonts w:ascii="Symbol" w:hAnsi="Symbol" w:hint="default"/>
      </w:rPr>
    </w:lvl>
    <w:lvl w:ilvl="1" w:tplc="041B0003" w:tentative="1">
      <w:start w:val="1"/>
      <w:numFmt w:val="bullet"/>
      <w:lvlText w:val="o"/>
      <w:lvlJc w:val="left"/>
      <w:pPr>
        <w:ind w:left="1439" w:hanging="360"/>
      </w:pPr>
      <w:rPr>
        <w:rFonts w:ascii="Courier New" w:hAnsi="Courier New" w:cs="Courier New" w:hint="default"/>
      </w:rPr>
    </w:lvl>
    <w:lvl w:ilvl="2" w:tplc="041B0005" w:tentative="1">
      <w:start w:val="1"/>
      <w:numFmt w:val="bullet"/>
      <w:lvlText w:val=""/>
      <w:lvlJc w:val="left"/>
      <w:pPr>
        <w:ind w:left="2159" w:hanging="360"/>
      </w:pPr>
      <w:rPr>
        <w:rFonts w:ascii="Wingdings" w:hAnsi="Wingdings" w:hint="default"/>
      </w:rPr>
    </w:lvl>
    <w:lvl w:ilvl="3" w:tplc="041B0001" w:tentative="1">
      <w:start w:val="1"/>
      <w:numFmt w:val="bullet"/>
      <w:lvlText w:val=""/>
      <w:lvlJc w:val="left"/>
      <w:pPr>
        <w:ind w:left="2879" w:hanging="360"/>
      </w:pPr>
      <w:rPr>
        <w:rFonts w:ascii="Symbol" w:hAnsi="Symbol" w:hint="default"/>
      </w:rPr>
    </w:lvl>
    <w:lvl w:ilvl="4" w:tplc="041B0003" w:tentative="1">
      <w:start w:val="1"/>
      <w:numFmt w:val="bullet"/>
      <w:lvlText w:val="o"/>
      <w:lvlJc w:val="left"/>
      <w:pPr>
        <w:ind w:left="3599" w:hanging="360"/>
      </w:pPr>
      <w:rPr>
        <w:rFonts w:ascii="Courier New" w:hAnsi="Courier New" w:cs="Courier New" w:hint="default"/>
      </w:rPr>
    </w:lvl>
    <w:lvl w:ilvl="5" w:tplc="041B0005" w:tentative="1">
      <w:start w:val="1"/>
      <w:numFmt w:val="bullet"/>
      <w:lvlText w:val=""/>
      <w:lvlJc w:val="left"/>
      <w:pPr>
        <w:ind w:left="4319" w:hanging="360"/>
      </w:pPr>
      <w:rPr>
        <w:rFonts w:ascii="Wingdings" w:hAnsi="Wingdings" w:hint="default"/>
      </w:rPr>
    </w:lvl>
    <w:lvl w:ilvl="6" w:tplc="041B0001" w:tentative="1">
      <w:start w:val="1"/>
      <w:numFmt w:val="bullet"/>
      <w:lvlText w:val=""/>
      <w:lvlJc w:val="left"/>
      <w:pPr>
        <w:ind w:left="5039" w:hanging="360"/>
      </w:pPr>
      <w:rPr>
        <w:rFonts w:ascii="Symbol" w:hAnsi="Symbol" w:hint="default"/>
      </w:rPr>
    </w:lvl>
    <w:lvl w:ilvl="7" w:tplc="041B0003" w:tentative="1">
      <w:start w:val="1"/>
      <w:numFmt w:val="bullet"/>
      <w:lvlText w:val="o"/>
      <w:lvlJc w:val="left"/>
      <w:pPr>
        <w:ind w:left="5759" w:hanging="360"/>
      </w:pPr>
      <w:rPr>
        <w:rFonts w:ascii="Courier New" w:hAnsi="Courier New" w:cs="Courier New" w:hint="default"/>
      </w:rPr>
    </w:lvl>
    <w:lvl w:ilvl="8" w:tplc="041B0005" w:tentative="1">
      <w:start w:val="1"/>
      <w:numFmt w:val="bullet"/>
      <w:lvlText w:val=""/>
      <w:lvlJc w:val="left"/>
      <w:pPr>
        <w:ind w:left="6479" w:hanging="360"/>
      </w:pPr>
      <w:rPr>
        <w:rFonts w:ascii="Wingdings" w:hAnsi="Wingdings" w:hint="default"/>
      </w:rPr>
    </w:lvl>
  </w:abstractNum>
  <w:abstractNum w:abstractNumId="14" w15:restartNumberingAfterBreak="0">
    <w:nsid w:val="35BD5357"/>
    <w:multiLevelType w:val="hybridMultilevel"/>
    <w:tmpl w:val="EBFE0918"/>
    <w:lvl w:ilvl="0" w:tplc="041B0001">
      <w:start w:val="1"/>
      <w:numFmt w:val="bullet"/>
      <w:lvlText w:val=""/>
      <w:lvlJc w:val="left"/>
      <w:pPr>
        <w:ind w:left="719" w:hanging="360"/>
      </w:pPr>
      <w:rPr>
        <w:rFonts w:ascii="Symbol" w:hAnsi="Symbol" w:hint="default"/>
      </w:rPr>
    </w:lvl>
    <w:lvl w:ilvl="1" w:tplc="041B0003" w:tentative="1">
      <w:start w:val="1"/>
      <w:numFmt w:val="bullet"/>
      <w:lvlText w:val="o"/>
      <w:lvlJc w:val="left"/>
      <w:pPr>
        <w:ind w:left="1439" w:hanging="360"/>
      </w:pPr>
      <w:rPr>
        <w:rFonts w:ascii="Courier New" w:hAnsi="Courier New" w:cs="Courier New" w:hint="default"/>
      </w:rPr>
    </w:lvl>
    <w:lvl w:ilvl="2" w:tplc="041B0005" w:tentative="1">
      <w:start w:val="1"/>
      <w:numFmt w:val="bullet"/>
      <w:lvlText w:val=""/>
      <w:lvlJc w:val="left"/>
      <w:pPr>
        <w:ind w:left="2159" w:hanging="360"/>
      </w:pPr>
      <w:rPr>
        <w:rFonts w:ascii="Wingdings" w:hAnsi="Wingdings" w:hint="default"/>
      </w:rPr>
    </w:lvl>
    <w:lvl w:ilvl="3" w:tplc="041B0001" w:tentative="1">
      <w:start w:val="1"/>
      <w:numFmt w:val="bullet"/>
      <w:lvlText w:val=""/>
      <w:lvlJc w:val="left"/>
      <w:pPr>
        <w:ind w:left="2879" w:hanging="360"/>
      </w:pPr>
      <w:rPr>
        <w:rFonts w:ascii="Symbol" w:hAnsi="Symbol" w:hint="default"/>
      </w:rPr>
    </w:lvl>
    <w:lvl w:ilvl="4" w:tplc="041B0003" w:tentative="1">
      <w:start w:val="1"/>
      <w:numFmt w:val="bullet"/>
      <w:lvlText w:val="o"/>
      <w:lvlJc w:val="left"/>
      <w:pPr>
        <w:ind w:left="3599" w:hanging="360"/>
      </w:pPr>
      <w:rPr>
        <w:rFonts w:ascii="Courier New" w:hAnsi="Courier New" w:cs="Courier New" w:hint="default"/>
      </w:rPr>
    </w:lvl>
    <w:lvl w:ilvl="5" w:tplc="041B0005" w:tentative="1">
      <w:start w:val="1"/>
      <w:numFmt w:val="bullet"/>
      <w:lvlText w:val=""/>
      <w:lvlJc w:val="left"/>
      <w:pPr>
        <w:ind w:left="4319" w:hanging="360"/>
      </w:pPr>
      <w:rPr>
        <w:rFonts w:ascii="Wingdings" w:hAnsi="Wingdings" w:hint="default"/>
      </w:rPr>
    </w:lvl>
    <w:lvl w:ilvl="6" w:tplc="041B0001" w:tentative="1">
      <w:start w:val="1"/>
      <w:numFmt w:val="bullet"/>
      <w:lvlText w:val=""/>
      <w:lvlJc w:val="left"/>
      <w:pPr>
        <w:ind w:left="5039" w:hanging="360"/>
      </w:pPr>
      <w:rPr>
        <w:rFonts w:ascii="Symbol" w:hAnsi="Symbol" w:hint="default"/>
      </w:rPr>
    </w:lvl>
    <w:lvl w:ilvl="7" w:tplc="041B0003" w:tentative="1">
      <w:start w:val="1"/>
      <w:numFmt w:val="bullet"/>
      <w:lvlText w:val="o"/>
      <w:lvlJc w:val="left"/>
      <w:pPr>
        <w:ind w:left="5759" w:hanging="360"/>
      </w:pPr>
      <w:rPr>
        <w:rFonts w:ascii="Courier New" w:hAnsi="Courier New" w:cs="Courier New" w:hint="default"/>
      </w:rPr>
    </w:lvl>
    <w:lvl w:ilvl="8" w:tplc="041B0005" w:tentative="1">
      <w:start w:val="1"/>
      <w:numFmt w:val="bullet"/>
      <w:lvlText w:val=""/>
      <w:lvlJc w:val="left"/>
      <w:pPr>
        <w:ind w:left="6479" w:hanging="360"/>
      </w:pPr>
      <w:rPr>
        <w:rFonts w:ascii="Wingdings" w:hAnsi="Wingdings" w:hint="default"/>
      </w:rPr>
    </w:lvl>
  </w:abstractNum>
  <w:abstractNum w:abstractNumId="15" w15:restartNumberingAfterBreak="0">
    <w:nsid w:val="37F1510B"/>
    <w:multiLevelType w:val="hybridMultilevel"/>
    <w:tmpl w:val="91665930"/>
    <w:lvl w:ilvl="0" w:tplc="041B0001">
      <w:start w:val="1"/>
      <w:numFmt w:val="bullet"/>
      <w:lvlText w:val=""/>
      <w:lvlJc w:val="left"/>
      <w:pPr>
        <w:ind w:left="719" w:hanging="360"/>
      </w:pPr>
      <w:rPr>
        <w:rFonts w:ascii="Symbol" w:hAnsi="Symbol" w:hint="default"/>
      </w:rPr>
    </w:lvl>
    <w:lvl w:ilvl="1" w:tplc="041B0003" w:tentative="1">
      <w:start w:val="1"/>
      <w:numFmt w:val="bullet"/>
      <w:lvlText w:val="o"/>
      <w:lvlJc w:val="left"/>
      <w:pPr>
        <w:ind w:left="1439" w:hanging="360"/>
      </w:pPr>
      <w:rPr>
        <w:rFonts w:ascii="Courier New" w:hAnsi="Courier New" w:cs="Courier New" w:hint="default"/>
      </w:rPr>
    </w:lvl>
    <w:lvl w:ilvl="2" w:tplc="041B0005" w:tentative="1">
      <w:start w:val="1"/>
      <w:numFmt w:val="bullet"/>
      <w:lvlText w:val=""/>
      <w:lvlJc w:val="left"/>
      <w:pPr>
        <w:ind w:left="2159" w:hanging="360"/>
      </w:pPr>
      <w:rPr>
        <w:rFonts w:ascii="Wingdings" w:hAnsi="Wingdings" w:hint="default"/>
      </w:rPr>
    </w:lvl>
    <w:lvl w:ilvl="3" w:tplc="041B0001" w:tentative="1">
      <w:start w:val="1"/>
      <w:numFmt w:val="bullet"/>
      <w:lvlText w:val=""/>
      <w:lvlJc w:val="left"/>
      <w:pPr>
        <w:ind w:left="2879" w:hanging="360"/>
      </w:pPr>
      <w:rPr>
        <w:rFonts w:ascii="Symbol" w:hAnsi="Symbol" w:hint="default"/>
      </w:rPr>
    </w:lvl>
    <w:lvl w:ilvl="4" w:tplc="041B0003" w:tentative="1">
      <w:start w:val="1"/>
      <w:numFmt w:val="bullet"/>
      <w:lvlText w:val="o"/>
      <w:lvlJc w:val="left"/>
      <w:pPr>
        <w:ind w:left="3599" w:hanging="360"/>
      </w:pPr>
      <w:rPr>
        <w:rFonts w:ascii="Courier New" w:hAnsi="Courier New" w:cs="Courier New" w:hint="default"/>
      </w:rPr>
    </w:lvl>
    <w:lvl w:ilvl="5" w:tplc="041B0005" w:tentative="1">
      <w:start w:val="1"/>
      <w:numFmt w:val="bullet"/>
      <w:lvlText w:val=""/>
      <w:lvlJc w:val="left"/>
      <w:pPr>
        <w:ind w:left="4319" w:hanging="360"/>
      </w:pPr>
      <w:rPr>
        <w:rFonts w:ascii="Wingdings" w:hAnsi="Wingdings" w:hint="default"/>
      </w:rPr>
    </w:lvl>
    <w:lvl w:ilvl="6" w:tplc="041B0001" w:tentative="1">
      <w:start w:val="1"/>
      <w:numFmt w:val="bullet"/>
      <w:lvlText w:val=""/>
      <w:lvlJc w:val="left"/>
      <w:pPr>
        <w:ind w:left="5039" w:hanging="360"/>
      </w:pPr>
      <w:rPr>
        <w:rFonts w:ascii="Symbol" w:hAnsi="Symbol" w:hint="default"/>
      </w:rPr>
    </w:lvl>
    <w:lvl w:ilvl="7" w:tplc="041B0003" w:tentative="1">
      <w:start w:val="1"/>
      <w:numFmt w:val="bullet"/>
      <w:lvlText w:val="o"/>
      <w:lvlJc w:val="left"/>
      <w:pPr>
        <w:ind w:left="5759" w:hanging="360"/>
      </w:pPr>
      <w:rPr>
        <w:rFonts w:ascii="Courier New" w:hAnsi="Courier New" w:cs="Courier New" w:hint="default"/>
      </w:rPr>
    </w:lvl>
    <w:lvl w:ilvl="8" w:tplc="041B0005" w:tentative="1">
      <w:start w:val="1"/>
      <w:numFmt w:val="bullet"/>
      <w:lvlText w:val=""/>
      <w:lvlJc w:val="left"/>
      <w:pPr>
        <w:ind w:left="6479" w:hanging="360"/>
      </w:pPr>
      <w:rPr>
        <w:rFonts w:ascii="Wingdings" w:hAnsi="Wingdings" w:hint="default"/>
      </w:rPr>
    </w:lvl>
  </w:abstractNum>
  <w:abstractNum w:abstractNumId="16" w15:restartNumberingAfterBreak="0">
    <w:nsid w:val="756A32CD"/>
    <w:multiLevelType w:val="multilevel"/>
    <w:tmpl w:val="200AA7C8"/>
    <w:lvl w:ilvl="0">
      <w:start w:val="1"/>
      <w:numFmt w:val="bullet"/>
      <w:lvlText w:val=""/>
      <w:lvlJc w:val="left"/>
      <w:pPr>
        <w:ind w:left="806" w:hanging="568"/>
      </w:pPr>
      <w:rPr>
        <w:rFonts w:ascii="Symbol" w:hAnsi="Symbol" w:hint="default"/>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7" w15:restartNumberingAfterBreak="0">
    <w:nsid w:val="785A5C7E"/>
    <w:multiLevelType w:val="multilevel"/>
    <w:tmpl w:val="23F03978"/>
    <w:lvl w:ilvl="0">
      <w:start w:val="1"/>
      <w:numFmt w:val="bullet"/>
      <w:lvlText w:val=""/>
      <w:lvlJc w:val="left"/>
      <w:pPr>
        <w:ind w:left="806" w:hanging="568"/>
      </w:pPr>
      <w:rPr>
        <w:rFonts w:ascii="Symbol" w:hAnsi="Symbol" w:hint="default"/>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8" w15:restartNumberingAfterBreak="0">
    <w:nsid w:val="7891225E"/>
    <w:multiLevelType w:val="multilevel"/>
    <w:tmpl w:val="200AA7C8"/>
    <w:lvl w:ilvl="0">
      <w:start w:val="1"/>
      <w:numFmt w:val="bullet"/>
      <w:lvlText w:val=""/>
      <w:lvlJc w:val="left"/>
      <w:pPr>
        <w:ind w:left="806" w:hanging="568"/>
      </w:pPr>
      <w:rPr>
        <w:rFonts w:ascii="Symbol" w:hAnsi="Symbol" w:hint="default"/>
        <w:b w:val="0"/>
        <w:bCs w:val="0"/>
        <w:w w:val="99"/>
        <w:sz w:val="22"/>
        <w:szCs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8"/>
  </w:num>
  <w:num w:numId="15">
    <w:abstractNumId w:val="17"/>
  </w:num>
  <w:num w:numId="16">
    <w:abstractNumId w:val="14"/>
  </w:num>
  <w:num w:numId="17">
    <w:abstractNumId w:val="15"/>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14"/>
    <w:rsid w:val="00062A93"/>
    <w:rsid w:val="00063F9C"/>
    <w:rsid w:val="00074127"/>
    <w:rsid w:val="00092D58"/>
    <w:rsid w:val="00113435"/>
    <w:rsid w:val="001217A3"/>
    <w:rsid w:val="00253F97"/>
    <w:rsid w:val="00273357"/>
    <w:rsid w:val="0029041E"/>
    <w:rsid w:val="002E2907"/>
    <w:rsid w:val="003E299D"/>
    <w:rsid w:val="00400C49"/>
    <w:rsid w:val="004168DE"/>
    <w:rsid w:val="00447422"/>
    <w:rsid w:val="00450114"/>
    <w:rsid w:val="004A295F"/>
    <w:rsid w:val="004C1BF6"/>
    <w:rsid w:val="004D5019"/>
    <w:rsid w:val="005B44CD"/>
    <w:rsid w:val="005C310B"/>
    <w:rsid w:val="00627716"/>
    <w:rsid w:val="006C7A26"/>
    <w:rsid w:val="006D42C1"/>
    <w:rsid w:val="00743BC4"/>
    <w:rsid w:val="00810F31"/>
    <w:rsid w:val="00853B61"/>
    <w:rsid w:val="00893CAB"/>
    <w:rsid w:val="008D1889"/>
    <w:rsid w:val="008E79CF"/>
    <w:rsid w:val="008F12CE"/>
    <w:rsid w:val="009E2F20"/>
    <w:rsid w:val="00A10261"/>
    <w:rsid w:val="00A66833"/>
    <w:rsid w:val="00B05F08"/>
    <w:rsid w:val="00B14B80"/>
    <w:rsid w:val="00B832C6"/>
    <w:rsid w:val="00BC75B7"/>
    <w:rsid w:val="00BF566A"/>
    <w:rsid w:val="00D171C3"/>
    <w:rsid w:val="00D20260"/>
    <w:rsid w:val="00DF0A76"/>
    <w:rsid w:val="00EA7548"/>
    <w:rsid w:val="00EF75C5"/>
    <w:rsid w:val="00FD04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6C9A"/>
  <w15:docId w15:val="{2022340D-EB8E-4050-B261-CC12BA76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450114"/>
    <w:pPr>
      <w:widowControl w:val="0"/>
      <w:autoSpaceDE w:val="0"/>
      <w:autoSpaceDN w:val="0"/>
      <w:adjustRightInd w:val="0"/>
      <w:spacing w:after="0" w:line="240" w:lineRule="auto"/>
    </w:pPr>
    <w:rPr>
      <w:rFonts w:ascii="Times New Roman" w:eastAsia="Times New Roman" w:hAnsi="Times New Roman" w:cs="Times New Roman"/>
      <w:lang w:eastAsia="sk-SK"/>
    </w:rPr>
  </w:style>
  <w:style w:type="paragraph" w:styleId="Nadpis1">
    <w:name w:val="heading 1"/>
    <w:basedOn w:val="Normlny"/>
    <w:next w:val="Normlny"/>
    <w:link w:val="Nadpis1Char"/>
    <w:uiPriority w:val="1"/>
    <w:qFormat/>
    <w:rsid w:val="00450114"/>
    <w:pPr>
      <w:spacing w:before="21"/>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450114"/>
    <w:rPr>
      <w:rFonts w:ascii="Times New Roman" w:eastAsia="Times New Roman" w:hAnsi="Times New Roman" w:cs="Times New Roman"/>
      <w:b/>
      <w:bCs/>
      <w:lang w:eastAsia="sk-SK"/>
    </w:rPr>
  </w:style>
  <w:style w:type="paragraph" w:styleId="Zkladntext">
    <w:name w:val="Body Text"/>
    <w:basedOn w:val="Normlny"/>
    <w:link w:val="ZkladntextChar"/>
    <w:uiPriority w:val="1"/>
    <w:qFormat/>
    <w:rsid w:val="00450114"/>
  </w:style>
  <w:style w:type="character" w:customStyle="1" w:styleId="ZkladntextChar">
    <w:name w:val="Základný text Char"/>
    <w:basedOn w:val="Predvolenpsmoodseku"/>
    <w:link w:val="Zkladntext"/>
    <w:uiPriority w:val="1"/>
    <w:rsid w:val="00450114"/>
    <w:rPr>
      <w:rFonts w:ascii="Times New Roman" w:eastAsia="Times New Roman" w:hAnsi="Times New Roman" w:cs="Times New Roman"/>
      <w:lang w:eastAsia="sk-SK"/>
    </w:rPr>
  </w:style>
  <w:style w:type="paragraph" w:styleId="Odsekzoznamu">
    <w:name w:val="List Paragraph"/>
    <w:basedOn w:val="Normlny"/>
    <w:uiPriority w:val="1"/>
    <w:qFormat/>
    <w:rsid w:val="00450114"/>
    <w:pPr>
      <w:ind w:left="806" w:hanging="568"/>
    </w:pPr>
    <w:rPr>
      <w:sz w:val="24"/>
      <w:szCs w:val="24"/>
    </w:rPr>
  </w:style>
  <w:style w:type="paragraph" w:customStyle="1" w:styleId="TableParagraph">
    <w:name w:val="Table Paragraph"/>
    <w:basedOn w:val="Normlny"/>
    <w:uiPriority w:val="1"/>
    <w:qFormat/>
    <w:rsid w:val="00450114"/>
    <w:pPr>
      <w:ind w:left="107"/>
    </w:pPr>
    <w:rPr>
      <w:sz w:val="24"/>
      <w:szCs w:val="24"/>
    </w:rPr>
  </w:style>
  <w:style w:type="paragraph" w:styleId="Hlavika">
    <w:name w:val="header"/>
    <w:basedOn w:val="Normlny"/>
    <w:link w:val="HlavikaChar"/>
    <w:uiPriority w:val="99"/>
    <w:unhideWhenUsed/>
    <w:rsid w:val="00450114"/>
    <w:pPr>
      <w:tabs>
        <w:tab w:val="center" w:pos="4536"/>
        <w:tab w:val="right" w:pos="9072"/>
      </w:tabs>
    </w:pPr>
  </w:style>
  <w:style w:type="character" w:customStyle="1" w:styleId="HlavikaChar">
    <w:name w:val="Hlavička Char"/>
    <w:basedOn w:val="Predvolenpsmoodseku"/>
    <w:link w:val="Hlavika"/>
    <w:uiPriority w:val="99"/>
    <w:rsid w:val="00450114"/>
    <w:rPr>
      <w:rFonts w:ascii="Times New Roman" w:eastAsia="Times New Roman" w:hAnsi="Times New Roman" w:cs="Times New Roman"/>
      <w:lang w:eastAsia="sk-SK"/>
    </w:rPr>
  </w:style>
  <w:style w:type="paragraph" w:styleId="Pta">
    <w:name w:val="footer"/>
    <w:basedOn w:val="Normlny"/>
    <w:link w:val="PtaChar"/>
    <w:uiPriority w:val="99"/>
    <w:unhideWhenUsed/>
    <w:rsid w:val="00450114"/>
    <w:pPr>
      <w:tabs>
        <w:tab w:val="center" w:pos="4536"/>
        <w:tab w:val="right" w:pos="9072"/>
      </w:tabs>
    </w:pPr>
  </w:style>
  <w:style w:type="character" w:customStyle="1" w:styleId="PtaChar">
    <w:name w:val="Päta Char"/>
    <w:basedOn w:val="Predvolenpsmoodseku"/>
    <w:link w:val="Pta"/>
    <w:uiPriority w:val="99"/>
    <w:rsid w:val="00450114"/>
    <w:rPr>
      <w:rFonts w:ascii="Times New Roman" w:eastAsia="Times New Roman" w:hAnsi="Times New Roman" w:cs="Times New Roman"/>
      <w:lang w:eastAsia="sk-SK"/>
    </w:rPr>
  </w:style>
  <w:style w:type="paragraph" w:customStyle="1" w:styleId="Default">
    <w:name w:val="Default"/>
    <w:rsid w:val="0045011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Siln">
    <w:name w:val="Strong"/>
    <w:aliases w:val="Fließtext (2) + 9 pt"/>
    <w:uiPriority w:val="22"/>
    <w:qFormat/>
    <w:rsid w:val="00450114"/>
    <w:rPr>
      <w:b/>
      <w:bCs/>
    </w:rPr>
  </w:style>
  <w:style w:type="paragraph" w:styleId="Textbubliny">
    <w:name w:val="Balloon Text"/>
    <w:basedOn w:val="Normlny"/>
    <w:link w:val="TextbublinyChar"/>
    <w:uiPriority w:val="99"/>
    <w:semiHidden/>
    <w:unhideWhenUsed/>
    <w:rsid w:val="00D171C3"/>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71C3"/>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47422"/>
    <w:rPr>
      <w:sz w:val="16"/>
      <w:szCs w:val="16"/>
    </w:rPr>
  </w:style>
  <w:style w:type="paragraph" w:styleId="Textkomentra">
    <w:name w:val="annotation text"/>
    <w:basedOn w:val="Normlny"/>
    <w:link w:val="TextkomentraChar"/>
    <w:uiPriority w:val="99"/>
    <w:semiHidden/>
    <w:unhideWhenUsed/>
    <w:rsid w:val="00447422"/>
    <w:rPr>
      <w:sz w:val="20"/>
      <w:szCs w:val="20"/>
    </w:rPr>
  </w:style>
  <w:style w:type="character" w:customStyle="1" w:styleId="TextkomentraChar">
    <w:name w:val="Text komentára Char"/>
    <w:basedOn w:val="Predvolenpsmoodseku"/>
    <w:link w:val="Textkomentra"/>
    <w:uiPriority w:val="99"/>
    <w:semiHidden/>
    <w:rsid w:val="004474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47422"/>
    <w:rPr>
      <w:b/>
      <w:bCs/>
    </w:rPr>
  </w:style>
  <w:style w:type="character" w:customStyle="1" w:styleId="PredmetkomentraChar">
    <w:name w:val="Predmet komentára Char"/>
    <w:basedOn w:val="TextkomentraChar"/>
    <w:link w:val="Predmetkomentra"/>
    <w:uiPriority w:val="99"/>
    <w:semiHidden/>
    <w:rsid w:val="0044742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11192</Words>
  <Characters>63797</Characters>
  <Application>Microsoft Office Word</Application>
  <DocSecurity>0</DocSecurity>
  <Lines>531</Lines>
  <Paragraphs>149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Regpharm Slovakia</dc:creator>
  <cp:lastModifiedBy>Kristína Ráczová</cp:lastModifiedBy>
  <cp:revision>5</cp:revision>
  <cp:lastPrinted>2020-10-07T14:11:00Z</cp:lastPrinted>
  <dcterms:created xsi:type="dcterms:W3CDTF">2020-10-07T14:45:00Z</dcterms:created>
  <dcterms:modified xsi:type="dcterms:W3CDTF">2020-10-19T12:17:00Z</dcterms:modified>
</cp:coreProperties>
</file>