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9322A7" w14:textId="77777777" w:rsidR="00780926" w:rsidRPr="005C44A1" w:rsidRDefault="0067565E" w:rsidP="005C44A1">
      <w:pPr>
        <w:jc w:val="center"/>
        <w:rPr>
          <w:b/>
          <w:szCs w:val="22"/>
        </w:rPr>
      </w:pPr>
      <w:bookmarkStart w:id="0" w:name="_GoBack"/>
      <w:bookmarkEnd w:id="0"/>
      <w:r w:rsidRPr="005C44A1">
        <w:rPr>
          <w:b/>
          <w:szCs w:val="22"/>
        </w:rPr>
        <w:t>SÚHRN CHARAKTERISTICKÝCH VLASTNOSTÍ LIEKU</w:t>
      </w:r>
    </w:p>
    <w:p w14:paraId="3B9322A8" w14:textId="77777777" w:rsidR="00B06E24" w:rsidRPr="005C44A1" w:rsidRDefault="00B06E24" w:rsidP="005C44A1">
      <w:pPr>
        <w:rPr>
          <w:szCs w:val="22"/>
        </w:rPr>
      </w:pPr>
    </w:p>
    <w:p w14:paraId="3B9322A9" w14:textId="77777777" w:rsidR="00B06E24" w:rsidRPr="005C44A1" w:rsidRDefault="00B06E24" w:rsidP="005C44A1">
      <w:pPr>
        <w:rPr>
          <w:szCs w:val="22"/>
        </w:rPr>
      </w:pPr>
    </w:p>
    <w:p w14:paraId="3B9322AA" w14:textId="77777777" w:rsidR="00780926" w:rsidRPr="005C44A1" w:rsidRDefault="0067565E" w:rsidP="005C44A1">
      <w:pPr>
        <w:rPr>
          <w:szCs w:val="22"/>
        </w:rPr>
      </w:pPr>
      <w:r w:rsidRPr="005C44A1">
        <w:rPr>
          <w:b/>
          <w:szCs w:val="22"/>
        </w:rPr>
        <w:t>1.</w:t>
      </w:r>
      <w:r w:rsidRPr="005C44A1">
        <w:rPr>
          <w:b/>
          <w:szCs w:val="22"/>
        </w:rPr>
        <w:tab/>
        <w:t>NÁZOV LIEKU</w:t>
      </w:r>
    </w:p>
    <w:p w14:paraId="3B9322AB" w14:textId="77777777" w:rsidR="00780926" w:rsidRPr="005C44A1" w:rsidRDefault="00780926" w:rsidP="005C44A1">
      <w:pPr>
        <w:rPr>
          <w:szCs w:val="22"/>
        </w:rPr>
      </w:pPr>
    </w:p>
    <w:p w14:paraId="3B9322AC" w14:textId="77777777" w:rsidR="00780926" w:rsidRPr="005C44A1" w:rsidRDefault="000624F8" w:rsidP="005C44A1">
      <w:pPr>
        <w:rPr>
          <w:szCs w:val="22"/>
        </w:rPr>
      </w:pPr>
      <w:r w:rsidRPr="005C44A1">
        <w:rPr>
          <w:szCs w:val="22"/>
        </w:rPr>
        <w:t>Reverantza 20 mg/5 mg filmom obalené tablety</w:t>
      </w:r>
    </w:p>
    <w:p w14:paraId="3B9322AD" w14:textId="77777777" w:rsidR="00780926" w:rsidRPr="005C44A1" w:rsidRDefault="000624F8" w:rsidP="005C44A1">
      <w:pPr>
        <w:rPr>
          <w:iCs/>
          <w:szCs w:val="22"/>
        </w:rPr>
      </w:pPr>
      <w:r w:rsidRPr="005C44A1">
        <w:rPr>
          <w:szCs w:val="22"/>
          <w:highlight w:val="lightGray"/>
        </w:rPr>
        <w:t xml:space="preserve">Reverantza </w:t>
      </w:r>
      <w:r w:rsidR="00F20B96" w:rsidRPr="005C44A1">
        <w:rPr>
          <w:szCs w:val="22"/>
          <w:highlight w:val="lightGray"/>
        </w:rPr>
        <w:t>4</w:t>
      </w:r>
      <w:r w:rsidRPr="005C44A1">
        <w:rPr>
          <w:szCs w:val="22"/>
          <w:highlight w:val="lightGray"/>
        </w:rPr>
        <w:t>0 mg/5 mg filmom obalené tablety</w:t>
      </w:r>
    </w:p>
    <w:p w14:paraId="3B9322AE" w14:textId="77777777" w:rsidR="00780926" w:rsidRPr="005C44A1" w:rsidRDefault="00780926" w:rsidP="005C44A1">
      <w:pPr>
        <w:rPr>
          <w:szCs w:val="22"/>
        </w:rPr>
      </w:pPr>
    </w:p>
    <w:p w14:paraId="3B9322AF" w14:textId="77777777" w:rsidR="00780926" w:rsidRPr="005C44A1" w:rsidRDefault="00780926" w:rsidP="005C44A1">
      <w:pPr>
        <w:rPr>
          <w:szCs w:val="22"/>
        </w:rPr>
      </w:pPr>
    </w:p>
    <w:p w14:paraId="3B9322B0" w14:textId="77777777" w:rsidR="00780926" w:rsidRPr="005C44A1" w:rsidRDefault="0067565E" w:rsidP="005C44A1">
      <w:pPr>
        <w:rPr>
          <w:szCs w:val="22"/>
        </w:rPr>
      </w:pPr>
      <w:r w:rsidRPr="005C44A1">
        <w:rPr>
          <w:b/>
          <w:szCs w:val="22"/>
        </w:rPr>
        <w:t>2.</w:t>
      </w:r>
      <w:r w:rsidRPr="005C44A1">
        <w:rPr>
          <w:b/>
          <w:szCs w:val="22"/>
        </w:rPr>
        <w:tab/>
        <w:t>KVALITATÍVNE A</w:t>
      </w:r>
      <w:r w:rsidR="00A236CF" w:rsidRPr="005C44A1">
        <w:rPr>
          <w:b/>
          <w:szCs w:val="22"/>
        </w:rPr>
        <w:t> </w:t>
      </w:r>
      <w:r w:rsidRPr="005C44A1">
        <w:rPr>
          <w:b/>
          <w:szCs w:val="22"/>
        </w:rPr>
        <w:t>KVANTITATÍVNE ZLOŽENIE</w:t>
      </w:r>
    </w:p>
    <w:p w14:paraId="3B9322B1" w14:textId="77777777" w:rsidR="00780926" w:rsidRPr="005C44A1" w:rsidRDefault="00780926" w:rsidP="005C44A1">
      <w:pPr>
        <w:ind w:left="0" w:firstLine="0"/>
        <w:rPr>
          <w:szCs w:val="22"/>
        </w:rPr>
      </w:pPr>
    </w:p>
    <w:p w14:paraId="3B9322B2" w14:textId="62C1D916" w:rsidR="00B82119" w:rsidRPr="005C44A1" w:rsidRDefault="00B82119" w:rsidP="005C44A1">
      <w:pPr>
        <w:autoSpaceDE w:val="0"/>
        <w:autoSpaceDN w:val="0"/>
        <w:adjustRightInd w:val="0"/>
        <w:ind w:left="0" w:firstLine="0"/>
        <w:outlineLvl w:val="0"/>
        <w:rPr>
          <w:color w:val="000000"/>
          <w:szCs w:val="22"/>
        </w:rPr>
      </w:pPr>
      <w:bookmarkStart w:id="1" w:name="_Toc205605499"/>
      <w:r w:rsidRPr="005C44A1">
        <w:rPr>
          <w:color w:val="000000"/>
          <w:szCs w:val="22"/>
        </w:rPr>
        <w:t>Reverantza 20 mg/5 mg filmom obalené tablety:</w:t>
      </w:r>
      <w:bookmarkEnd w:id="1"/>
      <w:r w:rsidRPr="005C44A1">
        <w:rPr>
          <w:color w:val="000000"/>
          <w:szCs w:val="22"/>
        </w:rPr>
        <w:t xml:space="preserve"> </w:t>
      </w:r>
      <w:bookmarkStart w:id="2" w:name="_Toc205605500"/>
      <w:r w:rsidRPr="005C44A1">
        <w:rPr>
          <w:color w:val="000000"/>
          <w:szCs w:val="22"/>
        </w:rPr>
        <w:t>každá filmom obalená tableta obsahuje 20 mg olmesart</w:t>
      </w:r>
      <w:r w:rsidR="00954012">
        <w:rPr>
          <w:color w:val="000000"/>
          <w:szCs w:val="22"/>
        </w:rPr>
        <w:t>a</w:t>
      </w:r>
      <w:r w:rsidRPr="005C44A1">
        <w:rPr>
          <w:color w:val="000000"/>
          <w:szCs w:val="22"/>
        </w:rPr>
        <w:t>nu</w:t>
      </w:r>
      <w:r w:rsidR="00CF7343" w:rsidRPr="005C44A1">
        <w:rPr>
          <w:color w:val="000000"/>
          <w:szCs w:val="22"/>
        </w:rPr>
        <w:t>-</w:t>
      </w:r>
      <w:r w:rsidRPr="005C44A1">
        <w:rPr>
          <w:color w:val="000000"/>
          <w:szCs w:val="22"/>
        </w:rPr>
        <w:t xml:space="preserve">medoxomilu a 5 mg amlodipínu (ako </w:t>
      </w:r>
      <w:r w:rsidR="00CF7343" w:rsidRPr="005C44A1">
        <w:rPr>
          <w:color w:val="000000"/>
          <w:szCs w:val="22"/>
        </w:rPr>
        <w:t>amlodipínium</w:t>
      </w:r>
      <w:r w:rsidR="00D53E22">
        <w:rPr>
          <w:color w:val="000000"/>
          <w:szCs w:val="22"/>
        </w:rPr>
        <w:t>-</w:t>
      </w:r>
      <w:r w:rsidR="00CF7343" w:rsidRPr="005C44A1">
        <w:rPr>
          <w:color w:val="000000"/>
          <w:szCs w:val="22"/>
        </w:rPr>
        <w:t>be</w:t>
      </w:r>
      <w:r w:rsidR="00D53E22">
        <w:rPr>
          <w:color w:val="000000"/>
          <w:szCs w:val="22"/>
        </w:rPr>
        <w:t>zy</w:t>
      </w:r>
      <w:r w:rsidR="00CF7343" w:rsidRPr="005C44A1">
        <w:rPr>
          <w:color w:val="000000"/>
          <w:szCs w:val="22"/>
        </w:rPr>
        <w:t>lát</w:t>
      </w:r>
      <w:r w:rsidRPr="005C44A1">
        <w:rPr>
          <w:color w:val="000000"/>
          <w:szCs w:val="22"/>
        </w:rPr>
        <w:t>)</w:t>
      </w:r>
      <w:bookmarkEnd w:id="2"/>
      <w:r w:rsidRPr="005C44A1">
        <w:rPr>
          <w:color w:val="000000"/>
          <w:szCs w:val="22"/>
        </w:rPr>
        <w:t>.</w:t>
      </w:r>
    </w:p>
    <w:p w14:paraId="3B9322B3" w14:textId="6717BDF8" w:rsidR="00B82119" w:rsidRPr="005C44A1" w:rsidRDefault="00591792" w:rsidP="005C44A1">
      <w:pPr>
        <w:autoSpaceDE w:val="0"/>
        <w:autoSpaceDN w:val="0"/>
        <w:adjustRightInd w:val="0"/>
        <w:ind w:left="0" w:firstLine="0"/>
        <w:outlineLvl w:val="0"/>
        <w:rPr>
          <w:szCs w:val="22"/>
        </w:rPr>
      </w:pPr>
      <w:r w:rsidRPr="005C44A1">
        <w:rPr>
          <w:szCs w:val="22"/>
          <w:highlight w:val="lightGray"/>
        </w:rPr>
        <w:t>Reverantza 40 mg/5 mg filmom obalené tablety: každá filmom obalená tableta obsahuje 40 mg olmesart</w:t>
      </w:r>
      <w:r w:rsidR="00165A6B">
        <w:rPr>
          <w:szCs w:val="22"/>
          <w:highlight w:val="lightGray"/>
        </w:rPr>
        <w:t>a</w:t>
      </w:r>
      <w:r w:rsidRPr="005C44A1">
        <w:rPr>
          <w:szCs w:val="22"/>
          <w:highlight w:val="lightGray"/>
        </w:rPr>
        <w:t>nu-medoxomilu a 5 mg amlodipínu (ako amlodipínium</w:t>
      </w:r>
      <w:r w:rsidR="00165A6B">
        <w:rPr>
          <w:szCs w:val="22"/>
          <w:highlight w:val="lightGray"/>
        </w:rPr>
        <w:t>-</w:t>
      </w:r>
      <w:r w:rsidRPr="005C44A1">
        <w:rPr>
          <w:szCs w:val="22"/>
          <w:highlight w:val="lightGray"/>
        </w:rPr>
        <w:t>be</w:t>
      </w:r>
      <w:r w:rsidR="00165A6B">
        <w:rPr>
          <w:szCs w:val="22"/>
          <w:highlight w:val="lightGray"/>
        </w:rPr>
        <w:t>zy</w:t>
      </w:r>
      <w:r w:rsidRPr="005C44A1">
        <w:rPr>
          <w:szCs w:val="22"/>
          <w:highlight w:val="lightGray"/>
        </w:rPr>
        <w:t>lát).</w:t>
      </w:r>
    </w:p>
    <w:p w14:paraId="3B9322B4" w14:textId="77777777" w:rsidR="00591792" w:rsidRPr="005C44A1" w:rsidRDefault="00591792" w:rsidP="005C44A1">
      <w:pPr>
        <w:autoSpaceDE w:val="0"/>
        <w:autoSpaceDN w:val="0"/>
        <w:adjustRightInd w:val="0"/>
        <w:ind w:left="0" w:firstLine="0"/>
        <w:outlineLvl w:val="0"/>
        <w:rPr>
          <w:color w:val="000000"/>
          <w:szCs w:val="22"/>
        </w:rPr>
      </w:pPr>
    </w:p>
    <w:p w14:paraId="3B9322B5" w14:textId="77777777" w:rsidR="00780926" w:rsidRPr="005C44A1" w:rsidRDefault="0049191E" w:rsidP="005C44A1">
      <w:pPr>
        <w:tabs>
          <w:tab w:val="left" w:pos="567"/>
        </w:tabs>
        <w:ind w:left="0" w:firstLine="0"/>
        <w:rPr>
          <w:szCs w:val="22"/>
        </w:rPr>
      </w:pPr>
      <w:r w:rsidRPr="005C44A1">
        <w:rPr>
          <w:szCs w:val="22"/>
          <w:lang w:eastAsia="en-US"/>
        </w:rPr>
        <w:t>Úplný zoznam pomocných látok, pozri časť 6.1.</w:t>
      </w:r>
    </w:p>
    <w:p w14:paraId="3B9322B6" w14:textId="77777777" w:rsidR="00780926" w:rsidRPr="005C44A1" w:rsidRDefault="00780926" w:rsidP="005C44A1">
      <w:pPr>
        <w:rPr>
          <w:szCs w:val="22"/>
        </w:rPr>
      </w:pPr>
    </w:p>
    <w:p w14:paraId="3B9322B7" w14:textId="77777777" w:rsidR="00780926" w:rsidRPr="005C44A1" w:rsidRDefault="00780926" w:rsidP="005C44A1">
      <w:pPr>
        <w:rPr>
          <w:szCs w:val="22"/>
        </w:rPr>
      </w:pPr>
    </w:p>
    <w:p w14:paraId="3B9322B8" w14:textId="77777777" w:rsidR="00780926" w:rsidRPr="005C44A1" w:rsidRDefault="0067565E" w:rsidP="005C44A1">
      <w:pPr>
        <w:rPr>
          <w:caps/>
          <w:szCs w:val="22"/>
        </w:rPr>
      </w:pPr>
      <w:r w:rsidRPr="005C44A1">
        <w:rPr>
          <w:b/>
          <w:szCs w:val="22"/>
        </w:rPr>
        <w:t>3.</w:t>
      </w:r>
      <w:r w:rsidRPr="005C44A1">
        <w:rPr>
          <w:b/>
          <w:szCs w:val="22"/>
        </w:rPr>
        <w:tab/>
        <w:t>LIEKOVÁ FORMA</w:t>
      </w:r>
    </w:p>
    <w:p w14:paraId="3B9322B9" w14:textId="77777777" w:rsidR="00780926" w:rsidRPr="005C44A1" w:rsidRDefault="00780926" w:rsidP="005C44A1">
      <w:pPr>
        <w:rPr>
          <w:szCs w:val="22"/>
        </w:rPr>
      </w:pPr>
    </w:p>
    <w:p w14:paraId="3B9322BA" w14:textId="77777777" w:rsidR="00780926" w:rsidRPr="005C44A1" w:rsidRDefault="00D47E9D" w:rsidP="005C44A1">
      <w:pPr>
        <w:rPr>
          <w:szCs w:val="22"/>
        </w:rPr>
      </w:pPr>
      <w:r w:rsidRPr="005C44A1">
        <w:rPr>
          <w:szCs w:val="22"/>
        </w:rPr>
        <w:t>Filmom obalená tableta</w:t>
      </w:r>
    </w:p>
    <w:p w14:paraId="3B9322BB" w14:textId="77777777" w:rsidR="00780926" w:rsidRPr="005C44A1" w:rsidRDefault="00780926" w:rsidP="005C44A1">
      <w:pPr>
        <w:rPr>
          <w:szCs w:val="22"/>
        </w:rPr>
      </w:pPr>
    </w:p>
    <w:p w14:paraId="3B9322BC" w14:textId="77777777" w:rsidR="00D47E9D" w:rsidRPr="005C44A1" w:rsidRDefault="00D47E9D" w:rsidP="005C44A1">
      <w:pPr>
        <w:ind w:left="0" w:firstLine="0"/>
        <w:rPr>
          <w:szCs w:val="22"/>
        </w:rPr>
      </w:pPr>
      <w:r w:rsidRPr="005C44A1">
        <w:rPr>
          <w:szCs w:val="22"/>
        </w:rPr>
        <w:t>Reverantza 20 mg/5 mg</w:t>
      </w:r>
      <w:r w:rsidR="000729AA" w:rsidRPr="005C44A1">
        <w:rPr>
          <w:szCs w:val="22"/>
        </w:rPr>
        <w:t>: biele, okrúhle, bikonvexné,</w:t>
      </w:r>
      <w:r w:rsidRPr="005C44A1">
        <w:rPr>
          <w:szCs w:val="22"/>
        </w:rPr>
        <w:t xml:space="preserve"> filmom obalené tablety</w:t>
      </w:r>
      <w:r w:rsidR="000729AA" w:rsidRPr="005C44A1">
        <w:rPr>
          <w:szCs w:val="22"/>
        </w:rPr>
        <w:t xml:space="preserve"> s vyrytým „L“</w:t>
      </w:r>
      <w:r w:rsidR="00D44027" w:rsidRPr="005C44A1">
        <w:rPr>
          <w:szCs w:val="22"/>
        </w:rPr>
        <w:t xml:space="preserve"> na jednej strane, hladké na druhej strane, s priemerom 6,1 mm.</w:t>
      </w:r>
    </w:p>
    <w:p w14:paraId="3B9322BD" w14:textId="77777777" w:rsidR="00D44027" w:rsidRPr="005C44A1" w:rsidRDefault="00D47E9D" w:rsidP="005C44A1">
      <w:pPr>
        <w:pStyle w:val="Zkladntext"/>
        <w:rPr>
          <w:szCs w:val="22"/>
        </w:rPr>
      </w:pPr>
      <w:r w:rsidRPr="005C44A1">
        <w:rPr>
          <w:szCs w:val="22"/>
          <w:highlight w:val="lightGray"/>
        </w:rPr>
        <w:t>Reverantza 40 mg/5 mg</w:t>
      </w:r>
      <w:r w:rsidR="00D44027" w:rsidRPr="005C44A1">
        <w:rPr>
          <w:szCs w:val="22"/>
          <w:highlight w:val="lightGray"/>
        </w:rPr>
        <w:t xml:space="preserve">: </w:t>
      </w:r>
      <w:r w:rsidR="004B2B6E" w:rsidRPr="005C44A1">
        <w:rPr>
          <w:szCs w:val="22"/>
          <w:highlight w:val="lightGray"/>
        </w:rPr>
        <w:t>žlté</w:t>
      </w:r>
      <w:r w:rsidR="00D44027" w:rsidRPr="005C44A1">
        <w:rPr>
          <w:szCs w:val="22"/>
          <w:highlight w:val="lightGray"/>
        </w:rPr>
        <w:t>, okrúhle, bikonvexné, filmom obalené tablety s vyrytým „</w:t>
      </w:r>
      <w:r w:rsidR="004B2B6E" w:rsidRPr="005C44A1">
        <w:rPr>
          <w:szCs w:val="22"/>
          <w:highlight w:val="lightGray"/>
        </w:rPr>
        <w:t>I</w:t>
      </w:r>
      <w:r w:rsidR="00D44027" w:rsidRPr="005C44A1">
        <w:rPr>
          <w:szCs w:val="22"/>
          <w:highlight w:val="lightGray"/>
        </w:rPr>
        <w:t xml:space="preserve">“ na jednej strane, hladké na druhej strane, s priemerom </w:t>
      </w:r>
      <w:r w:rsidR="004B2B6E" w:rsidRPr="005C44A1">
        <w:rPr>
          <w:szCs w:val="22"/>
          <w:highlight w:val="lightGray"/>
        </w:rPr>
        <w:t>8</w:t>
      </w:r>
      <w:r w:rsidR="00D44027" w:rsidRPr="005C44A1">
        <w:rPr>
          <w:szCs w:val="22"/>
          <w:highlight w:val="lightGray"/>
        </w:rPr>
        <w:t>,1 mm</w:t>
      </w:r>
      <w:r w:rsidR="004B2B6E" w:rsidRPr="005C44A1">
        <w:rPr>
          <w:szCs w:val="22"/>
          <w:highlight w:val="lightGray"/>
        </w:rPr>
        <w:t>.</w:t>
      </w:r>
    </w:p>
    <w:p w14:paraId="3B9322BE" w14:textId="77777777" w:rsidR="00780926" w:rsidRPr="005C44A1" w:rsidRDefault="00780926" w:rsidP="005C44A1">
      <w:pPr>
        <w:rPr>
          <w:szCs w:val="22"/>
        </w:rPr>
      </w:pPr>
    </w:p>
    <w:p w14:paraId="3B9322BF" w14:textId="77777777" w:rsidR="00780926" w:rsidRPr="005C44A1" w:rsidRDefault="00780926" w:rsidP="005C44A1">
      <w:pPr>
        <w:rPr>
          <w:szCs w:val="22"/>
        </w:rPr>
      </w:pPr>
    </w:p>
    <w:p w14:paraId="3B9322C0" w14:textId="77777777" w:rsidR="00780926" w:rsidRPr="005C44A1" w:rsidRDefault="0067565E" w:rsidP="005C44A1">
      <w:pPr>
        <w:rPr>
          <w:caps/>
          <w:szCs w:val="22"/>
        </w:rPr>
      </w:pPr>
      <w:r w:rsidRPr="005C44A1">
        <w:rPr>
          <w:b/>
          <w:caps/>
          <w:szCs w:val="22"/>
        </w:rPr>
        <w:t>4.</w:t>
      </w:r>
      <w:r w:rsidRPr="005C44A1">
        <w:rPr>
          <w:b/>
          <w:caps/>
          <w:szCs w:val="22"/>
        </w:rPr>
        <w:tab/>
        <w:t>KLINICKÉ ÚDAJE</w:t>
      </w:r>
    </w:p>
    <w:p w14:paraId="3B9322C1" w14:textId="77777777" w:rsidR="00780926" w:rsidRPr="005C44A1" w:rsidRDefault="00780926" w:rsidP="005C44A1">
      <w:pPr>
        <w:rPr>
          <w:szCs w:val="22"/>
        </w:rPr>
      </w:pPr>
    </w:p>
    <w:p w14:paraId="3B9322C2" w14:textId="77777777" w:rsidR="00780926" w:rsidRPr="005C44A1" w:rsidRDefault="0067565E" w:rsidP="005C44A1">
      <w:pPr>
        <w:rPr>
          <w:szCs w:val="22"/>
        </w:rPr>
      </w:pPr>
      <w:r w:rsidRPr="005C44A1">
        <w:rPr>
          <w:b/>
          <w:szCs w:val="22"/>
        </w:rPr>
        <w:t>4.1</w:t>
      </w:r>
      <w:r w:rsidRPr="005C44A1">
        <w:rPr>
          <w:b/>
          <w:szCs w:val="22"/>
        </w:rPr>
        <w:tab/>
        <w:t>Terapeutické indikácie</w:t>
      </w:r>
    </w:p>
    <w:p w14:paraId="3B9322C3" w14:textId="77777777" w:rsidR="00780926" w:rsidRPr="005C44A1" w:rsidRDefault="00780926" w:rsidP="005C44A1">
      <w:pPr>
        <w:rPr>
          <w:szCs w:val="22"/>
        </w:rPr>
      </w:pPr>
    </w:p>
    <w:p w14:paraId="3B9322C4" w14:textId="77777777" w:rsidR="001010D9" w:rsidRPr="005C44A1" w:rsidRDefault="001010D9" w:rsidP="005C44A1">
      <w:pPr>
        <w:ind w:left="0" w:firstLine="0"/>
        <w:rPr>
          <w:szCs w:val="22"/>
        </w:rPr>
      </w:pPr>
      <w:r w:rsidRPr="005C44A1">
        <w:rPr>
          <w:szCs w:val="22"/>
        </w:rPr>
        <w:t>Liečba esenciálnej hypertenzie.</w:t>
      </w:r>
    </w:p>
    <w:p w14:paraId="3B9322C5" w14:textId="77777777" w:rsidR="001010D9" w:rsidRPr="005C44A1" w:rsidRDefault="001010D9" w:rsidP="005C44A1">
      <w:pPr>
        <w:ind w:left="0" w:firstLine="0"/>
        <w:rPr>
          <w:szCs w:val="22"/>
        </w:rPr>
      </w:pPr>
    </w:p>
    <w:p w14:paraId="3B9322C6" w14:textId="14DFB481" w:rsidR="00E1698A" w:rsidRPr="005C44A1" w:rsidRDefault="001C0542" w:rsidP="005C44A1">
      <w:pPr>
        <w:ind w:left="0" w:firstLine="0"/>
        <w:rPr>
          <w:szCs w:val="22"/>
        </w:rPr>
      </w:pPr>
      <w:r w:rsidRPr="005C44A1">
        <w:rPr>
          <w:szCs w:val="22"/>
        </w:rPr>
        <w:t>Reverantza</w:t>
      </w:r>
      <w:r w:rsidR="001010D9" w:rsidRPr="005C44A1">
        <w:rPr>
          <w:szCs w:val="22"/>
        </w:rPr>
        <w:t xml:space="preserve"> je indikovan</w:t>
      </w:r>
      <w:r w:rsidR="009D6937">
        <w:rPr>
          <w:szCs w:val="22"/>
        </w:rPr>
        <w:t>á</w:t>
      </w:r>
      <w:r w:rsidR="001010D9" w:rsidRPr="005C44A1">
        <w:rPr>
          <w:szCs w:val="22"/>
        </w:rPr>
        <w:t xml:space="preserve"> </w:t>
      </w:r>
      <w:r w:rsidR="00DA4AB8" w:rsidRPr="005C44A1">
        <w:rPr>
          <w:szCs w:val="22"/>
        </w:rPr>
        <w:t xml:space="preserve">dospelým </w:t>
      </w:r>
      <w:r w:rsidR="001010D9" w:rsidRPr="005C44A1">
        <w:rPr>
          <w:szCs w:val="22"/>
        </w:rPr>
        <w:t>paciento</w:t>
      </w:r>
      <w:r w:rsidRPr="005C44A1">
        <w:rPr>
          <w:szCs w:val="22"/>
        </w:rPr>
        <w:t>m</w:t>
      </w:r>
      <w:r w:rsidR="001010D9" w:rsidRPr="005C44A1">
        <w:rPr>
          <w:szCs w:val="22"/>
        </w:rPr>
        <w:t xml:space="preserve">, ktorých krvný tlak nie je </w:t>
      </w:r>
      <w:r w:rsidR="0037234F" w:rsidRPr="005C44A1">
        <w:rPr>
          <w:szCs w:val="22"/>
        </w:rPr>
        <w:t>adekvátne</w:t>
      </w:r>
      <w:r w:rsidR="001010D9" w:rsidRPr="005C44A1">
        <w:rPr>
          <w:szCs w:val="22"/>
        </w:rPr>
        <w:t xml:space="preserve"> kontrolovaný </w:t>
      </w:r>
      <w:r w:rsidR="00F96EB4" w:rsidRPr="005C44A1">
        <w:rPr>
          <w:szCs w:val="22"/>
        </w:rPr>
        <w:t xml:space="preserve">monoterapiou </w:t>
      </w:r>
      <w:r w:rsidR="00F96EB4" w:rsidRPr="005C44A1">
        <w:rPr>
          <w:color w:val="000000"/>
          <w:szCs w:val="22"/>
        </w:rPr>
        <w:t>olmesart</w:t>
      </w:r>
      <w:r w:rsidR="00E81609">
        <w:rPr>
          <w:color w:val="000000"/>
          <w:szCs w:val="22"/>
        </w:rPr>
        <w:t>a</w:t>
      </w:r>
      <w:r w:rsidR="00F96EB4" w:rsidRPr="005C44A1">
        <w:rPr>
          <w:color w:val="000000"/>
          <w:szCs w:val="22"/>
        </w:rPr>
        <w:t>nom-medoxomil</w:t>
      </w:r>
      <w:r w:rsidR="001010D9" w:rsidRPr="005C44A1">
        <w:rPr>
          <w:szCs w:val="22"/>
        </w:rPr>
        <w:t>om alebo amlodipínom (pozri časť 4.2 a časť 5.1)</w:t>
      </w:r>
      <w:r w:rsidR="00F27525" w:rsidRPr="005C44A1">
        <w:rPr>
          <w:szCs w:val="22"/>
        </w:rPr>
        <w:t>.</w:t>
      </w:r>
    </w:p>
    <w:p w14:paraId="3B9322C7" w14:textId="77777777" w:rsidR="00780926" w:rsidRPr="005C44A1" w:rsidRDefault="00780926" w:rsidP="005C44A1">
      <w:pPr>
        <w:rPr>
          <w:szCs w:val="22"/>
        </w:rPr>
      </w:pPr>
    </w:p>
    <w:p w14:paraId="3B9322C8" w14:textId="77777777" w:rsidR="00780926" w:rsidRPr="005C44A1" w:rsidRDefault="0067565E" w:rsidP="005C44A1">
      <w:pPr>
        <w:rPr>
          <w:b/>
          <w:szCs w:val="22"/>
        </w:rPr>
      </w:pPr>
      <w:r w:rsidRPr="005C44A1">
        <w:rPr>
          <w:b/>
          <w:szCs w:val="22"/>
        </w:rPr>
        <w:t>4.2</w:t>
      </w:r>
      <w:r w:rsidRPr="005C44A1">
        <w:rPr>
          <w:b/>
          <w:szCs w:val="22"/>
        </w:rPr>
        <w:tab/>
        <w:t>Dávkovanie a</w:t>
      </w:r>
      <w:r w:rsidR="00BD7004" w:rsidRPr="005C44A1">
        <w:rPr>
          <w:b/>
          <w:szCs w:val="22"/>
        </w:rPr>
        <w:t> </w:t>
      </w:r>
      <w:r w:rsidRPr="005C44A1">
        <w:rPr>
          <w:b/>
          <w:szCs w:val="22"/>
        </w:rPr>
        <w:t>spôsob podávania</w:t>
      </w:r>
    </w:p>
    <w:p w14:paraId="3B9322C9" w14:textId="77777777" w:rsidR="00780926" w:rsidRPr="005C44A1" w:rsidRDefault="00780926" w:rsidP="005C44A1">
      <w:pPr>
        <w:rPr>
          <w:szCs w:val="22"/>
        </w:rPr>
      </w:pPr>
    </w:p>
    <w:p w14:paraId="3B9322CA" w14:textId="77777777" w:rsidR="00E1698A" w:rsidRPr="005C44A1" w:rsidRDefault="0067565E" w:rsidP="005C44A1">
      <w:pPr>
        <w:rPr>
          <w:szCs w:val="22"/>
          <w:u w:val="single"/>
        </w:rPr>
      </w:pPr>
      <w:r w:rsidRPr="005C44A1">
        <w:rPr>
          <w:szCs w:val="22"/>
          <w:u w:val="single"/>
        </w:rPr>
        <w:t>Dávkovanie</w:t>
      </w:r>
    </w:p>
    <w:p w14:paraId="3B9322CB" w14:textId="77777777" w:rsidR="00E1698A" w:rsidRPr="005C44A1" w:rsidRDefault="00F27525" w:rsidP="005C44A1">
      <w:pPr>
        <w:rPr>
          <w:i/>
          <w:szCs w:val="22"/>
        </w:rPr>
      </w:pPr>
      <w:r w:rsidRPr="005C44A1">
        <w:rPr>
          <w:i/>
          <w:szCs w:val="22"/>
        </w:rPr>
        <w:t>Dospelí</w:t>
      </w:r>
    </w:p>
    <w:p w14:paraId="3B9322CC" w14:textId="77777777" w:rsidR="00F27525" w:rsidRPr="005C44A1" w:rsidRDefault="00F27525" w:rsidP="005C44A1">
      <w:pPr>
        <w:rPr>
          <w:szCs w:val="22"/>
        </w:rPr>
      </w:pPr>
      <w:r w:rsidRPr="005C44A1">
        <w:rPr>
          <w:szCs w:val="22"/>
        </w:rPr>
        <w:t xml:space="preserve">Odporúčaná dávka Reverantzy </w:t>
      </w:r>
      <w:r w:rsidR="0037234F" w:rsidRPr="005C44A1">
        <w:rPr>
          <w:szCs w:val="22"/>
        </w:rPr>
        <w:t xml:space="preserve">je </w:t>
      </w:r>
      <w:r w:rsidR="00261F70">
        <w:rPr>
          <w:szCs w:val="22"/>
        </w:rPr>
        <w:t>1</w:t>
      </w:r>
      <w:r w:rsidR="0037234F" w:rsidRPr="005C44A1">
        <w:rPr>
          <w:szCs w:val="22"/>
        </w:rPr>
        <w:t xml:space="preserve"> tableta denne.</w:t>
      </w:r>
    </w:p>
    <w:p w14:paraId="3B9322CD" w14:textId="77777777" w:rsidR="0037234F" w:rsidRPr="005C44A1" w:rsidRDefault="0037234F" w:rsidP="005C44A1">
      <w:pPr>
        <w:ind w:left="0" w:firstLine="0"/>
        <w:rPr>
          <w:szCs w:val="22"/>
        </w:rPr>
      </w:pPr>
    </w:p>
    <w:p w14:paraId="3B9322CE" w14:textId="651C716F" w:rsidR="00F27525" w:rsidRPr="005C44A1" w:rsidRDefault="0037234F" w:rsidP="005C44A1">
      <w:pPr>
        <w:ind w:left="0" w:firstLine="0"/>
        <w:rPr>
          <w:szCs w:val="22"/>
        </w:rPr>
      </w:pPr>
      <w:r w:rsidRPr="005C44A1">
        <w:rPr>
          <w:szCs w:val="22"/>
        </w:rPr>
        <w:t xml:space="preserve">Reverantza 20 mg/5 mg sa môže podávať pacientom, ktorých krvný tlak nie je adekvátne kontrolovaný </w:t>
      </w:r>
      <w:r w:rsidR="00FF2878" w:rsidRPr="005C44A1">
        <w:rPr>
          <w:szCs w:val="22"/>
        </w:rPr>
        <w:t>monoterapiou</w:t>
      </w:r>
      <w:r w:rsidR="00ED503F" w:rsidRPr="005C44A1">
        <w:rPr>
          <w:szCs w:val="22"/>
        </w:rPr>
        <w:t xml:space="preserve"> </w:t>
      </w:r>
      <w:r w:rsidR="00E40AF6" w:rsidRPr="005C44A1">
        <w:rPr>
          <w:szCs w:val="22"/>
        </w:rPr>
        <w:t>20 mg olmesart</w:t>
      </w:r>
      <w:r w:rsidR="00D40BA6">
        <w:rPr>
          <w:szCs w:val="22"/>
        </w:rPr>
        <w:t>a</w:t>
      </w:r>
      <w:r w:rsidR="00E40AF6" w:rsidRPr="005C44A1">
        <w:rPr>
          <w:szCs w:val="22"/>
        </w:rPr>
        <w:t>n</w:t>
      </w:r>
      <w:r w:rsidR="00ED503F" w:rsidRPr="005C44A1">
        <w:rPr>
          <w:szCs w:val="22"/>
        </w:rPr>
        <w:t>u</w:t>
      </w:r>
      <w:r w:rsidR="00E40AF6" w:rsidRPr="005C44A1">
        <w:rPr>
          <w:szCs w:val="22"/>
        </w:rPr>
        <w:t>-medoxomil</w:t>
      </w:r>
      <w:r w:rsidR="00ED503F" w:rsidRPr="005C44A1">
        <w:rPr>
          <w:szCs w:val="22"/>
        </w:rPr>
        <w:t>u</w:t>
      </w:r>
      <w:r w:rsidR="00E40AF6" w:rsidRPr="005C44A1">
        <w:rPr>
          <w:szCs w:val="22"/>
        </w:rPr>
        <w:t xml:space="preserve"> alebo 5 mg </w:t>
      </w:r>
      <w:r w:rsidR="00ED503F" w:rsidRPr="005C44A1">
        <w:rPr>
          <w:szCs w:val="22"/>
        </w:rPr>
        <w:t>amlodipínu.</w:t>
      </w:r>
    </w:p>
    <w:p w14:paraId="3B9322CF" w14:textId="77777777" w:rsidR="00ED503F" w:rsidRPr="005C44A1" w:rsidRDefault="00FF2878" w:rsidP="005C44A1">
      <w:pPr>
        <w:ind w:left="0" w:firstLine="0"/>
        <w:rPr>
          <w:szCs w:val="22"/>
        </w:rPr>
      </w:pPr>
      <w:r w:rsidRPr="005C44A1">
        <w:rPr>
          <w:szCs w:val="22"/>
          <w:highlight w:val="lightGray"/>
        </w:rPr>
        <w:t>Reverantza 40 mg/5 mg sa môže podávať pacientom, ktorých krvný tlak nie je adekvátne kontrolovaný Reverantzou 20 mg/5 mg.</w:t>
      </w:r>
    </w:p>
    <w:p w14:paraId="3B9322D0" w14:textId="77777777" w:rsidR="00E40AF6" w:rsidRPr="005C44A1" w:rsidRDefault="00E40AF6" w:rsidP="005C44A1">
      <w:pPr>
        <w:ind w:left="0" w:firstLine="0"/>
        <w:rPr>
          <w:szCs w:val="22"/>
        </w:rPr>
      </w:pPr>
    </w:p>
    <w:p w14:paraId="3B9322D1" w14:textId="77777777" w:rsidR="000F3F53" w:rsidRPr="005C44A1" w:rsidRDefault="000F3F53" w:rsidP="005C44A1">
      <w:pPr>
        <w:ind w:left="0" w:firstLine="0"/>
        <w:rPr>
          <w:szCs w:val="22"/>
        </w:rPr>
      </w:pPr>
      <w:r w:rsidRPr="005C44A1">
        <w:rPr>
          <w:szCs w:val="22"/>
        </w:rPr>
        <w:t xml:space="preserve">Pred zmenou na liečbu fixnou kombináciou sa odporúča postupná titrácia dávok jednotlivých zložiek. Ak je to klinicky vhodné, môže sa zvážiť </w:t>
      </w:r>
      <w:r w:rsidR="00E17FD4">
        <w:rPr>
          <w:szCs w:val="22"/>
        </w:rPr>
        <w:t xml:space="preserve">aj </w:t>
      </w:r>
      <w:r w:rsidRPr="005C44A1">
        <w:rPr>
          <w:szCs w:val="22"/>
        </w:rPr>
        <w:t>priama zmena z monoterapie na fixnú kombináciu.</w:t>
      </w:r>
    </w:p>
    <w:p w14:paraId="3B9322D2" w14:textId="77777777" w:rsidR="000F3F53" w:rsidRPr="005C44A1" w:rsidRDefault="000F3F53" w:rsidP="005C44A1">
      <w:pPr>
        <w:ind w:left="0" w:firstLine="0"/>
        <w:rPr>
          <w:szCs w:val="22"/>
        </w:rPr>
      </w:pPr>
    </w:p>
    <w:p w14:paraId="3B9322D3" w14:textId="0F388E7D" w:rsidR="000F3F53" w:rsidRPr="005C44A1" w:rsidRDefault="005C56F9" w:rsidP="005C44A1">
      <w:pPr>
        <w:ind w:left="0" w:firstLine="0"/>
        <w:rPr>
          <w:szCs w:val="22"/>
        </w:rPr>
      </w:pPr>
      <w:r>
        <w:rPr>
          <w:szCs w:val="22"/>
        </w:rPr>
        <w:t>Na</w:t>
      </w:r>
      <w:r w:rsidR="000F3F53" w:rsidRPr="005C44A1">
        <w:rPr>
          <w:szCs w:val="22"/>
        </w:rPr>
        <w:t xml:space="preserve"> uľahčenie sa môže pacientom liečba </w:t>
      </w:r>
      <w:r w:rsidR="005512F4" w:rsidRPr="005C44A1">
        <w:rPr>
          <w:szCs w:val="22"/>
        </w:rPr>
        <w:t>olmesart</w:t>
      </w:r>
      <w:r w:rsidR="00620976">
        <w:rPr>
          <w:szCs w:val="22"/>
        </w:rPr>
        <w:t>a</w:t>
      </w:r>
      <w:r w:rsidR="005512F4" w:rsidRPr="005C44A1">
        <w:rPr>
          <w:szCs w:val="22"/>
        </w:rPr>
        <w:t>nom-medoxomilom</w:t>
      </w:r>
      <w:r w:rsidR="000F3F53" w:rsidRPr="005C44A1">
        <w:rPr>
          <w:szCs w:val="22"/>
        </w:rPr>
        <w:t xml:space="preserve"> a amlodipínom v jednotlivých tabletách zmeniť na liečbu </w:t>
      </w:r>
      <w:r w:rsidR="00C14C43" w:rsidRPr="005C44A1">
        <w:rPr>
          <w:szCs w:val="22"/>
        </w:rPr>
        <w:t>Reverantzou</w:t>
      </w:r>
      <w:r w:rsidR="000F3F53" w:rsidRPr="005C44A1">
        <w:rPr>
          <w:szCs w:val="22"/>
        </w:rPr>
        <w:t xml:space="preserve"> s rovnakým obsahom oboch liečiv. </w:t>
      </w:r>
    </w:p>
    <w:p w14:paraId="3B9322D4" w14:textId="77777777" w:rsidR="00C14C43" w:rsidRPr="005C44A1" w:rsidRDefault="00C14C43" w:rsidP="005C44A1">
      <w:pPr>
        <w:rPr>
          <w:szCs w:val="22"/>
        </w:rPr>
      </w:pPr>
      <w:r w:rsidRPr="005C44A1">
        <w:rPr>
          <w:szCs w:val="22"/>
        </w:rPr>
        <w:t>Reverantz</w:t>
      </w:r>
      <w:r w:rsidR="000E27E4" w:rsidRPr="005C44A1">
        <w:rPr>
          <w:szCs w:val="22"/>
        </w:rPr>
        <w:t>a</w:t>
      </w:r>
      <w:r w:rsidR="000F3F53" w:rsidRPr="005C44A1">
        <w:rPr>
          <w:szCs w:val="22"/>
        </w:rPr>
        <w:t xml:space="preserve"> sa môže užívať s jedlom alebo bez jedla.</w:t>
      </w:r>
    </w:p>
    <w:p w14:paraId="3B9322D5" w14:textId="77777777" w:rsidR="00C14C43" w:rsidRPr="005C44A1" w:rsidRDefault="00C14C43" w:rsidP="005C44A1">
      <w:pPr>
        <w:rPr>
          <w:szCs w:val="22"/>
        </w:rPr>
      </w:pPr>
    </w:p>
    <w:p w14:paraId="3B9322D6" w14:textId="77777777" w:rsidR="000618A8" w:rsidRPr="005C44A1" w:rsidRDefault="000618A8" w:rsidP="005C44A1">
      <w:pPr>
        <w:rPr>
          <w:szCs w:val="22"/>
          <w:u w:val="single"/>
        </w:rPr>
      </w:pPr>
      <w:r w:rsidRPr="005C44A1">
        <w:rPr>
          <w:szCs w:val="22"/>
          <w:u w:val="single"/>
        </w:rPr>
        <w:t>Osobitné skupiny pacientov</w:t>
      </w:r>
    </w:p>
    <w:p w14:paraId="3B9322D7" w14:textId="77777777" w:rsidR="000618A8" w:rsidRPr="005C44A1" w:rsidRDefault="000618A8" w:rsidP="005C44A1">
      <w:pPr>
        <w:rPr>
          <w:i/>
          <w:noProof/>
          <w:szCs w:val="22"/>
        </w:rPr>
      </w:pPr>
    </w:p>
    <w:p w14:paraId="3B9322D8" w14:textId="07BEF8C0" w:rsidR="000618A8" w:rsidRPr="005C44A1" w:rsidRDefault="000618A8" w:rsidP="005C44A1">
      <w:pPr>
        <w:rPr>
          <w:i/>
          <w:szCs w:val="22"/>
        </w:rPr>
      </w:pPr>
      <w:bookmarkStart w:id="3" w:name="_Toc205605526"/>
      <w:r w:rsidRPr="005C44A1">
        <w:rPr>
          <w:i/>
          <w:szCs w:val="22"/>
        </w:rPr>
        <w:t>Starš</w:t>
      </w:r>
      <w:r w:rsidR="00F47C5F">
        <w:rPr>
          <w:i/>
          <w:szCs w:val="22"/>
        </w:rPr>
        <w:t>ie osoby</w:t>
      </w:r>
      <w:r w:rsidRPr="005C44A1">
        <w:rPr>
          <w:i/>
          <w:szCs w:val="22"/>
        </w:rPr>
        <w:t xml:space="preserve"> (vo veku 65 rokov</w:t>
      </w:r>
      <w:bookmarkEnd w:id="3"/>
      <w:r w:rsidRPr="005C44A1">
        <w:rPr>
          <w:i/>
          <w:szCs w:val="22"/>
        </w:rPr>
        <w:t xml:space="preserve"> a </w:t>
      </w:r>
      <w:r w:rsidR="001A4A44">
        <w:rPr>
          <w:i/>
          <w:szCs w:val="22"/>
        </w:rPr>
        <w:t>starší</w:t>
      </w:r>
      <w:r w:rsidRPr="005C44A1">
        <w:rPr>
          <w:i/>
          <w:szCs w:val="22"/>
        </w:rPr>
        <w:t>)</w:t>
      </w:r>
    </w:p>
    <w:p w14:paraId="3B9322D9" w14:textId="77777777" w:rsidR="000618A8" w:rsidRPr="005C44A1" w:rsidRDefault="000618A8" w:rsidP="005C44A1">
      <w:pPr>
        <w:ind w:left="0" w:firstLine="0"/>
        <w:rPr>
          <w:szCs w:val="22"/>
        </w:rPr>
      </w:pPr>
      <w:bookmarkStart w:id="4" w:name="_Toc205605527"/>
      <w:r w:rsidRPr="005C44A1">
        <w:rPr>
          <w:szCs w:val="22"/>
        </w:rPr>
        <w:t>U starších ľudí sa spravidla nevyžaduje žiadna úprava odporúčaného dávkovania, ale zvyšovanie dávky si vyžaduje opatrnosť (pozri časti 4.4 a 5.2).</w:t>
      </w:r>
      <w:bookmarkEnd w:id="4"/>
    </w:p>
    <w:p w14:paraId="3B9322DA" w14:textId="77777777" w:rsidR="000618A8" w:rsidRPr="005C44A1" w:rsidRDefault="000618A8" w:rsidP="005C44A1">
      <w:pPr>
        <w:ind w:left="0" w:firstLine="0"/>
        <w:rPr>
          <w:szCs w:val="22"/>
        </w:rPr>
      </w:pPr>
    </w:p>
    <w:p w14:paraId="3B9322DB" w14:textId="2C405965" w:rsidR="00273217" w:rsidRPr="005C44A1" w:rsidRDefault="000618A8" w:rsidP="005C44A1">
      <w:pPr>
        <w:ind w:left="0" w:firstLine="0"/>
        <w:rPr>
          <w:szCs w:val="22"/>
        </w:rPr>
      </w:pPr>
      <w:r w:rsidRPr="005C44A1">
        <w:rPr>
          <w:szCs w:val="22"/>
        </w:rPr>
        <w:t xml:space="preserve">Ak je </w:t>
      </w:r>
      <w:r w:rsidR="00273217" w:rsidRPr="005C44A1">
        <w:rPr>
          <w:szCs w:val="22"/>
        </w:rPr>
        <w:t>potrebná</w:t>
      </w:r>
      <w:r w:rsidRPr="005C44A1">
        <w:rPr>
          <w:szCs w:val="22"/>
        </w:rPr>
        <w:t xml:space="preserve"> titrácia na maximálnu dávku 40 mg </w:t>
      </w:r>
      <w:r w:rsidR="00273217" w:rsidRPr="005C44A1">
        <w:rPr>
          <w:szCs w:val="22"/>
        </w:rPr>
        <w:t>olmesart</w:t>
      </w:r>
      <w:r w:rsidR="00C5616A">
        <w:rPr>
          <w:szCs w:val="22"/>
        </w:rPr>
        <w:t>a</w:t>
      </w:r>
      <w:r w:rsidR="00273217" w:rsidRPr="005C44A1">
        <w:rPr>
          <w:szCs w:val="22"/>
        </w:rPr>
        <w:t>nu-medoxomilu</w:t>
      </w:r>
      <w:r w:rsidRPr="005C44A1">
        <w:rPr>
          <w:szCs w:val="22"/>
        </w:rPr>
        <w:t xml:space="preserve"> denne, </w:t>
      </w:r>
      <w:r w:rsidR="00273217" w:rsidRPr="005C44A1">
        <w:rPr>
          <w:szCs w:val="22"/>
        </w:rPr>
        <w:t>má sa dô</w:t>
      </w:r>
      <w:r w:rsidR="003116B0" w:rsidRPr="005C44A1">
        <w:rPr>
          <w:szCs w:val="22"/>
        </w:rPr>
        <w:t>kladne sledovať</w:t>
      </w:r>
      <w:r w:rsidRPr="005C44A1">
        <w:rPr>
          <w:szCs w:val="22"/>
        </w:rPr>
        <w:t xml:space="preserve"> krvn</w:t>
      </w:r>
      <w:r w:rsidR="00273217" w:rsidRPr="005C44A1">
        <w:rPr>
          <w:szCs w:val="22"/>
        </w:rPr>
        <w:t>ý</w:t>
      </w:r>
      <w:r w:rsidRPr="005C44A1">
        <w:rPr>
          <w:szCs w:val="22"/>
        </w:rPr>
        <w:t xml:space="preserve"> tlak</w:t>
      </w:r>
      <w:r w:rsidR="00273217" w:rsidRPr="005C44A1">
        <w:rPr>
          <w:szCs w:val="22"/>
        </w:rPr>
        <w:t>.</w:t>
      </w:r>
    </w:p>
    <w:p w14:paraId="3B9322DC" w14:textId="77777777" w:rsidR="003116B0" w:rsidRPr="005C44A1" w:rsidRDefault="003116B0" w:rsidP="005C44A1">
      <w:pPr>
        <w:ind w:left="0" w:firstLine="0"/>
        <w:rPr>
          <w:szCs w:val="22"/>
        </w:rPr>
      </w:pPr>
      <w:bookmarkStart w:id="5" w:name="_Toc205605529"/>
    </w:p>
    <w:p w14:paraId="3B9322DD" w14:textId="77777777" w:rsidR="00273217" w:rsidRPr="005C44A1" w:rsidRDefault="003116B0" w:rsidP="005C44A1">
      <w:pPr>
        <w:ind w:left="0" w:firstLine="0"/>
        <w:rPr>
          <w:i/>
          <w:szCs w:val="22"/>
        </w:rPr>
      </w:pPr>
      <w:r w:rsidRPr="005C44A1">
        <w:rPr>
          <w:i/>
          <w:szCs w:val="22"/>
        </w:rPr>
        <w:t>Porucha funkcie obličiek</w:t>
      </w:r>
      <w:bookmarkEnd w:id="5"/>
    </w:p>
    <w:p w14:paraId="3B9322DE" w14:textId="3C35C226" w:rsidR="008C316E" w:rsidRPr="005C44A1" w:rsidRDefault="008C316E" w:rsidP="005C44A1">
      <w:pPr>
        <w:ind w:left="0" w:firstLine="0"/>
        <w:rPr>
          <w:szCs w:val="22"/>
        </w:rPr>
      </w:pPr>
      <w:r w:rsidRPr="005C44A1">
        <w:rPr>
          <w:szCs w:val="22"/>
        </w:rPr>
        <w:t>Maximálna dávka olmesart</w:t>
      </w:r>
      <w:r w:rsidR="00C5616A">
        <w:rPr>
          <w:szCs w:val="22"/>
        </w:rPr>
        <w:t>a</w:t>
      </w:r>
      <w:r w:rsidRPr="005C44A1">
        <w:rPr>
          <w:szCs w:val="22"/>
        </w:rPr>
        <w:t xml:space="preserve">nu-medoxomilu u pacientov s </w:t>
      </w:r>
      <w:r w:rsidR="00255B4E" w:rsidRPr="005C44A1">
        <w:rPr>
          <w:szCs w:val="22"/>
        </w:rPr>
        <w:t>miernou</w:t>
      </w:r>
      <w:r w:rsidRPr="005C44A1">
        <w:rPr>
          <w:szCs w:val="22"/>
        </w:rPr>
        <w:t xml:space="preserve"> až stredne </w:t>
      </w:r>
      <w:r w:rsidR="00DA469E">
        <w:rPr>
          <w:szCs w:val="22"/>
        </w:rPr>
        <w:t>závažn</w:t>
      </w:r>
      <w:r w:rsidRPr="005C44A1">
        <w:rPr>
          <w:szCs w:val="22"/>
        </w:rPr>
        <w:t xml:space="preserve">ou poruchou funkcie obličiek (klírens kreatinínu 20 </w:t>
      </w:r>
      <w:r w:rsidR="00DD5C73" w:rsidRPr="005C44A1">
        <w:rPr>
          <w:szCs w:val="22"/>
        </w:rPr>
        <w:t>–</w:t>
      </w:r>
      <w:r w:rsidRPr="005C44A1">
        <w:rPr>
          <w:szCs w:val="22"/>
        </w:rPr>
        <w:t xml:space="preserve"> 60 ml/min) je 20 mg </w:t>
      </w:r>
      <w:r w:rsidR="00DD5C73" w:rsidRPr="005C44A1">
        <w:rPr>
          <w:szCs w:val="22"/>
        </w:rPr>
        <w:t>olmesart</w:t>
      </w:r>
      <w:r w:rsidR="00C5616A">
        <w:rPr>
          <w:szCs w:val="22"/>
        </w:rPr>
        <w:t>a</w:t>
      </w:r>
      <w:r w:rsidR="00DD5C73" w:rsidRPr="005C44A1">
        <w:rPr>
          <w:szCs w:val="22"/>
        </w:rPr>
        <w:t xml:space="preserve">nu-medoxomilu </w:t>
      </w:r>
      <w:r w:rsidRPr="005C44A1">
        <w:rPr>
          <w:szCs w:val="22"/>
        </w:rPr>
        <w:t xml:space="preserve">jedenkrát denne, keďže skúsenosti s podávaním vyšších dávok tejto skupine pacientov sú obmedzené. Podávanie </w:t>
      </w:r>
      <w:r w:rsidR="00DD5C73" w:rsidRPr="005C44A1">
        <w:rPr>
          <w:szCs w:val="22"/>
        </w:rPr>
        <w:t>Reverantzy</w:t>
      </w:r>
      <w:r w:rsidRPr="005C44A1">
        <w:rPr>
          <w:szCs w:val="22"/>
        </w:rPr>
        <w:t xml:space="preserve"> pacientom s</w:t>
      </w:r>
      <w:r w:rsidR="007407E4">
        <w:rPr>
          <w:szCs w:val="22"/>
        </w:rPr>
        <w:t>o</w:t>
      </w:r>
      <w:r w:rsidRPr="005C44A1">
        <w:rPr>
          <w:szCs w:val="22"/>
        </w:rPr>
        <w:t xml:space="preserve"> </w:t>
      </w:r>
      <w:r w:rsidR="00DA469E">
        <w:rPr>
          <w:szCs w:val="22"/>
        </w:rPr>
        <w:t>závažn</w:t>
      </w:r>
      <w:r w:rsidRPr="005C44A1">
        <w:rPr>
          <w:szCs w:val="22"/>
        </w:rPr>
        <w:t>ou poruchou funkcie obličiek (klírens kreatinínu &lt;</w:t>
      </w:r>
      <w:r w:rsidR="00DD5C73" w:rsidRPr="005C44A1">
        <w:rPr>
          <w:szCs w:val="22"/>
        </w:rPr>
        <w:t> </w:t>
      </w:r>
      <w:r w:rsidRPr="005C44A1">
        <w:rPr>
          <w:szCs w:val="22"/>
        </w:rPr>
        <w:t>20 ml/min) sa neodporúča (pozri časti 4.4</w:t>
      </w:r>
      <w:r w:rsidR="008E33FB">
        <w:rPr>
          <w:szCs w:val="22"/>
        </w:rPr>
        <w:t xml:space="preserve"> a</w:t>
      </w:r>
      <w:r w:rsidRPr="005C44A1">
        <w:rPr>
          <w:szCs w:val="22"/>
        </w:rPr>
        <w:t xml:space="preserve"> 5.2).</w:t>
      </w:r>
    </w:p>
    <w:p w14:paraId="3B9322DF" w14:textId="77777777" w:rsidR="009E48AA" w:rsidRPr="005C44A1" w:rsidRDefault="008C316E" w:rsidP="005C44A1">
      <w:pPr>
        <w:ind w:left="0" w:firstLine="0"/>
        <w:rPr>
          <w:i/>
          <w:szCs w:val="22"/>
        </w:rPr>
      </w:pPr>
      <w:r w:rsidRPr="005C44A1">
        <w:rPr>
          <w:szCs w:val="22"/>
        </w:rPr>
        <w:t xml:space="preserve">U pacientov so stredne ťažkou poruchou funkcie obličiek sa odporúča </w:t>
      </w:r>
      <w:r w:rsidR="009E48AA" w:rsidRPr="005C44A1">
        <w:rPr>
          <w:szCs w:val="22"/>
        </w:rPr>
        <w:t>sledovať</w:t>
      </w:r>
      <w:r w:rsidRPr="005C44A1">
        <w:rPr>
          <w:szCs w:val="22"/>
        </w:rPr>
        <w:t xml:space="preserve"> </w:t>
      </w:r>
      <w:r w:rsidR="009E48AA" w:rsidRPr="005C44A1">
        <w:rPr>
          <w:szCs w:val="22"/>
        </w:rPr>
        <w:t>hodnoty</w:t>
      </w:r>
      <w:r w:rsidRPr="005C44A1">
        <w:rPr>
          <w:szCs w:val="22"/>
        </w:rPr>
        <w:t xml:space="preserve"> draslíka a kreatinínu.</w:t>
      </w:r>
    </w:p>
    <w:p w14:paraId="3B9322E0" w14:textId="77777777" w:rsidR="009E48AA" w:rsidRPr="005C44A1" w:rsidRDefault="009E48AA" w:rsidP="005C44A1">
      <w:pPr>
        <w:ind w:left="0" w:firstLine="0"/>
        <w:rPr>
          <w:i/>
          <w:szCs w:val="22"/>
        </w:rPr>
      </w:pPr>
    </w:p>
    <w:p w14:paraId="3B9322E1" w14:textId="77777777" w:rsidR="003116B0" w:rsidRPr="005C44A1" w:rsidRDefault="003116B0" w:rsidP="005C44A1">
      <w:pPr>
        <w:ind w:left="0" w:firstLine="0"/>
        <w:rPr>
          <w:i/>
          <w:szCs w:val="22"/>
        </w:rPr>
      </w:pPr>
      <w:r w:rsidRPr="005C44A1">
        <w:rPr>
          <w:i/>
          <w:szCs w:val="22"/>
        </w:rPr>
        <w:t xml:space="preserve">Porucha funkcie </w:t>
      </w:r>
      <w:r w:rsidR="008C316E" w:rsidRPr="005C44A1">
        <w:rPr>
          <w:i/>
          <w:szCs w:val="22"/>
        </w:rPr>
        <w:t>pečene</w:t>
      </w:r>
    </w:p>
    <w:p w14:paraId="3B9322E2" w14:textId="75661321" w:rsidR="003116B0" w:rsidRPr="005C44A1" w:rsidRDefault="00255B4E" w:rsidP="005C44A1">
      <w:pPr>
        <w:ind w:left="0" w:firstLine="0"/>
        <w:rPr>
          <w:szCs w:val="22"/>
        </w:rPr>
      </w:pPr>
      <w:r w:rsidRPr="005C44A1">
        <w:rPr>
          <w:szCs w:val="22"/>
        </w:rPr>
        <w:t xml:space="preserve">U pacientov s miernou až stredne </w:t>
      </w:r>
      <w:r w:rsidR="00DA469E">
        <w:rPr>
          <w:szCs w:val="22"/>
        </w:rPr>
        <w:t>závažn</w:t>
      </w:r>
      <w:r w:rsidRPr="005C44A1">
        <w:rPr>
          <w:szCs w:val="22"/>
        </w:rPr>
        <w:t xml:space="preserve">ou poruchou funkcie pečene sa má </w:t>
      </w:r>
      <w:r w:rsidR="001C58A6" w:rsidRPr="005C44A1">
        <w:rPr>
          <w:szCs w:val="22"/>
        </w:rPr>
        <w:t>Reverantza</w:t>
      </w:r>
      <w:r w:rsidRPr="005C44A1">
        <w:rPr>
          <w:szCs w:val="22"/>
        </w:rPr>
        <w:t xml:space="preserve"> podávať s opatrnosťou </w:t>
      </w:r>
      <w:r w:rsidR="001C58A6" w:rsidRPr="005C44A1">
        <w:rPr>
          <w:szCs w:val="22"/>
        </w:rPr>
        <w:t>(pozri časti 4.4</w:t>
      </w:r>
      <w:r w:rsidR="008E33FB">
        <w:rPr>
          <w:szCs w:val="22"/>
        </w:rPr>
        <w:t xml:space="preserve"> a</w:t>
      </w:r>
      <w:r w:rsidR="001C58A6" w:rsidRPr="005C44A1">
        <w:rPr>
          <w:szCs w:val="22"/>
        </w:rPr>
        <w:t xml:space="preserve"> 5.2).</w:t>
      </w:r>
    </w:p>
    <w:p w14:paraId="3B9322E3" w14:textId="77777777" w:rsidR="009E48AA" w:rsidRPr="005C44A1" w:rsidRDefault="009E48AA" w:rsidP="005C44A1">
      <w:pPr>
        <w:ind w:left="0" w:firstLine="0"/>
        <w:rPr>
          <w:szCs w:val="22"/>
        </w:rPr>
      </w:pPr>
    </w:p>
    <w:p w14:paraId="3B9322E4" w14:textId="09A88F9C" w:rsidR="000E7166" w:rsidRPr="005C44A1" w:rsidRDefault="000E7166" w:rsidP="005C44A1">
      <w:pPr>
        <w:ind w:left="0" w:firstLine="0"/>
        <w:rPr>
          <w:szCs w:val="22"/>
        </w:rPr>
      </w:pPr>
      <w:r w:rsidRPr="005C44A1">
        <w:rPr>
          <w:szCs w:val="22"/>
        </w:rPr>
        <w:t xml:space="preserve">U pacientov so stredne </w:t>
      </w:r>
      <w:r w:rsidR="007407E4">
        <w:rPr>
          <w:szCs w:val="22"/>
        </w:rPr>
        <w:t>závažn</w:t>
      </w:r>
      <w:r w:rsidRPr="005C44A1">
        <w:rPr>
          <w:szCs w:val="22"/>
        </w:rPr>
        <w:t>ou poruchou funkcie pečene sa odporúča začiatočná dávka 10 mg olmesart</w:t>
      </w:r>
      <w:r w:rsidR="0023421A">
        <w:rPr>
          <w:szCs w:val="22"/>
        </w:rPr>
        <w:t>a</w:t>
      </w:r>
      <w:r w:rsidRPr="005C44A1">
        <w:rPr>
          <w:szCs w:val="22"/>
        </w:rPr>
        <w:t>nu-medoxomilu jedenkrát denne a maximálna dávka nemá presiahnuť 20 mg jedenkrát denne. D</w:t>
      </w:r>
      <w:r w:rsidR="004F2778" w:rsidRPr="005C44A1">
        <w:rPr>
          <w:szCs w:val="22"/>
        </w:rPr>
        <w:t>ôkladné sledovanie</w:t>
      </w:r>
      <w:r w:rsidRPr="005C44A1">
        <w:rPr>
          <w:szCs w:val="22"/>
        </w:rPr>
        <w:t xml:space="preserve"> krvného tlaku a funkcie obličiek sa odporúča u tých pacientov s poruchou funkcie pečene, ktorí už užívajú diuretiká a/alebo iné antihypertenzíva. U pacientov s</w:t>
      </w:r>
      <w:r w:rsidR="007407E4">
        <w:rPr>
          <w:szCs w:val="22"/>
        </w:rPr>
        <w:t>o</w:t>
      </w:r>
      <w:r w:rsidRPr="005C44A1">
        <w:rPr>
          <w:szCs w:val="22"/>
        </w:rPr>
        <w:t xml:space="preserve"> </w:t>
      </w:r>
      <w:r w:rsidR="007407E4">
        <w:rPr>
          <w:szCs w:val="22"/>
        </w:rPr>
        <w:t>závažn</w:t>
      </w:r>
      <w:r w:rsidRPr="005C44A1">
        <w:rPr>
          <w:szCs w:val="22"/>
        </w:rPr>
        <w:t xml:space="preserve">ou poruchou funkcie pečene nie sú s podávaním </w:t>
      </w:r>
      <w:r w:rsidR="00697C91" w:rsidRPr="005C44A1">
        <w:rPr>
          <w:szCs w:val="22"/>
        </w:rPr>
        <w:t>olmesart</w:t>
      </w:r>
      <w:r w:rsidR="008D24D2">
        <w:rPr>
          <w:szCs w:val="22"/>
        </w:rPr>
        <w:t>a</w:t>
      </w:r>
      <w:r w:rsidR="00697C91" w:rsidRPr="005C44A1">
        <w:rPr>
          <w:szCs w:val="22"/>
        </w:rPr>
        <w:t xml:space="preserve">nu-medoxomilu </w:t>
      </w:r>
      <w:r w:rsidRPr="005C44A1">
        <w:rPr>
          <w:szCs w:val="22"/>
        </w:rPr>
        <w:t>žiadne skúsenosti.</w:t>
      </w:r>
    </w:p>
    <w:p w14:paraId="3B9322E5" w14:textId="77777777" w:rsidR="000E7166" w:rsidRPr="005C44A1" w:rsidRDefault="000E7166" w:rsidP="005C44A1">
      <w:pPr>
        <w:ind w:left="0" w:firstLine="0"/>
        <w:rPr>
          <w:szCs w:val="22"/>
        </w:rPr>
      </w:pPr>
    </w:p>
    <w:p w14:paraId="3B9322E6" w14:textId="09F16FE7" w:rsidR="00A26F7C" w:rsidRPr="005C44A1" w:rsidRDefault="000E7166" w:rsidP="005C44A1">
      <w:pPr>
        <w:ind w:left="0" w:firstLine="0"/>
        <w:rPr>
          <w:szCs w:val="22"/>
        </w:rPr>
      </w:pPr>
      <w:r w:rsidRPr="005C44A1">
        <w:rPr>
          <w:szCs w:val="22"/>
        </w:rPr>
        <w:t xml:space="preserve">Tak ako </w:t>
      </w:r>
      <w:r w:rsidR="00B12FC5" w:rsidRPr="005C44A1">
        <w:rPr>
          <w:szCs w:val="22"/>
        </w:rPr>
        <w:t>u všetkých</w:t>
      </w:r>
      <w:r w:rsidRPr="005C44A1">
        <w:rPr>
          <w:szCs w:val="22"/>
        </w:rPr>
        <w:t xml:space="preserve"> antagonistov kalcia je polčas amlodipínu predĺžený u pacientov s poruchou funkcie pečene a odporúčania týkajúce sa dávkovania stanovené neboli. Preto </w:t>
      </w:r>
      <w:r w:rsidR="00A26F7C" w:rsidRPr="005C44A1">
        <w:rPr>
          <w:szCs w:val="22"/>
        </w:rPr>
        <w:t xml:space="preserve">sa má Reverantza </w:t>
      </w:r>
      <w:r w:rsidRPr="005C44A1">
        <w:rPr>
          <w:szCs w:val="22"/>
        </w:rPr>
        <w:t xml:space="preserve">u týchto pacientov podávať </w:t>
      </w:r>
      <w:r w:rsidR="002E641A">
        <w:rPr>
          <w:szCs w:val="22"/>
        </w:rPr>
        <w:t xml:space="preserve">s </w:t>
      </w:r>
      <w:r w:rsidR="00A26F7C" w:rsidRPr="005C44A1">
        <w:rPr>
          <w:szCs w:val="22"/>
        </w:rPr>
        <w:t>opatrn</w:t>
      </w:r>
      <w:r w:rsidR="002E641A">
        <w:rPr>
          <w:szCs w:val="22"/>
        </w:rPr>
        <w:t>osťou</w:t>
      </w:r>
      <w:r w:rsidR="00A26F7C" w:rsidRPr="005C44A1">
        <w:rPr>
          <w:szCs w:val="22"/>
        </w:rPr>
        <w:t xml:space="preserve">. Farmakokinetika amlodipínu </w:t>
      </w:r>
      <w:r w:rsidR="00F27A2E" w:rsidRPr="005C44A1">
        <w:rPr>
          <w:szCs w:val="22"/>
        </w:rPr>
        <w:t xml:space="preserve">sa pri </w:t>
      </w:r>
      <w:r w:rsidR="007407E4">
        <w:rPr>
          <w:szCs w:val="22"/>
        </w:rPr>
        <w:t>závažn</w:t>
      </w:r>
      <w:r w:rsidR="00F27A2E" w:rsidRPr="005C44A1">
        <w:rPr>
          <w:szCs w:val="22"/>
        </w:rPr>
        <w:t xml:space="preserve">ej poruche </w:t>
      </w:r>
      <w:r w:rsidR="00A26F7C" w:rsidRPr="005C44A1">
        <w:rPr>
          <w:szCs w:val="22"/>
        </w:rPr>
        <w:t>funkcie pečene</w:t>
      </w:r>
      <w:r w:rsidR="00F81FF3">
        <w:rPr>
          <w:szCs w:val="22"/>
        </w:rPr>
        <w:t xml:space="preserve"> </w:t>
      </w:r>
      <w:r w:rsidR="00F81FF3" w:rsidRPr="00F81FF3">
        <w:rPr>
          <w:color w:val="000000" w:themeColor="text1"/>
          <w:szCs w:val="22"/>
        </w:rPr>
        <w:t>neskúmala</w:t>
      </w:r>
      <w:r w:rsidR="00A26F7C" w:rsidRPr="005C44A1">
        <w:rPr>
          <w:szCs w:val="22"/>
        </w:rPr>
        <w:t xml:space="preserve">. Liečba amlodipínom u pacientov s poruchou funkcie pečene sa má začať najnižšou dávkou a pomaly titrovať. Použitie </w:t>
      </w:r>
      <w:r w:rsidR="008E04A8" w:rsidRPr="005C44A1">
        <w:rPr>
          <w:szCs w:val="22"/>
        </w:rPr>
        <w:t>Reverantzy</w:t>
      </w:r>
      <w:r w:rsidR="00A26F7C" w:rsidRPr="005C44A1">
        <w:rPr>
          <w:szCs w:val="22"/>
        </w:rPr>
        <w:t xml:space="preserve"> u pacientov s</w:t>
      </w:r>
      <w:r w:rsidR="007407E4">
        <w:rPr>
          <w:szCs w:val="22"/>
        </w:rPr>
        <w:t>o</w:t>
      </w:r>
      <w:r w:rsidR="00A26F7C" w:rsidRPr="005C44A1">
        <w:rPr>
          <w:szCs w:val="22"/>
        </w:rPr>
        <w:t xml:space="preserve"> </w:t>
      </w:r>
      <w:r w:rsidR="007407E4">
        <w:rPr>
          <w:szCs w:val="22"/>
        </w:rPr>
        <w:t>závažn</w:t>
      </w:r>
      <w:r w:rsidR="00A26F7C" w:rsidRPr="005C44A1">
        <w:rPr>
          <w:szCs w:val="22"/>
        </w:rPr>
        <w:t>ou poruchou funkcie pečene je kontraindikované (pozri časť 4.3).</w:t>
      </w:r>
    </w:p>
    <w:p w14:paraId="3B9322E7" w14:textId="77777777" w:rsidR="00A26F7C" w:rsidRPr="005C44A1" w:rsidRDefault="00A26F7C" w:rsidP="005C44A1">
      <w:pPr>
        <w:ind w:left="0" w:firstLine="0"/>
        <w:rPr>
          <w:szCs w:val="22"/>
        </w:rPr>
      </w:pPr>
    </w:p>
    <w:p w14:paraId="3B9322E8" w14:textId="77777777" w:rsidR="00B06E24" w:rsidRPr="005C44A1" w:rsidRDefault="0067565E" w:rsidP="005C44A1">
      <w:pPr>
        <w:ind w:left="0" w:firstLine="0"/>
        <w:rPr>
          <w:b/>
          <w:i/>
          <w:szCs w:val="22"/>
        </w:rPr>
      </w:pPr>
      <w:r w:rsidRPr="005C44A1">
        <w:rPr>
          <w:i/>
          <w:noProof/>
          <w:szCs w:val="22"/>
        </w:rPr>
        <w:t>Pediatrická populácia</w:t>
      </w:r>
    </w:p>
    <w:p w14:paraId="3B9322E9" w14:textId="0E5EAAEA" w:rsidR="00E1698A" w:rsidRPr="005C44A1" w:rsidRDefault="00386E3A" w:rsidP="005C44A1">
      <w:pPr>
        <w:autoSpaceDE w:val="0"/>
        <w:autoSpaceDN w:val="0"/>
        <w:adjustRightInd w:val="0"/>
        <w:ind w:left="0" w:firstLine="0"/>
        <w:rPr>
          <w:szCs w:val="22"/>
        </w:rPr>
      </w:pPr>
      <w:r w:rsidRPr="005C44A1">
        <w:rPr>
          <w:szCs w:val="22"/>
        </w:rPr>
        <w:t>Bezpečnosť a účinnosť olmesart</w:t>
      </w:r>
      <w:r w:rsidR="00DA6354">
        <w:rPr>
          <w:szCs w:val="22"/>
        </w:rPr>
        <w:t>a</w:t>
      </w:r>
      <w:r w:rsidRPr="005C44A1">
        <w:rPr>
          <w:szCs w:val="22"/>
        </w:rPr>
        <w:t xml:space="preserve">nu-medoxomilu/amlodipínu u detí a dospievajúcich mladších ako 18 rokov </w:t>
      </w:r>
      <w:r w:rsidR="001F22D0" w:rsidRPr="005C44A1">
        <w:rPr>
          <w:szCs w:val="22"/>
        </w:rPr>
        <w:t>nebola stanovená. K dispozícii nie sú žiadne údaje.</w:t>
      </w:r>
    </w:p>
    <w:p w14:paraId="3B9322EA" w14:textId="77777777" w:rsidR="00386E3A" w:rsidRPr="005C44A1" w:rsidRDefault="00386E3A" w:rsidP="005C44A1">
      <w:pPr>
        <w:rPr>
          <w:szCs w:val="22"/>
          <w:u w:val="single"/>
        </w:rPr>
      </w:pPr>
    </w:p>
    <w:p w14:paraId="3B9322EB" w14:textId="77777777" w:rsidR="00E1698A" w:rsidRPr="005C44A1" w:rsidRDefault="0067565E" w:rsidP="005C44A1">
      <w:pPr>
        <w:rPr>
          <w:szCs w:val="22"/>
          <w:u w:val="single"/>
        </w:rPr>
      </w:pPr>
      <w:r w:rsidRPr="005C44A1">
        <w:rPr>
          <w:szCs w:val="22"/>
          <w:u w:val="single"/>
        </w:rPr>
        <w:t>Spôsob</w:t>
      </w:r>
      <w:r w:rsidR="00B06E24" w:rsidRPr="005C44A1">
        <w:rPr>
          <w:noProof/>
          <w:szCs w:val="22"/>
          <w:u w:val="single"/>
        </w:rPr>
        <w:t xml:space="preserve"> podávania</w:t>
      </w:r>
    </w:p>
    <w:p w14:paraId="3B9322EC" w14:textId="77777777" w:rsidR="00E1698A" w:rsidRPr="005C44A1" w:rsidRDefault="001F22D0" w:rsidP="005C44A1">
      <w:pPr>
        <w:ind w:left="0" w:firstLine="0"/>
        <w:rPr>
          <w:szCs w:val="22"/>
        </w:rPr>
      </w:pPr>
      <w:r w:rsidRPr="005C44A1">
        <w:rPr>
          <w:szCs w:val="22"/>
        </w:rPr>
        <w:t xml:space="preserve">Tableta sa má prehltnúť </w:t>
      </w:r>
      <w:r w:rsidR="00005308" w:rsidRPr="005C44A1">
        <w:rPr>
          <w:szCs w:val="22"/>
        </w:rPr>
        <w:t>a zapiť</w:t>
      </w:r>
      <w:r w:rsidRPr="005C44A1">
        <w:rPr>
          <w:szCs w:val="22"/>
        </w:rPr>
        <w:t xml:space="preserve"> dostatočným množstvom tekutiny (napr. jedným pohárom vody).</w:t>
      </w:r>
      <w:r w:rsidR="00005308" w:rsidRPr="005C44A1">
        <w:rPr>
          <w:szCs w:val="22"/>
        </w:rPr>
        <w:t xml:space="preserve"> </w:t>
      </w:r>
      <w:r w:rsidRPr="005C44A1">
        <w:rPr>
          <w:szCs w:val="22"/>
        </w:rPr>
        <w:t>Tableta sa ne</w:t>
      </w:r>
      <w:r w:rsidR="00056924" w:rsidRPr="005C44A1">
        <w:rPr>
          <w:szCs w:val="22"/>
        </w:rPr>
        <w:t>má žuvať</w:t>
      </w:r>
      <w:r w:rsidRPr="005C44A1">
        <w:rPr>
          <w:szCs w:val="22"/>
        </w:rPr>
        <w:t xml:space="preserve"> a</w:t>
      </w:r>
      <w:r w:rsidR="00056924" w:rsidRPr="005C44A1">
        <w:rPr>
          <w:szCs w:val="22"/>
        </w:rPr>
        <w:t xml:space="preserve"> má </w:t>
      </w:r>
      <w:r w:rsidRPr="005C44A1">
        <w:rPr>
          <w:szCs w:val="22"/>
        </w:rPr>
        <w:t>sa užívať každý deň v rovnakom čase.</w:t>
      </w:r>
    </w:p>
    <w:p w14:paraId="3B9322ED" w14:textId="77777777" w:rsidR="00780926" w:rsidRPr="005C44A1" w:rsidRDefault="00780926" w:rsidP="005C44A1">
      <w:pPr>
        <w:rPr>
          <w:szCs w:val="22"/>
        </w:rPr>
      </w:pPr>
    </w:p>
    <w:p w14:paraId="3B9322EE" w14:textId="77777777" w:rsidR="00780926" w:rsidRPr="005C44A1" w:rsidRDefault="0067565E" w:rsidP="005C44A1">
      <w:pPr>
        <w:rPr>
          <w:szCs w:val="22"/>
        </w:rPr>
      </w:pPr>
      <w:r w:rsidRPr="005C44A1">
        <w:rPr>
          <w:b/>
          <w:szCs w:val="22"/>
        </w:rPr>
        <w:t>4.3</w:t>
      </w:r>
      <w:r w:rsidRPr="005C44A1">
        <w:rPr>
          <w:b/>
          <w:szCs w:val="22"/>
        </w:rPr>
        <w:tab/>
        <w:t>Kontraindikácie</w:t>
      </w:r>
    </w:p>
    <w:p w14:paraId="3B9322EF" w14:textId="77777777" w:rsidR="00780926" w:rsidRPr="005C44A1" w:rsidRDefault="00780926" w:rsidP="005C44A1">
      <w:pPr>
        <w:rPr>
          <w:szCs w:val="22"/>
        </w:rPr>
      </w:pPr>
    </w:p>
    <w:p w14:paraId="3B9322F0" w14:textId="77777777" w:rsidR="00780926" w:rsidRPr="005C44A1" w:rsidRDefault="0067565E" w:rsidP="005C44A1">
      <w:pPr>
        <w:pStyle w:val="Zkladntext"/>
        <w:numPr>
          <w:ilvl w:val="0"/>
          <w:numId w:val="13"/>
        </w:numPr>
        <w:ind w:left="567" w:hanging="567"/>
        <w:rPr>
          <w:noProof/>
          <w:szCs w:val="22"/>
        </w:rPr>
      </w:pPr>
      <w:r w:rsidRPr="005C44A1">
        <w:rPr>
          <w:szCs w:val="22"/>
        </w:rPr>
        <w:t>Precitlivenosť na liečivá</w:t>
      </w:r>
      <w:r w:rsidR="008F5ED1" w:rsidRPr="005C44A1">
        <w:rPr>
          <w:szCs w:val="22"/>
        </w:rPr>
        <w:t xml:space="preserve">, na deriváty dihydropyridínu </w:t>
      </w:r>
      <w:r w:rsidRPr="005C44A1">
        <w:rPr>
          <w:szCs w:val="22"/>
        </w:rPr>
        <w:t xml:space="preserve">alebo na </w:t>
      </w:r>
      <w:r w:rsidRPr="005C44A1">
        <w:rPr>
          <w:noProof/>
          <w:szCs w:val="22"/>
        </w:rPr>
        <w:t>ktorúkoľvek</w:t>
      </w:r>
      <w:r w:rsidRPr="005C44A1">
        <w:rPr>
          <w:szCs w:val="22"/>
        </w:rPr>
        <w:t xml:space="preserve"> z pomocných látok </w:t>
      </w:r>
      <w:r w:rsidR="008F5ED1" w:rsidRPr="005C44A1">
        <w:rPr>
          <w:noProof/>
          <w:szCs w:val="22"/>
        </w:rPr>
        <w:t>uvedených v časti 6.1.</w:t>
      </w:r>
    </w:p>
    <w:p w14:paraId="3B9322F1" w14:textId="77777777" w:rsidR="00530E36" w:rsidRPr="005C44A1" w:rsidRDefault="00530E36" w:rsidP="005C44A1">
      <w:pPr>
        <w:pStyle w:val="Odsekzoznamu"/>
        <w:numPr>
          <w:ilvl w:val="0"/>
          <w:numId w:val="13"/>
        </w:numPr>
        <w:ind w:left="567" w:hanging="567"/>
        <w:rPr>
          <w:szCs w:val="22"/>
        </w:rPr>
      </w:pPr>
      <w:r w:rsidRPr="005C44A1">
        <w:rPr>
          <w:szCs w:val="22"/>
        </w:rPr>
        <w:t>Druhý a tretí trimester gravidity (pozri časti 4.4 a 4.6).</w:t>
      </w:r>
    </w:p>
    <w:p w14:paraId="3B9322F2" w14:textId="77777777" w:rsidR="00530E36" w:rsidRPr="005C44A1" w:rsidRDefault="0042341B" w:rsidP="005C44A1">
      <w:pPr>
        <w:pStyle w:val="Odsekzoznamu"/>
        <w:numPr>
          <w:ilvl w:val="0"/>
          <w:numId w:val="13"/>
        </w:numPr>
        <w:ind w:left="567" w:hanging="567"/>
        <w:rPr>
          <w:szCs w:val="22"/>
        </w:rPr>
      </w:pPr>
      <w:r w:rsidRPr="005C44A1">
        <w:rPr>
          <w:szCs w:val="22"/>
        </w:rPr>
        <w:t>Ťažká</w:t>
      </w:r>
      <w:r w:rsidR="00530E36" w:rsidRPr="005C44A1">
        <w:rPr>
          <w:szCs w:val="22"/>
        </w:rPr>
        <w:t xml:space="preserve"> insuficiencia </w:t>
      </w:r>
      <w:r w:rsidR="002608B1" w:rsidRPr="005C44A1">
        <w:rPr>
          <w:szCs w:val="22"/>
        </w:rPr>
        <w:t xml:space="preserve">pečene </w:t>
      </w:r>
      <w:r w:rsidR="00530E36" w:rsidRPr="005C44A1">
        <w:rPr>
          <w:szCs w:val="22"/>
        </w:rPr>
        <w:t>a obštrukcia žlčových ciest (pozri časť 5.2).</w:t>
      </w:r>
    </w:p>
    <w:p w14:paraId="3B9322F3" w14:textId="77777777" w:rsidR="00530E36" w:rsidRPr="005C44A1" w:rsidRDefault="00530E36" w:rsidP="005C44A1">
      <w:pPr>
        <w:pStyle w:val="Odsekzoznamu"/>
        <w:numPr>
          <w:ilvl w:val="0"/>
          <w:numId w:val="13"/>
        </w:numPr>
        <w:ind w:left="567" w:hanging="567"/>
        <w:rPr>
          <w:szCs w:val="22"/>
        </w:rPr>
      </w:pPr>
      <w:r w:rsidRPr="005C44A1">
        <w:rPr>
          <w:szCs w:val="22"/>
        </w:rPr>
        <w:t xml:space="preserve">Súbežné používanie </w:t>
      </w:r>
      <w:r w:rsidR="002608B1" w:rsidRPr="005C44A1">
        <w:rPr>
          <w:szCs w:val="22"/>
        </w:rPr>
        <w:t>Reverantzy</w:t>
      </w:r>
      <w:r w:rsidRPr="005C44A1">
        <w:rPr>
          <w:szCs w:val="22"/>
        </w:rPr>
        <w:t xml:space="preserve"> s liekmi obsahujúcimi aliskirén je kontraindikované u pacientov s diabetes mellitus alebo poruchou funkcie obličiek (GFR &lt; 60 ml/min/1,73 m</w:t>
      </w:r>
      <w:r w:rsidRPr="005C44A1">
        <w:rPr>
          <w:szCs w:val="22"/>
          <w:vertAlign w:val="superscript"/>
        </w:rPr>
        <w:t>2</w:t>
      </w:r>
      <w:r w:rsidRPr="005C44A1">
        <w:rPr>
          <w:szCs w:val="22"/>
        </w:rPr>
        <w:t>) (pozri časti 4.5 a 5.1).</w:t>
      </w:r>
    </w:p>
    <w:p w14:paraId="3B9322F4" w14:textId="77777777" w:rsidR="00530E36" w:rsidRPr="005C44A1" w:rsidRDefault="00530E36" w:rsidP="005C44A1">
      <w:pPr>
        <w:rPr>
          <w:szCs w:val="22"/>
        </w:rPr>
      </w:pPr>
    </w:p>
    <w:p w14:paraId="3B9322F5" w14:textId="77777777" w:rsidR="00530E36" w:rsidRPr="005C44A1" w:rsidRDefault="00530E36" w:rsidP="005C44A1">
      <w:pPr>
        <w:rPr>
          <w:szCs w:val="22"/>
        </w:rPr>
      </w:pPr>
      <w:r w:rsidRPr="005C44A1">
        <w:rPr>
          <w:szCs w:val="22"/>
        </w:rPr>
        <w:t xml:space="preserve">Kvôli obsahu amlodipínu je </w:t>
      </w:r>
      <w:r w:rsidR="0042341B" w:rsidRPr="005C44A1">
        <w:rPr>
          <w:szCs w:val="22"/>
        </w:rPr>
        <w:t>Reverantza</w:t>
      </w:r>
      <w:r w:rsidRPr="005C44A1">
        <w:rPr>
          <w:szCs w:val="22"/>
        </w:rPr>
        <w:t xml:space="preserve"> kontraindikovan</w:t>
      </w:r>
      <w:r w:rsidR="0042341B" w:rsidRPr="005C44A1">
        <w:rPr>
          <w:szCs w:val="22"/>
        </w:rPr>
        <w:t>á</w:t>
      </w:r>
      <w:r w:rsidRPr="005C44A1">
        <w:rPr>
          <w:szCs w:val="22"/>
        </w:rPr>
        <w:t xml:space="preserve"> aj u</w:t>
      </w:r>
      <w:r w:rsidR="00D941B7" w:rsidRPr="005C44A1">
        <w:rPr>
          <w:szCs w:val="22"/>
        </w:rPr>
        <w:t> </w:t>
      </w:r>
      <w:r w:rsidRPr="005C44A1">
        <w:rPr>
          <w:szCs w:val="22"/>
        </w:rPr>
        <w:t>pacientov</w:t>
      </w:r>
      <w:r w:rsidR="00D941B7" w:rsidRPr="005C44A1">
        <w:rPr>
          <w:szCs w:val="22"/>
        </w:rPr>
        <w:t>, ktorí majú</w:t>
      </w:r>
      <w:r w:rsidRPr="005C44A1">
        <w:rPr>
          <w:szCs w:val="22"/>
        </w:rPr>
        <w:t>:</w:t>
      </w:r>
    </w:p>
    <w:p w14:paraId="3B9322F6" w14:textId="77777777" w:rsidR="00530E36" w:rsidRPr="005C44A1" w:rsidRDefault="00530E36" w:rsidP="005C44A1">
      <w:pPr>
        <w:pStyle w:val="Odsekzoznamu"/>
        <w:numPr>
          <w:ilvl w:val="0"/>
          <w:numId w:val="15"/>
        </w:numPr>
        <w:ind w:left="567" w:hanging="567"/>
        <w:rPr>
          <w:szCs w:val="22"/>
        </w:rPr>
      </w:pPr>
      <w:r w:rsidRPr="005C44A1">
        <w:rPr>
          <w:szCs w:val="22"/>
        </w:rPr>
        <w:t>ťažk</w:t>
      </w:r>
      <w:r w:rsidR="00D941B7" w:rsidRPr="005C44A1">
        <w:rPr>
          <w:szCs w:val="22"/>
        </w:rPr>
        <w:t>ú</w:t>
      </w:r>
      <w:r w:rsidRPr="005C44A1">
        <w:rPr>
          <w:szCs w:val="22"/>
        </w:rPr>
        <w:t xml:space="preserve"> hypotenziu</w:t>
      </w:r>
      <w:r w:rsidR="00D941B7" w:rsidRPr="005C44A1">
        <w:rPr>
          <w:szCs w:val="22"/>
        </w:rPr>
        <w:t>,</w:t>
      </w:r>
    </w:p>
    <w:p w14:paraId="3B9322F7" w14:textId="77777777" w:rsidR="00530E36" w:rsidRPr="005C44A1" w:rsidRDefault="00530E36" w:rsidP="005C44A1">
      <w:pPr>
        <w:pStyle w:val="Odsekzoznamu"/>
        <w:numPr>
          <w:ilvl w:val="0"/>
          <w:numId w:val="15"/>
        </w:numPr>
        <w:ind w:left="567" w:hanging="567"/>
        <w:rPr>
          <w:szCs w:val="22"/>
        </w:rPr>
      </w:pPr>
      <w:r w:rsidRPr="005C44A1">
        <w:rPr>
          <w:szCs w:val="22"/>
        </w:rPr>
        <w:t>šok (vrátane kardiogénneho</w:t>
      </w:r>
      <w:r w:rsidR="00D941B7" w:rsidRPr="005C44A1">
        <w:rPr>
          <w:szCs w:val="22"/>
        </w:rPr>
        <w:t xml:space="preserve"> šoku</w:t>
      </w:r>
      <w:r w:rsidRPr="005C44A1">
        <w:rPr>
          <w:szCs w:val="22"/>
        </w:rPr>
        <w:t>),</w:t>
      </w:r>
    </w:p>
    <w:p w14:paraId="3B9322F8" w14:textId="4EF32350" w:rsidR="00D941B7" w:rsidRPr="005C44A1" w:rsidRDefault="00530E36" w:rsidP="005C44A1">
      <w:pPr>
        <w:pStyle w:val="Odsekzoznamu"/>
        <w:numPr>
          <w:ilvl w:val="0"/>
          <w:numId w:val="15"/>
        </w:numPr>
        <w:ind w:left="567" w:hanging="567"/>
        <w:rPr>
          <w:szCs w:val="22"/>
        </w:rPr>
      </w:pPr>
      <w:r w:rsidRPr="005C44A1">
        <w:rPr>
          <w:szCs w:val="22"/>
        </w:rPr>
        <w:t>obštrukciu výtoku z ľavej komory (t.</w:t>
      </w:r>
      <w:r w:rsidR="005845A0">
        <w:rPr>
          <w:szCs w:val="22"/>
        </w:rPr>
        <w:t xml:space="preserve"> </w:t>
      </w:r>
      <w:r w:rsidRPr="005C44A1">
        <w:rPr>
          <w:szCs w:val="22"/>
        </w:rPr>
        <w:t>j. aortálnu stenózu vysokého stupňa),</w:t>
      </w:r>
    </w:p>
    <w:p w14:paraId="3B9322F9" w14:textId="746F319C" w:rsidR="0042341B" w:rsidRPr="005C44A1" w:rsidRDefault="00530E36" w:rsidP="005C44A1">
      <w:pPr>
        <w:pStyle w:val="Odsekzoznamu"/>
        <w:numPr>
          <w:ilvl w:val="0"/>
          <w:numId w:val="15"/>
        </w:numPr>
        <w:ind w:left="567" w:hanging="567"/>
        <w:rPr>
          <w:szCs w:val="22"/>
        </w:rPr>
      </w:pPr>
      <w:r w:rsidRPr="005C44A1">
        <w:rPr>
          <w:szCs w:val="22"/>
        </w:rPr>
        <w:t>hemodynamicky nestabiln</w:t>
      </w:r>
      <w:r w:rsidR="00E732D0" w:rsidRPr="005C44A1">
        <w:rPr>
          <w:szCs w:val="22"/>
        </w:rPr>
        <w:t>é</w:t>
      </w:r>
      <w:r w:rsidRPr="005C44A1">
        <w:rPr>
          <w:szCs w:val="22"/>
        </w:rPr>
        <w:t xml:space="preserve"> zlyh</w:t>
      </w:r>
      <w:r w:rsidR="00FD5A71">
        <w:rPr>
          <w:szCs w:val="22"/>
        </w:rPr>
        <w:t>áv</w:t>
      </w:r>
      <w:r w:rsidRPr="005C44A1">
        <w:rPr>
          <w:szCs w:val="22"/>
        </w:rPr>
        <w:t>an</w:t>
      </w:r>
      <w:r w:rsidR="00E732D0" w:rsidRPr="005C44A1">
        <w:rPr>
          <w:szCs w:val="22"/>
        </w:rPr>
        <w:t>ie</w:t>
      </w:r>
      <w:r w:rsidRPr="005C44A1">
        <w:rPr>
          <w:szCs w:val="22"/>
        </w:rPr>
        <w:t xml:space="preserve"> srdca po akútnom infarkte myokardu.</w:t>
      </w:r>
    </w:p>
    <w:p w14:paraId="3B9322FA" w14:textId="77777777" w:rsidR="0042341B" w:rsidRPr="005C44A1" w:rsidRDefault="0042341B" w:rsidP="005C44A1">
      <w:pPr>
        <w:pStyle w:val="Odsekzoznamu"/>
        <w:ind w:firstLine="0"/>
        <w:rPr>
          <w:b/>
          <w:szCs w:val="22"/>
        </w:rPr>
      </w:pPr>
    </w:p>
    <w:p w14:paraId="3B9322FB" w14:textId="77777777" w:rsidR="00780926" w:rsidRPr="005C44A1" w:rsidRDefault="0067565E" w:rsidP="005C44A1">
      <w:pPr>
        <w:rPr>
          <w:b/>
          <w:szCs w:val="22"/>
        </w:rPr>
      </w:pPr>
      <w:r w:rsidRPr="005C44A1">
        <w:rPr>
          <w:b/>
          <w:szCs w:val="22"/>
        </w:rPr>
        <w:t>4.4</w:t>
      </w:r>
      <w:r w:rsidRPr="005C44A1">
        <w:rPr>
          <w:b/>
          <w:szCs w:val="22"/>
        </w:rPr>
        <w:tab/>
        <w:t>Osobitné upozornenia a opatrenia pri používaní</w:t>
      </w:r>
    </w:p>
    <w:p w14:paraId="3B9322FC" w14:textId="77777777" w:rsidR="00E1698A" w:rsidRPr="005C44A1" w:rsidRDefault="00E1698A" w:rsidP="005C44A1">
      <w:pPr>
        <w:rPr>
          <w:szCs w:val="22"/>
        </w:rPr>
      </w:pPr>
    </w:p>
    <w:p w14:paraId="3B9322FD" w14:textId="77777777" w:rsidR="004A531E" w:rsidRPr="005C44A1" w:rsidRDefault="004A531E" w:rsidP="005C44A1">
      <w:pPr>
        <w:autoSpaceDE w:val="0"/>
        <w:autoSpaceDN w:val="0"/>
        <w:adjustRightInd w:val="0"/>
        <w:ind w:left="0" w:firstLine="0"/>
        <w:outlineLvl w:val="0"/>
        <w:rPr>
          <w:szCs w:val="22"/>
        </w:rPr>
      </w:pPr>
      <w:bookmarkStart w:id="6" w:name="_Toc205605548"/>
      <w:r w:rsidRPr="005C44A1">
        <w:rPr>
          <w:szCs w:val="22"/>
          <w:u w:val="single"/>
        </w:rPr>
        <w:t>Pacienti s hypovolémiou alebo depléciou sodíka</w:t>
      </w:r>
      <w:bookmarkEnd w:id="6"/>
    </w:p>
    <w:p w14:paraId="3B9322FE" w14:textId="77777777" w:rsidR="004A531E" w:rsidRPr="005C44A1" w:rsidRDefault="004A531E" w:rsidP="005C44A1">
      <w:pPr>
        <w:autoSpaceDE w:val="0"/>
        <w:autoSpaceDN w:val="0"/>
        <w:adjustRightInd w:val="0"/>
        <w:ind w:left="0" w:firstLine="0"/>
        <w:outlineLvl w:val="0"/>
        <w:rPr>
          <w:szCs w:val="22"/>
        </w:rPr>
      </w:pPr>
      <w:bookmarkStart w:id="7" w:name="_Toc205605549"/>
      <w:r w:rsidRPr="005C44A1">
        <w:rPr>
          <w:szCs w:val="22"/>
        </w:rPr>
        <w:t xml:space="preserve">U pacientov s depléciou objemu a/alebo sodíka v dôsledku intenzívnej diuretickej liečby, dietetického obmedzenia príjmu solí, hnačky alebo vracania môže vzniknúť symptomatická hypotenzia, </w:t>
      </w:r>
      <w:r w:rsidR="00DD7BFB" w:rsidRPr="005C44A1">
        <w:rPr>
          <w:szCs w:val="22"/>
        </w:rPr>
        <w:t>najmä</w:t>
      </w:r>
      <w:r w:rsidRPr="005C44A1">
        <w:rPr>
          <w:szCs w:val="22"/>
        </w:rPr>
        <w:t xml:space="preserve"> po podaní prvej dávky. Pred podaním </w:t>
      </w:r>
      <w:r w:rsidR="00B63554">
        <w:rPr>
          <w:szCs w:val="22"/>
        </w:rPr>
        <w:t>Reverantzy</w:t>
      </w:r>
      <w:r w:rsidRPr="005C44A1">
        <w:rPr>
          <w:szCs w:val="22"/>
        </w:rPr>
        <w:t xml:space="preserve"> </w:t>
      </w:r>
      <w:r w:rsidR="000A06A9">
        <w:rPr>
          <w:szCs w:val="22"/>
        </w:rPr>
        <w:t>sa má</w:t>
      </w:r>
      <w:r w:rsidRPr="005C44A1">
        <w:rPr>
          <w:szCs w:val="22"/>
        </w:rPr>
        <w:t xml:space="preserve"> tento stav upraviť alebo sa na začiatku liečby odporúča dôsledný lekársky dohľad.</w:t>
      </w:r>
      <w:bookmarkEnd w:id="7"/>
    </w:p>
    <w:p w14:paraId="3B9322FF" w14:textId="77777777" w:rsidR="004A531E" w:rsidRPr="005C44A1" w:rsidRDefault="004A531E" w:rsidP="005C44A1">
      <w:pPr>
        <w:autoSpaceDE w:val="0"/>
        <w:autoSpaceDN w:val="0"/>
        <w:adjustRightInd w:val="0"/>
        <w:ind w:left="0" w:firstLine="0"/>
        <w:outlineLvl w:val="0"/>
        <w:rPr>
          <w:szCs w:val="22"/>
        </w:rPr>
      </w:pPr>
    </w:p>
    <w:p w14:paraId="3B932300" w14:textId="77777777" w:rsidR="004A531E" w:rsidRPr="005C44A1" w:rsidRDefault="004A531E" w:rsidP="005C44A1">
      <w:pPr>
        <w:autoSpaceDE w:val="0"/>
        <w:autoSpaceDN w:val="0"/>
        <w:adjustRightInd w:val="0"/>
        <w:ind w:left="0" w:firstLine="0"/>
        <w:outlineLvl w:val="0"/>
        <w:rPr>
          <w:szCs w:val="22"/>
        </w:rPr>
      </w:pPr>
      <w:bookmarkStart w:id="8" w:name="_Toc205605550"/>
      <w:r w:rsidRPr="005C44A1">
        <w:rPr>
          <w:szCs w:val="22"/>
          <w:u w:val="single"/>
        </w:rPr>
        <w:t>Iné podmienky, ktoré stimulujú systém renín-angiotenzín-aldosterón</w:t>
      </w:r>
      <w:bookmarkEnd w:id="8"/>
    </w:p>
    <w:p w14:paraId="3B932301" w14:textId="63D49E0D" w:rsidR="004A531E" w:rsidRPr="005C44A1" w:rsidRDefault="004A531E" w:rsidP="005C44A1">
      <w:pPr>
        <w:autoSpaceDE w:val="0"/>
        <w:autoSpaceDN w:val="0"/>
        <w:adjustRightInd w:val="0"/>
        <w:ind w:left="0" w:firstLine="0"/>
        <w:outlineLvl w:val="0"/>
        <w:rPr>
          <w:szCs w:val="22"/>
        </w:rPr>
      </w:pPr>
      <w:bookmarkStart w:id="9" w:name="_Toc205605551"/>
      <w:r w:rsidRPr="005C44A1">
        <w:rPr>
          <w:szCs w:val="22"/>
        </w:rPr>
        <w:t>U pacientov, ktorých vaskulárny tonus a</w:t>
      </w:r>
      <w:r w:rsidR="00E946BD" w:rsidRPr="005C44A1">
        <w:rPr>
          <w:szCs w:val="22"/>
        </w:rPr>
        <w:t xml:space="preserve"> renálna </w:t>
      </w:r>
      <w:r w:rsidRPr="005C44A1">
        <w:rPr>
          <w:szCs w:val="22"/>
        </w:rPr>
        <w:t xml:space="preserve">funkcia závisia najmä od aktivity systému renín-angiotenzín-aldosterón (napríklad pacienti s ťažkým kongestívnym </w:t>
      </w:r>
      <w:r w:rsidR="002A09FE" w:rsidRPr="005C44A1">
        <w:rPr>
          <w:szCs w:val="22"/>
        </w:rPr>
        <w:t>zlyh</w:t>
      </w:r>
      <w:r w:rsidR="0013379E">
        <w:rPr>
          <w:szCs w:val="22"/>
        </w:rPr>
        <w:t>áv</w:t>
      </w:r>
      <w:r w:rsidR="002A09FE" w:rsidRPr="005C44A1">
        <w:rPr>
          <w:szCs w:val="22"/>
        </w:rPr>
        <w:t>aním srdca</w:t>
      </w:r>
      <w:r w:rsidRPr="005C44A1">
        <w:rPr>
          <w:szCs w:val="22"/>
        </w:rPr>
        <w:t xml:space="preserve"> alebo primárnym </w:t>
      </w:r>
      <w:r w:rsidR="000A06A9">
        <w:rPr>
          <w:szCs w:val="22"/>
        </w:rPr>
        <w:t xml:space="preserve">renálnym </w:t>
      </w:r>
      <w:r w:rsidRPr="005C44A1">
        <w:rPr>
          <w:szCs w:val="22"/>
        </w:rPr>
        <w:t>ochorením</w:t>
      </w:r>
      <w:r w:rsidR="002A09FE" w:rsidRPr="005C44A1">
        <w:rPr>
          <w:szCs w:val="22"/>
        </w:rPr>
        <w:t>,</w:t>
      </w:r>
      <w:r w:rsidRPr="005C44A1">
        <w:rPr>
          <w:szCs w:val="22"/>
        </w:rPr>
        <w:t xml:space="preserve"> vrátane stenózy</w:t>
      </w:r>
      <w:r w:rsidR="00124F22" w:rsidRPr="005C44A1">
        <w:rPr>
          <w:szCs w:val="22"/>
        </w:rPr>
        <w:t xml:space="preserve"> renálnej artérie</w:t>
      </w:r>
      <w:r w:rsidRPr="005C44A1">
        <w:rPr>
          <w:szCs w:val="22"/>
        </w:rPr>
        <w:t xml:space="preserve">), býva </w:t>
      </w:r>
      <w:r w:rsidR="00C211B0" w:rsidRPr="005C44A1">
        <w:rPr>
          <w:szCs w:val="22"/>
        </w:rPr>
        <w:t>liečba</w:t>
      </w:r>
      <w:r w:rsidRPr="005C44A1">
        <w:rPr>
          <w:szCs w:val="22"/>
        </w:rPr>
        <w:t xml:space="preserve"> ďalšími liečivami, ktoré ovplyvňujú tento systém, ako sú antagonisty receptorov angiotenzínu II, spojená s akútnou hypotenziou, azotémiou, oligúriou alebo zriedkavo aj s akútnym </w:t>
      </w:r>
      <w:r w:rsidR="00205090" w:rsidRPr="005C44A1">
        <w:rPr>
          <w:szCs w:val="22"/>
        </w:rPr>
        <w:t xml:space="preserve">renálnym </w:t>
      </w:r>
      <w:r w:rsidR="00C211B0" w:rsidRPr="005C44A1">
        <w:rPr>
          <w:szCs w:val="22"/>
        </w:rPr>
        <w:t>zlyhaním</w:t>
      </w:r>
      <w:r w:rsidRPr="005C44A1">
        <w:rPr>
          <w:szCs w:val="22"/>
        </w:rPr>
        <w:t>.</w:t>
      </w:r>
      <w:bookmarkEnd w:id="9"/>
    </w:p>
    <w:p w14:paraId="3B932302" w14:textId="77777777" w:rsidR="004A531E" w:rsidRPr="005C44A1" w:rsidRDefault="004A531E" w:rsidP="005C44A1">
      <w:pPr>
        <w:autoSpaceDE w:val="0"/>
        <w:autoSpaceDN w:val="0"/>
        <w:adjustRightInd w:val="0"/>
        <w:ind w:left="0" w:firstLine="0"/>
        <w:outlineLvl w:val="0"/>
        <w:rPr>
          <w:szCs w:val="22"/>
        </w:rPr>
      </w:pPr>
      <w:r w:rsidRPr="005C44A1">
        <w:rPr>
          <w:szCs w:val="22"/>
        </w:rPr>
        <w:t xml:space="preserve"> </w:t>
      </w:r>
      <w:bookmarkStart w:id="10" w:name="_Toc205605552"/>
    </w:p>
    <w:p w14:paraId="3B932303" w14:textId="77777777" w:rsidR="004A531E" w:rsidRPr="005C44A1" w:rsidRDefault="004A531E" w:rsidP="005C44A1">
      <w:pPr>
        <w:autoSpaceDE w:val="0"/>
        <w:autoSpaceDN w:val="0"/>
        <w:adjustRightInd w:val="0"/>
        <w:ind w:left="0" w:firstLine="0"/>
        <w:outlineLvl w:val="0"/>
        <w:rPr>
          <w:szCs w:val="22"/>
          <w:u w:val="single"/>
        </w:rPr>
      </w:pPr>
      <w:r w:rsidRPr="005C44A1">
        <w:rPr>
          <w:szCs w:val="22"/>
          <w:u w:val="single"/>
        </w:rPr>
        <w:t>Renovaskulárna hypertenzia</w:t>
      </w:r>
      <w:bookmarkStart w:id="11" w:name="_Toc205605553"/>
      <w:bookmarkEnd w:id="10"/>
    </w:p>
    <w:p w14:paraId="3B932304" w14:textId="77777777" w:rsidR="004A531E" w:rsidRPr="005C44A1" w:rsidRDefault="004A531E" w:rsidP="005C44A1">
      <w:pPr>
        <w:autoSpaceDE w:val="0"/>
        <w:autoSpaceDN w:val="0"/>
        <w:adjustRightInd w:val="0"/>
        <w:ind w:left="0" w:firstLine="0"/>
        <w:outlineLvl w:val="0"/>
        <w:rPr>
          <w:szCs w:val="22"/>
        </w:rPr>
      </w:pPr>
      <w:r w:rsidRPr="005C44A1">
        <w:rPr>
          <w:szCs w:val="22"/>
        </w:rPr>
        <w:t>Počas liečby lie</w:t>
      </w:r>
      <w:r w:rsidR="006862B6" w:rsidRPr="005C44A1">
        <w:rPr>
          <w:szCs w:val="22"/>
        </w:rPr>
        <w:t>k</w:t>
      </w:r>
      <w:r w:rsidRPr="005C44A1">
        <w:rPr>
          <w:szCs w:val="22"/>
        </w:rPr>
        <w:t>mi, ktoré ovplyvňujú systém renín-angiotenzín-aldosterón, vzniká u pacientov s bilaterálnou stenózou renálnej artérie alebo so stenózou renálnej artérie u pacientov s jednou funkčnou obličkou</w:t>
      </w:r>
      <w:r w:rsidR="00AB6E67" w:rsidRPr="005C44A1">
        <w:rPr>
          <w:szCs w:val="22"/>
        </w:rPr>
        <w:t xml:space="preserve"> zvýšené riziko ťažkej hypotenzie a renálnej insuficiencie</w:t>
      </w:r>
      <w:r w:rsidRPr="005C44A1">
        <w:rPr>
          <w:szCs w:val="22"/>
        </w:rPr>
        <w:t>.</w:t>
      </w:r>
      <w:bookmarkEnd w:id="11"/>
    </w:p>
    <w:p w14:paraId="3B932305" w14:textId="77777777" w:rsidR="004A531E" w:rsidRPr="005C44A1" w:rsidRDefault="004A531E" w:rsidP="005C44A1">
      <w:pPr>
        <w:autoSpaceDE w:val="0"/>
        <w:autoSpaceDN w:val="0"/>
        <w:adjustRightInd w:val="0"/>
        <w:ind w:left="0" w:firstLine="0"/>
        <w:outlineLvl w:val="0"/>
        <w:rPr>
          <w:szCs w:val="22"/>
        </w:rPr>
      </w:pPr>
    </w:p>
    <w:p w14:paraId="3B932306" w14:textId="77777777" w:rsidR="004A531E" w:rsidRPr="005C44A1" w:rsidRDefault="004A531E" w:rsidP="005C44A1">
      <w:pPr>
        <w:rPr>
          <w:szCs w:val="22"/>
          <w:u w:val="single"/>
        </w:rPr>
      </w:pPr>
      <w:bookmarkStart w:id="12" w:name="_Toc205605554"/>
      <w:r w:rsidRPr="005C44A1">
        <w:rPr>
          <w:szCs w:val="22"/>
          <w:u w:val="single"/>
        </w:rPr>
        <w:t>Porucha funkcie obličiek, transplantácia obličky</w:t>
      </w:r>
      <w:bookmarkEnd w:id="12"/>
    </w:p>
    <w:p w14:paraId="3B932307" w14:textId="41328CF1" w:rsidR="00156C1E" w:rsidRPr="005C44A1" w:rsidRDefault="00156C1E" w:rsidP="005C44A1">
      <w:pPr>
        <w:autoSpaceDE w:val="0"/>
        <w:autoSpaceDN w:val="0"/>
        <w:adjustRightInd w:val="0"/>
        <w:ind w:left="0" w:firstLine="0"/>
        <w:outlineLvl w:val="0"/>
        <w:rPr>
          <w:szCs w:val="22"/>
        </w:rPr>
      </w:pPr>
      <w:bookmarkStart w:id="13" w:name="_Toc205605555"/>
      <w:r w:rsidRPr="005C44A1">
        <w:rPr>
          <w:szCs w:val="22"/>
        </w:rPr>
        <w:t xml:space="preserve">Keď </w:t>
      </w:r>
      <w:r w:rsidR="00577FD0">
        <w:rPr>
          <w:szCs w:val="22"/>
        </w:rPr>
        <w:t>Reverantzu</w:t>
      </w:r>
      <w:r w:rsidRPr="005C44A1">
        <w:rPr>
          <w:szCs w:val="22"/>
        </w:rPr>
        <w:t xml:space="preserve"> užívajú pacienti s poruchou funkcie obličiek, odporúča sa pravidelné </w:t>
      </w:r>
      <w:r w:rsidR="00AB6E67" w:rsidRPr="005C44A1">
        <w:rPr>
          <w:szCs w:val="22"/>
        </w:rPr>
        <w:t>sledovanie hodnôt</w:t>
      </w:r>
      <w:r w:rsidRPr="005C44A1">
        <w:rPr>
          <w:szCs w:val="22"/>
        </w:rPr>
        <w:t xml:space="preserve"> draslíka a kreatinínu v sére. Podávanie </w:t>
      </w:r>
      <w:r w:rsidR="00577FD0">
        <w:rPr>
          <w:szCs w:val="22"/>
        </w:rPr>
        <w:t>Reverantzy</w:t>
      </w:r>
      <w:r w:rsidR="00577FD0" w:rsidRPr="00577FD0">
        <w:rPr>
          <w:szCs w:val="22"/>
        </w:rPr>
        <w:t xml:space="preserve"> </w:t>
      </w:r>
      <w:r w:rsidRPr="005C44A1">
        <w:rPr>
          <w:szCs w:val="22"/>
        </w:rPr>
        <w:t>sa neodporúča pacientom s ťažkou poruchou funkcie obličiek (klírens kreatinínu &lt; 20 ml/min) (pozri časti 4.2</w:t>
      </w:r>
      <w:r w:rsidR="00577FD0">
        <w:rPr>
          <w:szCs w:val="22"/>
        </w:rPr>
        <w:t xml:space="preserve"> a</w:t>
      </w:r>
      <w:r w:rsidRPr="005C44A1">
        <w:rPr>
          <w:szCs w:val="22"/>
        </w:rPr>
        <w:t xml:space="preserve"> 5.2). Nie sú žiadne skúsenosti s podávaním </w:t>
      </w:r>
      <w:r w:rsidR="00660275" w:rsidRPr="005C44A1">
        <w:rPr>
          <w:szCs w:val="22"/>
        </w:rPr>
        <w:t>olmesartánu-medoxomilu</w:t>
      </w:r>
      <w:r w:rsidRPr="005C44A1">
        <w:rPr>
          <w:szCs w:val="22"/>
        </w:rPr>
        <w:t xml:space="preserve">/amlodipínu pacientom </w:t>
      </w:r>
      <w:r w:rsidR="00A61CBF" w:rsidRPr="005C44A1">
        <w:rPr>
          <w:szCs w:val="22"/>
        </w:rPr>
        <w:t xml:space="preserve">po nedávnej </w:t>
      </w:r>
      <w:r w:rsidRPr="005C44A1">
        <w:rPr>
          <w:szCs w:val="22"/>
        </w:rPr>
        <w:t>transplant</w:t>
      </w:r>
      <w:r w:rsidR="00A61CBF" w:rsidRPr="005C44A1">
        <w:rPr>
          <w:szCs w:val="22"/>
        </w:rPr>
        <w:t>ácii</w:t>
      </w:r>
      <w:r w:rsidRPr="005C44A1">
        <w:rPr>
          <w:szCs w:val="22"/>
        </w:rPr>
        <w:t xml:space="preserve"> obličk</w:t>
      </w:r>
      <w:r w:rsidR="00A61CBF" w:rsidRPr="005C44A1">
        <w:rPr>
          <w:szCs w:val="22"/>
        </w:rPr>
        <w:t>y</w:t>
      </w:r>
      <w:r w:rsidRPr="005C44A1">
        <w:rPr>
          <w:szCs w:val="22"/>
        </w:rPr>
        <w:t xml:space="preserve"> alebo pacientom v </w:t>
      </w:r>
      <w:r w:rsidR="00A61CBF" w:rsidRPr="005C44A1">
        <w:rPr>
          <w:szCs w:val="22"/>
        </w:rPr>
        <w:t>terminálnom</w:t>
      </w:r>
      <w:r w:rsidRPr="005C44A1">
        <w:rPr>
          <w:szCs w:val="22"/>
        </w:rPr>
        <w:t xml:space="preserve"> štádiu poruchy funkcie obličiek (t. j. klírens kreatinínu &lt;12</w:t>
      </w:r>
      <w:r w:rsidR="009D2BC4">
        <w:rPr>
          <w:szCs w:val="22"/>
        </w:rPr>
        <w:t> </w:t>
      </w:r>
      <w:r w:rsidRPr="005C44A1">
        <w:rPr>
          <w:szCs w:val="22"/>
        </w:rPr>
        <w:t>ml/min).</w:t>
      </w:r>
      <w:bookmarkEnd w:id="13"/>
    </w:p>
    <w:p w14:paraId="3B932308" w14:textId="77777777" w:rsidR="00DD7BFB" w:rsidRPr="005C44A1" w:rsidRDefault="00DD7BFB" w:rsidP="005C44A1">
      <w:pPr>
        <w:autoSpaceDE w:val="0"/>
        <w:autoSpaceDN w:val="0"/>
        <w:adjustRightInd w:val="0"/>
        <w:ind w:left="0" w:firstLine="0"/>
        <w:outlineLvl w:val="0"/>
        <w:rPr>
          <w:szCs w:val="22"/>
          <w:u w:val="single"/>
        </w:rPr>
      </w:pPr>
    </w:p>
    <w:p w14:paraId="3B932309" w14:textId="77777777" w:rsidR="00156C1E" w:rsidRPr="005C44A1" w:rsidRDefault="00156C1E" w:rsidP="005C44A1">
      <w:pPr>
        <w:autoSpaceDE w:val="0"/>
        <w:autoSpaceDN w:val="0"/>
        <w:adjustRightInd w:val="0"/>
        <w:ind w:left="0" w:firstLine="0"/>
        <w:outlineLvl w:val="0"/>
        <w:rPr>
          <w:szCs w:val="22"/>
          <w:u w:val="single"/>
        </w:rPr>
      </w:pPr>
      <w:r w:rsidRPr="005C44A1">
        <w:rPr>
          <w:szCs w:val="22"/>
          <w:u w:val="single"/>
        </w:rPr>
        <w:t xml:space="preserve">Duálna </w:t>
      </w:r>
      <w:r w:rsidR="00FF1D60" w:rsidRPr="005C44A1">
        <w:rPr>
          <w:szCs w:val="22"/>
          <w:u w:val="single"/>
        </w:rPr>
        <w:t>inhibícia</w:t>
      </w:r>
      <w:r w:rsidRPr="005C44A1">
        <w:rPr>
          <w:szCs w:val="22"/>
          <w:u w:val="single"/>
        </w:rPr>
        <w:t xml:space="preserve"> systému renín-angiotenzín-aldosterón (RAAS)</w:t>
      </w:r>
    </w:p>
    <w:p w14:paraId="3B93230A" w14:textId="77777777" w:rsidR="00156C1E" w:rsidRPr="005C44A1" w:rsidRDefault="006A0C46" w:rsidP="005C44A1">
      <w:pPr>
        <w:autoSpaceDE w:val="0"/>
        <w:autoSpaceDN w:val="0"/>
        <w:adjustRightInd w:val="0"/>
        <w:ind w:left="0" w:firstLine="0"/>
        <w:outlineLvl w:val="0"/>
        <w:rPr>
          <w:szCs w:val="22"/>
        </w:rPr>
      </w:pPr>
      <w:r w:rsidRPr="005C44A1">
        <w:rPr>
          <w:szCs w:val="22"/>
        </w:rPr>
        <w:t>Existujú dôkazy o tom</w:t>
      </w:r>
      <w:r w:rsidR="00156C1E" w:rsidRPr="005C44A1">
        <w:rPr>
          <w:szCs w:val="22"/>
        </w:rPr>
        <w:t xml:space="preserve">, že súbežné použitie </w:t>
      </w:r>
      <w:r w:rsidR="00840DA3" w:rsidRPr="005C44A1">
        <w:rPr>
          <w:szCs w:val="22"/>
        </w:rPr>
        <w:t xml:space="preserve">ACE </w:t>
      </w:r>
      <w:r w:rsidR="00156C1E" w:rsidRPr="005C44A1">
        <w:rPr>
          <w:szCs w:val="22"/>
        </w:rPr>
        <w:t xml:space="preserve">inhibítorov, blokátorov receptorov angiotenzínu II alebo aliskirénu zvyšuje riziko hypotenzie, hyperkaliémie a zníženia </w:t>
      </w:r>
      <w:r w:rsidR="00082B1F">
        <w:rPr>
          <w:szCs w:val="22"/>
        </w:rPr>
        <w:t xml:space="preserve">renálnej </w:t>
      </w:r>
      <w:r w:rsidR="00156C1E" w:rsidRPr="005C44A1">
        <w:rPr>
          <w:szCs w:val="22"/>
        </w:rPr>
        <w:t xml:space="preserve">funkcie (vrátane akútneho zlyhania obličiek). Duálna </w:t>
      </w:r>
      <w:r w:rsidR="00FF1D60" w:rsidRPr="005C44A1">
        <w:rPr>
          <w:szCs w:val="22"/>
        </w:rPr>
        <w:t>inhibícia</w:t>
      </w:r>
      <w:r w:rsidR="00156C1E" w:rsidRPr="005C44A1">
        <w:rPr>
          <w:szCs w:val="22"/>
        </w:rPr>
        <w:t xml:space="preserve"> RAAS kombinovaným použitím </w:t>
      </w:r>
      <w:r w:rsidR="00840DA3" w:rsidRPr="005C44A1">
        <w:rPr>
          <w:szCs w:val="22"/>
        </w:rPr>
        <w:t xml:space="preserve">ACE </w:t>
      </w:r>
      <w:r w:rsidR="00156C1E" w:rsidRPr="005C44A1">
        <w:rPr>
          <w:szCs w:val="22"/>
        </w:rPr>
        <w:t xml:space="preserve">inhibítorov, blokátorov receptorov angiotenzínu II alebo aliskirénu sa preto neodporúča (pozri časti 4.5 a 5.1). </w:t>
      </w:r>
    </w:p>
    <w:p w14:paraId="3B93230B" w14:textId="0F2121D5" w:rsidR="00156C1E" w:rsidRPr="005C44A1" w:rsidRDefault="00156C1E" w:rsidP="005C44A1">
      <w:pPr>
        <w:autoSpaceDE w:val="0"/>
        <w:autoSpaceDN w:val="0"/>
        <w:adjustRightInd w:val="0"/>
        <w:ind w:left="0" w:firstLine="0"/>
        <w:outlineLvl w:val="0"/>
        <w:rPr>
          <w:szCs w:val="22"/>
        </w:rPr>
      </w:pPr>
      <w:r w:rsidRPr="005C44A1">
        <w:rPr>
          <w:szCs w:val="22"/>
        </w:rPr>
        <w:t xml:space="preserve">Ak sa liečba duálnou inhibíciou považuje za absolútne nevyhnutnú, </w:t>
      </w:r>
      <w:r w:rsidR="00125C23" w:rsidRPr="005C44A1">
        <w:rPr>
          <w:szCs w:val="22"/>
        </w:rPr>
        <w:t xml:space="preserve">má </w:t>
      </w:r>
      <w:r w:rsidR="002732BE">
        <w:rPr>
          <w:szCs w:val="22"/>
        </w:rPr>
        <w:t xml:space="preserve">sa </w:t>
      </w:r>
      <w:r w:rsidRPr="005C44A1">
        <w:rPr>
          <w:szCs w:val="22"/>
        </w:rPr>
        <w:t xml:space="preserve">podať iba pod dohľadom </w:t>
      </w:r>
      <w:r w:rsidR="00CF1F33" w:rsidRPr="005C44A1">
        <w:rPr>
          <w:szCs w:val="22"/>
        </w:rPr>
        <w:t>odborného lekára</w:t>
      </w:r>
      <w:r w:rsidRPr="005C44A1">
        <w:rPr>
          <w:szCs w:val="22"/>
        </w:rPr>
        <w:t xml:space="preserve"> a</w:t>
      </w:r>
      <w:r w:rsidR="00962EA5" w:rsidRPr="005C44A1">
        <w:rPr>
          <w:szCs w:val="22"/>
        </w:rPr>
        <w:t> pod podmienkou</w:t>
      </w:r>
      <w:r w:rsidRPr="005C44A1">
        <w:rPr>
          <w:szCs w:val="22"/>
        </w:rPr>
        <w:t xml:space="preserve"> čast</w:t>
      </w:r>
      <w:r w:rsidR="00962EA5" w:rsidRPr="005C44A1">
        <w:rPr>
          <w:szCs w:val="22"/>
        </w:rPr>
        <w:t xml:space="preserve">ej </w:t>
      </w:r>
      <w:r w:rsidRPr="005C44A1">
        <w:rPr>
          <w:szCs w:val="22"/>
        </w:rPr>
        <w:t>a dô</w:t>
      </w:r>
      <w:r w:rsidR="00962EA5" w:rsidRPr="005C44A1">
        <w:rPr>
          <w:szCs w:val="22"/>
        </w:rPr>
        <w:t>kladnej</w:t>
      </w:r>
      <w:r w:rsidRPr="005C44A1">
        <w:rPr>
          <w:szCs w:val="22"/>
        </w:rPr>
        <w:t xml:space="preserve"> kontrol</w:t>
      </w:r>
      <w:r w:rsidR="00962EA5" w:rsidRPr="005C44A1">
        <w:rPr>
          <w:szCs w:val="22"/>
        </w:rPr>
        <w:t>y</w:t>
      </w:r>
      <w:r w:rsidRPr="005C44A1">
        <w:rPr>
          <w:szCs w:val="22"/>
        </w:rPr>
        <w:t xml:space="preserve"> funkci</w:t>
      </w:r>
      <w:r w:rsidR="00962EA5" w:rsidRPr="005C44A1">
        <w:rPr>
          <w:szCs w:val="22"/>
        </w:rPr>
        <w:t>e</w:t>
      </w:r>
      <w:r w:rsidRPr="005C44A1">
        <w:rPr>
          <w:szCs w:val="22"/>
        </w:rPr>
        <w:t xml:space="preserve"> obličiek, elektrolyt</w:t>
      </w:r>
      <w:r w:rsidR="00962EA5" w:rsidRPr="005C44A1">
        <w:rPr>
          <w:szCs w:val="22"/>
        </w:rPr>
        <w:t>ov</w:t>
      </w:r>
      <w:r w:rsidRPr="005C44A1">
        <w:rPr>
          <w:szCs w:val="22"/>
        </w:rPr>
        <w:t xml:space="preserve"> a krvn</w:t>
      </w:r>
      <w:r w:rsidR="00962EA5" w:rsidRPr="005C44A1">
        <w:rPr>
          <w:szCs w:val="22"/>
        </w:rPr>
        <w:t>ého</w:t>
      </w:r>
      <w:r w:rsidRPr="005C44A1">
        <w:rPr>
          <w:szCs w:val="22"/>
        </w:rPr>
        <w:t xml:space="preserve"> tlak</w:t>
      </w:r>
      <w:r w:rsidR="00962EA5" w:rsidRPr="005C44A1">
        <w:rPr>
          <w:szCs w:val="22"/>
        </w:rPr>
        <w:t>u pacienta</w:t>
      </w:r>
      <w:r w:rsidRPr="005C44A1">
        <w:rPr>
          <w:szCs w:val="22"/>
        </w:rPr>
        <w:t>.</w:t>
      </w:r>
    </w:p>
    <w:p w14:paraId="3B93230C" w14:textId="77777777" w:rsidR="00156C1E" w:rsidRPr="005C44A1" w:rsidRDefault="00840DA3" w:rsidP="005C44A1">
      <w:pPr>
        <w:autoSpaceDE w:val="0"/>
        <w:autoSpaceDN w:val="0"/>
        <w:adjustRightInd w:val="0"/>
        <w:ind w:left="0" w:firstLine="0"/>
        <w:outlineLvl w:val="0"/>
        <w:rPr>
          <w:szCs w:val="22"/>
        </w:rPr>
      </w:pPr>
      <w:r w:rsidRPr="005C44A1">
        <w:rPr>
          <w:szCs w:val="22"/>
        </w:rPr>
        <w:t>ACE i</w:t>
      </w:r>
      <w:r w:rsidR="00156C1E" w:rsidRPr="005C44A1">
        <w:rPr>
          <w:szCs w:val="22"/>
        </w:rPr>
        <w:t>nhibítory a blokátory receptorov angiotenzínu II sa nemajú súbežne po</w:t>
      </w:r>
      <w:r w:rsidR="00125C23" w:rsidRPr="005C44A1">
        <w:rPr>
          <w:szCs w:val="22"/>
        </w:rPr>
        <w:t>dávať</w:t>
      </w:r>
      <w:r w:rsidR="00156C1E" w:rsidRPr="005C44A1">
        <w:rPr>
          <w:szCs w:val="22"/>
        </w:rPr>
        <w:t xml:space="preserve"> paciento</w:t>
      </w:r>
      <w:r w:rsidR="00125C23" w:rsidRPr="005C44A1">
        <w:rPr>
          <w:szCs w:val="22"/>
        </w:rPr>
        <w:t>m</w:t>
      </w:r>
      <w:r w:rsidR="00156C1E" w:rsidRPr="005C44A1">
        <w:rPr>
          <w:szCs w:val="22"/>
        </w:rPr>
        <w:t xml:space="preserve"> s diabetickou nefropatiou.</w:t>
      </w:r>
    </w:p>
    <w:p w14:paraId="3B93230D" w14:textId="77777777" w:rsidR="00462853" w:rsidRPr="005C44A1" w:rsidRDefault="00462853" w:rsidP="005C44A1">
      <w:pPr>
        <w:autoSpaceDE w:val="0"/>
        <w:autoSpaceDN w:val="0"/>
        <w:adjustRightInd w:val="0"/>
        <w:ind w:left="0" w:firstLine="0"/>
        <w:outlineLvl w:val="0"/>
        <w:rPr>
          <w:szCs w:val="22"/>
          <w:u w:val="single"/>
        </w:rPr>
      </w:pPr>
      <w:bookmarkStart w:id="14" w:name="_Toc205605556"/>
    </w:p>
    <w:p w14:paraId="3B93230E" w14:textId="77777777" w:rsidR="00156C1E" w:rsidRPr="005C44A1" w:rsidRDefault="00156C1E" w:rsidP="005C44A1">
      <w:pPr>
        <w:autoSpaceDE w:val="0"/>
        <w:autoSpaceDN w:val="0"/>
        <w:adjustRightInd w:val="0"/>
        <w:ind w:left="0" w:firstLine="0"/>
        <w:outlineLvl w:val="0"/>
        <w:rPr>
          <w:szCs w:val="22"/>
          <w:u w:val="single"/>
        </w:rPr>
      </w:pPr>
      <w:r w:rsidRPr="005C44A1">
        <w:rPr>
          <w:szCs w:val="22"/>
          <w:u w:val="single"/>
        </w:rPr>
        <w:t>Porucha funkcie pečene</w:t>
      </w:r>
      <w:bookmarkEnd w:id="14"/>
    </w:p>
    <w:p w14:paraId="3B93230F" w14:textId="77777777" w:rsidR="00156C1E" w:rsidRPr="005C44A1" w:rsidRDefault="00156C1E" w:rsidP="005C44A1">
      <w:pPr>
        <w:autoSpaceDE w:val="0"/>
        <w:autoSpaceDN w:val="0"/>
        <w:adjustRightInd w:val="0"/>
        <w:ind w:left="0" w:firstLine="0"/>
        <w:outlineLvl w:val="0"/>
        <w:rPr>
          <w:szCs w:val="22"/>
        </w:rPr>
      </w:pPr>
      <w:bookmarkStart w:id="15" w:name="_Toc205605557"/>
      <w:r w:rsidRPr="005C44A1">
        <w:rPr>
          <w:szCs w:val="22"/>
        </w:rPr>
        <w:t>Expozícia amlodipínu a</w:t>
      </w:r>
      <w:r w:rsidR="00125C23" w:rsidRPr="005C44A1">
        <w:rPr>
          <w:szCs w:val="22"/>
        </w:rPr>
        <w:t> </w:t>
      </w:r>
      <w:r w:rsidRPr="005C44A1">
        <w:rPr>
          <w:szCs w:val="22"/>
        </w:rPr>
        <w:t>olmesart</w:t>
      </w:r>
      <w:r w:rsidR="00125C23" w:rsidRPr="005C44A1">
        <w:rPr>
          <w:szCs w:val="22"/>
        </w:rPr>
        <w:t>á</w:t>
      </w:r>
      <w:r w:rsidRPr="005C44A1">
        <w:rPr>
          <w:szCs w:val="22"/>
        </w:rPr>
        <w:t>nu</w:t>
      </w:r>
      <w:r w:rsidR="00125C23" w:rsidRPr="005C44A1">
        <w:rPr>
          <w:szCs w:val="22"/>
        </w:rPr>
        <w:t>-</w:t>
      </w:r>
      <w:r w:rsidRPr="005C44A1">
        <w:rPr>
          <w:szCs w:val="22"/>
        </w:rPr>
        <w:t xml:space="preserve">medoxomilu je u pacientov s poruchou funkcie pečene zvýšená  (pozri časť 5.2). Opatrnosť si vyžaduje podávanie </w:t>
      </w:r>
      <w:r w:rsidR="0084687A" w:rsidRPr="005C44A1">
        <w:rPr>
          <w:szCs w:val="22"/>
        </w:rPr>
        <w:t>Reverantzy</w:t>
      </w:r>
      <w:r w:rsidRPr="005C44A1">
        <w:rPr>
          <w:szCs w:val="22"/>
        </w:rPr>
        <w:t xml:space="preserve"> pacientom s ľahkou a stredne ťažkou poruchou funkcie pečene. U pacientov so stredne ťažkou poruchou funkcie pečene dávka olmesart</w:t>
      </w:r>
      <w:r w:rsidR="003D5307" w:rsidRPr="005C44A1">
        <w:rPr>
          <w:szCs w:val="22"/>
        </w:rPr>
        <w:t>á</w:t>
      </w:r>
      <w:r w:rsidRPr="005C44A1">
        <w:rPr>
          <w:szCs w:val="22"/>
        </w:rPr>
        <w:t>nu</w:t>
      </w:r>
      <w:r w:rsidR="003D5307" w:rsidRPr="005C44A1">
        <w:rPr>
          <w:szCs w:val="22"/>
        </w:rPr>
        <w:t>-</w:t>
      </w:r>
      <w:r w:rsidRPr="005C44A1">
        <w:rPr>
          <w:szCs w:val="22"/>
        </w:rPr>
        <w:t>medoxomilu nemá presiahnuť 20 mg (pozri časť 4.2). U pacientov s poruchou funkcie pečene sa má liečba amlodipínom zač</w:t>
      </w:r>
      <w:r w:rsidR="003D5307" w:rsidRPr="005C44A1">
        <w:rPr>
          <w:szCs w:val="22"/>
        </w:rPr>
        <w:t>ať</w:t>
      </w:r>
      <w:r w:rsidRPr="005C44A1">
        <w:rPr>
          <w:szCs w:val="22"/>
        </w:rPr>
        <w:t xml:space="preserve"> najnižšou možnou dávkou a pacient má byť sledovaný na začiatku liečby aj pri zvyšovaní dávky. Použitie </w:t>
      </w:r>
      <w:r w:rsidR="00CB6C00" w:rsidRPr="005C44A1">
        <w:rPr>
          <w:szCs w:val="22"/>
        </w:rPr>
        <w:t>Reverantzy</w:t>
      </w:r>
      <w:r w:rsidRPr="005C44A1">
        <w:rPr>
          <w:szCs w:val="22"/>
        </w:rPr>
        <w:t xml:space="preserve"> u pacientov s ťažkou poruchou pečene je kontraindikované (pozri časť 4.3).</w:t>
      </w:r>
      <w:bookmarkEnd w:id="15"/>
    </w:p>
    <w:p w14:paraId="3B932310" w14:textId="77777777" w:rsidR="00125C23" w:rsidRPr="005C44A1" w:rsidRDefault="00125C23" w:rsidP="005C44A1">
      <w:pPr>
        <w:autoSpaceDE w:val="0"/>
        <w:autoSpaceDN w:val="0"/>
        <w:adjustRightInd w:val="0"/>
        <w:ind w:left="0" w:firstLine="0"/>
        <w:outlineLvl w:val="0"/>
        <w:rPr>
          <w:szCs w:val="22"/>
          <w:u w:val="single"/>
        </w:rPr>
      </w:pPr>
      <w:bookmarkStart w:id="16" w:name="_Toc205605558"/>
    </w:p>
    <w:p w14:paraId="3B932311" w14:textId="77777777" w:rsidR="00156C1E" w:rsidRPr="005C44A1" w:rsidRDefault="00156C1E" w:rsidP="005C44A1">
      <w:pPr>
        <w:autoSpaceDE w:val="0"/>
        <w:autoSpaceDN w:val="0"/>
        <w:adjustRightInd w:val="0"/>
        <w:ind w:left="0" w:firstLine="0"/>
        <w:outlineLvl w:val="0"/>
        <w:rPr>
          <w:szCs w:val="22"/>
          <w:u w:val="single"/>
        </w:rPr>
      </w:pPr>
      <w:r w:rsidRPr="005C44A1">
        <w:rPr>
          <w:szCs w:val="22"/>
          <w:u w:val="single"/>
        </w:rPr>
        <w:t>Hyperkaliémia</w:t>
      </w:r>
      <w:bookmarkEnd w:id="16"/>
    </w:p>
    <w:p w14:paraId="3B932312" w14:textId="3129738C" w:rsidR="00156C1E" w:rsidRPr="005C44A1" w:rsidRDefault="00156C1E" w:rsidP="005C44A1">
      <w:pPr>
        <w:autoSpaceDE w:val="0"/>
        <w:autoSpaceDN w:val="0"/>
        <w:adjustRightInd w:val="0"/>
        <w:ind w:left="0" w:firstLine="0"/>
        <w:outlineLvl w:val="0"/>
        <w:rPr>
          <w:szCs w:val="22"/>
        </w:rPr>
      </w:pPr>
      <w:bookmarkStart w:id="17" w:name="_Toc205605559"/>
      <w:r w:rsidRPr="005C44A1">
        <w:rPr>
          <w:szCs w:val="22"/>
        </w:rPr>
        <w:t>Tak ako pri liečbe inými antagonistami angiotenzínu II a ACE inhibítormi môže počas liečby vzniknúť hyperkaliémia, hlavne u pacientov s poruchou funkcie obličiek a/alebo zlyh</w:t>
      </w:r>
      <w:r w:rsidR="00A10852">
        <w:rPr>
          <w:szCs w:val="22"/>
        </w:rPr>
        <w:t>áv</w:t>
      </w:r>
      <w:r w:rsidRPr="005C44A1">
        <w:rPr>
          <w:szCs w:val="22"/>
        </w:rPr>
        <w:t>aním</w:t>
      </w:r>
      <w:r w:rsidR="000C3F18">
        <w:rPr>
          <w:szCs w:val="22"/>
        </w:rPr>
        <w:t xml:space="preserve"> srdca</w:t>
      </w:r>
      <w:r w:rsidRPr="005C44A1">
        <w:rPr>
          <w:szCs w:val="22"/>
        </w:rPr>
        <w:t xml:space="preserve"> (pozri časť 4.5). U rizikových pacientov sa odporúča dôsledné </w:t>
      </w:r>
      <w:r w:rsidR="00921690" w:rsidRPr="005C44A1">
        <w:rPr>
          <w:szCs w:val="22"/>
        </w:rPr>
        <w:t xml:space="preserve">sledovanie hodnôt </w:t>
      </w:r>
      <w:r w:rsidRPr="005C44A1">
        <w:rPr>
          <w:szCs w:val="22"/>
        </w:rPr>
        <w:t>draslíka v sére.</w:t>
      </w:r>
      <w:bookmarkEnd w:id="17"/>
    </w:p>
    <w:p w14:paraId="3B932313" w14:textId="69E8644C" w:rsidR="00156C1E" w:rsidRPr="005C44A1" w:rsidRDefault="00156C1E" w:rsidP="005C44A1">
      <w:pPr>
        <w:autoSpaceDE w:val="0"/>
        <w:autoSpaceDN w:val="0"/>
        <w:adjustRightInd w:val="0"/>
        <w:ind w:left="0" w:firstLine="0"/>
        <w:outlineLvl w:val="0"/>
        <w:rPr>
          <w:szCs w:val="22"/>
        </w:rPr>
      </w:pPr>
      <w:bookmarkStart w:id="18" w:name="_Toc205605560"/>
      <w:r w:rsidRPr="005C44A1">
        <w:rPr>
          <w:szCs w:val="22"/>
        </w:rPr>
        <w:t xml:space="preserve">Súbežné </w:t>
      </w:r>
      <w:r w:rsidR="00DB561F" w:rsidRPr="005C44A1">
        <w:rPr>
          <w:szCs w:val="22"/>
        </w:rPr>
        <w:t>užívanie</w:t>
      </w:r>
      <w:r w:rsidRPr="005C44A1">
        <w:rPr>
          <w:szCs w:val="22"/>
        </w:rPr>
        <w:t xml:space="preserve"> </w:t>
      </w:r>
      <w:r w:rsidR="002471E1" w:rsidRPr="005C44A1">
        <w:rPr>
          <w:szCs w:val="22"/>
        </w:rPr>
        <w:t xml:space="preserve">výživových </w:t>
      </w:r>
      <w:r w:rsidRPr="005C44A1">
        <w:rPr>
          <w:szCs w:val="22"/>
        </w:rPr>
        <w:t>doplnkov</w:t>
      </w:r>
      <w:r w:rsidR="003B675A" w:rsidRPr="005C44A1">
        <w:rPr>
          <w:szCs w:val="22"/>
        </w:rPr>
        <w:t xml:space="preserve"> s obsahom draslíka</w:t>
      </w:r>
      <w:r w:rsidRPr="005C44A1">
        <w:rPr>
          <w:szCs w:val="22"/>
        </w:rPr>
        <w:t>, diuretík šetriacich draslík, náhrad solí s obsahom draslíka alebo iných liekov, ktoré môžu zvyšovať hladinu draslíka (heparín a</w:t>
      </w:r>
      <w:r w:rsidR="00F72C5B" w:rsidRPr="005C44A1">
        <w:rPr>
          <w:szCs w:val="22"/>
        </w:rPr>
        <w:t>tď</w:t>
      </w:r>
      <w:r w:rsidR="00AC111B">
        <w:rPr>
          <w:szCs w:val="22"/>
        </w:rPr>
        <w:t>.</w:t>
      </w:r>
      <w:r w:rsidRPr="005C44A1">
        <w:rPr>
          <w:szCs w:val="22"/>
        </w:rPr>
        <w:t xml:space="preserve">), vyžaduje opatrnosť a pravidelné </w:t>
      </w:r>
      <w:r w:rsidR="00C83DD7" w:rsidRPr="005C44A1">
        <w:rPr>
          <w:szCs w:val="22"/>
        </w:rPr>
        <w:t>sledovanie hodnôt</w:t>
      </w:r>
      <w:r w:rsidRPr="005C44A1">
        <w:rPr>
          <w:szCs w:val="22"/>
        </w:rPr>
        <w:t xml:space="preserve"> draslíka.</w:t>
      </w:r>
      <w:bookmarkEnd w:id="18"/>
    </w:p>
    <w:p w14:paraId="3B932314" w14:textId="77777777" w:rsidR="000F62C2" w:rsidRPr="005C44A1" w:rsidRDefault="000F62C2" w:rsidP="005C44A1">
      <w:pPr>
        <w:autoSpaceDE w:val="0"/>
        <w:autoSpaceDN w:val="0"/>
        <w:adjustRightInd w:val="0"/>
        <w:ind w:left="0" w:firstLine="0"/>
        <w:outlineLvl w:val="0"/>
        <w:rPr>
          <w:szCs w:val="22"/>
          <w:u w:val="single"/>
        </w:rPr>
      </w:pPr>
      <w:bookmarkStart w:id="19" w:name="_Toc205605561"/>
    </w:p>
    <w:p w14:paraId="3B932315" w14:textId="77777777" w:rsidR="00156C1E" w:rsidRPr="005C44A1" w:rsidRDefault="00156C1E" w:rsidP="005C44A1">
      <w:pPr>
        <w:autoSpaceDE w:val="0"/>
        <w:autoSpaceDN w:val="0"/>
        <w:adjustRightInd w:val="0"/>
        <w:ind w:left="0" w:firstLine="0"/>
        <w:outlineLvl w:val="0"/>
        <w:rPr>
          <w:szCs w:val="22"/>
          <w:u w:val="single"/>
        </w:rPr>
      </w:pPr>
      <w:r w:rsidRPr="005C44A1">
        <w:rPr>
          <w:szCs w:val="22"/>
          <w:u w:val="single"/>
        </w:rPr>
        <w:lastRenderedPageBreak/>
        <w:t>Lítium</w:t>
      </w:r>
      <w:bookmarkEnd w:id="19"/>
    </w:p>
    <w:p w14:paraId="3B932316" w14:textId="77777777" w:rsidR="00156C1E" w:rsidRPr="005C44A1" w:rsidRDefault="00D92829" w:rsidP="005C44A1">
      <w:pPr>
        <w:autoSpaceDE w:val="0"/>
        <w:autoSpaceDN w:val="0"/>
        <w:adjustRightInd w:val="0"/>
        <w:ind w:left="0" w:firstLine="0"/>
        <w:outlineLvl w:val="0"/>
        <w:rPr>
          <w:szCs w:val="22"/>
        </w:rPr>
      </w:pPr>
      <w:bookmarkStart w:id="20" w:name="_Toc205605562"/>
      <w:r w:rsidRPr="005C44A1">
        <w:rPr>
          <w:szCs w:val="22"/>
        </w:rPr>
        <w:t>Rovnako</w:t>
      </w:r>
      <w:r w:rsidR="006B427E" w:rsidRPr="005C44A1">
        <w:rPr>
          <w:szCs w:val="22"/>
        </w:rPr>
        <w:t xml:space="preserve"> ako pri liečbe inými antagonistami angiotenzínu II</w:t>
      </w:r>
      <w:r w:rsidRPr="005C44A1">
        <w:rPr>
          <w:szCs w:val="22"/>
        </w:rPr>
        <w:t xml:space="preserve"> sa</w:t>
      </w:r>
      <w:r w:rsidR="006B427E" w:rsidRPr="005C44A1">
        <w:rPr>
          <w:szCs w:val="22"/>
        </w:rPr>
        <w:t xml:space="preserve"> súbežné užívanie Reverantzy a lítia </w:t>
      </w:r>
      <w:r w:rsidRPr="005C44A1">
        <w:rPr>
          <w:szCs w:val="22"/>
        </w:rPr>
        <w:t xml:space="preserve"> n</w:t>
      </w:r>
      <w:r w:rsidR="00156C1E" w:rsidRPr="005C44A1">
        <w:rPr>
          <w:szCs w:val="22"/>
        </w:rPr>
        <w:t>eodporúča (pozri časť 4.5).</w:t>
      </w:r>
      <w:bookmarkEnd w:id="20"/>
    </w:p>
    <w:p w14:paraId="3B932317" w14:textId="77777777" w:rsidR="00156C1E" w:rsidRPr="005C44A1" w:rsidRDefault="00156C1E" w:rsidP="005C44A1">
      <w:pPr>
        <w:autoSpaceDE w:val="0"/>
        <w:autoSpaceDN w:val="0"/>
        <w:adjustRightInd w:val="0"/>
        <w:ind w:left="0" w:firstLine="0"/>
        <w:outlineLvl w:val="0"/>
        <w:rPr>
          <w:szCs w:val="22"/>
        </w:rPr>
      </w:pPr>
      <w:bookmarkStart w:id="21" w:name="_Toc205605563"/>
      <w:r w:rsidRPr="005C44A1">
        <w:rPr>
          <w:szCs w:val="22"/>
        </w:rPr>
        <w:t>Stenóza aortálnej alebo mitrálnej chlopne; obštrukčná hypertrofická kardiomyopatia</w:t>
      </w:r>
      <w:bookmarkEnd w:id="21"/>
      <w:r w:rsidR="00D92829" w:rsidRPr="005C44A1">
        <w:rPr>
          <w:szCs w:val="22"/>
        </w:rPr>
        <w:t>:</w:t>
      </w:r>
      <w:bookmarkStart w:id="22" w:name="_Toc205605564"/>
      <w:r w:rsidR="00D92829" w:rsidRPr="005C44A1">
        <w:rPr>
          <w:szCs w:val="22"/>
        </w:rPr>
        <w:t xml:space="preserve"> </w:t>
      </w:r>
      <w:r w:rsidR="00ED3E00" w:rsidRPr="005C44A1">
        <w:rPr>
          <w:szCs w:val="22"/>
        </w:rPr>
        <w:t>v</w:t>
      </w:r>
      <w:r w:rsidR="009D2A94" w:rsidRPr="005C44A1">
        <w:rPr>
          <w:szCs w:val="22"/>
        </w:rPr>
        <w:t xml:space="preserve">zhľadom na </w:t>
      </w:r>
      <w:r w:rsidR="00ED3E00" w:rsidRPr="005C44A1">
        <w:rPr>
          <w:szCs w:val="22"/>
        </w:rPr>
        <w:t xml:space="preserve">amlodipínovú </w:t>
      </w:r>
      <w:r w:rsidR="009D2A94" w:rsidRPr="005C44A1">
        <w:rPr>
          <w:szCs w:val="22"/>
        </w:rPr>
        <w:t xml:space="preserve">zložku </w:t>
      </w:r>
      <w:r w:rsidR="00ED3E00" w:rsidRPr="005C44A1">
        <w:rPr>
          <w:szCs w:val="22"/>
        </w:rPr>
        <w:t>Reverantzy</w:t>
      </w:r>
      <w:r w:rsidRPr="005C44A1">
        <w:rPr>
          <w:szCs w:val="22"/>
        </w:rPr>
        <w:t>, rovnako ako u všetkých liečiv</w:t>
      </w:r>
      <w:bookmarkEnd w:id="22"/>
      <w:r w:rsidRPr="005C44A1">
        <w:rPr>
          <w:szCs w:val="22"/>
        </w:rPr>
        <w:t xml:space="preserve"> </w:t>
      </w:r>
      <w:bookmarkStart w:id="23" w:name="_Toc205605565"/>
      <w:r w:rsidRPr="005C44A1">
        <w:rPr>
          <w:szCs w:val="22"/>
        </w:rPr>
        <w:t>s vazodilatačným účinkom, treba venovať mimoriadnu pozornosť pacientom so stenózou aortálnej alebo mitrálnej chlopne alebo s obštrukčnou hypertrofickou kardiomyopatiou.</w:t>
      </w:r>
      <w:bookmarkEnd w:id="23"/>
    </w:p>
    <w:p w14:paraId="3B932318" w14:textId="77777777" w:rsidR="00156C1E" w:rsidRPr="005C44A1" w:rsidRDefault="00156C1E" w:rsidP="005C44A1">
      <w:pPr>
        <w:autoSpaceDE w:val="0"/>
        <w:autoSpaceDN w:val="0"/>
        <w:adjustRightInd w:val="0"/>
        <w:ind w:left="0" w:firstLine="0"/>
        <w:outlineLvl w:val="0"/>
        <w:rPr>
          <w:szCs w:val="22"/>
        </w:rPr>
      </w:pPr>
      <w:r w:rsidRPr="005C44A1">
        <w:rPr>
          <w:szCs w:val="22"/>
        </w:rPr>
        <w:t xml:space="preserve"> </w:t>
      </w:r>
    </w:p>
    <w:p w14:paraId="3B932319" w14:textId="77777777" w:rsidR="00156C1E" w:rsidRPr="005C44A1" w:rsidRDefault="00156C1E" w:rsidP="005C44A1">
      <w:pPr>
        <w:autoSpaceDE w:val="0"/>
        <w:autoSpaceDN w:val="0"/>
        <w:adjustRightInd w:val="0"/>
        <w:ind w:left="0" w:firstLine="0"/>
        <w:outlineLvl w:val="0"/>
        <w:rPr>
          <w:szCs w:val="22"/>
          <w:u w:val="single"/>
        </w:rPr>
      </w:pPr>
      <w:bookmarkStart w:id="24" w:name="_Toc205605566"/>
      <w:r w:rsidRPr="005C44A1">
        <w:rPr>
          <w:szCs w:val="22"/>
          <w:u w:val="single"/>
        </w:rPr>
        <w:t>Primárny aldosteronizmu</w:t>
      </w:r>
      <w:bookmarkEnd w:id="24"/>
      <w:r w:rsidRPr="005C44A1">
        <w:rPr>
          <w:szCs w:val="22"/>
          <w:u w:val="single"/>
        </w:rPr>
        <w:t>s</w:t>
      </w:r>
    </w:p>
    <w:p w14:paraId="3B93231A" w14:textId="77777777" w:rsidR="00156C1E" w:rsidRPr="005C44A1" w:rsidRDefault="00156C1E" w:rsidP="005C44A1">
      <w:pPr>
        <w:autoSpaceDE w:val="0"/>
        <w:autoSpaceDN w:val="0"/>
        <w:adjustRightInd w:val="0"/>
        <w:ind w:left="0" w:firstLine="0"/>
        <w:outlineLvl w:val="0"/>
        <w:rPr>
          <w:szCs w:val="22"/>
        </w:rPr>
      </w:pPr>
      <w:bookmarkStart w:id="25" w:name="_Toc205605567"/>
      <w:r w:rsidRPr="005C44A1">
        <w:rPr>
          <w:szCs w:val="22"/>
        </w:rPr>
        <w:t>Pacienti s primárnym aldosteronizmom obvykle nereagujú na antihypertenzíva</w:t>
      </w:r>
      <w:r w:rsidR="005D0D1D" w:rsidRPr="005C44A1">
        <w:rPr>
          <w:szCs w:val="22"/>
        </w:rPr>
        <w:t xml:space="preserve"> pôsobiace prostredníctvom </w:t>
      </w:r>
      <w:r w:rsidRPr="005C44A1">
        <w:rPr>
          <w:szCs w:val="22"/>
        </w:rPr>
        <w:t>inhibíci</w:t>
      </w:r>
      <w:r w:rsidR="005D0D1D" w:rsidRPr="005C44A1">
        <w:rPr>
          <w:szCs w:val="22"/>
        </w:rPr>
        <w:t>e</w:t>
      </w:r>
      <w:r w:rsidRPr="005C44A1">
        <w:rPr>
          <w:szCs w:val="22"/>
        </w:rPr>
        <w:t xml:space="preserve"> renín-angiotenzínového systému. Použitie </w:t>
      </w:r>
      <w:r w:rsidR="005D0D1D" w:rsidRPr="005C44A1">
        <w:rPr>
          <w:szCs w:val="22"/>
        </w:rPr>
        <w:t>Reverantzy</w:t>
      </w:r>
      <w:r w:rsidRPr="005C44A1">
        <w:rPr>
          <w:szCs w:val="22"/>
        </w:rPr>
        <w:t xml:space="preserve"> sa preto u týchto pacientov neodporúča.</w:t>
      </w:r>
      <w:bookmarkEnd w:id="25"/>
    </w:p>
    <w:p w14:paraId="3B93231B" w14:textId="77777777" w:rsidR="00156C1E" w:rsidRPr="005C44A1" w:rsidRDefault="00156C1E" w:rsidP="005C44A1">
      <w:pPr>
        <w:autoSpaceDE w:val="0"/>
        <w:autoSpaceDN w:val="0"/>
        <w:adjustRightInd w:val="0"/>
        <w:ind w:left="0" w:firstLine="0"/>
        <w:outlineLvl w:val="0"/>
        <w:rPr>
          <w:szCs w:val="22"/>
        </w:rPr>
      </w:pPr>
      <w:r w:rsidRPr="005C44A1">
        <w:rPr>
          <w:szCs w:val="22"/>
        </w:rPr>
        <w:t xml:space="preserve"> </w:t>
      </w:r>
    </w:p>
    <w:p w14:paraId="009B6C7C" w14:textId="77777777" w:rsidR="008847FC" w:rsidRDefault="008847FC" w:rsidP="005C44A1">
      <w:pPr>
        <w:tabs>
          <w:tab w:val="center" w:pos="4320"/>
          <w:tab w:val="right" w:pos="8640"/>
        </w:tabs>
        <w:autoSpaceDE w:val="0"/>
        <w:autoSpaceDN w:val="0"/>
        <w:adjustRightInd w:val="0"/>
        <w:ind w:left="0" w:firstLine="0"/>
        <w:outlineLvl w:val="0"/>
        <w:rPr>
          <w:szCs w:val="22"/>
        </w:rPr>
      </w:pPr>
      <w:bookmarkStart w:id="26" w:name="_Toc205605569"/>
      <w:r>
        <w:rPr>
          <w:szCs w:val="22"/>
        </w:rPr>
        <w:t>Zlyhávanie srdca</w:t>
      </w:r>
    </w:p>
    <w:p w14:paraId="3B93231D" w14:textId="29F3F91D" w:rsidR="00156C1E" w:rsidRPr="005C44A1" w:rsidRDefault="00156C1E" w:rsidP="005C44A1">
      <w:pPr>
        <w:tabs>
          <w:tab w:val="center" w:pos="4320"/>
          <w:tab w:val="right" w:pos="8640"/>
        </w:tabs>
        <w:autoSpaceDE w:val="0"/>
        <w:autoSpaceDN w:val="0"/>
        <w:adjustRightInd w:val="0"/>
        <w:ind w:left="0" w:firstLine="0"/>
        <w:outlineLvl w:val="0"/>
        <w:rPr>
          <w:szCs w:val="22"/>
        </w:rPr>
      </w:pPr>
      <w:r w:rsidRPr="005C44A1">
        <w:rPr>
          <w:szCs w:val="22"/>
        </w:rPr>
        <w:t xml:space="preserve">V dôsledku inhibície systému renín-angiotenzín-aldosterón možno u citlivých </w:t>
      </w:r>
      <w:r w:rsidR="00BE0026">
        <w:rPr>
          <w:szCs w:val="22"/>
        </w:rPr>
        <w:t>osôb</w:t>
      </w:r>
      <w:r w:rsidRPr="005C44A1">
        <w:rPr>
          <w:szCs w:val="22"/>
        </w:rPr>
        <w:t xml:space="preserve"> </w:t>
      </w:r>
      <w:r w:rsidR="00806C77" w:rsidRPr="005C44A1">
        <w:rPr>
          <w:szCs w:val="22"/>
        </w:rPr>
        <w:t>predpokladať</w:t>
      </w:r>
      <w:r w:rsidRPr="005C44A1">
        <w:rPr>
          <w:szCs w:val="22"/>
        </w:rPr>
        <w:t xml:space="preserve"> zmeny funkcie obličiek. U pacientov s</w:t>
      </w:r>
      <w:r w:rsidR="00906ED5">
        <w:rPr>
          <w:szCs w:val="22"/>
        </w:rPr>
        <w:t xml:space="preserve"> ťažkým</w:t>
      </w:r>
      <w:r w:rsidRPr="005C44A1">
        <w:rPr>
          <w:szCs w:val="22"/>
        </w:rPr>
        <w:t xml:space="preserve"> zlyh</w:t>
      </w:r>
      <w:r w:rsidR="00F87DCF">
        <w:rPr>
          <w:szCs w:val="22"/>
        </w:rPr>
        <w:t>áv</w:t>
      </w:r>
      <w:r w:rsidRPr="005C44A1">
        <w:rPr>
          <w:szCs w:val="22"/>
        </w:rPr>
        <w:t>aním</w:t>
      </w:r>
      <w:r w:rsidR="00F87DCF">
        <w:rPr>
          <w:szCs w:val="22"/>
        </w:rPr>
        <w:t xml:space="preserve"> srdca</w:t>
      </w:r>
      <w:r w:rsidRPr="005C44A1">
        <w:rPr>
          <w:szCs w:val="22"/>
        </w:rPr>
        <w:t xml:space="preserve">, ktorých funkcia obličiek </w:t>
      </w:r>
      <w:r w:rsidR="00806C77" w:rsidRPr="005C44A1">
        <w:rPr>
          <w:szCs w:val="22"/>
        </w:rPr>
        <w:t>môže závisieť</w:t>
      </w:r>
      <w:r w:rsidRPr="005C44A1">
        <w:rPr>
          <w:szCs w:val="22"/>
        </w:rPr>
        <w:t xml:space="preserve"> od aktivity systému renín-angiotenzín-aldosterón, bola liečba inhibítormi angiotenzín konvertujúceho enzýmu (ACE) a antagonistami receptor</w:t>
      </w:r>
      <w:r w:rsidR="000E6364">
        <w:rPr>
          <w:szCs w:val="22"/>
        </w:rPr>
        <w:t>a</w:t>
      </w:r>
      <w:r w:rsidRPr="005C44A1">
        <w:rPr>
          <w:szCs w:val="22"/>
        </w:rPr>
        <w:t xml:space="preserve"> angiotenzínu spojená s oligúriou a/alebo progresívnou azotémiou a (zriedkavo) s akútnym zlyhaním funkcie obličiek a/alebo </w:t>
      </w:r>
      <w:r w:rsidR="00BE0026">
        <w:rPr>
          <w:szCs w:val="22"/>
        </w:rPr>
        <w:t>úmrtím</w:t>
      </w:r>
      <w:r w:rsidRPr="005C44A1">
        <w:rPr>
          <w:szCs w:val="22"/>
        </w:rPr>
        <w:t>.</w:t>
      </w:r>
      <w:bookmarkEnd w:id="26"/>
    </w:p>
    <w:p w14:paraId="3B93231E" w14:textId="027A47F5" w:rsidR="00156C1E" w:rsidRPr="005C44A1" w:rsidRDefault="00156C1E" w:rsidP="005C44A1">
      <w:pPr>
        <w:autoSpaceDE w:val="0"/>
        <w:autoSpaceDN w:val="0"/>
        <w:adjustRightInd w:val="0"/>
        <w:ind w:left="0" w:firstLine="0"/>
        <w:outlineLvl w:val="0"/>
        <w:rPr>
          <w:szCs w:val="22"/>
        </w:rPr>
      </w:pPr>
      <w:bookmarkStart w:id="27" w:name="_Toc205605570"/>
      <w:r w:rsidRPr="005C44A1">
        <w:rPr>
          <w:szCs w:val="22"/>
        </w:rPr>
        <w:t>Pacienti so zlyh</w:t>
      </w:r>
      <w:r w:rsidR="00A10852">
        <w:rPr>
          <w:szCs w:val="22"/>
        </w:rPr>
        <w:t>áv</w:t>
      </w:r>
      <w:r w:rsidRPr="005C44A1">
        <w:rPr>
          <w:szCs w:val="22"/>
        </w:rPr>
        <w:t xml:space="preserve">aním </w:t>
      </w:r>
      <w:r w:rsidR="00F87DCF">
        <w:rPr>
          <w:szCs w:val="22"/>
        </w:rPr>
        <w:t xml:space="preserve">srdca </w:t>
      </w:r>
      <w:r w:rsidRPr="005C44A1">
        <w:rPr>
          <w:szCs w:val="22"/>
        </w:rPr>
        <w:t>majú byť liečení s opatrnosťou. V dlhodobej, placebom kontrolovanej štúdii bol pri podávaní amlodipínu pacientom s</w:t>
      </w:r>
      <w:r w:rsidR="00906ED5">
        <w:rPr>
          <w:szCs w:val="22"/>
        </w:rPr>
        <w:t xml:space="preserve"> ťažkým</w:t>
      </w:r>
      <w:r w:rsidRPr="005C44A1">
        <w:rPr>
          <w:szCs w:val="22"/>
        </w:rPr>
        <w:t xml:space="preserve"> zlyh</w:t>
      </w:r>
      <w:r w:rsidR="00D631E2">
        <w:rPr>
          <w:szCs w:val="22"/>
        </w:rPr>
        <w:t>áv</w:t>
      </w:r>
      <w:r w:rsidR="00906ED5">
        <w:rPr>
          <w:szCs w:val="22"/>
        </w:rPr>
        <w:t>a</w:t>
      </w:r>
      <w:r w:rsidRPr="005C44A1">
        <w:rPr>
          <w:szCs w:val="22"/>
        </w:rPr>
        <w:t>ním srdca (</w:t>
      </w:r>
      <w:r w:rsidR="00906ED5">
        <w:rPr>
          <w:szCs w:val="22"/>
        </w:rPr>
        <w:t>tried</w:t>
      </w:r>
      <w:r w:rsidR="00BD7DD7">
        <w:rPr>
          <w:szCs w:val="22"/>
        </w:rPr>
        <w:t>y</w:t>
      </w:r>
      <w:r w:rsidRPr="005C44A1">
        <w:rPr>
          <w:szCs w:val="22"/>
        </w:rPr>
        <w:t xml:space="preserve"> NYHA III a IV) hlásený výskyt pľúcnych edémov</w:t>
      </w:r>
      <w:r w:rsidR="00F87DCF">
        <w:rPr>
          <w:szCs w:val="22"/>
        </w:rPr>
        <w:t xml:space="preserve">, ktorý bol </w:t>
      </w:r>
      <w:r w:rsidRPr="005C44A1">
        <w:rPr>
          <w:szCs w:val="22"/>
        </w:rPr>
        <w:t>vyšší v skupine pacientov s amlodipínom ako v skupine s placebom (pozri časť 5.1)</w:t>
      </w:r>
      <w:bookmarkEnd w:id="27"/>
      <w:r w:rsidRPr="005C44A1">
        <w:rPr>
          <w:szCs w:val="22"/>
        </w:rPr>
        <w:t>. Blokátory kalciových kanálov</w:t>
      </w:r>
      <w:r w:rsidR="00BD31FD">
        <w:rPr>
          <w:szCs w:val="22"/>
        </w:rPr>
        <w:t>,</w:t>
      </w:r>
      <w:r w:rsidRPr="005C44A1">
        <w:rPr>
          <w:szCs w:val="22"/>
        </w:rPr>
        <w:t xml:space="preserve"> vrátane amlodipínu</w:t>
      </w:r>
      <w:r w:rsidR="00BD31FD">
        <w:rPr>
          <w:szCs w:val="22"/>
        </w:rPr>
        <w:t>,</w:t>
      </w:r>
      <w:r w:rsidRPr="005C44A1">
        <w:rPr>
          <w:szCs w:val="22"/>
        </w:rPr>
        <w:t xml:space="preserve"> sa majú používať s opatrnosťou u pacientov s kongestívnym zlyh</w:t>
      </w:r>
      <w:r w:rsidR="00BD7DD7">
        <w:rPr>
          <w:szCs w:val="22"/>
        </w:rPr>
        <w:t>áv</w:t>
      </w:r>
      <w:r w:rsidRPr="005C44A1">
        <w:rPr>
          <w:szCs w:val="22"/>
        </w:rPr>
        <w:t>aním</w:t>
      </w:r>
      <w:r w:rsidR="00F87DCF">
        <w:rPr>
          <w:szCs w:val="22"/>
        </w:rPr>
        <w:t xml:space="preserve"> srdca</w:t>
      </w:r>
      <w:r w:rsidRPr="005C44A1">
        <w:rPr>
          <w:szCs w:val="22"/>
        </w:rPr>
        <w:t xml:space="preserve">, </w:t>
      </w:r>
      <w:r w:rsidR="00082521" w:rsidRPr="005C44A1">
        <w:rPr>
          <w:szCs w:val="22"/>
        </w:rPr>
        <w:t>preto</w:t>
      </w:r>
      <w:r w:rsidRPr="005C44A1">
        <w:rPr>
          <w:szCs w:val="22"/>
        </w:rPr>
        <w:t>že môžu zv</w:t>
      </w:r>
      <w:r w:rsidR="00082521" w:rsidRPr="005C44A1">
        <w:rPr>
          <w:szCs w:val="22"/>
        </w:rPr>
        <w:t>ýši</w:t>
      </w:r>
      <w:r w:rsidRPr="005C44A1">
        <w:rPr>
          <w:szCs w:val="22"/>
        </w:rPr>
        <w:t xml:space="preserve">ť riziko </w:t>
      </w:r>
      <w:r w:rsidR="00EA5D34" w:rsidRPr="005C44A1">
        <w:rPr>
          <w:szCs w:val="22"/>
        </w:rPr>
        <w:t xml:space="preserve">budúcich </w:t>
      </w:r>
      <w:r w:rsidRPr="005C44A1">
        <w:rPr>
          <w:szCs w:val="22"/>
        </w:rPr>
        <w:t xml:space="preserve">kardiovaskulárnych </w:t>
      </w:r>
      <w:r w:rsidR="00EA5D34" w:rsidRPr="005C44A1">
        <w:rPr>
          <w:szCs w:val="22"/>
        </w:rPr>
        <w:t>príhod</w:t>
      </w:r>
      <w:r w:rsidRPr="005C44A1">
        <w:rPr>
          <w:szCs w:val="22"/>
        </w:rPr>
        <w:t xml:space="preserve"> a </w:t>
      </w:r>
      <w:r w:rsidR="00EA5D34" w:rsidRPr="005C44A1">
        <w:rPr>
          <w:szCs w:val="22"/>
        </w:rPr>
        <w:t>mortalitu</w:t>
      </w:r>
      <w:r w:rsidRPr="005C44A1">
        <w:rPr>
          <w:szCs w:val="22"/>
        </w:rPr>
        <w:t>.</w:t>
      </w:r>
    </w:p>
    <w:p w14:paraId="3B93231F" w14:textId="77777777" w:rsidR="00835427" w:rsidRPr="005C44A1" w:rsidRDefault="00835427" w:rsidP="005C44A1">
      <w:pPr>
        <w:autoSpaceDE w:val="0"/>
        <w:autoSpaceDN w:val="0"/>
        <w:adjustRightInd w:val="0"/>
        <w:ind w:left="0" w:firstLine="0"/>
        <w:outlineLvl w:val="0"/>
        <w:rPr>
          <w:szCs w:val="22"/>
          <w:u w:val="single"/>
        </w:rPr>
      </w:pPr>
    </w:p>
    <w:p w14:paraId="3B932320" w14:textId="77777777" w:rsidR="00156C1E" w:rsidRPr="005C44A1" w:rsidRDefault="00156C1E" w:rsidP="005C44A1">
      <w:pPr>
        <w:autoSpaceDE w:val="0"/>
        <w:autoSpaceDN w:val="0"/>
        <w:adjustRightInd w:val="0"/>
        <w:ind w:left="0" w:firstLine="0"/>
        <w:outlineLvl w:val="0"/>
        <w:rPr>
          <w:szCs w:val="22"/>
          <w:u w:val="single"/>
        </w:rPr>
      </w:pPr>
      <w:r w:rsidRPr="005C44A1">
        <w:rPr>
          <w:szCs w:val="22"/>
          <w:u w:val="single"/>
        </w:rPr>
        <w:t>Enteropatia podobná sprue</w:t>
      </w:r>
    </w:p>
    <w:p w14:paraId="3B932321" w14:textId="36CF285A" w:rsidR="00156C1E" w:rsidRPr="005C44A1" w:rsidRDefault="00156C1E" w:rsidP="005C44A1">
      <w:pPr>
        <w:autoSpaceDE w:val="0"/>
        <w:autoSpaceDN w:val="0"/>
        <w:adjustRightInd w:val="0"/>
        <w:ind w:left="0" w:firstLine="0"/>
        <w:outlineLvl w:val="0"/>
        <w:rPr>
          <w:szCs w:val="22"/>
        </w:rPr>
      </w:pPr>
      <w:r w:rsidRPr="005C44A1">
        <w:rPr>
          <w:szCs w:val="22"/>
        </w:rPr>
        <w:t>Vo veľmi zriedkavých prípadoch bola u pacientov užíva</w:t>
      </w:r>
      <w:r w:rsidR="00FE7C71" w:rsidRPr="005C44A1">
        <w:rPr>
          <w:szCs w:val="22"/>
        </w:rPr>
        <w:t>júcich</w:t>
      </w:r>
      <w:r w:rsidRPr="005C44A1">
        <w:rPr>
          <w:szCs w:val="22"/>
        </w:rPr>
        <w:t xml:space="preserve"> olmesart</w:t>
      </w:r>
      <w:r w:rsidR="00FC0770">
        <w:rPr>
          <w:szCs w:val="22"/>
        </w:rPr>
        <w:t>a</w:t>
      </w:r>
      <w:r w:rsidRPr="005C44A1">
        <w:rPr>
          <w:szCs w:val="22"/>
        </w:rPr>
        <w:t>n niekoľko mesiacov až rokov</w:t>
      </w:r>
      <w:r w:rsidR="00BD31FD">
        <w:rPr>
          <w:szCs w:val="22"/>
        </w:rPr>
        <w:t xml:space="preserve"> </w:t>
      </w:r>
      <w:r w:rsidR="00FE7C71" w:rsidRPr="005C44A1">
        <w:rPr>
          <w:szCs w:val="22"/>
        </w:rPr>
        <w:t>po začatí liečby hlásená chronická hnačka s významným úbytkom hmotnosti</w:t>
      </w:r>
      <w:r w:rsidRPr="005C44A1">
        <w:rPr>
          <w:szCs w:val="22"/>
        </w:rPr>
        <w:t xml:space="preserve">, </w:t>
      </w:r>
      <w:r w:rsidR="00601D7C" w:rsidRPr="005C44A1">
        <w:rPr>
          <w:szCs w:val="22"/>
        </w:rPr>
        <w:t>ktorá mohla byť spôsobená</w:t>
      </w:r>
      <w:r w:rsidRPr="005C44A1">
        <w:rPr>
          <w:szCs w:val="22"/>
        </w:rPr>
        <w:t xml:space="preserve"> lokálnou oneskorenou reakciou precitlivenosti. Biopsie čreva u týchto pacientov často </w:t>
      </w:r>
      <w:r w:rsidR="00BD31FD">
        <w:rPr>
          <w:szCs w:val="22"/>
        </w:rPr>
        <w:t>pre</w:t>
      </w:r>
      <w:r w:rsidRPr="005C44A1">
        <w:rPr>
          <w:szCs w:val="22"/>
        </w:rPr>
        <w:t xml:space="preserve">ukázali </w:t>
      </w:r>
      <w:r w:rsidR="001350F8" w:rsidRPr="005C44A1">
        <w:rPr>
          <w:szCs w:val="22"/>
        </w:rPr>
        <w:t xml:space="preserve">vilóznu </w:t>
      </w:r>
      <w:r w:rsidRPr="005C44A1">
        <w:rPr>
          <w:szCs w:val="22"/>
        </w:rPr>
        <w:t xml:space="preserve">atrofiu. Ak </w:t>
      </w:r>
      <w:r w:rsidR="003A6637">
        <w:rPr>
          <w:szCs w:val="22"/>
        </w:rPr>
        <w:t xml:space="preserve">sa </w:t>
      </w:r>
      <w:r w:rsidRPr="005C44A1">
        <w:rPr>
          <w:szCs w:val="22"/>
        </w:rPr>
        <w:t xml:space="preserve">u pacientov </w:t>
      </w:r>
      <w:r w:rsidR="001350F8" w:rsidRPr="005C44A1">
        <w:rPr>
          <w:szCs w:val="22"/>
        </w:rPr>
        <w:t>rozvinú</w:t>
      </w:r>
      <w:r w:rsidRPr="005C44A1">
        <w:rPr>
          <w:szCs w:val="22"/>
        </w:rPr>
        <w:t xml:space="preserve"> tieto príznaky počas liečby olmesart</w:t>
      </w:r>
      <w:r w:rsidR="00FC0770">
        <w:rPr>
          <w:szCs w:val="22"/>
        </w:rPr>
        <w:t>a</w:t>
      </w:r>
      <w:r w:rsidRPr="005C44A1">
        <w:rPr>
          <w:szCs w:val="22"/>
        </w:rPr>
        <w:t>nom a nie je zjavná iná etiológia, liečba olmesart</w:t>
      </w:r>
      <w:r w:rsidR="00FC0770">
        <w:rPr>
          <w:szCs w:val="22"/>
        </w:rPr>
        <w:t>a</w:t>
      </w:r>
      <w:r w:rsidRPr="005C44A1">
        <w:rPr>
          <w:szCs w:val="22"/>
        </w:rPr>
        <w:t>nom</w:t>
      </w:r>
      <w:r w:rsidR="001350F8" w:rsidRPr="005C44A1">
        <w:rPr>
          <w:szCs w:val="22"/>
        </w:rPr>
        <w:t xml:space="preserve"> sa </w:t>
      </w:r>
      <w:r w:rsidRPr="005C44A1">
        <w:rPr>
          <w:szCs w:val="22"/>
        </w:rPr>
        <w:t>musí okamžite ukonč</w:t>
      </w:r>
      <w:r w:rsidR="001350F8" w:rsidRPr="005C44A1">
        <w:rPr>
          <w:szCs w:val="22"/>
        </w:rPr>
        <w:t>iť</w:t>
      </w:r>
      <w:r w:rsidR="00367A7D" w:rsidRPr="005C44A1">
        <w:rPr>
          <w:szCs w:val="22"/>
        </w:rPr>
        <w:t xml:space="preserve"> </w:t>
      </w:r>
      <w:r w:rsidRPr="005C44A1">
        <w:rPr>
          <w:szCs w:val="22"/>
        </w:rPr>
        <w:t>a ne</w:t>
      </w:r>
      <w:r w:rsidR="00367A7D" w:rsidRPr="005C44A1">
        <w:rPr>
          <w:szCs w:val="22"/>
        </w:rPr>
        <w:t>má</w:t>
      </w:r>
      <w:r w:rsidRPr="005C44A1">
        <w:rPr>
          <w:szCs w:val="22"/>
        </w:rPr>
        <w:t xml:space="preserve"> sa obnoviť. Ak sa hnačka nezlepší v priebehu jedného týždňa po </w:t>
      </w:r>
      <w:r w:rsidR="00367A7D" w:rsidRPr="005C44A1">
        <w:rPr>
          <w:szCs w:val="22"/>
        </w:rPr>
        <w:t>ukončení</w:t>
      </w:r>
      <w:r w:rsidRPr="005C44A1">
        <w:rPr>
          <w:szCs w:val="22"/>
        </w:rPr>
        <w:t xml:space="preserve"> liečby, </w:t>
      </w:r>
      <w:r w:rsidR="00070069" w:rsidRPr="005C44A1">
        <w:rPr>
          <w:szCs w:val="22"/>
        </w:rPr>
        <w:t>má sa zvážiť</w:t>
      </w:r>
      <w:r w:rsidRPr="005C44A1">
        <w:rPr>
          <w:szCs w:val="22"/>
        </w:rPr>
        <w:t xml:space="preserve"> konzultácia s ďalším špecialistom (napr. gastroenterológom).</w:t>
      </w:r>
    </w:p>
    <w:p w14:paraId="3B932322" w14:textId="77777777" w:rsidR="00367A7D" w:rsidRPr="005C44A1" w:rsidRDefault="00367A7D" w:rsidP="005C44A1">
      <w:pPr>
        <w:autoSpaceDE w:val="0"/>
        <w:autoSpaceDN w:val="0"/>
        <w:adjustRightInd w:val="0"/>
        <w:ind w:left="0" w:firstLine="0"/>
        <w:outlineLvl w:val="0"/>
        <w:rPr>
          <w:szCs w:val="22"/>
          <w:u w:val="single"/>
        </w:rPr>
      </w:pPr>
      <w:bookmarkStart w:id="28" w:name="_Toc205605571"/>
    </w:p>
    <w:p w14:paraId="3B932323" w14:textId="77777777" w:rsidR="00156C1E" w:rsidRPr="005C44A1" w:rsidRDefault="00156C1E" w:rsidP="005C44A1">
      <w:pPr>
        <w:autoSpaceDE w:val="0"/>
        <w:autoSpaceDN w:val="0"/>
        <w:adjustRightInd w:val="0"/>
        <w:ind w:left="0" w:firstLine="0"/>
        <w:outlineLvl w:val="0"/>
        <w:rPr>
          <w:szCs w:val="22"/>
          <w:u w:val="single"/>
        </w:rPr>
      </w:pPr>
      <w:r w:rsidRPr="005C44A1">
        <w:rPr>
          <w:szCs w:val="22"/>
          <w:u w:val="single"/>
        </w:rPr>
        <w:t>Etnické rozdiely</w:t>
      </w:r>
      <w:bookmarkEnd w:id="28"/>
    </w:p>
    <w:p w14:paraId="3B932324" w14:textId="6711355D" w:rsidR="00156C1E" w:rsidRPr="005C44A1" w:rsidRDefault="00F168D7" w:rsidP="005C44A1">
      <w:pPr>
        <w:autoSpaceDE w:val="0"/>
        <w:autoSpaceDN w:val="0"/>
        <w:adjustRightInd w:val="0"/>
        <w:ind w:left="0" w:firstLine="0"/>
        <w:outlineLvl w:val="0"/>
        <w:rPr>
          <w:szCs w:val="22"/>
        </w:rPr>
      </w:pPr>
      <w:bookmarkStart w:id="29" w:name="_Toc205605572"/>
      <w:r w:rsidRPr="005C44A1">
        <w:rPr>
          <w:szCs w:val="22"/>
        </w:rPr>
        <w:t xml:space="preserve">Tak ako u všetkých ostatných antagonistov angiotenzínu II môže byť účinok Reverantzy na zníženie krvného tlaku u pacientov čiernej </w:t>
      </w:r>
      <w:r w:rsidR="00D712C9">
        <w:rPr>
          <w:szCs w:val="22"/>
        </w:rPr>
        <w:t>rasy</w:t>
      </w:r>
      <w:r w:rsidRPr="005C44A1">
        <w:rPr>
          <w:szCs w:val="22"/>
        </w:rPr>
        <w:t xml:space="preserve"> o niečo </w:t>
      </w:r>
      <w:r w:rsidR="00FD2D42">
        <w:rPr>
          <w:szCs w:val="22"/>
        </w:rPr>
        <w:t>niž</w:t>
      </w:r>
      <w:r w:rsidRPr="005C44A1">
        <w:rPr>
          <w:szCs w:val="22"/>
        </w:rPr>
        <w:t xml:space="preserve">ší ako u pacientov inej </w:t>
      </w:r>
      <w:r w:rsidR="00403D57">
        <w:rPr>
          <w:szCs w:val="22"/>
        </w:rPr>
        <w:t>rasy</w:t>
      </w:r>
      <w:r w:rsidRPr="005C44A1">
        <w:rPr>
          <w:szCs w:val="22"/>
        </w:rPr>
        <w:t>, pravdepodobne kvôli vyššej prevalencii stavu s</w:t>
      </w:r>
      <w:r w:rsidR="00FD2D42">
        <w:rPr>
          <w:szCs w:val="22"/>
        </w:rPr>
        <w:t> </w:t>
      </w:r>
      <w:r w:rsidRPr="005C44A1">
        <w:rPr>
          <w:szCs w:val="22"/>
        </w:rPr>
        <w:t>nízk</w:t>
      </w:r>
      <w:r w:rsidR="00FD2D42">
        <w:rPr>
          <w:szCs w:val="22"/>
        </w:rPr>
        <w:t>ou hladinou</w:t>
      </w:r>
      <w:r w:rsidRPr="005C44A1">
        <w:rPr>
          <w:szCs w:val="22"/>
        </w:rPr>
        <w:t xml:space="preserve"> renínu v populácii </w:t>
      </w:r>
      <w:r w:rsidR="00A82754">
        <w:rPr>
          <w:szCs w:val="22"/>
        </w:rPr>
        <w:t>pacientov</w:t>
      </w:r>
      <w:r w:rsidR="00891F8B" w:rsidRPr="005C44A1">
        <w:rPr>
          <w:szCs w:val="22"/>
        </w:rPr>
        <w:t xml:space="preserve"> čiernej </w:t>
      </w:r>
      <w:r w:rsidR="00403D57">
        <w:rPr>
          <w:szCs w:val="22"/>
        </w:rPr>
        <w:t>rasy</w:t>
      </w:r>
      <w:r w:rsidR="00A82754">
        <w:rPr>
          <w:szCs w:val="22"/>
        </w:rPr>
        <w:t xml:space="preserve"> s hypertenziou</w:t>
      </w:r>
      <w:r w:rsidR="00156C1E" w:rsidRPr="005C44A1">
        <w:rPr>
          <w:szCs w:val="22"/>
        </w:rPr>
        <w:t>.</w:t>
      </w:r>
      <w:bookmarkEnd w:id="29"/>
    </w:p>
    <w:p w14:paraId="3B932325" w14:textId="77777777" w:rsidR="00070069" w:rsidRPr="005C44A1" w:rsidRDefault="00070069" w:rsidP="005C44A1">
      <w:pPr>
        <w:autoSpaceDE w:val="0"/>
        <w:autoSpaceDN w:val="0"/>
        <w:adjustRightInd w:val="0"/>
        <w:ind w:left="0" w:firstLine="0"/>
        <w:outlineLvl w:val="0"/>
        <w:rPr>
          <w:szCs w:val="22"/>
          <w:u w:val="single"/>
        </w:rPr>
      </w:pPr>
    </w:p>
    <w:p w14:paraId="3B932326" w14:textId="77777777" w:rsidR="00156C1E" w:rsidRPr="005C44A1" w:rsidRDefault="00156C1E" w:rsidP="005C44A1">
      <w:pPr>
        <w:autoSpaceDE w:val="0"/>
        <w:autoSpaceDN w:val="0"/>
        <w:adjustRightInd w:val="0"/>
        <w:ind w:left="0" w:firstLine="0"/>
        <w:outlineLvl w:val="0"/>
        <w:rPr>
          <w:szCs w:val="22"/>
          <w:u w:val="single"/>
        </w:rPr>
      </w:pPr>
      <w:r w:rsidRPr="005C44A1">
        <w:rPr>
          <w:szCs w:val="22"/>
          <w:u w:val="single"/>
        </w:rPr>
        <w:t>Starší ľudia</w:t>
      </w:r>
    </w:p>
    <w:p w14:paraId="3B932327" w14:textId="77777777" w:rsidR="00156C1E" w:rsidRPr="005C44A1" w:rsidRDefault="00156C1E" w:rsidP="005C44A1">
      <w:pPr>
        <w:autoSpaceDE w:val="0"/>
        <w:autoSpaceDN w:val="0"/>
        <w:adjustRightInd w:val="0"/>
        <w:ind w:left="0" w:firstLine="0"/>
        <w:outlineLvl w:val="0"/>
        <w:rPr>
          <w:szCs w:val="22"/>
        </w:rPr>
      </w:pPr>
      <w:r w:rsidRPr="005C44A1">
        <w:rPr>
          <w:szCs w:val="22"/>
        </w:rPr>
        <w:t>U starších ľudí sa má dávka zvyšovať s opatrnosťou (pozri časť 5.2).</w:t>
      </w:r>
    </w:p>
    <w:p w14:paraId="3B932328" w14:textId="77777777" w:rsidR="00891F8B" w:rsidRPr="005C44A1" w:rsidRDefault="00891F8B" w:rsidP="005C44A1">
      <w:pPr>
        <w:autoSpaceDE w:val="0"/>
        <w:autoSpaceDN w:val="0"/>
        <w:adjustRightInd w:val="0"/>
        <w:ind w:left="0" w:firstLine="0"/>
        <w:outlineLvl w:val="0"/>
        <w:rPr>
          <w:szCs w:val="22"/>
          <w:u w:val="single"/>
        </w:rPr>
      </w:pPr>
      <w:bookmarkStart w:id="30" w:name="_Toc205605573"/>
    </w:p>
    <w:p w14:paraId="3B932329" w14:textId="77777777" w:rsidR="00156C1E" w:rsidRPr="005C44A1" w:rsidRDefault="00156C1E" w:rsidP="005C44A1">
      <w:pPr>
        <w:autoSpaceDE w:val="0"/>
        <w:autoSpaceDN w:val="0"/>
        <w:adjustRightInd w:val="0"/>
        <w:ind w:left="0" w:firstLine="0"/>
        <w:outlineLvl w:val="0"/>
        <w:rPr>
          <w:szCs w:val="22"/>
          <w:u w:val="single"/>
        </w:rPr>
      </w:pPr>
      <w:r w:rsidRPr="005C44A1">
        <w:rPr>
          <w:szCs w:val="22"/>
          <w:u w:val="single"/>
        </w:rPr>
        <w:t>Gravidita</w:t>
      </w:r>
      <w:bookmarkEnd w:id="30"/>
    </w:p>
    <w:p w14:paraId="3B93232A" w14:textId="77777777" w:rsidR="00156C1E" w:rsidRPr="005C44A1" w:rsidRDefault="00156C1E" w:rsidP="005C44A1">
      <w:pPr>
        <w:autoSpaceDE w:val="0"/>
        <w:autoSpaceDN w:val="0"/>
        <w:adjustRightInd w:val="0"/>
        <w:ind w:left="0" w:firstLine="0"/>
        <w:outlineLvl w:val="0"/>
        <w:rPr>
          <w:szCs w:val="22"/>
        </w:rPr>
      </w:pPr>
      <w:bookmarkStart w:id="31" w:name="_Toc205605574"/>
      <w:r w:rsidRPr="005C44A1">
        <w:rPr>
          <w:szCs w:val="22"/>
        </w:rPr>
        <w:t>Liečba antagonistami angiotenzínu II sa ne</w:t>
      </w:r>
      <w:r w:rsidR="00C24725" w:rsidRPr="005C44A1">
        <w:rPr>
          <w:szCs w:val="22"/>
        </w:rPr>
        <w:t>má</w:t>
      </w:r>
      <w:r w:rsidRPr="005C44A1">
        <w:rPr>
          <w:szCs w:val="22"/>
        </w:rPr>
        <w:t xml:space="preserve"> začínať počas gravidity. Ak sa pokračovanie v liečbe antagonistami angiotenzínu II nepovažuje za nevyhnutné, pacientkam</w:t>
      </w:r>
      <w:r w:rsidR="00E0272D" w:rsidRPr="005C44A1">
        <w:rPr>
          <w:szCs w:val="22"/>
        </w:rPr>
        <w:t xml:space="preserve"> plánujúcim graviditu</w:t>
      </w:r>
      <w:r w:rsidRPr="005C44A1">
        <w:rPr>
          <w:szCs w:val="22"/>
        </w:rPr>
        <w:t xml:space="preserve"> sa má liečba zmeniť na alternatívnu antihypertenznú liečbu, ktorá má </w:t>
      </w:r>
      <w:r w:rsidR="00E0272D" w:rsidRPr="005C44A1">
        <w:rPr>
          <w:szCs w:val="22"/>
        </w:rPr>
        <w:t>preu</w:t>
      </w:r>
      <w:r w:rsidRPr="005C44A1">
        <w:rPr>
          <w:szCs w:val="22"/>
        </w:rPr>
        <w:t xml:space="preserve">kázaný bezpečnostný profil </w:t>
      </w:r>
      <w:r w:rsidR="0002204D" w:rsidRPr="005C44A1">
        <w:rPr>
          <w:szCs w:val="22"/>
        </w:rPr>
        <w:t xml:space="preserve">na použitie </w:t>
      </w:r>
      <w:r w:rsidRPr="005C44A1">
        <w:rPr>
          <w:szCs w:val="22"/>
        </w:rPr>
        <w:t>v gravidite. P</w:t>
      </w:r>
      <w:r w:rsidR="0002204D" w:rsidRPr="005C44A1">
        <w:rPr>
          <w:szCs w:val="22"/>
        </w:rPr>
        <w:t>o</w:t>
      </w:r>
      <w:r w:rsidRPr="005C44A1">
        <w:rPr>
          <w:szCs w:val="22"/>
        </w:rPr>
        <w:t xml:space="preserve"> potvrden</w:t>
      </w:r>
      <w:r w:rsidR="0002204D" w:rsidRPr="005C44A1">
        <w:rPr>
          <w:szCs w:val="22"/>
        </w:rPr>
        <w:t>í</w:t>
      </w:r>
      <w:r w:rsidRPr="005C44A1">
        <w:rPr>
          <w:szCs w:val="22"/>
        </w:rPr>
        <w:t xml:space="preserve"> gravidit</w:t>
      </w:r>
      <w:r w:rsidR="0002204D" w:rsidRPr="005C44A1">
        <w:rPr>
          <w:szCs w:val="22"/>
        </w:rPr>
        <w:t>y</w:t>
      </w:r>
      <w:r w:rsidRPr="005C44A1">
        <w:rPr>
          <w:szCs w:val="22"/>
        </w:rPr>
        <w:t xml:space="preserve"> sa má liečba antagonistami angiotenzínu II okamžite ukončiť a v prípade potreby sa má </w:t>
      </w:r>
      <w:r w:rsidR="0002204D" w:rsidRPr="005C44A1">
        <w:rPr>
          <w:szCs w:val="22"/>
        </w:rPr>
        <w:t>začať</w:t>
      </w:r>
      <w:r w:rsidRPr="005C44A1">
        <w:rPr>
          <w:szCs w:val="22"/>
        </w:rPr>
        <w:t xml:space="preserve"> alternatívna liečba (pozri časti 4.3 a 4.6).</w:t>
      </w:r>
      <w:bookmarkEnd w:id="31"/>
    </w:p>
    <w:p w14:paraId="3B93232B" w14:textId="77777777" w:rsidR="00156C1E" w:rsidRPr="005C44A1" w:rsidRDefault="00156C1E" w:rsidP="005C44A1">
      <w:pPr>
        <w:autoSpaceDE w:val="0"/>
        <w:autoSpaceDN w:val="0"/>
        <w:adjustRightInd w:val="0"/>
        <w:ind w:left="0" w:firstLine="0"/>
        <w:outlineLvl w:val="0"/>
        <w:rPr>
          <w:szCs w:val="22"/>
        </w:rPr>
      </w:pPr>
      <w:r w:rsidRPr="005C44A1">
        <w:rPr>
          <w:szCs w:val="22"/>
        </w:rPr>
        <w:t xml:space="preserve"> </w:t>
      </w:r>
    </w:p>
    <w:p w14:paraId="3B93232C" w14:textId="77777777" w:rsidR="00156C1E" w:rsidRPr="005C44A1" w:rsidRDefault="00156C1E" w:rsidP="005C44A1">
      <w:pPr>
        <w:autoSpaceDE w:val="0"/>
        <w:autoSpaceDN w:val="0"/>
        <w:adjustRightInd w:val="0"/>
        <w:ind w:left="0" w:firstLine="0"/>
        <w:outlineLvl w:val="0"/>
        <w:rPr>
          <w:szCs w:val="22"/>
          <w:u w:val="single"/>
        </w:rPr>
      </w:pPr>
      <w:bookmarkStart w:id="32" w:name="_Toc205605575"/>
      <w:r w:rsidRPr="005C44A1">
        <w:rPr>
          <w:szCs w:val="22"/>
          <w:u w:val="single"/>
        </w:rPr>
        <w:t>Iné</w:t>
      </w:r>
      <w:bookmarkEnd w:id="32"/>
    </w:p>
    <w:p w14:paraId="3B93232D" w14:textId="3079779C" w:rsidR="00156C1E" w:rsidRPr="005C44A1" w:rsidRDefault="00394087" w:rsidP="005C44A1">
      <w:pPr>
        <w:autoSpaceDE w:val="0"/>
        <w:autoSpaceDN w:val="0"/>
        <w:adjustRightInd w:val="0"/>
        <w:ind w:left="0" w:firstLine="0"/>
        <w:outlineLvl w:val="0"/>
        <w:rPr>
          <w:szCs w:val="22"/>
        </w:rPr>
      </w:pPr>
      <w:bookmarkStart w:id="33" w:name="_Toc205605576"/>
      <w:r w:rsidRPr="005C44A1">
        <w:rPr>
          <w:szCs w:val="22"/>
        </w:rPr>
        <w:t>Tak ako u iných antihepertenzív n</w:t>
      </w:r>
      <w:r w:rsidR="00156C1E" w:rsidRPr="005C44A1">
        <w:rPr>
          <w:szCs w:val="22"/>
        </w:rPr>
        <w:t>admerné zníženie krvného tlaku</w:t>
      </w:r>
      <w:r w:rsidR="00AD4C46" w:rsidRPr="005C44A1">
        <w:rPr>
          <w:szCs w:val="22"/>
        </w:rPr>
        <w:t xml:space="preserve"> môže</w:t>
      </w:r>
      <w:r w:rsidR="00156C1E" w:rsidRPr="005C44A1">
        <w:rPr>
          <w:szCs w:val="22"/>
        </w:rPr>
        <w:t xml:space="preserve"> u pacientov s ischemickou chorobou srdca alebo ischemickým cerebrovaskulárnym ochorením vyvolať infarkt myokardu alebo mozgovú príhodu.</w:t>
      </w:r>
      <w:bookmarkEnd w:id="33"/>
    </w:p>
    <w:p w14:paraId="3B93232E" w14:textId="77777777" w:rsidR="0002204D" w:rsidRPr="005C44A1" w:rsidRDefault="0002204D" w:rsidP="005C44A1">
      <w:pPr>
        <w:autoSpaceDE w:val="0"/>
        <w:autoSpaceDN w:val="0"/>
        <w:adjustRightInd w:val="0"/>
        <w:ind w:left="0" w:firstLine="0"/>
        <w:outlineLvl w:val="0"/>
        <w:rPr>
          <w:szCs w:val="22"/>
          <w:u w:val="single"/>
        </w:rPr>
      </w:pPr>
    </w:p>
    <w:p w14:paraId="3B93232F" w14:textId="32D2B3FA" w:rsidR="00156C1E" w:rsidRPr="005C44A1" w:rsidRDefault="00D85940" w:rsidP="005C44A1">
      <w:pPr>
        <w:ind w:left="0" w:firstLine="0"/>
        <w:rPr>
          <w:szCs w:val="22"/>
        </w:rPr>
      </w:pPr>
      <w:r w:rsidRPr="005C44A1">
        <w:rPr>
          <w:szCs w:val="22"/>
        </w:rPr>
        <w:t>Tento liek obsahuje menej ako 1 mmol sodíka (23 mg) v</w:t>
      </w:r>
      <w:r w:rsidR="00643ECA" w:rsidRPr="005C44A1">
        <w:rPr>
          <w:szCs w:val="22"/>
        </w:rPr>
        <w:t> </w:t>
      </w:r>
      <w:r w:rsidRPr="005C44A1">
        <w:rPr>
          <w:szCs w:val="22"/>
        </w:rPr>
        <w:t>jedn</w:t>
      </w:r>
      <w:r w:rsidR="00643ECA" w:rsidRPr="005C44A1">
        <w:rPr>
          <w:szCs w:val="22"/>
        </w:rPr>
        <w:t>ej tablete</w:t>
      </w:r>
      <w:r w:rsidRPr="005C44A1">
        <w:rPr>
          <w:szCs w:val="22"/>
        </w:rPr>
        <w:t>, t.</w:t>
      </w:r>
      <w:r w:rsidR="00B31F6C">
        <w:rPr>
          <w:szCs w:val="22"/>
        </w:rPr>
        <w:t xml:space="preserve"> </w:t>
      </w:r>
      <w:r w:rsidRPr="005C44A1">
        <w:rPr>
          <w:szCs w:val="22"/>
        </w:rPr>
        <w:t>j. v podstate zanedbateľné množstvo</w:t>
      </w:r>
      <w:r w:rsidR="00760188" w:rsidRPr="005C44A1">
        <w:rPr>
          <w:szCs w:val="22"/>
        </w:rPr>
        <w:t xml:space="preserve"> </w:t>
      </w:r>
      <w:r w:rsidRPr="005C44A1">
        <w:rPr>
          <w:szCs w:val="22"/>
        </w:rPr>
        <w:t>sodíka.</w:t>
      </w:r>
    </w:p>
    <w:p w14:paraId="3B932330" w14:textId="77777777" w:rsidR="00780926" w:rsidRPr="005C44A1" w:rsidRDefault="00780926" w:rsidP="005C44A1">
      <w:pPr>
        <w:rPr>
          <w:szCs w:val="22"/>
        </w:rPr>
      </w:pPr>
    </w:p>
    <w:p w14:paraId="3B932331" w14:textId="77777777" w:rsidR="00780926" w:rsidRPr="005C44A1" w:rsidRDefault="0067565E" w:rsidP="005C44A1">
      <w:pPr>
        <w:rPr>
          <w:b/>
          <w:szCs w:val="22"/>
        </w:rPr>
      </w:pPr>
      <w:r w:rsidRPr="005C44A1">
        <w:rPr>
          <w:b/>
          <w:szCs w:val="22"/>
        </w:rPr>
        <w:t>4.5</w:t>
      </w:r>
      <w:r w:rsidRPr="005C44A1">
        <w:rPr>
          <w:b/>
          <w:szCs w:val="22"/>
        </w:rPr>
        <w:tab/>
        <w:t>Liekové a</w:t>
      </w:r>
      <w:r w:rsidR="00A236CF" w:rsidRPr="005C44A1">
        <w:rPr>
          <w:b/>
          <w:szCs w:val="22"/>
        </w:rPr>
        <w:t> </w:t>
      </w:r>
      <w:r w:rsidRPr="005C44A1">
        <w:rPr>
          <w:b/>
          <w:szCs w:val="22"/>
        </w:rPr>
        <w:t>iné interakcie</w:t>
      </w:r>
    </w:p>
    <w:p w14:paraId="3B932332" w14:textId="77777777" w:rsidR="00780926" w:rsidRPr="005C44A1" w:rsidRDefault="00780926" w:rsidP="005C44A1">
      <w:pPr>
        <w:rPr>
          <w:szCs w:val="22"/>
        </w:rPr>
      </w:pPr>
    </w:p>
    <w:p w14:paraId="3B932333" w14:textId="1E777982" w:rsidR="00760188" w:rsidRPr="00CA3631" w:rsidRDefault="00760188" w:rsidP="005C44A1">
      <w:pPr>
        <w:tabs>
          <w:tab w:val="left" w:pos="0"/>
        </w:tabs>
        <w:ind w:left="0" w:firstLine="0"/>
        <w:rPr>
          <w:noProof/>
          <w:szCs w:val="22"/>
          <w:u w:val="single"/>
        </w:rPr>
      </w:pPr>
      <w:r w:rsidRPr="005C44A1">
        <w:rPr>
          <w:noProof/>
          <w:szCs w:val="22"/>
          <w:u w:val="single"/>
        </w:rPr>
        <w:t>Možné interakcie, ktoré súvisia s podaním</w:t>
      </w:r>
      <w:r w:rsidR="000436D1" w:rsidRPr="005C44A1">
        <w:rPr>
          <w:noProof/>
          <w:szCs w:val="22"/>
          <w:u w:val="single"/>
        </w:rPr>
        <w:t> kombináci</w:t>
      </w:r>
      <w:r w:rsidR="006C31E8" w:rsidRPr="005C44A1">
        <w:rPr>
          <w:noProof/>
          <w:szCs w:val="22"/>
          <w:u w:val="single"/>
        </w:rPr>
        <w:t>e</w:t>
      </w:r>
      <w:r w:rsidR="000436D1" w:rsidRPr="005C44A1">
        <w:rPr>
          <w:noProof/>
          <w:szCs w:val="22"/>
          <w:u w:val="single"/>
        </w:rPr>
        <w:t xml:space="preserve"> Reverantz</w:t>
      </w:r>
      <w:r w:rsidR="006C31E8" w:rsidRPr="005C44A1">
        <w:rPr>
          <w:noProof/>
          <w:szCs w:val="22"/>
          <w:u w:val="single"/>
        </w:rPr>
        <w:t>a</w:t>
      </w:r>
      <w:r w:rsidR="00CA3631">
        <w:rPr>
          <w:noProof/>
          <w:szCs w:val="22"/>
          <w:u w:val="single"/>
        </w:rPr>
        <w:t xml:space="preserve"> a </w:t>
      </w:r>
      <w:r w:rsidR="00CA3631" w:rsidRPr="00CA3631">
        <w:rPr>
          <w:noProof/>
          <w:szCs w:val="22"/>
          <w:u w:val="single"/>
        </w:rPr>
        <w:t>j</w:t>
      </w:r>
      <w:r w:rsidR="0022615A" w:rsidRPr="00CA3631">
        <w:rPr>
          <w:noProof/>
          <w:szCs w:val="22"/>
          <w:u w:val="single"/>
        </w:rPr>
        <w:t>e potrebné</w:t>
      </w:r>
      <w:r w:rsidRPr="00CA3631">
        <w:rPr>
          <w:noProof/>
          <w:szCs w:val="22"/>
          <w:u w:val="single"/>
        </w:rPr>
        <w:t xml:space="preserve"> zvážiť súbežné používanie</w:t>
      </w:r>
    </w:p>
    <w:p w14:paraId="3B932334" w14:textId="77777777" w:rsidR="00760188" w:rsidRPr="005C44A1" w:rsidRDefault="00760188" w:rsidP="005C44A1">
      <w:pPr>
        <w:tabs>
          <w:tab w:val="left" w:pos="0"/>
        </w:tabs>
        <w:ind w:left="0" w:firstLine="0"/>
        <w:rPr>
          <w:noProof/>
          <w:szCs w:val="22"/>
        </w:rPr>
      </w:pPr>
    </w:p>
    <w:p w14:paraId="3B932335" w14:textId="77777777" w:rsidR="00760188" w:rsidRPr="005C44A1" w:rsidRDefault="00760188" w:rsidP="005C44A1">
      <w:pPr>
        <w:tabs>
          <w:tab w:val="left" w:pos="0"/>
        </w:tabs>
        <w:ind w:left="0" w:firstLine="0"/>
        <w:rPr>
          <w:noProof/>
          <w:szCs w:val="22"/>
          <w:u w:val="single"/>
        </w:rPr>
      </w:pPr>
      <w:r w:rsidRPr="005C44A1">
        <w:rPr>
          <w:noProof/>
          <w:szCs w:val="22"/>
          <w:u w:val="single"/>
        </w:rPr>
        <w:t>Iné antihypertenzíva</w:t>
      </w:r>
    </w:p>
    <w:p w14:paraId="3B932336" w14:textId="77777777" w:rsidR="00760188" w:rsidRPr="005C44A1" w:rsidRDefault="005A4459" w:rsidP="005C44A1">
      <w:pPr>
        <w:tabs>
          <w:tab w:val="left" w:pos="0"/>
        </w:tabs>
        <w:ind w:left="0" w:firstLine="0"/>
        <w:rPr>
          <w:noProof/>
          <w:szCs w:val="22"/>
        </w:rPr>
      </w:pPr>
      <w:r w:rsidRPr="005C44A1">
        <w:rPr>
          <w:noProof/>
          <w:szCs w:val="22"/>
        </w:rPr>
        <w:t>Ú</w:t>
      </w:r>
      <w:r w:rsidR="00760188" w:rsidRPr="005C44A1">
        <w:rPr>
          <w:noProof/>
          <w:szCs w:val="22"/>
        </w:rPr>
        <w:t xml:space="preserve">činok </w:t>
      </w:r>
      <w:r w:rsidR="0022161B" w:rsidRPr="005C44A1">
        <w:rPr>
          <w:noProof/>
          <w:szCs w:val="22"/>
        </w:rPr>
        <w:t>Reverantzy</w:t>
      </w:r>
      <w:r w:rsidR="00760188" w:rsidRPr="005C44A1">
        <w:rPr>
          <w:noProof/>
          <w:szCs w:val="22"/>
        </w:rPr>
        <w:t xml:space="preserve"> </w:t>
      </w:r>
      <w:r w:rsidRPr="005C44A1">
        <w:rPr>
          <w:noProof/>
          <w:szCs w:val="22"/>
        </w:rPr>
        <w:t>na zníženie kr</w:t>
      </w:r>
      <w:r w:rsidR="0090335C" w:rsidRPr="005C44A1">
        <w:rPr>
          <w:noProof/>
          <w:szCs w:val="22"/>
        </w:rPr>
        <w:t>v</w:t>
      </w:r>
      <w:r w:rsidRPr="005C44A1">
        <w:rPr>
          <w:noProof/>
          <w:szCs w:val="22"/>
        </w:rPr>
        <w:t xml:space="preserve">ného tlaku </w:t>
      </w:r>
      <w:r w:rsidR="00760188" w:rsidRPr="005C44A1">
        <w:rPr>
          <w:noProof/>
          <w:szCs w:val="22"/>
        </w:rPr>
        <w:t xml:space="preserve">sa môže súbežným užívaním iných </w:t>
      </w:r>
      <w:r w:rsidRPr="005C44A1">
        <w:rPr>
          <w:noProof/>
          <w:szCs w:val="22"/>
        </w:rPr>
        <w:t xml:space="preserve">antihypertenzív </w:t>
      </w:r>
      <w:r w:rsidR="00760188" w:rsidRPr="005C44A1">
        <w:rPr>
          <w:noProof/>
          <w:szCs w:val="22"/>
        </w:rPr>
        <w:t>zvýšiť (napr. s alfablokátormi, diuretikami).</w:t>
      </w:r>
    </w:p>
    <w:p w14:paraId="3B932337" w14:textId="77777777" w:rsidR="00760188" w:rsidRPr="005C44A1" w:rsidRDefault="00760188" w:rsidP="005C44A1">
      <w:pPr>
        <w:tabs>
          <w:tab w:val="left" w:pos="0"/>
        </w:tabs>
        <w:ind w:left="0" w:firstLine="0"/>
        <w:rPr>
          <w:noProof/>
          <w:szCs w:val="22"/>
        </w:rPr>
      </w:pPr>
    </w:p>
    <w:p w14:paraId="3B932338" w14:textId="4BBB3E92" w:rsidR="00760188" w:rsidRPr="00E35813" w:rsidRDefault="00760188" w:rsidP="005C44A1">
      <w:pPr>
        <w:tabs>
          <w:tab w:val="left" w:pos="0"/>
        </w:tabs>
        <w:ind w:left="0" w:firstLine="0"/>
        <w:rPr>
          <w:noProof/>
          <w:szCs w:val="22"/>
          <w:u w:val="single"/>
        </w:rPr>
      </w:pPr>
      <w:r w:rsidRPr="00CA3631">
        <w:rPr>
          <w:noProof/>
          <w:szCs w:val="22"/>
          <w:u w:val="single"/>
        </w:rPr>
        <w:t xml:space="preserve">Možné interakcie, ktoré súvisia s </w:t>
      </w:r>
      <w:r w:rsidR="0090335C" w:rsidRPr="00CA3631">
        <w:rPr>
          <w:noProof/>
          <w:szCs w:val="22"/>
          <w:u w:val="single"/>
        </w:rPr>
        <w:t>olmesart</w:t>
      </w:r>
      <w:r w:rsidR="00370406">
        <w:rPr>
          <w:noProof/>
          <w:szCs w:val="22"/>
          <w:u w:val="single"/>
        </w:rPr>
        <w:t>a</w:t>
      </w:r>
      <w:r w:rsidR="0090335C" w:rsidRPr="00CA3631">
        <w:rPr>
          <w:noProof/>
          <w:szCs w:val="22"/>
          <w:u w:val="single"/>
        </w:rPr>
        <w:t>nom-medoxomilom</w:t>
      </w:r>
      <w:r w:rsidRPr="00CA3631">
        <w:rPr>
          <w:noProof/>
          <w:szCs w:val="22"/>
          <w:u w:val="single"/>
        </w:rPr>
        <w:t xml:space="preserve">, zložkou </w:t>
      </w:r>
      <w:r w:rsidR="008316F5" w:rsidRPr="00CA3631">
        <w:rPr>
          <w:noProof/>
          <w:szCs w:val="22"/>
          <w:u w:val="single"/>
        </w:rPr>
        <w:t>Reverantzy</w:t>
      </w:r>
      <w:r w:rsidR="00E35813">
        <w:rPr>
          <w:noProof/>
          <w:szCs w:val="22"/>
          <w:u w:val="single"/>
        </w:rPr>
        <w:t xml:space="preserve">, </w:t>
      </w:r>
      <w:r w:rsidR="00E35813" w:rsidRPr="00E35813">
        <w:rPr>
          <w:noProof/>
          <w:szCs w:val="22"/>
          <w:u w:val="single"/>
        </w:rPr>
        <w:t>s</w:t>
      </w:r>
      <w:r w:rsidRPr="00E35813">
        <w:rPr>
          <w:noProof/>
          <w:szCs w:val="22"/>
          <w:u w:val="single"/>
        </w:rPr>
        <w:t>úbežné užívanie, ktoré sa neodporúča</w:t>
      </w:r>
    </w:p>
    <w:p w14:paraId="3B932339" w14:textId="77777777" w:rsidR="00760188" w:rsidRPr="005C44A1" w:rsidRDefault="00760188" w:rsidP="005C44A1">
      <w:pPr>
        <w:tabs>
          <w:tab w:val="left" w:pos="0"/>
        </w:tabs>
        <w:ind w:left="0" w:firstLine="0"/>
        <w:rPr>
          <w:noProof/>
          <w:szCs w:val="22"/>
        </w:rPr>
      </w:pPr>
    </w:p>
    <w:p w14:paraId="3B93233A" w14:textId="28C8E8C6" w:rsidR="00760188" w:rsidRPr="005C44A1" w:rsidRDefault="00760188" w:rsidP="005C44A1">
      <w:pPr>
        <w:tabs>
          <w:tab w:val="left" w:pos="0"/>
        </w:tabs>
        <w:ind w:left="0" w:firstLine="0"/>
        <w:rPr>
          <w:noProof/>
          <w:szCs w:val="22"/>
          <w:u w:val="single"/>
        </w:rPr>
      </w:pPr>
      <w:r w:rsidRPr="005C44A1">
        <w:rPr>
          <w:noProof/>
          <w:szCs w:val="22"/>
          <w:u w:val="single"/>
        </w:rPr>
        <w:t>ACE inhibítory, blokátory receptor</w:t>
      </w:r>
      <w:r w:rsidR="00FA336A">
        <w:rPr>
          <w:noProof/>
          <w:szCs w:val="22"/>
          <w:u w:val="single"/>
        </w:rPr>
        <w:t>a</w:t>
      </w:r>
      <w:r w:rsidRPr="005C44A1">
        <w:rPr>
          <w:noProof/>
          <w:szCs w:val="22"/>
          <w:u w:val="single"/>
        </w:rPr>
        <w:t xml:space="preserve"> angiotenzínu II alebo aliskirén</w:t>
      </w:r>
    </w:p>
    <w:p w14:paraId="3B93233B" w14:textId="695C479F" w:rsidR="00760188" w:rsidRPr="005C44A1" w:rsidRDefault="00760188" w:rsidP="005C44A1">
      <w:pPr>
        <w:tabs>
          <w:tab w:val="left" w:pos="0"/>
        </w:tabs>
        <w:ind w:left="0" w:firstLine="0"/>
        <w:rPr>
          <w:noProof/>
          <w:szCs w:val="22"/>
        </w:rPr>
      </w:pPr>
      <w:r w:rsidRPr="005C44A1">
        <w:rPr>
          <w:noProof/>
          <w:szCs w:val="22"/>
        </w:rPr>
        <w:t xml:space="preserve">Údaje z klinických skúšaní </w:t>
      </w:r>
      <w:r w:rsidR="008316F5" w:rsidRPr="005C44A1">
        <w:rPr>
          <w:noProof/>
          <w:szCs w:val="22"/>
        </w:rPr>
        <w:t>pre</w:t>
      </w:r>
      <w:r w:rsidRPr="005C44A1">
        <w:rPr>
          <w:noProof/>
          <w:szCs w:val="22"/>
        </w:rPr>
        <w:t xml:space="preserve">ukázali, že duálna inhibícia systému renín-angiotenzín-aldosterón (RAAS) kombinovaným použitím </w:t>
      </w:r>
      <w:r w:rsidR="00840DA3" w:rsidRPr="005C44A1">
        <w:rPr>
          <w:noProof/>
          <w:szCs w:val="22"/>
        </w:rPr>
        <w:t xml:space="preserve">ACE </w:t>
      </w:r>
      <w:r w:rsidRPr="005C44A1">
        <w:rPr>
          <w:noProof/>
          <w:szCs w:val="22"/>
        </w:rPr>
        <w:t xml:space="preserve">inhibítorov, blokátorov receptorov angiotenzínu II alebo aliskirénu sa spája s vyššou frekvenciou nežiaducich udalostí, ako sú hypotenzia, hyperkaliémia a znížená funkcia obličiek (vrátane akútneho </w:t>
      </w:r>
      <w:r w:rsidR="002233A9" w:rsidRPr="005C44A1">
        <w:rPr>
          <w:noProof/>
          <w:szCs w:val="22"/>
        </w:rPr>
        <w:t xml:space="preserve">renálneho </w:t>
      </w:r>
      <w:r w:rsidRPr="005C44A1">
        <w:rPr>
          <w:noProof/>
          <w:szCs w:val="22"/>
        </w:rPr>
        <w:t>zlyhania</w:t>
      </w:r>
      <w:r w:rsidR="002233A9" w:rsidRPr="005C44A1">
        <w:rPr>
          <w:noProof/>
          <w:szCs w:val="22"/>
        </w:rPr>
        <w:t>)</w:t>
      </w:r>
      <w:r w:rsidRPr="005C44A1">
        <w:rPr>
          <w:noProof/>
          <w:szCs w:val="22"/>
        </w:rPr>
        <w:t>, v porovnaní s použitím l</w:t>
      </w:r>
      <w:r w:rsidR="00593583">
        <w:rPr>
          <w:noProof/>
          <w:szCs w:val="22"/>
        </w:rPr>
        <w:t>iečiva</w:t>
      </w:r>
      <w:r w:rsidRPr="005C44A1">
        <w:rPr>
          <w:noProof/>
          <w:szCs w:val="22"/>
        </w:rPr>
        <w:t xml:space="preserve"> ovplyvňujúcej RAAS v monoterapii (pozri časti 4.3, 4.4 a 5.1).</w:t>
      </w:r>
    </w:p>
    <w:p w14:paraId="3B93233C" w14:textId="77777777" w:rsidR="00760188" w:rsidRPr="005C44A1" w:rsidRDefault="00760188" w:rsidP="005C44A1">
      <w:pPr>
        <w:tabs>
          <w:tab w:val="left" w:pos="0"/>
        </w:tabs>
        <w:ind w:left="0" w:firstLine="0"/>
        <w:rPr>
          <w:noProof/>
          <w:szCs w:val="22"/>
        </w:rPr>
      </w:pPr>
    </w:p>
    <w:p w14:paraId="3B93233D" w14:textId="14347DC6" w:rsidR="00760188" w:rsidRPr="005C44A1" w:rsidRDefault="00760188" w:rsidP="005C44A1">
      <w:pPr>
        <w:tabs>
          <w:tab w:val="left" w:pos="0"/>
        </w:tabs>
        <w:ind w:left="0" w:firstLine="0"/>
        <w:rPr>
          <w:noProof/>
          <w:szCs w:val="22"/>
          <w:u w:val="single"/>
        </w:rPr>
      </w:pPr>
      <w:r w:rsidRPr="005C44A1">
        <w:rPr>
          <w:noProof/>
          <w:szCs w:val="22"/>
          <w:u w:val="single"/>
        </w:rPr>
        <w:t xml:space="preserve">Lieky, ktoré ovplyvňujú </w:t>
      </w:r>
      <w:r w:rsidR="0076057E" w:rsidRPr="005C44A1">
        <w:rPr>
          <w:noProof/>
          <w:szCs w:val="22"/>
          <w:u w:val="single"/>
        </w:rPr>
        <w:t>h</w:t>
      </w:r>
      <w:r w:rsidR="00593583">
        <w:rPr>
          <w:noProof/>
          <w:szCs w:val="22"/>
          <w:u w:val="single"/>
        </w:rPr>
        <w:t>ladinu</w:t>
      </w:r>
      <w:r w:rsidRPr="005C44A1">
        <w:rPr>
          <w:noProof/>
          <w:szCs w:val="22"/>
          <w:u w:val="single"/>
        </w:rPr>
        <w:t xml:space="preserve"> draslíka</w:t>
      </w:r>
    </w:p>
    <w:p w14:paraId="3B93233E" w14:textId="3CC9D4B2" w:rsidR="00760188" w:rsidRPr="005C44A1" w:rsidRDefault="00760188" w:rsidP="005C44A1">
      <w:pPr>
        <w:tabs>
          <w:tab w:val="left" w:pos="0"/>
        </w:tabs>
        <w:ind w:left="0" w:firstLine="0"/>
        <w:rPr>
          <w:noProof/>
          <w:szCs w:val="22"/>
        </w:rPr>
      </w:pPr>
      <w:r w:rsidRPr="005C44A1">
        <w:rPr>
          <w:noProof/>
          <w:szCs w:val="22"/>
        </w:rPr>
        <w:t xml:space="preserve">Súbežné užívanie diuretík šetriacich draslík, </w:t>
      </w:r>
      <w:r w:rsidR="0076057E" w:rsidRPr="005C44A1">
        <w:rPr>
          <w:noProof/>
          <w:szCs w:val="22"/>
        </w:rPr>
        <w:t>výživových doplnkov s obsahom draslíka</w:t>
      </w:r>
      <w:r w:rsidRPr="005C44A1">
        <w:rPr>
          <w:noProof/>
          <w:szCs w:val="22"/>
        </w:rPr>
        <w:t xml:space="preserve">, náhrad solí </w:t>
      </w:r>
      <w:r w:rsidR="004843F1" w:rsidRPr="005C44A1">
        <w:rPr>
          <w:noProof/>
          <w:szCs w:val="22"/>
        </w:rPr>
        <w:t>obsahujúcich</w:t>
      </w:r>
      <w:r w:rsidRPr="005C44A1">
        <w:rPr>
          <w:noProof/>
          <w:szCs w:val="22"/>
        </w:rPr>
        <w:t xml:space="preserve"> draslík alebo iných liekov, ktoré môžu zvyšovať hladinu draslíka v sére (ako je napr.</w:t>
      </w:r>
      <w:r w:rsidR="00B30FDB" w:rsidRPr="005C44A1">
        <w:rPr>
          <w:noProof/>
          <w:szCs w:val="22"/>
        </w:rPr>
        <w:t xml:space="preserve"> heparín, ACE inhibítory), môžu mať za následok </w:t>
      </w:r>
      <w:r w:rsidRPr="005C44A1">
        <w:rPr>
          <w:noProof/>
          <w:szCs w:val="22"/>
        </w:rPr>
        <w:t>zvýšeni</w:t>
      </w:r>
      <w:r w:rsidR="00B30FDB" w:rsidRPr="005C44A1">
        <w:rPr>
          <w:noProof/>
          <w:szCs w:val="22"/>
        </w:rPr>
        <w:t>e</w:t>
      </w:r>
      <w:r w:rsidRPr="005C44A1">
        <w:rPr>
          <w:noProof/>
          <w:szCs w:val="22"/>
        </w:rPr>
        <w:t xml:space="preserve"> hladín draslíka v sére (pozri časť 4.4). Ak je potrebné </w:t>
      </w:r>
      <w:r w:rsidR="00CF2B31" w:rsidRPr="005C44A1">
        <w:rPr>
          <w:noProof/>
          <w:szCs w:val="22"/>
        </w:rPr>
        <w:t>predpísať lieky, ktoré ovplyvňujú hladinu draslíka a majú sa užívať v kombinácii s</w:t>
      </w:r>
      <w:r w:rsidRPr="005C44A1">
        <w:rPr>
          <w:noProof/>
          <w:szCs w:val="22"/>
        </w:rPr>
        <w:t xml:space="preserve"> </w:t>
      </w:r>
      <w:r w:rsidR="00E51450" w:rsidRPr="005C44A1">
        <w:rPr>
          <w:noProof/>
          <w:szCs w:val="22"/>
        </w:rPr>
        <w:t>R</w:t>
      </w:r>
      <w:r w:rsidR="00E84F50" w:rsidRPr="005C44A1">
        <w:rPr>
          <w:noProof/>
          <w:szCs w:val="22"/>
        </w:rPr>
        <w:t>everantzou</w:t>
      </w:r>
      <w:r w:rsidRPr="005C44A1">
        <w:rPr>
          <w:noProof/>
          <w:szCs w:val="22"/>
        </w:rPr>
        <w:t xml:space="preserve">, odporúča sa </w:t>
      </w:r>
      <w:r w:rsidR="00E84F50" w:rsidRPr="005C44A1">
        <w:rPr>
          <w:noProof/>
          <w:szCs w:val="22"/>
        </w:rPr>
        <w:t xml:space="preserve">sledovať </w:t>
      </w:r>
      <w:r w:rsidR="009705A8" w:rsidRPr="005C44A1">
        <w:rPr>
          <w:noProof/>
          <w:szCs w:val="22"/>
        </w:rPr>
        <w:t>h</w:t>
      </w:r>
      <w:r w:rsidR="00593583">
        <w:rPr>
          <w:noProof/>
          <w:szCs w:val="22"/>
        </w:rPr>
        <w:t>ladinu</w:t>
      </w:r>
      <w:r w:rsidRPr="005C44A1">
        <w:rPr>
          <w:noProof/>
          <w:szCs w:val="22"/>
        </w:rPr>
        <w:t xml:space="preserve"> draslíka.</w:t>
      </w:r>
    </w:p>
    <w:p w14:paraId="3B93233F" w14:textId="77777777" w:rsidR="00760188" w:rsidRPr="005C44A1" w:rsidRDefault="00760188" w:rsidP="005C44A1">
      <w:pPr>
        <w:tabs>
          <w:tab w:val="left" w:pos="0"/>
        </w:tabs>
        <w:ind w:left="0" w:firstLine="0"/>
        <w:rPr>
          <w:noProof/>
          <w:szCs w:val="22"/>
        </w:rPr>
      </w:pPr>
    </w:p>
    <w:p w14:paraId="3B932340" w14:textId="77777777" w:rsidR="00760188" w:rsidRPr="005C44A1" w:rsidRDefault="009705A8" w:rsidP="005C44A1">
      <w:pPr>
        <w:tabs>
          <w:tab w:val="left" w:pos="0"/>
        </w:tabs>
        <w:ind w:left="0" w:firstLine="0"/>
        <w:rPr>
          <w:noProof/>
          <w:szCs w:val="22"/>
          <w:u w:val="single"/>
        </w:rPr>
      </w:pPr>
      <w:r w:rsidRPr="005C44A1">
        <w:rPr>
          <w:noProof/>
          <w:szCs w:val="22"/>
          <w:u w:val="single"/>
        </w:rPr>
        <w:t>Lítium</w:t>
      </w:r>
    </w:p>
    <w:p w14:paraId="3B932341" w14:textId="77777777" w:rsidR="00760188" w:rsidRPr="005C44A1" w:rsidRDefault="008E3C66" w:rsidP="005C44A1">
      <w:pPr>
        <w:tabs>
          <w:tab w:val="left" w:pos="0"/>
        </w:tabs>
        <w:ind w:left="0" w:firstLine="0"/>
        <w:rPr>
          <w:noProof/>
          <w:szCs w:val="22"/>
        </w:rPr>
      </w:pPr>
      <w:r w:rsidRPr="005C44A1">
        <w:rPr>
          <w:noProof/>
          <w:szCs w:val="22"/>
        </w:rPr>
        <w:t xml:space="preserve">Pri súbežnom podávaní lítia s inhibítormi enzýmu konvertujúceho angiotenzín a zriedkavo s antagonistami angiotenzínu II bolo hlásené reverzibilné zvýšenie </w:t>
      </w:r>
      <w:r w:rsidR="00FF7914">
        <w:rPr>
          <w:noProof/>
          <w:szCs w:val="22"/>
        </w:rPr>
        <w:t xml:space="preserve">sérových </w:t>
      </w:r>
      <w:r w:rsidRPr="005C44A1">
        <w:rPr>
          <w:noProof/>
          <w:szCs w:val="22"/>
        </w:rPr>
        <w:t xml:space="preserve">koncentrácií </w:t>
      </w:r>
      <w:r w:rsidR="005E685E" w:rsidRPr="005C44A1">
        <w:rPr>
          <w:noProof/>
          <w:szCs w:val="22"/>
        </w:rPr>
        <w:t xml:space="preserve">lítia </w:t>
      </w:r>
      <w:r w:rsidRPr="005C44A1">
        <w:rPr>
          <w:noProof/>
          <w:szCs w:val="22"/>
        </w:rPr>
        <w:t xml:space="preserve">a toxicity. Preto sa súčasné užívanie </w:t>
      </w:r>
      <w:r w:rsidR="00F6107C">
        <w:rPr>
          <w:noProof/>
          <w:szCs w:val="22"/>
        </w:rPr>
        <w:t>R</w:t>
      </w:r>
      <w:r w:rsidR="005E685E" w:rsidRPr="005C44A1">
        <w:rPr>
          <w:noProof/>
          <w:szCs w:val="22"/>
        </w:rPr>
        <w:t>everantzy</w:t>
      </w:r>
      <w:r w:rsidRPr="005C44A1">
        <w:rPr>
          <w:noProof/>
          <w:szCs w:val="22"/>
        </w:rPr>
        <w:t xml:space="preserve"> a lítia neodporúča (pozri časť 4.4). Ak sa súbežné použitie </w:t>
      </w:r>
      <w:r w:rsidR="005E685E" w:rsidRPr="005C44A1">
        <w:rPr>
          <w:noProof/>
          <w:szCs w:val="22"/>
        </w:rPr>
        <w:t>Reverantzy</w:t>
      </w:r>
      <w:r w:rsidRPr="005C44A1">
        <w:rPr>
          <w:noProof/>
          <w:szCs w:val="22"/>
        </w:rPr>
        <w:t xml:space="preserve"> a</w:t>
      </w:r>
      <w:r w:rsidR="005E685E" w:rsidRPr="005C44A1">
        <w:rPr>
          <w:noProof/>
          <w:szCs w:val="22"/>
        </w:rPr>
        <w:t> </w:t>
      </w:r>
      <w:r w:rsidRPr="005C44A1">
        <w:rPr>
          <w:noProof/>
          <w:szCs w:val="22"/>
        </w:rPr>
        <w:t>lítia</w:t>
      </w:r>
      <w:r w:rsidR="005E685E" w:rsidRPr="005C44A1">
        <w:rPr>
          <w:noProof/>
          <w:szCs w:val="22"/>
        </w:rPr>
        <w:t xml:space="preserve"> považuje za </w:t>
      </w:r>
      <w:r w:rsidR="00D12C5B" w:rsidRPr="005C44A1">
        <w:rPr>
          <w:noProof/>
          <w:szCs w:val="22"/>
        </w:rPr>
        <w:t>nevyhnutné</w:t>
      </w:r>
      <w:r w:rsidRPr="005C44A1">
        <w:rPr>
          <w:noProof/>
          <w:szCs w:val="22"/>
        </w:rPr>
        <w:t xml:space="preserve">, odporúča sa </w:t>
      </w:r>
      <w:r w:rsidR="00D12C5B" w:rsidRPr="005C44A1">
        <w:rPr>
          <w:noProof/>
          <w:szCs w:val="22"/>
        </w:rPr>
        <w:t>dôkladné</w:t>
      </w:r>
      <w:r w:rsidRPr="005C44A1">
        <w:rPr>
          <w:noProof/>
          <w:szCs w:val="22"/>
        </w:rPr>
        <w:t xml:space="preserve"> sledovanie </w:t>
      </w:r>
      <w:r w:rsidR="00D12C5B" w:rsidRPr="005C44A1">
        <w:rPr>
          <w:noProof/>
          <w:szCs w:val="22"/>
        </w:rPr>
        <w:t>hodnôt</w:t>
      </w:r>
      <w:r w:rsidRPr="005C44A1">
        <w:rPr>
          <w:noProof/>
          <w:szCs w:val="22"/>
        </w:rPr>
        <w:t xml:space="preserve"> lítia v sére</w:t>
      </w:r>
      <w:r w:rsidR="00760188" w:rsidRPr="005C44A1">
        <w:rPr>
          <w:noProof/>
          <w:szCs w:val="22"/>
        </w:rPr>
        <w:t>.</w:t>
      </w:r>
    </w:p>
    <w:p w14:paraId="3B932342" w14:textId="77777777" w:rsidR="00760188" w:rsidRPr="005C44A1" w:rsidRDefault="00760188" w:rsidP="005C44A1">
      <w:pPr>
        <w:tabs>
          <w:tab w:val="left" w:pos="0"/>
        </w:tabs>
        <w:ind w:left="0" w:firstLine="0"/>
        <w:rPr>
          <w:noProof/>
          <w:szCs w:val="22"/>
        </w:rPr>
      </w:pPr>
    </w:p>
    <w:p w14:paraId="3B932343" w14:textId="77777777" w:rsidR="00760188" w:rsidRPr="005C44A1" w:rsidRDefault="00760188" w:rsidP="005C44A1">
      <w:pPr>
        <w:tabs>
          <w:tab w:val="left" w:pos="0"/>
        </w:tabs>
        <w:ind w:left="0" w:firstLine="0"/>
        <w:rPr>
          <w:noProof/>
          <w:szCs w:val="22"/>
        </w:rPr>
      </w:pPr>
      <w:r w:rsidRPr="005C44A1">
        <w:rPr>
          <w:noProof/>
          <w:szCs w:val="22"/>
        </w:rPr>
        <w:t xml:space="preserve">Súbežné </w:t>
      </w:r>
      <w:r w:rsidR="00D12C5B" w:rsidRPr="005C44A1">
        <w:rPr>
          <w:noProof/>
          <w:szCs w:val="22"/>
        </w:rPr>
        <w:t>použitie vyžadujúce opatrnosť</w:t>
      </w:r>
    </w:p>
    <w:p w14:paraId="3B932344" w14:textId="77777777" w:rsidR="00760188" w:rsidRPr="005C44A1" w:rsidRDefault="00760188" w:rsidP="005C44A1">
      <w:pPr>
        <w:tabs>
          <w:tab w:val="left" w:pos="0"/>
        </w:tabs>
        <w:ind w:left="0" w:firstLine="0"/>
        <w:rPr>
          <w:noProof/>
          <w:szCs w:val="22"/>
        </w:rPr>
      </w:pPr>
    </w:p>
    <w:p w14:paraId="3B932345" w14:textId="203778CC" w:rsidR="00760188" w:rsidRPr="005C44A1" w:rsidRDefault="00760188" w:rsidP="005C44A1">
      <w:pPr>
        <w:tabs>
          <w:tab w:val="left" w:pos="0"/>
        </w:tabs>
        <w:ind w:left="0" w:firstLine="0"/>
        <w:rPr>
          <w:noProof/>
          <w:szCs w:val="22"/>
          <w:u w:val="single"/>
        </w:rPr>
      </w:pPr>
      <w:r w:rsidRPr="005C44A1">
        <w:rPr>
          <w:noProof/>
          <w:szCs w:val="22"/>
          <w:u w:val="single"/>
        </w:rPr>
        <w:t>Nesteroid</w:t>
      </w:r>
      <w:r w:rsidR="00AF3265" w:rsidRPr="005C44A1">
        <w:rPr>
          <w:noProof/>
          <w:szCs w:val="22"/>
          <w:u w:val="single"/>
        </w:rPr>
        <w:t>né antiflogistiká</w:t>
      </w:r>
      <w:r w:rsidRPr="005C44A1">
        <w:rPr>
          <w:noProof/>
          <w:szCs w:val="22"/>
          <w:u w:val="single"/>
        </w:rPr>
        <w:t xml:space="preserve"> (NSA</w:t>
      </w:r>
      <w:r w:rsidR="002E79B7">
        <w:rPr>
          <w:noProof/>
          <w:szCs w:val="22"/>
          <w:u w:val="single"/>
        </w:rPr>
        <w:t>ID</w:t>
      </w:r>
      <w:r w:rsidRPr="005C44A1">
        <w:rPr>
          <w:noProof/>
          <w:szCs w:val="22"/>
          <w:u w:val="single"/>
        </w:rPr>
        <w:t xml:space="preserve">) vrátane selektívnych inhibítorov COX-2, kyseliny acetylsalicylovej </w:t>
      </w:r>
      <w:r w:rsidR="00AF3265" w:rsidRPr="005C44A1">
        <w:rPr>
          <w:noProof/>
          <w:szCs w:val="22"/>
          <w:u w:val="single"/>
        </w:rPr>
        <w:t>(</w:t>
      </w:r>
      <w:r w:rsidRPr="005C44A1">
        <w:rPr>
          <w:noProof/>
          <w:szCs w:val="22"/>
          <w:u w:val="single"/>
        </w:rPr>
        <w:t>v dávkach &gt;</w:t>
      </w:r>
      <w:r w:rsidR="00AF3265" w:rsidRPr="005C44A1">
        <w:rPr>
          <w:noProof/>
          <w:szCs w:val="22"/>
          <w:u w:val="single"/>
        </w:rPr>
        <w:t xml:space="preserve"> </w:t>
      </w:r>
      <w:r w:rsidRPr="005C44A1">
        <w:rPr>
          <w:noProof/>
          <w:szCs w:val="22"/>
          <w:u w:val="single"/>
        </w:rPr>
        <w:t>3 g/deň a neselektívnych NSA</w:t>
      </w:r>
      <w:r w:rsidR="002E79B7">
        <w:rPr>
          <w:noProof/>
          <w:szCs w:val="22"/>
          <w:u w:val="single"/>
        </w:rPr>
        <w:t>ID</w:t>
      </w:r>
      <w:r w:rsidR="006A49AC" w:rsidRPr="005C44A1">
        <w:rPr>
          <w:noProof/>
          <w:szCs w:val="22"/>
          <w:u w:val="single"/>
        </w:rPr>
        <w:t>)</w:t>
      </w:r>
    </w:p>
    <w:p w14:paraId="3B932346" w14:textId="2D587400" w:rsidR="00760188" w:rsidRPr="005C44A1" w:rsidRDefault="00760188" w:rsidP="005C44A1">
      <w:pPr>
        <w:tabs>
          <w:tab w:val="left" w:pos="0"/>
        </w:tabs>
        <w:ind w:left="0" w:firstLine="0"/>
        <w:rPr>
          <w:noProof/>
          <w:szCs w:val="22"/>
        </w:rPr>
      </w:pPr>
      <w:r w:rsidRPr="005C44A1">
        <w:rPr>
          <w:noProof/>
          <w:szCs w:val="22"/>
        </w:rPr>
        <w:t xml:space="preserve">Ak sa antagonisty angiotenzínu II </w:t>
      </w:r>
      <w:r w:rsidR="00E37AA3" w:rsidRPr="005C44A1">
        <w:rPr>
          <w:noProof/>
          <w:szCs w:val="22"/>
        </w:rPr>
        <w:t xml:space="preserve">podávajú </w:t>
      </w:r>
      <w:r w:rsidRPr="005C44A1">
        <w:rPr>
          <w:noProof/>
          <w:szCs w:val="22"/>
        </w:rPr>
        <w:t>sú</w:t>
      </w:r>
      <w:r w:rsidR="00E37AA3" w:rsidRPr="005C44A1">
        <w:rPr>
          <w:noProof/>
          <w:szCs w:val="22"/>
        </w:rPr>
        <w:t>časne</w:t>
      </w:r>
      <w:r w:rsidRPr="005C44A1">
        <w:rPr>
          <w:noProof/>
          <w:szCs w:val="22"/>
        </w:rPr>
        <w:t xml:space="preserve"> s NSA</w:t>
      </w:r>
      <w:r w:rsidR="002E79B7">
        <w:rPr>
          <w:noProof/>
          <w:szCs w:val="22"/>
        </w:rPr>
        <w:t>ID</w:t>
      </w:r>
      <w:r w:rsidRPr="005C44A1">
        <w:rPr>
          <w:noProof/>
          <w:szCs w:val="22"/>
        </w:rPr>
        <w:t xml:space="preserve">, môže dôjsť k </w:t>
      </w:r>
      <w:r w:rsidR="00E37AA3" w:rsidRPr="005C44A1">
        <w:rPr>
          <w:noProof/>
          <w:szCs w:val="22"/>
        </w:rPr>
        <w:t>zoslabeniu</w:t>
      </w:r>
      <w:r w:rsidRPr="005C44A1">
        <w:rPr>
          <w:noProof/>
          <w:szCs w:val="22"/>
        </w:rPr>
        <w:t xml:space="preserve"> ich antihypertenzného účinku.</w:t>
      </w:r>
      <w:r w:rsidR="004B74FC" w:rsidRPr="005C44A1">
        <w:rPr>
          <w:noProof/>
          <w:szCs w:val="22"/>
        </w:rPr>
        <w:t xml:space="preserve"> </w:t>
      </w:r>
      <w:r w:rsidRPr="005C44A1">
        <w:rPr>
          <w:noProof/>
          <w:szCs w:val="22"/>
        </w:rPr>
        <w:t>Okrem toho súbežným používaním antagonistov angiotenzínu II a NSA</w:t>
      </w:r>
      <w:r w:rsidR="002E79B7">
        <w:rPr>
          <w:noProof/>
          <w:szCs w:val="22"/>
        </w:rPr>
        <w:t>ID</w:t>
      </w:r>
      <w:r w:rsidRPr="005C44A1">
        <w:rPr>
          <w:noProof/>
          <w:szCs w:val="22"/>
        </w:rPr>
        <w:t xml:space="preserve"> sa môže zvýšiť riziko zhoršenia </w:t>
      </w:r>
      <w:r w:rsidR="004B74FC" w:rsidRPr="005C44A1">
        <w:rPr>
          <w:noProof/>
          <w:szCs w:val="22"/>
        </w:rPr>
        <w:t>renálnej funkcie</w:t>
      </w:r>
      <w:r w:rsidRPr="005C44A1">
        <w:rPr>
          <w:noProof/>
          <w:szCs w:val="22"/>
        </w:rPr>
        <w:t xml:space="preserve"> a môže </w:t>
      </w:r>
      <w:r w:rsidR="00797B61" w:rsidRPr="005C44A1">
        <w:rPr>
          <w:noProof/>
          <w:szCs w:val="22"/>
        </w:rPr>
        <w:t>spôsobiť</w:t>
      </w:r>
      <w:r w:rsidRPr="005C44A1">
        <w:rPr>
          <w:noProof/>
          <w:szCs w:val="22"/>
        </w:rPr>
        <w:t xml:space="preserve"> zvýšeni</w:t>
      </w:r>
      <w:r w:rsidR="00797B61" w:rsidRPr="005C44A1">
        <w:rPr>
          <w:noProof/>
          <w:szCs w:val="22"/>
        </w:rPr>
        <w:t>e</w:t>
      </w:r>
      <w:r w:rsidRPr="005C44A1">
        <w:rPr>
          <w:noProof/>
          <w:szCs w:val="22"/>
        </w:rPr>
        <w:t xml:space="preserve"> hladiny draslíka v sére.</w:t>
      </w:r>
    </w:p>
    <w:p w14:paraId="3B932347" w14:textId="77777777" w:rsidR="00760188" w:rsidRPr="005C44A1" w:rsidRDefault="00760188" w:rsidP="005C44A1">
      <w:pPr>
        <w:tabs>
          <w:tab w:val="left" w:pos="0"/>
        </w:tabs>
        <w:ind w:left="0" w:firstLine="0"/>
        <w:rPr>
          <w:noProof/>
          <w:szCs w:val="22"/>
        </w:rPr>
      </w:pPr>
      <w:r w:rsidRPr="005C44A1">
        <w:rPr>
          <w:noProof/>
          <w:szCs w:val="22"/>
        </w:rPr>
        <w:t xml:space="preserve">Preto sa odporúča na začiatku takejto súbežnej liečby </w:t>
      </w:r>
      <w:r w:rsidR="00797B61" w:rsidRPr="005C44A1">
        <w:rPr>
          <w:noProof/>
          <w:szCs w:val="22"/>
        </w:rPr>
        <w:t>sledovať</w:t>
      </w:r>
      <w:r w:rsidRPr="005C44A1">
        <w:rPr>
          <w:noProof/>
          <w:szCs w:val="22"/>
        </w:rPr>
        <w:t xml:space="preserve"> renálne funkcie a zabezpečiť </w:t>
      </w:r>
      <w:r w:rsidR="00797B61" w:rsidRPr="005C44A1">
        <w:rPr>
          <w:noProof/>
          <w:szCs w:val="22"/>
        </w:rPr>
        <w:t>adekvátnu</w:t>
      </w:r>
      <w:r w:rsidR="00E96ABE" w:rsidRPr="005C44A1">
        <w:rPr>
          <w:noProof/>
          <w:szCs w:val="22"/>
        </w:rPr>
        <w:t xml:space="preserve"> </w:t>
      </w:r>
      <w:r w:rsidRPr="005C44A1">
        <w:rPr>
          <w:noProof/>
          <w:szCs w:val="22"/>
        </w:rPr>
        <w:t>hydratáciu pacienta.</w:t>
      </w:r>
    </w:p>
    <w:p w14:paraId="3B932348" w14:textId="77777777" w:rsidR="00760188" w:rsidRPr="005C44A1" w:rsidRDefault="00760188" w:rsidP="005C44A1">
      <w:pPr>
        <w:tabs>
          <w:tab w:val="left" w:pos="0"/>
        </w:tabs>
        <w:ind w:left="0" w:firstLine="0"/>
        <w:rPr>
          <w:noProof/>
          <w:szCs w:val="22"/>
        </w:rPr>
      </w:pPr>
    </w:p>
    <w:p w14:paraId="3B932349" w14:textId="77777777" w:rsidR="00760188" w:rsidRPr="005C44A1" w:rsidRDefault="00760188" w:rsidP="005C44A1">
      <w:pPr>
        <w:tabs>
          <w:tab w:val="left" w:pos="0"/>
        </w:tabs>
        <w:ind w:left="0" w:firstLine="0"/>
        <w:rPr>
          <w:noProof/>
          <w:szCs w:val="22"/>
          <w:u w:val="single"/>
        </w:rPr>
      </w:pPr>
      <w:r w:rsidRPr="005C44A1">
        <w:rPr>
          <w:noProof/>
          <w:szCs w:val="22"/>
          <w:u w:val="single"/>
        </w:rPr>
        <w:t xml:space="preserve">Kolesevelam, </w:t>
      </w:r>
      <w:r w:rsidR="00DF13CE" w:rsidRPr="005C44A1">
        <w:rPr>
          <w:noProof/>
          <w:szCs w:val="22"/>
          <w:u w:val="single"/>
        </w:rPr>
        <w:t>sekvestrant</w:t>
      </w:r>
      <w:r w:rsidRPr="005C44A1">
        <w:rPr>
          <w:noProof/>
          <w:szCs w:val="22"/>
          <w:u w:val="single"/>
        </w:rPr>
        <w:t xml:space="preserve"> žlčov</w:t>
      </w:r>
      <w:r w:rsidR="00DF13CE" w:rsidRPr="005C44A1">
        <w:rPr>
          <w:noProof/>
          <w:szCs w:val="22"/>
          <w:u w:val="single"/>
        </w:rPr>
        <w:t>ých</w:t>
      </w:r>
      <w:r w:rsidRPr="005C44A1">
        <w:rPr>
          <w:noProof/>
          <w:szCs w:val="22"/>
          <w:u w:val="single"/>
        </w:rPr>
        <w:t xml:space="preserve"> kysel</w:t>
      </w:r>
      <w:r w:rsidR="00DF13CE" w:rsidRPr="005C44A1">
        <w:rPr>
          <w:noProof/>
          <w:szCs w:val="22"/>
          <w:u w:val="single"/>
        </w:rPr>
        <w:t>ín</w:t>
      </w:r>
    </w:p>
    <w:p w14:paraId="3B93234A" w14:textId="554AC6E2" w:rsidR="00760188" w:rsidRPr="005C44A1" w:rsidRDefault="00CF7FEF" w:rsidP="005C44A1">
      <w:pPr>
        <w:tabs>
          <w:tab w:val="left" w:pos="0"/>
        </w:tabs>
        <w:ind w:left="0" w:firstLine="0"/>
        <w:rPr>
          <w:noProof/>
          <w:szCs w:val="22"/>
        </w:rPr>
      </w:pPr>
      <w:r w:rsidRPr="005C44A1">
        <w:rPr>
          <w:noProof/>
          <w:szCs w:val="22"/>
        </w:rPr>
        <w:t xml:space="preserve">Súbežné podávanie </w:t>
      </w:r>
      <w:r w:rsidR="0080465E" w:rsidRPr="005C44A1">
        <w:rPr>
          <w:noProof/>
          <w:szCs w:val="22"/>
        </w:rPr>
        <w:t xml:space="preserve">sekvestrantu </w:t>
      </w:r>
      <w:r w:rsidRPr="005C44A1">
        <w:rPr>
          <w:noProof/>
          <w:szCs w:val="22"/>
        </w:rPr>
        <w:t>kolesevelamiumchloridu znižuje systémovú expozíciu a maximáln</w:t>
      </w:r>
      <w:r w:rsidR="00173997">
        <w:rPr>
          <w:noProof/>
          <w:szCs w:val="22"/>
        </w:rPr>
        <w:t>u</w:t>
      </w:r>
      <w:r w:rsidRPr="005C44A1">
        <w:rPr>
          <w:noProof/>
          <w:szCs w:val="22"/>
        </w:rPr>
        <w:t xml:space="preserve"> plazmatick</w:t>
      </w:r>
      <w:r w:rsidR="002E0AC3" w:rsidRPr="005C44A1">
        <w:rPr>
          <w:noProof/>
          <w:szCs w:val="22"/>
        </w:rPr>
        <w:t>ú</w:t>
      </w:r>
      <w:r w:rsidRPr="005C44A1">
        <w:rPr>
          <w:noProof/>
          <w:szCs w:val="22"/>
        </w:rPr>
        <w:t xml:space="preserve"> koncentráci</w:t>
      </w:r>
      <w:r w:rsidR="002E0AC3" w:rsidRPr="005C44A1">
        <w:rPr>
          <w:noProof/>
          <w:szCs w:val="22"/>
        </w:rPr>
        <w:t>u</w:t>
      </w:r>
      <w:r w:rsidRPr="005C44A1">
        <w:rPr>
          <w:noProof/>
          <w:szCs w:val="22"/>
        </w:rPr>
        <w:t xml:space="preserve"> olmesart</w:t>
      </w:r>
      <w:r w:rsidR="00370406">
        <w:rPr>
          <w:noProof/>
          <w:szCs w:val="22"/>
        </w:rPr>
        <w:t>a</w:t>
      </w:r>
      <w:r w:rsidRPr="005C44A1">
        <w:rPr>
          <w:noProof/>
          <w:szCs w:val="22"/>
        </w:rPr>
        <w:t>nu a znižuje t</w:t>
      </w:r>
      <w:r w:rsidRPr="005C44A1">
        <w:rPr>
          <w:noProof/>
          <w:szCs w:val="22"/>
          <w:vertAlign w:val="subscript"/>
        </w:rPr>
        <w:t>1/2</w:t>
      </w:r>
      <w:r w:rsidRPr="005C44A1">
        <w:rPr>
          <w:noProof/>
          <w:szCs w:val="22"/>
        </w:rPr>
        <w:t>. Podávanie olmesart</w:t>
      </w:r>
      <w:r w:rsidR="00370406">
        <w:rPr>
          <w:noProof/>
          <w:szCs w:val="22"/>
        </w:rPr>
        <w:t>a</w:t>
      </w:r>
      <w:r w:rsidRPr="005C44A1">
        <w:rPr>
          <w:noProof/>
          <w:szCs w:val="22"/>
        </w:rPr>
        <w:t>nu</w:t>
      </w:r>
      <w:r w:rsidR="00F23E96" w:rsidRPr="005C44A1">
        <w:rPr>
          <w:noProof/>
          <w:szCs w:val="22"/>
        </w:rPr>
        <w:t>-</w:t>
      </w:r>
      <w:r w:rsidRPr="005C44A1">
        <w:rPr>
          <w:noProof/>
          <w:szCs w:val="22"/>
        </w:rPr>
        <w:t xml:space="preserve">medoxomilu najmenej 4 hodiny pred užitím kolesevelamiumchloridu zníži účinok </w:t>
      </w:r>
      <w:r w:rsidR="006B4B67" w:rsidRPr="005C44A1">
        <w:rPr>
          <w:noProof/>
          <w:szCs w:val="22"/>
        </w:rPr>
        <w:t xml:space="preserve">liekovej </w:t>
      </w:r>
      <w:r w:rsidRPr="005C44A1">
        <w:rPr>
          <w:noProof/>
          <w:szCs w:val="22"/>
        </w:rPr>
        <w:t>interakcie. Preto sa má zvážiť podanie olmesart</w:t>
      </w:r>
      <w:r w:rsidR="00370406">
        <w:rPr>
          <w:noProof/>
          <w:szCs w:val="22"/>
        </w:rPr>
        <w:t>a</w:t>
      </w:r>
      <w:r w:rsidRPr="005C44A1">
        <w:rPr>
          <w:noProof/>
          <w:szCs w:val="22"/>
        </w:rPr>
        <w:t>nu</w:t>
      </w:r>
      <w:r w:rsidR="006B4B67" w:rsidRPr="005C44A1">
        <w:rPr>
          <w:noProof/>
          <w:szCs w:val="22"/>
        </w:rPr>
        <w:t>-</w:t>
      </w:r>
      <w:r w:rsidRPr="005C44A1">
        <w:rPr>
          <w:noProof/>
          <w:szCs w:val="22"/>
        </w:rPr>
        <w:t>medoxomilu aspoň 4 hodiny pred podaním dávky kolesevelamiumchloridu (pozri časť 5.2).</w:t>
      </w:r>
    </w:p>
    <w:p w14:paraId="3B93234B" w14:textId="77777777" w:rsidR="00760188" w:rsidRPr="005C44A1" w:rsidRDefault="00760188" w:rsidP="005C44A1">
      <w:pPr>
        <w:tabs>
          <w:tab w:val="left" w:pos="0"/>
        </w:tabs>
        <w:ind w:left="0" w:firstLine="0"/>
        <w:rPr>
          <w:noProof/>
          <w:szCs w:val="22"/>
        </w:rPr>
      </w:pPr>
    </w:p>
    <w:p w14:paraId="3B93234C" w14:textId="77777777" w:rsidR="00760188" w:rsidRPr="005C44A1" w:rsidRDefault="003C0C46" w:rsidP="005C44A1">
      <w:pPr>
        <w:tabs>
          <w:tab w:val="left" w:pos="0"/>
        </w:tabs>
        <w:ind w:left="0" w:firstLine="0"/>
        <w:rPr>
          <w:noProof/>
          <w:szCs w:val="22"/>
        </w:rPr>
      </w:pPr>
      <w:r w:rsidRPr="005C44A1">
        <w:rPr>
          <w:noProof/>
          <w:szCs w:val="22"/>
          <w:u w:val="single"/>
        </w:rPr>
        <w:t>Ďalšie informácie</w:t>
      </w:r>
    </w:p>
    <w:p w14:paraId="3B93234D" w14:textId="30BCBC1F" w:rsidR="00760188" w:rsidRPr="005C44A1" w:rsidRDefault="00760188" w:rsidP="005C44A1">
      <w:pPr>
        <w:tabs>
          <w:tab w:val="left" w:pos="0"/>
        </w:tabs>
        <w:ind w:left="0" w:firstLine="0"/>
        <w:rPr>
          <w:noProof/>
          <w:szCs w:val="22"/>
        </w:rPr>
      </w:pPr>
      <w:r w:rsidRPr="005C44A1">
        <w:rPr>
          <w:noProof/>
          <w:szCs w:val="22"/>
        </w:rPr>
        <w:t xml:space="preserve">Po liečbe antacidom (hydroxid hlinito-horečnatý) sa </w:t>
      </w:r>
      <w:r w:rsidR="00527C46" w:rsidRPr="005C44A1">
        <w:rPr>
          <w:noProof/>
          <w:szCs w:val="22"/>
        </w:rPr>
        <w:t>pozorov</w:t>
      </w:r>
      <w:r w:rsidRPr="005C44A1">
        <w:rPr>
          <w:noProof/>
          <w:szCs w:val="22"/>
        </w:rPr>
        <w:t>alo mierne zníženie biologickej dostupnosti olme</w:t>
      </w:r>
      <w:r w:rsidR="000E1D3E" w:rsidRPr="005C44A1">
        <w:rPr>
          <w:noProof/>
          <w:szCs w:val="22"/>
        </w:rPr>
        <w:t>sart</w:t>
      </w:r>
      <w:r w:rsidR="00370406">
        <w:rPr>
          <w:noProof/>
          <w:szCs w:val="22"/>
        </w:rPr>
        <w:t>a</w:t>
      </w:r>
      <w:r w:rsidRPr="005C44A1">
        <w:rPr>
          <w:noProof/>
          <w:szCs w:val="22"/>
        </w:rPr>
        <w:t>nu.</w:t>
      </w:r>
    </w:p>
    <w:p w14:paraId="3B93234E" w14:textId="77777777" w:rsidR="00760188" w:rsidRPr="005C44A1" w:rsidRDefault="00760188" w:rsidP="005C44A1">
      <w:pPr>
        <w:tabs>
          <w:tab w:val="left" w:pos="0"/>
        </w:tabs>
        <w:ind w:left="0" w:firstLine="0"/>
        <w:rPr>
          <w:noProof/>
          <w:szCs w:val="22"/>
        </w:rPr>
      </w:pPr>
    </w:p>
    <w:p w14:paraId="3B93234F" w14:textId="65AF33BB" w:rsidR="00760188" w:rsidRPr="005C44A1" w:rsidRDefault="00760188" w:rsidP="005C44A1">
      <w:pPr>
        <w:tabs>
          <w:tab w:val="left" w:pos="0"/>
        </w:tabs>
        <w:ind w:left="0" w:firstLine="0"/>
        <w:rPr>
          <w:noProof/>
          <w:szCs w:val="22"/>
        </w:rPr>
      </w:pPr>
      <w:r w:rsidRPr="005C44A1">
        <w:rPr>
          <w:noProof/>
          <w:szCs w:val="22"/>
        </w:rPr>
        <w:t>Olmesart</w:t>
      </w:r>
      <w:r w:rsidR="00370406">
        <w:rPr>
          <w:noProof/>
          <w:szCs w:val="22"/>
        </w:rPr>
        <w:t>a</w:t>
      </w:r>
      <w:r w:rsidRPr="005C44A1">
        <w:rPr>
          <w:noProof/>
          <w:szCs w:val="22"/>
        </w:rPr>
        <w:t>n</w:t>
      </w:r>
      <w:r w:rsidR="000E1D3E" w:rsidRPr="005C44A1">
        <w:rPr>
          <w:noProof/>
          <w:szCs w:val="22"/>
        </w:rPr>
        <w:t>-</w:t>
      </w:r>
      <w:r w:rsidRPr="005C44A1">
        <w:rPr>
          <w:noProof/>
          <w:szCs w:val="22"/>
        </w:rPr>
        <w:t xml:space="preserve">medoxomil nemal žiadny </w:t>
      </w:r>
      <w:r w:rsidR="000E1D3E" w:rsidRPr="005C44A1">
        <w:rPr>
          <w:noProof/>
          <w:szCs w:val="22"/>
        </w:rPr>
        <w:t>významný</w:t>
      </w:r>
      <w:r w:rsidRPr="005C44A1">
        <w:rPr>
          <w:noProof/>
          <w:szCs w:val="22"/>
        </w:rPr>
        <w:t xml:space="preserve"> účinok na farmakokinetiku alebo farmakodynamiku warfarínu alebo farmakokinetiku digoxínu. Pri súbežnom podávaní olmesart</w:t>
      </w:r>
      <w:r w:rsidR="00370406">
        <w:rPr>
          <w:noProof/>
          <w:szCs w:val="22"/>
        </w:rPr>
        <w:t>a</w:t>
      </w:r>
      <w:r w:rsidRPr="005C44A1">
        <w:rPr>
          <w:noProof/>
          <w:szCs w:val="22"/>
        </w:rPr>
        <w:t>n</w:t>
      </w:r>
      <w:r w:rsidR="00A87064" w:rsidRPr="005C44A1">
        <w:rPr>
          <w:noProof/>
          <w:szCs w:val="22"/>
        </w:rPr>
        <w:t>u-</w:t>
      </w:r>
      <w:r w:rsidRPr="005C44A1">
        <w:rPr>
          <w:noProof/>
          <w:szCs w:val="22"/>
        </w:rPr>
        <w:t xml:space="preserve">medoxomilu s </w:t>
      </w:r>
      <w:r w:rsidRPr="005C44A1">
        <w:rPr>
          <w:noProof/>
          <w:szCs w:val="22"/>
        </w:rPr>
        <w:lastRenderedPageBreak/>
        <w:t>pravastatínom zdravým dobrovoľníkom sa nezistili žiadne klinicky významné účinky na farmakokinetiku jednotlivých liečiv.</w:t>
      </w:r>
    </w:p>
    <w:p w14:paraId="3B932350" w14:textId="77777777" w:rsidR="00760188" w:rsidRPr="005C44A1" w:rsidRDefault="00760188" w:rsidP="005C44A1">
      <w:pPr>
        <w:tabs>
          <w:tab w:val="left" w:pos="0"/>
        </w:tabs>
        <w:ind w:left="0" w:firstLine="0"/>
        <w:rPr>
          <w:noProof/>
          <w:szCs w:val="22"/>
        </w:rPr>
      </w:pPr>
    </w:p>
    <w:p w14:paraId="3B932351" w14:textId="49B4C4AD" w:rsidR="00760188" w:rsidRPr="005C44A1" w:rsidRDefault="00760188" w:rsidP="005C44A1">
      <w:pPr>
        <w:tabs>
          <w:tab w:val="left" w:pos="0"/>
        </w:tabs>
        <w:ind w:left="0" w:firstLine="0"/>
        <w:rPr>
          <w:noProof/>
          <w:szCs w:val="22"/>
        </w:rPr>
      </w:pPr>
      <w:r w:rsidRPr="005C44A1">
        <w:rPr>
          <w:noProof/>
          <w:szCs w:val="22"/>
        </w:rPr>
        <w:t>Olmesart</w:t>
      </w:r>
      <w:r w:rsidR="00370406">
        <w:rPr>
          <w:noProof/>
          <w:szCs w:val="22"/>
        </w:rPr>
        <w:t>a</w:t>
      </w:r>
      <w:r w:rsidRPr="005C44A1">
        <w:rPr>
          <w:noProof/>
          <w:szCs w:val="22"/>
        </w:rPr>
        <w:t xml:space="preserve">n nemal </w:t>
      </w:r>
      <w:r w:rsidR="00990241" w:rsidRPr="005C44A1">
        <w:rPr>
          <w:i/>
          <w:noProof/>
          <w:szCs w:val="22"/>
        </w:rPr>
        <w:t xml:space="preserve">in vitro </w:t>
      </w:r>
      <w:r w:rsidRPr="005C44A1">
        <w:rPr>
          <w:noProof/>
          <w:szCs w:val="22"/>
        </w:rPr>
        <w:t>žiadn</w:t>
      </w:r>
      <w:r w:rsidR="00135802" w:rsidRPr="005C44A1">
        <w:rPr>
          <w:noProof/>
          <w:szCs w:val="22"/>
        </w:rPr>
        <w:t>e</w:t>
      </w:r>
      <w:r w:rsidRPr="005C44A1">
        <w:rPr>
          <w:noProof/>
          <w:szCs w:val="22"/>
        </w:rPr>
        <w:t xml:space="preserve"> klinicky relevantn</w:t>
      </w:r>
      <w:r w:rsidR="00135802" w:rsidRPr="005C44A1">
        <w:rPr>
          <w:noProof/>
          <w:szCs w:val="22"/>
        </w:rPr>
        <w:t>é</w:t>
      </w:r>
      <w:r w:rsidRPr="005C44A1">
        <w:rPr>
          <w:noProof/>
          <w:szCs w:val="22"/>
        </w:rPr>
        <w:t xml:space="preserve"> inhibičn</w:t>
      </w:r>
      <w:r w:rsidR="00135802" w:rsidRPr="005C44A1">
        <w:rPr>
          <w:noProof/>
          <w:szCs w:val="22"/>
        </w:rPr>
        <w:t>é</w:t>
      </w:r>
      <w:r w:rsidRPr="005C44A1">
        <w:rPr>
          <w:noProof/>
          <w:szCs w:val="22"/>
        </w:rPr>
        <w:t xml:space="preserve"> </w:t>
      </w:r>
      <w:r w:rsidR="00990241" w:rsidRPr="005C44A1">
        <w:rPr>
          <w:noProof/>
          <w:szCs w:val="22"/>
        </w:rPr>
        <w:t>účink</w:t>
      </w:r>
      <w:r w:rsidR="00135802" w:rsidRPr="005C44A1">
        <w:rPr>
          <w:noProof/>
          <w:szCs w:val="22"/>
        </w:rPr>
        <w:t>y</w:t>
      </w:r>
      <w:r w:rsidRPr="005C44A1">
        <w:rPr>
          <w:noProof/>
          <w:szCs w:val="22"/>
        </w:rPr>
        <w:t xml:space="preserve"> na enzýmy 1A1/2, 2A6, 2C8/9, 2C19, 2D6, 2E1 a 3A4 </w:t>
      </w:r>
      <w:r w:rsidR="0037058E" w:rsidRPr="005C44A1">
        <w:rPr>
          <w:noProof/>
          <w:szCs w:val="22"/>
        </w:rPr>
        <w:t xml:space="preserve">ľudského cytochrómu P450 </w:t>
      </w:r>
      <w:r w:rsidRPr="005C44A1">
        <w:rPr>
          <w:noProof/>
          <w:szCs w:val="22"/>
        </w:rPr>
        <w:t xml:space="preserve">a </w:t>
      </w:r>
      <w:r w:rsidR="00135802" w:rsidRPr="005C44A1">
        <w:rPr>
          <w:noProof/>
          <w:szCs w:val="22"/>
        </w:rPr>
        <w:t>nemal</w:t>
      </w:r>
      <w:r w:rsidRPr="005C44A1">
        <w:rPr>
          <w:noProof/>
          <w:szCs w:val="22"/>
        </w:rPr>
        <w:t xml:space="preserve"> žiadny alebo </w:t>
      </w:r>
      <w:r w:rsidR="00135802" w:rsidRPr="005C44A1">
        <w:rPr>
          <w:noProof/>
          <w:szCs w:val="22"/>
        </w:rPr>
        <w:t xml:space="preserve">mal len </w:t>
      </w:r>
      <w:r w:rsidRPr="005C44A1">
        <w:rPr>
          <w:noProof/>
          <w:szCs w:val="22"/>
        </w:rPr>
        <w:t>minimálny indukčný účinok na aktivitu cytochrómu P450 u potkana. Nepredpokladajú sa žiadne</w:t>
      </w:r>
      <w:r w:rsidR="0037058E" w:rsidRPr="005C44A1">
        <w:rPr>
          <w:noProof/>
          <w:szCs w:val="22"/>
        </w:rPr>
        <w:t>,</w:t>
      </w:r>
      <w:r w:rsidRPr="005C44A1">
        <w:rPr>
          <w:noProof/>
          <w:szCs w:val="22"/>
        </w:rPr>
        <w:t xml:space="preserve"> klinicky významné interakcie medzi olmesart</w:t>
      </w:r>
      <w:r w:rsidR="00370406">
        <w:rPr>
          <w:noProof/>
          <w:szCs w:val="22"/>
        </w:rPr>
        <w:t>a</w:t>
      </w:r>
      <w:r w:rsidRPr="005C44A1">
        <w:rPr>
          <w:noProof/>
          <w:szCs w:val="22"/>
        </w:rPr>
        <w:t>nom a liekmi, ktoré sa metabolizujú  hore uvedenými enzýmami cytochrómu P450.</w:t>
      </w:r>
    </w:p>
    <w:p w14:paraId="3B932352" w14:textId="77777777" w:rsidR="00760188" w:rsidRPr="005C44A1" w:rsidRDefault="00760188" w:rsidP="005C44A1">
      <w:pPr>
        <w:tabs>
          <w:tab w:val="left" w:pos="0"/>
        </w:tabs>
        <w:ind w:left="0" w:firstLine="0"/>
        <w:rPr>
          <w:noProof/>
          <w:szCs w:val="22"/>
        </w:rPr>
      </w:pPr>
    </w:p>
    <w:p w14:paraId="3B932353" w14:textId="77777777" w:rsidR="00760188" w:rsidRPr="005C44A1" w:rsidRDefault="00760188" w:rsidP="005C44A1">
      <w:pPr>
        <w:tabs>
          <w:tab w:val="left" w:pos="0"/>
        </w:tabs>
        <w:ind w:left="0" w:firstLine="0"/>
        <w:rPr>
          <w:noProof/>
          <w:szCs w:val="22"/>
          <w:u w:val="single"/>
        </w:rPr>
      </w:pPr>
      <w:r w:rsidRPr="005C44A1">
        <w:rPr>
          <w:noProof/>
          <w:szCs w:val="22"/>
          <w:u w:val="single"/>
        </w:rPr>
        <w:t xml:space="preserve">Možné interakcie </w:t>
      </w:r>
      <w:r w:rsidR="002202BA" w:rsidRPr="005C44A1">
        <w:rPr>
          <w:noProof/>
          <w:szCs w:val="22"/>
          <w:u w:val="single"/>
        </w:rPr>
        <w:t>súvisiace</w:t>
      </w:r>
      <w:r w:rsidRPr="005C44A1">
        <w:rPr>
          <w:noProof/>
          <w:szCs w:val="22"/>
          <w:u w:val="single"/>
        </w:rPr>
        <w:t xml:space="preserve"> s amlodipínom, zložkou </w:t>
      </w:r>
      <w:r w:rsidR="002202BA" w:rsidRPr="005C44A1">
        <w:rPr>
          <w:noProof/>
          <w:szCs w:val="22"/>
          <w:u w:val="single"/>
        </w:rPr>
        <w:t>Reverantzy</w:t>
      </w:r>
    </w:p>
    <w:p w14:paraId="3B932354" w14:textId="77777777" w:rsidR="00760188" w:rsidRPr="005C44A1" w:rsidRDefault="00760188" w:rsidP="005C44A1">
      <w:pPr>
        <w:tabs>
          <w:tab w:val="left" w:pos="0"/>
        </w:tabs>
        <w:ind w:left="0" w:firstLine="0"/>
        <w:rPr>
          <w:noProof/>
          <w:szCs w:val="22"/>
        </w:rPr>
      </w:pPr>
    </w:p>
    <w:p w14:paraId="3B932355" w14:textId="77777777" w:rsidR="00760188" w:rsidRPr="005C44A1" w:rsidRDefault="00760188" w:rsidP="005C44A1">
      <w:pPr>
        <w:tabs>
          <w:tab w:val="left" w:pos="0"/>
        </w:tabs>
        <w:ind w:left="0" w:firstLine="0"/>
        <w:rPr>
          <w:noProof/>
          <w:szCs w:val="22"/>
        </w:rPr>
      </w:pPr>
      <w:r w:rsidRPr="005C44A1">
        <w:rPr>
          <w:noProof/>
          <w:szCs w:val="22"/>
        </w:rPr>
        <w:t>Účinok iných lie</w:t>
      </w:r>
      <w:r w:rsidR="002202BA" w:rsidRPr="005C44A1">
        <w:rPr>
          <w:noProof/>
          <w:szCs w:val="22"/>
        </w:rPr>
        <w:t>kov</w:t>
      </w:r>
      <w:r w:rsidRPr="005C44A1">
        <w:rPr>
          <w:noProof/>
          <w:szCs w:val="22"/>
        </w:rPr>
        <w:t xml:space="preserve"> na amlodipín</w:t>
      </w:r>
    </w:p>
    <w:p w14:paraId="3B932356" w14:textId="77777777" w:rsidR="00760188" w:rsidRPr="005C44A1" w:rsidRDefault="00760188" w:rsidP="005C44A1">
      <w:pPr>
        <w:tabs>
          <w:tab w:val="left" w:pos="0"/>
        </w:tabs>
        <w:ind w:left="0" w:firstLine="0"/>
        <w:rPr>
          <w:noProof/>
          <w:szCs w:val="22"/>
        </w:rPr>
      </w:pPr>
    </w:p>
    <w:p w14:paraId="3B932357" w14:textId="77777777" w:rsidR="00760188" w:rsidRPr="005C44A1" w:rsidRDefault="002202BA" w:rsidP="005C44A1">
      <w:pPr>
        <w:tabs>
          <w:tab w:val="left" w:pos="0"/>
        </w:tabs>
        <w:ind w:left="0" w:firstLine="0"/>
        <w:rPr>
          <w:noProof/>
          <w:szCs w:val="22"/>
          <w:u w:val="single"/>
        </w:rPr>
      </w:pPr>
      <w:r w:rsidRPr="005C44A1">
        <w:rPr>
          <w:noProof/>
          <w:szCs w:val="22"/>
          <w:u w:val="single"/>
        </w:rPr>
        <w:t>Inhibítory CYP3A4</w:t>
      </w:r>
    </w:p>
    <w:p w14:paraId="3B932358" w14:textId="6C3F1A69" w:rsidR="00760188" w:rsidRPr="005C44A1" w:rsidRDefault="00760188" w:rsidP="005C44A1">
      <w:pPr>
        <w:tabs>
          <w:tab w:val="left" w:pos="0"/>
        </w:tabs>
        <w:ind w:left="0" w:firstLine="0"/>
        <w:rPr>
          <w:noProof/>
          <w:szCs w:val="22"/>
        </w:rPr>
      </w:pPr>
      <w:r w:rsidRPr="005C44A1">
        <w:rPr>
          <w:noProof/>
          <w:szCs w:val="22"/>
        </w:rPr>
        <w:t xml:space="preserve">Súbežné podávanie amlodipínu so silnými alebo stredne silnými inhibítormi CYP3A4 (inhibítory proteázy, azolové </w:t>
      </w:r>
      <w:r w:rsidR="008847FC">
        <w:rPr>
          <w:noProof/>
          <w:szCs w:val="22"/>
        </w:rPr>
        <w:t>antimykotiká</w:t>
      </w:r>
      <w:r w:rsidRPr="005C44A1">
        <w:rPr>
          <w:noProof/>
          <w:szCs w:val="22"/>
        </w:rPr>
        <w:t>, makrolidy</w:t>
      </w:r>
      <w:r w:rsidR="00482DE9">
        <w:rPr>
          <w:noProof/>
          <w:szCs w:val="22"/>
        </w:rPr>
        <w:t>,</w:t>
      </w:r>
      <w:r w:rsidRPr="005C44A1">
        <w:rPr>
          <w:noProof/>
          <w:szCs w:val="22"/>
        </w:rPr>
        <w:t xml:space="preserve"> ako je erytromycín alebo klaritromycín, verapamil alebo diltiazem) môžu významne zvýšiť expozíciu amlodipínu. Klinický prejav týchto zmien môže byť výraznejší u starších ľudí. Existuje tu zvýšené riziko hypotenzie. Preto </w:t>
      </w:r>
      <w:r w:rsidR="008847FC">
        <w:rPr>
          <w:noProof/>
          <w:szCs w:val="22"/>
        </w:rPr>
        <w:t>sa vyžaduje</w:t>
      </w:r>
      <w:r w:rsidR="000C2817" w:rsidRPr="005C44A1">
        <w:rPr>
          <w:noProof/>
          <w:szCs w:val="22"/>
        </w:rPr>
        <w:t xml:space="preserve"> klinické </w:t>
      </w:r>
      <w:r w:rsidRPr="005C44A1">
        <w:rPr>
          <w:noProof/>
          <w:szCs w:val="22"/>
        </w:rPr>
        <w:t>sledovanie pacientov a úprava dávkovania.</w:t>
      </w:r>
    </w:p>
    <w:p w14:paraId="3B932359" w14:textId="77777777" w:rsidR="00760188" w:rsidRPr="005C44A1" w:rsidRDefault="00760188" w:rsidP="005C44A1">
      <w:pPr>
        <w:tabs>
          <w:tab w:val="left" w:pos="0"/>
        </w:tabs>
        <w:ind w:left="0" w:firstLine="0"/>
        <w:rPr>
          <w:noProof/>
          <w:szCs w:val="22"/>
        </w:rPr>
      </w:pPr>
    </w:p>
    <w:p w14:paraId="3B93235A" w14:textId="77777777" w:rsidR="00760188" w:rsidRPr="005C44A1" w:rsidRDefault="000C2817" w:rsidP="005C44A1">
      <w:pPr>
        <w:tabs>
          <w:tab w:val="left" w:pos="0"/>
        </w:tabs>
        <w:ind w:left="0" w:firstLine="0"/>
        <w:rPr>
          <w:noProof/>
          <w:szCs w:val="22"/>
          <w:u w:val="single"/>
        </w:rPr>
      </w:pPr>
      <w:r w:rsidRPr="005C44A1">
        <w:rPr>
          <w:noProof/>
          <w:szCs w:val="22"/>
          <w:u w:val="single"/>
        </w:rPr>
        <w:t>Induktory CYP3A4</w:t>
      </w:r>
    </w:p>
    <w:p w14:paraId="3B93235B" w14:textId="76B911FB" w:rsidR="00760188" w:rsidRPr="005C44A1" w:rsidRDefault="00760188" w:rsidP="005C44A1">
      <w:pPr>
        <w:tabs>
          <w:tab w:val="left" w:pos="0"/>
        </w:tabs>
        <w:ind w:left="0" w:firstLine="0"/>
        <w:rPr>
          <w:noProof/>
          <w:szCs w:val="22"/>
        </w:rPr>
      </w:pPr>
      <w:r w:rsidRPr="005C44A1">
        <w:rPr>
          <w:noProof/>
          <w:szCs w:val="22"/>
        </w:rPr>
        <w:t xml:space="preserve">Pri </w:t>
      </w:r>
      <w:r w:rsidR="004E51C4" w:rsidRPr="005C44A1">
        <w:rPr>
          <w:noProof/>
          <w:szCs w:val="22"/>
        </w:rPr>
        <w:t>sú</w:t>
      </w:r>
      <w:r w:rsidR="008847FC">
        <w:rPr>
          <w:noProof/>
          <w:szCs w:val="22"/>
        </w:rPr>
        <w:t>bež</w:t>
      </w:r>
      <w:r w:rsidR="004E51C4" w:rsidRPr="005C44A1">
        <w:rPr>
          <w:noProof/>
          <w:szCs w:val="22"/>
        </w:rPr>
        <w:t>nom</w:t>
      </w:r>
      <w:r w:rsidRPr="005C44A1">
        <w:rPr>
          <w:noProof/>
          <w:szCs w:val="22"/>
        </w:rPr>
        <w:t xml:space="preserve"> podávaní známych induktorov CYP3A4 sa môže meniť plazmatická koncentrácia amlodipínu. Preto sa má </w:t>
      </w:r>
      <w:r w:rsidR="00821A3A" w:rsidRPr="005C44A1">
        <w:rPr>
          <w:noProof/>
          <w:szCs w:val="22"/>
        </w:rPr>
        <w:t>sledovať krvný tlak a</w:t>
      </w:r>
      <w:r w:rsidR="00331592" w:rsidRPr="005C44A1">
        <w:rPr>
          <w:noProof/>
          <w:szCs w:val="22"/>
        </w:rPr>
        <w:t xml:space="preserve"> treba zvážiť regulovanie dávky </w:t>
      </w:r>
      <w:r w:rsidR="008B2DAF" w:rsidRPr="005C44A1">
        <w:rPr>
          <w:noProof/>
          <w:szCs w:val="22"/>
        </w:rPr>
        <w:t xml:space="preserve"> </w:t>
      </w:r>
      <w:r w:rsidRPr="005C44A1">
        <w:rPr>
          <w:noProof/>
          <w:szCs w:val="22"/>
        </w:rPr>
        <w:t>najmä so silnými induktormi CYP3A4 (napr. rifampicín, ľubovník bodkovaný)</w:t>
      </w:r>
      <w:r w:rsidR="00C54152" w:rsidRPr="005C44A1">
        <w:rPr>
          <w:noProof/>
          <w:szCs w:val="22"/>
        </w:rPr>
        <w:t xml:space="preserve"> </w:t>
      </w:r>
      <w:r w:rsidR="008847FC" w:rsidRPr="005C44A1">
        <w:rPr>
          <w:noProof/>
          <w:szCs w:val="22"/>
        </w:rPr>
        <w:t xml:space="preserve">počas súbežnej liečby </w:t>
      </w:r>
      <w:r w:rsidR="00C54152" w:rsidRPr="005C44A1">
        <w:rPr>
          <w:noProof/>
          <w:szCs w:val="22"/>
        </w:rPr>
        <w:t xml:space="preserve">a po </w:t>
      </w:r>
      <w:r w:rsidR="008B2DAF" w:rsidRPr="005C44A1">
        <w:rPr>
          <w:noProof/>
          <w:szCs w:val="22"/>
        </w:rPr>
        <w:t>nej</w:t>
      </w:r>
      <w:r w:rsidRPr="005C44A1">
        <w:rPr>
          <w:noProof/>
          <w:szCs w:val="22"/>
        </w:rPr>
        <w:t>.</w:t>
      </w:r>
    </w:p>
    <w:p w14:paraId="3B93235C" w14:textId="77777777" w:rsidR="00760188" w:rsidRPr="005C44A1" w:rsidRDefault="00760188" w:rsidP="005C44A1">
      <w:pPr>
        <w:tabs>
          <w:tab w:val="left" w:pos="0"/>
        </w:tabs>
        <w:ind w:left="0" w:firstLine="0"/>
        <w:rPr>
          <w:noProof/>
          <w:szCs w:val="22"/>
        </w:rPr>
      </w:pPr>
    </w:p>
    <w:p w14:paraId="3B93235D" w14:textId="77777777" w:rsidR="00760188" w:rsidRPr="005C44A1" w:rsidRDefault="002479C5" w:rsidP="005C44A1">
      <w:pPr>
        <w:tabs>
          <w:tab w:val="left" w:pos="0"/>
        </w:tabs>
        <w:ind w:left="0" w:firstLine="0"/>
        <w:rPr>
          <w:noProof/>
          <w:szCs w:val="22"/>
        </w:rPr>
      </w:pPr>
      <w:r w:rsidRPr="005C44A1">
        <w:rPr>
          <w:noProof/>
          <w:szCs w:val="22"/>
        </w:rPr>
        <w:t>P</w:t>
      </w:r>
      <w:r w:rsidR="00760188" w:rsidRPr="005C44A1">
        <w:rPr>
          <w:noProof/>
          <w:szCs w:val="22"/>
        </w:rPr>
        <w:t xml:space="preserve">odávanie amlodipínu s </w:t>
      </w:r>
      <w:r w:rsidRPr="005C44A1">
        <w:rPr>
          <w:noProof/>
          <w:szCs w:val="22"/>
        </w:rPr>
        <w:t xml:space="preserve">grapefruitom alebo </w:t>
      </w:r>
      <w:r w:rsidR="00760188" w:rsidRPr="005C44A1">
        <w:rPr>
          <w:noProof/>
          <w:szCs w:val="22"/>
        </w:rPr>
        <w:t xml:space="preserve">grapefruitovou šťavou sa neodporúča, </w:t>
      </w:r>
      <w:r w:rsidRPr="005C44A1">
        <w:rPr>
          <w:noProof/>
          <w:szCs w:val="22"/>
        </w:rPr>
        <w:t>pretože</w:t>
      </w:r>
      <w:r w:rsidR="00760188" w:rsidRPr="005C44A1">
        <w:rPr>
          <w:noProof/>
          <w:szCs w:val="22"/>
        </w:rPr>
        <w:t xml:space="preserve"> u niektorých pacientov </w:t>
      </w:r>
      <w:r w:rsidR="00BA26BC" w:rsidRPr="005C44A1">
        <w:rPr>
          <w:noProof/>
          <w:szCs w:val="22"/>
        </w:rPr>
        <w:t>sa môže</w:t>
      </w:r>
      <w:r w:rsidR="00760188" w:rsidRPr="005C44A1">
        <w:rPr>
          <w:noProof/>
          <w:szCs w:val="22"/>
        </w:rPr>
        <w:t xml:space="preserve"> zvýš</w:t>
      </w:r>
      <w:r w:rsidR="00BA26BC" w:rsidRPr="005C44A1">
        <w:rPr>
          <w:noProof/>
          <w:szCs w:val="22"/>
        </w:rPr>
        <w:t xml:space="preserve">iť biologická </w:t>
      </w:r>
      <w:r w:rsidR="00760188" w:rsidRPr="005C44A1">
        <w:rPr>
          <w:noProof/>
          <w:szCs w:val="22"/>
        </w:rPr>
        <w:t>dostupnos</w:t>
      </w:r>
      <w:r w:rsidR="00BA26BC" w:rsidRPr="005C44A1">
        <w:rPr>
          <w:noProof/>
          <w:szCs w:val="22"/>
        </w:rPr>
        <w:t>ť</w:t>
      </w:r>
      <w:r w:rsidR="00760188" w:rsidRPr="005C44A1">
        <w:rPr>
          <w:noProof/>
          <w:szCs w:val="22"/>
        </w:rPr>
        <w:t>,</w:t>
      </w:r>
      <w:r w:rsidR="00BA26BC" w:rsidRPr="005C44A1">
        <w:rPr>
          <w:noProof/>
          <w:szCs w:val="22"/>
        </w:rPr>
        <w:t xml:space="preserve"> čo zosilní </w:t>
      </w:r>
      <w:r w:rsidR="00760188" w:rsidRPr="005C44A1">
        <w:rPr>
          <w:noProof/>
          <w:szCs w:val="22"/>
        </w:rPr>
        <w:t>účin</w:t>
      </w:r>
      <w:r w:rsidR="00C31CD3" w:rsidRPr="005C44A1">
        <w:rPr>
          <w:noProof/>
          <w:szCs w:val="22"/>
        </w:rPr>
        <w:t>ky na zníženie krvného tlaku.</w:t>
      </w:r>
    </w:p>
    <w:p w14:paraId="3B93235E" w14:textId="77777777" w:rsidR="00760188" w:rsidRPr="005C44A1" w:rsidRDefault="00760188" w:rsidP="005C44A1">
      <w:pPr>
        <w:tabs>
          <w:tab w:val="left" w:pos="0"/>
        </w:tabs>
        <w:ind w:left="0" w:firstLine="0"/>
        <w:rPr>
          <w:noProof/>
          <w:szCs w:val="22"/>
        </w:rPr>
      </w:pPr>
    </w:p>
    <w:p w14:paraId="3B93235F" w14:textId="77777777" w:rsidR="00C31CD3" w:rsidRPr="005C44A1" w:rsidRDefault="00760188" w:rsidP="005C44A1">
      <w:pPr>
        <w:tabs>
          <w:tab w:val="left" w:pos="0"/>
        </w:tabs>
        <w:ind w:left="0" w:firstLine="0"/>
        <w:rPr>
          <w:noProof/>
          <w:szCs w:val="22"/>
          <w:u w:val="single"/>
        </w:rPr>
      </w:pPr>
      <w:r w:rsidRPr="005C44A1">
        <w:rPr>
          <w:noProof/>
          <w:szCs w:val="22"/>
          <w:u w:val="single"/>
        </w:rPr>
        <w:t>Dantrolén (infúzia)</w:t>
      </w:r>
    </w:p>
    <w:p w14:paraId="3B932360" w14:textId="77777777" w:rsidR="00C31CD3" w:rsidRPr="005C44A1" w:rsidRDefault="00C31CD3" w:rsidP="005C44A1">
      <w:pPr>
        <w:tabs>
          <w:tab w:val="left" w:pos="0"/>
        </w:tabs>
        <w:ind w:left="0" w:firstLine="0"/>
        <w:rPr>
          <w:noProof/>
          <w:szCs w:val="22"/>
        </w:rPr>
      </w:pPr>
      <w:r w:rsidRPr="005C44A1">
        <w:rPr>
          <w:noProof/>
          <w:szCs w:val="22"/>
        </w:rPr>
        <w:t xml:space="preserve">U zvierat je možné </w:t>
      </w:r>
      <w:r w:rsidR="00BB1152" w:rsidRPr="005C44A1">
        <w:rPr>
          <w:noProof/>
          <w:szCs w:val="22"/>
        </w:rPr>
        <w:t xml:space="preserve">po podaní verapamilu a intravenózneho dantrolénu </w:t>
      </w:r>
      <w:r w:rsidRPr="005C44A1">
        <w:rPr>
          <w:noProof/>
          <w:szCs w:val="22"/>
        </w:rPr>
        <w:t>pozorovať letálnu ventrikulárnu fibriláciu a kardiovaskulárny kolaps v spojení s hyperkaliémiou. Z dôvodu rizika hyperkaliémie sa odporúča vyhnúť sa sú</w:t>
      </w:r>
      <w:r w:rsidR="00BB1152" w:rsidRPr="005C44A1">
        <w:rPr>
          <w:noProof/>
          <w:szCs w:val="22"/>
        </w:rPr>
        <w:t>bež</w:t>
      </w:r>
      <w:r w:rsidRPr="005C44A1">
        <w:rPr>
          <w:noProof/>
          <w:szCs w:val="22"/>
        </w:rPr>
        <w:t>nému podávaniu blokátorov kalciov</w:t>
      </w:r>
      <w:r w:rsidR="008352CF" w:rsidRPr="005C44A1">
        <w:rPr>
          <w:noProof/>
          <w:szCs w:val="22"/>
        </w:rPr>
        <w:t>ého</w:t>
      </w:r>
      <w:r w:rsidRPr="005C44A1">
        <w:rPr>
          <w:noProof/>
          <w:szCs w:val="22"/>
        </w:rPr>
        <w:t xml:space="preserve"> kanál</w:t>
      </w:r>
      <w:r w:rsidR="008352CF" w:rsidRPr="005C44A1">
        <w:rPr>
          <w:noProof/>
          <w:szCs w:val="22"/>
        </w:rPr>
        <w:t>a</w:t>
      </w:r>
      <w:r w:rsidRPr="005C44A1">
        <w:rPr>
          <w:noProof/>
          <w:szCs w:val="22"/>
        </w:rPr>
        <w:t>, ako je amlodipín, u pacientov náchylných na malígnu hypertermiu a pri liečbe malígnej hypertermie</w:t>
      </w:r>
      <w:r w:rsidR="00E36B26" w:rsidRPr="005C44A1">
        <w:rPr>
          <w:noProof/>
          <w:szCs w:val="22"/>
        </w:rPr>
        <w:t>.</w:t>
      </w:r>
    </w:p>
    <w:p w14:paraId="3B932361" w14:textId="77777777" w:rsidR="00C31CD3" w:rsidRPr="005C44A1" w:rsidRDefault="00BB1152" w:rsidP="005C44A1">
      <w:pPr>
        <w:tabs>
          <w:tab w:val="left" w:pos="0"/>
        </w:tabs>
        <w:ind w:left="0" w:firstLine="0"/>
        <w:rPr>
          <w:noProof/>
          <w:szCs w:val="22"/>
        </w:rPr>
      </w:pPr>
      <w:r w:rsidRPr="005C44A1">
        <w:rPr>
          <w:noProof/>
          <w:szCs w:val="22"/>
        </w:rPr>
        <w:t xml:space="preserve"> </w:t>
      </w:r>
    </w:p>
    <w:p w14:paraId="3B932362" w14:textId="77777777" w:rsidR="00760188" w:rsidRPr="005C44A1" w:rsidRDefault="00760188" w:rsidP="005C44A1">
      <w:pPr>
        <w:tabs>
          <w:tab w:val="left" w:pos="0"/>
        </w:tabs>
        <w:ind w:left="0" w:firstLine="0"/>
        <w:rPr>
          <w:noProof/>
          <w:szCs w:val="22"/>
          <w:u w:val="single"/>
        </w:rPr>
      </w:pPr>
      <w:r w:rsidRPr="005C44A1">
        <w:rPr>
          <w:noProof/>
          <w:szCs w:val="22"/>
          <w:u w:val="single"/>
        </w:rPr>
        <w:t>Účin</w:t>
      </w:r>
      <w:r w:rsidR="008352CF" w:rsidRPr="005C44A1">
        <w:rPr>
          <w:noProof/>
          <w:szCs w:val="22"/>
          <w:u w:val="single"/>
        </w:rPr>
        <w:t>ky</w:t>
      </w:r>
      <w:r w:rsidRPr="005C44A1">
        <w:rPr>
          <w:noProof/>
          <w:szCs w:val="22"/>
          <w:u w:val="single"/>
        </w:rPr>
        <w:t xml:space="preserve"> amlodipínu na iné lie</w:t>
      </w:r>
      <w:r w:rsidR="008352CF" w:rsidRPr="005C44A1">
        <w:rPr>
          <w:noProof/>
          <w:szCs w:val="22"/>
          <w:u w:val="single"/>
        </w:rPr>
        <w:t>ky</w:t>
      </w:r>
    </w:p>
    <w:p w14:paraId="3B932363" w14:textId="77777777" w:rsidR="00760188" w:rsidRPr="005C44A1" w:rsidRDefault="00760188" w:rsidP="005C44A1">
      <w:pPr>
        <w:tabs>
          <w:tab w:val="left" w:pos="0"/>
        </w:tabs>
        <w:ind w:left="0" w:firstLine="0"/>
        <w:rPr>
          <w:noProof/>
          <w:szCs w:val="22"/>
        </w:rPr>
      </w:pPr>
      <w:r w:rsidRPr="005C44A1">
        <w:rPr>
          <w:noProof/>
          <w:szCs w:val="22"/>
        </w:rPr>
        <w:t>Amlodipín zvyšuje antihypertenzný účinok iných antihypertenzív.</w:t>
      </w:r>
    </w:p>
    <w:p w14:paraId="3B932364" w14:textId="77777777" w:rsidR="00760188" w:rsidRPr="005C44A1" w:rsidRDefault="00760188" w:rsidP="005C44A1">
      <w:pPr>
        <w:tabs>
          <w:tab w:val="left" w:pos="0"/>
        </w:tabs>
        <w:ind w:left="0" w:firstLine="0"/>
        <w:rPr>
          <w:noProof/>
          <w:szCs w:val="22"/>
        </w:rPr>
      </w:pPr>
      <w:r w:rsidRPr="005C44A1">
        <w:rPr>
          <w:noProof/>
          <w:szCs w:val="22"/>
        </w:rPr>
        <w:t xml:space="preserve">V klinických interakčných štúdiách </w:t>
      </w:r>
      <w:r w:rsidR="00E10836" w:rsidRPr="005C44A1">
        <w:rPr>
          <w:noProof/>
          <w:szCs w:val="22"/>
        </w:rPr>
        <w:t xml:space="preserve">amlodipín neovplyvňoval </w:t>
      </w:r>
      <w:r w:rsidR="003772CB" w:rsidRPr="005C44A1">
        <w:rPr>
          <w:noProof/>
          <w:szCs w:val="22"/>
        </w:rPr>
        <w:t>farmakokinetiku</w:t>
      </w:r>
      <w:r w:rsidRPr="005C44A1">
        <w:rPr>
          <w:noProof/>
          <w:szCs w:val="22"/>
        </w:rPr>
        <w:t xml:space="preserve"> atorvastatín</w:t>
      </w:r>
      <w:r w:rsidR="003772CB" w:rsidRPr="005C44A1">
        <w:rPr>
          <w:noProof/>
          <w:szCs w:val="22"/>
        </w:rPr>
        <w:t>u</w:t>
      </w:r>
      <w:r w:rsidRPr="005C44A1">
        <w:rPr>
          <w:noProof/>
          <w:szCs w:val="22"/>
        </w:rPr>
        <w:t>, digoxín</w:t>
      </w:r>
      <w:r w:rsidR="003772CB" w:rsidRPr="005C44A1">
        <w:rPr>
          <w:noProof/>
          <w:szCs w:val="22"/>
        </w:rPr>
        <w:t>u</w:t>
      </w:r>
      <w:r w:rsidRPr="005C44A1">
        <w:rPr>
          <w:noProof/>
          <w:szCs w:val="22"/>
        </w:rPr>
        <w:t xml:space="preserve"> alebo warfarín</w:t>
      </w:r>
      <w:r w:rsidR="003772CB" w:rsidRPr="005C44A1">
        <w:rPr>
          <w:noProof/>
          <w:szCs w:val="22"/>
        </w:rPr>
        <w:t>u</w:t>
      </w:r>
      <w:r w:rsidRPr="005C44A1">
        <w:rPr>
          <w:noProof/>
          <w:szCs w:val="22"/>
        </w:rPr>
        <w:t xml:space="preserve">. </w:t>
      </w:r>
    </w:p>
    <w:p w14:paraId="3B932365" w14:textId="77777777" w:rsidR="00760188" w:rsidRPr="005C44A1" w:rsidRDefault="00760188" w:rsidP="005C44A1">
      <w:pPr>
        <w:tabs>
          <w:tab w:val="left" w:pos="0"/>
        </w:tabs>
        <w:ind w:left="0" w:firstLine="0"/>
        <w:rPr>
          <w:noProof/>
          <w:szCs w:val="22"/>
        </w:rPr>
      </w:pPr>
    </w:p>
    <w:p w14:paraId="3B932366" w14:textId="77777777" w:rsidR="003772CB" w:rsidRPr="005C44A1" w:rsidRDefault="00760188" w:rsidP="005C44A1">
      <w:pPr>
        <w:tabs>
          <w:tab w:val="left" w:pos="0"/>
        </w:tabs>
        <w:ind w:left="0" w:firstLine="0"/>
        <w:rPr>
          <w:noProof/>
          <w:szCs w:val="22"/>
        </w:rPr>
      </w:pPr>
      <w:r w:rsidRPr="005C44A1">
        <w:rPr>
          <w:noProof/>
          <w:szCs w:val="22"/>
          <w:u w:val="single"/>
        </w:rPr>
        <w:t>Simvastatín</w:t>
      </w:r>
    </w:p>
    <w:p w14:paraId="3B932367" w14:textId="077A2AF6" w:rsidR="00760188" w:rsidRPr="005C44A1" w:rsidRDefault="003772CB" w:rsidP="005C44A1">
      <w:pPr>
        <w:tabs>
          <w:tab w:val="left" w:pos="0"/>
        </w:tabs>
        <w:ind w:left="0" w:firstLine="0"/>
        <w:rPr>
          <w:noProof/>
          <w:szCs w:val="22"/>
        </w:rPr>
      </w:pPr>
      <w:r w:rsidRPr="005C44A1">
        <w:rPr>
          <w:noProof/>
          <w:szCs w:val="22"/>
        </w:rPr>
        <w:t>S</w:t>
      </w:r>
      <w:r w:rsidR="00760188" w:rsidRPr="005C44A1">
        <w:rPr>
          <w:noProof/>
          <w:szCs w:val="22"/>
        </w:rPr>
        <w:t>úbežné podávanie viac</w:t>
      </w:r>
      <w:r w:rsidR="00006CAA" w:rsidRPr="005C44A1">
        <w:rPr>
          <w:noProof/>
          <w:szCs w:val="22"/>
        </w:rPr>
        <w:t>násobných</w:t>
      </w:r>
      <w:r w:rsidR="00760188" w:rsidRPr="005C44A1">
        <w:rPr>
          <w:noProof/>
          <w:szCs w:val="22"/>
        </w:rPr>
        <w:t xml:space="preserve"> dávok 10 mg amlodipínu s 80 mg simvastatínu zvýšilo expozíciu simvastatínu o</w:t>
      </w:r>
      <w:r w:rsidR="00924DF3">
        <w:rPr>
          <w:noProof/>
          <w:szCs w:val="22"/>
        </w:rPr>
        <w:t> </w:t>
      </w:r>
      <w:r w:rsidR="00760188" w:rsidRPr="005C44A1">
        <w:rPr>
          <w:noProof/>
          <w:szCs w:val="22"/>
        </w:rPr>
        <w:t>77</w:t>
      </w:r>
      <w:r w:rsidR="00924DF3">
        <w:rPr>
          <w:noProof/>
          <w:szCs w:val="22"/>
        </w:rPr>
        <w:t> </w:t>
      </w:r>
      <w:r w:rsidR="00760188" w:rsidRPr="005C44A1">
        <w:rPr>
          <w:noProof/>
          <w:szCs w:val="22"/>
        </w:rPr>
        <w:t>% v porovnaní s podávaním simvastatínu samotného. Limitujúca dávka simvastatínu u pacientov liečených amlodipínom je do 20 mg denne.</w:t>
      </w:r>
    </w:p>
    <w:p w14:paraId="3B932368" w14:textId="77777777" w:rsidR="00760188" w:rsidRPr="005C44A1" w:rsidRDefault="00760188" w:rsidP="005C44A1">
      <w:pPr>
        <w:tabs>
          <w:tab w:val="left" w:pos="0"/>
        </w:tabs>
        <w:ind w:left="0" w:firstLine="0"/>
        <w:rPr>
          <w:noProof/>
          <w:szCs w:val="22"/>
        </w:rPr>
      </w:pPr>
    </w:p>
    <w:p w14:paraId="3B932369" w14:textId="77777777" w:rsidR="00006CAA" w:rsidRPr="005C44A1" w:rsidRDefault="00760188" w:rsidP="005C44A1">
      <w:pPr>
        <w:tabs>
          <w:tab w:val="left" w:pos="0"/>
        </w:tabs>
        <w:ind w:left="0" w:firstLine="0"/>
        <w:rPr>
          <w:noProof/>
          <w:szCs w:val="22"/>
        </w:rPr>
      </w:pPr>
      <w:r w:rsidRPr="005C44A1">
        <w:rPr>
          <w:noProof/>
          <w:szCs w:val="22"/>
          <w:u w:val="single"/>
        </w:rPr>
        <w:t>Takrolimus</w:t>
      </w:r>
    </w:p>
    <w:p w14:paraId="3B93236A" w14:textId="34F3CEA8" w:rsidR="00760188" w:rsidRPr="005C44A1" w:rsidRDefault="00006CAA" w:rsidP="005C44A1">
      <w:pPr>
        <w:tabs>
          <w:tab w:val="left" w:pos="0"/>
        </w:tabs>
        <w:ind w:left="0" w:firstLine="0"/>
        <w:rPr>
          <w:noProof/>
          <w:szCs w:val="22"/>
        </w:rPr>
      </w:pPr>
      <w:r w:rsidRPr="005C44A1">
        <w:rPr>
          <w:noProof/>
          <w:szCs w:val="22"/>
        </w:rPr>
        <w:t>P</w:t>
      </w:r>
      <w:r w:rsidR="00760188" w:rsidRPr="005C44A1">
        <w:rPr>
          <w:noProof/>
          <w:szCs w:val="22"/>
        </w:rPr>
        <w:t xml:space="preserve">ri súbežnom podávaní spolu s amlodipínom hrozia zvýšené </w:t>
      </w:r>
      <w:r w:rsidR="005854E8">
        <w:rPr>
          <w:noProof/>
          <w:szCs w:val="22"/>
        </w:rPr>
        <w:t>hodnoty</w:t>
      </w:r>
      <w:r w:rsidR="00760188" w:rsidRPr="005C44A1">
        <w:rPr>
          <w:noProof/>
          <w:szCs w:val="22"/>
        </w:rPr>
        <w:t xml:space="preserve"> takrolimu v krvi. Aby nedošlo k toxicite spôsobenej takrolimom, pri podávaní amlodipínu </w:t>
      </w:r>
      <w:r w:rsidR="00320392" w:rsidRPr="005C44A1">
        <w:rPr>
          <w:noProof/>
          <w:szCs w:val="22"/>
        </w:rPr>
        <w:t xml:space="preserve">pacientovi </w:t>
      </w:r>
      <w:r w:rsidR="00760188" w:rsidRPr="005C44A1">
        <w:rPr>
          <w:noProof/>
          <w:szCs w:val="22"/>
        </w:rPr>
        <w:t>liečen</w:t>
      </w:r>
      <w:r w:rsidR="00320392" w:rsidRPr="005C44A1">
        <w:rPr>
          <w:noProof/>
          <w:szCs w:val="22"/>
        </w:rPr>
        <w:t>ému</w:t>
      </w:r>
      <w:r w:rsidR="00760188" w:rsidRPr="005C44A1">
        <w:rPr>
          <w:noProof/>
          <w:szCs w:val="22"/>
        </w:rPr>
        <w:t xml:space="preserve"> takrolimom sa vyžaduje </w:t>
      </w:r>
      <w:r w:rsidR="00320392" w:rsidRPr="005C44A1">
        <w:rPr>
          <w:noProof/>
          <w:szCs w:val="22"/>
        </w:rPr>
        <w:t>sledovanie h</w:t>
      </w:r>
      <w:r w:rsidR="008847FC">
        <w:rPr>
          <w:noProof/>
          <w:szCs w:val="22"/>
        </w:rPr>
        <w:t>ladín</w:t>
      </w:r>
      <w:r w:rsidR="00760188" w:rsidRPr="005C44A1">
        <w:rPr>
          <w:noProof/>
          <w:szCs w:val="22"/>
        </w:rPr>
        <w:t xml:space="preserve"> takrolimu v krvi a v prípade potreby úprava dávky takrolimu.</w:t>
      </w:r>
    </w:p>
    <w:p w14:paraId="3B93236B" w14:textId="77777777" w:rsidR="00760188" w:rsidRPr="005C44A1" w:rsidRDefault="00760188" w:rsidP="005C44A1">
      <w:pPr>
        <w:tabs>
          <w:tab w:val="left" w:pos="0"/>
        </w:tabs>
        <w:ind w:left="0" w:firstLine="0"/>
        <w:rPr>
          <w:noProof/>
          <w:szCs w:val="22"/>
        </w:rPr>
      </w:pPr>
    </w:p>
    <w:p w14:paraId="3B93236C" w14:textId="77777777" w:rsidR="00320392" w:rsidRPr="005C44A1" w:rsidRDefault="00760188" w:rsidP="005C44A1">
      <w:pPr>
        <w:tabs>
          <w:tab w:val="left" w:pos="0"/>
        </w:tabs>
        <w:ind w:left="0" w:firstLine="0"/>
        <w:rPr>
          <w:noProof/>
          <w:szCs w:val="22"/>
        </w:rPr>
      </w:pPr>
      <w:r w:rsidRPr="005C44A1">
        <w:rPr>
          <w:noProof/>
          <w:szCs w:val="22"/>
          <w:u w:val="single"/>
        </w:rPr>
        <w:t>Cyklosporín</w:t>
      </w:r>
    </w:p>
    <w:p w14:paraId="3B93236D" w14:textId="66963C16" w:rsidR="00E1698A" w:rsidRPr="005C44A1" w:rsidRDefault="00320392" w:rsidP="005C44A1">
      <w:pPr>
        <w:tabs>
          <w:tab w:val="left" w:pos="0"/>
        </w:tabs>
        <w:ind w:left="0" w:firstLine="0"/>
        <w:rPr>
          <w:noProof/>
          <w:szCs w:val="22"/>
        </w:rPr>
      </w:pPr>
      <w:r w:rsidRPr="005C44A1">
        <w:rPr>
          <w:noProof/>
          <w:szCs w:val="22"/>
        </w:rPr>
        <w:t>V</w:t>
      </w:r>
      <w:r w:rsidR="00760188" w:rsidRPr="005C44A1">
        <w:rPr>
          <w:noProof/>
          <w:szCs w:val="22"/>
        </w:rPr>
        <w:t xml:space="preserve"> prospektívnej štúdii s pacientmi po transplantácii obličiek bolo pri súbežnom používaní amlodipínu pozorované zvýšenie minimálnych hladín cyklosporínu v priemere o 40 %. Súbežné podávanie </w:t>
      </w:r>
      <w:r w:rsidR="00CD5125" w:rsidRPr="005C44A1">
        <w:rPr>
          <w:noProof/>
          <w:szCs w:val="22"/>
        </w:rPr>
        <w:t>Reverantzy</w:t>
      </w:r>
      <w:r w:rsidR="00760188" w:rsidRPr="005C44A1">
        <w:rPr>
          <w:noProof/>
          <w:szCs w:val="22"/>
        </w:rPr>
        <w:t xml:space="preserve"> s cyklosporínom môže zvýšiť expozíciu cyklosporínu. Počas súbežného používania sa majú </w:t>
      </w:r>
      <w:r w:rsidR="00CD5125" w:rsidRPr="005C44A1">
        <w:rPr>
          <w:noProof/>
          <w:szCs w:val="22"/>
        </w:rPr>
        <w:t>sledovať</w:t>
      </w:r>
      <w:r w:rsidR="00760188" w:rsidRPr="005C44A1">
        <w:rPr>
          <w:noProof/>
          <w:szCs w:val="22"/>
        </w:rPr>
        <w:t xml:space="preserve"> </w:t>
      </w:r>
      <w:r w:rsidR="0080747C" w:rsidRPr="005C44A1">
        <w:rPr>
          <w:noProof/>
          <w:szCs w:val="22"/>
        </w:rPr>
        <w:t>hodnoty</w:t>
      </w:r>
      <w:r w:rsidR="00760188" w:rsidRPr="005C44A1">
        <w:rPr>
          <w:noProof/>
          <w:szCs w:val="22"/>
        </w:rPr>
        <w:t xml:space="preserve"> cyklosporínu</w:t>
      </w:r>
      <w:r w:rsidR="00615A35">
        <w:rPr>
          <w:noProof/>
          <w:szCs w:val="22"/>
        </w:rPr>
        <w:t>,</w:t>
      </w:r>
      <w:r w:rsidR="00760188" w:rsidRPr="005C44A1">
        <w:rPr>
          <w:noProof/>
          <w:szCs w:val="22"/>
        </w:rPr>
        <w:t xml:space="preserve"> a ak je to nevyhnutné, </w:t>
      </w:r>
      <w:r w:rsidR="005854E8">
        <w:rPr>
          <w:noProof/>
          <w:szCs w:val="22"/>
        </w:rPr>
        <w:t xml:space="preserve">treba </w:t>
      </w:r>
      <w:r w:rsidR="00760188" w:rsidRPr="005C44A1">
        <w:rPr>
          <w:noProof/>
          <w:szCs w:val="22"/>
        </w:rPr>
        <w:t>znížiť dávky cyklosporínu.</w:t>
      </w:r>
    </w:p>
    <w:p w14:paraId="3B93236E" w14:textId="77777777" w:rsidR="00780926" w:rsidRPr="005C44A1" w:rsidRDefault="00780926" w:rsidP="005C44A1">
      <w:pPr>
        <w:rPr>
          <w:szCs w:val="22"/>
        </w:rPr>
      </w:pPr>
    </w:p>
    <w:p w14:paraId="3B93236F" w14:textId="77777777" w:rsidR="00780926" w:rsidRPr="005C44A1" w:rsidRDefault="0067565E" w:rsidP="005C44A1">
      <w:pPr>
        <w:rPr>
          <w:szCs w:val="22"/>
        </w:rPr>
      </w:pPr>
      <w:r w:rsidRPr="005C44A1">
        <w:rPr>
          <w:b/>
          <w:szCs w:val="22"/>
        </w:rPr>
        <w:t>4.6</w:t>
      </w:r>
      <w:r w:rsidRPr="005C44A1">
        <w:rPr>
          <w:b/>
          <w:szCs w:val="22"/>
        </w:rPr>
        <w:tab/>
      </w:r>
      <w:r w:rsidR="00E1698A" w:rsidRPr="005C44A1">
        <w:rPr>
          <w:b/>
          <w:noProof/>
          <w:szCs w:val="22"/>
        </w:rPr>
        <w:t>Fertilita, g</w:t>
      </w:r>
      <w:r w:rsidRPr="005C44A1">
        <w:rPr>
          <w:b/>
          <w:szCs w:val="22"/>
        </w:rPr>
        <w:t>ravidita a</w:t>
      </w:r>
      <w:r w:rsidR="00BD7004" w:rsidRPr="005C44A1">
        <w:rPr>
          <w:b/>
          <w:szCs w:val="22"/>
        </w:rPr>
        <w:t> </w:t>
      </w:r>
      <w:r w:rsidRPr="005C44A1">
        <w:rPr>
          <w:b/>
          <w:szCs w:val="22"/>
        </w:rPr>
        <w:t>laktácia</w:t>
      </w:r>
    </w:p>
    <w:p w14:paraId="3B932370" w14:textId="77777777" w:rsidR="00E1698A" w:rsidRPr="005C44A1" w:rsidRDefault="00E1698A" w:rsidP="005C44A1">
      <w:pPr>
        <w:rPr>
          <w:szCs w:val="22"/>
        </w:rPr>
      </w:pPr>
    </w:p>
    <w:p w14:paraId="3B932371" w14:textId="77777777" w:rsidR="00D0428D" w:rsidRPr="005C44A1" w:rsidRDefault="0067565E" w:rsidP="005C44A1">
      <w:pPr>
        <w:rPr>
          <w:noProof/>
          <w:szCs w:val="22"/>
          <w:u w:val="single"/>
        </w:rPr>
      </w:pPr>
      <w:r w:rsidRPr="005C44A1">
        <w:rPr>
          <w:noProof/>
          <w:szCs w:val="22"/>
          <w:u w:val="single"/>
        </w:rPr>
        <w:t>Gravidita</w:t>
      </w:r>
      <w:r w:rsidR="00CA7E10" w:rsidRPr="005C44A1">
        <w:rPr>
          <w:noProof/>
          <w:szCs w:val="22"/>
          <w:u w:val="single"/>
        </w:rPr>
        <w:t xml:space="preserve"> </w:t>
      </w:r>
      <w:r w:rsidR="00D0428D" w:rsidRPr="005C44A1">
        <w:rPr>
          <w:noProof/>
          <w:szCs w:val="22"/>
          <w:u w:val="single"/>
        </w:rPr>
        <w:t>(pozri časť 4.3)</w:t>
      </w:r>
    </w:p>
    <w:p w14:paraId="3B932372" w14:textId="62341F5F" w:rsidR="00754355" w:rsidRPr="005C44A1" w:rsidRDefault="00CA7E10" w:rsidP="005C44A1">
      <w:pPr>
        <w:ind w:left="0" w:firstLine="0"/>
        <w:rPr>
          <w:noProof/>
          <w:szCs w:val="22"/>
        </w:rPr>
      </w:pPr>
      <w:r w:rsidRPr="005C44A1">
        <w:rPr>
          <w:noProof/>
          <w:szCs w:val="22"/>
        </w:rPr>
        <w:t>Doteraz nie sú žiadne skúsenosti s používaním olmesart</w:t>
      </w:r>
      <w:r w:rsidR="00370406">
        <w:rPr>
          <w:noProof/>
          <w:szCs w:val="22"/>
        </w:rPr>
        <w:t>a</w:t>
      </w:r>
      <w:r w:rsidRPr="005C44A1">
        <w:rPr>
          <w:noProof/>
          <w:szCs w:val="22"/>
        </w:rPr>
        <w:t>nu</w:t>
      </w:r>
      <w:r w:rsidR="00754355" w:rsidRPr="005C44A1">
        <w:rPr>
          <w:noProof/>
          <w:szCs w:val="22"/>
        </w:rPr>
        <w:t>-medoxomilu</w:t>
      </w:r>
      <w:r w:rsidRPr="005C44A1">
        <w:rPr>
          <w:noProof/>
          <w:szCs w:val="22"/>
        </w:rPr>
        <w:t>/amlodipínu u gravidných pacientok. Štúdie reprodukčnej toxicity s</w:t>
      </w:r>
      <w:r w:rsidR="00754355" w:rsidRPr="005C44A1">
        <w:rPr>
          <w:noProof/>
          <w:szCs w:val="22"/>
        </w:rPr>
        <w:t> </w:t>
      </w:r>
      <w:r w:rsidRPr="005C44A1">
        <w:rPr>
          <w:noProof/>
          <w:szCs w:val="22"/>
        </w:rPr>
        <w:t>olmesart</w:t>
      </w:r>
      <w:r w:rsidR="00370406">
        <w:rPr>
          <w:noProof/>
          <w:szCs w:val="22"/>
        </w:rPr>
        <w:t>a</w:t>
      </w:r>
      <w:r w:rsidRPr="005C44A1">
        <w:rPr>
          <w:noProof/>
          <w:szCs w:val="22"/>
        </w:rPr>
        <w:t>nom</w:t>
      </w:r>
      <w:r w:rsidR="00754355" w:rsidRPr="005C44A1">
        <w:rPr>
          <w:noProof/>
          <w:szCs w:val="22"/>
        </w:rPr>
        <w:t>-medoxomilom</w:t>
      </w:r>
      <w:r w:rsidRPr="005C44A1">
        <w:rPr>
          <w:noProof/>
          <w:szCs w:val="22"/>
        </w:rPr>
        <w:t>/amlodipínom na zvieratách sa neuskutočnili.</w:t>
      </w:r>
    </w:p>
    <w:p w14:paraId="3B932373" w14:textId="77777777" w:rsidR="00754355" w:rsidRPr="005C44A1" w:rsidRDefault="00754355" w:rsidP="005C44A1">
      <w:pPr>
        <w:ind w:left="0" w:firstLine="0"/>
        <w:rPr>
          <w:noProof/>
          <w:szCs w:val="22"/>
        </w:rPr>
      </w:pPr>
    </w:p>
    <w:p w14:paraId="3B932374" w14:textId="317A528E" w:rsidR="00D33461" w:rsidRPr="005D05B6" w:rsidRDefault="00D33461" w:rsidP="005C44A1">
      <w:pPr>
        <w:rPr>
          <w:noProof/>
          <w:szCs w:val="22"/>
        </w:rPr>
      </w:pPr>
      <w:r w:rsidRPr="005C44A1">
        <w:rPr>
          <w:i/>
          <w:noProof/>
          <w:szCs w:val="22"/>
        </w:rPr>
        <w:t>Olmesart</w:t>
      </w:r>
      <w:r w:rsidR="00D46D3E">
        <w:rPr>
          <w:i/>
          <w:noProof/>
          <w:szCs w:val="22"/>
        </w:rPr>
        <w:t>a</w:t>
      </w:r>
      <w:r w:rsidRPr="005C44A1">
        <w:rPr>
          <w:i/>
          <w:noProof/>
          <w:szCs w:val="22"/>
        </w:rPr>
        <w:t>n-medoxomil (liečiv</w:t>
      </w:r>
      <w:r w:rsidR="0077164A">
        <w:rPr>
          <w:i/>
          <w:noProof/>
          <w:szCs w:val="22"/>
        </w:rPr>
        <w:t>o</w:t>
      </w:r>
      <w:r w:rsidRPr="005C44A1">
        <w:rPr>
          <w:i/>
          <w:noProof/>
          <w:szCs w:val="22"/>
        </w:rPr>
        <w:t xml:space="preserve"> Reverantzy)</w:t>
      </w:r>
    </w:p>
    <w:p w14:paraId="3B932375" w14:textId="77777777" w:rsidR="00754355" w:rsidRPr="005C44A1" w:rsidRDefault="00D33461" w:rsidP="005C44A1">
      <w:pPr>
        <w:ind w:left="0" w:firstLine="0"/>
        <w:rPr>
          <w:noProof/>
          <w:szCs w:val="22"/>
        </w:rPr>
      </w:pPr>
      <w:r w:rsidRPr="005C44A1">
        <w:rPr>
          <w:noProof/>
          <w:szCs w:val="22"/>
        </w:rPr>
        <w:t>Podávanie antagonistov angiotenzínu II v prvom trimestri gravidity sa neodporúča (pozri časť 4.4). Podávanie antagonistov angiotenzínu II v 2. a 3. trimestri gravidity je kontraindikované (pozri časti 4.3 a 4.4).</w:t>
      </w:r>
    </w:p>
    <w:p w14:paraId="3B932376" w14:textId="77777777" w:rsidR="006F2281" w:rsidRPr="005C44A1" w:rsidRDefault="006F2281" w:rsidP="005C44A1">
      <w:pPr>
        <w:ind w:left="0" w:firstLine="0"/>
        <w:rPr>
          <w:noProof/>
          <w:szCs w:val="22"/>
        </w:rPr>
      </w:pPr>
    </w:p>
    <w:p w14:paraId="3B932377" w14:textId="74CECA60" w:rsidR="006F2281" w:rsidRPr="005C44A1" w:rsidRDefault="006F2281" w:rsidP="005C44A1">
      <w:pPr>
        <w:ind w:left="0" w:firstLine="0"/>
        <w:rPr>
          <w:noProof/>
          <w:szCs w:val="22"/>
        </w:rPr>
      </w:pPr>
      <w:r w:rsidRPr="005C44A1">
        <w:rPr>
          <w:noProof/>
          <w:szCs w:val="22"/>
        </w:rPr>
        <w:t xml:space="preserve">Epidemiologický dôkaz rizika teratogenity po expozícii ACE inhibítormi počas prvého trimestra gravidity nie je presvedčivý; mierne zvýšenie rizika sa však nedá vylúčiť. </w:t>
      </w:r>
      <w:r w:rsidR="00815D96" w:rsidRPr="005C44A1">
        <w:rPr>
          <w:noProof/>
          <w:szCs w:val="22"/>
        </w:rPr>
        <w:t>Aj keď</w:t>
      </w:r>
      <w:r w:rsidRPr="005C44A1">
        <w:rPr>
          <w:noProof/>
          <w:szCs w:val="22"/>
        </w:rPr>
        <w:t xml:space="preserve"> nie sú k dispozícii kontrolované epidemiologické údaje týkajúce sa rizika súvis</w:t>
      </w:r>
      <w:r w:rsidR="00815D96" w:rsidRPr="005C44A1">
        <w:rPr>
          <w:noProof/>
          <w:szCs w:val="22"/>
        </w:rPr>
        <w:t>iaceho</w:t>
      </w:r>
      <w:r w:rsidRPr="005C44A1">
        <w:rPr>
          <w:noProof/>
          <w:szCs w:val="22"/>
        </w:rPr>
        <w:t xml:space="preserve"> s antagonistami angiotenzínu II, riziká môže predstavovať aj táto skupina liečiv. Pokiaľ sa pokračovanie v liečbe </w:t>
      </w:r>
      <w:r w:rsidR="00813494" w:rsidRPr="005C44A1">
        <w:rPr>
          <w:noProof/>
          <w:szCs w:val="22"/>
        </w:rPr>
        <w:t>antagonistami angiotenzínu</w:t>
      </w:r>
      <w:r w:rsidR="00677420" w:rsidRPr="005C44A1">
        <w:rPr>
          <w:noProof/>
          <w:szCs w:val="22"/>
        </w:rPr>
        <w:t xml:space="preserve"> II</w:t>
      </w:r>
      <w:r w:rsidR="00813494" w:rsidRPr="005C44A1">
        <w:rPr>
          <w:noProof/>
          <w:szCs w:val="22"/>
        </w:rPr>
        <w:t xml:space="preserve"> </w:t>
      </w:r>
      <w:r w:rsidRPr="005C44A1">
        <w:rPr>
          <w:noProof/>
          <w:szCs w:val="22"/>
        </w:rPr>
        <w:t>nepovažuje za nevyhnutné, pacientk</w:t>
      </w:r>
      <w:r w:rsidR="00F85FED" w:rsidRPr="005C44A1">
        <w:rPr>
          <w:noProof/>
          <w:szCs w:val="22"/>
        </w:rPr>
        <w:t>y plánujúce graviditu majú prejsť</w:t>
      </w:r>
      <w:r w:rsidRPr="005C44A1">
        <w:rPr>
          <w:noProof/>
          <w:szCs w:val="22"/>
        </w:rPr>
        <w:t xml:space="preserve"> na alternatívnu antihypertenznú liečbu, ktorá má </w:t>
      </w:r>
      <w:r w:rsidR="00677420" w:rsidRPr="005C44A1">
        <w:rPr>
          <w:noProof/>
          <w:szCs w:val="22"/>
        </w:rPr>
        <w:t>pre</w:t>
      </w:r>
      <w:r w:rsidR="00143595">
        <w:rPr>
          <w:noProof/>
          <w:szCs w:val="22"/>
        </w:rPr>
        <w:t>u</w:t>
      </w:r>
      <w:r w:rsidRPr="005C44A1">
        <w:rPr>
          <w:noProof/>
          <w:szCs w:val="22"/>
        </w:rPr>
        <w:t xml:space="preserve">kázaný bezpečnostný profil </w:t>
      </w:r>
      <w:r w:rsidR="007D17FC">
        <w:rPr>
          <w:noProof/>
          <w:szCs w:val="22"/>
        </w:rPr>
        <w:t>na</w:t>
      </w:r>
      <w:r w:rsidR="00677420" w:rsidRPr="005C44A1">
        <w:rPr>
          <w:noProof/>
          <w:szCs w:val="22"/>
        </w:rPr>
        <w:t xml:space="preserve"> použitie </w:t>
      </w:r>
      <w:r w:rsidRPr="005C44A1">
        <w:rPr>
          <w:noProof/>
          <w:szCs w:val="22"/>
        </w:rPr>
        <w:t>v gravidite. P</w:t>
      </w:r>
      <w:r w:rsidR="00677420" w:rsidRPr="005C44A1">
        <w:rPr>
          <w:noProof/>
          <w:szCs w:val="22"/>
        </w:rPr>
        <w:t xml:space="preserve">o </w:t>
      </w:r>
      <w:r w:rsidRPr="005C44A1">
        <w:rPr>
          <w:noProof/>
          <w:szCs w:val="22"/>
        </w:rPr>
        <w:t>potvrden</w:t>
      </w:r>
      <w:r w:rsidR="00677420" w:rsidRPr="005C44A1">
        <w:rPr>
          <w:noProof/>
          <w:szCs w:val="22"/>
        </w:rPr>
        <w:t>í</w:t>
      </w:r>
      <w:r w:rsidRPr="005C44A1">
        <w:rPr>
          <w:noProof/>
          <w:szCs w:val="22"/>
        </w:rPr>
        <w:t xml:space="preserve"> gravidit</w:t>
      </w:r>
      <w:r w:rsidR="00677420" w:rsidRPr="005C44A1">
        <w:rPr>
          <w:noProof/>
          <w:szCs w:val="22"/>
        </w:rPr>
        <w:t>y</w:t>
      </w:r>
      <w:r w:rsidRPr="005C44A1">
        <w:rPr>
          <w:noProof/>
          <w:szCs w:val="22"/>
        </w:rPr>
        <w:t xml:space="preserve"> sa má liečba antagonistami angiotenzínu II okamžite ukončiť</w:t>
      </w:r>
      <w:r w:rsidR="006A294E">
        <w:rPr>
          <w:noProof/>
          <w:szCs w:val="22"/>
        </w:rPr>
        <w:t>,</w:t>
      </w:r>
      <w:r w:rsidRPr="005C44A1">
        <w:rPr>
          <w:noProof/>
          <w:szCs w:val="22"/>
        </w:rPr>
        <w:t xml:space="preserve"> a ak je to potrebné, má sa začať s alternatívnou liečbou.</w:t>
      </w:r>
    </w:p>
    <w:p w14:paraId="3B932378" w14:textId="77777777" w:rsidR="006456EE" w:rsidRPr="005C44A1" w:rsidRDefault="006456EE" w:rsidP="005C44A1">
      <w:pPr>
        <w:ind w:left="0" w:firstLine="0"/>
        <w:rPr>
          <w:noProof/>
          <w:szCs w:val="22"/>
        </w:rPr>
      </w:pPr>
    </w:p>
    <w:p w14:paraId="3B932379" w14:textId="3C36A8C1" w:rsidR="006F2281" w:rsidRPr="005C44A1" w:rsidRDefault="006F2281" w:rsidP="005C44A1">
      <w:pPr>
        <w:ind w:left="0" w:firstLine="0"/>
        <w:rPr>
          <w:noProof/>
          <w:szCs w:val="22"/>
        </w:rPr>
      </w:pPr>
      <w:r w:rsidRPr="005C44A1">
        <w:rPr>
          <w:noProof/>
          <w:szCs w:val="22"/>
        </w:rPr>
        <w:t xml:space="preserve">Je známe, že </w:t>
      </w:r>
      <w:r w:rsidR="006456EE" w:rsidRPr="005C44A1">
        <w:rPr>
          <w:noProof/>
          <w:szCs w:val="22"/>
        </w:rPr>
        <w:t>expozícia pri liečbe</w:t>
      </w:r>
      <w:r w:rsidRPr="005C44A1">
        <w:rPr>
          <w:noProof/>
          <w:szCs w:val="22"/>
        </w:rPr>
        <w:t xml:space="preserve"> antagonist</w:t>
      </w:r>
      <w:r w:rsidR="006456EE" w:rsidRPr="005C44A1">
        <w:rPr>
          <w:noProof/>
          <w:szCs w:val="22"/>
        </w:rPr>
        <w:t>a</w:t>
      </w:r>
      <w:r w:rsidRPr="005C44A1">
        <w:rPr>
          <w:noProof/>
          <w:szCs w:val="22"/>
        </w:rPr>
        <w:t>m</w:t>
      </w:r>
      <w:r w:rsidR="006456EE" w:rsidRPr="005C44A1">
        <w:rPr>
          <w:noProof/>
          <w:szCs w:val="22"/>
        </w:rPr>
        <w:t>i</w:t>
      </w:r>
      <w:r w:rsidRPr="005C44A1">
        <w:rPr>
          <w:noProof/>
          <w:szCs w:val="22"/>
        </w:rPr>
        <w:t xml:space="preserve"> angiotenzínu</w:t>
      </w:r>
      <w:r w:rsidR="006456EE" w:rsidRPr="005C44A1">
        <w:rPr>
          <w:noProof/>
          <w:szCs w:val="22"/>
        </w:rPr>
        <w:t xml:space="preserve"> </w:t>
      </w:r>
      <w:r w:rsidRPr="005C44A1">
        <w:rPr>
          <w:noProof/>
          <w:szCs w:val="22"/>
        </w:rPr>
        <w:t xml:space="preserve">II </w:t>
      </w:r>
      <w:r w:rsidR="006456EE" w:rsidRPr="005C44A1">
        <w:rPr>
          <w:noProof/>
          <w:szCs w:val="22"/>
        </w:rPr>
        <w:t>počas</w:t>
      </w:r>
      <w:r w:rsidRPr="005C44A1">
        <w:rPr>
          <w:noProof/>
          <w:szCs w:val="22"/>
        </w:rPr>
        <w:t xml:space="preserve"> 2. a 3. trimestra indukuje u ľudí fetotoxicitu (znížená funkcia obličiek, oligohydramnión, oneskorenie osifikácie lebky) a</w:t>
      </w:r>
      <w:r w:rsidR="0015608F" w:rsidRPr="005C44A1">
        <w:rPr>
          <w:noProof/>
          <w:szCs w:val="22"/>
        </w:rPr>
        <w:t xml:space="preserve"> neonatálna </w:t>
      </w:r>
      <w:r w:rsidRPr="005C44A1">
        <w:rPr>
          <w:noProof/>
          <w:szCs w:val="22"/>
        </w:rPr>
        <w:t>toxicit</w:t>
      </w:r>
      <w:r w:rsidR="0015608F" w:rsidRPr="005C44A1">
        <w:rPr>
          <w:noProof/>
          <w:szCs w:val="22"/>
        </w:rPr>
        <w:t>a</w:t>
      </w:r>
      <w:r w:rsidRPr="005C44A1">
        <w:rPr>
          <w:noProof/>
          <w:szCs w:val="22"/>
        </w:rPr>
        <w:t xml:space="preserve"> (zlyhanie obličiek, hypotenzia, hyperkaliémia). (Pozri časť 5.3</w:t>
      </w:r>
      <w:r w:rsidR="006A294E">
        <w:rPr>
          <w:noProof/>
          <w:szCs w:val="22"/>
        </w:rPr>
        <w:t>.</w:t>
      </w:r>
      <w:r w:rsidRPr="005C44A1">
        <w:rPr>
          <w:noProof/>
          <w:szCs w:val="22"/>
        </w:rPr>
        <w:t>)</w:t>
      </w:r>
    </w:p>
    <w:p w14:paraId="3B93237A" w14:textId="77777777" w:rsidR="006F2281" w:rsidRPr="005C44A1" w:rsidRDefault="006F2281" w:rsidP="005C44A1">
      <w:pPr>
        <w:ind w:left="0" w:firstLine="0"/>
        <w:rPr>
          <w:noProof/>
          <w:szCs w:val="22"/>
        </w:rPr>
      </w:pPr>
    </w:p>
    <w:p w14:paraId="3B93237B" w14:textId="77777777" w:rsidR="006F2281" w:rsidRPr="005C44A1" w:rsidRDefault="006F2281" w:rsidP="005C44A1">
      <w:pPr>
        <w:ind w:left="0" w:firstLine="0"/>
        <w:rPr>
          <w:noProof/>
          <w:szCs w:val="22"/>
        </w:rPr>
      </w:pPr>
      <w:r w:rsidRPr="005C44A1">
        <w:rPr>
          <w:noProof/>
          <w:szCs w:val="22"/>
        </w:rPr>
        <w:t>Ak d</w:t>
      </w:r>
      <w:r w:rsidR="0015608F" w:rsidRPr="005C44A1">
        <w:rPr>
          <w:noProof/>
          <w:szCs w:val="22"/>
        </w:rPr>
        <w:t>ošlo</w:t>
      </w:r>
      <w:r w:rsidRPr="005C44A1">
        <w:rPr>
          <w:noProof/>
          <w:szCs w:val="22"/>
        </w:rPr>
        <w:t xml:space="preserve"> k expozícii antagonistom angiotenzínu II od 2. trimestra gravidity a neskôr, odporúča sa ultrazvukové vyšetreni</w:t>
      </w:r>
      <w:r w:rsidR="001C481B">
        <w:rPr>
          <w:noProof/>
          <w:szCs w:val="22"/>
        </w:rPr>
        <w:t>e renálnej</w:t>
      </w:r>
      <w:r w:rsidRPr="005C44A1">
        <w:rPr>
          <w:noProof/>
          <w:szCs w:val="22"/>
        </w:rPr>
        <w:t xml:space="preserve"> funkcie a lebky. </w:t>
      </w:r>
      <w:r w:rsidR="00202BDC" w:rsidRPr="005C44A1">
        <w:rPr>
          <w:noProof/>
          <w:szCs w:val="22"/>
        </w:rPr>
        <w:t>Dojčatá</w:t>
      </w:r>
      <w:r w:rsidRPr="005C44A1">
        <w:rPr>
          <w:noProof/>
          <w:szCs w:val="22"/>
        </w:rPr>
        <w:t>, ktorých matky boli liečené antagonist</w:t>
      </w:r>
      <w:r w:rsidR="00F47FCA" w:rsidRPr="005C44A1">
        <w:rPr>
          <w:noProof/>
          <w:szCs w:val="22"/>
        </w:rPr>
        <w:t>ami</w:t>
      </w:r>
      <w:r w:rsidRPr="005C44A1">
        <w:rPr>
          <w:noProof/>
          <w:szCs w:val="22"/>
        </w:rPr>
        <w:t xml:space="preserve"> angiotenzínu II, musia byť starostlivo sledovan</w:t>
      </w:r>
      <w:r w:rsidR="00F47FCA" w:rsidRPr="005C44A1">
        <w:rPr>
          <w:noProof/>
          <w:szCs w:val="22"/>
        </w:rPr>
        <w:t>é</w:t>
      </w:r>
      <w:r w:rsidRPr="005C44A1">
        <w:rPr>
          <w:noProof/>
          <w:szCs w:val="22"/>
        </w:rPr>
        <w:t xml:space="preserve"> pre možnosť hypotenzie (pozri časti 4.3 a 4.4).</w:t>
      </w:r>
    </w:p>
    <w:p w14:paraId="3B93237C" w14:textId="77777777" w:rsidR="006F2281" w:rsidRPr="005C44A1" w:rsidRDefault="006F2281" w:rsidP="005C44A1">
      <w:pPr>
        <w:ind w:left="0" w:firstLine="0"/>
        <w:rPr>
          <w:noProof/>
          <w:szCs w:val="22"/>
        </w:rPr>
      </w:pPr>
    </w:p>
    <w:p w14:paraId="3B93237D" w14:textId="77777777" w:rsidR="006F2281" w:rsidRPr="005C44A1" w:rsidRDefault="006F2281" w:rsidP="005C44A1">
      <w:pPr>
        <w:ind w:left="0" w:firstLine="0"/>
        <w:rPr>
          <w:i/>
          <w:noProof/>
          <w:szCs w:val="22"/>
        </w:rPr>
      </w:pPr>
      <w:r w:rsidRPr="005C44A1">
        <w:rPr>
          <w:i/>
          <w:noProof/>
          <w:szCs w:val="22"/>
        </w:rPr>
        <w:t xml:space="preserve">Amlodipín (liečivo </w:t>
      </w:r>
      <w:r w:rsidR="00F47FCA" w:rsidRPr="005C44A1">
        <w:rPr>
          <w:i/>
          <w:noProof/>
          <w:szCs w:val="22"/>
        </w:rPr>
        <w:t>Reverantzy</w:t>
      </w:r>
      <w:r w:rsidRPr="005C44A1">
        <w:rPr>
          <w:i/>
          <w:noProof/>
          <w:szCs w:val="22"/>
        </w:rPr>
        <w:t>)</w:t>
      </w:r>
    </w:p>
    <w:p w14:paraId="3B93237E" w14:textId="3CBDEC53" w:rsidR="006F2281" w:rsidRPr="005C44A1" w:rsidRDefault="006F2281" w:rsidP="005C44A1">
      <w:pPr>
        <w:ind w:left="0" w:firstLine="0"/>
        <w:rPr>
          <w:noProof/>
          <w:szCs w:val="22"/>
        </w:rPr>
      </w:pPr>
      <w:r w:rsidRPr="005C44A1">
        <w:rPr>
          <w:noProof/>
          <w:szCs w:val="22"/>
        </w:rPr>
        <w:t xml:space="preserve">Údaje </w:t>
      </w:r>
      <w:r w:rsidR="00027AB4" w:rsidRPr="005C44A1">
        <w:rPr>
          <w:noProof/>
          <w:szCs w:val="22"/>
        </w:rPr>
        <w:t>o obmedzenom počte</w:t>
      </w:r>
      <w:r w:rsidRPr="005C44A1">
        <w:rPr>
          <w:noProof/>
          <w:szCs w:val="22"/>
        </w:rPr>
        <w:t xml:space="preserve"> gravidít s expozíciou amlodipínu nenaznačujú, že </w:t>
      </w:r>
      <w:r w:rsidR="000226DC" w:rsidRPr="005C44A1">
        <w:rPr>
          <w:noProof/>
          <w:szCs w:val="22"/>
        </w:rPr>
        <w:t xml:space="preserve">by </w:t>
      </w:r>
      <w:r w:rsidRPr="005C44A1">
        <w:rPr>
          <w:noProof/>
          <w:szCs w:val="22"/>
        </w:rPr>
        <w:t>amlodipín alebo iné antagonisty kalciového receptor</w:t>
      </w:r>
      <w:r w:rsidR="001C481B">
        <w:rPr>
          <w:noProof/>
          <w:szCs w:val="22"/>
        </w:rPr>
        <w:t>a</w:t>
      </w:r>
      <w:r w:rsidRPr="005C44A1">
        <w:rPr>
          <w:noProof/>
          <w:szCs w:val="22"/>
        </w:rPr>
        <w:t xml:space="preserve"> ma</w:t>
      </w:r>
      <w:r w:rsidR="000226DC" w:rsidRPr="005C44A1">
        <w:rPr>
          <w:noProof/>
          <w:szCs w:val="22"/>
        </w:rPr>
        <w:t>li</w:t>
      </w:r>
      <w:r w:rsidRPr="005C44A1">
        <w:rPr>
          <w:noProof/>
          <w:szCs w:val="22"/>
        </w:rPr>
        <w:t xml:space="preserve"> škodlivý účinok na zdravie plodu. Môže však existovať riziko pr</w:t>
      </w:r>
      <w:r w:rsidR="0013575C">
        <w:rPr>
          <w:noProof/>
          <w:szCs w:val="22"/>
        </w:rPr>
        <w:t>edĺže</w:t>
      </w:r>
      <w:r w:rsidRPr="005C44A1">
        <w:rPr>
          <w:noProof/>
          <w:szCs w:val="22"/>
        </w:rPr>
        <w:t>ného pôrodu</w:t>
      </w:r>
      <w:r w:rsidR="000226DC" w:rsidRPr="005C44A1">
        <w:rPr>
          <w:noProof/>
          <w:szCs w:val="22"/>
        </w:rPr>
        <w:t>.</w:t>
      </w:r>
    </w:p>
    <w:p w14:paraId="3B93237F" w14:textId="5D2004B7" w:rsidR="006F2281" w:rsidRPr="005C44A1" w:rsidRDefault="000D60A0" w:rsidP="005C44A1">
      <w:pPr>
        <w:ind w:left="0" w:firstLine="0"/>
        <w:rPr>
          <w:noProof/>
          <w:szCs w:val="22"/>
        </w:rPr>
      </w:pPr>
      <w:r w:rsidRPr="005C44A1">
        <w:rPr>
          <w:noProof/>
          <w:szCs w:val="22"/>
        </w:rPr>
        <w:t xml:space="preserve">Preto sa užívanie Reverantzy </w:t>
      </w:r>
      <w:r w:rsidR="000226DC" w:rsidRPr="005C44A1">
        <w:rPr>
          <w:noProof/>
          <w:szCs w:val="22"/>
        </w:rPr>
        <w:t xml:space="preserve">neodporúča </w:t>
      </w:r>
      <w:r w:rsidRPr="005C44A1">
        <w:rPr>
          <w:noProof/>
          <w:szCs w:val="22"/>
        </w:rPr>
        <w:t>v priebehu</w:t>
      </w:r>
      <w:r w:rsidR="000226DC" w:rsidRPr="005C44A1">
        <w:rPr>
          <w:noProof/>
          <w:szCs w:val="22"/>
        </w:rPr>
        <w:t xml:space="preserve"> prvého trimestra gravidity a počas druhého a tretieho trimestra gravidity </w:t>
      </w:r>
      <w:r w:rsidRPr="005C44A1">
        <w:rPr>
          <w:noProof/>
          <w:szCs w:val="22"/>
        </w:rPr>
        <w:t>je kontraindikovan</w:t>
      </w:r>
      <w:r w:rsidR="0013575C">
        <w:rPr>
          <w:noProof/>
          <w:szCs w:val="22"/>
        </w:rPr>
        <w:t>é</w:t>
      </w:r>
      <w:r w:rsidRPr="005C44A1">
        <w:rPr>
          <w:noProof/>
          <w:szCs w:val="22"/>
        </w:rPr>
        <w:t xml:space="preserve"> </w:t>
      </w:r>
      <w:r w:rsidR="000226DC" w:rsidRPr="005C44A1">
        <w:rPr>
          <w:noProof/>
          <w:szCs w:val="22"/>
        </w:rPr>
        <w:t>(pozri časti 4.3 a 4.4).</w:t>
      </w:r>
    </w:p>
    <w:p w14:paraId="3B932380" w14:textId="77777777" w:rsidR="006F2281" w:rsidRPr="005C44A1" w:rsidRDefault="006F2281" w:rsidP="005C44A1">
      <w:pPr>
        <w:ind w:left="0" w:firstLine="0"/>
        <w:rPr>
          <w:noProof/>
          <w:szCs w:val="22"/>
        </w:rPr>
      </w:pPr>
    </w:p>
    <w:p w14:paraId="3B932381" w14:textId="77777777" w:rsidR="00E1698A" w:rsidRPr="005C44A1" w:rsidRDefault="00BB6D67" w:rsidP="005C44A1">
      <w:pPr>
        <w:rPr>
          <w:noProof/>
          <w:szCs w:val="22"/>
          <w:u w:val="single"/>
        </w:rPr>
      </w:pPr>
      <w:r w:rsidRPr="005C44A1">
        <w:rPr>
          <w:noProof/>
          <w:szCs w:val="22"/>
          <w:u w:val="single"/>
        </w:rPr>
        <w:t>Dojčenie</w:t>
      </w:r>
    </w:p>
    <w:p w14:paraId="3B932382" w14:textId="3061D525" w:rsidR="004B7220" w:rsidRPr="005C44A1" w:rsidRDefault="004B7220" w:rsidP="005C44A1">
      <w:pPr>
        <w:autoSpaceDE w:val="0"/>
        <w:autoSpaceDN w:val="0"/>
        <w:adjustRightInd w:val="0"/>
        <w:ind w:left="0" w:firstLine="0"/>
        <w:outlineLvl w:val="0"/>
        <w:rPr>
          <w:color w:val="000000"/>
          <w:szCs w:val="22"/>
        </w:rPr>
      </w:pPr>
      <w:bookmarkStart w:id="34" w:name="_Toc205605620"/>
      <w:r w:rsidRPr="005C44A1">
        <w:rPr>
          <w:color w:val="000000"/>
          <w:szCs w:val="22"/>
        </w:rPr>
        <w:t>Olmesart</w:t>
      </w:r>
      <w:r w:rsidR="00520495">
        <w:rPr>
          <w:color w:val="000000"/>
          <w:szCs w:val="22"/>
        </w:rPr>
        <w:t>a</w:t>
      </w:r>
      <w:r w:rsidRPr="005C44A1">
        <w:rPr>
          <w:color w:val="000000"/>
          <w:szCs w:val="22"/>
        </w:rPr>
        <w:t>n sa vylučuje do mlieka</w:t>
      </w:r>
      <w:r w:rsidRPr="005C44A1">
        <w:rPr>
          <w:szCs w:val="22"/>
        </w:rPr>
        <w:t xml:space="preserve"> </w:t>
      </w:r>
      <w:r w:rsidRPr="005C44A1">
        <w:rPr>
          <w:color w:val="000000"/>
          <w:szCs w:val="22"/>
        </w:rPr>
        <w:t>laktujúcich</w:t>
      </w:r>
      <w:r w:rsidR="00860503" w:rsidRPr="005C44A1">
        <w:rPr>
          <w:color w:val="000000"/>
          <w:szCs w:val="22"/>
        </w:rPr>
        <w:t xml:space="preserve"> samíc</w:t>
      </w:r>
      <w:r w:rsidRPr="005C44A1">
        <w:rPr>
          <w:color w:val="000000"/>
          <w:szCs w:val="22"/>
        </w:rPr>
        <w:t xml:space="preserve"> potkanov. Napriek tomu nie je známe, či sa vylučuje do </w:t>
      </w:r>
      <w:r w:rsidR="00860503" w:rsidRPr="005C44A1">
        <w:rPr>
          <w:color w:val="000000"/>
          <w:szCs w:val="22"/>
        </w:rPr>
        <w:t xml:space="preserve">ľudského </w:t>
      </w:r>
      <w:r w:rsidRPr="005C44A1">
        <w:rPr>
          <w:color w:val="000000"/>
          <w:szCs w:val="22"/>
        </w:rPr>
        <w:t>materského mlieka.</w:t>
      </w:r>
    </w:p>
    <w:p w14:paraId="3B932383" w14:textId="77777777" w:rsidR="004B7220" w:rsidRPr="005C44A1" w:rsidRDefault="004B7220" w:rsidP="005C44A1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5C44A1">
        <w:rPr>
          <w:bCs/>
          <w:szCs w:val="22"/>
        </w:rPr>
        <w:t xml:space="preserve">Amlodipín sa vylučuje do ľudského materského mlieka. Podiel dávky podanej matke, ktorý dostane dieťa, sa odhadol s interkvartilovým rozsahom 3 až 7 %, s maximom 15 %. Účinok amlodipínu na </w:t>
      </w:r>
      <w:r w:rsidR="00E363F3" w:rsidRPr="005C44A1">
        <w:rPr>
          <w:bCs/>
          <w:szCs w:val="22"/>
        </w:rPr>
        <w:t>dojčatá</w:t>
      </w:r>
      <w:r w:rsidRPr="005C44A1">
        <w:rPr>
          <w:bCs/>
          <w:szCs w:val="22"/>
        </w:rPr>
        <w:t xml:space="preserve"> nie je známy.</w:t>
      </w:r>
    </w:p>
    <w:bookmarkEnd w:id="34"/>
    <w:p w14:paraId="3B932384" w14:textId="17F4D2E6" w:rsidR="00E363F3" w:rsidRPr="005C44A1" w:rsidRDefault="00E363F3" w:rsidP="005C44A1">
      <w:pPr>
        <w:autoSpaceDE w:val="0"/>
        <w:autoSpaceDN w:val="0"/>
        <w:adjustRightInd w:val="0"/>
        <w:ind w:left="0" w:firstLine="0"/>
        <w:outlineLvl w:val="0"/>
        <w:rPr>
          <w:color w:val="000000"/>
          <w:szCs w:val="22"/>
        </w:rPr>
      </w:pPr>
      <w:r w:rsidRPr="005C44A1">
        <w:rPr>
          <w:color w:val="000000"/>
          <w:szCs w:val="22"/>
        </w:rPr>
        <w:t>Pri rozhodovaní o tom, či pokračovať</w:t>
      </w:r>
      <w:r w:rsidR="007221BD" w:rsidRPr="005C44A1">
        <w:rPr>
          <w:color w:val="000000"/>
          <w:szCs w:val="22"/>
        </w:rPr>
        <w:t xml:space="preserve"> v do</w:t>
      </w:r>
      <w:r w:rsidR="009C2296">
        <w:rPr>
          <w:color w:val="000000"/>
          <w:szCs w:val="22"/>
        </w:rPr>
        <w:t>j</w:t>
      </w:r>
      <w:r w:rsidR="007221BD" w:rsidRPr="005C44A1">
        <w:rPr>
          <w:color w:val="000000"/>
          <w:szCs w:val="22"/>
        </w:rPr>
        <w:t>čení</w:t>
      </w:r>
      <w:r w:rsidRPr="005C44A1">
        <w:rPr>
          <w:color w:val="000000"/>
          <w:szCs w:val="22"/>
        </w:rPr>
        <w:t>/prerušiť dojčenie alebo pokračovať</w:t>
      </w:r>
      <w:r w:rsidR="007221BD" w:rsidRPr="005C44A1">
        <w:rPr>
          <w:color w:val="000000"/>
          <w:szCs w:val="22"/>
        </w:rPr>
        <w:t xml:space="preserve"> v liečbe</w:t>
      </w:r>
      <w:r w:rsidRPr="005C44A1">
        <w:rPr>
          <w:color w:val="000000"/>
          <w:szCs w:val="22"/>
        </w:rPr>
        <w:t>/prerušiť liečbu amlodipínom</w:t>
      </w:r>
      <w:r w:rsidR="00655B1C">
        <w:rPr>
          <w:color w:val="000000"/>
          <w:szCs w:val="22"/>
        </w:rPr>
        <w:t>,</w:t>
      </w:r>
      <w:r w:rsidRPr="005C44A1">
        <w:rPr>
          <w:color w:val="000000"/>
          <w:szCs w:val="22"/>
        </w:rPr>
        <w:t xml:space="preserve"> je potrebné vziať do úvahy prínos dojčenia pre dieťa a prínos liečby amlodipínom pre matku.</w:t>
      </w:r>
    </w:p>
    <w:p w14:paraId="3B932385" w14:textId="77777777" w:rsidR="004B7220" w:rsidRPr="005C44A1" w:rsidRDefault="007221BD" w:rsidP="005C44A1">
      <w:pPr>
        <w:autoSpaceDE w:val="0"/>
        <w:autoSpaceDN w:val="0"/>
        <w:adjustRightInd w:val="0"/>
        <w:ind w:left="0" w:firstLine="0"/>
        <w:outlineLvl w:val="0"/>
        <w:rPr>
          <w:strike/>
          <w:color w:val="000000"/>
          <w:szCs w:val="22"/>
        </w:rPr>
      </w:pPr>
      <w:r w:rsidRPr="005C44A1">
        <w:rPr>
          <w:color w:val="000000"/>
          <w:szCs w:val="22"/>
        </w:rPr>
        <w:t>Reverantza</w:t>
      </w:r>
      <w:r w:rsidR="00E363F3" w:rsidRPr="005C44A1">
        <w:rPr>
          <w:color w:val="000000"/>
          <w:szCs w:val="22"/>
        </w:rPr>
        <w:t xml:space="preserve"> sa neodporúča a vhodnejšia je alternatívna liečba s lepšie stanoveným bezpečnostným profilom </w:t>
      </w:r>
      <w:r w:rsidR="00B237D7">
        <w:rPr>
          <w:color w:val="000000"/>
          <w:szCs w:val="22"/>
        </w:rPr>
        <w:t>v období</w:t>
      </w:r>
      <w:r w:rsidR="00E363F3" w:rsidRPr="005C44A1">
        <w:rPr>
          <w:color w:val="000000"/>
          <w:szCs w:val="22"/>
        </w:rPr>
        <w:t xml:space="preserve"> dojčenia, najmä počas dojčenia novorodenca alebo predčasne narodeného dieťaťa.</w:t>
      </w:r>
    </w:p>
    <w:p w14:paraId="3B932386" w14:textId="77777777" w:rsidR="004B7220" w:rsidRPr="005C44A1" w:rsidRDefault="004B7220" w:rsidP="005C44A1">
      <w:pPr>
        <w:rPr>
          <w:noProof/>
          <w:szCs w:val="22"/>
        </w:rPr>
      </w:pPr>
    </w:p>
    <w:p w14:paraId="3B932387" w14:textId="77777777" w:rsidR="00E1698A" w:rsidRPr="005C44A1" w:rsidRDefault="0067565E" w:rsidP="005C44A1">
      <w:pPr>
        <w:rPr>
          <w:noProof/>
          <w:szCs w:val="22"/>
        </w:rPr>
      </w:pPr>
      <w:r w:rsidRPr="005C44A1">
        <w:rPr>
          <w:noProof/>
          <w:szCs w:val="22"/>
          <w:u w:val="single"/>
        </w:rPr>
        <w:t>Fertilita</w:t>
      </w:r>
    </w:p>
    <w:p w14:paraId="3B932388" w14:textId="21673B6D" w:rsidR="006D74DB" w:rsidRPr="005C44A1" w:rsidRDefault="006D74DB" w:rsidP="005C44A1">
      <w:pPr>
        <w:ind w:left="0" w:firstLine="0"/>
        <w:rPr>
          <w:szCs w:val="22"/>
        </w:rPr>
      </w:pPr>
      <w:r w:rsidRPr="005C44A1">
        <w:rPr>
          <w:szCs w:val="22"/>
        </w:rPr>
        <w:t>U niektorých pacientov liečených blokátormi kalciov</w:t>
      </w:r>
      <w:r w:rsidR="0013575C">
        <w:rPr>
          <w:szCs w:val="22"/>
        </w:rPr>
        <w:t>ého</w:t>
      </w:r>
      <w:r w:rsidRPr="005C44A1">
        <w:rPr>
          <w:szCs w:val="22"/>
        </w:rPr>
        <w:t xml:space="preserve"> kanál</w:t>
      </w:r>
      <w:r w:rsidR="0013575C">
        <w:rPr>
          <w:szCs w:val="22"/>
        </w:rPr>
        <w:t>a</w:t>
      </w:r>
      <w:r w:rsidRPr="005C44A1">
        <w:rPr>
          <w:szCs w:val="22"/>
        </w:rPr>
        <w:t xml:space="preserve"> boli </w:t>
      </w:r>
      <w:r w:rsidR="00581068" w:rsidRPr="005C44A1">
        <w:rPr>
          <w:szCs w:val="22"/>
        </w:rPr>
        <w:t xml:space="preserve">hlásené </w:t>
      </w:r>
      <w:r w:rsidRPr="005C44A1">
        <w:rPr>
          <w:szCs w:val="22"/>
        </w:rPr>
        <w:t>reverzibilné biochemické zmeny v hlavičkách sperm</w:t>
      </w:r>
      <w:r w:rsidR="00581068" w:rsidRPr="005C44A1">
        <w:rPr>
          <w:szCs w:val="22"/>
        </w:rPr>
        <w:t>i</w:t>
      </w:r>
      <w:r w:rsidRPr="005C44A1">
        <w:rPr>
          <w:szCs w:val="22"/>
        </w:rPr>
        <w:t xml:space="preserve">í. </w:t>
      </w:r>
      <w:r w:rsidR="00305562" w:rsidRPr="005C44A1">
        <w:rPr>
          <w:szCs w:val="22"/>
        </w:rPr>
        <w:t>K</w:t>
      </w:r>
      <w:r w:rsidRPr="005C44A1">
        <w:rPr>
          <w:szCs w:val="22"/>
        </w:rPr>
        <w:t>linické údaje o potenciálnom účinku amlodipínu na fertilitu</w:t>
      </w:r>
      <w:r w:rsidR="00305562" w:rsidRPr="005C44A1">
        <w:rPr>
          <w:szCs w:val="22"/>
        </w:rPr>
        <w:t xml:space="preserve"> nie sú dostatočné</w:t>
      </w:r>
      <w:r w:rsidRPr="005C44A1">
        <w:rPr>
          <w:szCs w:val="22"/>
        </w:rPr>
        <w:t>. V</w:t>
      </w:r>
      <w:r w:rsidR="00305562" w:rsidRPr="005C44A1">
        <w:rPr>
          <w:szCs w:val="22"/>
        </w:rPr>
        <w:t xml:space="preserve"> jednej </w:t>
      </w:r>
      <w:r w:rsidRPr="005C44A1">
        <w:rPr>
          <w:szCs w:val="22"/>
        </w:rPr>
        <w:t>štúdii na potkanoch boli zaznamenané nežiaduce účinky na fertilitu samcov (pozri časť 5.3).</w:t>
      </w:r>
    </w:p>
    <w:p w14:paraId="3B932389" w14:textId="77777777" w:rsidR="006D74DB" w:rsidRPr="005C44A1" w:rsidRDefault="006D74DB" w:rsidP="005C44A1">
      <w:pPr>
        <w:rPr>
          <w:b/>
          <w:szCs w:val="22"/>
        </w:rPr>
      </w:pPr>
    </w:p>
    <w:p w14:paraId="3B93238A" w14:textId="77777777" w:rsidR="00780926" w:rsidRPr="005C44A1" w:rsidRDefault="0067565E" w:rsidP="005C44A1">
      <w:pPr>
        <w:rPr>
          <w:szCs w:val="22"/>
        </w:rPr>
      </w:pPr>
      <w:r w:rsidRPr="005C44A1">
        <w:rPr>
          <w:b/>
          <w:szCs w:val="22"/>
        </w:rPr>
        <w:t>4.7</w:t>
      </w:r>
      <w:r w:rsidRPr="005C44A1">
        <w:rPr>
          <w:b/>
          <w:szCs w:val="22"/>
        </w:rPr>
        <w:tab/>
        <w:t>Ovplyvnenie schopnosti viesť vozidlá a</w:t>
      </w:r>
      <w:r w:rsidR="00F9666C" w:rsidRPr="005C44A1">
        <w:rPr>
          <w:b/>
          <w:szCs w:val="22"/>
        </w:rPr>
        <w:t> </w:t>
      </w:r>
      <w:r w:rsidRPr="005C44A1">
        <w:rPr>
          <w:b/>
          <w:szCs w:val="22"/>
        </w:rPr>
        <w:t>obsluhovať stroje</w:t>
      </w:r>
    </w:p>
    <w:p w14:paraId="3B93238B" w14:textId="77777777" w:rsidR="00780926" w:rsidRPr="005C44A1" w:rsidRDefault="00780926" w:rsidP="005C44A1">
      <w:pPr>
        <w:rPr>
          <w:szCs w:val="22"/>
        </w:rPr>
      </w:pPr>
    </w:p>
    <w:p w14:paraId="3B93238C" w14:textId="77777777" w:rsidR="00780926" w:rsidRPr="005C44A1" w:rsidRDefault="00305562" w:rsidP="005C44A1">
      <w:pPr>
        <w:ind w:left="0" w:firstLine="0"/>
        <w:rPr>
          <w:szCs w:val="22"/>
        </w:rPr>
      </w:pPr>
      <w:r w:rsidRPr="005C44A1">
        <w:rPr>
          <w:szCs w:val="22"/>
        </w:rPr>
        <w:t xml:space="preserve">Reverantza </w:t>
      </w:r>
      <w:r w:rsidR="00E1698A" w:rsidRPr="005C44A1">
        <w:rPr>
          <w:noProof/>
          <w:szCs w:val="22"/>
        </w:rPr>
        <w:t>má</w:t>
      </w:r>
      <w:r w:rsidR="00E1698A" w:rsidRPr="005C44A1">
        <w:rPr>
          <w:szCs w:val="22"/>
        </w:rPr>
        <w:t xml:space="preserve"> </w:t>
      </w:r>
      <w:r w:rsidR="0067565E" w:rsidRPr="005C44A1">
        <w:rPr>
          <w:szCs w:val="22"/>
        </w:rPr>
        <w:t xml:space="preserve">malý </w:t>
      </w:r>
      <w:r w:rsidR="00C329A5" w:rsidRPr="005C44A1">
        <w:rPr>
          <w:szCs w:val="22"/>
        </w:rPr>
        <w:t xml:space="preserve">alebo </w:t>
      </w:r>
      <w:r w:rsidR="0067565E" w:rsidRPr="005C44A1">
        <w:rPr>
          <w:szCs w:val="22"/>
        </w:rPr>
        <w:t>mierny vplyv na schopnosť viesť vozidlá a</w:t>
      </w:r>
      <w:r w:rsidR="00FA099B" w:rsidRPr="005C44A1">
        <w:rPr>
          <w:szCs w:val="22"/>
        </w:rPr>
        <w:t> </w:t>
      </w:r>
      <w:r w:rsidR="0067565E" w:rsidRPr="005C44A1">
        <w:rPr>
          <w:szCs w:val="22"/>
        </w:rPr>
        <w:t>obsluhovať stroje.</w:t>
      </w:r>
    </w:p>
    <w:p w14:paraId="3B93238D" w14:textId="3D5F969B" w:rsidR="00780926" w:rsidRPr="005C44A1" w:rsidRDefault="00C44A4F" w:rsidP="005C44A1">
      <w:pPr>
        <w:ind w:left="0" w:firstLine="0"/>
        <w:rPr>
          <w:szCs w:val="22"/>
        </w:rPr>
      </w:pPr>
      <w:r w:rsidRPr="005C44A1">
        <w:rPr>
          <w:szCs w:val="22"/>
        </w:rPr>
        <w:lastRenderedPageBreak/>
        <w:t>U pacientov užívajúcich antihypertenznú liečbu sa občas môžu vyskytnúť závrat, boles</w:t>
      </w:r>
      <w:r w:rsidR="0013575C">
        <w:rPr>
          <w:szCs w:val="22"/>
        </w:rPr>
        <w:t>ť</w:t>
      </w:r>
      <w:r w:rsidRPr="005C44A1">
        <w:rPr>
          <w:szCs w:val="22"/>
        </w:rPr>
        <w:t xml:space="preserve"> hlavy, nauzea alebo únava, ktoré môžu zhoršiť schopnosť reagovať. Opatrnosť sa odporúča najmä na začiatku liečby.</w:t>
      </w:r>
    </w:p>
    <w:p w14:paraId="3B93238E" w14:textId="77777777" w:rsidR="00780926" w:rsidRPr="005C44A1" w:rsidRDefault="00780926" w:rsidP="005C44A1">
      <w:pPr>
        <w:rPr>
          <w:szCs w:val="22"/>
        </w:rPr>
      </w:pPr>
    </w:p>
    <w:p w14:paraId="3B93238F" w14:textId="77777777" w:rsidR="00780926" w:rsidRPr="005C44A1" w:rsidRDefault="0067565E" w:rsidP="005C44A1">
      <w:pPr>
        <w:rPr>
          <w:b/>
          <w:szCs w:val="22"/>
        </w:rPr>
      </w:pPr>
      <w:r w:rsidRPr="005C44A1">
        <w:rPr>
          <w:b/>
          <w:szCs w:val="22"/>
        </w:rPr>
        <w:t>4.8</w:t>
      </w:r>
      <w:r w:rsidRPr="005C44A1">
        <w:rPr>
          <w:b/>
          <w:szCs w:val="22"/>
        </w:rPr>
        <w:tab/>
        <w:t>Nežiaduce účinky</w:t>
      </w:r>
    </w:p>
    <w:p w14:paraId="3B932390" w14:textId="77777777" w:rsidR="00780926" w:rsidRPr="005C44A1" w:rsidRDefault="00780926" w:rsidP="005C44A1">
      <w:pPr>
        <w:rPr>
          <w:szCs w:val="22"/>
        </w:rPr>
      </w:pPr>
    </w:p>
    <w:p w14:paraId="3B932391" w14:textId="17217D9F" w:rsidR="00D870CD" w:rsidRPr="005C44A1" w:rsidRDefault="0068607E" w:rsidP="005C44A1">
      <w:pPr>
        <w:rPr>
          <w:i/>
          <w:szCs w:val="22"/>
        </w:rPr>
      </w:pPr>
      <w:r w:rsidRPr="005C44A1">
        <w:rPr>
          <w:i/>
          <w:szCs w:val="22"/>
        </w:rPr>
        <w:t>O</w:t>
      </w:r>
      <w:r w:rsidR="00B84704" w:rsidRPr="005C44A1">
        <w:rPr>
          <w:i/>
          <w:szCs w:val="22"/>
        </w:rPr>
        <w:t>lmesart</w:t>
      </w:r>
      <w:r w:rsidR="00243F67">
        <w:rPr>
          <w:i/>
          <w:szCs w:val="22"/>
        </w:rPr>
        <w:t>a</w:t>
      </w:r>
      <w:r w:rsidRPr="005C44A1">
        <w:rPr>
          <w:i/>
          <w:szCs w:val="22"/>
        </w:rPr>
        <w:t>n-medoxomil/amlodipín</w:t>
      </w:r>
    </w:p>
    <w:p w14:paraId="3B932392" w14:textId="7ADCF0E9" w:rsidR="00D870CD" w:rsidRPr="005C44A1" w:rsidRDefault="00D870CD" w:rsidP="005C44A1">
      <w:pPr>
        <w:ind w:left="0" w:firstLine="0"/>
        <w:rPr>
          <w:szCs w:val="22"/>
        </w:rPr>
      </w:pPr>
      <w:r w:rsidRPr="005C44A1">
        <w:rPr>
          <w:szCs w:val="22"/>
        </w:rPr>
        <w:t>Najčastejšie hlásené nežiaduce účinky počas liečby olmesart</w:t>
      </w:r>
      <w:r w:rsidR="00243F67">
        <w:rPr>
          <w:szCs w:val="22"/>
        </w:rPr>
        <w:t>a</w:t>
      </w:r>
      <w:r w:rsidRPr="005C44A1">
        <w:rPr>
          <w:szCs w:val="22"/>
        </w:rPr>
        <w:t>nom</w:t>
      </w:r>
      <w:r w:rsidR="00F56C45">
        <w:rPr>
          <w:szCs w:val="22"/>
        </w:rPr>
        <w:t>-medoxomilom</w:t>
      </w:r>
      <w:r w:rsidRPr="005C44A1">
        <w:rPr>
          <w:szCs w:val="22"/>
        </w:rPr>
        <w:t>/amlodipínom boli periférny edém (11,3 %), bolesť hlavy (5,3 %) a závrat (4,5 %).</w:t>
      </w:r>
    </w:p>
    <w:p w14:paraId="3B932393" w14:textId="77777777" w:rsidR="009A28DB" w:rsidRDefault="009A28DB" w:rsidP="005C44A1">
      <w:pPr>
        <w:ind w:left="0" w:firstLine="0"/>
        <w:rPr>
          <w:szCs w:val="22"/>
        </w:rPr>
      </w:pPr>
    </w:p>
    <w:p w14:paraId="3B932394" w14:textId="39A6EEDC" w:rsidR="00D870CD" w:rsidRPr="005C44A1" w:rsidRDefault="00E93480" w:rsidP="005C44A1">
      <w:pPr>
        <w:ind w:left="0" w:firstLine="0"/>
        <w:rPr>
          <w:szCs w:val="22"/>
        </w:rPr>
      </w:pPr>
      <w:r w:rsidRPr="005C44A1">
        <w:rPr>
          <w:szCs w:val="22"/>
        </w:rPr>
        <w:t>Nežiaduce reakcie olmesart</w:t>
      </w:r>
      <w:r w:rsidR="00A144A5">
        <w:rPr>
          <w:szCs w:val="22"/>
        </w:rPr>
        <w:t>a</w:t>
      </w:r>
      <w:r w:rsidR="00D870CD" w:rsidRPr="005C44A1">
        <w:rPr>
          <w:szCs w:val="22"/>
        </w:rPr>
        <w:t>nu</w:t>
      </w:r>
      <w:r w:rsidRPr="005C44A1">
        <w:rPr>
          <w:szCs w:val="22"/>
        </w:rPr>
        <w:t>-medoxomilu</w:t>
      </w:r>
      <w:r w:rsidR="00D870CD" w:rsidRPr="005C44A1">
        <w:rPr>
          <w:szCs w:val="22"/>
        </w:rPr>
        <w:t>/amlodipínu z klinických štúdií, postregistračných štúdií</w:t>
      </w:r>
      <w:r w:rsidRPr="005C44A1">
        <w:rPr>
          <w:szCs w:val="22"/>
        </w:rPr>
        <w:t xml:space="preserve"> bezpečnosti</w:t>
      </w:r>
      <w:r w:rsidR="00D870CD" w:rsidRPr="005C44A1">
        <w:rPr>
          <w:szCs w:val="22"/>
        </w:rPr>
        <w:t xml:space="preserve"> a spontánn</w:t>
      </w:r>
      <w:r w:rsidRPr="005C44A1">
        <w:rPr>
          <w:szCs w:val="22"/>
        </w:rPr>
        <w:t>ych</w:t>
      </w:r>
      <w:r w:rsidR="00D870CD" w:rsidRPr="005C44A1">
        <w:rPr>
          <w:szCs w:val="22"/>
        </w:rPr>
        <w:t xml:space="preserve"> hlásen</w:t>
      </w:r>
      <w:r w:rsidR="00900995" w:rsidRPr="005C44A1">
        <w:rPr>
          <w:szCs w:val="22"/>
        </w:rPr>
        <w:t>í</w:t>
      </w:r>
      <w:r w:rsidR="00D870CD" w:rsidRPr="005C44A1">
        <w:rPr>
          <w:szCs w:val="22"/>
        </w:rPr>
        <w:t xml:space="preserve"> sú </w:t>
      </w:r>
      <w:r w:rsidR="00900995" w:rsidRPr="005C44A1">
        <w:rPr>
          <w:szCs w:val="22"/>
        </w:rPr>
        <w:t>zhrnuté</w:t>
      </w:r>
      <w:r w:rsidR="00D870CD" w:rsidRPr="005C44A1">
        <w:rPr>
          <w:szCs w:val="22"/>
        </w:rPr>
        <w:t xml:space="preserve"> v nasled</w:t>
      </w:r>
      <w:r w:rsidR="00900995" w:rsidRPr="005C44A1">
        <w:rPr>
          <w:szCs w:val="22"/>
        </w:rPr>
        <w:t xml:space="preserve">ujúcej tabuľke, </w:t>
      </w:r>
      <w:r w:rsidR="00D870CD" w:rsidRPr="005C44A1">
        <w:rPr>
          <w:szCs w:val="22"/>
        </w:rPr>
        <w:t>ako aj nežiaduce účinky jednotlivých zložiek olmesart</w:t>
      </w:r>
      <w:r w:rsidR="00A144A5">
        <w:rPr>
          <w:szCs w:val="22"/>
        </w:rPr>
        <w:t>a</w:t>
      </w:r>
      <w:r w:rsidR="00D870CD" w:rsidRPr="005C44A1">
        <w:rPr>
          <w:szCs w:val="22"/>
        </w:rPr>
        <w:t>nu</w:t>
      </w:r>
      <w:r w:rsidR="00900995" w:rsidRPr="005C44A1">
        <w:rPr>
          <w:szCs w:val="22"/>
        </w:rPr>
        <w:t>-</w:t>
      </w:r>
      <w:r w:rsidR="00D870CD" w:rsidRPr="005C44A1">
        <w:rPr>
          <w:szCs w:val="22"/>
        </w:rPr>
        <w:t>medoxomilu a amlodipínu na základe známych bezpečnostných profilov</w:t>
      </w:r>
      <w:r w:rsidR="003606A0" w:rsidRPr="005C44A1">
        <w:rPr>
          <w:szCs w:val="22"/>
        </w:rPr>
        <w:t xml:space="preserve"> týchto liečiv</w:t>
      </w:r>
      <w:r w:rsidR="00D870CD" w:rsidRPr="005C44A1">
        <w:rPr>
          <w:szCs w:val="22"/>
        </w:rPr>
        <w:t xml:space="preserve">. </w:t>
      </w:r>
    </w:p>
    <w:p w14:paraId="3B932395" w14:textId="77777777" w:rsidR="00F56C45" w:rsidRDefault="00F56C45" w:rsidP="005C44A1">
      <w:pPr>
        <w:ind w:left="0" w:firstLine="0"/>
        <w:rPr>
          <w:szCs w:val="22"/>
        </w:rPr>
      </w:pPr>
    </w:p>
    <w:p w14:paraId="3B932396" w14:textId="77777777" w:rsidR="00D870CD" w:rsidRPr="005C44A1" w:rsidRDefault="00D870CD" w:rsidP="005C44A1">
      <w:pPr>
        <w:ind w:left="0" w:firstLine="0"/>
        <w:rPr>
          <w:szCs w:val="22"/>
        </w:rPr>
      </w:pPr>
      <w:r w:rsidRPr="005C44A1">
        <w:rPr>
          <w:szCs w:val="22"/>
        </w:rPr>
        <w:t>Na klasifikáciu výskytu nežiaducich reakcií bola použitá nasledovná terminológia:</w:t>
      </w:r>
    </w:p>
    <w:p w14:paraId="3B932397" w14:textId="7C052540" w:rsidR="00D870CD" w:rsidRPr="005C44A1" w:rsidRDefault="00D870CD" w:rsidP="005C44A1">
      <w:pPr>
        <w:ind w:left="0" w:firstLine="0"/>
        <w:rPr>
          <w:szCs w:val="22"/>
        </w:rPr>
      </w:pPr>
      <w:r w:rsidRPr="005C44A1">
        <w:rPr>
          <w:szCs w:val="22"/>
        </w:rPr>
        <w:t>Veľmi časté (</w:t>
      </w:r>
      <w:r w:rsidR="00C949DC" w:rsidRPr="005C44A1">
        <w:rPr>
          <w:spacing w:val="-1"/>
          <w:szCs w:val="22"/>
        </w:rPr>
        <w:t>≥</w:t>
      </w:r>
      <w:r w:rsidRPr="005C44A1">
        <w:rPr>
          <w:szCs w:val="22"/>
        </w:rPr>
        <w:t>1/10)</w:t>
      </w:r>
      <w:r w:rsidR="00C949DC" w:rsidRPr="005C44A1">
        <w:rPr>
          <w:szCs w:val="22"/>
        </w:rPr>
        <w:t>, č</w:t>
      </w:r>
      <w:r w:rsidRPr="005C44A1">
        <w:rPr>
          <w:szCs w:val="22"/>
        </w:rPr>
        <w:t>asté (≥1/100 až &lt;1/10)</w:t>
      </w:r>
      <w:r w:rsidR="00C949DC" w:rsidRPr="005C44A1">
        <w:rPr>
          <w:szCs w:val="22"/>
        </w:rPr>
        <w:t>, m</w:t>
      </w:r>
      <w:r w:rsidRPr="005C44A1">
        <w:rPr>
          <w:szCs w:val="22"/>
        </w:rPr>
        <w:t>enej časté (≥1/1 000 až &lt;1/100)</w:t>
      </w:r>
      <w:r w:rsidR="00C949DC" w:rsidRPr="005C44A1">
        <w:rPr>
          <w:szCs w:val="22"/>
        </w:rPr>
        <w:t>, z</w:t>
      </w:r>
      <w:r w:rsidRPr="005C44A1">
        <w:rPr>
          <w:szCs w:val="22"/>
        </w:rPr>
        <w:t>riedkavé (≥1/10</w:t>
      </w:r>
      <w:r w:rsidR="005A2509">
        <w:rPr>
          <w:szCs w:val="22"/>
        </w:rPr>
        <w:t> </w:t>
      </w:r>
      <w:r w:rsidRPr="005C44A1">
        <w:rPr>
          <w:szCs w:val="22"/>
        </w:rPr>
        <w:t>000 až &lt;1/1 000)</w:t>
      </w:r>
      <w:r w:rsidR="00C949DC" w:rsidRPr="005C44A1">
        <w:rPr>
          <w:szCs w:val="22"/>
        </w:rPr>
        <w:t>, v</w:t>
      </w:r>
      <w:r w:rsidRPr="005C44A1">
        <w:rPr>
          <w:szCs w:val="22"/>
        </w:rPr>
        <w:t>eľmi zriedkavé (&lt;1/10 000), neznáme (z dostupných údajov)</w:t>
      </w:r>
      <w:r w:rsidR="005A2509">
        <w:rPr>
          <w:szCs w:val="22"/>
        </w:rPr>
        <w:t>.</w:t>
      </w:r>
    </w:p>
    <w:p w14:paraId="3B932398" w14:textId="77777777" w:rsidR="00D870CD" w:rsidRPr="00852371" w:rsidRDefault="00D870CD">
      <w:pPr>
        <w:pStyle w:val="Zkladntext"/>
        <w:rPr>
          <w:noProof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3"/>
        <w:gridCol w:w="2495"/>
        <w:gridCol w:w="1365"/>
        <w:gridCol w:w="1329"/>
        <w:gridCol w:w="1589"/>
      </w:tblGrid>
      <w:tr w:rsidR="00890443" w:rsidRPr="00890443" w14:paraId="3B93239D" w14:textId="77777777" w:rsidTr="00E24456">
        <w:trPr>
          <w:trHeight w:val="280"/>
        </w:trPr>
        <w:tc>
          <w:tcPr>
            <w:tcW w:w="1259" w:type="pct"/>
            <w:vMerge w:val="restart"/>
            <w:vAlign w:val="center"/>
          </w:tcPr>
          <w:p w14:paraId="3B932399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szCs w:val="22"/>
              </w:rPr>
            </w:pPr>
            <w:bookmarkStart w:id="35" w:name="_Toc205605632"/>
            <w:r w:rsidRPr="00890443">
              <w:rPr>
                <w:b/>
                <w:szCs w:val="22"/>
              </w:rPr>
              <w:t>Trieda orgánový</w:t>
            </w:r>
            <w:bookmarkEnd w:id="35"/>
            <w:r w:rsidRPr="00890443">
              <w:rPr>
                <w:b/>
                <w:szCs w:val="22"/>
              </w:rPr>
              <w:t>ch systémov</w:t>
            </w:r>
          </w:p>
          <w:p w14:paraId="3B93239A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1377" w:type="pct"/>
            <w:tcBorders>
              <w:bottom w:val="nil"/>
            </w:tcBorders>
            <w:vAlign w:val="center"/>
          </w:tcPr>
          <w:p w14:paraId="3B93239B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szCs w:val="22"/>
              </w:rPr>
            </w:pPr>
          </w:p>
        </w:tc>
        <w:tc>
          <w:tcPr>
            <w:tcW w:w="2363" w:type="pct"/>
            <w:gridSpan w:val="3"/>
            <w:vAlign w:val="center"/>
          </w:tcPr>
          <w:p w14:paraId="3B93239C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szCs w:val="22"/>
              </w:rPr>
            </w:pPr>
            <w:r w:rsidRPr="00890443">
              <w:rPr>
                <w:b/>
                <w:szCs w:val="22"/>
              </w:rPr>
              <w:t xml:space="preserve">Frekvencia </w:t>
            </w:r>
          </w:p>
        </w:tc>
      </w:tr>
      <w:tr w:rsidR="00890443" w:rsidRPr="00890443" w14:paraId="3B9323A4" w14:textId="77777777" w:rsidTr="00E24456">
        <w:trPr>
          <w:trHeight w:val="720"/>
        </w:trPr>
        <w:tc>
          <w:tcPr>
            <w:tcW w:w="1259" w:type="pct"/>
            <w:vMerge/>
            <w:vAlign w:val="center"/>
          </w:tcPr>
          <w:p w14:paraId="3B93239E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1377" w:type="pct"/>
            <w:tcBorders>
              <w:top w:val="nil"/>
            </w:tcBorders>
            <w:vAlign w:val="center"/>
          </w:tcPr>
          <w:p w14:paraId="3B93239F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szCs w:val="22"/>
              </w:rPr>
            </w:pPr>
            <w:r w:rsidRPr="00890443">
              <w:rPr>
                <w:b/>
                <w:szCs w:val="22"/>
              </w:rPr>
              <w:t>Nežiaduce reakcie</w:t>
            </w:r>
          </w:p>
        </w:tc>
        <w:tc>
          <w:tcPr>
            <w:tcW w:w="753" w:type="pct"/>
            <w:vAlign w:val="center"/>
          </w:tcPr>
          <w:p w14:paraId="3B9323A0" w14:textId="5426467C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szCs w:val="22"/>
              </w:rPr>
            </w:pPr>
            <w:r w:rsidRPr="00890443">
              <w:rPr>
                <w:b/>
                <w:szCs w:val="22"/>
              </w:rPr>
              <w:t>Kombinácia olmesart</w:t>
            </w:r>
            <w:r w:rsidR="008A2100">
              <w:rPr>
                <w:b/>
                <w:szCs w:val="22"/>
              </w:rPr>
              <w:t>a</w:t>
            </w:r>
            <w:r w:rsidRPr="00890443">
              <w:rPr>
                <w:b/>
                <w:szCs w:val="22"/>
              </w:rPr>
              <w:t>n/</w:t>
            </w:r>
          </w:p>
          <w:p w14:paraId="3B9323A1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szCs w:val="22"/>
              </w:rPr>
            </w:pPr>
            <w:r w:rsidRPr="00890443">
              <w:rPr>
                <w:b/>
                <w:szCs w:val="22"/>
              </w:rPr>
              <w:t>amlodipín</w:t>
            </w:r>
          </w:p>
        </w:tc>
        <w:tc>
          <w:tcPr>
            <w:tcW w:w="733" w:type="pct"/>
            <w:vAlign w:val="center"/>
          </w:tcPr>
          <w:p w14:paraId="3B9323A2" w14:textId="5B6AF7B5" w:rsidR="00890443" w:rsidRPr="00890443" w:rsidRDefault="00890443" w:rsidP="007F339B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szCs w:val="22"/>
              </w:rPr>
            </w:pPr>
            <w:r w:rsidRPr="00890443">
              <w:rPr>
                <w:b/>
                <w:szCs w:val="22"/>
              </w:rPr>
              <w:t>Olmesart</w:t>
            </w:r>
            <w:r w:rsidR="008A2100">
              <w:rPr>
                <w:b/>
                <w:szCs w:val="22"/>
              </w:rPr>
              <w:t>a</w:t>
            </w:r>
            <w:r w:rsidRPr="00890443">
              <w:rPr>
                <w:b/>
                <w:szCs w:val="22"/>
              </w:rPr>
              <w:t>n</w:t>
            </w:r>
          </w:p>
        </w:tc>
        <w:tc>
          <w:tcPr>
            <w:tcW w:w="877" w:type="pct"/>
            <w:vAlign w:val="center"/>
          </w:tcPr>
          <w:p w14:paraId="3B9323A3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szCs w:val="22"/>
              </w:rPr>
            </w:pPr>
            <w:r w:rsidRPr="00890443">
              <w:rPr>
                <w:b/>
                <w:szCs w:val="22"/>
              </w:rPr>
              <w:t>Amlodipín</w:t>
            </w:r>
          </w:p>
        </w:tc>
      </w:tr>
      <w:tr w:rsidR="00890443" w:rsidRPr="00890443" w14:paraId="3B9323AA" w14:textId="77777777" w:rsidTr="00E24456">
        <w:trPr>
          <w:trHeight w:val="255"/>
        </w:trPr>
        <w:tc>
          <w:tcPr>
            <w:tcW w:w="1259" w:type="pct"/>
            <w:vMerge w:val="restart"/>
          </w:tcPr>
          <w:p w14:paraId="3B9323A5" w14:textId="77777777" w:rsidR="00890443" w:rsidRPr="00585F8B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szCs w:val="22"/>
              </w:rPr>
            </w:pPr>
            <w:bookmarkStart w:id="36" w:name="_Toc205605643"/>
            <w:r w:rsidRPr="00585F8B">
              <w:rPr>
                <w:b/>
                <w:szCs w:val="22"/>
              </w:rPr>
              <w:t>Poruchy krvi a lymfatického systému</w:t>
            </w:r>
            <w:bookmarkEnd w:id="36"/>
            <w:r w:rsidRPr="00585F8B">
              <w:rPr>
                <w:b/>
                <w:szCs w:val="22"/>
              </w:rPr>
              <w:t xml:space="preserve"> </w:t>
            </w:r>
          </w:p>
        </w:tc>
        <w:tc>
          <w:tcPr>
            <w:tcW w:w="1377" w:type="pct"/>
          </w:tcPr>
          <w:p w14:paraId="3B9323A6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Leukocytopénia</w:t>
            </w:r>
          </w:p>
        </w:tc>
        <w:tc>
          <w:tcPr>
            <w:tcW w:w="753" w:type="pct"/>
          </w:tcPr>
          <w:p w14:paraId="3B9323A7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3A8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877" w:type="pct"/>
          </w:tcPr>
          <w:p w14:paraId="3B9323A9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Veľmi zriedkavé</w:t>
            </w:r>
          </w:p>
        </w:tc>
      </w:tr>
      <w:tr w:rsidR="00890443" w:rsidRPr="00890443" w14:paraId="3B9323B0" w14:textId="77777777" w:rsidTr="00E24456">
        <w:trPr>
          <w:trHeight w:val="285"/>
        </w:trPr>
        <w:tc>
          <w:tcPr>
            <w:tcW w:w="1259" w:type="pct"/>
            <w:vMerge/>
          </w:tcPr>
          <w:p w14:paraId="3B9323AB" w14:textId="77777777" w:rsidR="00890443" w:rsidRPr="00585F8B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szCs w:val="22"/>
              </w:rPr>
            </w:pPr>
          </w:p>
        </w:tc>
        <w:tc>
          <w:tcPr>
            <w:tcW w:w="1377" w:type="pct"/>
          </w:tcPr>
          <w:p w14:paraId="3B9323AC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Trombocytopénia</w:t>
            </w:r>
          </w:p>
        </w:tc>
        <w:tc>
          <w:tcPr>
            <w:tcW w:w="753" w:type="pct"/>
          </w:tcPr>
          <w:p w14:paraId="3B9323AD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3AE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</w:tc>
        <w:tc>
          <w:tcPr>
            <w:tcW w:w="877" w:type="pct"/>
          </w:tcPr>
          <w:p w14:paraId="3B9323AF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Veľmi zriedkavé</w:t>
            </w:r>
          </w:p>
        </w:tc>
      </w:tr>
      <w:tr w:rsidR="00890443" w:rsidRPr="00890443" w14:paraId="3B9323B8" w14:textId="77777777" w:rsidTr="00E24456">
        <w:trPr>
          <w:trHeight w:val="750"/>
        </w:trPr>
        <w:tc>
          <w:tcPr>
            <w:tcW w:w="1259" w:type="pct"/>
            <w:vMerge w:val="restart"/>
          </w:tcPr>
          <w:p w14:paraId="3B9323B1" w14:textId="77777777" w:rsidR="00890443" w:rsidRPr="00585F8B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szCs w:val="22"/>
              </w:rPr>
            </w:pPr>
            <w:r w:rsidRPr="00585F8B">
              <w:rPr>
                <w:b/>
                <w:szCs w:val="22"/>
              </w:rPr>
              <w:t>Poruchy imunitného systému</w:t>
            </w:r>
          </w:p>
        </w:tc>
        <w:tc>
          <w:tcPr>
            <w:tcW w:w="1377" w:type="pct"/>
          </w:tcPr>
          <w:p w14:paraId="3B9323B2" w14:textId="77777777" w:rsidR="00890443" w:rsidRPr="00890443" w:rsidRDefault="00890443" w:rsidP="007F339B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Alergická reakcia/</w:t>
            </w:r>
            <w:r w:rsidR="007F339B">
              <w:rPr>
                <w:szCs w:val="22"/>
              </w:rPr>
              <w:t>Precitlivenosť na lieky</w:t>
            </w:r>
          </w:p>
        </w:tc>
        <w:tc>
          <w:tcPr>
            <w:tcW w:w="753" w:type="pct"/>
          </w:tcPr>
          <w:p w14:paraId="3B9323B3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Zriedkavé</w:t>
            </w:r>
          </w:p>
        </w:tc>
        <w:tc>
          <w:tcPr>
            <w:tcW w:w="733" w:type="pct"/>
          </w:tcPr>
          <w:p w14:paraId="3B9323B4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  <w:p w14:paraId="3B9323B5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  <w:p w14:paraId="3B9323B6" w14:textId="77777777" w:rsidR="00890443" w:rsidRPr="00890443" w:rsidDel="00AA0218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877" w:type="pct"/>
          </w:tcPr>
          <w:p w14:paraId="3B9323B7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Veľmi zriedkavé</w:t>
            </w:r>
          </w:p>
        </w:tc>
      </w:tr>
      <w:tr w:rsidR="00890443" w:rsidRPr="00890443" w14:paraId="3B9323BE" w14:textId="77777777" w:rsidTr="00E24456">
        <w:trPr>
          <w:trHeight w:val="345"/>
        </w:trPr>
        <w:tc>
          <w:tcPr>
            <w:tcW w:w="1259" w:type="pct"/>
            <w:vMerge/>
          </w:tcPr>
          <w:p w14:paraId="3B9323B9" w14:textId="77777777" w:rsidR="00890443" w:rsidRPr="00585F8B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szCs w:val="22"/>
              </w:rPr>
            </w:pPr>
          </w:p>
        </w:tc>
        <w:tc>
          <w:tcPr>
            <w:tcW w:w="1377" w:type="pct"/>
          </w:tcPr>
          <w:p w14:paraId="3B9323BA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Anafylaktická reakcia</w:t>
            </w:r>
          </w:p>
        </w:tc>
        <w:tc>
          <w:tcPr>
            <w:tcW w:w="753" w:type="pct"/>
          </w:tcPr>
          <w:p w14:paraId="3B9323BB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3BC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</w:tc>
        <w:tc>
          <w:tcPr>
            <w:tcW w:w="877" w:type="pct"/>
          </w:tcPr>
          <w:p w14:paraId="3B9323BD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</w:tr>
      <w:tr w:rsidR="00890443" w:rsidRPr="00890443" w14:paraId="3B9323C4" w14:textId="77777777" w:rsidTr="00E24456">
        <w:trPr>
          <w:trHeight w:val="270"/>
        </w:trPr>
        <w:tc>
          <w:tcPr>
            <w:tcW w:w="1259" w:type="pct"/>
            <w:vMerge w:val="restart"/>
          </w:tcPr>
          <w:p w14:paraId="3B9323BF" w14:textId="77777777" w:rsidR="00890443" w:rsidRPr="00585F8B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szCs w:val="22"/>
              </w:rPr>
            </w:pPr>
            <w:bookmarkStart w:id="37" w:name="_Toc205605645"/>
            <w:r w:rsidRPr="00585F8B">
              <w:rPr>
                <w:b/>
                <w:szCs w:val="22"/>
              </w:rPr>
              <w:t>Poruchy metabolizmu a výživy</w:t>
            </w:r>
            <w:bookmarkEnd w:id="37"/>
            <w:r w:rsidRPr="00585F8B">
              <w:rPr>
                <w:b/>
                <w:szCs w:val="22"/>
              </w:rPr>
              <w:t xml:space="preserve">  </w:t>
            </w:r>
          </w:p>
        </w:tc>
        <w:tc>
          <w:tcPr>
            <w:tcW w:w="1377" w:type="pct"/>
          </w:tcPr>
          <w:p w14:paraId="3B9323C0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Hyperglykémia</w:t>
            </w:r>
          </w:p>
        </w:tc>
        <w:tc>
          <w:tcPr>
            <w:tcW w:w="753" w:type="pct"/>
          </w:tcPr>
          <w:p w14:paraId="3B9323C1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3C2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877" w:type="pct"/>
          </w:tcPr>
          <w:p w14:paraId="3B9323C3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Veľmi zriedkavé</w:t>
            </w:r>
          </w:p>
        </w:tc>
      </w:tr>
      <w:tr w:rsidR="00890443" w:rsidRPr="00890443" w14:paraId="3B9323CA" w14:textId="77777777" w:rsidTr="00E24456">
        <w:trPr>
          <w:trHeight w:val="360"/>
        </w:trPr>
        <w:tc>
          <w:tcPr>
            <w:tcW w:w="1259" w:type="pct"/>
            <w:vMerge/>
          </w:tcPr>
          <w:p w14:paraId="3B9323C5" w14:textId="77777777" w:rsidR="00890443" w:rsidRPr="00585F8B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szCs w:val="22"/>
              </w:rPr>
            </w:pPr>
          </w:p>
        </w:tc>
        <w:tc>
          <w:tcPr>
            <w:tcW w:w="1377" w:type="pct"/>
          </w:tcPr>
          <w:p w14:paraId="3B9323C6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Hyperkaliémia</w:t>
            </w:r>
          </w:p>
        </w:tc>
        <w:tc>
          <w:tcPr>
            <w:tcW w:w="753" w:type="pct"/>
          </w:tcPr>
          <w:p w14:paraId="3B9323C7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bookmarkStart w:id="38" w:name="_Toc205605646"/>
            <w:r w:rsidRPr="00890443">
              <w:rPr>
                <w:szCs w:val="22"/>
              </w:rPr>
              <w:t xml:space="preserve">Menej časté </w:t>
            </w:r>
            <w:bookmarkEnd w:id="38"/>
          </w:p>
        </w:tc>
        <w:tc>
          <w:tcPr>
            <w:tcW w:w="733" w:type="pct"/>
          </w:tcPr>
          <w:p w14:paraId="3B9323C8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Zriedkavé</w:t>
            </w:r>
          </w:p>
        </w:tc>
        <w:tc>
          <w:tcPr>
            <w:tcW w:w="877" w:type="pct"/>
          </w:tcPr>
          <w:p w14:paraId="3B9323C9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</w:tr>
      <w:tr w:rsidR="00890443" w:rsidRPr="00890443" w14:paraId="3B9323D0" w14:textId="77777777" w:rsidTr="00E24456">
        <w:trPr>
          <w:trHeight w:val="345"/>
        </w:trPr>
        <w:tc>
          <w:tcPr>
            <w:tcW w:w="1259" w:type="pct"/>
            <w:vMerge/>
          </w:tcPr>
          <w:p w14:paraId="3B9323CB" w14:textId="77777777" w:rsidR="00890443" w:rsidRPr="00585F8B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szCs w:val="22"/>
              </w:rPr>
            </w:pPr>
          </w:p>
        </w:tc>
        <w:tc>
          <w:tcPr>
            <w:tcW w:w="1377" w:type="pct"/>
          </w:tcPr>
          <w:p w14:paraId="3B9323CC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Hypertriglyceridémia</w:t>
            </w:r>
          </w:p>
        </w:tc>
        <w:tc>
          <w:tcPr>
            <w:tcW w:w="753" w:type="pct"/>
          </w:tcPr>
          <w:p w14:paraId="3B9323CD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3CE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Časté</w:t>
            </w:r>
          </w:p>
        </w:tc>
        <w:tc>
          <w:tcPr>
            <w:tcW w:w="877" w:type="pct"/>
          </w:tcPr>
          <w:p w14:paraId="3B9323CF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</w:tr>
      <w:tr w:rsidR="00890443" w:rsidRPr="00890443" w14:paraId="3B9323D6" w14:textId="77777777" w:rsidTr="00E24456">
        <w:trPr>
          <w:trHeight w:val="465"/>
        </w:trPr>
        <w:tc>
          <w:tcPr>
            <w:tcW w:w="1259" w:type="pct"/>
            <w:vMerge/>
          </w:tcPr>
          <w:p w14:paraId="3B9323D1" w14:textId="77777777" w:rsidR="00890443" w:rsidRPr="00585F8B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szCs w:val="22"/>
              </w:rPr>
            </w:pPr>
          </w:p>
        </w:tc>
        <w:tc>
          <w:tcPr>
            <w:tcW w:w="1377" w:type="pct"/>
          </w:tcPr>
          <w:p w14:paraId="3B9323D2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Hyperurikémia</w:t>
            </w:r>
          </w:p>
        </w:tc>
        <w:tc>
          <w:tcPr>
            <w:tcW w:w="753" w:type="pct"/>
          </w:tcPr>
          <w:p w14:paraId="3B9323D3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3D4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Časté</w:t>
            </w:r>
          </w:p>
        </w:tc>
        <w:tc>
          <w:tcPr>
            <w:tcW w:w="877" w:type="pct"/>
          </w:tcPr>
          <w:p w14:paraId="3B9323D5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</w:tr>
      <w:tr w:rsidR="00890443" w:rsidRPr="00890443" w14:paraId="3B9323DC" w14:textId="77777777" w:rsidTr="00E24456">
        <w:trPr>
          <w:trHeight w:val="330"/>
        </w:trPr>
        <w:tc>
          <w:tcPr>
            <w:tcW w:w="1259" w:type="pct"/>
            <w:vMerge w:val="restart"/>
          </w:tcPr>
          <w:p w14:paraId="3B9323D7" w14:textId="77777777" w:rsidR="00890443" w:rsidRPr="00585F8B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szCs w:val="22"/>
              </w:rPr>
            </w:pPr>
            <w:bookmarkStart w:id="39" w:name="_Toc205605647"/>
            <w:r w:rsidRPr="00585F8B">
              <w:rPr>
                <w:b/>
                <w:szCs w:val="22"/>
              </w:rPr>
              <w:t>Psychické poruchy</w:t>
            </w:r>
            <w:bookmarkEnd w:id="39"/>
          </w:p>
        </w:tc>
        <w:tc>
          <w:tcPr>
            <w:tcW w:w="1377" w:type="pct"/>
          </w:tcPr>
          <w:p w14:paraId="3B9323D8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Zmätenosť</w:t>
            </w:r>
          </w:p>
        </w:tc>
        <w:tc>
          <w:tcPr>
            <w:tcW w:w="753" w:type="pct"/>
          </w:tcPr>
          <w:p w14:paraId="3B9323D9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3DA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877" w:type="pct"/>
          </w:tcPr>
          <w:p w14:paraId="3B9323DB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Zriedkavé</w:t>
            </w:r>
          </w:p>
        </w:tc>
      </w:tr>
      <w:tr w:rsidR="00890443" w:rsidRPr="00890443" w14:paraId="3B9323E2" w14:textId="77777777" w:rsidTr="00E24456">
        <w:trPr>
          <w:trHeight w:val="345"/>
        </w:trPr>
        <w:tc>
          <w:tcPr>
            <w:tcW w:w="1259" w:type="pct"/>
            <w:vMerge/>
          </w:tcPr>
          <w:p w14:paraId="3B9323DD" w14:textId="77777777" w:rsidR="00890443" w:rsidRPr="00585F8B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szCs w:val="22"/>
              </w:rPr>
            </w:pPr>
          </w:p>
        </w:tc>
        <w:tc>
          <w:tcPr>
            <w:tcW w:w="1377" w:type="pct"/>
          </w:tcPr>
          <w:p w14:paraId="3B9323DE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Depresia</w:t>
            </w:r>
          </w:p>
        </w:tc>
        <w:tc>
          <w:tcPr>
            <w:tcW w:w="753" w:type="pct"/>
          </w:tcPr>
          <w:p w14:paraId="3B9323DF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3E0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877" w:type="pct"/>
          </w:tcPr>
          <w:p w14:paraId="3B9323E1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</w:tc>
      </w:tr>
      <w:tr w:rsidR="00890443" w:rsidRPr="00890443" w14:paraId="3B9323E8" w14:textId="77777777" w:rsidTr="00E24456">
        <w:trPr>
          <w:trHeight w:val="345"/>
        </w:trPr>
        <w:tc>
          <w:tcPr>
            <w:tcW w:w="1259" w:type="pct"/>
            <w:vMerge/>
          </w:tcPr>
          <w:p w14:paraId="3B9323E3" w14:textId="77777777" w:rsidR="00890443" w:rsidRPr="00585F8B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szCs w:val="22"/>
              </w:rPr>
            </w:pPr>
          </w:p>
        </w:tc>
        <w:tc>
          <w:tcPr>
            <w:tcW w:w="1377" w:type="pct"/>
          </w:tcPr>
          <w:p w14:paraId="3B9323E4" w14:textId="77777777" w:rsidR="00890443" w:rsidRPr="00890443" w:rsidRDefault="00585F8B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>
              <w:rPr>
                <w:szCs w:val="22"/>
              </w:rPr>
              <w:t>Insomnia</w:t>
            </w:r>
          </w:p>
        </w:tc>
        <w:tc>
          <w:tcPr>
            <w:tcW w:w="753" w:type="pct"/>
          </w:tcPr>
          <w:p w14:paraId="3B9323E5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3E6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877" w:type="pct"/>
          </w:tcPr>
          <w:p w14:paraId="3B9323E7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</w:tc>
      </w:tr>
      <w:tr w:rsidR="00890443" w:rsidRPr="00890443" w14:paraId="3B9323EE" w14:textId="77777777" w:rsidTr="00E24456">
        <w:trPr>
          <w:trHeight w:val="180"/>
        </w:trPr>
        <w:tc>
          <w:tcPr>
            <w:tcW w:w="1259" w:type="pct"/>
            <w:vMerge/>
          </w:tcPr>
          <w:p w14:paraId="3B9323E9" w14:textId="77777777" w:rsidR="00890443" w:rsidRPr="00585F8B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szCs w:val="22"/>
              </w:rPr>
            </w:pPr>
          </w:p>
        </w:tc>
        <w:tc>
          <w:tcPr>
            <w:tcW w:w="1377" w:type="pct"/>
          </w:tcPr>
          <w:p w14:paraId="3B9323EA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Podráždenosť</w:t>
            </w:r>
          </w:p>
        </w:tc>
        <w:tc>
          <w:tcPr>
            <w:tcW w:w="753" w:type="pct"/>
          </w:tcPr>
          <w:p w14:paraId="3B9323EB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3EC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877" w:type="pct"/>
          </w:tcPr>
          <w:p w14:paraId="3B9323ED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</w:tc>
      </w:tr>
      <w:tr w:rsidR="00890443" w:rsidRPr="00890443" w14:paraId="3B9323F4" w14:textId="77777777" w:rsidTr="00E24456">
        <w:trPr>
          <w:trHeight w:val="255"/>
        </w:trPr>
        <w:tc>
          <w:tcPr>
            <w:tcW w:w="1259" w:type="pct"/>
            <w:vMerge/>
          </w:tcPr>
          <w:p w14:paraId="3B9323EF" w14:textId="77777777" w:rsidR="00890443" w:rsidRPr="00585F8B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szCs w:val="22"/>
              </w:rPr>
            </w:pPr>
          </w:p>
        </w:tc>
        <w:tc>
          <w:tcPr>
            <w:tcW w:w="1377" w:type="pct"/>
          </w:tcPr>
          <w:p w14:paraId="3B9323F0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Znížené libido</w:t>
            </w:r>
          </w:p>
        </w:tc>
        <w:tc>
          <w:tcPr>
            <w:tcW w:w="753" w:type="pct"/>
          </w:tcPr>
          <w:p w14:paraId="3B9323F1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bookmarkStart w:id="40" w:name="_Toc205605648"/>
            <w:r w:rsidRPr="00890443">
              <w:rPr>
                <w:szCs w:val="22"/>
              </w:rPr>
              <w:t>Menej časté</w:t>
            </w:r>
            <w:bookmarkEnd w:id="40"/>
          </w:p>
        </w:tc>
        <w:tc>
          <w:tcPr>
            <w:tcW w:w="733" w:type="pct"/>
          </w:tcPr>
          <w:p w14:paraId="3B9323F2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877" w:type="pct"/>
          </w:tcPr>
          <w:p w14:paraId="3B9323F3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</w:tr>
      <w:tr w:rsidR="00890443" w:rsidRPr="00890443" w14:paraId="3B9323FA" w14:textId="77777777" w:rsidTr="00E24456">
        <w:trPr>
          <w:trHeight w:val="645"/>
        </w:trPr>
        <w:tc>
          <w:tcPr>
            <w:tcW w:w="1259" w:type="pct"/>
            <w:vMerge/>
          </w:tcPr>
          <w:p w14:paraId="3B9323F5" w14:textId="77777777" w:rsidR="00890443" w:rsidRPr="00585F8B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szCs w:val="22"/>
              </w:rPr>
            </w:pPr>
          </w:p>
        </w:tc>
        <w:tc>
          <w:tcPr>
            <w:tcW w:w="1377" w:type="pct"/>
          </w:tcPr>
          <w:p w14:paraId="3B9323F6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Zmeny nálady (vrátane úzkosti)</w:t>
            </w:r>
          </w:p>
        </w:tc>
        <w:tc>
          <w:tcPr>
            <w:tcW w:w="753" w:type="pct"/>
          </w:tcPr>
          <w:p w14:paraId="3B9323F7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3F8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877" w:type="pct"/>
          </w:tcPr>
          <w:p w14:paraId="3B9323F9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</w:tc>
      </w:tr>
      <w:tr w:rsidR="00EB65C6" w:rsidRPr="00890443" w14:paraId="3B932400" w14:textId="77777777" w:rsidTr="00E24456">
        <w:trPr>
          <w:trHeight w:val="210"/>
        </w:trPr>
        <w:tc>
          <w:tcPr>
            <w:tcW w:w="1259" w:type="pct"/>
            <w:vMerge w:val="restart"/>
          </w:tcPr>
          <w:p w14:paraId="3B9323FB" w14:textId="77777777" w:rsidR="00EB65C6" w:rsidRPr="00585F8B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szCs w:val="22"/>
              </w:rPr>
            </w:pPr>
            <w:bookmarkStart w:id="41" w:name="_Toc205605649"/>
            <w:r w:rsidRPr="00585F8B">
              <w:rPr>
                <w:b/>
                <w:szCs w:val="22"/>
              </w:rPr>
              <w:t>Poruchy nervového systému</w:t>
            </w:r>
            <w:bookmarkEnd w:id="41"/>
            <w:r w:rsidRPr="00585F8B">
              <w:rPr>
                <w:b/>
                <w:szCs w:val="22"/>
              </w:rPr>
              <w:t xml:space="preserve"> </w:t>
            </w:r>
          </w:p>
        </w:tc>
        <w:tc>
          <w:tcPr>
            <w:tcW w:w="1377" w:type="pct"/>
          </w:tcPr>
          <w:p w14:paraId="3B9323FC" w14:textId="77777777" w:rsidR="00EB65C6" w:rsidRPr="00890443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bookmarkStart w:id="42" w:name="_Toc205605650"/>
            <w:r w:rsidRPr="00890443">
              <w:rPr>
                <w:szCs w:val="22"/>
              </w:rPr>
              <w:t>Závrat</w:t>
            </w:r>
            <w:bookmarkEnd w:id="42"/>
          </w:p>
        </w:tc>
        <w:tc>
          <w:tcPr>
            <w:tcW w:w="753" w:type="pct"/>
          </w:tcPr>
          <w:p w14:paraId="3B9323FD" w14:textId="77777777" w:rsidR="00EB65C6" w:rsidRPr="00890443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bookmarkStart w:id="43" w:name="_Toc205605651"/>
            <w:r w:rsidRPr="00890443">
              <w:rPr>
                <w:szCs w:val="22"/>
              </w:rPr>
              <w:t>Časté</w:t>
            </w:r>
            <w:bookmarkEnd w:id="43"/>
          </w:p>
        </w:tc>
        <w:tc>
          <w:tcPr>
            <w:tcW w:w="733" w:type="pct"/>
          </w:tcPr>
          <w:p w14:paraId="3B9323FE" w14:textId="77777777" w:rsidR="00EB65C6" w:rsidRPr="00890443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bookmarkStart w:id="44" w:name="_Toc205605652"/>
            <w:r w:rsidRPr="00890443">
              <w:rPr>
                <w:szCs w:val="22"/>
              </w:rPr>
              <w:t>Časté</w:t>
            </w:r>
            <w:bookmarkEnd w:id="44"/>
          </w:p>
        </w:tc>
        <w:tc>
          <w:tcPr>
            <w:tcW w:w="877" w:type="pct"/>
          </w:tcPr>
          <w:p w14:paraId="3B9323FF" w14:textId="77777777" w:rsidR="00EB65C6" w:rsidRPr="00890443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Časté</w:t>
            </w:r>
          </w:p>
        </w:tc>
      </w:tr>
      <w:tr w:rsidR="00EB65C6" w:rsidRPr="00890443" w14:paraId="3B932406" w14:textId="77777777" w:rsidTr="00E24456">
        <w:trPr>
          <w:trHeight w:val="285"/>
        </w:trPr>
        <w:tc>
          <w:tcPr>
            <w:tcW w:w="1259" w:type="pct"/>
            <w:vMerge/>
          </w:tcPr>
          <w:p w14:paraId="3B932401" w14:textId="77777777" w:rsidR="00EB65C6" w:rsidRPr="00585F8B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1377" w:type="pct"/>
          </w:tcPr>
          <w:p w14:paraId="3B932402" w14:textId="77777777" w:rsidR="00EB65C6" w:rsidRPr="00890443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Dysgeúzia</w:t>
            </w:r>
          </w:p>
        </w:tc>
        <w:tc>
          <w:tcPr>
            <w:tcW w:w="753" w:type="pct"/>
          </w:tcPr>
          <w:p w14:paraId="3B932403" w14:textId="77777777" w:rsidR="00EB65C6" w:rsidRPr="00890443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404" w14:textId="77777777" w:rsidR="00EB65C6" w:rsidRPr="00890443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877" w:type="pct"/>
          </w:tcPr>
          <w:p w14:paraId="3B932405" w14:textId="77777777" w:rsidR="00EB65C6" w:rsidRPr="00890443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</w:tc>
      </w:tr>
      <w:tr w:rsidR="00EB65C6" w:rsidRPr="00890443" w14:paraId="3B932415" w14:textId="77777777" w:rsidTr="00E24456">
        <w:trPr>
          <w:trHeight w:val="525"/>
        </w:trPr>
        <w:tc>
          <w:tcPr>
            <w:tcW w:w="1259" w:type="pct"/>
            <w:vMerge/>
          </w:tcPr>
          <w:p w14:paraId="3B93240D" w14:textId="77777777" w:rsidR="00EB65C6" w:rsidRPr="00585F8B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1377" w:type="pct"/>
          </w:tcPr>
          <w:p w14:paraId="3B93240E" w14:textId="77777777" w:rsidR="00EB65C6" w:rsidRPr="00890443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 xml:space="preserve">Bolesť hlavy </w:t>
            </w:r>
          </w:p>
          <w:p w14:paraId="3B93240F" w14:textId="77777777" w:rsidR="00EB65C6" w:rsidRPr="00890443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53" w:type="pct"/>
          </w:tcPr>
          <w:p w14:paraId="3B932410" w14:textId="77777777" w:rsidR="00EB65C6" w:rsidRPr="00890443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Časté</w:t>
            </w:r>
          </w:p>
          <w:p w14:paraId="3B932411" w14:textId="77777777" w:rsidR="00EB65C6" w:rsidRPr="00890443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412" w14:textId="77777777" w:rsidR="00EB65C6" w:rsidRPr="00890443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Časté</w:t>
            </w:r>
          </w:p>
          <w:p w14:paraId="3B932413" w14:textId="77777777" w:rsidR="00EB65C6" w:rsidRPr="00890443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877" w:type="pct"/>
          </w:tcPr>
          <w:p w14:paraId="3B932414" w14:textId="77777777" w:rsidR="00EB65C6" w:rsidRPr="00890443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Časté (najmä na začiatku liečby)</w:t>
            </w:r>
          </w:p>
        </w:tc>
      </w:tr>
      <w:tr w:rsidR="00EB65C6" w:rsidRPr="00890443" w14:paraId="3B93241B" w14:textId="77777777" w:rsidTr="00E24456">
        <w:trPr>
          <w:trHeight w:val="330"/>
        </w:trPr>
        <w:tc>
          <w:tcPr>
            <w:tcW w:w="1259" w:type="pct"/>
            <w:vMerge/>
          </w:tcPr>
          <w:p w14:paraId="3B932416" w14:textId="77777777" w:rsidR="00EB65C6" w:rsidRPr="00585F8B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1377" w:type="pct"/>
          </w:tcPr>
          <w:p w14:paraId="3B932417" w14:textId="77777777" w:rsidR="00EB65C6" w:rsidRPr="00890443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Hypertónia</w:t>
            </w:r>
          </w:p>
        </w:tc>
        <w:tc>
          <w:tcPr>
            <w:tcW w:w="753" w:type="pct"/>
          </w:tcPr>
          <w:p w14:paraId="3B932418" w14:textId="77777777" w:rsidR="00EB65C6" w:rsidRPr="00890443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419" w14:textId="77777777" w:rsidR="00EB65C6" w:rsidRPr="00890443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877" w:type="pct"/>
          </w:tcPr>
          <w:p w14:paraId="3B93241A" w14:textId="77777777" w:rsidR="00EB65C6" w:rsidRPr="00890443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Veľmi zriedkavé</w:t>
            </w:r>
          </w:p>
        </w:tc>
      </w:tr>
      <w:tr w:rsidR="00EB65C6" w:rsidRPr="00890443" w14:paraId="3B932421" w14:textId="77777777" w:rsidTr="00E24456">
        <w:trPr>
          <w:trHeight w:val="165"/>
        </w:trPr>
        <w:tc>
          <w:tcPr>
            <w:tcW w:w="1259" w:type="pct"/>
            <w:vMerge/>
          </w:tcPr>
          <w:p w14:paraId="3B93241C" w14:textId="77777777" w:rsidR="00EB65C6" w:rsidRPr="00585F8B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1377" w:type="pct"/>
          </w:tcPr>
          <w:p w14:paraId="3B93241D" w14:textId="77777777" w:rsidR="00EB65C6" w:rsidRPr="00890443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Hypestézia</w:t>
            </w:r>
          </w:p>
        </w:tc>
        <w:tc>
          <w:tcPr>
            <w:tcW w:w="753" w:type="pct"/>
          </w:tcPr>
          <w:p w14:paraId="3B93241E" w14:textId="77777777" w:rsidR="00EB65C6" w:rsidRPr="00890443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</w:tc>
        <w:tc>
          <w:tcPr>
            <w:tcW w:w="733" w:type="pct"/>
          </w:tcPr>
          <w:p w14:paraId="3B93241F" w14:textId="77777777" w:rsidR="00EB65C6" w:rsidRPr="00890443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877" w:type="pct"/>
          </w:tcPr>
          <w:p w14:paraId="3B932420" w14:textId="77777777" w:rsidR="00EB65C6" w:rsidRPr="00890443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</w:tc>
      </w:tr>
      <w:tr w:rsidR="00EB65C6" w:rsidRPr="00890443" w14:paraId="3B932427" w14:textId="77777777" w:rsidTr="00E24456">
        <w:trPr>
          <w:trHeight w:val="240"/>
        </w:trPr>
        <w:tc>
          <w:tcPr>
            <w:tcW w:w="1259" w:type="pct"/>
            <w:vMerge/>
          </w:tcPr>
          <w:p w14:paraId="3B932422" w14:textId="77777777" w:rsidR="00EB65C6" w:rsidRPr="00585F8B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1377" w:type="pct"/>
          </w:tcPr>
          <w:p w14:paraId="3B932423" w14:textId="77777777" w:rsidR="00EB65C6" w:rsidRPr="00890443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Letargia</w:t>
            </w:r>
          </w:p>
        </w:tc>
        <w:tc>
          <w:tcPr>
            <w:tcW w:w="753" w:type="pct"/>
          </w:tcPr>
          <w:p w14:paraId="3B932424" w14:textId="77777777" w:rsidR="00EB65C6" w:rsidRPr="00890443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</w:tc>
        <w:tc>
          <w:tcPr>
            <w:tcW w:w="733" w:type="pct"/>
          </w:tcPr>
          <w:p w14:paraId="3B932425" w14:textId="77777777" w:rsidR="00EB65C6" w:rsidRPr="00890443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877" w:type="pct"/>
          </w:tcPr>
          <w:p w14:paraId="3B932426" w14:textId="77777777" w:rsidR="00EB65C6" w:rsidRPr="00890443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</w:tr>
      <w:tr w:rsidR="00EB65C6" w:rsidRPr="00890443" w14:paraId="3B93242D" w14:textId="77777777" w:rsidTr="00E24456">
        <w:trPr>
          <w:trHeight w:val="315"/>
        </w:trPr>
        <w:tc>
          <w:tcPr>
            <w:tcW w:w="1259" w:type="pct"/>
            <w:vMerge/>
          </w:tcPr>
          <w:p w14:paraId="3B932428" w14:textId="77777777" w:rsidR="00EB65C6" w:rsidRPr="00585F8B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1377" w:type="pct"/>
          </w:tcPr>
          <w:p w14:paraId="3B932429" w14:textId="77777777" w:rsidR="00EB65C6" w:rsidRPr="00890443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Parestézia</w:t>
            </w:r>
          </w:p>
        </w:tc>
        <w:tc>
          <w:tcPr>
            <w:tcW w:w="753" w:type="pct"/>
          </w:tcPr>
          <w:p w14:paraId="3B93242A" w14:textId="77777777" w:rsidR="00EB65C6" w:rsidRPr="00890443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</w:tc>
        <w:tc>
          <w:tcPr>
            <w:tcW w:w="733" w:type="pct"/>
          </w:tcPr>
          <w:p w14:paraId="3B93242B" w14:textId="77777777" w:rsidR="00EB65C6" w:rsidRPr="00890443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877" w:type="pct"/>
          </w:tcPr>
          <w:p w14:paraId="3B93242C" w14:textId="77777777" w:rsidR="00EB65C6" w:rsidRPr="00890443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</w:tc>
      </w:tr>
      <w:tr w:rsidR="00EB65C6" w:rsidRPr="00890443" w14:paraId="3B932433" w14:textId="77777777" w:rsidTr="00E24456">
        <w:trPr>
          <w:trHeight w:val="345"/>
        </w:trPr>
        <w:tc>
          <w:tcPr>
            <w:tcW w:w="1259" w:type="pct"/>
            <w:vMerge/>
          </w:tcPr>
          <w:p w14:paraId="3B93242E" w14:textId="77777777" w:rsidR="00EB65C6" w:rsidRPr="00585F8B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1377" w:type="pct"/>
          </w:tcPr>
          <w:p w14:paraId="3B93242F" w14:textId="77777777" w:rsidR="00EB65C6" w:rsidRPr="00890443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Periférna neuropatia</w:t>
            </w:r>
          </w:p>
        </w:tc>
        <w:tc>
          <w:tcPr>
            <w:tcW w:w="753" w:type="pct"/>
          </w:tcPr>
          <w:p w14:paraId="3B932430" w14:textId="77777777" w:rsidR="00EB65C6" w:rsidRPr="00890443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431" w14:textId="77777777" w:rsidR="00EB65C6" w:rsidRPr="00890443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877" w:type="pct"/>
          </w:tcPr>
          <w:p w14:paraId="3B932432" w14:textId="77777777" w:rsidR="00EB65C6" w:rsidRPr="00890443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Veľmi zriedkavé</w:t>
            </w:r>
          </w:p>
        </w:tc>
      </w:tr>
      <w:tr w:rsidR="00EB65C6" w:rsidRPr="00890443" w14:paraId="3B932439" w14:textId="77777777" w:rsidTr="00E24456">
        <w:trPr>
          <w:trHeight w:val="345"/>
        </w:trPr>
        <w:tc>
          <w:tcPr>
            <w:tcW w:w="1259" w:type="pct"/>
            <w:vMerge/>
          </w:tcPr>
          <w:p w14:paraId="3B932434" w14:textId="77777777" w:rsidR="00EB65C6" w:rsidRPr="00585F8B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1377" w:type="pct"/>
          </w:tcPr>
          <w:p w14:paraId="3B932435" w14:textId="77777777" w:rsidR="00EB65C6" w:rsidRPr="00890443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Posturálny závrat</w:t>
            </w:r>
          </w:p>
        </w:tc>
        <w:tc>
          <w:tcPr>
            <w:tcW w:w="753" w:type="pct"/>
          </w:tcPr>
          <w:p w14:paraId="3B932436" w14:textId="77777777" w:rsidR="00EB65C6" w:rsidRPr="00890443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</w:tc>
        <w:tc>
          <w:tcPr>
            <w:tcW w:w="733" w:type="pct"/>
          </w:tcPr>
          <w:p w14:paraId="3B932437" w14:textId="77777777" w:rsidR="00EB65C6" w:rsidRPr="00890443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877" w:type="pct"/>
          </w:tcPr>
          <w:p w14:paraId="3B932438" w14:textId="77777777" w:rsidR="00EB65C6" w:rsidRPr="00890443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</w:tr>
      <w:tr w:rsidR="00EB65C6" w:rsidRPr="00890443" w14:paraId="3B93243F" w14:textId="77777777" w:rsidTr="00E24456">
        <w:trPr>
          <w:trHeight w:val="180"/>
        </w:trPr>
        <w:tc>
          <w:tcPr>
            <w:tcW w:w="1259" w:type="pct"/>
            <w:vMerge/>
          </w:tcPr>
          <w:p w14:paraId="3B93243A" w14:textId="77777777" w:rsidR="00EB65C6" w:rsidRPr="00585F8B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1377" w:type="pct"/>
          </w:tcPr>
          <w:p w14:paraId="3B93243B" w14:textId="77777777" w:rsidR="00EB65C6" w:rsidRPr="00890443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 xml:space="preserve">Poruchy spánku </w:t>
            </w:r>
          </w:p>
        </w:tc>
        <w:tc>
          <w:tcPr>
            <w:tcW w:w="753" w:type="pct"/>
          </w:tcPr>
          <w:p w14:paraId="3B93243C" w14:textId="77777777" w:rsidR="00EB65C6" w:rsidRPr="00890443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43D" w14:textId="77777777" w:rsidR="00EB65C6" w:rsidRPr="00890443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877" w:type="pct"/>
          </w:tcPr>
          <w:p w14:paraId="3B93243E" w14:textId="77777777" w:rsidR="00EB65C6" w:rsidRPr="00890443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</w:tc>
      </w:tr>
      <w:tr w:rsidR="00EB65C6" w:rsidRPr="00890443" w14:paraId="3B932445" w14:textId="77777777" w:rsidTr="00E24456">
        <w:trPr>
          <w:trHeight w:val="255"/>
        </w:trPr>
        <w:tc>
          <w:tcPr>
            <w:tcW w:w="1259" w:type="pct"/>
            <w:vMerge/>
          </w:tcPr>
          <w:p w14:paraId="3B932440" w14:textId="77777777" w:rsidR="00EB65C6" w:rsidRPr="00585F8B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1377" w:type="pct"/>
          </w:tcPr>
          <w:p w14:paraId="3B932441" w14:textId="77777777" w:rsidR="00EB65C6" w:rsidRPr="00890443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Somnolencia</w:t>
            </w:r>
          </w:p>
        </w:tc>
        <w:tc>
          <w:tcPr>
            <w:tcW w:w="753" w:type="pct"/>
          </w:tcPr>
          <w:p w14:paraId="3B932442" w14:textId="77777777" w:rsidR="00EB65C6" w:rsidRPr="00890443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443" w14:textId="77777777" w:rsidR="00EB65C6" w:rsidRPr="00890443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877" w:type="pct"/>
          </w:tcPr>
          <w:p w14:paraId="3B932444" w14:textId="77777777" w:rsidR="00EB65C6" w:rsidRPr="00890443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Časté</w:t>
            </w:r>
          </w:p>
        </w:tc>
      </w:tr>
      <w:tr w:rsidR="00EB65C6" w:rsidRPr="00890443" w14:paraId="3B93244B" w14:textId="77777777" w:rsidTr="00E24456">
        <w:trPr>
          <w:trHeight w:val="330"/>
        </w:trPr>
        <w:tc>
          <w:tcPr>
            <w:tcW w:w="1259" w:type="pct"/>
            <w:vMerge/>
          </w:tcPr>
          <w:p w14:paraId="3B932446" w14:textId="77777777" w:rsidR="00EB65C6" w:rsidRPr="00585F8B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1377" w:type="pct"/>
          </w:tcPr>
          <w:p w14:paraId="3B932447" w14:textId="77777777" w:rsidR="00EB65C6" w:rsidRPr="00890443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Synkopa</w:t>
            </w:r>
          </w:p>
        </w:tc>
        <w:tc>
          <w:tcPr>
            <w:tcW w:w="753" w:type="pct"/>
          </w:tcPr>
          <w:p w14:paraId="3B932448" w14:textId="77777777" w:rsidR="00EB65C6" w:rsidRPr="00890443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Zriedkavé</w:t>
            </w:r>
          </w:p>
        </w:tc>
        <w:tc>
          <w:tcPr>
            <w:tcW w:w="733" w:type="pct"/>
          </w:tcPr>
          <w:p w14:paraId="3B932449" w14:textId="77777777" w:rsidR="00EB65C6" w:rsidRPr="00890443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877" w:type="pct"/>
          </w:tcPr>
          <w:p w14:paraId="3B93244A" w14:textId="77777777" w:rsidR="00EB65C6" w:rsidRPr="00890443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</w:tc>
      </w:tr>
      <w:tr w:rsidR="00EB65C6" w:rsidRPr="00890443" w14:paraId="3B932451" w14:textId="77777777" w:rsidTr="00E24456">
        <w:trPr>
          <w:trHeight w:val="275"/>
        </w:trPr>
        <w:tc>
          <w:tcPr>
            <w:tcW w:w="1259" w:type="pct"/>
            <w:vMerge/>
          </w:tcPr>
          <w:p w14:paraId="3B93244C" w14:textId="77777777" w:rsidR="00EB65C6" w:rsidRPr="00585F8B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1377" w:type="pct"/>
          </w:tcPr>
          <w:p w14:paraId="3B93244D" w14:textId="77777777" w:rsidR="00EB65C6" w:rsidRPr="00890443" w:rsidRDefault="00EB65C6" w:rsidP="00EB65C6">
            <w:pPr>
              <w:autoSpaceDE w:val="0"/>
              <w:autoSpaceDN w:val="0"/>
              <w:adjustRightInd w:val="0"/>
              <w:ind w:left="0"/>
              <w:outlineLvl w:val="0"/>
              <w:rPr>
                <w:szCs w:val="22"/>
              </w:rPr>
            </w:pPr>
            <w:r>
              <w:rPr>
                <w:szCs w:val="22"/>
              </w:rPr>
              <w:t xml:space="preserve">          </w:t>
            </w:r>
            <w:r w:rsidRPr="00890443">
              <w:rPr>
                <w:szCs w:val="22"/>
              </w:rPr>
              <w:t>Tremor</w:t>
            </w:r>
          </w:p>
        </w:tc>
        <w:tc>
          <w:tcPr>
            <w:tcW w:w="753" w:type="pct"/>
          </w:tcPr>
          <w:p w14:paraId="3B93244E" w14:textId="77777777" w:rsidR="00EB65C6" w:rsidRPr="00890443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44F" w14:textId="77777777" w:rsidR="00EB65C6" w:rsidRPr="00890443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877" w:type="pct"/>
          </w:tcPr>
          <w:p w14:paraId="3B932450" w14:textId="77777777" w:rsidR="00EB65C6" w:rsidRPr="00890443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</w:tc>
      </w:tr>
      <w:tr w:rsidR="00EB65C6" w:rsidRPr="00890443" w14:paraId="3B932457" w14:textId="77777777" w:rsidTr="00E24456">
        <w:trPr>
          <w:trHeight w:val="288"/>
        </w:trPr>
        <w:tc>
          <w:tcPr>
            <w:tcW w:w="1259" w:type="pct"/>
            <w:vMerge/>
          </w:tcPr>
          <w:p w14:paraId="3B932452" w14:textId="77777777" w:rsidR="00EB65C6" w:rsidRPr="00585F8B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1377" w:type="pct"/>
          </w:tcPr>
          <w:p w14:paraId="3B932453" w14:textId="31ADD3D7" w:rsidR="00EB65C6" w:rsidRPr="00890443" w:rsidRDefault="00EB65C6" w:rsidP="008F7E13">
            <w:pPr>
              <w:autoSpaceDE w:val="0"/>
              <w:autoSpaceDN w:val="0"/>
              <w:adjustRightInd w:val="0"/>
              <w:ind w:left="0"/>
              <w:outlineLvl w:val="0"/>
              <w:rPr>
                <w:szCs w:val="22"/>
              </w:rPr>
            </w:pPr>
            <w:r>
              <w:rPr>
                <w:szCs w:val="22"/>
              </w:rPr>
              <w:t xml:space="preserve">          Extrapyram</w:t>
            </w:r>
            <w:r w:rsidR="008F7E13">
              <w:rPr>
                <w:szCs w:val="22"/>
              </w:rPr>
              <w:t>ídová</w:t>
            </w:r>
            <w:r>
              <w:rPr>
                <w:szCs w:val="22"/>
              </w:rPr>
              <w:t xml:space="preserve"> porucha</w:t>
            </w:r>
          </w:p>
        </w:tc>
        <w:tc>
          <w:tcPr>
            <w:tcW w:w="753" w:type="pct"/>
          </w:tcPr>
          <w:p w14:paraId="3B932454" w14:textId="77777777" w:rsidR="00EB65C6" w:rsidRPr="00890443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455" w14:textId="77777777" w:rsidR="00EB65C6" w:rsidRPr="00890443" w:rsidRDefault="00EB65C6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877" w:type="pct"/>
          </w:tcPr>
          <w:p w14:paraId="3B932456" w14:textId="77777777" w:rsidR="00EB65C6" w:rsidRPr="00890443" w:rsidRDefault="00110F87" w:rsidP="00110F87">
            <w:pPr>
              <w:autoSpaceDE w:val="0"/>
              <w:autoSpaceDN w:val="0"/>
              <w:adjustRightInd w:val="0"/>
              <w:ind w:left="0"/>
              <w:outlineLvl w:val="0"/>
              <w:rPr>
                <w:szCs w:val="22"/>
              </w:rPr>
            </w:pPr>
            <w:r>
              <w:rPr>
                <w:szCs w:val="22"/>
              </w:rPr>
              <w:t xml:space="preserve">          Neznáme </w:t>
            </w:r>
          </w:p>
        </w:tc>
      </w:tr>
      <w:tr w:rsidR="00890443" w:rsidRPr="00890443" w14:paraId="3B93245D" w14:textId="77777777" w:rsidTr="00E24456">
        <w:trPr>
          <w:trHeight w:val="270"/>
        </w:trPr>
        <w:tc>
          <w:tcPr>
            <w:tcW w:w="1259" w:type="pct"/>
          </w:tcPr>
          <w:p w14:paraId="3B932458" w14:textId="77777777" w:rsidR="00890443" w:rsidRPr="00585F8B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szCs w:val="22"/>
              </w:rPr>
            </w:pPr>
            <w:r w:rsidRPr="00585F8B">
              <w:rPr>
                <w:b/>
                <w:szCs w:val="22"/>
              </w:rPr>
              <w:t>Poruchy oka</w:t>
            </w:r>
          </w:p>
        </w:tc>
        <w:tc>
          <w:tcPr>
            <w:tcW w:w="1377" w:type="pct"/>
          </w:tcPr>
          <w:p w14:paraId="3B932459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Poruchy videnia (vrátane diplopie)</w:t>
            </w:r>
          </w:p>
        </w:tc>
        <w:tc>
          <w:tcPr>
            <w:tcW w:w="753" w:type="pct"/>
          </w:tcPr>
          <w:p w14:paraId="3B93245A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45B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877" w:type="pct"/>
          </w:tcPr>
          <w:p w14:paraId="3B93245C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Časté</w:t>
            </w:r>
          </w:p>
        </w:tc>
      </w:tr>
      <w:tr w:rsidR="00890443" w:rsidRPr="00890443" w14:paraId="3B932463" w14:textId="77777777" w:rsidTr="00E24456">
        <w:trPr>
          <w:trHeight w:val="285"/>
        </w:trPr>
        <w:tc>
          <w:tcPr>
            <w:tcW w:w="1259" w:type="pct"/>
            <w:vMerge w:val="restart"/>
          </w:tcPr>
          <w:p w14:paraId="3B93245E" w14:textId="1DF80D60" w:rsidR="00890443" w:rsidRPr="00585F8B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szCs w:val="22"/>
              </w:rPr>
            </w:pPr>
            <w:bookmarkStart w:id="45" w:name="_Toc205605653"/>
            <w:r w:rsidRPr="00585F8B">
              <w:rPr>
                <w:b/>
                <w:szCs w:val="22"/>
              </w:rPr>
              <w:t>Poruchy ucha a labyrintu</w:t>
            </w:r>
            <w:bookmarkEnd w:id="45"/>
          </w:p>
        </w:tc>
        <w:tc>
          <w:tcPr>
            <w:tcW w:w="1377" w:type="pct"/>
          </w:tcPr>
          <w:p w14:paraId="3B93245F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Tinnitus</w:t>
            </w:r>
          </w:p>
        </w:tc>
        <w:tc>
          <w:tcPr>
            <w:tcW w:w="753" w:type="pct"/>
          </w:tcPr>
          <w:p w14:paraId="3B932460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461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877" w:type="pct"/>
          </w:tcPr>
          <w:p w14:paraId="3B932462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</w:tc>
      </w:tr>
      <w:tr w:rsidR="00890443" w:rsidRPr="00890443" w14:paraId="3B93246A" w14:textId="77777777" w:rsidTr="00E24456">
        <w:trPr>
          <w:trHeight w:val="540"/>
        </w:trPr>
        <w:tc>
          <w:tcPr>
            <w:tcW w:w="1259" w:type="pct"/>
            <w:vMerge/>
          </w:tcPr>
          <w:p w14:paraId="3B932464" w14:textId="77777777" w:rsidR="00890443" w:rsidRPr="00585F8B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szCs w:val="22"/>
              </w:rPr>
            </w:pPr>
          </w:p>
        </w:tc>
        <w:tc>
          <w:tcPr>
            <w:tcW w:w="1377" w:type="pct"/>
          </w:tcPr>
          <w:p w14:paraId="3B932465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Vertigo</w:t>
            </w:r>
          </w:p>
        </w:tc>
        <w:tc>
          <w:tcPr>
            <w:tcW w:w="753" w:type="pct"/>
          </w:tcPr>
          <w:p w14:paraId="3B932466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  <w:p w14:paraId="3B932467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468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</w:tc>
        <w:tc>
          <w:tcPr>
            <w:tcW w:w="877" w:type="pct"/>
          </w:tcPr>
          <w:p w14:paraId="3B932469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</w:tr>
      <w:tr w:rsidR="00890443" w:rsidRPr="00890443" w14:paraId="3B932475" w14:textId="77777777" w:rsidTr="00E24456">
        <w:trPr>
          <w:trHeight w:val="720"/>
        </w:trPr>
        <w:tc>
          <w:tcPr>
            <w:tcW w:w="1259" w:type="pct"/>
            <w:vMerge w:val="restart"/>
          </w:tcPr>
          <w:p w14:paraId="3B93246B" w14:textId="6D88BE73" w:rsidR="00890443" w:rsidRPr="00585F8B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szCs w:val="22"/>
              </w:rPr>
            </w:pPr>
            <w:bookmarkStart w:id="46" w:name="_Toc205605655"/>
            <w:r w:rsidRPr="00585F8B">
              <w:rPr>
                <w:b/>
                <w:szCs w:val="22"/>
              </w:rPr>
              <w:t>Poruchy srdca</w:t>
            </w:r>
            <w:bookmarkEnd w:id="46"/>
            <w:r w:rsidRPr="00585F8B">
              <w:rPr>
                <w:b/>
                <w:szCs w:val="22"/>
              </w:rPr>
              <w:t xml:space="preserve"> a srdcovej činnosti </w:t>
            </w:r>
          </w:p>
        </w:tc>
        <w:tc>
          <w:tcPr>
            <w:tcW w:w="1377" w:type="pct"/>
          </w:tcPr>
          <w:p w14:paraId="3B93246C" w14:textId="6BA60C9F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Ang</w:t>
            </w:r>
            <w:r w:rsidR="00421AE4">
              <w:rPr>
                <w:szCs w:val="22"/>
              </w:rPr>
              <w:t>i</w:t>
            </w:r>
            <w:r w:rsidRPr="00890443">
              <w:rPr>
                <w:szCs w:val="22"/>
              </w:rPr>
              <w:t>na pe</w:t>
            </w:r>
            <w:r w:rsidR="00421AE4">
              <w:rPr>
                <w:szCs w:val="22"/>
              </w:rPr>
              <w:t>c</w:t>
            </w:r>
            <w:r w:rsidRPr="00890443">
              <w:rPr>
                <w:szCs w:val="22"/>
              </w:rPr>
              <w:t>toris</w:t>
            </w:r>
          </w:p>
          <w:p w14:paraId="3B93246D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  <w:p w14:paraId="3B93246E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53" w:type="pct"/>
          </w:tcPr>
          <w:p w14:paraId="3B93246F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bookmarkStart w:id="47" w:name="_Toc205605656"/>
          </w:p>
          <w:p w14:paraId="3B932470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  <w:bookmarkEnd w:id="47"/>
          <w:p w14:paraId="3B932471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472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</w:tc>
        <w:tc>
          <w:tcPr>
            <w:tcW w:w="877" w:type="pct"/>
          </w:tcPr>
          <w:p w14:paraId="3B932473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 (vrátane zhoršenia</w:t>
            </w:r>
          </w:p>
          <w:p w14:paraId="3B932474" w14:textId="7DD2777A" w:rsidR="00890443" w:rsidRPr="00890443" w:rsidRDefault="00890443" w:rsidP="00421AE4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ang</w:t>
            </w:r>
            <w:r w:rsidR="00421AE4">
              <w:rPr>
                <w:szCs w:val="22"/>
              </w:rPr>
              <w:t>i</w:t>
            </w:r>
            <w:r w:rsidRPr="00890443">
              <w:rPr>
                <w:szCs w:val="22"/>
              </w:rPr>
              <w:t>ny pe</w:t>
            </w:r>
            <w:r w:rsidR="00421AE4">
              <w:rPr>
                <w:szCs w:val="22"/>
              </w:rPr>
              <w:t>c</w:t>
            </w:r>
            <w:r w:rsidRPr="00890443">
              <w:rPr>
                <w:szCs w:val="22"/>
              </w:rPr>
              <w:t>toris)</w:t>
            </w:r>
          </w:p>
        </w:tc>
      </w:tr>
      <w:tr w:rsidR="00890443" w:rsidRPr="00890443" w14:paraId="3B932482" w14:textId="77777777" w:rsidTr="00E24456">
        <w:trPr>
          <w:trHeight w:val="978"/>
        </w:trPr>
        <w:tc>
          <w:tcPr>
            <w:tcW w:w="1259" w:type="pct"/>
            <w:vMerge/>
          </w:tcPr>
          <w:p w14:paraId="3B932476" w14:textId="77777777" w:rsidR="00890443" w:rsidRPr="00585F8B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szCs w:val="22"/>
              </w:rPr>
            </w:pPr>
          </w:p>
        </w:tc>
        <w:tc>
          <w:tcPr>
            <w:tcW w:w="1377" w:type="pct"/>
          </w:tcPr>
          <w:p w14:paraId="3B932477" w14:textId="77777777" w:rsidR="00890443" w:rsidRPr="00890443" w:rsidRDefault="00890443" w:rsidP="00DA12C5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 xml:space="preserve">Arytmia (vrátane bradykardie, </w:t>
            </w:r>
            <w:r w:rsidR="00DA12C5">
              <w:rPr>
                <w:szCs w:val="22"/>
              </w:rPr>
              <w:t>ventrikulárnej</w:t>
            </w:r>
            <w:r w:rsidRPr="00890443">
              <w:rPr>
                <w:szCs w:val="22"/>
              </w:rPr>
              <w:t xml:space="preserve"> tachykardie a</w:t>
            </w:r>
            <w:r w:rsidR="00DA12C5">
              <w:rPr>
                <w:szCs w:val="22"/>
              </w:rPr>
              <w:t xml:space="preserve"> atriálnej </w:t>
            </w:r>
            <w:r w:rsidRPr="00890443">
              <w:rPr>
                <w:szCs w:val="22"/>
              </w:rPr>
              <w:t>fibrilácie)</w:t>
            </w:r>
          </w:p>
        </w:tc>
        <w:tc>
          <w:tcPr>
            <w:tcW w:w="753" w:type="pct"/>
          </w:tcPr>
          <w:p w14:paraId="3B932478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  <w:p w14:paraId="3B932479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  <w:p w14:paraId="3B93247A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  <w:p w14:paraId="3B93247B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  <w:p w14:paraId="3B93247C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47D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877" w:type="pct"/>
          </w:tcPr>
          <w:p w14:paraId="3B93247E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  <w:p w14:paraId="3B93247F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  <w:p w14:paraId="3B932480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  <w:p w14:paraId="3B932481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</w:tr>
      <w:tr w:rsidR="00890443" w:rsidRPr="00890443" w14:paraId="3B932488" w14:textId="77777777" w:rsidTr="00E24456">
        <w:trPr>
          <w:trHeight w:val="255"/>
        </w:trPr>
        <w:tc>
          <w:tcPr>
            <w:tcW w:w="1259" w:type="pct"/>
            <w:vMerge/>
          </w:tcPr>
          <w:p w14:paraId="3B932483" w14:textId="77777777" w:rsidR="00890443" w:rsidRPr="00585F8B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szCs w:val="22"/>
              </w:rPr>
            </w:pPr>
          </w:p>
        </w:tc>
        <w:tc>
          <w:tcPr>
            <w:tcW w:w="1377" w:type="pct"/>
          </w:tcPr>
          <w:p w14:paraId="3B932484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Infarkt myokardu</w:t>
            </w:r>
          </w:p>
        </w:tc>
        <w:tc>
          <w:tcPr>
            <w:tcW w:w="753" w:type="pct"/>
          </w:tcPr>
          <w:p w14:paraId="3B932485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486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877" w:type="pct"/>
          </w:tcPr>
          <w:p w14:paraId="3B932487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Veľmi zriedkavé</w:t>
            </w:r>
          </w:p>
        </w:tc>
      </w:tr>
      <w:tr w:rsidR="00890443" w:rsidRPr="00890443" w14:paraId="3B93248E" w14:textId="77777777" w:rsidTr="00E24456">
        <w:trPr>
          <w:trHeight w:val="330"/>
        </w:trPr>
        <w:tc>
          <w:tcPr>
            <w:tcW w:w="1259" w:type="pct"/>
            <w:vMerge/>
          </w:tcPr>
          <w:p w14:paraId="3B932489" w14:textId="77777777" w:rsidR="00890443" w:rsidRPr="00585F8B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szCs w:val="22"/>
              </w:rPr>
            </w:pPr>
          </w:p>
        </w:tc>
        <w:tc>
          <w:tcPr>
            <w:tcW w:w="1377" w:type="pct"/>
          </w:tcPr>
          <w:p w14:paraId="3B93248A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Palpitácie</w:t>
            </w:r>
          </w:p>
        </w:tc>
        <w:tc>
          <w:tcPr>
            <w:tcW w:w="753" w:type="pct"/>
          </w:tcPr>
          <w:p w14:paraId="3B93248B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</w:tc>
        <w:tc>
          <w:tcPr>
            <w:tcW w:w="733" w:type="pct"/>
          </w:tcPr>
          <w:p w14:paraId="3B93248C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877" w:type="pct"/>
          </w:tcPr>
          <w:p w14:paraId="3B93248D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Časté</w:t>
            </w:r>
          </w:p>
        </w:tc>
      </w:tr>
      <w:tr w:rsidR="00890443" w:rsidRPr="00890443" w14:paraId="3B932494" w14:textId="77777777" w:rsidTr="00E24456">
        <w:trPr>
          <w:trHeight w:val="510"/>
        </w:trPr>
        <w:tc>
          <w:tcPr>
            <w:tcW w:w="1259" w:type="pct"/>
            <w:vMerge/>
          </w:tcPr>
          <w:p w14:paraId="3B93248F" w14:textId="77777777" w:rsidR="00890443" w:rsidRPr="00585F8B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szCs w:val="22"/>
              </w:rPr>
            </w:pPr>
          </w:p>
        </w:tc>
        <w:tc>
          <w:tcPr>
            <w:tcW w:w="1377" w:type="pct"/>
          </w:tcPr>
          <w:p w14:paraId="3B932490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Tachykardia</w:t>
            </w:r>
          </w:p>
        </w:tc>
        <w:tc>
          <w:tcPr>
            <w:tcW w:w="753" w:type="pct"/>
          </w:tcPr>
          <w:p w14:paraId="3B932491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</w:tc>
        <w:tc>
          <w:tcPr>
            <w:tcW w:w="733" w:type="pct"/>
          </w:tcPr>
          <w:p w14:paraId="3B932492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877" w:type="pct"/>
          </w:tcPr>
          <w:p w14:paraId="3B932493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</w:tr>
      <w:tr w:rsidR="00890443" w:rsidRPr="00890443" w14:paraId="3B93249A" w14:textId="77777777" w:rsidTr="00E24456">
        <w:trPr>
          <w:trHeight w:val="315"/>
        </w:trPr>
        <w:tc>
          <w:tcPr>
            <w:tcW w:w="1259" w:type="pct"/>
            <w:vMerge w:val="restart"/>
          </w:tcPr>
          <w:p w14:paraId="3B932495" w14:textId="0211A1B7" w:rsidR="00890443" w:rsidRPr="00585F8B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szCs w:val="22"/>
              </w:rPr>
            </w:pPr>
            <w:bookmarkStart w:id="48" w:name="_Toc205605657"/>
            <w:r w:rsidRPr="00585F8B">
              <w:rPr>
                <w:b/>
                <w:szCs w:val="22"/>
              </w:rPr>
              <w:t>Poruchy</w:t>
            </w:r>
            <w:bookmarkEnd w:id="48"/>
            <w:r w:rsidRPr="00585F8B">
              <w:rPr>
                <w:b/>
                <w:szCs w:val="22"/>
              </w:rPr>
              <w:t xml:space="preserve"> ciev </w:t>
            </w:r>
          </w:p>
        </w:tc>
        <w:tc>
          <w:tcPr>
            <w:tcW w:w="1377" w:type="pct"/>
          </w:tcPr>
          <w:p w14:paraId="3B932496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Hypotenzia</w:t>
            </w:r>
          </w:p>
        </w:tc>
        <w:tc>
          <w:tcPr>
            <w:tcW w:w="753" w:type="pct"/>
          </w:tcPr>
          <w:p w14:paraId="3B932497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bookmarkStart w:id="49" w:name="_Toc205605658"/>
            <w:r w:rsidRPr="00890443">
              <w:rPr>
                <w:szCs w:val="22"/>
              </w:rPr>
              <w:t xml:space="preserve">Menej </w:t>
            </w:r>
            <w:bookmarkEnd w:id="49"/>
            <w:r w:rsidRPr="00890443">
              <w:rPr>
                <w:szCs w:val="22"/>
              </w:rPr>
              <w:t>časté</w:t>
            </w:r>
          </w:p>
        </w:tc>
        <w:tc>
          <w:tcPr>
            <w:tcW w:w="733" w:type="pct"/>
          </w:tcPr>
          <w:p w14:paraId="3B932498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Zriedkavé</w:t>
            </w:r>
          </w:p>
        </w:tc>
        <w:tc>
          <w:tcPr>
            <w:tcW w:w="877" w:type="pct"/>
          </w:tcPr>
          <w:p w14:paraId="3B932499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</w:tc>
      </w:tr>
      <w:tr w:rsidR="00890443" w:rsidRPr="00890443" w14:paraId="3B9324A2" w14:textId="77777777" w:rsidTr="00E24456">
        <w:trPr>
          <w:trHeight w:val="525"/>
        </w:trPr>
        <w:tc>
          <w:tcPr>
            <w:tcW w:w="1259" w:type="pct"/>
            <w:vMerge/>
          </w:tcPr>
          <w:p w14:paraId="3B93249B" w14:textId="77777777" w:rsidR="00890443" w:rsidRPr="00585F8B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1377" w:type="pct"/>
          </w:tcPr>
          <w:p w14:paraId="3B93249C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Ortostatická hypotenzia</w:t>
            </w:r>
          </w:p>
        </w:tc>
        <w:tc>
          <w:tcPr>
            <w:tcW w:w="753" w:type="pct"/>
          </w:tcPr>
          <w:p w14:paraId="3B93249D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  <w:p w14:paraId="3B93249E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49F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877" w:type="pct"/>
          </w:tcPr>
          <w:p w14:paraId="3B9324A0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  <w:p w14:paraId="3B9324A1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</w:tr>
      <w:tr w:rsidR="00890443" w:rsidRPr="00890443" w14:paraId="3B9324A8" w14:textId="77777777" w:rsidTr="00E24456">
        <w:trPr>
          <w:trHeight w:val="330"/>
        </w:trPr>
        <w:tc>
          <w:tcPr>
            <w:tcW w:w="1259" w:type="pct"/>
            <w:vMerge/>
          </w:tcPr>
          <w:p w14:paraId="3B9324A3" w14:textId="77777777" w:rsidR="00890443" w:rsidRPr="00585F8B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1377" w:type="pct"/>
          </w:tcPr>
          <w:p w14:paraId="3B9324A4" w14:textId="77777777" w:rsidR="00890443" w:rsidRPr="00890443" w:rsidRDefault="00890443" w:rsidP="00DA12C5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Sčerven</w:t>
            </w:r>
            <w:r w:rsidR="00DA12C5">
              <w:rPr>
                <w:szCs w:val="22"/>
              </w:rPr>
              <w:t>a</w:t>
            </w:r>
            <w:r w:rsidRPr="00890443">
              <w:rPr>
                <w:szCs w:val="22"/>
              </w:rPr>
              <w:t>nie</w:t>
            </w:r>
          </w:p>
        </w:tc>
        <w:tc>
          <w:tcPr>
            <w:tcW w:w="753" w:type="pct"/>
          </w:tcPr>
          <w:p w14:paraId="3B9324A5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Zriedkavé</w:t>
            </w:r>
          </w:p>
        </w:tc>
        <w:tc>
          <w:tcPr>
            <w:tcW w:w="733" w:type="pct"/>
          </w:tcPr>
          <w:p w14:paraId="3B9324A6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877" w:type="pct"/>
          </w:tcPr>
          <w:p w14:paraId="3B9324A7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Časté</w:t>
            </w:r>
          </w:p>
        </w:tc>
      </w:tr>
      <w:tr w:rsidR="00890443" w:rsidRPr="00890443" w14:paraId="3B9324AF" w14:textId="77777777" w:rsidTr="00E24456">
        <w:trPr>
          <w:trHeight w:val="495"/>
        </w:trPr>
        <w:tc>
          <w:tcPr>
            <w:tcW w:w="1259" w:type="pct"/>
            <w:vMerge/>
          </w:tcPr>
          <w:p w14:paraId="3B9324A9" w14:textId="77777777" w:rsidR="00890443" w:rsidRPr="00585F8B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1377" w:type="pct"/>
          </w:tcPr>
          <w:p w14:paraId="3B9324AA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Vaskulitída</w:t>
            </w:r>
          </w:p>
        </w:tc>
        <w:tc>
          <w:tcPr>
            <w:tcW w:w="753" w:type="pct"/>
          </w:tcPr>
          <w:p w14:paraId="3B9324AB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4AC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877" w:type="pct"/>
          </w:tcPr>
          <w:p w14:paraId="3B9324AD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Veľmi zriedkavé</w:t>
            </w:r>
          </w:p>
          <w:p w14:paraId="3B9324AE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</w:tr>
      <w:tr w:rsidR="00890443" w:rsidRPr="00890443" w14:paraId="3B9324B5" w14:textId="77777777" w:rsidTr="00E24456">
        <w:trPr>
          <w:trHeight w:val="315"/>
        </w:trPr>
        <w:tc>
          <w:tcPr>
            <w:tcW w:w="1259" w:type="pct"/>
            <w:vMerge w:val="restart"/>
          </w:tcPr>
          <w:p w14:paraId="3B9324B0" w14:textId="03EA1E08" w:rsidR="00890443" w:rsidRPr="00585F8B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szCs w:val="22"/>
              </w:rPr>
            </w:pPr>
            <w:bookmarkStart w:id="50" w:name="_Toc205605659"/>
            <w:r w:rsidRPr="00585F8B">
              <w:rPr>
                <w:b/>
                <w:szCs w:val="22"/>
              </w:rPr>
              <w:t>Poruchy dýchacej sústavy, hrudníka a mediastína</w:t>
            </w:r>
            <w:bookmarkEnd w:id="50"/>
            <w:r w:rsidRPr="00585F8B">
              <w:rPr>
                <w:b/>
                <w:szCs w:val="22"/>
              </w:rPr>
              <w:t xml:space="preserve"> </w:t>
            </w:r>
          </w:p>
        </w:tc>
        <w:tc>
          <w:tcPr>
            <w:tcW w:w="1377" w:type="pct"/>
          </w:tcPr>
          <w:p w14:paraId="3B9324B1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Bronchitída</w:t>
            </w:r>
          </w:p>
        </w:tc>
        <w:tc>
          <w:tcPr>
            <w:tcW w:w="753" w:type="pct"/>
          </w:tcPr>
          <w:p w14:paraId="3B9324B2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4B3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Časté</w:t>
            </w:r>
          </w:p>
        </w:tc>
        <w:tc>
          <w:tcPr>
            <w:tcW w:w="877" w:type="pct"/>
          </w:tcPr>
          <w:p w14:paraId="3B9324B4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</w:tr>
      <w:tr w:rsidR="00890443" w:rsidRPr="00890443" w14:paraId="3B9324BB" w14:textId="77777777" w:rsidTr="00E24456">
        <w:trPr>
          <w:trHeight w:val="180"/>
        </w:trPr>
        <w:tc>
          <w:tcPr>
            <w:tcW w:w="1259" w:type="pct"/>
            <w:vMerge/>
          </w:tcPr>
          <w:p w14:paraId="3B9324B6" w14:textId="77777777" w:rsidR="00890443" w:rsidRPr="00585F8B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szCs w:val="22"/>
              </w:rPr>
            </w:pPr>
          </w:p>
        </w:tc>
        <w:tc>
          <w:tcPr>
            <w:tcW w:w="1377" w:type="pct"/>
          </w:tcPr>
          <w:p w14:paraId="3B9324B7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Kašeľ</w:t>
            </w:r>
          </w:p>
        </w:tc>
        <w:tc>
          <w:tcPr>
            <w:tcW w:w="753" w:type="pct"/>
          </w:tcPr>
          <w:p w14:paraId="3B9324B8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bookmarkStart w:id="51" w:name="_Toc205605660"/>
            <w:r w:rsidRPr="00890443">
              <w:rPr>
                <w:szCs w:val="22"/>
              </w:rPr>
              <w:t>Menej časté</w:t>
            </w:r>
            <w:bookmarkEnd w:id="51"/>
          </w:p>
        </w:tc>
        <w:tc>
          <w:tcPr>
            <w:tcW w:w="733" w:type="pct"/>
          </w:tcPr>
          <w:p w14:paraId="3B9324B9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Časté</w:t>
            </w:r>
          </w:p>
        </w:tc>
        <w:tc>
          <w:tcPr>
            <w:tcW w:w="877" w:type="pct"/>
          </w:tcPr>
          <w:p w14:paraId="3B9324BA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</w:tc>
      </w:tr>
      <w:tr w:rsidR="00890443" w:rsidRPr="00890443" w14:paraId="3B9324C1" w14:textId="77777777" w:rsidTr="00E24456">
        <w:trPr>
          <w:trHeight w:val="255"/>
        </w:trPr>
        <w:tc>
          <w:tcPr>
            <w:tcW w:w="1259" w:type="pct"/>
            <w:vMerge/>
          </w:tcPr>
          <w:p w14:paraId="3B9324BC" w14:textId="77777777" w:rsidR="00890443" w:rsidRPr="00585F8B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szCs w:val="22"/>
              </w:rPr>
            </w:pPr>
          </w:p>
        </w:tc>
        <w:tc>
          <w:tcPr>
            <w:tcW w:w="1377" w:type="pct"/>
          </w:tcPr>
          <w:p w14:paraId="3B9324BD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Dyspnoe</w:t>
            </w:r>
          </w:p>
        </w:tc>
        <w:tc>
          <w:tcPr>
            <w:tcW w:w="753" w:type="pct"/>
          </w:tcPr>
          <w:p w14:paraId="3B9324BE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</w:tc>
        <w:tc>
          <w:tcPr>
            <w:tcW w:w="733" w:type="pct"/>
          </w:tcPr>
          <w:p w14:paraId="3B9324BF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877" w:type="pct"/>
          </w:tcPr>
          <w:p w14:paraId="3B9324C0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Časté</w:t>
            </w:r>
          </w:p>
        </w:tc>
      </w:tr>
      <w:tr w:rsidR="00890443" w:rsidRPr="00890443" w14:paraId="3B9324C7" w14:textId="77777777" w:rsidTr="00E24456">
        <w:trPr>
          <w:trHeight w:val="330"/>
        </w:trPr>
        <w:tc>
          <w:tcPr>
            <w:tcW w:w="1259" w:type="pct"/>
            <w:vMerge/>
          </w:tcPr>
          <w:p w14:paraId="3B9324C2" w14:textId="77777777" w:rsidR="00890443" w:rsidRPr="00585F8B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szCs w:val="22"/>
              </w:rPr>
            </w:pPr>
          </w:p>
        </w:tc>
        <w:tc>
          <w:tcPr>
            <w:tcW w:w="1377" w:type="pct"/>
          </w:tcPr>
          <w:p w14:paraId="3B9324C3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Faryngitída</w:t>
            </w:r>
          </w:p>
        </w:tc>
        <w:tc>
          <w:tcPr>
            <w:tcW w:w="753" w:type="pct"/>
          </w:tcPr>
          <w:p w14:paraId="3B9324C4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4C5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Časté</w:t>
            </w:r>
          </w:p>
        </w:tc>
        <w:tc>
          <w:tcPr>
            <w:tcW w:w="877" w:type="pct"/>
          </w:tcPr>
          <w:p w14:paraId="3B9324C6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</w:tr>
      <w:tr w:rsidR="00890443" w:rsidRPr="00890443" w14:paraId="3B9324CE" w14:textId="77777777" w:rsidTr="00E24456">
        <w:trPr>
          <w:trHeight w:val="570"/>
        </w:trPr>
        <w:tc>
          <w:tcPr>
            <w:tcW w:w="1259" w:type="pct"/>
            <w:vMerge/>
          </w:tcPr>
          <w:p w14:paraId="3B9324C8" w14:textId="77777777" w:rsidR="00890443" w:rsidRPr="00585F8B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szCs w:val="22"/>
              </w:rPr>
            </w:pPr>
          </w:p>
        </w:tc>
        <w:tc>
          <w:tcPr>
            <w:tcW w:w="1377" w:type="pct"/>
          </w:tcPr>
          <w:p w14:paraId="3B9324C9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Rinitída</w:t>
            </w:r>
          </w:p>
          <w:p w14:paraId="3B9324CA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53" w:type="pct"/>
          </w:tcPr>
          <w:p w14:paraId="3B9324CB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4CC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Časté</w:t>
            </w:r>
          </w:p>
        </w:tc>
        <w:tc>
          <w:tcPr>
            <w:tcW w:w="877" w:type="pct"/>
          </w:tcPr>
          <w:p w14:paraId="3B9324CD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</w:tc>
      </w:tr>
      <w:tr w:rsidR="00890443" w:rsidRPr="00890443" w14:paraId="3B9324D4" w14:textId="77777777" w:rsidTr="00E24456">
        <w:trPr>
          <w:trHeight w:val="300"/>
        </w:trPr>
        <w:tc>
          <w:tcPr>
            <w:tcW w:w="1259" w:type="pct"/>
            <w:vMerge w:val="restart"/>
          </w:tcPr>
          <w:p w14:paraId="3B9324CF" w14:textId="4901F2B0" w:rsidR="00890443" w:rsidRPr="00585F8B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szCs w:val="22"/>
              </w:rPr>
            </w:pPr>
            <w:bookmarkStart w:id="52" w:name="_Toc205605661"/>
            <w:r w:rsidRPr="00585F8B">
              <w:rPr>
                <w:b/>
                <w:szCs w:val="22"/>
              </w:rPr>
              <w:t>Poruchy gastrointestinálneho traktu</w:t>
            </w:r>
            <w:bookmarkEnd w:id="52"/>
          </w:p>
        </w:tc>
        <w:tc>
          <w:tcPr>
            <w:tcW w:w="1377" w:type="pct"/>
          </w:tcPr>
          <w:p w14:paraId="3B9324D0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Bolesť brucha</w:t>
            </w:r>
          </w:p>
        </w:tc>
        <w:tc>
          <w:tcPr>
            <w:tcW w:w="753" w:type="pct"/>
          </w:tcPr>
          <w:p w14:paraId="3B9324D1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4D2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Časté</w:t>
            </w:r>
          </w:p>
        </w:tc>
        <w:tc>
          <w:tcPr>
            <w:tcW w:w="877" w:type="pct"/>
          </w:tcPr>
          <w:p w14:paraId="3B9324D3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Časté</w:t>
            </w:r>
          </w:p>
        </w:tc>
      </w:tr>
      <w:tr w:rsidR="00890443" w:rsidRPr="00890443" w14:paraId="3B9324DF" w14:textId="77777777" w:rsidTr="00E24456">
        <w:trPr>
          <w:trHeight w:val="765"/>
        </w:trPr>
        <w:tc>
          <w:tcPr>
            <w:tcW w:w="1259" w:type="pct"/>
            <w:vMerge/>
          </w:tcPr>
          <w:p w14:paraId="3B9324D5" w14:textId="77777777" w:rsidR="00890443" w:rsidRPr="00585F8B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1377" w:type="pct"/>
          </w:tcPr>
          <w:p w14:paraId="3B9324D6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Zmenená funkcia čriev (vrátane hnačky a zápchy)</w:t>
            </w:r>
          </w:p>
        </w:tc>
        <w:tc>
          <w:tcPr>
            <w:tcW w:w="753" w:type="pct"/>
          </w:tcPr>
          <w:p w14:paraId="3B9324D7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bookmarkStart w:id="53" w:name="_Toc205605662"/>
          </w:p>
          <w:p w14:paraId="3B9324D8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  <w:bookmarkEnd w:id="53"/>
          <w:p w14:paraId="3B9324D9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4DA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  <w:p w14:paraId="3B9324DB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  <w:p w14:paraId="3B9324DC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877" w:type="pct"/>
          </w:tcPr>
          <w:p w14:paraId="3B9324DD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Časté</w:t>
            </w:r>
          </w:p>
          <w:p w14:paraId="3B9324DE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</w:tr>
      <w:tr w:rsidR="00890443" w:rsidRPr="00890443" w14:paraId="3B9324E5" w14:textId="77777777" w:rsidTr="00E24456">
        <w:trPr>
          <w:trHeight w:val="330"/>
        </w:trPr>
        <w:tc>
          <w:tcPr>
            <w:tcW w:w="1259" w:type="pct"/>
            <w:vMerge/>
          </w:tcPr>
          <w:p w14:paraId="3B9324E0" w14:textId="77777777" w:rsidR="00890443" w:rsidRPr="00585F8B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1377" w:type="pct"/>
          </w:tcPr>
          <w:p w14:paraId="3B9324E1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Zápcha</w:t>
            </w:r>
          </w:p>
        </w:tc>
        <w:tc>
          <w:tcPr>
            <w:tcW w:w="753" w:type="pct"/>
          </w:tcPr>
          <w:p w14:paraId="3B9324E2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</w:tc>
        <w:tc>
          <w:tcPr>
            <w:tcW w:w="733" w:type="pct"/>
          </w:tcPr>
          <w:p w14:paraId="3B9324E3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877" w:type="pct"/>
          </w:tcPr>
          <w:p w14:paraId="3B9324E4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</w:tr>
      <w:tr w:rsidR="00890443" w:rsidRPr="00890443" w14:paraId="3B9324EB" w14:textId="77777777" w:rsidTr="00E24456">
        <w:trPr>
          <w:trHeight w:val="180"/>
        </w:trPr>
        <w:tc>
          <w:tcPr>
            <w:tcW w:w="1259" w:type="pct"/>
            <w:vMerge/>
          </w:tcPr>
          <w:p w14:paraId="3B9324E6" w14:textId="77777777" w:rsidR="00890443" w:rsidRPr="00585F8B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1377" w:type="pct"/>
          </w:tcPr>
          <w:p w14:paraId="3B9324E7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Hnačka</w:t>
            </w:r>
          </w:p>
        </w:tc>
        <w:tc>
          <w:tcPr>
            <w:tcW w:w="753" w:type="pct"/>
          </w:tcPr>
          <w:p w14:paraId="3B9324E8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</w:tc>
        <w:tc>
          <w:tcPr>
            <w:tcW w:w="733" w:type="pct"/>
          </w:tcPr>
          <w:p w14:paraId="3B9324E9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Časté</w:t>
            </w:r>
          </w:p>
        </w:tc>
        <w:tc>
          <w:tcPr>
            <w:tcW w:w="877" w:type="pct"/>
          </w:tcPr>
          <w:p w14:paraId="3B9324EA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</w:tr>
      <w:tr w:rsidR="00890443" w:rsidRPr="00890443" w14:paraId="3B9324F1" w14:textId="77777777" w:rsidTr="00E24456">
        <w:trPr>
          <w:trHeight w:val="360"/>
        </w:trPr>
        <w:tc>
          <w:tcPr>
            <w:tcW w:w="1259" w:type="pct"/>
            <w:vMerge/>
          </w:tcPr>
          <w:p w14:paraId="3B9324EC" w14:textId="77777777" w:rsidR="00890443" w:rsidRPr="00585F8B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1377" w:type="pct"/>
          </w:tcPr>
          <w:p w14:paraId="3B9324ED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Sucho v ústach</w:t>
            </w:r>
          </w:p>
        </w:tc>
        <w:tc>
          <w:tcPr>
            <w:tcW w:w="753" w:type="pct"/>
          </w:tcPr>
          <w:p w14:paraId="3B9324EE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</w:tc>
        <w:tc>
          <w:tcPr>
            <w:tcW w:w="733" w:type="pct"/>
          </w:tcPr>
          <w:p w14:paraId="3B9324EF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877" w:type="pct"/>
          </w:tcPr>
          <w:p w14:paraId="3B9324F0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</w:tc>
      </w:tr>
      <w:tr w:rsidR="00890443" w:rsidRPr="00890443" w14:paraId="3B9324F7" w14:textId="77777777" w:rsidTr="00E24456">
        <w:trPr>
          <w:trHeight w:val="240"/>
        </w:trPr>
        <w:tc>
          <w:tcPr>
            <w:tcW w:w="1259" w:type="pct"/>
            <w:vMerge/>
          </w:tcPr>
          <w:p w14:paraId="3B9324F2" w14:textId="77777777" w:rsidR="00890443" w:rsidRPr="00585F8B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1377" w:type="pct"/>
          </w:tcPr>
          <w:p w14:paraId="3B9324F3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Dyspepsia</w:t>
            </w:r>
          </w:p>
        </w:tc>
        <w:tc>
          <w:tcPr>
            <w:tcW w:w="753" w:type="pct"/>
          </w:tcPr>
          <w:p w14:paraId="3B9324F4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</w:tc>
        <w:tc>
          <w:tcPr>
            <w:tcW w:w="733" w:type="pct"/>
          </w:tcPr>
          <w:p w14:paraId="3B9324F5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Časté</w:t>
            </w:r>
          </w:p>
        </w:tc>
        <w:tc>
          <w:tcPr>
            <w:tcW w:w="877" w:type="pct"/>
          </w:tcPr>
          <w:p w14:paraId="3B9324F6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Časté</w:t>
            </w:r>
          </w:p>
        </w:tc>
      </w:tr>
      <w:tr w:rsidR="00890443" w:rsidRPr="00890443" w14:paraId="3B9324FD" w14:textId="77777777" w:rsidTr="00E24456">
        <w:trPr>
          <w:trHeight w:val="315"/>
        </w:trPr>
        <w:tc>
          <w:tcPr>
            <w:tcW w:w="1259" w:type="pct"/>
            <w:vMerge/>
          </w:tcPr>
          <w:p w14:paraId="3B9324F8" w14:textId="77777777" w:rsidR="00890443" w:rsidRPr="00585F8B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1377" w:type="pct"/>
          </w:tcPr>
          <w:p w14:paraId="3B9324F9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Gastritída</w:t>
            </w:r>
          </w:p>
        </w:tc>
        <w:tc>
          <w:tcPr>
            <w:tcW w:w="753" w:type="pct"/>
          </w:tcPr>
          <w:p w14:paraId="3B9324FA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4FB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877" w:type="pct"/>
          </w:tcPr>
          <w:p w14:paraId="3B9324FC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Veľmi zriedkavé</w:t>
            </w:r>
          </w:p>
        </w:tc>
      </w:tr>
      <w:tr w:rsidR="00890443" w:rsidRPr="00890443" w14:paraId="3B932503" w14:textId="77777777" w:rsidTr="00E24456">
        <w:trPr>
          <w:trHeight w:val="360"/>
        </w:trPr>
        <w:tc>
          <w:tcPr>
            <w:tcW w:w="1259" w:type="pct"/>
            <w:vMerge/>
          </w:tcPr>
          <w:p w14:paraId="3B9324FE" w14:textId="77777777" w:rsidR="00890443" w:rsidRPr="00585F8B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1377" w:type="pct"/>
          </w:tcPr>
          <w:p w14:paraId="3B9324FF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Gastroenteritída</w:t>
            </w:r>
          </w:p>
        </w:tc>
        <w:tc>
          <w:tcPr>
            <w:tcW w:w="753" w:type="pct"/>
          </w:tcPr>
          <w:p w14:paraId="3B932500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501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Časté</w:t>
            </w:r>
          </w:p>
        </w:tc>
        <w:tc>
          <w:tcPr>
            <w:tcW w:w="877" w:type="pct"/>
          </w:tcPr>
          <w:p w14:paraId="3B932502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</w:tr>
      <w:tr w:rsidR="00890443" w:rsidRPr="00890443" w14:paraId="3B932509" w14:textId="77777777" w:rsidTr="00E24456">
        <w:trPr>
          <w:trHeight w:val="345"/>
        </w:trPr>
        <w:tc>
          <w:tcPr>
            <w:tcW w:w="1259" w:type="pct"/>
            <w:vMerge/>
          </w:tcPr>
          <w:p w14:paraId="3B932504" w14:textId="77777777" w:rsidR="00890443" w:rsidRPr="00585F8B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1377" w:type="pct"/>
          </w:tcPr>
          <w:p w14:paraId="3B932505" w14:textId="77777777" w:rsidR="00890443" w:rsidRPr="00890443" w:rsidRDefault="001B4CF5" w:rsidP="001B4CF5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>
              <w:rPr>
                <w:szCs w:val="22"/>
              </w:rPr>
              <w:t>Gingiválna h</w:t>
            </w:r>
            <w:r w:rsidR="00890443" w:rsidRPr="00890443">
              <w:rPr>
                <w:szCs w:val="22"/>
              </w:rPr>
              <w:t xml:space="preserve">yperplázia </w:t>
            </w:r>
          </w:p>
        </w:tc>
        <w:tc>
          <w:tcPr>
            <w:tcW w:w="753" w:type="pct"/>
          </w:tcPr>
          <w:p w14:paraId="3B932506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507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877" w:type="pct"/>
          </w:tcPr>
          <w:p w14:paraId="3B932508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Veľmi zriedkavé</w:t>
            </w:r>
          </w:p>
        </w:tc>
      </w:tr>
      <w:tr w:rsidR="00890443" w:rsidRPr="00890443" w14:paraId="3B93250F" w14:textId="77777777" w:rsidTr="00E24456">
        <w:trPr>
          <w:trHeight w:val="345"/>
        </w:trPr>
        <w:tc>
          <w:tcPr>
            <w:tcW w:w="1259" w:type="pct"/>
            <w:vMerge/>
          </w:tcPr>
          <w:p w14:paraId="3B93250A" w14:textId="77777777" w:rsidR="00890443" w:rsidRPr="00585F8B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1377" w:type="pct"/>
          </w:tcPr>
          <w:p w14:paraId="3B93250B" w14:textId="0BFE34BF" w:rsidR="00890443" w:rsidRPr="00890443" w:rsidRDefault="00890443" w:rsidP="001B4CF5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N</w:t>
            </w:r>
            <w:r w:rsidR="001B4CF5">
              <w:rPr>
                <w:szCs w:val="22"/>
              </w:rPr>
              <w:t>auze</w:t>
            </w:r>
            <w:r w:rsidR="00FC5CD8">
              <w:rPr>
                <w:szCs w:val="22"/>
              </w:rPr>
              <w:t>a</w:t>
            </w:r>
          </w:p>
        </w:tc>
        <w:tc>
          <w:tcPr>
            <w:tcW w:w="753" w:type="pct"/>
          </w:tcPr>
          <w:p w14:paraId="3B93250C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</w:tc>
        <w:tc>
          <w:tcPr>
            <w:tcW w:w="733" w:type="pct"/>
          </w:tcPr>
          <w:p w14:paraId="3B93250D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Časté</w:t>
            </w:r>
          </w:p>
        </w:tc>
        <w:tc>
          <w:tcPr>
            <w:tcW w:w="877" w:type="pct"/>
          </w:tcPr>
          <w:p w14:paraId="3B93250E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Časté</w:t>
            </w:r>
          </w:p>
        </w:tc>
      </w:tr>
      <w:tr w:rsidR="00890443" w:rsidRPr="00890443" w14:paraId="3B932515" w14:textId="77777777" w:rsidTr="00E24456">
        <w:trPr>
          <w:trHeight w:val="360"/>
        </w:trPr>
        <w:tc>
          <w:tcPr>
            <w:tcW w:w="1259" w:type="pct"/>
            <w:vMerge/>
          </w:tcPr>
          <w:p w14:paraId="3B932510" w14:textId="77777777" w:rsidR="00890443" w:rsidRPr="00585F8B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1377" w:type="pct"/>
          </w:tcPr>
          <w:p w14:paraId="3B932511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Pankreatitída</w:t>
            </w:r>
          </w:p>
        </w:tc>
        <w:tc>
          <w:tcPr>
            <w:tcW w:w="753" w:type="pct"/>
          </w:tcPr>
          <w:p w14:paraId="3B932512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513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877" w:type="pct"/>
          </w:tcPr>
          <w:p w14:paraId="3B932514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Veľmi zriedkavé</w:t>
            </w:r>
          </w:p>
        </w:tc>
      </w:tr>
      <w:tr w:rsidR="00890443" w:rsidRPr="00890443" w14:paraId="3B93251E" w14:textId="77777777" w:rsidTr="00E24456">
        <w:trPr>
          <w:trHeight w:val="525"/>
        </w:trPr>
        <w:tc>
          <w:tcPr>
            <w:tcW w:w="1259" w:type="pct"/>
            <w:vMerge/>
          </w:tcPr>
          <w:p w14:paraId="3B932516" w14:textId="77777777" w:rsidR="00890443" w:rsidRPr="00585F8B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1377" w:type="pct"/>
          </w:tcPr>
          <w:p w14:paraId="3B932517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 xml:space="preserve">Bolesť v hornej časti brucha </w:t>
            </w:r>
          </w:p>
        </w:tc>
        <w:tc>
          <w:tcPr>
            <w:tcW w:w="753" w:type="pct"/>
          </w:tcPr>
          <w:p w14:paraId="3B932518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  <w:p w14:paraId="3B932519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51A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  <w:p w14:paraId="3B93251B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877" w:type="pct"/>
          </w:tcPr>
          <w:p w14:paraId="3B93251C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  <w:p w14:paraId="3B93251D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</w:tr>
      <w:tr w:rsidR="00890443" w:rsidRPr="00890443" w14:paraId="3B932525" w14:textId="77777777" w:rsidTr="00E24456">
        <w:trPr>
          <w:trHeight w:val="518"/>
        </w:trPr>
        <w:tc>
          <w:tcPr>
            <w:tcW w:w="1259" w:type="pct"/>
            <w:vMerge/>
          </w:tcPr>
          <w:p w14:paraId="3B93251F" w14:textId="77777777" w:rsidR="00890443" w:rsidRPr="00585F8B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1377" w:type="pct"/>
          </w:tcPr>
          <w:p w14:paraId="3B932520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Vracanie</w:t>
            </w:r>
          </w:p>
          <w:p w14:paraId="3B932521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53" w:type="pct"/>
          </w:tcPr>
          <w:p w14:paraId="3B932522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</w:tc>
        <w:tc>
          <w:tcPr>
            <w:tcW w:w="733" w:type="pct"/>
          </w:tcPr>
          <w:p w14:paraId="3B932523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</w:tc>
        <w:tc>
          <w:tcPr>
            <w:tcW w:w="877" w:type="pct"/>
          </w:tcPr>
          <w:p w14:paraId="3B932524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</w:tc>
      </w:tr>
      <w:tr w:rsidR="00890443" w:rsidRPr="00890443" w14:paraId="3B93252C" w14:textId="77777777" w:rsidTr="00E24456">
        <w:trPr>
          <w:trHeight w:val="392"/>
        </w:trPr>
        <w:tc>
          <w:tcPr>
            <w:tcW w:w="1259" w:type="pct"/>
            <w:vMerge/>
          </w:tcPr>
          <w:p w14:paraId="3B932526" w14:textId="77777777" w:rsidR="00890443" w:rsidRPr="00585F8B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1377" w:type="pct"/>
          </w:tcPr>
          <w:p w14:paraId="3B932527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Enteropatia podobná sprue</w:t>
            </w:r>
          </w:p>
          <w:p w14:paraId="3B932528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(pozri časť 4.4)</w:t>
            </w:r>
          </w:p>
        </w:tc>
        <w:tc>
          <w:tcPr>
            <w:tcW w:w="753" w:type="pct"/>
          </w:tcPr>
          <w:p w14:paraId="3B932529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52A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Veľmi zriedkavé</w:t>
            </w:r>
          </w:p>
        </w:tc>
        <w:tc>
          <w:tcPr>
            <w:tcW w:w="877" w:type="pct"/>
          </w:tcPr>
          <w:p w14:paraId="3B93252B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</w:tr>
      <w:tr w:rsidR="00890443" w:rsidRPr="00890443" w14:paraId="3B932533" w14:textId="77777777" w:rsidTr="00E24456">
        <w:trPr>
          <w:trHeight w:val="840"/>
        </w:trPr>
        <w:tc>
          <w:tcPr>
            <w:tcW w:w="1259" w:type="pct"/>
            <w:vMerge w:val="restart"/>
          </w:tcPr>
          <w:p w14:paraId="3B93252D" w14:textId="77777777" w:rsidR="00890443" w:rsidRPr="00585F8B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szCs w:val="22"/>
              </w:rPr>
            </w:pPr>
            <w:r w:rsidRPr="00585F8B">
              <w:rPr>
                <w:b/>
                <w:szCs w:val="22"/>
              </w:rPr>
              <w:t>Poruchy pečene a žlčových ciest</w:t>
            </w:r>
          </w:p>
        </w:tc>
        <w:tc>
          <w:tcPr>
            <w:tcW w:w="1377" w:type="pct"/>
          </w:tcPr>
          <w:p w14:paraId="3B93252E" w14:textId="152EEF45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 xml:space="preserve">Zvýšenie </w:t>
            </w:r>
            <w:r w:rsidR="001B4CF5">
              <w:rPr>
                <w:szCs w:val="22"/>
              </w:rPr>
              <w:t>hodn</w:t>
            </w:r>
            <w:r w:rsidR="004E7F73">
              <w:rPr>
                <w:szCs w:val="22"/>
              </w:rPr>
              <w:t>ô</w:t>
            </w:r>
            <w:r w:rsidR="001B4CF5">
              <w:rPr>
                <w:szCs w:val="22"/>
              </w:rPr>
              <w:t>t pečeňových</w:t>
            </w:r>
            <w:r w:rsidRPr="00890443">
              <w:rPr>
                <w:szCs w:val="22"/>
              </w:rPr>
              <w:t xml:space="preserve"> enzýmov</w:t>
            </w:r>
          </w:p>
          <w:p w14:paraId="3B93252F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53" w:type="pct"/>
          </w:tcPr>
          <w:p w14:paraId="3B932530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531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Časté</w:t>
            </w:r>
          </w:p>
        </w:tc>
        <w:tc>
          <w:tcPr>
            <w:tcW w:w="877" w:type="pct"/>
          </w:tcPr>
          <w:p w14:paraId="3B932532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Veľmi zriedkavé (najčastejšie s cholestázou)</w:t>
            </w:r>
          </w:p>
        </w:tc>
      </w:tr>
      <w:tr w:rsidR="00890443" w:rsidRPr="00890443" w14:paraId="3B932539" w14:textId="77777777" w:rsidTr="00E24456">
        <w:trPr>
          <w:trHeight w:val="345"/>
        </w:trPr>
        <w:tc>
          <w:tcPr>
            <w:tcW w:w="1259" w:type="pct"/>
            <w:vMerge/>
          </w:tcPr>
          <w:p w14:paraId="3B932534" w14:textId="77777777" w:rsidR="00890443" w:rsidRPr="00585F8B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szCs w:val="22"/>
              </w:rPr>
            </w:pPr>
          </w:p>
        </w:tc>
        <w:tc>
          <w:tcPr>
            <w:tcW w:w="1377" w:type="pct"/>
          </w:tcPr>
          <w:p w14:paraId="3B932535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Hepatitída</w:t>
            </w:r>
          </w:p>
        </w:tc>
        <w:tc>
          <w:tcPr>
            <w:tcW w:w="753" w:type="pct"/>
          </w:tcPr>
          <w:p w14:paraId="3B932536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537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877" w:type="pct"/>
          </w:tcPr>
          <w:p w14:paraId="3B932538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Veľmi zriedkavé</w:t>
            </w:r>
          </w:p>
        </w:tc>
      </w:tr>
      <w:tr w:rsidR="00890443" w:rsidRPr="00890443" w14:paraId="3B93253F" w14:textId="77777777" w:rsidTr="00E24456">
        <w:trPr>
          <w:trHeight w:val="195"/>
        </w:trPr>
        <w:tc>
          <w:tcPr>
            <w:tcW w:w="1259" w:type="pct"/>
            <w:vMerge/>
          </w:tcPr>
          <w:p w14:paraId="3B93253A" w14:textId="77777777" w:rsidR="00890443" w:rsidRPr="00585F8B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szCs w:val="22"/>
              </w:rPr>
            </w:pPr>
          </w:p>
        </w:tc>
        <w:tc>
          <w:tcPr>
            <w:tcW w:w="1377" w:type="pct"/>
          </w:tcPr>
          <w:p w14:paraId="3B93253B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Žltačka</w:t>
            </w:r>
          </w:p>
        </w:tc>
        <w:tc>
          <w:tcPr>
            <w:tcW w:w="753" w:type="pct"/>
          </w:tcPr>
          <w:p w14:paraId="3B93253C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53D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877" w:type="pct"/>
          </w:tcPr>
          <w:p w14:paraId="3B93253E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Veľmi zriedkavé</w:t>
            </w:r>
          </w:p>
        </w:tc>
      </w:tr>
      <w:tr w:rsidR="006A0744" w:rsidRPr="00890443" w14:paraId="3B932545" w14:textId="77777777" w:rsidTr="00E24456">
        <w:trPr>
          <w:trHeight w:val="255"/>
        </w:trPr>
        <w:tc>
          <w:tcPr>
            <w:tcW w:w="1259" w:type="pct"/>
            <w:vMerge w:val="restart"/>
          </w:tcPr>
          <w:p w14:paraId="3B932540" w14:textId="07632726" w:rsidR="006A0744" w:rsidRPr="00585F8B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szCs w:val="22"/>
              </w:rPr>
            </w:pPr>
            <w:bookmarkStart w:id="54" w:name="_Toc205605663"/>
            <w:r w:rsidRPr="00585F8B">
              <w:rPr>
                <w:b/>
                <w:szCs w:val="22"/>
              </w:rPr>
              <w:t>Poruchy kože a podkožného tkaniva</w:t>
            </w:r>
            <w:bookmarkEnd w:id="54"/>
            <w:r w:rsidRPr="00585F8B">
              <w:rPr>
                <w:b/>
                <w:szCs w:val="22"/>
              </w:rPr>
              <w:t xml:space="preserve"> </w:t>
            </w:r>
          </w:p>
        </w:tc>
        <w:tc>
          <w:tcPr>
            <w:tcW w:w="1377" w:type="pct"/>
          </w:tcPr>
          <w:p w14:paraId="3B932541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Alopécia</w:t>
            </w:r>
          </w:p>
        </w:tc>
        <w:tc>
          <w:tcPr>
            <w:tcW w:w="753" w:type="pct"/>
          </w:tcPr>
          <w:p w14:paraId="3B932542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543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877" w:type="pct"/>
          </w:tcPr>
          <w:p w14:paraId="3B932544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</w:tc>
      </w:tr>
      <w:tr w:rsidR="006A0744" w:rsidRPr="00890443" w14:paraId="3B93254B" w14:textId="77777777" w:rsidTr="00E24456">
        <w:trPr>
          <w:trHeight w:val="315"/>
        </w:trPr>
        <w:tc>
          <w:tcPr>
            <w:tcW w:w="1259" w:type="pct"/>
            <w:vMerge/>
          </w:tcPr>
          <w:p w14:paraId="3B932546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i/>
                <w:szCs w:val="22"/>
              </w:rPr>
            </w:pPr>
          </w:p>
        </w:tc>
        <w:tc>
          <w:tcPr>
            <w:tcW w:w="1377" w:type="pct"/>
          </w:tcPr>
          <w:p w14:paraId="3B932547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Angioneurotický edém</w:t>
            </w:r>
          </w:p>
        </w:tc>
        <w:tc>
          <w:tcPr>
            <w:tcW w:w="753" w:type="pct"/>
          </w:tcPr>
          <w:p w14:paraId="3B932548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549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Zriedkavé</w:t>
            </w:r>
          </w:p>
        </w:tc>
        <w:tc>
          <w:tcPr>
            <w:tcW w:w="877" w:type="pct"/>
          </w:tcPr>
          <w:p w14:paraId="3B93254A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Veľmi zriedkavé</w:t>
            </w:r>
          </w:p>
        </w:tc>
      </w:tr>
      <w:tr w:rsidR="006A0744" w:rsidRPr="00890443" w14:paraId="3B932551" w14:textId="77777777" w:rsidTr="00E24456">
        <w:trPr>
          <w:trHeight w:val="360"/>
        </w:trPr>
        <w:tc>
          <w:tcPr>
            <w:tcW w:w="1259" w:type="pct"/>
            <w:vMerge/>
          </w:tcPr>
          <w:p w14:paraId="3B93254C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i/>
                <w:szCs w:val="22"/>
              </w:rPr>
            </w:pPr>
          </w:p>
        </w:tc>
        <w:tc>
          <w:tcPr>
            <w:tcW w:w="1377" w:type="pct"/>
          </w:tcPr>
          <w:p w14:paraId="3B93254D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Alergická dermatitída</w:t>
            </w:r>
          </w:p>
        </w:tc>
        <w:tc>
          <w:tcPr>
            <w:tcW w:w="753" w:type="pct"/>
          </w:tcPr>
          <w:p w14:paraId="3B93254E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54F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</w:tc>
        <w:tc>
          <w:tcPr>
            <w:tcW w:w="877" w:type="pct"/>
          </w:tcPr>
          <w:p w14:paraId="3B932550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</w:tr>
      <w:tr w:rsidR="006A0744" w:rsidRPr="00890443" w14:paraId="3B932557" w14:textId="77777777" w:rsidTr="00E24456">
        <w:trPr>
          <w:trHeight w:val="180"/>
        </w:trPr>
        <w:tc>
          <w:tcPr>
            <w:tcW w:w="1259" w:type="pct"/>
            <w:vMerge/>
          </w:tcPr>
          <w:p w14:paraId="3B932552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i/>
                <w:szCs w:val="22"/>
              </w:rPr>
            </w:pPr>
          </w:p>
        </w:tc>
        <w:tc>
          <w:tcPr>
            <w:tcW w:w="1377" w:type="pct"/>
          </w:tcPr>
          <w:p w14:paraId="3B932553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Multiformný erytém</w:t>
            </w:r>
          </w:p>
        </w:tc>
        <w:tc>
          <w:tcPr>
            <w:tcW w:w="753" w:type="pct"/>
          </w:tcPr>
          <w:p w14:paraId="3B932554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555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877" w:type="pct"/>
          </w:tcPr>
          <w:p w14:paraId="3B932556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Veľmi zriedkavé</w:t>
            </w:r>
          </w:p>
        </w:tc>
      </w:tr>
      <w:tr w:rsidR="006A0744" w:rsidRPr="00890443" w14:paraId="3B93255D" w14:textId="77777777" w:rsidTr="00E24456">
        <w:trPr>
          <w:trHeight w:val="240"/>
        </w:trPr>
        <w:tc>
          <w:tcPr>
            <w:tcW w:w="1259" w:type="pct"/>
            <w:vMerge/>
          </w:tcPr>
          <w:p w14:paraId="3B932558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i/>
                <w:szCs w:val="22"/>
              </w:rPr>
            </w:pPr>
          </w:p>
        </w:tc>
        <w:tc>
          <w:tcPr>
            <w:tcW w:w="1377" w:type="pct"/>
          </w:tcPr>
          <w:p w14:paraId="3B932559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Exantém</w:t>
            </w:r>
          </w:p>
        </w:tc>
        <w:tc>
          <w:tcPr>
            <w:tcW w:w="753" w:type="pct"/>
          </w:tcPr>
          <w:p w14:paraId="3B93255A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55B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</w:tc>
        <w:tc>
          <w:tcPr>
            <w:tcW w:w="877" w:type="pct"/>
          </w:tcPr>
          <w:p w14:paraId="3B93255C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</w:tc>
      </w:tr>
      <w:tr w:rsidR="006A0744" w:rsidRPr="00890443" w14:paraId="3B932563" w14:textId="77777777" w:rsidTr="00E24456">
        <w:trPr>
          <w:trHeight w:val="495"/>
        </w:trPr>
        <w:tc>
          <w:tcPr>
            <w:tcW w:w="1259" w:type="pct"/>
            <w:vMerge/>
          </w:tcPr>
          <w:p w14:paraId="3B93255E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i/>
                <w:szCs w:val="22"/>
              </w:rPr>
            </w:pPr>
          </w:p>
        </w:tc>
        <w:tc>
          <w:tcPr>
            <w:tcW w:w="1377" w:type="pct"/>
          </w:tcPr>
          <w:p w14:paraId="3B93255F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Exfoliatívna dermatitída</w:t>
            </w:r>
          </w:p>
        </w:tc>
        <w:tc>
          <w:tcPr>
            <w:tcW w:w="753" w:type="pct"/>
          </w:tcPr>
          <w:p w14:paraId="3B932560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561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877" w:type="pct"/>
          </w:tcPr>
          <w:p w14:paraId="3B932562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Veľmi zriedkavé</w:t>
            </w:r>
          </w:p>
        </w:tc>
      </w:tr>
      <w:tr w:rsidR="006A0744" w:rsidRPr="00890443" w14:paraId="3B932569" w14:textId="77777777" w:rsidTr="00E24456">
        <w:trPr>
          <w:trHeight w:val="285"/>
        </w:trPr>
        <w:tc>
          <w:tcPr>
            <w:tcW w:w="1259" w:type="pct"/>
            <w:vMerge/>
          </w:tcPr>
          <w:p w14:paraId="3B932564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i/>
                <w:szCs w:val="22"/>
              </w:rPr>
            </w:pPr>
          </w:p>
        </w:tc>
        <w:tc>
          <w:tcPr>
            <w:tcW w:w="1377" w:type="pct"/>
          </w:tcPr>
          <w:p w14:paraId="3B932565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Hyperhidróza</w:t>
            </w:r>
          </w:p>
        </w:tc>
        <w:tc>
          <w:tcPr>
            <w:tcW w:w="753" w:type="pct"/>
          </w:tcPr>
          <w:p w14:paraId="3B932566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567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877" w:type="pct"/>
          </w:tcPr>
          <w:p w14:paraId="3B932568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</w:tc>
      </w:tr>
      <w:tr w:rsidR="006A0744" w:rsidRPr="00890443" w14:paraId="3B93256F" w14:textId="77777777" w:rsidTr="00E24456">
        <w:trPr>
          <w:trHeight w:val="180"/>
        </w:trPr>
        <w:tc>
          <w:tcPr>
            <w:tcW w:w="1259" w:type="pct"/>
            <w:vMerge/>
          </w:tcPr>
          <w:p w14:paraId="3B93256A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i/>
                <w:szCs w:val="22"/>
              </w:rPr>
            </w:pPr>
          </w:p>
        </w:tc>
        <w:tc>
          <w:tcPr>
            <w:tcW w:w="1377" w:type="pct"/>
          </w:tcPr>
          <w:p w14:paraId="3B93256B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Fotosenzitivita</w:t>
            </w:r>
          </w:p>
        </w:tc>
        <w:tc>
          <w:tcPr>
            <w:tcW w:w="753" w:type="pct"/>
          </w:tcPr>
          <w:p w14:paraId="3B93256C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56D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877" w:type="pct"/>
          </w:tcPr>
          <w:p w14:paraId="3B93256E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Veľmi zriedkavé</w:t>
            </w:r>
          </w:p>
        </w:tc>
      </w:tr>
      <w:tr w:rsidR="006A0744" w:rsidRPr="00890443" w14:paraId="3B932575" w14:textId="77777777" w:rsidTr="00E24456">
        <w:trPr>
          <w:trHeight w:val="255"/>
        </w:trPr>
        <w:tc>
          <w:tcPr>
            <w:tcW w:w="1259" w:type="pct"/>
            <w:vMerge/>
          </w:tcPr>
          <w:p w14:paraId="3B932570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i/>
                <w:szCs w:val="22"/>
              </w:rPr>
            </w:pPr>
          </w:p>
        </w:tc>
        <w:tc>
          <w:tcPr>
            <w:tcW w:w="1377" w:type="pct"/>
          </w:tcPr>
          <w:p w14:paraId="3B932571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Pruritus</w:t>
            </w:r>
          </w:p>
        </w:tc>
        <w:tc>
          <w:tcPr>
            <w:tcW w:w="753" w:type="pct"/>
          </w:tcPr>
          <w:p w14:paraId="3B932572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573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</w:tc>
        <w:tc>
          <w:tcPr>
            <w:tcW w:w="877" w:type="pct"/>
          </w:tcPr>
          <w:p w14:paraId="3B932574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</w:tc>
      </w:tr>
      <w:tr w:rsidR="006A0744" w:rsidRPr="00890443" w14:paraId="3B93257B" w14:textId="77777777" w:rsidTr="00E24456">
        <w:trPr>
          <w:trHeight w:val="330"/>
        </w:trPr>
        <w:tc>
          <w:tcPr>
            <w:tcW w:w="1259" w:type="pct"/>
            <w:vMerge/>
          </w:tcPr>
          <w:p w14:paraId="3B932576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i/>
                <w:szCs w:val="22"/>
              </w:rPr>
            </w:pPr>
          </w:p>
        </w:tc>
        <w:tc>
          <w:tcPr>
            <w:tcW w:w="1377" w:type="pct"/>
          </w:tcPr>
          <w:p w14:paraId="3B932577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Purpura</w:t>
            </w:r>
          </w:p>
        </w:tc>
        <w:tc>
          <w:tcPr>
            <w:tcW w:w="753" w:type="pct"/>
          </w:tcPr>
          <w:p w14:paraId="3B932578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579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877" w:type="pct"/>
          </w:tcPr>
          <w:p w14:paraId="3B93257A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</w:tc>
      </w:tr>
      <w:tr w:rsidR="006A0744" w:rsidRPr="00890443" w14:paraId="3B932581" w14:textId="77777777" w:rsidTr="00E24456">
        <w:trPr>
          <w:trHeight w:val="345"/>
        </w:trPr>
        <w:tc>
          <w:tcPr>
            <w:tcW w:w="1259" w:type="pct"/>
            <w:vMerge/>
          </w:tcPr>
          <w:p w14:paraId="3B93257C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i/>
                <w:szCs w:val="22"/>
              </w:rPr>
            </w:pPr>
          </w:p>
        </w:tc>
        <w:tc>
          <w:tcPr>
            <w:tcW w:w="1377" w:type="pct"/>
          </w:tcPr>
          <w:p w14:paraId="3B93257D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Quinckeho edém</w:t>
            </w:r>
          </w:p>
        </w:tc>
        <w:tc>
          <w:tcPr>
            <w:tcW w:w="753" w:type="pct"/>
          </w:tcPr>
          <w:p w14:paraId="3B93257E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57F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877" w:type="pct"/>
          </w:tcPr>
          <w:p w14:paraId="3B932580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Veľmi zriedkavé</w:t>
            </w:r>
          </w:p>
        </w:tc>
      </w:tr>
      <w:tr w:rsidR="006A0744" w:rsidRPr="00890443" w14:paraId="3B932587" w14:textId="77777777" w:rsidTr="00E24456">
        <w:trPr>
          <w:trHeight w:val="165"/>
        </w:trPr>
        <w:tc>
          <w:tcPr>
            <w:tcW w:w="1259" w:type="pct"/>
            <w:vMerge/>
          </w:tcPr>
          <w:p w14:paraId="3B932582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i/>
                <w:szCs w:val="22"/>
              </w:rPr>
            </w:pPr>
          </w:p>
        </w:tc>
        <w:tc>
          <w:tcPr>
            <w:tcW w:w="1377" w:type="pct"/>
          </w:tcPr>
          <w:p w14:paraId="3B932583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 xml:space="preserve">Vyrážka                        </w:t>
            </w:r>
          </w:p>
        </w:tc>
        <w:tc>
          <w:tcPr>
            <w:tcW w:w="753" w:type="pct"/>
          </w:tcPr>
          <w:p w14:paraId="3B932584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</w:tc>
        <w:tc>
          <w:tcPr>
            <w:tcW w:w="733" w:type="pct"/>
          </w:tcPr>
          <w:p w14:paraId="3B932585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</w:tc>
        <w:tc>
          <w:tcPr>
            <w:tcW w:w="877" w:type="pct"/>
          </w:tcPr>
          <w:p w14:paraId="3B932586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</w:tc>
      </w:tr>
      <w:tr w:rsidR="006A0744" w:rsidRPr="00890443" w14:paraId="3B93258D" w14:textId="77777777" w:rsidTr="00E24456">
        <w:trPr>
          <w:trHeight w:val="240"/>
        </w:trPr>
        <w:tc>
          <w:tcPr>
            <w:tcW w:w="1259" w:type="pct"/>
            <w:vMerge/>
          </w:tcPr>
          <w:p w14:paraId="3B932588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i/>
                <w:szCs w:val="22"/>
              </w:rPr>
            </w:pPr>
          </w:p>
        </w:tc>
        <w:tc>
          <w:tcPr>
            <w:tcW w:w="1377" w:type="pct"/>
          </w:tcPr>
          <w:p w14:paraId="3B932589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Zmeny sfarbenia kože</w:t>
            </w:r>
          </w:p>
        </w:tc>
        <w:tc>
          <w:tcPr>
            <w:tcW w:w="753" w:type="pct"/>
          </w:tcPr>
          <w:p w14:paraId="3B93258A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58B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877" w:type="pct"/>
          </w:tcPr>
          <w:p w14:paraId="3B93258C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</w:tc>
      </w:tr>
      <w:tr w:rsidR="006A0744" w:rsidRPr="00890443" w14:paraId="3B932596" w14:textId="77777777" w:rsidTr="00E24456">
        <w:trPr>
          <w:trHeight w:val="495"/>
        </w:trPr>
        <w:tc>
          <w:tcPr>
            <w:tcW w:w="1259" w:type="pct"/>
            <w:vMerge/>
          </w:tcPr>
          <w:p w14:paraId="3B93258E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i/>
                <w:szCs w:val="22"/>
              </w:rPr>
            </w:pPr>
          </w:p>
        </w:tc>
        <w:tc>
          <w:tcPr>
            <w:tcW w:w="1377" w:type="pct"/>
          </w:tcPr>
          <w:p w14:paraId="3B93258F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Stevensov-Johnsonov syndróm</w:t>
            </w:r>
          </w:p>
        </w:tc>
        <w:tc>
          <w:tcPr>
            <w:tcW w:w="753" w:type="pct"/>
          </w:tcPr>
          <w:p w14:paraId="3B932590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  <w:p w14:paraId="3B932591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592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  <w:p w14:paraId="3B932593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877" w:type="pct"/>
          </w:tcPr>
          <w:p w14:paraId="3B932594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Veľmi zriedkavé</w:t>
            </w:r>
          </w:p>
          <w:p w14:paraId="3B932595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</w:tr>
      <w:tr w:rsidR="006A0744" w:rsidRPr="00890443" w14:paraId="3B93259C" w14:textId="77777777" w:rsidTr="00E24456">
        <w:trPr>
          <w:trHeight w:val="495"/>
        </w:trPr>
        <w:tc>
          <w:tcPr>
            <w:tcW w:w="1259" w:type="pct"/>
            <w:vMerge/>
          </w:tcPr>
          <w:p w14:paraId="3B932597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i/>
                <w:szCs w:val="22"/>
              </w:rPr>
            </w:pPr>
          </w:p>
        </w:tc>
        <w:tc>
          <w:tcPr>
            <w:tcW w:w="1377" w:type="pct"/>
          </w:tcPr>
          <w:p w14:paraId="3B932598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rFonts w:eastAsia="TimesNewRoman,Bold"/>
                <w:bCs/>
                <w:szCs w:val="22"/>
              </w:rPr>
              <w:t>Toxická epidermálna nekrolýza</w:t>
            </w:r>
          </w:p>
        </w:tc>
        <w:tc>
          <w:tcPr>
            <w:tcW w:w="753" w:type="pct"/>
          </w:tcPr>
          <w:p w14:paraId="3B932599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59A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877" w:type="pct"/>
          </w:tcPr>
          <w:p w14:paraId="3B93259B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Neznáme</w:t>
            </w:r>
          </w:p>
        </w:tc>
      </w:tr>
      <w:tr w:rsidR="006A0744" w:rsidRPr="00890443" w14:paraId="3B9325A2" w14:textId="77777777" w:rsidTr="00E24456">
        <w:trPr>
          <w:trHeight w:val="495"/>
        </w:trPr>
        <w:tc>
          <w:tcPr>
            <w:tcW w:w="1259" w:type="pct"/>
            <w:vMerge/>
          </w:tcPr>
          <w:p w14:paraId="3B93259D" w14:textId="77777777" w:rsidR="006A0744" w:rsidRPr="00890443" w:rsidRDefault="006A0744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i/>
                <w:szCs w:val="22"/>
              </w:rPr>
            </w:pPr>
          </w:p>
        </w:tc>
        <w:tc>
          <w:tcPr>
            <w:tcW w:w="1377" w:type="pct"/>
          </w:tcPr>
          <w:p w14:paraId="3B93259E" w14:textId="77777777" w:rsidR="006A0744" w:rsidRPr="004940B7" w:rsidRDefault="006A0744" w:rsidP="000568B7">
            <w:r w:rsidRPr="004940B7">
              <w:t>Žihľavka</w:t>
            </w:r>
          </w:p>
        </w:tc>
        <w:tc>
          <w:tcPr>
            <w:tcW w:w="753" w:type="pct"/>
          </w:tcPr>
          <w:p w14:paraId="3B93259F" w14:textId="77777777" w:rsidR="006A0744" w:rsidRPr="004940B7" w:rsidRDefault="006A0744" w:rsidP="000568B7">
            <w:r w:rsidRPr="004940B7">
              <w:t>Zriedkavé</w:t>
            </w:r>
          </w:p>
        </w:tc>
        <w:tc>
          <w:tcPr>
            <w:tcW w:w="733" w:type="pct"/>
          </w:tcPr>
          <w:p w14:paraId="3B9325A0" w14:textId="77777777" w:rsidR="006A0744" w:rsidRPr="004940B7" w:rsidRDefault="006A0744" w:rsidP="000568B7">
            <w:r w:rsidRPr="004940B7">
              <w:t>Menej časté</w:t>
            </w:r>
          </w:p>
        </w:tc>
        <w:tc>
          <w:tcPr>
            <w:tcW w:w="877" w:type="pct"/>
          </w:tcPr>
          <w:p w14:paraId="3B9325A1" w14:textId="77777777" w:rsidR="006A0744" w:rsidRDefault="006A0744" w:rsidP="000568B7">
            <w:r w:rsidRPr="004940B7">
              <w:t>Menej časté</w:t>
            </w:r>
          </w:p>
        </w:tc>
      </w:tr>
      <w:tr w:rsidR="00890443" w:rsidRPr="00890443" w14:paraId="3B9325A8" w14:textId="77777777" w:rsidTr="00E24456">
        <w:trPr>
          <w:trHeight w:val="195"/>
        </w:trPr>
        <w:tc>
          <w:tcPr>
            <w:tcW w:w="1259" w:type="pct"/>
            <w:vMerge w:val="restart"/>
          </w:tcPr>
          <w:p w14:paraId="3B9325A3" w14:textId="6ABD07E7" w:rsidR="00890443" w:rsidRPr="006A0744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szCs w:val="22"/>
              </w:rPr>
            </w:pPr>
            <w:bookmarkStart w:id="55" w:name="_Toc205605666"/>
            <w:r w:rsidRPr="006A0744">
              <w:rPr>
                <w:b/>
                <w:szCs w:val="22"/>
              </w:rPr>
              <w:t>Poruchy kostrovej a svalovej sústavy a spojivového tkaniva</w:t>
            </w:r>
            <w:bookmarkEnd w:id="55"/>
            <w:r w:rsidRPr="006A0744">
              <w:rPr>
                <w:b/>
                <w:szCs w:val="22"/>
              </w:rPr>
              <w:t xml:space="preserve">  </w:t>
            </w:r>
          </w:p>
        </w:tc>
        <w:tc>
          <w:tcPr>
            <w:tcW w:w="1377" w:type="pct"/>
          </w:tcPr>
          <w:p w14:paraId="3B9325A4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Opuch členkov</w:t>
            </w:r>
          </w:p>
        </w:tc>
        <w:tc>
          <w:tcPr>
            <w:tcW w:w="753" w:type="pct"/>
          </w:tcPr>
          <w:p w14:paraId="3B9325A5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5A6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877" w:type="pct"/>
          </w:tcPr>
          <w:p w14:paraId="3B9325A7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Časté</w:t>
            </w:r>
          </w:p>
        </w:tc>
      </w:tr>
      <w:tr w:rsidR="00890443" w:rsidRPr="00890443" w14:paraId="3B9325AE" w14:textId="77777777" w:rsidTr="00E24456">
        <w:trPr>
          <w:trHeight w:val="345"/>
        </w:trPr>
        <w:tc>
          <w:tcPr>
            <w:tcW w:w="1259" w:type="pct"/>
            <w:vMerge/>
          </w:tcPr>
          <w:p w14:paraId="3B9325A9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1377" w:type="pct"/>
          </w:tcPr>
          <w:p w14:paraId="3B9325AA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Artralgia</w:t>
            </w:r>
          </w:p>
        </w:tc>
        <w:tc>
          <w:tcPr>
            <w:tcW w:w="753" w:type="pct"/>
          </w:tcPr>
          <w:p w14:paraId="3B9325AB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5AC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877" w:type="pct"/>
          </w:tcPr>
          <w:p w14:paraId="3B9325AD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</w:tc>
      </w:tr>
      <w:tr w:rsidR="00890443" w:rsidRPr="00890443" w14:paraId="3B9325B4" w14:textId="77777777" w:rsidTr="00E24456">
        <w:trPr>
          <w:trHeight w:val="255"/>
        </w:trPr>
        <w:tc>
          <w:tcPr>
            <w:tcW w:w="1259" w:type="pct"/>
            <w:vMerge/>
          </w:tcPr>
          <w:p w14:paraId="3B9325AF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1377" w:type="pct"/>
          </w:tcPr>
          <w:p w14:paraId="3B9325B0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Artritída</w:t>
            </w:r>
          </w:p>
        </w:tc>
        <w:tc>
          <w:tcPr>
            <w:tcW w:w="753" w:type="pct"/>
          </w:tcPr>
          <w:p w14:paraId="3B9325B1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5B2" w14:textId="77777777" w:rsidR="00890443" w:rsidRPr="00890443" w:rsidRDefault="006A0744" w:rsidP="006A0744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>
              <w:rPr>
                <w:szCs w:val="22"/>
              </w:rPr>
              <w:t>Menej č</w:t>
            </w:r>
            <w:r w:rsidR="00890443" w:rsidRPr="00890443">
              <w:rPr>
                <w:szCs w:val="22"/>
              </w:rPr>
              <w:t>asté</w:t>
            </w:r>
          </w:p>
        </w:tc>
        <w:tc>
          <w:tcPr>
            <w:tcW w:w="877" w:type="pct"/>
          </w:tcPr>
          <w:p w14:paraId="3B9325B3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</w:tr>
      <w:tr w:rsidR="00890443" w:rsidRPr="00890443" w14:paraId="3B9325BA" w14:textId="77777777" w:rsidTr="00E24456">
        <w:trPr>
          <w:trHeight w:val="330"/>
        </w:trPr>
        <w:tc>
          <w:tcPr>
            <w:tcW w:w="1259" w:type="pct"/>
            <w:vMerge/>
          </w:tcPr>
          <w:p w14:paraId="3B9325B5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1377" w:type="pct"/>
          </w:tcPr>
          <w:p w14:paraId="3B9325B6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Bolesť chrbta</w:t>
            </w:r>
          </w:p>
        </w:tc>
        <w:tc>
          <w:tcPr>
            <w:tcW w:w="753" w:type="pct"/>
          </w:tcPr>
          <w:p w14:paraId="3B9325B7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</w:tc>
        <w:tc>
          <w:tcPr>
            <w:tcW w:w="733" w:type="pct"/>
          </w:tcPr>
          <w:p w14:paraId="3B9325B8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Časté</w:t>
            </w:r>
          </w:p>
        </w:tc>
        <w:tc>
          <w:tcPr>
            <w:tcW w:w="877" w:type="pct"/>
          </w:tcPr>
          <w:p w14:paraId="3B9325B9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</w:tc>
      </w:tr>
      <w:tr w:rsidR="00890443" w:rsidRPr="00890443" w14:paraId="3B9325C0" w14:textId="77777777" w:rsidTr="00E24456">
        <w:trPr>
          <w:trHeight w:val="165"/>
        </w:trPr>
        <w:tc>
          <w:tcPr>
            <w:tcW w:w="1259" w:type="pct"/>
            <w:vMerge/>
          </w:tcPr>
          <w:p w14:paraId="3B9325BB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1377" w:type="pct"/>
          </w:tcPr>
          <w:p w14:paraId="3B9325BC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Svalové spazmy</w:t>
            </w:r>
          </w:p>
        </w:tc>
        <w:tc>
          <w:tcPr>
            <w:tcW w:w="753" w:type="pct"/>
          </w:tcPr>
          <w:p w14:paraId="3B9325BD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</w:tc>
        <w:tc>
          <w:tcPr>
            <w:tcW w:w="733" w:type="pct"/>
          </w:tcPr>
          <w:p w14:paraId="3B9325BE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Zriedkavé</w:t>
            </w:r>
          </w:p>
        </w:tc>
        <w:tc>
          <w:tcPr>
            <w:tcW w:w="877" w:type="pct"/>
          </w:tcPr>
          <w:p w14:paraId="3B9325BF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Časté</w:t>
            </w:r>
          </w:p>
        </w:tc>
      </w:tr>
      <w:tr w:rsidR="00890443" w:rsidRPr="00890443" w14:paraId="3B9325C6" w14:textId="77777777" w:rsidTr="00E24456">
        <w:trPr>
          <w:trHeight w:val="240"/>
        </w:trPr>
        <w:tc>
          <w:tcPr>
            <w:tcW w:w="1259" w:type="pct"/>
            <w:vMerge/>
          </w:tcPr>
          <w:p w14:paraId="3B9325C1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1377" w:type="pct"/>
          </w:tcPr>
          <w:p w14:paraId="3B9325C2" w14:textId="77777777" w:rsidR="00890443" w:rsidRPr="00890443" w:rsidRDefault="00CA2692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>
              <w:rPr>
                <w:szCs w:val="22"/>
              </w:rPr>
              <w:t>Myalgia</w:t>
            </w:r>
          </w:p>
        </w:tc>
        <w:tc>
          <w:tcPr>
            <w:tcW w:w="753" w:type="pct"/>
          </w:tcPr>
          <w:p w14:paraId="3B9325C3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5C4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</w:tc>
        <w:tc>
          <w:tcPr>
            <w:tcW w:w="877" w:type="pct"/>
          </w:tcPr>
          <w:p w14:paraId="3B9325C5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</w:tc>
      </w:tr>
      <w:tr w:rsidR="00890443" w:rsidRPr="00890443" w14:paraId="3B9325CC" w14:textId="77777777" w:rsidTr="00E24456">
        <w:trPr>
          <w:trHeight w:val="315"/>
        </w:trPr>
        <w:tc>
          <w:tcPr>
            <w:tcW w:w="1259" w:type="pct"/>
            <w:vMerge/>
          </w:tcPr>
          <w:p w14:paraId="3B9325C7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1377" w:type="pct"/>
          </w:tcPr>
          <w:p w14:paraId="3B9325C8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Bolesť končatín</w:t>
            </w:r>
          </w:p>
        </w:tc>
        <w:tc>
          <w:tcPr>
            <w:tcW w:w="753" w:type="pct"/>
          </w:tcPr>
          <w:p w14:paraId="3B9325C9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</w:tc>
        <w:tc>
          <w:tcPr>
            <w:tcW w:w="733" w:type="pct"/>
          </w:tcPr>
          <w:p w14:paraId="3B9325CA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877" w:type="pct"/>
          </w:tcPr>
          <w:p w14:paraId="3B9325CB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</w:tr>
      <w:tr w:rsidR="00890443" w:rsidRPr="00890443" w14:paraId="3B9325D2" w14:textId="77777777" w:rsidTr="00E24456">
        <w:trPr>
          <w:trHeight w:val="533"/>
        </w:trPr>
        <w:tc>
          <w:tcPr>
            <w:tcW w:w="1259" w:type="pct"/>
            <w:vMerge/>
          </w:tcPr>
          <w:p w14:paraId="3B9325CD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1377" w:type="pct"/>
          </w:tcPr>
          <w:p w14:paraId="3B9325CE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Bolesť kostí</w:t>
            </w:r>
          </w:p>
        </w:tc>
        <w:tc>
          <w:tcPr>
            <w:tcW w:w="753" w:type="pct"/>
          </w:tcPr>
          <w:p w14:paraId="3B9325CF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5D0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Časté</w:t>
            </w:r>
          </w:p>
        </w:tc>
        <w:tc>
          <w:tcPr>
            <w:tcW w:w="877" w:type="pct"/>
          </w:tcPr>
          <w:p w14:paraId="3B9325D1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</w:tr>
      <w:tr w:rsidR="00890443" w:rsidRPr="00890443" w14:paraId="3B9325D8" w14:textId="77777777" w:rsidTr="00E24456">
        <w:trPr>
          <w:trHeight w:val="480"/>
        </w:trPr>
        <w:tc>
          <w:tcPr>
            <w:tcW w:w="1259" w:type="pct"/>
            <w:vMerge w:val="restart"/>
          </w:tcPr>
          <w:p w14:paraId="3B9325D3" w14:textId="334861E5" w:rsidR="00890443" w:rsidRPr="00CA2692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szCs w:val="22"/>
              </w:rPr>
            </w:pPr>
            <w:bookmarkStart w:id="56" w:name="_Toc205605668"/>
            <w:r w:rsidRPr="00CA2692">
              <w:rPr>
                <w:b/>
                <w:szCs w:val="22"/>
              </w:rPr>
              <w:t>Poruchy obličiek a močových ciest</w:t>
            </w:r>
            <w:bookmarkEnd w:id="56"/>
            <w:r w:rsidRPr="00CA2692">
              <w:rPr>
                <w:b/>
                <w:szCs w:val="22"/>
              </w:rPr>
              <w:t xml:space="preserve"> </w:t>
            </w:r>
          </w:p>
        </w:tc>
        <w:tc>
          <w:tcPr>
            <w:tcW w:w="1377" w:type="pct"/>
          </w:tcPr>
          <w:p w14:paraId="3B9325D4" w14:textId="77777777" w:rsidR="00890443" w:rsidRPr="00890443" w:rsidRDefault="00890443" w:rsidP="00CA2692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 xml:space="preserve">Akútne </w:t>
            </w:r>
            <w:r w:rsidR="00CA2692">
              <w:rPr>
                <w:szCs w:val="22"/>
              </w:rPr>
              <w:t xml:space="preserve">renálne </w:t>
            </w:r>
            <w:r w:rsidRPr="00890443">
              <w:rPr>
                <w:szCs w:val="22"/>
              </w:rPr>
              <w:t xml:space="preserve">zlyhanie </w:t>
            </w:r>
          </w:p>
        </w:tc>
        <w:tc>
          <w:tcPr>
            <w:tcW w:w="753" w:type="pct"/>
          </w:tcPr>
          <w:p w14:paraId="3B9325D5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5D6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Zriedkavé</w:t>
            </w:r>
          </w:p>
        </w:tc>
        <w:tc>
          <w:tcPr>
            <w:tcW w:w="877" w:type="pct"/>
          </w:tcPr>
          <w:p w14:paraId="3B9325D7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</w:tr>
      <w:tr w:rsidR="00890443" w:rsidRPr="00890443" w14:paraId="3B9325DE" w14:textId="77777777" w:rsidTr="00E24456">
        <w:trPr>
          <w:trHeight w:val="285"/>
        </w:trPr>
        <w:tc>
          <w:tcPr>
            <w:tcW w:w="1259" w:type="pct"/>
            <w:vMerge/>
          </w:tcPr>
          <w:p w14:paraId="3B9325D9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1377" w:type="pct"/>
          </w:tcPr>
          <w:p w14:paraId="3B9325DA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Hematúria</w:t>
            </w:r>
          </w:p>
        </w:tc>
        <w:tc>
          <w:tcPr>
            <w:tcW w:w="753" w:type="pct"/>
          </w:tcPr>
          <w:p w14:paraId="3B9325DB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5DC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Časté</w:t>
            </w:r>
          </w:p>
        </w:tc>
        <w:tc>
          <w:tcPr>
            <w:tcW w:w="877" w:type="pct"/>
          </w:tcPr>
          <w:p w14:paraId="3B9325DD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</w:tr>
      <w:tr w:rsidR="00890443" w:rsidRPr="00890443" w14:paraId="3B9325E4" w14:textId="77777777" w:rsidTr="00E24456">
        <w:trPr>
          <w:trHeight w:val="345"/>
        </w:trPr>
        <w:tc>
          <w:tcPr>
            <w:tcW w:w="1259" w:type="pct"/>
            <w:vMerge/>
          </w:tcPr>
          <w:p w14:paraId="3B9325DF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1377" w:type="pct"/>
          </w:tcPr>
          <w:p w14:paraId="3B9325E0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Časté močenie</w:t>
            </w:r>
          </w:p>
        </w:tc>
        <w:tc>
          <w:tcPr>
            <w:tcW w:w="753" w:type="pct"/>
          </w:tcPr>
          <w:p w14:paraId="3B9325E1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5E2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877" w:type="pct"/>
          </w:tcPr>
          <w:p w14:paraId="3B9325E3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</w:tc>
      </w:tr>
      <w:tr w:rsidR="00890443" w:rsidRPr="00890443" w14:paraId="3B9325EA" w14:textId="77777777" w:rsidTr="00E24456">
        <w:trPr>
          <w:trHeight w:val="360"/>
        </w:trPr>
        <w:tc>
          <w:tcPr>
            <w:tcW w:w="1259" w:type="pct"/>
            <w:vMerge/>
          </w:tcPr>
          <w:p w14:paraId="3B9325E5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1377" w:type="pct"/>
          </w:tcPr>
          <w:p w14:paraId="3B9325E6" w14:textId="77777777" w:rsidR="00890443" w:rsidRPr="00890443" w:rsidRDefault="00890443" w:rsidP="001540DF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 xml:space="preserve">Poruchy </w:t>
            </w:r>
            <w:r w:rsidR="001540DF">
              <w:rPr>
                <w:szCs w:val="22"/>
              </w:rPr>
              <w:t>močenia</w:t>
            </w:r>
          </w:p>
        </w:tc>
        <w:tc>
          <w:tcPr>
            <w:tcW w:w="753" w:type="pct"/>
          </w:tcPr>
          <w:p w14:paraId="3B9325E7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5E8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877" w:type="pct"/>
          </w:tcPr>
          <w:p w14:paraId="3B9325E9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</w:tc>
      </w:tr>
      <w:tr w:rsidR="00890443" w:rsidRPr="00890443" w14:paraId="3B9325F0" w14:textId="77777777" w:rsidTr="00E24456">
        <w:trPr>
          <w:trHeight w:val="345"/>
        </w:trPr>
        <w:tc>
          <w:tcPr>
            <w:tcW w:w="1259" w:type="pct"/>
            <w:vMerge/>
          </w:tcPr>
          <w:p w14:paraId="3B9325EB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1377" w:type="pct"/>
          </w:tcPr>
          <w:p w14:paraId="3B9325EC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Noktúria</w:t>
            </w:r>
          </w:p>
        </w:tc>
        <w:tc>
          <w:tcPr>
            <w:tcW w:w="753" w:type="pct"/>
          </w:tcPr>
          <w:p w14:paraId="3B9325ED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5EE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877" w:type="pct"/>
          </w:tcPr>
          <w:p w14:paraId="3B9325EF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</w:tc>
      </w:tr>
      <w:tr w:rsidR="00890443" w:rsidRPr="00890443" w14:paraId="3B9325F6" w14:textId="77777777" w:rsidTr="00E24456">
        <w:trPr>
          <w:trHeight w:val="345"/>
        </w:trPr>
        <w:tc>
          <w:tcPr>
            <w:tcW w:w="1259" w:type="pct"/>
            <w:vMerge/>
          </w:tcPr>
          <w:p w14:paraId="3B9325F1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1377" w:type="pct"/>
          </w:tcPr>
          <w:p w14:paraId="3B9325F2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Polakizúria</w:t>
            </w:r>
          </w:p>
        </w:tc>
        <w:tc>
          <w:tcPr>
            <w:tcW w:w="753" w:type="pct"/>
          </w:tcPr>
          <w:p w14:paraId="3B9325F3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</w:tc>
        <w:tc>
          <w:tcPr>
            <w:tcW w:w="733" w:type="pct"/>
          </w:tcPr>
          <w:p w14:paraId="3B9325F4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877" w:type="pct"/>
          </w:tcPr>
          <w:p w14:paraId="3B9325F5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</w:tr>
      <w:tr w:rsidR="00890443" w:rsidRPr="00890443" w14:paraId="3B9325FC" w14:textId="77777777" w:rsidTr="00E24456">
        <w:trPr>
          <w:trHeight w:val="180"/>
        </w:trPr>
        <w:tc>
          <w:tcPr>
            <w:tcW w:w="1259" w:type="pct"/>
            <w:vMerge/>
          </w:tcPr>
          <w:p w14:paraId="3B9325F7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1377" w:type="pct"/>
          </w:tcPr>
          <w:p w14:paraId="3B9325F8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Renálna insuficiencia</w:t>
            </w:r>
          </w:p>
        </w:tc>
        <w:tc>
          <w:tcPr>
            <w:tcW w:w="753" w:type="pct"/>
          </w:tcPr>
          <w:p w14:paraId="3B9325F9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5FA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Zriedkavé</w:t>
            </w:r>
          </w:p>
        </w:tc>
        <w:tc>
          <w:tcPr>
            <w:tcW w:w="877" w:type="pct"/>
          </w:tcPr>
          <w:p w14:paraId="3B9325FB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</w:tr>
      <w:tr w:rsidR="00890443" w:rsidRPr="00890443" w14:paraId="3B932602" w14:textId="77777777" w:rsidTr="00E24456">
        <w:trPr>
          <w:trHeight w:val="423"/>
        </w:trPr>
        <w:tc>
          <w:tcPr>
            <w:tcW w:w="1259" w:type="pct"/>
            <w:vMerge/>
          </w:tcPr>
          <w:p w14:paraId="3B9325FD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1377" w:type="pct"/>
          </w:tcPr>
          <w:p w14:paraId="3B9325FE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Infekcia močového traktu</w:t>
            </w:r>
          </w:p>
        </w:tc>
        <w:tc>
          <w:tcPr>
            <w:tcW w:w="753" w:type="pct"/>
          </w:tcPr>
          <w:p w14:paraId="3B9325FF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600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Časté</w:t>
            </w:r>
          </w:p>
        </w:tc>
        <w:tc>
          <w:tcPr>
            <w:tcW w:w="877" w:type="pct"/>
          </w:tcPr>
          <w:p w14:paraId="3B932601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</w:tr>
      <w:tr w:rsidR="00890443" w:rsidRPr="00890443" w14:paraId="3B932609" w14:textId="77777777" w:rsidTr="00E24456">
        <w:trPr>
          <w:trHeight w:val="585"/>
        </w:trPr>
        <w:tc>
          <w:tcPr>
            <w:tcW w:w="1259" w:type="pct"/>
            <w:vMerge w:val="restart"/>
          </w:tcPr>
          <w:p w14:paraId="3B932603" w14:textId="77777777" w:rsidR="00890443" w:rsidRPr="00760BC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szCs w:val="22"/>
              </w:rPr>
            </w:pPr>
            <w:r w:rsidRPr="00760BC3">
              <w:rPr>
                <w:b/>
                <w:szCs w:val="22"/>
              </w:rPr>
              <w:t xml:space="preserve">Poruchy reprodukčného systému a prsníkov </w:t>
            </w:r>
          </w:p>
        </w:tc>
        <w:tc>
          <w:tcPr>
            <w:tcW w:w="1377" w:type="pct"/>
          </w:tcPr>
          <w:p w14:paraId="3B932604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Erektilná dysfunkcia/impotencia</w:t>
            </w:r>
          </w:p>
        </w:tc>
        <w:tc>
          <w:tcPr>
            <w:tcW w:w="753" w:type="pct"/>
          </w:tcPr>
          <w:p w14:paraId="3B932605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</w:tc>
        <w:tc>
          <w:tcPr>
            <w:tcW w:w="733" w:type="pct"/>
          </w:tcPr>
          <w:p w14:paraId="3B932606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877" w:type="pct"/>
          </w:tcPr>
          <w:p w14:paraId="3B932607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  <w:p w14:paraId="3B932608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</w:tr>
      <w:tr w:rsidR="00890443" w:rsidRPr="00890443" w14:paraId="3B93260F" w14:textId="77777777" w:rsidTr="00E24456">
        <w:trPr>
          <w:trHeight w:val="225"/>
        </w:trPr>
        <w:tc>
          <w:tcPr>
            <w:tcW w:w="1259" w:type="pct"/>
            <w:vMerge/>
          </w:tcPr>
          <w:p w14:paraId="3B93260A" w14:textId="77777777" w:rsidR="00890443" w:rsidRPr="00760BC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szCs w:val="22"/>
              </w:rPr>
            </w:pPr>
          </w:p>
        </w:tc>
        <w:tc>
          <w:tcPr>
            <w:tcW w:w="1377" w:type="pct"/>
          </w:tcPr>
          <w:p w14:paraId="3B93260B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Gynekomastia</w:t>
            </w:r>
          </w:p>
        </w:tc>
        <w:tc>
          <w:tcPr>
            <w:tcW w:w="753" w:type="pct"/>
          </w:tcPr>
          <w:p w14:paraId="3B93260C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60D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877" w:type="pct"/>
          </w:tcPr>
          <w:p w14:paraId="3B93260E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</w:tc>
      </w:tr>
      <w:tr w:rsidR="00890443" w:rsidRPr="00890443" w14:paraId="3B932615" w14:textId="77777777" w:rsidTr="00E24456">
        <w:trPr>
          <w:trHeight w:val="240"/>
        </w:trPr>
        <w:tc>
          <w:tcPr>
            <w:tcW w:w="1259" w:type="pct"/>
            <w:vMerge w:val="restart"/>
          </w:tcPr>
          <w:p w14:paraId="3B932610" w14:textId="1F6D9D3A" w:rsidR="00890443" w:rsidRPr="00760BC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szCs w:val="22"/>
              </w:rPr>
            </w:pPr>
            <w:bookmarkStart w:id="57" w:name="_Toc205605672"/>
            <w:r w:rsidRPr="00760BC3">
              <w:rPr>
                <w:b/>
                <w:szCs w:val="22"/>
              </w:rPr>
              <w:t>Celkové poruchy a reakcie v mieste podania</w:t>
            </w:r>
            <w:bookmarkEnd w:id="57"/>
            <w:r w:rsidRPr="00760BC3">
              <w:rPr>
                <w:b/>
                <w:szCs w:val="22"/>
              </w:rPr>
              <w:t xml:space="preserve"> </w:t>
            </w:r>
          </w:p>
        </w:tc>
        <w:tc>
          <w:tcPr>
            <w:tcW w:w="1377" w:type="pct"/>
          </w:tcPr>
          <w:p w14:paraId="3B932611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bookmarkStart w:id="58" w:name="_Toc205605673"/>
            <w:r w:rsidRPr="00890443">
              <w:rPr>
                <w:szCs w:val="22"/>
              </w:rPr>
              <w:t>Asténia</w:t>
            </w:r>
            <w:bookmarkEnd w:id="58"/>
          </w:p>
        </w:tc>
        <w:tc>
          <w:tcPr>
            <w:tcW w:w="753" w:type="pct"/>
          </w:tcPr>
          <w:p w14:paraId="3B932612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</w:tc>
        <w:tc>
          <w:tcPr>
            <w:tcW w:w="733" w:type="pct"/>
          </w:tcPr>
          <w:p w14:paraId="3B932613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</w:tc>
        <w:tc>
          <w:tcPr>
            <w:tcW w:w="877" w:type="pct"/>
          </w:tcPr>
          <w:p w14:paraId="3B932614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Časté</w:t>
            </w:r>
          </w:p>
        </w:tc>
      </w:tr>
      <w:tr w:rsidR="00890443" w:rsidRPr="00890443" w14:paraId="3B93261B" w14:textId="77777777" w:rsidTr="00E24456">
        <w:trPr>
          <w:trHeight w:val="315"/>
        </w:trPr>
        <w:tc>
          <w:tcPr>
            <w:tcW w:w="1259" w:type="pct"/>
            <w:vMerge/>
          </w:tcPr>
          <w:p w14:paraId="3B932616" w14:textId="77777777" w:rsidR="00890443" w:rsidRPr="00760BC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szCs w:val="22"/>
              </w:rPr>
            </w:pPr>
          </w:p>
        </w:tc>
        <w:tc>
          <w:tcPr>
            <w:tcW w:w="1377" w:type="pct"/>
          </w:tcPr>
          <w:p w14:paraId="3B932617" w14:textId="77777777" w:rsidR="00890443" w:rsidRPr="00890443" w:rsidRDefault="00890443" w:rsidP="00E01235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 xml:space="preserve">Bolesť </w:t>
            </w:r>
            <w:r w:rsidR="00E01235">
              <w:rPr>
                <w:szCs w:val="22"/>
              </w:rPr>
              <w:t>na</w:t>
            </w:r>
            <w:r w:rsidRPr="00890443">
              <w:rPr>
                <w:szCs w:val="22"/>
              </w:rPr>
              <w:t> hrud</w:t>
            </w:r>
            <w:r w:rsidR="00E01235">
              <w:rPr>
                <w:szCs w:val="22"/>
              </w:rPr>
              <w:t>níku</w:t>
            </w:r>
          </w:p>
        </w:tc>
        <w:tc>
          <w:tcPr>
            <w:tcW w:w="753" w:type="pct"/>
          </w:tcPr>
          <w:p w14:paraId="3B932618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619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Časté</w:t>
            </w:r>
          </w:p>
        </w:tc>
        <w:tc>
          <w:tcPr>
            <w:tcW w:w="877" w:type="pct"/>
          </w:tcPr>
          <w:p w14:paraId="3B93261A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</w:tc>
      </w:tr>
      <w:tr w:rsidR="00890443" w:rsidRPr="00890443" w14:paraId="3B932621" w14:textId="77777777" w:rsidTr="00E24456">
        <w:trPr>
          <w:trHeight w:val="165"/>
        </w:trPr>
        <w:tc>
          <w:tcPr>
            <w:tcW w:w="1259" w:type="pct"/>
            <w:vMerge/>
          </w:tcPr>
          <w:p w14:paraId="3B93261C" w14:textId="77777777" w:rsidR="00890443" w:rsidRPr="00760BC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szCs w:val="22"/>
              </w:rPr>
            </w:pPr>
          </w:p>
        </w:tc>
        <w:tc>
          <w:tcPr>
            <w:tcW w:w="1377" w:type="pct"/>
          </w:tcPr>
          <w:p w14:paraId="3B93261D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Edém tváre</w:t>
            </w:r>
          </w:p>
        </w:tc>
        <w:tc>
          <w:tcPr>
            <w:tcW w:w="753" w:type="pct"/>
          </w:tcPr>
          <w:p w14:paraId="3B93261E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Zriedkavé</w:t>
            </w:r>
          </w:p>
        </w:tc>
        <w:tc>
          <w:tcPr>
            <w:tcW w:w="733" w:type="pct"/>
          </w:tcPr>
          <w:p w14:paraId="3B93261F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</w:tc>
        <w:tc>
          <w:tcPr>
            <w:tcW w:w="877" w:type="pct"/>
          </w:tcPr>
          <w:p w14:paraId="3B932620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</w:tr>
      <w:tr w:rsidR="00890443" w:rsidRPr="00890443" w14:paraId="3B932627" w14:textId="77777777" w:rsidTr="00E24456">
        <w:trPr>
          <w:trHeight w:val="240"/>
        </w:trPr>
        <w:tc>
          <w:tcPr>
            <w:tcW w:w="1259" w:type="pct"/>
            <w:vMerge/>
          </w:tcPr>
          <w:p w14:paraId="3B932622" w14:textId="77777777" w:rsidR="00890443" w:rsidRPr="00760BC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szCs w:val="22"/>
              </w:rPr>
            </w:pPr>
          </w:p>
        </w:tc>
        <w:tc>
          <w:tcPr>
            <w:tcW w:w="1377" w:type="pct"/>
          </w:tcPr>
          <w:p w14:paraId="3B932623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Únava</w:t>
            </w:r>
          </w:p>
        </w:tc>
        <w:tc>
          <w:tcPr>
            <w:tcW w:w="753" w:type="pct"/>
          </w:tcPr>
          <w:p w14:paraId="3B932624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Časté</w:t>
            </w:r>
          </w:p>
        </w:tc>
        <w:tc>
          <w:tcPr>
            <w:tcW w:w="733" w:type="pct"/>
          </w:tcPr>
          <w:p w14:paraId="3B932625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Časté</w:t>
            </w:r>
          </w:p>
        </w:tc>
        <w:tc>
          <w:tcPr>
            <w:tcW w:w="877" w:type="pct"/>
          </w:tcPr>
          <w:p w14:paraId="3B932626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Časté</w:t>
            </w:r>
          </w:p>
        </w:tc>
      </w:tr>
      <w:tr w:rsidR="00890443" w:rsidRPr="00890443" w14:paraId="3B93262D" w14:textId="77777777" w:rsidTr="00E24456">
        <w:trPr>
          <w:trHeight w:val="315"/>
        </w:trPr>
        <w:tc>
          <w:tcPr>
            <w:tcW w:w="1259" w:type="pct"/>
            <w:vMerge/>
          </w:tcPr>
          <w:p w14:paraId="3B932628" w14:textId="77777777" w:rsidR="00890443" w:rsidRPr="00760BC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szCs w:val="22"/>
              </w:rPr>
            </w:pPr>
          </w:p>
        </w:tc>
        <w:tc>
          <w:tcPr>
            <w:tcW w:w="1377" w:type="pct"/>
          </w:tcPr>
          <w:p w14:paraId="3B932629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Symptómy podobné chrípke</w:t>
            </w:r>
          </w:p>
        </w:tc>
        <w:tc>
          <w:tcPr>
            <w:tcW w:w="753" w:type="pct"/>
          </w:tcPr>
          <w:p w14:paraId="3B93262A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62B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Časté</w:t>
            </w:r>
          </w:p>
        </w:tc>
        <w:tc>
          <w:tcPr>
            <w:tcW w:w="877" w:type="pct"/>
          </w:tcPr>
          <w:p w14:paraId="3B93262C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</w:tr>
      <w:tr w:rsidR="00890443" w:rsidRPr="00890443" w14:paraId="3B932633" w14:textId="77777777" w:rsidTr="00E24456">
        <w:trPr>
          <w:trHeight w:val="180"/>
        </w:trPr>
        <w:tc>
          <w:tcPr>
            <w:tcW w:w="1259" w:type="pct"/>
            <w:vMerge/>
          </w:tcPr>
          <w:p w14:paraId="3B93262E" w14:textId="77777777" w:rsidR="00890443" w:rsidRPr="00760BC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szCs w:val="22"/>
              </w:rPr>
            </w:pPr>
          </w:p>
        </w:tc>
        <w:tc>
          <w:tcPr>
            <w:tcW w:w="1377" w:type="pct"/>
          </w:tcPr>
          <w:p w14:paraId="3B93262F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Letargia</w:t>
            </w:r>
          </w:p>
        </w:tc>
        <w:tc>
          <w:tcPr>
            <w:tcW w:w="753" w:type="pct"/>
          </w:tcPr>
          <w:p w14:paraId="3B932630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631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Zriedkavé</w:t>
            </w:r>
          </w:p>
        </w:tc>
        <w:tc>
          <w:tcPr>
            <w:tcW w:w="877" w:type="pct"/>
          </w:tcPr>
          <w:p w14:paraId="3B932632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</w:tr>
      <w:tr w:rsidR="00890443" w:rsidRPr="00890443" w14:paraId="3B932639" w14:textId="77777777" w:rsidTr="00E24456">
        <w:trPr>
          <w:trHeight w:val="255"/>
        </w:trPr>
        <w:tc>
          <w:tcPr>
            <w:tcW w:w="1259" w:type="pct"/>
            <w:vMerge/>
          </w:tcPr>
          <w:p w14:paraId="3B932634" w14:textId="77777777" w:rsidR="00890443" w:rsidRPr="00760BC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szCs w:val="22"/>
              </w:rPr>
            </w:pPr>
          </w:p>
        </w:tc>
        <w:tc>
          <w:tcPr>
            <w:tcW w:w="1377" w:type="pct"/>
          </w:tcPr>
          <w:p w14:paraId="3B932635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Celková nevoľnosť</w:t>
            </w:r>
          </w:p>
        </w:tc>
        <w:tc>
          <w:tcPr>
            <w:tcW w:w="753" w:type="pct"/>
          </w:tcPr>
          <w:p w14:paraId="3B932636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637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</w:tc>
        <w:tc>
          <w:tcPr>
            <w:tcW w:w="877" w:type="pct"/>
          </w:tcPr>
          <w:p w14:paraId="3B932638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</w:tc>
      </w:tr>
      <w:tr w:rsidR="00890443" w:rsidRPr="00890443" w14:paraId="3B93263F" w14:textId="77777777" w:rsidTr="00E24456">
        <w:trPr>
          <w:trHeight w:val="330"/>
        </w:trPr>
        <w:tc>
          <w:tcPr>
            <w:tcW w:w="1259" w:type="pct"/>
            <w:vMerge/>
          </w:tcPr>
          <w:p w14:paraId="3B93263A" w14:textId="77777777" w:rsidR="00890443" w:rsidRPr="00760BC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szCs w:val="22"/>
              </w:rPr>
            </w:pPr>
          </w:p>
        </w:tc>
        <w:tc>
          <w:tcPr>
            <w:tcW w:w="1377" w:type="pct"/>
          </w:tcPr>
          <w:p w14:paraId="3B93263B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Edém</w:t>
            </w:r>
          </w:p>
        </w:tc>
        <w:tc>
          <w:tcPr>
            <w:tcW w:w="753" w:type="pct"/>
          </w:tcPr>
          <w:p w14:paraId="3B93263C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Časté</w:t>
            </w:r>
          </w:p>
        </w:tc>
        <w:tc>
          <w:tcPr>
            <w:tcW w:w="733" w:type="pct"/>
          </w:tcPr>
          <w:p w14:paraId="3B93263D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877" w:type="pct"/>
          </w:tcPr>
          <w:p w14:paraId="3B93263E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Veľmi časté</w:t>
            </w:r>
          </w:p>
        </w:tc>
      </w:tr>
      <w:tr w:rsidR="00890443" w:rsidRPr="00890443" w14:paraId="3B932645" w14:textId="77777777" w:rsidTr="00E24456">
        <w:trPr>
          <w:trHeight w:val="345"/>
        </w:trPr>
        <w:tc>
          <w:tcPr>
            <w:tcW w:w="1259" w:type="pct"/>
            <w:vMerge/>
          </w:tcPr>
          <w:p w14:paraId="3B932640" w14:textId="77777777" w:rsidR="00890443" w:rsidRPr="00760BC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szCs w:val="22"/>
              </w:rPr>
            </w:pPr>
          </w:p>
        </w:tc>
        <w:tc>
          <w:tcPr>
            <w:tcW w:w="1377" w:type="pct"/>
          </w:tcPr>
          <w:p w14:paraId="3B932641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Bolesť</w:t>
            </w:r>
          </w:p>
        </w:tc>
        <w:tc>
          <w:tcPr>
            <w:tcW w:w="753" w:type="pct"/>
          </w:tcPr>
          <w:p w14:paraId="3B932642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643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Časté</w:t>
            </w:r>
          </w:p>
        </w:tc>
        <w:tc>
          <w:tcPr>
            <w:tcW w:w="877" w:type="pct"/>
          </w:tcPr>
          <w:p w14:paraId="3B932644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</w:tc>
      </w:tr>
      <w:tr w:rsidR="00890443" w:rsidRPr="00890443" w14:paraId="3B93264B" w14:textId="77777777" w:rsidTr="00E24456">
        <w:trPr>
          <w:trHeight w:val="180"/>
        </w:trPr>
        <w:tc>
          <w:tcPr>
            <w:tcW w:w="1259" w:type="pct"/>
            <w:vMerge/>
          </w:tcPr>
          <w:p w14:paraId="3B932646" w14:textId="77777777" w:rsidR="00890443" w:rsidRPr="00760BC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szCs w:val="22"/>
              </w:rPr>
            </w:pPr>
          </w:p>
        </w:tc>
        <w:tc>
          <w:tcPr>
            <w:tcW w:w="1377" w:type="pct"/>
          </w:tcPr>
          <w:p w14:paraId="3B932647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 xml:space="preserve">Periférny edém </w:t>
            </w:r>
          </w:p>
        </w:tc>
        <w:tc>
          <w:tcPr>
            <w:tcW w:w="753" w:type="pct"/>
          </w:tcPr>
          <w:p w14:paraId="3B932648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Časté</w:t>
            </w:r>
          </w:p>
        </w:tc>
        <w:tc>
          <w:tcPr>
            <w:tcW w:w="733" w:type="pct"/>
          </w:tcPr>
          <w:p w14:paraId="3B932649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Časté</w:t>
            </w:r>
          </w:p>
        </w:tc>
        <w:tc>
          <w:tcPr>
            <w:tcW w:w="877" w:type="pct"/>
          </w:tcPr>
          <w:p w14:paraId="3B93264A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</w:tr>
      <w:tr w:rsidR="00890443" w:rsidRPr="00890443" w14:paraId="3B932651" w14:textId="77777777" w:rsidTr="00E24456">
        <w:trPr>
          <w:trHeight w:val="449"/>
        </w:trPr>
        <w:tc>
          <w:tcPr>
            <w:tcW w:w="1259" w:type="pct"/>
            <w:vMerge/>
          </w:tcPr>
          <w:p w14:paraId="3B93264C" w14:textId="77777777" w:rsidR="00890443" w:rsidRPr="00760BC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szCs w:val="22"/>
              </w:rPr>
            </w:pPr>
          </w:p>
        </w:tc>
        <w:tc>
          <w:tcPr>
            <w:tcW w:w="1377" w:type="pct"/>
          </w:tcPr>
          <w:p w14:paraId="3B93264D" w14:textId="456B969A" w:rsidR="00890443" w:rsidRPr="00890443" w:rsidRDefault="00E01235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>
              <w:rPr>
                <w:szCs w:val="22"/>
              </w:rPr>
              <w:t>Jamkov</w:t>
            </w:r>
            <w:r w:rsidR="008F7E13">
              <w:rPr>
                <w:szCs w:val="22"/>
              </w:rPr>
              <w:t>it</w:t>
            </w:r>
            <w:r>
              <w:rPr>
                <w:szCs w:val="22"/>
              </w:rPr>
              <w:t>ý edém</w:t>
            </w:r>
          </w:p>
        </w:tc>
        <w:tc>
          <w:tcPr>
            <w:tcW w:w="753" w:type="pct"/>
          </w:tcPr>
          <w:p w14:paraId="3B93264E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Časté</w:t>
            </w:r>
          </w:p>
        </w:tc>
        <w:tc>
          <w:tcPr>
            <w:tcW w:w="733" w:type="pct"/>
          </w:tcPr>
          <w:p w14:paraId="3B93264F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877" w:type="pct"/>
          </w:tcPr>
          <w:p w14:paraId="3B932650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</w:tr>
      <w:tr w:rsidR="00890443" w:rsidRPr="00890443" w14:paraId="3B93265A" w14:textId="77777777" w:rsidTr="00E24456">
        <w:trPr>
          <w:trHeight w:val="510"/>
        </w:trPr>
        <w:tc>
          <w:tcPr>
            <w:tcW w:w="1259" w:type="pct"/>
            <w:vMerge w:val="restart"/>
          </w:tcPr>
          <w:p w14:paraId="3B932652" w14:textId="36DB0249" w:rsidR="00890443" w:rsidRPr="00760BC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b/>
                <w:szCs w:val="22"/>
              </w:rPr>
            </w:pPr>
            <w:bookmarkStart w:id="59" w:name="_Toc205605676"/>
            <w:r w:rsidRPr="00760BC3">
              <w:rPr>
                <w:b/>
                <w:szCs w:val="22"/>
              </w:rPr>
              <w:t>Laboratórne a funkčné vyšetrenia</w:t>
            </w:r>
            <w:bookmarkEnd w:id="59"/>
            <w:r w:rsidRPr="00760BC3">
              <w:rPr>
                <w:b/>
                <w:szCs w:val="22"/>
              </w:rPr>
              <w:t xml:space="preserve"> </w:t>
            </w:r>
          </w:p>
        </w:tc>
        <w:tc>
          <w:tcPr>
            <w:tcW w:w="1377" w:type="pct"/>
          </w:tcPr>
          <w:p w14:paraId="3B932653" w14:textId="0E3E755D" w:rsidR="00890443" w:rsidRPr="00890443" w:rsidRDefault="00F65A8D" w:rsidP="00762B77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bookmarkStart w:id="60" w:name="_Toc205605677"/>
            <w:r w:rsidRPr="00890443">
              <w:rPr>
                <w:szCs w:val="22"/>
              </w:rPr>
              <w:t>Zvýšen</w:t>
            </w:r>
            <w:r>
              <w:rPr>
                <w:szCs w:val="22"/>
              </w:rPr>
              <w:t>á h</w:t>
            </w:r>
            <w:r w:rsidR="008F7E13">
              <w:rPr>
                <w:szCs w:val="22"/>
              </w:rPr>
              <w:t>ladin</w:t>
            </w:r>
            <w:r>
              <w:rPr>
                <w:szCs w:val="22"/>
              </w:rPr>
              <w:t>a</w:t>
            </w:r>
            <w:r w:rsidR="00890443" w:rsidRPr="00890443">
              <w:rPr>
                <w:szCs w:val="22"/>
              </w:rPr>
              <w:t xml:space="preserve"> kreatinínu v krvi</w:t>
            </w:r>
            <w:bookmarkEnd w:id="60"/>
          </w:p>
        </w:tc>
        <w:tc>
          <w:tcPr>
            <w:tcW w:w="753" w:type="pct"/>
          </w:tcPr>
          <w:p w14:paraId="3B932654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  <w:p w14:paraId="3B932655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656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Zriedkavé</w:t>
            </w:r>
          </w:p>
          <w:p w14:paraId="3B932657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877" w:type="pct"/>
          </w:tcPr>
          <w:p w14:paraId="3B932658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  <w:p w14:paraId="3B932659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</w:tr>
      <w:tr w:rsidR="00890443" w:rsidRPr="00890443" w14:paraId="3B932664" w14:textId="77777777" w:rsidTr="00E24456">
        <w:trPr>
          <w:trHeight w:val="900"/>
        </w:trPr>
        <w:tc>
          <w:tcPr>
            <w:tcW w:w="1259" w:type="pct"/>
            <w:vMerge/>
          </w:tcPr>
          <w:p w14:paraId="3B93265B" w14:textId="77777777" w:rsidR="00890443" w:rsidRPr="00890443" w:rsidDel="0022055F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1377" w:type="pct"/>
          </w:tcPr>
          <w:p w14:paraId="3B93265C" w14:textId="2B9CA524" w:rsidR="00890443" w:rsidRPr="00890443" w:rsidRDefault="00F65A8D" w:rsidP="00762B77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Zvýšen</w:t>
            </w:r>
            <w:r>
              <w:rPr>
                <w:szCs w:val="22"/>
              </w:rPr>
              <w:t>á h</w:t>
            </w:r>
            <w:r w:rsidR="008F7E13">
              <w:rPr>
                <w:szCs w:val="22"/>
              </w:rPr>
              <w:t>ladin</w:t>
            </w:r>
            <w:r>
              <w:rPr>
                <w:szCs w:val="22"/>
              </w:rPr>
              <w:t>a</w:t>
            </w:r>
            <w:r w:rsidRPr="00890443">
              <w:rPr>
                <w:szCs w:val="22"/>
              </w:rPr>
              <w:t xml:space="preserve"> </w:t>
            </w:r>
            <w:r w:rsidR="00890443" w:rsidRPr="00890443">
              <w:rPr>
                <w:szCs w:val="22"/>
              </w:rPr>
              <w:t>kreatínfosfokinázy v krvi</w:t>
            </w:r>
          </w:p>
        </w:tc>
        <w:tc>
          <w:tcPr>
            <w:tcW w:w="753" w:type="pct"/>
          </w:tcPr>
          <w:p w14:paraId="3B93265D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  <w:p w14:paraId="3B93265E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  <w:p w14:paraId="3B93265F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660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Časté</w:t>
            </w:r>
          </w:p>
        </w:tc>
        <w:tc>
          <w:tcPr>
            <w:tcW w:w="877" w:type="pct"/>
          </w:tcPr>
          <w:p w14:paraId="3B932661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  <w:p w14:paraId="3B932662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  <w:p w14:paraId="3B932663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</w:tr>
      <w:tr w:rsidR="00890443" w:rsidRPr="00890443" w14:paraId="3B93266D" w14:textId="77777777" w:rsidTr="00E24456">
        <w:trPr>
          <w:trHeight w:val="540"/>
        </w:trPr>
        <w:tc>
          <w:tcPr>
            <w:tcW w:w="1259" w:type="pct"/>
            <w:vMerge/>
          </w:tcPr>
          <w:p w14:paraId="3B932665" w14:textId="77777777" w:rsidR="00890443" w:rsidRPr="00890443" w:rsidDel="0022055F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1377" w:type="pct"/>
          </w:tcPr>
          <w:p w14:paraId="3B932666" w14:textId="20DF4991" w:rsidR="00890443" w:rsidRPr="00890443" w:rsidRDefault="00F65A8D" w:rsidP="00762B77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Z</w:t>
            </w:r>
            <w:r w:rsidR="008F7E13">
              <w:rPr>
                <w:szCs w:val="22"/>
              </w:rPr>
              <w:t>níž</w:t>
            </w:r>
            <w:r w:rsidRPr="00890443">
              <w:rPr>
                <w:szCs w:val="22"/>
              </w:rPr>
              <w:t>en</w:t>
            </w:r>
            <w:r>
              <w:rPr>
                <w:szCs w:val="22"/>
              </w:rPr>
              <w:t>á h</w:t>
            </w:r>
            <w:r w:rsidR="008F7E13">
              <w:rPr>
                <w:szCs w:val="22"/>
              </w:rPr>
              <w:t>ladin</w:t>
            </w:r>
            <w:r>
              <w:rPr>
                <w:szCs w:val="22"/>
              </w:rPr>
              <w:t>a</w:t>
            </w:r>
            <w:r w:rsidRPr="00890443">
              <w:rPr>
                <w:szCs w:val="22"/>
              </w:rPr>
              <w:t xml:space="preserve"> </w:t>
            </w:r>
            <w:r w:rsidR="00890443" w:rsidRPr="00890443">
              <w:rPr>
                <w:szCs w:val="22"/>
              </w:rPr>
              <w:t>draslíka v krvi</w:t>
            </w:r>
          </w:p>
        </w:tc>
        <w:tc>
          <w:tcPr>
            <w:tcW w:w="753" w:type="pct"/>
          </w:tcPr>
          <w:p w14:paraId="3B932667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  <w:p w14:paraId="3B932668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669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  <w:p w14:paraId="3B93266A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877" w:type="pct"/>
          </w:tcPr>
          <w:p w14:paraId="3B93266B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  <w:p w14:paraId="3B93266C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</w:tr>
      <w:tr w:rsidR="00890443" w:rsidRPr="00890443" w14:paraId="3B932673" w14:textId="77777777" w:rsidTr="00E24456">
        <w:trPr>
          <w:trHeight w:val="345"/>
        </w:trPr>
        <w:tc>
          <w:tcPr>
            <w:tcW w:w="1259" w:type="pct"/>
            <w:vMerge/>
          </w:tcPr>
          <w:p w14:paraId="3B93266E" w14:textId="77777777" w:rsidR="00890443" w:rsidRPr="00890443" w:rsidDel="0022055F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1377" w:type="pct"/>
          </w:tcPr>
          <w:p w14:paraId="3B93266F" w14:textId="311611E0" w:rsidR="00890443" w:rsidRPr="00890443" w:rsidRDefault="00890443" w:rsidP="00F65A8D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Zvýšen</w:t>
            </w:r>
            <w:r w:rsidR="00F65A8D">
              <w:rPr>
                <w:szCs w:val="22"/>
              </w:rPr>
              <w:t>á h</w:t>
            </w:r>
            <w:r w:rsidR="008F7E13">
              <w:rPr>
                <w:szCs w:val="22"/>
              </w:rPr>
              <w:t>ladin</w:t>
            </w:r>
            <w:r w:rsidR="00F65A8D">
              <w:rPr>
                <w:szCs w:val="22"/>
              </w:rPr>
              <w:t>a</w:t>
            </w:r>
            <w:r w:rsidRPr="00890443">
              <w:rPr>
                <w:szCs w:val="22"/>
              </w:rPr>
              <w:t xml:space="preserve"> </w:t>
            </w:r>
            <w:r w:rsidR="00F65A8D">
              <w:rPr>
                <w:szCs w:val="22"/>
              </w:rPr>
              <w:t>močoviny</w:t>
            </w:r>
            <w:r w:rsidRPr="00890443">
              <w:rPr>
                <w:szCs w:val="22"/>
              </w:rPr>
              <w:t xml:space="preserve"> v krvi</w:t>
            </w:r>
          </w:p>
        </w:tc>
        <w:tc>
          <w:tcPr>
            <w:tcW w:w="753" w:type="pct"/>
          </w:tcPr>
          <w:p w14:paraId="3B932670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671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Časté</w:t>
            </w:r>
          </w:p>
        </w:tc>
        <w:tc>
          <w:tcPr>
            <w:tcW w:w="877" w:type="pct"/>
          </w:tcPr>
          <w:p w14:paraId="3B932672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</w:tr>
      <w:tr w:rsidR="00890443" w:rsidRPr="00890443" w14:paraId="3B93267B" w14:textId="77777777" w:rsidTr="00E24456">
        <w:trPr>
          <w:trHeight w:val="525"/>
        </w:trPr>
        <w:tc>
          <w:tcPr>
            <w:tcW w:w="1259" w:type="pct"/>
            <w:vMerge/>
          </w:tcPr>
          <w:p w14:paraId="3B932674" w14:textId="77777777" w:rsidR="00890443" w:rsidRPr="00890443" w:rsidDel="0022055F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1377" w:type="pct"/>
          </w:tcPr>
          <w:p w14:paraId="3B932675" w14:textId="36B87BD1" w:rsidR="00890443" w:rsidRPr="00890443" w:rsidRDefault="00F65A8D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Zvýšen</w:t>
            </w:r>
            <w:r>
              <w:rPr>
                <w:szCs w:val="22"/>
              </w:rPr>
              <w:t>á h</w:t>
            </w:r>
            <w:r w:rsidR="008F7E13">
              <w:rPr>
                <w:szCs w:val="22"/>
              </w:rPr>
              <w:t>ladin</w:t>
            </w:r>
            <w:r>
              <w:rPr>
                <w:szCs w:val="22"/>
              </w:rPr>
              <w:t>a</w:t>
            </w:r>
            <w:r w:rsidR="00890443" w:rsidRPr="00890443">
              <w:rPr>
                <w:szCs w:val="22"/>
              </w:rPr>
              <w:t xml:space="preserve"> kyseliny močovej v krvi</w:t>
            </w:r>
          </w:p>
        </w:tc>
        <w:tc>
          <w:tcPr>
            <w:tcW w:w="753" w:type="pct"/>
          </w:tcPr>
          <w:p w14:paraId="3B932676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  <w:p w14:paraId="3B932677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678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877" w:type="pct"/>
          </w:tcPr>
          <w:p w14:paraId="3B932679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  <w:p w14:paraId="3B93267A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</w:tr>
      <w:tr w:rsidR="00890443" w:rsidRPr="00890443" w14:paraId="3B932683" w14:textId="77777777" w:rsidTr="00E24456">
        <w:trPr>
          <w:trHeight w:val="661"/>
        </w:trPr>
        <w:tc>
          <w:tcPr>
            <w:tcW w:w="1259" w:type="pct"/>
            <w:vMerge/>
          </w:tcPr>
          <w:p w14:paraId="3B93267C" w14:textId="77777777" w:rsidR="00890443" w:rsidRPr="00890443" w:rsidDel="0022055F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1377" w:type="pct"/>
          </w:tcPr>
          <w:p w14:paraId="3B93267D" w14:textId="5E72D8AA" w:rsidR="00890443" w:rsidRPr="00890443" w:rsidRDefault="00890443" w:rsidP="006573BB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 xml:space="preserve">Zvýšená </w:t>
            </w:r>
            <w:r w:rsidR="006573BB">
              <w:rPr>
                <w:szCs w:val="22"/>
              </w:rPr>
              <w:t xml:space="preserve">hodnota </w:t>
            </w:r>
            <w:r w:rsidRPr="00890443">
              <w:rPr>
                <w:szCs w:val="22"/>
              </w:rPr>
              <w:t>gama- glutamyltransferázy</w:t>
            </w:r>
          </w:p>
        </w:tc>
        <w:tc>
          <w:tcPr>
            <w:tcW w:w="753" w:type="pct"/>
          </w:tcPr>
          <w:p w14:paraId="3B93267E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</w:tc>
        <w:tc>
          <w:tcPr>
            <w:tcW w:w="733" w:type="pct"/>
          </w:tcPr>
          <w:p w14:paraId="3B93267F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877" w:type="pct"/>
          </w:tcPr>
          <w:p w14:paraId="3B932680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  <w:p w14:paraId="3B932681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  <w:p w14:paraId="3B932682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</w:tr>
      <w:tr w:rsidR="00890443" w:rsidRPr="00890443" w14:paraId="3B932689" w14:textId="77777777" w:rsidTr="00E24456">
        <w:trPr>
          <w:trHeight w:val="180"/>
        </w:trPr>
        <w:tc>
          <w:tcPr>
            <w:tcW w:w="1259" w:type="pct"/>
            <w:vMerge/>
          </w:tcPr>
          <w:p w14:paraId="3B932684" w14:textId="77777777" w:rsidR="00890443" w:rsidRPr="00890443" w:rsidDel="0022055F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1377" w:type="pct"/>
          </w:tcPr>
          <w:p w14:paraId="3B932685" w14:textId="77777777" w:rsidR="00890443" w:rsidRPr="00890443" w:rsidDel="00607C6B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Zníženie hmotnosti</w:t>
            </w:r>
          </w:p>
        </w:tc>
        <w:tc>
          <w:tcPr>
            <w:tcW w:w="753" w:type="pct"/>
          </w:tcPr>
          <w:p w14:paraId="3B932686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687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877" w:type="pct"/>
          </w:tcPr>
          <w:p w14:paraId="3B932688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</w:tc>
      </w:tr>
      <w:tr w:rsidR="00890443" w:rsidRPr="00890443" w14:paraId="3B93268F" w14:textId="77777777" w:rsidTr="00E24456">
        <w:trPr>
          <w:trHeight w:val="238"/>
        </w:trPr>
        <w:tc>
          <w:tcPr>
            <w:tcW w:w="1259" w:type="pct"/>
            <w:vMerge/>
          </w:tcPr>
          <w:p w14:paraId="3B93268A" w14:textId="77777777" w:rsidR="00890443" w:rsidRPr="00890443" w:rsidDel="0022055F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1377" w:type="pct"/>
          </w:tcPr>
          <w:p w14:paraId="3B93268B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Zvýšenie hmotnosti</w:t>
            </w:r>
          </w:p>
        </w:tc>
        <w:tc>
          <w:tcPr>
            <w:tcW w:w="753" w:type="pct"/>
          </w:tcPr>
          <w:p w14:paraId="3B93268C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733" w:type="pct"/>
          </w:tcPr>
          <w:p w14:paraId="3B93268D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877" w:type="pct"/>
          </w:tcPr>
          <w:p w14:paraId="3B93268E" w14:textId="77777777" w:rsidR="00890443" w:rsidRPr="00890443" w:rsidRDefault="00890443" w:rsidP="00890443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szCs w:val="22"/>
              </w:rPr>
            </w:pPr>
            <w:r w:rsidRPr="00890443">
              <w:rPr>
                <w:szCs w:val="22"/>
              </w:rPr>
              <w:t>Menej časté</w:t>
            </w:r>
          </w:p>
        </w:tc>
      </w:tr>
    </w:tbl>
    <w:p w14:paraId="3B932690" w14:textId="77777777" w:rsidR="00D870CD" w:rsidRPr="00852371" w:rsidRDefault="00D870CD">
      <w:pPr>
        <w:pStyle w:val="Zkladntext"/>
        <w:rPr>
          <w:noProof/>
          <w:szCs w:val="22"/>
        </w:rPr>
      </w:pPr>
    </w:p>
    <w:p w14:paraId="3B932691" w14:textId="7A904967" w:rsidR="00E1698A" w:rsidRPr="005C44A1" w:rsidRDefault="006573BB" w:rsidP="005C44A1">
      <w:pPr>
        <w:pStyle w:val="Zkladntext"/>
        <w:rPr>
          <w:noProof/>
          <w:szCs w:val="22"/>
        </w:rPr>
      </w:pPr>
      <w:bookmarkStart w:id="61" w:name="_Toc205605684"/>
      <w:r w:rsidRPr="005C44A1">
        <w:rPr>
          <w:szCs w:val="22"/>
        </w:rPr>
        <w:t>Pri užívaní blokátorov receptor</w:t>
      </w:r>
      <w:r w:rsidR="00D6662A">
        <w:rPr>
          <w:szCs w:val="22"/>
        </w:rPr>
        <w:t>a</w:t>
      </w:r>
      <w:r w:rsidRPr="005C44A1">
        <w:rPr>
          <w:szCs w:val="22"/>
        </w:rPr>
        <w:t xml:space="preserve"> angiotenzínu II boli hlásené </w:t>
      </w:r>
      <w:r w:rsidR="006272AA" w:rsidRPr="005C44A1">
        <w:rPr>
          <w:szCs w:val="22"/>
        </w:rPr>
        <w:t xml:space="preserve">dočasné </w:t>
      </w:r>
      <w:r w:rsidRPr="005C44A1">
        <w:rPr>
          <w:szCs w:val="22"/>
        </w:rPr>
        <w:t>jednotlivé prípady rabdomyolýzy</w:t>
      </w:r>
      <w:bookmarkEnd w:id="61"/>
      <w:r w:rsidRPr="005C44A1">
        <w:rPr>
          <w:szCs w:val="22"/>
        </w:rPr>
        <w:t xml:space="preserve">. </w:t>
      </w:r>
      <w:r w:rsidR="006272AA" w:rsidRPr="005C44A1">
        <w:rPr>
          <w:szCs w:val="22"/>
        </w:rPr>
        <w:t>U pacientov liečených amlodipínom boli hlásené jednotlivé prípady extrapyramídového syndrómu.</w:t>
      </w:r>
    </w:p>
    <w:p w14:paraId="3B932692" w14:textId="77777777" w:rsidR="00780926" w:rsidRPr="005C44A1" w:rsidRDefault="00780926" w:rsidP="005C44A1">
      <w:pPr>
        <w:rPr>
          <w:szCs w:val="22"/>
        </w:rPr>
      </w:pPr>
    </w:p>
    <w:p w14:paraId="3B932693" w14:textId="77777777" w:rsidR="007E5956" w:rsidRPr="005C44A1" w:rsidRDefault="0067565E" w:rsidP="005C44A1">
      <w:pPr>
        <w:suppressLineNumbers/>
        <w:autoSpaceDE w:val="0"/>
        <w:autoSpaceDN w:val="0"/>
        <w:adjustRightInd w:val="0"/>
        <w:rPr>
          <w:szCs w:val="22"/>
          <w:u w:val="single"/>
        </w:rPr>
      </w:pPr>
      <w:r w:rsidRPr="005C44A1">
        <w:rPr>
          <w:noProof/>
          <w:szCs w:val="22"/>
          <w:u w:val="single"/>
        </w:rPr>
        <w:t>Hlásenie podozrení na nežiaduce reakcie</w:t>
      </w:r>
    </w:p>
    <w:p w14:paraId="3B932694" w14:textId="77777777" w:rsidR="009A28DB" w:rsidRDefault="0067565E" w:rsidP="009A28DB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5C44A1">
        <w:rPr>
          <w:noProof/>
          <w:szCs w:val="22"/>
        </w:rPr>
        <w:t>Hlásenie podozrení na nežiaduce reakcie po registrácii lieku je dôležité.</w:t>
      </w:r>
      <w:r w:rsidRPr="005C44A1">
        <w:rPr>
          <w:szCs w:val="22"/>
        </w:rPr>
        <w:t xml:space="preserve"> </w:t>
      </w:r>
      <w:r w:rsidRPr="005C44A1">
        <w:rPr>
          <w:noProof/>
          <w:szCs w:val="22"/>
        </w:rPr>
        <w:t>Umožňuje priebežné monitorovanie pomeru prínosu a rizika lieku.</w:t>
      </w:r>
      <w:r w:rsidRPr="005C44A1">
        <w:rPr>
          <w:szCs w:val="22"/>
        </w:rPr>
        <w:t xml:space="preserve"> Od </w:t>
      </w:r>
      <w:r w:rsidRPr="005C44A1">
        <w:rPr>
          <w:noProof/>
          <w:szCs w:val="22"/>
        </w:rPr>
        <w:t xml:space="preserve">zdravotníckych pracovníkov sa vyžaduje, aby hlásili akékoľvek podozrenia na nežiaduce reakcie </w:t>
      </w:r>
      <w:r w:rsidR="00F66A28" w:rsidRPr="005C44A1">
        <w:rPr>
          <w:noProof/>
          <w:szCs w:val="22"/>
        </w:rPr>
        <w:t xml:space="preserve">na </w:t>
      </w:r>
      <w:r w:rsidRPr="005C44A1">
        <w:rPr>
          <w:noProof/>
          <w:szCs w:val="22"/>
          <w:highlight w:val="lightGray"/>
        </w:rPr>
        <w:t xml:space="preserve">národné </w:t>
      </w:r>
      <w:r w:rsidR="00F66A28" w:rsidRPr="005C44A1">
        <w:rPr>
          <w:noProof/>
          <w:szCs w:val="22"/>
          <w:highlight w:val="lightGray"/>
        </w:rPr>
        <w:t xml:space="preserve">centrum </w:t>
      </w:r>
      <w:r w:rsidRPr="005C44A1">
        <w:rPr>
          <w:noProof/>
          <w:szCs w:val="22"/>
          <w:highlight w:val="lightGray"/>
        </w:rPr>
        <w:t>hlásenia uvedené v </w:t>
      </w:r>
      <w:hyperlink r:id="rId11" w:history="1">
        <w:r w:rsidRPr="005C44A1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="00BB6D67" w:rsidRPr="005C44A1">
        <w:rPr>
          <w:noProof/>
          <w:szCs w:val="22"/>
        </w:rPr>
        <w:t>.</w:t>
      </w:r>
    </w:p>
    <w:p w14:paraId="3B932695" w14:textId="77777777" w:rsidR="009A28DB" w:rsidRDefault="009A28DB" w:rsidP="009A28DB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</w:rPr>
      </w:pPr>
    </w:p>
    <w:p w14:paraId="3B932696" w14:textId="77777777" w:rsidR="009A28DB" w:rsidRDefault="0067565E" w:rsidP="009A28DB">
      <w:pPr>
        <w:suppressLineNumbers/>
        <w:autoSpaceDE w:val="0"/>
        <w:autoSpaceDN w:val="0"/>
        <w:adjustRightInd w:val="0"/>
        <w:ind w:left="0" w:firstLine="0"/>
        <w:rPr>
          <w:b/>
          <w:szCs w:val="22"/>
        </w:rPr>
      </w:pPr>
      <w:r w:rsidRPr="005C44A1">
        <w:rPr>
          <w:b/>
          <w:szCs w:val="22"/>
        </w:rPr>
        <w:t>4.9</w:t>
      </w:r>
      <w:r w:rsidRPr="005C44A1">
        <w:rPr>
          <w:b/>
          <w:szCs w:val="22"/>
        </w:rPr>
        <w:tab/>
        <w:t>Predávkovanie</w:t>
      </w:r>
    </w:p>
    <w:p w14:paraId="3B932697" w14:textId="77777777" w:rsidR="009A28DB" w:rsidRDefault="009A28DB" w:rsidP="009A28DB">
      <w:pPr>
        <w:suppressLineNumbers/>
        <w:autoSpaceDE w:val="0"/>
        <w:autoSpaceDN w:val="0"/>
        <w:adjustRightInd w:val="0"/>
        <w:ind w:left="0" w:firstLine="0"/>
        <w:rPr>
          <w:b/>
          <w:szCs w:val="22"/>
        </w:rPr>
      </w:pPr>
    </w:p>
    <w:p w14:paraId="3B932698" w14:textId="77777777" w:rsidR="009A28DB" w:rsidRDefault="00AE4FC2" w:rsidP="009A28DB">
      <w:pPr>
        <w:suppressLineNumbers/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5C44A1">
        <w:rPr>
          <w:szCs w:val="22"/>
          <w:u w:val="single"/>
        </w:rPr>
        <w:t>Príznaky</w:t>
      </w:r>
    </w:p>
    <w:p w14:paraId="3B932699" w14:textId="460D6FD3" w:rsidR="003F2B2F" w:rsidRDefault="00AE4FC2" w:rsidP="009A28DB">
      <w:pPr>
        <w:suppressLineNumbers/>
        <w:autoSpaceDE w:val="0"/>
        <w:autoSpaceDN w:val="0"/>
        <w:adjustRightInd w:val="0"/>
        <w:ind w:left="0" w:firstLine="0"/>
        <w:rPr>
          <w:szCs w:val="22"/>
        </w:rPr>
      </w:pPr>
      <w:r w:rsidRPr="005C44A1">
        <w:rPr>
          <w:szCs w:val="22"/>
        </w:rPr>
        <w:t>Nie sú žiadne skúsenosti s predávkovaním olmesart</w:t>
      </w:r>
      <w:r w:rsidR="00D5183F">
        <w:rPr>
          <w:szCs w:val="22"/>
        </w:rPr>
        <w:t>a</w:t>
      </w:r>
      <w:r w:rsidRPr="005C44A1">
        <w:rPr>
          <w:szCs w:val="22"/>
        </w:rPr>
        <w:t>nom-medox</w:t>
      </w:r>
      <w:r w:rsidR="008C5012" w:rsidRPr="005C44A1">
        <w:rPr>
          <w:szCs w:val="22"/>
        </w:rPr>
        <w:t>o</w:t>
      </w:r>
      <w:r w:rsidR="00266453" w:rsidRPr="005C44A1">
        <w:rPr>
          <w:szCs w:val="22"/>
        </w:rPr>
        <w:t>mi</w:t>
      </w:r>
      <w:r w:rsidRPr="005C44A1">
        <w:rPr>
          <w:szCs w:val="22"/>
        </w:rPr>
        <w:t xml:space="preserve">lom/amlodipínom. </w:t>
      </w:r>
      <w:r w:rsidR="00F02486" w:rsidRPr="005C44A1">
        <w:rPr>
          <w:szCs w:val="22"/>
        </w:rPr>
        <w:t>N</w:t>
      </w:r>
      <w:r w:rsidRPr="005C44A1">
        <w:rPr>
          <w:szCs w:val="22"/>
        </w:rPr>
        <w:t xml:space="preserve">ajpravdepodobnejšími účinkami predávkovania </w:t>
      </w:r>
      <w:r w:rsidR="00F02486" w:rsidRPr="005C44A1">
        <w:rPr>
          <w:szCs w:val="22"/>
        </w:rPr>
        <w:t>olmesart</w:t>
      </w:r>
      <w:r w:rsidR="00DE0DBD">
        <w:rPr>
          <w:szCs w:val="22"/>
        </w:rPr>
        <w:t>a</w:t>
      </w:r>
      <w:r w:rsidR="00F02486" w:rsidRPr="005C44A1">
        <w:rPr>
          <w:szCs w:val="22"/>
        </w:rPr>
        <w:t>nom-medox</w:t>
      </w:r>
      <w:r w:rsidR="00266453" w:rsidRPr="005C44A1">
        <w:rPr>
          <w:szCs w:val="22"/>
        </w:rPr>
        <w:t>om</w:t>
      </w:r>
      <w:r w:rsidR="00F02486" w:rsidRPr="005C44A1">
        <w:rPr>
          <w:szCs w:val="22"/>
        </w:rPr>
        <w:t xml:space="preserve">ilom </w:t>
      </w:r>
      <w:r w:rsidRPr="005C44A1">
        <w:rPr>
          <w:szCs w:val="22"/>
        </w:rPr>
        <w:t>sú hypotenzia a tachykardia; bradykardia by mohla byť vyvolaná stimuláciou parasympatik</w:t>
      </w:r>
      <w:r w:rsidR="00D43F55">
        <w:rPr>
          <w:szCs w:val="22"/>
        </w:rPr>
        <w:t>a</w:t>
      </w:r>
      <w:r w:rsidRPr="005C44A1">
        <w:rPr>
          <w:szCs w:val="22"/>
        </w:rPr>
        <w:t xml:space="preserve"> (vagu). </w:t>
      </w:r>
    </w:p>
    <w:p w14:paraId="3B93269A" w14:textId="77777777" w:rsidR="00AE4FC2" w:rsidRPr="005C44A1" w:rsidRDefault="00AE4FC2" w:rsidP="009A28DB">
      <w:pPr>
        <w:suppressLineNumbers/>
        <w:autoSpaceDE w:val="0"/>
        <w:autoSpaceDN w:val="0"/>
        <w:adjustRightInd w:val="0"/>
        <w:ind w:left="0" w:firstLine="0"/>
        <w:rPr>
          <w:szCs w:val="22"/>
        </w:rPr>
      </w:pPr>
      <w:r w:rsidRPr="005C44A1">
        <w:rPr>
          <w:szCs w:val="22"/>
        </w:rPr>
        <w:t xml:space="preserve">Dá sa predpokladať, že predávkovanie amlodipínom </w:t>
      </w:r>
      <w:r w:rsidR="00B720A9" w:rsidRPr="005C44A1">
        <w:rPr>
          <w:szCs w:val="22"/>
        </w:rPr>
        <w:t>spôsobuje</w:t>
      </w:r>
      <w:r w:rsidRPr="005C44A1">
        <w:rPr>
          <w:szCs w:val="22"/>
        </w:rPr>
        <w:t xml:space="preserve"> nadmern</w:t>
      </w:r>
      <w:r w:rsidR="00B720A9" w:rsidRPr="005C44A1">
        <w:rPr>
          <w:szCs w:val="22"/>
        </w:rPr>
        <w:t>ú</w:t>
      </w:r>
      <w:r w:rsidRPr="005C44A1">
        <w:rPr>
          <w:szCs w:val="22"/>
        </w:rPr>
        <w:t xml:space="preserve"> periférn</w:t>
      </w:r>
      <w:r w:rsidR="00B720A9" w:rsidRPr="005C44A1">
        <w:rPr>
          <w:szCs w:val="22"/>
        </w:rPr>
        <w:t>u</w:t>
      </w:r>
      <w:r w:rsidRPr="005C44A1">
        <w:rPr>
          <w:szCs w:val="22"/>
        </w:rPr>
        <w:t xml:space="preserve"> vazodilatáci</w:t>
      </w:r>
      <w:r w:rsidR="00B720A9" w:rsidRPr="005C44A1">
        <w:rPr>
          <w:szCs w:val="22"/>
        </w:rPr>
        <w:t>u</w:t>
      </w:r>
      <w:r w:rsidRPr="005C44A1">
        <w:rPr>
          <w:szCs w:val="22"/>
        </w:rPr>
        <w:t xml:space="preserve"> s výraznou hypotenziou a</w:t>
      </w:r>
      <w:r w:rsidR="00B720A9" w:rsidRPr="005C44A1">
        <w:rPr>
          <w:szCs w:val="22"/>
        </w:rPr>
        <w:t xml:space="preserve"> pravdepodobne </w:t>
      </w:r>
      <w:r w:rsidRPr="005C44A1">
        <w:rPr>
          <w:szCs w:val="22"/>
        </w:rPr>
        <w:t>reflexn</w:t>
      </w:r>
      <w:r w:rsidR="00B720A9" w:rsidRPr="005C44A1">
        <w:rPr>
          <w:szCs w:val="22"/>
        </w:rPr>
        <w:t>ú</w:t>
      </w:r>
      <w:r w:rsidRPr="005C44A1">
        <w:rPr>
          <w:szCs w:val="22"/>
        </w:rPr>
        <w:t xml:space="preserve"> tachykardiu. Bola hlásená výrazná a potenciálne prolongovaná systémová hypotenzia prejavujúca sa šokom s</w:t>
      </w:r>
      <w:r w:rsidR="00E375E5" w:rsidRPr="005C44A1">
        <w:rPr>
          <w:szCs w:val="22"/>
        </w:rPr>
        <w:t> </w:t>
      </w:r>
      <w:r w:rsidRPr="005C44A1">
        <w:rPr>
          <w:szCs w:val="22"/>
        </w:rPr>
        <w:t>fatálnym</w:t>
      </w:r>
      <w:r w:rsidR="00E375E5" w:rsidRPr="005C44A1">
        <w:rPr>
          <w:szCs w:val="22"/>
        </w:rPr>
        <w:t>i následkami.</w:t>
      </w:r>
    </w:p>
    <w:p w14:paraId="3B93269B" w14:textId="77777777" w:rsidR="00AE4FC2" w:rsidRPr="005C44A1" w:rsidRDefault="00AE4FC2" w:rsidP="005C44A1">
      <w:pPr>
        <w:keepNext/>
        <w:ind w:left="0" w:firstLine="0"/>
        <w:rPr>
          <w:szCs w:val="22"/>
        </w:rPr>
      </w:pPr>
    </w:p>
    <w:p w14:paraId="3B93269C" w14:textId="77777777" w:rsidR="00AE4FC2" w:rsidRPr="005C44A1" w:rsidRDefault="00AE4FC2" w:rsidP="005C44A1">
      <w:pPr>
        <w:keepNext/>
        <w:ind w:left="0" w:firstLine="0"/>
        <w:rPr>
          <w:szCs w:val="22"/>
          <w:u w:val="single"/>
        </w:rPr>
      </w:pPr>
      <w:r w:rsidRPr="005C44A1">
        <w:rPr>
          <w:szCs w:val="22"/>
          <w:u w:val="single"/>
        </w:rPr>
        <w:t>Liečba</w:t>
      </w:r>
    </w:p>
    <w:p w14:paraId="3B93269D" w14:textId="77777777" w:rsidR="00AE4FC2" w:rsidRPr="005C44A1" w:rsidRDefault="00AE4FC2" w:rsidP="005C44A1">
      <w:pPr>
        <w:keepNext/>
        <w:ind w:left="0" w:firstLine="0"/>
        <w:rPr>
          <w:szCs w:val="22"/>
        </w:rPr>
      </w:pPr>
      <w:r w:rsidRPr="005C44A1">
        <w:rPr>
          <w:szCs w:val="22"/>
        </w:rPr>
        <w:t xml:space="preserve">Krátko po užití sa môže zvážiť gastrická laváž. U zdravých </w:t>
      </w:r>
      <w:r w:rsidR="00E375E5" w:rsidRPr="005C44A1">
        <w:rPr>
          <w:szCs w:val="22"/>
        </w:rPr>
        <w:t>osôb</w:t>
      </w:r>
      <w:r w:rsidRPr="005C44A1">
        <w:rPr>
          <w:szCs w:val="22"/>
        </w:rPr>
        <w:t xml:space="preserve"> sa preukázalo, že podanie </w:t>
      </w:r>
      <w:r w:rsidR="004F2AA0" w:rsidRPr="005C44A1">
        <w:rPr>
          <w:szCs w:val="22"/>
        </w:rPr>
        <w:t>aktívneho</w:t>
      </w:r>
      <w:r w:rsidRPr="005C44A1">
        <w:rPr>
          <w:szCs w:val="22"/>
        </w:rPr>
        <w:t xml:space="preserve"> uhlia okamžite alebo do 2 hodín po užití podstatne znižuje absorpciu amlodipínu.</w:t>
      </w:r>
    </w:p>
    <w:p w14:paraId="3B93269E" w14:textId="77777777" w:rsidR="007611EC" w:rsidRDefault="007611EC" w:rsidP="005C44A1">
      <w:pPr>
        <w:keepNext/>
        <w:ind w:left="0" w:firstLine="0"/>
        <w:rPr>
          <w:szCs w:val="22"/>
        </w:rPr>
      </w:pPr>
    </w:p>
    <w:p w14:paraId="3B93269F" w14:textId="53091640" w:rsidR="00AE4FC2" w:rsidRPr="005C44A1" w:rsidRDefault="00AE4FC2" w:rsidP="005C44A1">
      <w:pPr>
        <w:keepNext/>
        <w:ind w:left="0" w:firstLine="0"/>
        <w:rPr>
          <w:szCs w:val="22"/>
        </w:rPr>
      </w:pPr>
      <w:r w:rsidRPr="005C44A1">
        <w:rPr>
          <w:szCs w:val="22"/>
        </w:rPr>
        <w:t xml:space="preserve">Klinicky významná hypotenzia </w:t>
      </w:r>
      <w:r w:rsidR="006D4E50" w:rsidRPr="005C44A1">
        <w:rPr>
          <w:szCs w:val="22"/>
        </w:rPr>
        <w:t>v dôsledku</w:t>
      </w:r>
      <w:r w:rsidRPr="005C44A1">
        <w:rPr>
          <w:szCs w:val="22"/>
        </w:rPr>
        <w:t xml:space="preserve"> predávkovan</w:t>
      </w:r>
      <w:r w:rsidR="006D4E50" w:rsidRPr="005C44A1">
        <w:rPr>
          <w:szCs w:val="22"/>
        </w:rPr>
        <w:t>ia</w:t>
      </w:r>
      <w:r w:rsidRPr="005C44A1">
        <w:rPr>
          <w:szCs w:val="22"/>
        </w:rPr>
        <w:t xml:space="preserve"> </w:t>
      </w:r>
      <w:r w:rsidR="006D4E50" w:rsidRPr="005C44A1">
        <w:rPr>
          <w:szCs w:val="22"/>
        </w:rPr>
        <w:t>Reverantzou</w:t>
      </w:r>
      <w:r w:rsidRPr="005C44A1">
        <w:rPr>
          <w:szCs w:val="22"/>
        </w:rPr>
        <w:t xml:space="preserve"> vyžaduje aktívnu podporu kardiovaskulárneho systému</w:t>
      </w:r>
      <w:r w:rsidR="006D4E50" w:rsidRPr="005C44A1">
        <w:rPr>
          <w:szCs w:val="22"/>
        </w:rPr>
        <w:t>,</w:t>
      </w:r>
      <w:r w:rsidRPr="005C44A1">
        <w:rPr>
          <w:szCs w:val="22"/>
        </w:rPr>
        <w:t xml:space="preserve"> vrátane dôsledného </w:t>
      </w:r>
      <w:r w:rsidR="006D4E50" w:rsidRPr="005C44A1">
        <w:rPr>
          <w:szCs w:val="22"/>
        </w:rPr>
        <w:t>sledovania</w:t>
      </w:r>
      <w:r w:rsidRPr="005C44A1">
        <w:rPr>
          <w:szCs w:val="22"/>
        </w:rPr>
        <w:t xml:space="preserve"> funkcie srdca a pľúc, uloženia končatín do vyvýšenej polohy a sledovanie objemu cirkulujúcej tekutiny a množstva vylúčeného moču. Na úpravu vaskulárneho tonusu a krvného tlaku možno zvážiť podanie vazokonstrikčných l</w:t>
      </w:r>
      <w:r w:rsidR="00CB4033">
        <w:rPr>
          <w:szCs w:val="22"/>
        </w:rPr>
        <w:t>iečiv</w:t>
      </w:r>
      <w:r w:rsidRPr="005C44A1">
        <w:rPr>
          <w:szCs w:val="22"/>
        </w:rPr>
        <w:t xml:space="preserve">, pokiaľ </w:t>
      </w:r>
      <w:r w:rsidR="0070521F" w:rsidRPr="005C44A1">
        <w:rPr>
          <w:szCs w:val="22"/>
        </w:rPr>
        <w:t xml:space="preserve">ich použitie </w:t>
      </w:r>
      <w:r w:rsidRPr="005C44A1">
        <w:rPr>
          <w:szCs w:val="22"/>
        </w:rPr>
        <w:t xml:space="preserve">nie </w:t>
      </w:r>
      <w:r w:rsidR="0070521F" w:rsidRPr="005C44A1">
        <w:rPr>
          <w:szCs w:val="22"/>
        </w:rPr>
        <w:t>je</w:t>
      </w:r>
      <w:r w:rsidRPr="005C44A1">
        <w:rPr>
          <w:szCs w:val="22"/>
        </w:rPr>
        <w:t xml:space="preserve"> kontraindikované. Intravenózne podanie glukonátu</w:t>
      </w:r>
      <w:r w:rsidR="0070521F" w:rsidRPr="005C44A1">
        <w:rPr>
          <w:szCs w:val="22"/>
        </w:rPr>
        <w:t xml:space="preserve"> vápenatého</w:t>
      </w:r>
      <w:r w:rsidRPr="005C44A1">
        <w:rPr>
          <w:szCs w:val="22"/>
        </w:rPr>
        <w:t xml:space="preserve"> môže byť prospešné na úpravu blokády kalciových kanálov.</w:t>
      </w:r>
    </w:p>
    <w:p w14:paraId="3B9326A0" w14:textId="77777777" w:rsidR="00AE4FC2" w:rsidRPr="005C44A1" w:rsidRDefault="00AE4FC2" w:rsidP="005C44A1">
      <w:pPr>
        <w:keepNext/>
        <w:ind w:left="0" w:firstLine="0"/>
        <w:rPr>
          <w:szCs w:val="22"/>
        </w:rPr>
      </w:pPr>
    </w:p>
    <w:p w14:paraId="3B9326A1" w14:textId="1EA784F8" w:rsidR="00AE4FC2" w:rsidRPr="005C44A1" w:rsidRDefault="00AE4FC2" w:rsidP="005C44A1">
      <w:pPr>
        <w:ind w:left="0" w:firstLine="0"/>
        <w:rPr>
          <w:szCs w:val="22"/>
        </w:rPr>
      </w:pPr>
      <w:r w:rsidRPr="005C44A1">
        <w:rPr>
          <w:szCs w:val="22"/>
        </w:rPr>
        <w:t>Vzhľadom na to, že amlodipín sa v značnej miere viaže na bielkoviny, dialýza by bola pravdepodobne neúčinná. Dialyzovateľnosť olmesart</w:t>
      </w:r>
      <w:r w:rsidR="00DF6E6A">
        <w:rPr>
          <w:szCs w:val="22"/>
        </w:rPr>
        <w:t>a</w:t>
      </w:r>
      <w:r w:rsidRPr="005C44A1">
        <w:rPr>
          <w:szCs w:val="22"/>
        </w:rPr>
        <w:t>nu nie je známa.</w:t>
      </w:r>
    </w:p>
    <w:p w14:paraId="3B9326A2" w14:textId="77777777" w:rsidR="00AE4FC2" w:rsidRPr="005C44A1" w:rsidRDefault="00AE4FC2" w:rsidP="005C44A1">
      <w:pPr>
        <w:ind w:left="0" w:firstLine="0"/>
        <w:rPr>
          <w:szCs w:val="22"/>
        </w:rPr>
      </w:pPr>
    </w:p>
    <w:p w14:paraId="3B9326A3" w14:textId="77777777" w:rsidR="00AE4FC2" w:rsidRPr="005C44A1" w:rsidRDefault="00AE4FC2" w:rsidP="005C44A1">
      <w:pPr>
        <w:ind w:left="0" w:firstLine="0"/>
        <w:rPr>
          <w:szCs w:val="22"/>
        </w:rPr>
      </w:pPr>
    </w:p>
    <w:p w14:paraId="3B9326A4" w14:textId="77777777" w:rsidR="00780926" w:rsidRPr="005C44A1" w:rsidRDefault="0067565E" w:rsidP="005C44A1">
      <w:pPr>
        <w:ind w:left="0" w:firstLine="0"/>
        <w:rPr>
          <w:szCs w:val="22"/>
        </w:rPr>
      </w:pPr>
      <w:r w:rsidRPr="005C44A1">
        <w:rPr>
          <w:b/>
          <w:szCs w:val="22"/>
        </w:rPr>
        <w:t>5.</w:t>
      </w:r>
      <w:r w:rsidRPr="005C44A1">
        <w:rPr>
          <w:b/>
          <w:szCs w:val="22"/>
        </w:rPr>
        <w:tab/>
        <w:t>FARMAKOLOGICKÉ VLASTNOSTI</w:t>
      </w:r>
    </w:p>
    <w:p w14:paraId="3B9326A5" w14:textId="77777777" w:rsidR="00780926" w:rsidRPr="005C44A1" w:rsidRDefault="00780926" w:rsidP="005C44A1">
      <w:pPr>
        <w:rPr>
          <w:bCs/>
          <w:szCs w:val="22"/>
        </w:rPr>
      </w:pPr>
    </w:p>
    <w:p w14:paraId="3B9326A6" w14:textId="77777777" w:rsidR="00780926" w:rsidRPr="005C44A1" w:rsidRDefault="0067565E" w:rsidP="005C44A1">
      <w:pPr>
        <w:rPr>
          <w:szCs w:val="22"/>
        </w:rPr>
      </w:pPr>
      <w:r w:rsidRPr="005C44A1">
        <w:rPr>
          <w:b/>
          <w:szCs w:val="22"/>
        </w:rPr>
        <w:t>5.1</w:t>
      </w:r>
      <w:r w:rsidRPr="005C44A1">
        <w:rPr>
          <w:b/>
          <w:szCs w:val="22"/>
        </w:rPr>
        <w:tab/>
        <w:t>Farmakodynamické vlastnosti</w:t>
      </w:r>
    </w:p>
    <w:p w14:paraId="3B9326A7" w14:textId="77777777" w:rsidR="00780926" w:rsidRPr="005C44A1" w:rsidRDefault="00780926" w:rsidP="005C44A1">
      <w:pPr>
        <w:rPr>
          <w:szCs w:val="22"/>
        </w:rPr>
      </w:pPr>
    </w:p>
    <w:p w14:paraId="3B9326A8" w14:textId="5F4353B9" w:rsidR="005418FB" w:rsidRPr="005C44A1" w:rsidRDefault="0067565E" w:rsidP="003C589E">
      <w:pPr>
        <w:ind w:left="0" w:firstLine="0"/>
        <w:rPr>
          <w:szCs w:val="22"/>
        </w:rPr>
      </w:pPr>
      <w:r w:rsidRPr="005C44A1">
        <w:rPr>
          <w:szCs w:val="22"/>
        </w:rPr>
        <w:t xml:space="preserve">Farmakoterapeutická skupina: </w:t>
      </w:r>
      <w:bookmarkStart w:id="62" w:name="_Toc205605700"/>
      <w:r w:rsidR="00274FD7">
        <w:rPr>
          <w:szCs w:val="22"/>
        </w:rPr>
        <w:t>liečivá s účinkom na renín-angiotenzínový systém</w:t>
      </w:r>
      <w:r w:rsidR="007C3BB6">
        <w:rPr>
          <w:szCs w:val="22"/>
        </w:rPr>
        <w:t>, blokátory receptorov</w:t>
      </w:r>
      <w:r w:rsidR="005418FB" w:rsidRPr="005C44A1">
        <w:rPr>
          <w:szCs w:val="22"/>
        </w:rPr>
        <w:t xml:space="preserve"> angiotenzínu II </w:t>
      </w:r>
      <w:r w:rsidR="007C3BB6">
        <w:rPr>
          <w:szCs w:val="22"/>
        </w:rPr>
        <w:t>(ARBs)</w:t>
      </w:r>
      <w:r w:rsidR="00FB7C4A">
        <w:rPr>
          <w:szCs w:val="22"/>
        </w:rPr>
        <w:t xml:space="preserve"> </w:t>
      </w:r>
      <w:r w:rsidR="005418FB" w:rsidRPr="005C44A1">
        <w:rPr>
          <w:szCs w:val="22"/>
        </w:rPr>
        <w:t>a blokátory kalciového kanál</w:t>
      </w:r>
      <w:bookmarkEnd w:id="62"/>
      <w:r w:rsidR="005418FB" w:rsidRPr="005C44A1">
        <w:rPr>
          <w:szCs w:val="22"/>
        </w:rPr>
        <w:t>a,</w:t>
      </w:r>
    </w:p>
    <w:p w14:paraId="3B9326A9" w14:textId="77777777" w:rsidR="005418FB" w:rsidRPr="005C44A1" w:rsidRDefault="005418FB" w:rsidP="005C44A1">
      <w:pPr>
        <w:autoSpaceDE w:val="0"/>
        <w:autoSpaceDN w:val="0"/>
        <w:adjustRightInd w:val="0"/>
        <w:ind w:left="0" w:firstLine="0"/>
        <w:outlineLvl w:val="0"/>
        <w:rPr>
          <w:szCs w:val="22"/>
        </w:rPr>
      </w:pPr>
      <w:bookmarkStart w:id="63" w:name="_Toc205605701"/>
      <w:r w:rsidRPr="005C44A1">
        <w:rPr>
          <w:szCs w:val="22"/>
        </w:rPr>
        <w:t>ATC kód: C09DB02</w:t>
      </w:r>
      <w:bookmarkEnd w:id="63"/>
      <w:r w:rsidR="00025CA9" w:rsidRPr="005C44A1">
        <w:rPr>
          <w:szCs w:val="22"/>
        </w:rPr>
        <w:t>.</w:t>
      </w:r>
    </w:p>
    <w:p w14:paraId="3B9326AA" w14:textId="77777777" w:rsidR="00025CA9" w:rsidRPr="005C44A1" w:rsidRDefault="00025CA9" w:rsidP="005C44A1">
      <w:pPr>
        <w:numPr>
          <w:ilvl w:val="12"/>
          <w:numId w:val="0"/>
        </w:numPr>
        <w:ind w:right="-2"/>
        <w:rPr>
          <w:szCs w:val="22"/>
        </w:rPr>
      </w:pPr>
    </w:p>
    <w:p w14:paraId="3B9326AB" w14:textId="77777777" w:rsidR="00025CA9" w:rsidRPr="005C44A1" w:rsidRDefault="00025CA9" w:rsidP="005C44A1">
      <w:pPr>
        <w:numPr>
          <w:ilvl w:val="12"/>
          <w:numId w:val="0"/>
        </w:numPr>
        <w:ind w:right="-2"/>
        <w:rPr>
          <w:szCs w:val="22"/>
          <w:u w:val="single"/>
        </w:rPr>
      </w:pPr>
      <w:r w:rsidRPr="005C44A1">
        <w:rPr>
          <w:szCs w:val="22"/>
          <w:u w:val="single"/>
        </w:rPr>
        <w:t>Mechanizmus účinku</w:t>
      </w:r>
    </w:p>
    <w:p w14:paraId="3B9326AC" w14:textId="21C88902" w:rsidR="00025CA9" w:rsidRPr="005C44A1" w:rsidRDefault="00025CA9" w:rsidP="005C44A1">
      <w:pPr>
        <w:numPr>
          <w:ilvl w:val="12"/>
          <w:numId w:val="0"/>
        </w:numPr>
        <w:ind w:right="-2"/>
        <w:rPr>
          <w:szCs w:val="22"/>
        </w:rPr>
      </w:pPr>
      <w:r w:rsidRPr="005C44A1">
        <w:rPr>
          <w:szCs w:val="22"/>
        </w:rPr>
        <w:t>Reverantza je kombináci</w:t>
      </w:r>
      <w:r w:rsidR="00C86C42" w:rsidRPr="005C44A1">
        <w:rPr>
          <w:szCs w:val="22"/>
        </w:rPr>
        <w:t>ou</w:t>
      </w:r>
      <w:r w:rsidRPr="005C44A1">
        <w:rPr>
          <w:szCs w:val="22"/>
        </w:rPr>
        <w:t xml:space="preserve"> antagonistu angiotenzínu II olmesart</w:t>
      </w:r>
      <w:r w:rsidR="00CD6594">
        <w:rPr>
          <w:szCs w:val="22"/>
        </w:rPr>
        <w:t>a</w:t>
      </w:r>
      <w:r w:rsidR="00C86C42" w:rsidRPr="005C44A1">
        <w:rPr>
          <w:szCs w:val="22"/>
        </w:rPr>
        <w:t>nu-</w:t>
      </w:r>
      <w:r w:rsidRPr="005C44A1">
        <w:rPr>
          <w:szCs w:val="22"/>
        </w:rPr>
        <w:t xml:space="preserve">medoxomilu a blokátora kalciových kanálov </w:t>
      </w:r>
      <w:r w:rsidR="00C86C42" w:rsidRPr="005C44A1">
        <w:rPr>
          <w:szCs w:val="22"/>
        </w:rPr>
        <w:t>amlodipínium</w:t>
      </w:r>
      <w:r w:rsidR="00CD6594">
        <w:rPr>
          <w:szCs w:val="22"/>
        </w:rPr>
        <w:t>-</w:t>
      </w:r>
      <w:r w:rsidR="00C86C42" w:rsidRPr="005C44A1">
        <w:rPr>
          <w:szCs w:val="22"/>
        </w:rPr>
        <w:t>be</w:t>
      </w:r>
      <w:r w:rsidR="00CD6594">
        <w:rPr>
          <w:szCs w:val="22"/>
        </w:rPr>
        <w:t>zy</w:t>
      </w:r>
      <w:r w:rsidR="00C86C42" w:rsidRPr="005C44A1">
        <w:rPr>
          <w:szCs w:val="22"/>
        </w:rPr>
        <w:t>látu</w:t>
      </w:r>
      <w:r w:rsidRPr="005C44A1">
        <w:rPr>
          <w:szCs w:val="22"/>
        </w:rPr>
        <w:t>. Kombinácia týchto liečiv vykazuje aditívny antihypertenzný účinok, znižujúci krvný tlak vo väčšej miere ako v prípade jednotlivých liečiv v monoterapii.</w:t>
      </w:r>
    </w:p>
    <w:p w14:paraId="3B9326AD" w14:textId="77777777" w:rsidR="008C5012" w:rsidRPr="005C44A1" w:rsidRDefault="008C5012" w:rsidP="005C44A1">
      <w:pPr>
        <w:numPr>
          <w:ilvl w:val="12"/>
          <w:numId w:val="0"/>
        </w:numPr>
        <w:ind w:right="-2"/>
        <w:rPr>
          <w:szCs w:val="22"/>
        </w:rPr>
      </w:pPr>
    </w:p>
    <w:p w14:paraId="3B9326AE" w14:textId="77777777" w:rsidR="00025CA9" w:rsidRPr="005C44A1" w:rsidRDefault="00025CA9" w:rsidP="005C44A1">
      <w:pPr>
        <w:numPr>
          <w:ilvl w:val="12"/>
          <w:numId w:val="0"/>
        </w:numPr>
        <w:ind w:right="-2"/>
        <w:rPr>
          <w:szCs w:val="22"/>
          <w:u w:val="single"/>
        </w:rPr>
      </w:pPr>
      <w:r w:rsidRPr="005C44A1">
        <w:rPr>
          <w:szCs w:val="22"/>
          <w:u w:val="single"/>
        </w:rPr>
        <w:t>Klinická účinnosť a bezpečnosť</w:t>
      </w:r>
    </w:p>
    <w:p w14:paraId="3B9326AF" w14:textId="77777777" w:rsidR="00266453" w:rsidRPr="005C44A1" w:rsidRDefault="00266453" w:rsidP="005C44A1">
      <w:pPr>
        <w:numPr>
          <w:ilvl w:val="12"/>
          <w:numId w:val="0"/>
        </w:numPr>
        <w:ind w:right="-2"/>
        <w:rPr>
          <w:szCs w:val="22"/>
          <w:u w:val="single"/>
        </w:rPr>
      </w:pPr>
    </w:p>
    <w:p w14:paraId="3B9326B0" w14:textId="253CDA42" w:rsidR="00025CA9" w:rsidRPr="005C44A1" w:rsidRDefault="00025CA9" w:rsidP="005C44A1">
      <w:pPr>
        <w:numPr>
          <w:ilvl w:val="12"/>
          <w:numId w:val="0"/>
        </w:numPr>
        <w:ind w:right="-2"/>
        <w:rPr>
          <w:szCs w:val="22"/>
          <w:u w:val="single"/>
        </w:rPr>
      </w:pPr>
      <w:r w:rsidRPr="005C44A1">
        <w:rPr>
          <w:szCs w:val="22"/>
          <w:u w:val="single"/>
        </w:rPr>
        <w:t>Olmesart</w:t>
      </w:r>
      <w:r w:rsidR="00C66CDC">
        <w:rPr>
          <w:szCs w:val="22"/>
          <w:u w:val="single"/>
        </w:rPr>
        <w:t>a</w:t>
      </w:r>
      <w:r w:rsidRPr="005C44A1">
        <w:rPr>
          <w:szCs w:val="22"/>
          <w:u w:val="single"/>
        </w:rPr>
        <w:t>n</w:t>
      </w:r>
      <w:r w:rsidR="008C5012" w:rsidRPr="005C44A1">
        <w:rPr>
          <w:szCs w:val="22"/>
          <w:u w:val="single"/>
        </w:rPr>
        <w:t>-medoxomil</w:t>
      </w:r>
      <w:r w:rsidRPr="005C44A1">
        <w:rPr>
          <w:szCs w:val="22"/>
          <w:u w:val="single"/>
        </w:rPr>
        <w:t>/amlodipín</w:t>
      </w:r>
    </w:p>
    <w:p w14:paraId="3B9326B1" w14:textId="2A8DE939" w:rsidR="0054284F" w:rsidRDefault="00025CA9" w:rsidP="005C44A1">
      <w:pPr>
        <w:numPr>
          <w:ilvl w:val="12"/>
          <w:numId w:val="0"/>
        </w:numPr>
        <w:ind w:right="-2"/>
        <w:rPr>
          <w:szCs w:val="22"/>
        </w:rPr>
      </w:pPr>
      <w:r w:rsidRPr="005C44A1">
        <w:rPr>
          <w:szCs w:val="22"/>
        </w:rPr>
        <w:t>V 8-týždňovej, dvojito zaslepenej, randomizovanej, placebom kontrolovanej</w:t>
      </w:r>
      <w:r w:rsidR="005A7C06" w:rsidRPr="005C44A1">
        <w:rPr>
          <w:szCs w:val="22"/>
        </w:rPr>
        <w:t xml:space="preserve"> </w:t>
      </w:r>
      <w:r w:rsidRPr="005C44A1">
        <w:rPr>
          <w:szCs w:val="22"/>
        </w:rPr>
        <w:t>štúdii s</w:t>
      </w:r>
      <w:r w:rsidR="00851699" w:rsidRPr="005C44A1">
        <w:rPr>
          <w:szCs w:val="22"/>
        </w:rPr>
        <w:t xml:space="preserve"> faktoriálnym </w:t>
      </w:r>
      <w:r w:rsidRPr="005C44A1">
        <w:rPr>
          <w:szCs w:val="22"/>
        </w:rPr>
        <w:t>dizajnom u 1940 pacientov (71</w:t>
      </w:r>
      <w:r w:rsidR="00E17FB8">
        <w:rPr>
          <w:szCs w:val="22"/>
        </w:rPr>
        <w:t> </w:t>
      </w:r>
      <w:r w:rsidRPr="005C44A1">
        <w:rPr>
          <w:szCs w:val="22"/>
        </w:rPr>
        <w:t xml:space="preserve">% </w:t>
      </w:r>
      <w:r w:rsidR="0054284F">
        <w:rPr>
          <w:szCs w:val="22"/>
        </w:rPr>
        <w:t>pacienti bielej rasy</w:t>
      </w:r>
      <w:r w:rsidRPr="005C44A1">
        <w:rPr>
          <w:szCs w:val="22"/>
        </w:rPr>
        <w:t xml:space="preserve"> a</w:t>
      </w:r>
      <w:r w:rsidR="009B0168">
        <w:rPr>
          <w:szCs w:val="22"/>
        </w:rPr>
        <w:t> </w:t>
      </w:r>
      <w:r w:rsidRPr="005C44A1">
        <w:rPr>
          <w:szCs w:val="22"/>
        </w:rPr>
        <w:t>29</w:t>
      </w:r>
      <w:r w:rsidR="009B0168">
        <w:rPr>
          <w:szCs w:val="22"/>
        </w:rPr>
        <w:t> </w:t>
      </w:r>
      <w:r w:rsidRPr="005C44A1">
        <w:rPr>
          <w:szCs w:val="22"/>
        </w:rPr>
        <w:t xml:space="preserve">% </w:t>
      </w:r>
      <w:r w:rsidR="00716A4E" w:rsidRPr="005C44A1">
        <w:rPr>
          <w:szCs w:val="22"/>
        </w:rPr>
        <w:t>pacienti inej rasy</w:t>
      </w:r>
      <w:r w:rsidRPr="005C44A1">
        <w:rPr>
          <w:szCs w:val="22"/>
        </w:rPr>
        <w:t>) sa zistilo, že v rámci každej dávky kombinácie olmesart</w:t>
      </w:r>
      <w:r w:rsidR="00C66CDC">
        <w:rPr>
          <w:szCs w:val="22"/>
        </w:rPr>
        <w:t>a</w:t>
      </w:r>
      <w:r w:rsidRPr="005C44A1">
        <w:rPr>
          <w:szCs w:val="22"/>
        </w:rPr>
        <w:t>n</w:t>
      </w:r>
      <w:r w:rsidR="003F2978" w:rsidRPr="005C44A1">
        <w:rPr>
          <w:szCs w:val="22"/>
        </w:rPr>
        <w:t>-medoxomil</w:t>
      </w:r>
      <w:r w:rsidRPr="005C44A1">
        <w:rPr>
          <w:szCs w:val="22"/>
        </w:rPr>
        <w:t xml:space="preserve">/amlodipín sa dosiahlo významne vyššie zníženie diastolického a systolického tlaku ako liečbou jednotlivými zložkami v monoterapii. Priemerná zmena v systolickom/diastolickom tlaku bola závislá od dávky: </w:t>
      </w:r>
      <w:r w:rsidR="002A0FD2" w:rsidRPr="005C44A1">
        <w:rPr>
          <w:szCs w:val="22"/>
        </w:rPr>
        <w:t>-</w:t>
      </w:r>
      <w:r w:rsidRPr="005C44A1">
        <w:rPr>
          <w:szCs w:val="22"/>
        </w:rPr>
        <w:t>24/</w:t>
      </w:r>
      <w:r w:rsidR="002A0FD2" w:rsidRPr="005C44A1">
        <w:rPr>
          <w:szCs w:val="22"/>
        </w:rPr>
        <w:t>-</w:t>
      </w:r>
      <w:r w:rsidRPr="005C44A1">
        <w:rPr>
          <w:szCs w:val="22"/>
        </w:rPr>
        <w:t>14 mmHg (20 mg/5 mg kombinácia),</w:t>
      </w:r>
    </w:p>
    <w:p w14:paraId="3B9326B2" w14:textId="77777777" w:rsidR="00025CA9" w:rsidRPr="005C44A1" w:rsidRDefault="002A0FD2" w:rsidP="005C44A1">
      <w:pPr>
        <w:numPr>
          <w:ilvl w:val="12"/>
          <w:numId w:val="0"/>
        </w:numPr>
        <w:ind w:right="-2"/>
        <w:rPr>
          <w:szCs w:val="22"/>
        </w:rPr>
      </w:pPr>
      <w:r w:rsidRPr="005C44A1">
        <w:rPr>
          <w:szCs w:val="22"/>
        </w:rPr>
        <w:t>-</w:t>
      </w:r>
      <w:r w:rsidR="00025CA9" w:rsidRPr="005C44A1">
        <w:rPr>
          <w:szCs w:val="22"/>
        </w:rPr>
        <w:t>25/</w:t>
      </w:r>
      <w:r w:rsidRPr="005C44A1">
        <w:rPr>
          <w:szCs w:val="22"/>
        </w:rPr>
        <w:t>-</w:t>
      </w:r>
      <w:r w:rsidR="00025CA9" w:rsidRPr="005C44A1">
        <w:rPr>
          <w:szCs w:val="22"/>
        </w:rPr>
        <w:t xml:space="preserve">16 mmHg (40 mg/5 mg kombinácia) a </w:t>
      </w:r>
      <w:r w:rsidR="00D76DB3" w:rsidRPr="005C44A1">
        <w:rPr>
          <w:szCs w:val="22"/>
        </w:rPr>
        <w:t>-</w:t>
      </w:r>
      <w:r w:rsidR="00025CA9" w:rsidRPr="005C44A1">
        <w:rPr>
          <w:szCs w:val="22"/>
        </w:rPr>
        <w:t xml:space="preserve">30/ </w:t>
      </w:r>
      <w:r w:rsidR="00D76DB3" w:rsidRPr="005C44A1">
        <w:rPr>
          <w:szCs w:val="22"/>
        </w:rPr>
        <w:t>-</w:t>
      </w:r>
      <w:r w:rsidR="00025CA9" w:rsidRPr="005C44A1">
        <w:rPr>
          <w:szCs w:val="22"/>
        </w:rPr>
        <w:t>19 mmHg (40 mg/10 mg kombinácia).</w:t>
      </w:r>
    </w:p>
    <w:p w14:paraId="3B9326B3" w14:textId="77777777" w:rsidR="00D76DB3" w:rsidRPr="005C44A1" w:rsidRDefault="00D76DB3" w:rsidP="005C44A1">
      <w:pPr>
        <w:numPr>
          <w:ilvl w:val="12"/>
          <w:numId w:val="0"/>
        </w:numPr>
        <w:ind w:right="-2"/>
        <w:rPr>
          <w:szCs w:val="22"/>
        </w:rPr>
      </w:pPr>
    </w:p>
    <w:p w14:paraId="3B9326B4" w14:textId="2D0826DB" w:rsidR="00025CA9" w:rsidRPr="005C44A1" w:rsidRDefault="00025CA9" w:rsidP="005C44A1">
      <w:pPr>
        <w:numPr>
          <w:ilvl w:val="12"/>
          <w:numId w:val="0"/>
        </w:numPr>
        <w:ind w:right="-2"/>
        <w:rPr>
          <w:szCs w:val="22"/>
        </w:rPr>
      </w:pPr>
      <w:r w:rsidRPr="005C44A1">
        <w:rPr>
          <w:szCs w:val="22"/>
        </w:rPr>
        <w:t>Olmesart</w:t>
      </w:r>
      <w:r w:rsidR="00BA665F">
        <w:rPr>
          <w:szCs w:val="22"/>
        </w:rPr>
        <w:t>a</w:t>
      </w:r>
      <w:r w:rsidRPr="005C44A1">
        <w:rPr>
          <w:szCs w:val="22"/>
        </w:rPr>
        <w:t>n</w:t>
      </w:r>
      <w:r w:rsidR="00D76DB3" w:rsidRPr="005C44A1">
        <w:rPr>
          <w:szCs w:val="22"/>
        </w:rPr>
        <w:t>-medoxomil</w:t>
      </w:r>
      <w:r w:rsidRPr="005C44A1">
        <w:rPr>
          <w:szCs w:val="22"/>
        </w:rPr>
        <w:t>/amlodipín 40 mg/5 mg znižoval systolický/diastolický tlak v sede o ďalších 2,5/1,7 mmHg v porovnaní s</w:t>
      </w:r>
      <w:r w:rsidR="00D76DB3" w:rsidRPr="005C44A1">
        <w:rPr>
          <w:szCs w:val="22"/>
        </w:rPr>
        <w:t> </w:t>
      </w:r>
      <w:r w:rsidRPr="005C44A1">
        <w:rPr>
          <w:szCs w:val="22"/>
        </w:rPr>
        <w:t>olmesart</w:t>
      </w:r>
      <w:r w:rsidR="00BA665F">
        <w:rPr>
          <w:szCs w:val="22"/>
        </w:rPr>
        <w:t>a</w:t>
      </w:r>
      <w:r w:rsidRPr="005C44A1">
        <w:rPr>
          <w:szCs w:val="22"/>
        </w:rPr>
        <w:t>nom</w:t>
      </w:r>
      <w:r w:rsidR="00D76DB3" w:rsidRPr="005C44A1">
        <w:rPr>
          <w:szCs w:val="22"/>
        </w:rPr>
        <w:t>-medoxomilom</w:t>
      </w:r>
      <w:r w:rsidRPr="005C44A1">
        <w:rPr>
          <w:szCs w:val="22"/>
        </w:rPr>
        <w:t>/amlodipínom 20 mg/5 mg. Podobne olmesart</w:t>
      </w:r>
      <w:r w:rsidR="00BA665F">
        <w:rPr>
          <w:szCs w:val="22"/>
        </w:rPr>
        <w:t>a</w:t>
      </w:r>
      <w:r w:rsidRPr="005C44A1">
        <w:rPr>
          <w:szCs w:val="22"/>
        </w:rPr>
        <w:t>n</w:t>
      </w:r>
      <w:r w:rsidR="00D76DB3" w:rsidRPr="005C44A1">
        <w:rPr>
          <w:szCs w:val="22"/>
        </w:rPr>
        <w:t>-medoxomil</w:t>
      </w:r>
      <w:r w:rsidRPr="005C44A1">
        <w:rPr>
          <w:szCs w:val="22"/>
        </w:rPr>
        <w:t xml:space="preserve">/amlodipín 40 mg/10 mg znižoval systolický/diastolický tlak v sede o ďalších 4,7/3,5 mmHg v porovnaní s </w:t>
      </w:r>
      <w:r w:rsidR="00D105FB" w:rsidRPr="005C44A1">
        <w:rPr>
          <w:szCs w:val="22"/>
        </w:rPr>
        <w:t>olmesart</w:t>
      </w:r>
      <w:r w:rsidR="004C7410">
        <w:rPr>
          <w:szCs w:val="22"/>
        </w:rPr>
        <w:t>a</w:t>
      </w:r>
      <w:r w:rsidR="00D105FB" w:rsidRPr="005C44A1">
        <w:rPr>
          <w:szCs w:val="22"/>
        </w:rPr>
        <w:t>nom-medoxomilom</w:t>
      </w:r>
      <w:r w:rsidRPr="005C44A1">
        <w:rPr>
          <w:szCs w:val="22"/>
        </w:rPr>
        <w:t>/amlodipínom 40 mg/5 mg.</w:t>
      </w:r>
    </w:p>
    <w:p w14:paraId="3B9326B5" w14:textId="77777777" w:rsidR="00D105FB" w:rsidRPr="005C44A1" w:rsidRDefault="00D105FB" w:rsidP="005C44A1">
      <w:pPr>
        <w:numPr>
          <w:ilvl w:val="12"/>
          <w:numId w:val="0"/>
        </w:numPr>
        <w:ind w:right="-2"/>
        <w:rPr>
          <w:szCs w:val="22"/>
        </w:rPr>
      </w:pPr>
    </w:p>
    <w:p w14:paraId="3B9326B6" w14:textId="38B2E751" w:rsidR="00025CA9" w:rsidRPr="005C44A1" w:rsidRDefault="00025CA9" w:rsidP="005C44A1">
      <w:pPr>
        <w:numPr>
          <w:ilvl w:val="12"/>
          <w:numId w:val="0"/>
        </w:numPr>
        <w:ind w:right="-2"/>
        <w:rPr>
          <w:szCs w:val="22"/>
        </w:rPr>
      </w:pPr>
      <w:r w:rsidRPr="005C44A1">
        <w:rPr>
          <w:szCs w:val="22"/>
        </w:rPr>
        <w:t>Podiel pacientov, ktorí dosiahli cieľové hodnoty krvného tlaku (&lt;</w:t>
      </w:r>
      <w:r w:rsidR="007F1D6E">
        <w:rPr>
          <w:szCs w:val="22"/>
        </w:rPr>
        <w:t> 1</w:t>
      </w:r>
      <w:r w:rsidRPr="005C44A1">
        <w:rPr>
          <w:szCs w:val="22"/>
        </w:rPr>
        <w:t xml:space="preserve">40/90 mmHg </w:t>
      </w:r>
      <w:r w:rsidR="007F1D6E">
        <w:rPr>
          <w:szCs w:val="22"/>
        </w:rPr>
        <w:t>u</w:t>
      </w:r>
      <w:r w:rsidRPr="005C44A1">
        <w:rPr>
          <w:szCs w:val="22"/>
        </w:rPr>
        <w:t xml:space="preserve"> pacientov </w:t>
      </w:r>
      <w:r w:rsidR="00716A4E" w:rsidRPr="005C44A1">
        <w:rPr>
          <w:szCs w:val="22"/>
        </w:rPr>
        <w:t>bez diabetu a</w:t>
      </w:r>
      <w:r w:rsidRPr="005C44A1">
        <w:rPr>
          <w:szCs w:val="22"/>
        </w:rPr>
        <w:t xml:space="preserve"> &lt;130/80 mmHg </w:t>
      </w:r>
      <w:r w:rsidR="007F1D6E">
        <w:rPr>
          <w:szCs w:val="22"/>
        </w:rPr>
        <w:t>u</w:t>
      </w:r>
      <w:r w:rsidRPr="005C44A1">
        <w:rPr>
          <w:szCs w:val="22"/>
        </w:rPr>
        <w:t xml:space="preserve"> pacientov</w:t>
      </w:r>
      <w:r w:rsidR="00716A4E" w:rsidRPr="005C44A1">
        <w:rPr>
          <w:szCs w:val="22"/>
        </w:rPr>
        <w:t xml:space="preserve"> s diabetom</w:t>
      </w:r>
      <w:r w:rsidRPr="005C44A1">
        <w:rPr>
          <w:szCs w:val="22"/>
        </w:rPr>
        <w:t>), bol 42,5</w:t>
      </w:r>
      <w:r w:rsidR="00CE0058">
        <w:rPr>
          <w:szCs w:val="22"/>
        </w:rPr>
        <w:t> </w:t>
      </w:r>
      <w:r w:rsidRPr="005C44A1">
        <w:rPr>
          <w:szCs w:val="22"/>
        </w:rPr>
        <w:t xml:space="preserve">% pre </w:t>
      </w:r>
      <w:r w:rsidR="00D105FB" w:rsidRPr="005C44A1">
        <w:rPr>
          <w:szCs w:val="22"/>
        </w:rPr>
        <w:t>olmesart</w:t>
      </w:r>
      <w:r w:rsidR="004C7410">
        <w:rPr>
          <w:szCs w:val="22"/>
        </w:rPr>
        <w:t>a</w:t>
      </w:r>
      <w:r w:rsidR="00D105FB" w:rsidRPr="005C44A1">
        <w:rPr>
          <w:szCs w:val="22"/>
        </w:rPr>
        <w:t>n-medoxomil</w:t>
      </w:r>
      <w:r w:rsidRPr="005C44A1">
        <w:rPr>
          <w:szCs w:val="22"/>
        </w:rPr>
        <w:t xml:space="preserve">/amlodipín </w:t>
      </w:r>
      <w:r w:rsidRPr="005C44A1">
        <w:rPr>
          <w:szCs w:val="22"/>
        </w:rPr>
        <w:lastRenderedPageBreak/>
        <w:t>20 mg/5 mg, 51,0</w:t>
      </w:r>
      <w:r w:rsidR="00CE0058">
        <w:rPr>
          <w:szCs w:val="22"/>
        </w:rPr>
        <w:t> </w:t>
      </w:r>
      <w:r w:rsidRPr="005C44A1">
        <w:rPr>
          <w:szCs w:val="22"/>
        </w:rPr>
        <w:t xml:space="preserve">% pre </w:t>
      </w:r>
      <w:r w:rsidR="0025772F" w:rsidRPr="005C44A1">
        <w:rPr>
          <w:szCs w:val="22"/>
        </w:rPr>
        <w:t>olmesart</w:t>
      </w:r>
      <w:r w:rsidR="004C7410">
        <w:rPr>
          <w:szCs w:val="22"/>
        </w:rPr>
        <w:t>a</w:t>
      </w:r>
      <w:r w:rsidR="0025772F" w:rsidRPr="005C44A1">
        <w:rPr>
          <w:szCs w:val="22"/>
        </w:rPr>
        <w:t>n-medoxomil</w:t>
      </w:r>
      <w:r w:rsidRPr="005C44A1">
        <w:rPr>
          <w:szCs w:val="22"/>
        </w:rPr>
        <w:t>/amlodipín 40 mg/5 mg a 49,1</w:t>
      </w:r>
      <w:r w:rsidR="00A761D3">
        <w:rPr>
          <w:szCs w:val="22"/>
        </w:rPr>
        <w:t> </w:t>
      </w:r>
      <w:r w:rsidRPr="005C44A1">
        <w:rPr>
          <w:szCs w:val="22"/>
        </w:rPr>
        <w:t xml:space="preserve">% pre </w:t>
      </w:r>
      <w:r w:rsidR="0025772F" w:rsidRPr="005C44A1">
        <w:rPr>
          <w:szCs w:val="22"/>
        </w:rPr>
        <w:t>olmesart</w:t>
      </w:r>
      <w:r w:rsidR="004C7410">
        <w:rPr>
          <w:szCs w:val="22"/>
        </w:rPr>
        <w:t>a</w:t>
      </w:r>
      <w:r w:rsidR="0025772F" w:rsidRPr="005C44A1">
        <w:rPr>
          <w:szCs w:val="22"/>
        </w:rPr>
        <w:t>n-medoxomil</w:t>
      </w:r>
      <w:r w:rsidR="00786A2F">
        <w:rPr>
          <w:szCs w:val="22"/>
        </w:rPr>
        <w:t>/amlodipín 40 mg/10 mg.</w:t>
      </w:r>
    </w:p>
    <w:p w14:paraId="3B9326B7" w14:textId="4260F0A8" w:rsidR="00025CA9" w:rsidRPr="005C44A1" w:rsidRDefault="00025CA9" w:rsidP="005C44A1">
      <w:pPr>
        <w:numPr>
          <w:ilvl w:val="12"/>
          <w:numId w:val="0"/>
        </w:numPr>
        <w:ind w:right="-2"/>
        <w:rPr>
          <w:szCs w:val="22"/>
        </w:rPr>
      </w:pPr>
      <w:r w:rsidRPr="005C44A1">
        <w:rPr>
          <w:szCs w:val="22"/>
        </w:rPr>
        <w:t xml:space="preserve">Vo väčšine prípadov sa antihypertenzný účinok </w:t>
      </w:r>
      <w:r w:rsidR="0025772F" w:rsidRPr="005C44A1">
        <w:rPr>
          <w:szCs w:val="22"/>
        </w:rPr>
        <w:t>olmesart</w:t>
      </w:r>
      <w:r w:rsidR="004C7410">
        <w:rPr>
          <w:szCs w:val="22"/>
        </w:rPr>
        <w:t>a</w:t>
      </w:r>
      <w:r w:rsidR="0025772F" w:rsidRPr="005C44A1">
        <w:rPr>
          <w:szCs w:val="22"/>
        </w:rPr>
        <w:t>nu-medoxomilu</w:t>
      </w:r>
      <w:r w:rsidRPr="005C44A1">
        <w:rPr>
          <w:szCs w:val="22"/>
        </w:rPr>
        <w:t xml:space="preserve">/amlodipínu dosiahol v priebehu prvých </w:t>
      </w:r>
      <w:r w:rsidR="0025772F" w:rsidRPr="005C44A1">
        <w:rPr>
          <w:szCs w:val="22"/>
        </w:rPr>
        <w:t>2</w:t>
      </w:r>
      <w:r w:rsidRPr="005C44A1">
        <w:rPr>
          <w:szCs w:val="22"/>
        </w:rPr>
        <w:t xml:space="preserve"> týždňov liečby.</w:t>
      </w:r>
    </w:p>
    <w:p w14:paraId="3B9326B8" w14:textId="77777777" w:rsidR="00885C20" w:rsidRPr="005C44A1" w:rsidRDefault="00885C20" w:rsidP="005C44A1">
      <w:pPr>
        <w:numPr>
          <w:ilvl w:val="12"/>
          <w:numId w:val="0"/>
        </w:numPr>
        <w:ind w:right="-2"/>
        <w:rPr>
          <w:szCs w:val="22"/>
        </w:rPr>
      </w:pPr>
    </w:p>
    <w:p w14:paraId="3B9326B9" w14:textId="1BFD3BE5" w:rsidR="00025CA9" w:rsidRPr="005C44A1" w:rsidRDefault="00025CA9" w:rsidP="005C44A1">
      <w:pPr>
        <w:numPr>
          <w:ilvl w:val="12"/>
          <w:numId w:val="0"/>
        </w:numPr>
        <w:ind w:right="-2"/>
        <w:rPr>
          <w:szCs w:val="22"/>
        </w:rPr>
      </w:pPr>
      <w:r w:rsidRPr="005C44A1">
        <w:rPr>
          <w:szCs w:val="22"/>
        </w:rPr>
        <w:t xml:space="preserve">V druhej dvojito zaslepenej, randomizovanej, placebom kontrolovanej štúdii sa hodnotila účinnosť pridania amlodipínu k liečbe pacientov bielej </w:t>
      </w:r>
      <w:r w:rsidR="007F1D6E">
        <w:rPr>
          <w:szCs w:val="22"/>
        </w:rPr>
        <w:t>rasy</w:t>
      </w:r>
      <w:r w:rsidRPr="005C44A1">
        <w:rPr>
          <w:szCs w:val="22"/>
        </w:rPr>
        <w:t>, ktorých krvný tlak nebol dostatočne kontrolovaný 8-týždňovou monoterapiou olmesart</w:t>
      </w:r>
      <w:r w:rsidR="001D0BD4">
        <w:rPr>
          <w:szCs w:val="22"/>
        </w:rPr>
        <w:t>a</w:t>
      </w:r>
      <w:r w:rsidRPr="005C44A1">
        <w:rPr>
          <w:szCs w:val="22"/>
        </w:rPr>
        <w:t>nom</w:t>
      </w:r>
      <w:r w:rsidR="00885C20" w:rsidRPr="005C44A1">
        <w:rPr>
          <w:szCs w:val="22"/>
        </w:rPr>
        <w:t>-</w:t>
      </w:r>
      <w:r w:rsidRPr="005C44A1">
        <w:rPr>
          <w:szCs w:val="22"/>
        </w:rPr>
        <w:t>medoxomilom v dávke 20 mg.</w:t>
      </w:r>
    </w:p>
    <w:p w14:paraId="3B9326BA" w14:textId="77777777" w:rsidR="00885C20" w:rsidRPr="005C44A1" w:rsidRDefault="00885C20" w:rsidP="005C44A1">
      <w:pPr>
        <w:numPr>
          <w:ilvl w:val="12"/>
          <w:numId w:val="0"/>
        </w:numPr>
        <w:ind w:right="-2"/>
        <w:rPr>
          <w:szCs w:val="22"/>
        </w:rPr>
      </w:pPr>
    </w:p>
    <w:p w14:paraId="3B9326BB" w14:textId="5CEF7204" w:rsidR="00025CA9" w:rsidRPr="005C44A1" w:rsidRDefault="00025CA9" w:rsidP="005C44A1">
      <w:pPr>
        <w:numPr>
          <w:ilvl w:val="12"/>
          <w:numId w:val="0"/>
        </w:numPr>
        <w:ind w:right="-2"/>
        <w:rPr>
          <w:szCs w:val="22"/>
        </w:rPr>
      </w:pPr>
      <w:r w:rsidRPr="005C44A1">
        <w:rPr>
          <w:szCs w:val="22"/>
        </w:rPr>
        <w:t xml:space="preserve">U pacientov, ktorí pokračovali v užívaní iba 20 mg </w:t>
      </w:r>
      <w:r w:rsidR="00885C20" w:rsidRPr="005C44A1">
        <w:rPr>
          <w:szCs w:val="22"/>
        </w:rPr>
        <w:t>olmesart</w:t>
      </w:r>
      <w:r w:rsidR="001D0BD4">
        <w:rPr>
          <w:szCs w:val="22"/>
        </w:rPr>
        <w:t>a</w:t>
      </w:r>
      <w:r w:rsidR="00885C20" w:rsidRPr="005C44A1">
        <w:rPr>
          <w:szCs w:val="22"/>
        </w:rPr>
        <w:t>nu-medoxomilu</w:t>
      </w:r>
      <w:r w:rsidRPr="005C44A1">
        <w:rPr>
          <w:szCs w:val="22"/>
        </w:rPr>
        <w:t xml:space="preserve">, sa po ďalších 8 týždňoch systolický/diastolický tlak znížil o -10,6/ -7,8 mmHg. Pridanie 5 mg amlodipínu počas 8 týždňov sa prejavilo v znížení systolického/diastolického tlaku o </w:t>
      </w:r>
      <w:r w:rsidR="00225235" w:rsidRPr="005C44A1">
        <w:rPr>
          <w:szCs w:val="22"/>
        </w:rPr>
        <w:t>-</w:t>
      </w:r>
      <w:r w:rsidRPr="005C44A1">
        <w:rPr>
          <w:szCs w:val="22"/>
        </w:rPr>
        <w:t xml:space="preserve">16,2/ </w:t>
      </w:r>
      <w:r w:rsidR="00225235" w:rsidRPr="005C44A1">
        <w:rPr>
          <w:szCs w:val="22"/>
        </w:rPr>
        <w:t>-</w:t>
      </w:r>
      <w:r w:rsidRPr="005C44A1">
        <w:rPr>
          <w:szCs w:val="22"/>
        </w:rPr>
        <w:t>10,6 mmHg (p = 0,0006).</w:t>
      </w:r>
    </w:p>
    <w:p w14:paraId="3B9326BC" w14:textId="77777777" w:rsidR="00225235" w:rsidRPr="005C44A1" w:rsidRDefault="00225235" w:rsidP="005C44A1">
      <w:pPr>
        <w:numPr>
          <w:ilvl w:val="12"/>
          <w:numId w:val="0"/>
        </w:numPr>
        <w:ind w:right="-2"/>
        <w:rPr>
          <w:szCs w:val="22"/>
        </w:rPr>
      </w:pPr>
    </w:p>
    <w:p w14:paraId="3B9326BD" w14:textId="68F5FBA3" w:rsidR="00025CA9" w:rsidRPr="005C44A1" w:rsidRDefault="00025CA9" w:rsidP="005C44A1">
      <w:pPr>
        <w:numPr>
          <w:ilvl w:val="12"/>
          <w:numId w:val="0"/>
        </w:numPr>
        <w:ind w:right="-2"/>
        <w:rPr>
          <w:szCs w:val="22"/>
        </w:rPr>
      </w:pPr>
      <w:r w:rsidRPr="005C44A1">
        <w:rPr>
          <w:szCs w:val="22"/>
        </w:rPr>
        <w:t xml:space="preserve">Podiel pacientov, ktorí dosiahli cieľové hodnoty krvného tlaku (&lt; 140/90 mmHg </w:t>
      </w:r>
      <w:r w:rsidR="00DE7F26">
        <w:rPr>
          <w:szCs w:val="22"/>
        </w:rPr>
        <w:t>u</w:t>
      </w:r>
      <w:r w:rsidRPr="005C44A1">
        <w:rPr>
          <w:szCs w:val="22"/>
        </w:rPr>
        <w:t xml:space="preserve"> pacientov bez diabetu a &lt; 130/80 mmHg </w:t>
      </w:r>
      <w:r w:rsidR="00DE7F26">
        <w:rPr>
          <w:szCs w:val="22"/>
        </w:rPr>
        <w:t>u</w:t>
      </w:r>
      <w:r w:rsidRPr="005C44A1">
        <w:rPr>
          <w:szCs w:val="22"/>
        </w:rPr>
        <w:t xml:space="preserve"> pacientov s diabetom), bol  44,5</w:t>
      </w:r>
      <w:r w:rsidR="00D24425">
        <w:rPr>
          <w:szCs w:val="22"/>
        </w:rPr>
        <w:t> </w:t>
      </w:r>
      <w:r w:rsidRPr="005C44A1">
        <w:rPr>
          <w:szCs w:val="22"/>
        </w:rPr>
        <w:t>% pre kombináciu 20 mg/5 mg v porovnaní s 28,5</w:t>
      </w:r>
      <w:r w:rsidR="00BE1994">
        <w:rPr>
          <w:szCs w:val="22"/>
        </w:rPr>
        <w:t> </w:t>
      </w:r>
      <w:r w:rsidRPr="005C44A1">
        <w:rPr>
          <w:szCs w:val="22"/>
        </w:rPr>
        <w:t>% pre olmesart</w:t>
      </w:r>
      <w:r w:rsidR="00B22299">
        <w:rPr>
          <w:szCs w:val="22"/>
        </w:rPr>
        <w:t>a</w:t>
      </w:r>
      <w:r w:rsidRPr="005C44A1">
        <w:rPr>
          <w:szCs w:val="22"/>
        </w:rPr>
        <w:t>n</w:t>
      </w:r>
      <w:r w:rsidR="00B609D3" w:rsidRPr="005C44A1">
        <w:rPr>
          <w:szCs w:val="22"/>
        </w:rPr>
        <w:t>-</w:t>
      </w:r>
      <w:r w:rsidRPr="005C44A1">
        <w:rPr>
          <w:szCs w:val="22"/>
        </w:rPr>
        <w:t>medoxomil v dávke 20 mg.</w:t>
      </w:r>
    </w:p>
    <w:p w14:paraId="3B9326BE" w14:textId="77777777" w:rsidR="00AF210B" w:rsidRPr="005C44A1" w:rsidRDefault="00AF210B" w:rsidP="005C44A1">
      <w:pPr>
        <w:numPr>
          <w:ilvl w:val="12"/>
          <w:numId w:val="0"/>
        </w:numPr>
        <w:ind w:right="-2"/>
        <w:rPr>
          <w:szCs w:val="22"/>
        </w:rPr>
      </w:pPr>
    </w:p>
    <w:p w14:paraId="3B9326BF" w14:textId="3FC3838B" w:rsidR="00025CA9" w:rsidRPr="005C44A1" w:rsidRDefault="00025CA9" w:rsidP="005C44A1">
      <w:pPr>
        <w:numPr>
          <w:ilvl w:val="12"/>
          <w:numId w:val="0"/>
        </w:numPr>
        <w:ind w:right="-2"/>
        <w:rPr>
          <w:szCs w:val="22"/>
        </w:rPr>
      </w:pPr>
      <w:r w:rsidRPr="005C44A1">
        <w:rPr>
          <w:szCs w:val="22"/>
        </w:rPr>
        <w:t>V ďalšom skúšaní sa hodnotilo pridanie rôznych dávok olmesart</w:t>
      </w:r>
      <w:r w:rsidR="00B22299">
        <w:rPr>
          <w:szCs w:val="22"/>
        </w:rPr>
        <w:t>a</w:t>
      </w:r>
      <w:r w:rsidRPr="005C44A1">
        <w:rPr>
          <w:szCs w:val="22"/>
        </w:rPr>
        <w:t>nu</w:t>
      </w:r>
      <w:r w:rsidR="00AF210B" w:rsidRPr="005C44A1">
        <w:rPr>
          <w:szCs w:val="22"/>
        </w:rPr>
        <w:t>-</w:t>
      </w:r>
      <w:r w:rsidRPr="005C44A1">
        <w:rPr>
          <w:szCs w:val="22"/>
        </w:rPr>
        <w:t xml:space="preserve">medoxomilu u pacientov bielej </w:t>
      </w:r>
      <w:r w:rsidR="00DE7F26">
        <w:rPr>
          <w:szCs w:val="22"/>
        </w:rPr>
        <w:t>rasy</w:t>
      </w:r>
      <w:r w:rsidRPr="005C44A1">
        <w:rPr>
          <w:szCs w:val="22"/>
        </w:rPr>
        <w:t>, ktorých krvný tlak nebol dostatočne kontrolovaný po 8 týždňoch monoterapie amlodipínom v dávke 5 mg.</w:t>
      </w:r>
    </w:p>
    <w:p w14:paraId="3B9326C0" w14:textId="77777777" w:rsidR="00AF210B" w:rsidRPr="005C44A1" w:rsidRDefault="00AF210B" w:rsidP="005C44A1">
      <w:pPr>
        <w:numPr>
          <w:ilvl w:val="12"/>
          <w:numId w:val="0"/>
        </w:numPr>
        <w:ind w:right="-2"/>
        <w:rPr>
          <w:szCs w:val="22"/>
        </w:rPr>
      </w:pPr>
    </w:p>
    <w:p w14:paraId="3B9326C1" w14:textId="18690830" w:rsidR="00025CA9" w:rsidRPr="005C44A1" w:rsidRDefault="00025CA9" w:rsidP="005C44A1">
      <w:pPr>
        <w:numPr>
          <w:ilvl w:val="12"/>
          <w:numId w:val="0"/>
        </w:numPr>
        <w:ind w:right="-2"/>
        <w:rPr>
          <w:szCs w:val="22"/>
        </w:rPr>
      </w:pPr>
      <w:r w:rsidRPr="005C44A1">
        <w:rPr>
          <w:szCs w:val="22"/>
        </w:rPr>
        <w:t>U pacientov, ktorí pokračovali v užívaní iba 5 mg amlodipínu, sa po ďalších 8 týždňoch systolický/diastolický tlak znížil o -9,9/-5,7 mmHg. Pridanie 20 mg olmesart</w:t>
      </w:r>
      <w:r w:rsidR="00B22299">
        <w:rPr>
          <w:szCs w:val="22"/>
        </w:rPr>
        <w:t>a</w:t>
      </w:r>
      <w:r w:rsidRPr="005C44A1">
        <w:rPr>
          <w:szCs w:val="22"/>
        </w:rPr>
        <w:t>nu</w:t>
      </w:r>
      <w:r w:rsidR="00AF210B" w:rsidRPr="005C44A1">
        <w:rPr>
          <w:szCs w:val="22"/>
        </w:rPr>
        <w:t>-</w:t>
      </w:r>
      <w:r w:rsidRPr="005C44A1">
        <w:rPr>
          <w:szCs w:val="22"/>
        </w:rPr>
        <w:t xml:space="preserve">medoxomilu sa prejavilo v znížení systolického/diastolického tlaku o </w:t>
      </w:r>
      <w:r w:rsidR="00AF210B" w:rsidRPr="005C44A1">
        <w:rPr>
          <w:szCs w:val="22"/>
        </w:rPr>
        <w:t>-</w:t>
      </w:r>
      <w:r w:rsidRPr="005C44A1">
        <w:rPr>
          <w:szCs w:val="22"/>
        </w:rPr>
        <w:t xml:space="preserve">15,3/ </w:t>
      </w:r>
      <w:r w:rsidR="00AF210B" w:rsidRPr="005C44A1">
        <w:rPr>
          <w:szCs w:val="22"/>
        </w:rPr>
        <w:t>-</w:t>
      </w:r>
      <w:r w:rsidRPr="005C44A1">
        <w:rPr>
          <w:szCs w:val="22"/>
        </w:rPr>
        <w:t>9,3 mmHg a pridanie 40 mg olmesart</w:t>
      </w:r>
      <w:r w:rsidR="00B22299">
        <w:rPr>
          <w:szCs w:val="22"/>
        </w:rPr>
        <w:t>a</w:t>
      </w:r>
      <w:r w:rsidRPr="005C44A1">
        <w:rPr>
          <w:szCs w:val="22"/>
        </w:rPr>
        <w:t>nu</w:t>
      </w:r>
      <w:r w:rsidR="00AF210B" w:rsidRPr="005C44A1">
        <w:rPr>
          <w:szCs w:val="22"/>
        </w:rPr>
        <w:t>-</w:t>
      </w:r>
      <w:r w:rsidRPr="005C44A1">
        <w:rPr>
          <w:szCs w:val="22"/>
        </w:rPr>
        <w:t xml:space="preserve"> medoxomilu sa prejavilo znížením krvného tlaku o</w:t>
      </w:r>
      <w:r w:rsidR="00960754" w:rsidRPr="005C44A1">
        <w:rPr>
          <w:szCs w:val="22"/>
        </w:rPr>
        <w:t xml:space="preserve"> -</w:t>
      </w:r>
      <w:r w:rsidRPr="005C44A1">
        <w:rPr>
          <w:szCs w:val="22"/>
        </w:rPr>
        <w:t xml:space="preserve">16,7/ </w:t>
      </w:r>
      <w:r w:rsidR="00960754" w:rsidRPr="005C44A1">
        <w:rPr>
          <w:szCs w:val="22"/>
        </w:rPr>
        <w:t>-</w:t>
      </w:r>
      <w:r w:rsidRPr="005C44A1">
        <w:rPr>
          <w:szCs w:val="22"/>
        </w:rPr>
        <w:t>9,5 mmHg (p &lt; 0,0001).</w:t>
      </w:r>
    </w:p>
    <w:p w14:paraId="3B9326C2" w14:textId="77777777" w:rsidR="00960754" w:rsidRPr="005C44A1" w:rsidRDefault="00960754" w:rsidP="005C44A1">
      <w:pPr>
        <w:numPr>
          <w:ilvl w:val="12"/>
          <w:numId w:val="0"/>
        </w:numPr>
        <w:ind w:right="-2"/>
        <w:rPr>
          <w:szCs w:val="22"/>
        </w:rPr>
      </w:pPr>
    </w:p>
    <w:p w14:paraId="3B9326C3" w14:textId="153EC08D" w:rsidR="00025CA9" w:rsidRPr="005C44A1" w:rsidRDefault="00025CA9" w:rsidP="005C44A1">
      <w:pPr>
        <w:numPr>
          <w:ilvl w:val="12"/>
          <w:numId w:val="0"/>
        </w:numPr>
        <w:ind w:right="-2"/>
        <w:rPr>
          <w:szCs w:val="22"/>
        </w:rPr>
      </w:pPr>
      <w:r w:rsidRPr="005C44A1">
        <w:rPr>
          <w:szCs w:val="22"/>
        </w:rPr>
        <w:t xml:space="preserve">Podiel pacientov, ktorí dosiahli cieľové hodnoty krvného tlaku (&lt; 140/90 mmHg </w:t>
      </w:r>
      <w:r w:rsidR="00C30015">
        <w:rPr>
          <w:szCs w:val="22"/>
        </w:rPr>
        <w:t>u</w:t>
      </w:r>
      <w:r w:rsidRPr="005C44A1">
        <w:rPr>
          <w:szCs w:val="22"/>
        </w:rPr>
        <w:t xml:space="preserve"> pacientov bez diabetu a &lt; 130/80 mmHg </w:t>
      </w:r>
      <w:r w:rsidR="00C30015">
        <w:rPr>
          <w:szCs w:val="22"/>
        </w:rPr>
        <w:t>u</w:t>
      </w:r>
      <w:r w:rsidRPr="005C44A1">
        <w:rPr>
          <w:szCs w:val="22"/>
        </w:rPr>
        <w:t xml:space="preserve"> pacientov s diabetom) bol 29,9</w:t>
      </w:r>
      <w:r w:rsidR="003076B5">
        <w:rPr>
          <w:szCs w:val="22"/>
        </w:rPr>
        <w:t> </w:t>
      </w:r>
      <w:r w:rsidRPr="005C44A1">
        <w:rPr>
          <w:szCs w:val="22"/>
        </w:rPr>
        <w:t xml:space="preserve">% v skupine, ktorá pokračovala v užívaní 5 mg amlodipínu </w:t>
      </w:r>
      <w:r w:rsidR="00960754" w:rsidRPr="005C44A1">
        <w:rPr>
          <w:szCs w:val="22"/>
        </w:rPr>
        <w:t>v monoterapii</w:t>
      </w:r>
      <w:r w:rsidRPr="005C44A1">
        <w:rPr>
          <w:szCs w:val="22"/>
        </w:rPr>
        <w:t>, 53,5</w:t>
      </w:r>
      <w:r w:rsidR="00DA70DD">
        <w:rPr>
          <w:szCs w:val="22"/>
        </w:rPr>
        <w:t> </w:t>
      </w:r>
      <w:r w:rsidRPr="005C44A1">
        <w:rPr>
          <w:szCs w:val="22"/>
        </w:rPr>
        <w:t>% pre olmesart</w:t>
      </w:r>
      <w:r w:rsidR="00E35DC0">
        <w:rPr>
          <w:szCs w:val="22"/>
        </w:rPr>
        <w:t>a</w:t>
      </w:r>
      <w:r w:rsidRPr="005C44A1">
        <w:rPr>
          <w:szCs w:val="22"/>
        </w:rPr>
        <w:t>n</w:t>
      </w:r>
      <w:r w:rsidR="00960754" w:rsidRPr="005C44A1">
        <w:rPr>
          <w:szCs w:val="22"/>
        </w:rPr>
        <w:t>-medoxomil</w:t>
      </w:r>
      <w:r w:rsidRPr="005C44A1">
        <w:rPr>
          <w:szCs w:val="22"/>
        </w:rPr>
        <w:t>/amlodipín 20 mg/5 mg a 50,5</w:t>
      </w:r>
      <w:r w:rsidR="00DA70DD">
        <w:rPr>
          <w:szCs w:val="22"/>
        </w:rPr>
        <w:t> </w:t>
      </w:r>
      <w:r w:rsidRPr="005C44A1">
        <w:rPr>
          <w:szCs w:val="22"/>
        </w:rPr>
        <w:t xml:space="preserve">% pre </w:t>
      </w:r>
      <w:r w:rsidR="00960754" w:rsidRPr="005C44A1">
        <w:rPr>
          <w:szCs w:val="22"/>
        </w:rPr>
        <w:t>olmesart</w:t>
      </w:r>
      <w:r w:rsidR="00E35DC0">
        <w:rPr>
          <w:szCs w:val="22"/>
        </w:rPr>
        <w:t>a</w:t>
      </w:r>
      <w:r w:rsidR="00960754" w:rsidRPr="005C44A1">
        <w:rPr>
          <w:szCs w:val="22"/>
        </w:rPr>
        <w:t>n-medoxomil</w:t>
      </w:r>
      <w:r w:rsidRPr="005C44A1">
        <w:rPr>
          <w:szCs w:val="22"/>
        </w:rPr>
        <w:t>/amlodipín 40 mg/5 mg.</w:t>
      </w:r>
    </w:p>
    <w:p w14:paraId="3B9326C4" w14:textId="77777777" w:rsidR="00D944E0" w:rsidRPr="005C44A1" w:rsidRDefault="00D944E0" w:rsidP="005C44A1">
      <w:pPr>
        <w:numPr>
          <w:ilvl w:val="12"/>
          <w:numId w:val="0"/>
        </w:numPr>
        <w:ind w:right="-2"/>
        <w:rPr>
          <w:szCs w:val="22"/>
        </w:rPr>
      </w:pPr>
    </w:p>
    <w:p w14:paraId="3B9326C5" w14:textId="3DB20B6A" w:rsidR="00025CA9" w:rsidRPr="005C44A1" w:rsidRDefault="00025CA9" w:rsidP="005C44A1">
      <w:pPr>
        <w:numPr>
          <w:ilvl w:val="12"/>
          <w:numId w:val="0"/>
        </w:numPr>
        <w:ind w:right="-2"/>
        <w:rPr>
          <w:szCs w:val="22"/>
        </w:rPr>
      </w:pPr>
      <w:r w:rsidRPr="005C44A1">
        <w:rPr>
          <w:szCs w:val="22"/>
        </w:rPr>
        <w:t xml:space="preserve">Randomizované údaje u pacientov s nekontrolovanou hypertenziou porovnávajúce </w:t>
      </w:r>
      <w:r w:rsidR="00D944E0" w:rsidRPr="005C44A1">
        <w:rPr>
          <w:szCs w:val="22"/>
        </w:rPr>
        <w:t xml:space="preserve">použitie </w:t>
      </w:r>
      <w:r w:rsidRPr="005C44A1">
        <w:rPr>
          <w:szCs w:val="22"/>
        </w:rPr>
        <w:t>kombinovan</w:t>
      </w:r>
      <w:r w:rsidR="00D944E0" w:rsidRPr="005C44A1">
        <w:rPr>
          <w:szCs w:val="22"/>
        </w:rPr>
        <w:t>ej</w:t>
      </w:r>
      <w:r w:rsidRPr="005C44A1">
        <w:rPr>
          <w:szCs w:val="22"/>
        </w:rPr>
        <w:t xml:space="preserve"> liečb</w:t>
      </w:r>
      <w:r w:rsidR="00D944E0" w:rsidRPr="005C44A1">
        <w:rPr>
          <w:szCs w:val="22"/>
        </w:rPr>
        <w:t>y strednou dávkou olmesart</w:t>
      </w:r>
      <w:r w:rsidR="00F42E6D">
        <w:rPr>
          <w:szCs w:val="22"/>
        </w:rPr>
        <w:t>a</w:t>
      </w:r>
      <w:r w:rsidR="00D944E0" w:rsidRPr="005C44A1">
        <w:rPr>
          <w:szCs w:val="22"/>
        </w:rPr>
        <w:t>nu-medoxomilu</w:t>
      </w:r>
      <w:r w:rsidRPr="005C44A1">
        <w:rPr>
          <w:szCs w:val="22"/>
        </w:rPr>
        <w:t>/amlodipín</w:t>
      </w:r>
      <w:r w:rsidR="00D944E0" w:rsidRPr="005C44A1">
        <w:rPr>
          <w:szCs w:val="22"/>
        </w:rPr>
        <w:t>u</w:t>
      </w:r>
      <w:r w:rsidRPr="005C44A1">
        <w:rPr>
          <w:szCs w:val="22"/>
        </w:rPr>
        <w:t xml:space="preserve"> s monoterapiou olmesart</w:t>
      </w:r>
      <w:r w:rsidR="00F42E6D">
        <w:rPr>
          <w:szCs w:val="22"/>
        </w:rPr>
        <w:t>a</w:t>
      </w:r>
      <w:r w:rsidRPr="005C44A1">
        <w:rPr>
          <w:szCs w:val="22"/>
        </w:rPr>
        <w:t xml:space="preserve">nom alebo amlodipínom so zvyšovaním dávky po maximálnu dávku nie sú </w:t>
      </w:r>
      <w:r w:rsidR="006124DA" w:rsidRPr="005C44A1">
        <w:rPr>
          <w:szCs w:val="22"/>
        </w:rPr>
        <w:t>k dispozícii</w:t>
      </w:r>
      <w:r w:rsidRPr="005C44A1">
        <w:rPr>
          <w:szCs w:val="22"/>
        </w:rPr>
        <w:t>.</w:t>
      </w:r>
    </w:p>
    <w:p w14:paraId="3B9326C6" w14:textId="77777777" w:rsidR="008539C2" w:rsidRPr="005C44A1" w:rsidRDefault="008539C2" w:rsidP="005C44A1">
      <w:pPr>
        <w:numPr>
          <w:ilvl w:val="12"/>
          <w:numId w:val="0"/>
        </w:numPr>
        <w:ind w:right="-2"/>
        <w:rPr>
          <w:szCs w:val="22"/>
        </w:rPr>
      </w:pPr>
    </w:p>
    <w:p w14:paraId="3B9326C7" w14:textId="726CC4B6" w:rsidR="00025CA9" w:rsidRPr="005C44A1" w:rsidRDefault="00025CA9" w:rsidP="005C44A1">
      <w:pPr>
        <w:numPr>
          <w:ilvl w:val="12"/>
          <w:numId w:val="0"/>
        </w:numPr>
        <w:ind w:right="-2"/>
        <w:rPr>
          <w:szCs w:val="22"/>
        </w:rPr>
      </w:pPr>
      <w:r w:rsidRPr="005C44A1">
        <w:rPr>
          <w:szCs w:val="22"/>
        </w:rPr>
        <w:t>Tri uskutočnené štúdie potvrdili, že antihypertenzný účinok kombinácie olmesart</w:t>
      </w:r>
      <w:r w:rsidR="00CA7702">
        <w:rPr>
          <w:szCs w:val="22"/>
        </w:rPr>
        <w:t>a</w:t>
      </w:r>
      <w:r w:rsidRPr="005C44A1">
        <w:rPr>
          <w:szCs w:val="22"/>
        </w:rPr>
        <w:t>n</w:t>
      </w:r>
      <w:r w:rsidR="003B7B3E" w:rsidRPr="005C44A1">
        <w:rPr>
          <w:szCs w:val="22"/>
        </w:rPr>
        <w:t>u-medoxomilu</w:t>
      </w:r>
      <w:r w:rsidRPr="005C44A1">
        <w:rPr>
          <w:szCs w:val="22"/>
        </w:rPr>
        <w:t>/amlodipín</w:t>
      </w:r>
      <w:r w:rsidR="003B7B3E" w:rsidRPr="005C44A1">
        <w:rPr>
          <w:szCs w:val="22"/>
        </w:rPr>
        <w:t>u</w:t>
      </w:r>
      <w:r w:rsidRPr="005C44A1">
        <w:rPr>
          <w:szCs w:val="22"/>
        </w:rPr>
        <w:t xml:space="preserve"> podávanej jedenkrát denne sa udržal </w:t>
      </w:r>
      <w:r w:rsidR="00762414">
        <w:rPr>
          <w:szCs w:val="22"/>
        </w:rPr>
        <w:t>počas</w:t>
      </w:r>
      <w:r w:rsidRPr="005C44A1">
        <w:rPr>
          <w:szCs w:val="22"/>
        </w:rPr>
        <w:t xml:space="preserve"> 24</w:t>
      </w:r>
      <w:r w:rsidR="00762414">
        <w:rPr>
          <w:szCs w:val="22"/>
        </w:rPr>
        <w:t>-</w:t>
      </w:r>
      <w:r w:rsidRPr="005C44A1">
        <w:rPr>
          <w:szCs w:val="22"/>
        </w:rPr>
        <w:t>hod</w:t>
      </w:r>
      <w:r w:rsidR="00E56A79" w:rsidRPr="005C44A1">
        <w:rPr>
          <w:szCs w:val="22"/>
        </w:rPr>
        <w:t>inového dávkovacieho intervalu</w:t>
      </w:r>
      <w:r w:rsidRPr="005C44A1">
        <w:rPr>
          <w:szCs w:val="22"/>
        </w:rPr>
        <w:t>, s T/P (trough to peak) pomerom 71</w:t>
      </w:r>
      <w:r w:rsidR="00EA05C9">
        <w:rPr>
          <w:szCs w:val="22"/>
        </w:rPr>
        <w:t> </w:t>
      </w:r>
      <w:r w:rsidRPr="005C44A1">
        <w:rPr>
          <w:szCs w:val="22"/>
        </w:rPr>
        <w:t>% až 82</w:t>
      </w:r>
      <w:r w:rsidR="00EA05C9">
        <w:rPr>
          <w:szCs w:val="22"/>
        </w:rPr>
        <w:t> </w:t>
      </w:r>
      <w:r w:rsidRPr="005C44A1">
        <w:rPr>
          <w:szCs w:val="22"/>
        </w:rPr>
        <w:t>% pre systolický a diastolický tlak a s</w:t>
      </w:r>
      <w:r w:rsidR="00762414">
        <w:rPr>
          <w:szCs w:val="22"/>
        </w:rPr>
        <w:t> </w:t>
      </w:r>
      <w:r w:rsidRPr="005C44A1">
        <w:rPr>
          <w:szCs w:val="22"/>
        </w:rPr>
        <w:t>24</w:t>
      </w:r>
      <w:r w:rsidR="00762414">
        <w:rPr>
          <w:szCs w:val="22"/>
        </w:rPr>
        <w:t>-</w:t>
      </w:r>
      <w:r w:rsidRPr="005C44A1">
        <w:rPr>
          <w:szCs w:val="22"/>
        </w:rPr>
        <w:t xml:space="preserve">hodinovou účinnosťou potvrdenou ambulantným </w:t>
      </w:r>
      <w:r w:rsidR="009078A6" w:rsidRPr="005C44A1">
        <w:rPr>
          <w:szCs w:val="22"/>
        </w:rPr>
        <w:t>sledovaním</w:t>
      </w:r>
      <w:r w:rsidRPr="005C44A1">
        <w:rPr>
          <w:szCs w:val="22"/>
        </w:rPr>
        <w:t xml:space="preserve"> krvného tlaku.</w:t>
      </w:r>
    </w:p>
    <w:p w14:paraId="3B9326C8" w14:textId="51C366D6" w:rsidR="00025CA9" w:rsidRPr="005C44A1" w:rsidRDefault="00025CA9" w:rsidP="005C44A1">
      <w:pPr>
        <w:numPr>
          <w:ilvl w:val="12"/>
          <w:numId w:val="0"/>
        </w:numPr>
        <w:ind w:right="-2"/>
        <w:rPr>
          <w:szCs w:val="22"/>
        </w:rPr>
      </w:pPr>
      <w:r w:rsidRPr="005C44A1">
        <w:rPr>
          <w:szCs w:val="22"/>
        </w:rPr>
        <w:t>Antihypertenzný účinok olmesart</w:t>
      </w:r>
      <w:r w:rsidR="00CA7702">
        <w:rPr>
          <w:szCs w:val="22"/>
        </w:rPr>
        <w:t>a</w:t>
      </w:r>
      <w:r w:rsidRPr="005C44A1">
        <w:rPr>
          <w:szCs w:val="22"/>
        </w:rPr>
        <w:t>nu</w:t>
      </w:r>
      <w:r w:rsidR="009078A6" w:rsidRPr="005C44A1">
        <w:rPr>
          <w:szCs w:val="22"/>
        </w:rPr>
        <w:t>-medoxomilu</w:t>
      </w:r>
      <w:r w:rsidRPr="005C44A1">
        <w:rPr>
          <w:szCs w:val="22"/>
        </w:rPr>
        <w:t>/amlodipínu nezávisel od veku a pohlavia a bol porovnateľný u pacientov s diabetom a bez diabetu.</w:t>
      </w:r>
    </w:p>
    <w:p w14:paraId="3B9326C9" w14:textId="504D0F29" w:rsidR="00025CA9" w:rsidRPr="005C44A1" w:rsidRDefault="00025CA9" w:rsidP="005C44A1">
      <w:pPr>
        <w:numPr>
          <w:ilvl w:val="12"/>
          <w:numId w:val="0"/>
        </w:numPr>
        <w:ind w:right="-2"/>
        <w:rPr>
          <w:szCs w:val="22"/>
        </w:rPr>
      </w:pPr>
      <w:r w:rsidRPr="005C44A1">
        <w:rPr>
          <w:szCs w:val="22"/>
        </w:rPr>
        <w:t>V dvoch otvorených, nerandomizovaných, rozšírených štúdiách sa preukázal</w:t>
      </w:r>
      <w:r w:rsidR="009078A6" w:rsidRPr="005C44A1">
        <w:rPr>
          <w:szCs w:val="22"/>
        </w:rPr>
        <w:t>a trvalá účinnosť</w:t>
      </w:r>
      <w:r w:rsidRPr="005C44A1">
        <w:rPr>
          <w:szCs w:val="22"/>
        </w:rPr>
        <w:t xml:space="preserve"> liečby olmesart</w:t>
      </w:r>
      <w:r w:rsidR="00CA7702">
        <w:rPr>
          <w:szCs w:val="22"/>
        </w:rPr>
        <w:t>a</w:t>
      </w:r>
      <w:r w:rsidRPr="005C44A1">
        <w:rPr>
          <w:szCs w:val="22"/>
        </w:rPr>
        <w:t>nom</w:t>
      </w:r>
      <w:r w:rsidR="004E5B22" w:rsidRPr="005C44A1">
        <w:rPr>
          <w:szCs w:val="22"/>
        </w:rPr>
        <w:t>-medoxomilom</w:t>
      </w:r>
      <w:r w:rsidRPr="005C44A1">
        <w:rPr>
          <w:szCs w:val="22"/>
        </w:rPr>
        <w:t xml:space="preserve">/amlodipínom 40 mg/5 mg </w:t>
      </w:r>
      <w:r w:rsidR="00762414">
        <w:rPr>
          <w:szCs w:val="22"/>
        </w:rPr>
        <w:t>počas</w:t>
      </w:r>
      <w:r w:rsidR="004E5B22" w:rsidRPr="005C44A1">
        <w:rPr>
          <w:szCs w:val="22"/>
        </w:rPr>
        <w:t xml:space="preserve"> jedn</w:t>
      </w:r>
      <w:r w:rsidR="00762414">
        <w:rPr>
          <w:szCs w:val="22"/>
        </w:rPr>
        <w:t>ého roka</w:t>
      </w:r>
      <w:r w:rsidRPr="005C44A1">
        <w:rPr>
          <w:szCs w:val="22"/>
        </w:rPr>
        <w:t xml:space="preserve"> u 49 </w:t>
      </w:r>
      <w:r w:rsidR="00293A1B">
        <w:rPr>
          <w:szCs w:val="22"/>
        </w:rPr>
        <w:t>–</w:t>
      </w:r>
      <w:r w:rsidRPr="005C44A1">
        <w:rPr>
          <w:szCs w:val="22"/>
        </w:rPr>
        <w:t xml:space="preserve"> 67</w:t>
      </w:r>
      <w:r w:rsidR="00293A1B">
        <w:rPr>
          <w:szCs w:val="22"/>
        </w:rPr>
        <w:t> </w:t>
      </w:r>
      <w:r w:rsidRPr="005C44A1">
        <w:rPr>
          <w:szCs w:val="22"/>
        </w:rPr>
        <w:t>% pacientov.</w:t>
      </w:r>
    </w:p>
    <w:p w14:paraId="3B9326CA" w14:textId="77777777" w:rsidR="004E5B22" w:rsidRPr="005C44A1" w:rsidRDefault="004E5B22" w:rsidP="005C44A1">
      <w:pPr>
        <w:numPr>
          <w:ilvl w:val="12"/>
          <w:numId w:val="0"/>
        </w:numPr>
        <w:ind w:right="-2"/>
        <w:rPr>
          <w:szCs w:val="22"/>
        </w:rPr>
      </w:pPr>
    </w:p>
    <w:p w14:paraId="3B9326CB" w14:textId="374B758E" w:rsidR="00025CA9" w:rsidRDefault="00025CA9" w:rsidP="005C44A1">
      <w:pPr>
        <w:numPr>
          <w:ilvl w:val="12"/>
          <w:numId w:val="0"/>
        </w:numPr>
        <w:ind w:right="-2"/>
        <w:rPr>
          <w:szCs w:val="22"/>
          <w:u w:val="single"/>
        </w:rPr>
      </w:pPr>
      <w:r w:rsidRPr="005C44A1">
        <w:rPr>
          <w:szCs w:val="22"/>
          <w:u w:val="single"/>
        </w:rPr>
        <w:t>Olmesart</w:t>
      </w:r>
      <w:r w:rsidR="00CA7702">
        <w:rPr>
          <w:szCs w:val="22"/>
          <w:u w:val="single"/>
        </w:rPr>
        <w:t>a</w:t>
      </w:r>
      <w:r w:rsidRPr="005C44A1">
        <w:rPr>
          <w:szCs w:val="22"/>
          <w:u w:val="single"/>
        </w:rPr>
        <w:t>n</w:t>
      </w:r>
      <w:r w:rsidR="004E5B22" w:rsidRPr="005C44A1">
        <w:rPr>
          <w:szCs w:val="22"/>
          <w:u w:val="single"/>
        </w:rPr>
        <w:t>-</w:t>
      </w:r>
      <w:r w:rsidRPr="005C44A1">
        <w:rPr>
          <w:szCs w:val="22"/>
          <w:u w:val="single"/>
        </w:rPr>
        <w:t xml:space="preserve">medoxomil (liečivo </w:t>
      </w:r>
      <w:r w:rsidR="004E5B22" w:rsidRPr="005C44A1">
        <w:rPr>
          <w:szCs w:val="22"/>
          <w:u w:val="single"/>
        </w:rPr>
        <w:t>Reverantzy</w:t>
      </w:r>
      <w:r w:rsidRPr="005C44A1">
        <w:rPr>
          <w:szCs w:val="22"/>
          <w:u w:val="single"/>
        </w:rPr>
        <w:t>)</w:t>
      </w:r>
    </w:p>
    <w:p w14:paraId="0567FB54" w14:textId="77777777" w:rsidR="00761E42" w:rsidRPr="005C44A1" w:rsidRDefault="00761E42" w:rsidP="005C44A1">
      <w:pPr>
        <w:numPr>
          <w:ilvl w:val="12"/>
          <w:numId w:val="0"/>
        </w:numPr>
        <w:ind w:right="-2"/>
        <w:rPr>
          <w:szCs w:val="22"/>
          <w:u w:val="single"/>
        </w:rPr>
      </w:pPr>
    </w:p>
    <w:p w14:paraId="3B9326CC" w14:textId="64E9A45F" w:rsidR="008F5210" w:rsidRPr="005C44A1" w:rsidRDefault="004E5B22" w:rsidP="005C44A1">
      <w:pPr>
        <w:numPr>
          <w:ilvl w:val="12"/>
          <w:numId w:val="0"/>
        </w:numPr>
        <w:ind w:right="-2"/>
        <w:rPr>
          <w:szCs w:val="22"/>
        </w:rPr>
      </w:pPr>
      <w:r w:rsidRPr="005C44A1">
        <w:rPr>
          <w:szCs w:val="22"/>
        </w:rPr>
        <w:t>Olmesart</w:t>
      </w:r>
      <w:r w:rsidR="00CA7702">
        <w:rPr>
          <w:szCs w:val="22"/>
        </w:rPr>
        <w:t>a</w:t>
      </w:r>
      <w:r w:rsidRPr="005C44A1">
        <w:rPr>
          <w:szCs w:val="22"/>
        </w:rPr>
        <w:t>n-medoxomil</w:t>
      </w:r>
      <w:r w:rsidR="00025CA9" w:rsidRPr="005C44A1">
        <w:rPr>
          <w:szCs w:val="22"/>
        </w:rPr>
        <w:t xml:space="preserve">, </w:t>
      </w:r>
      <w:r w:rsidR="00D23ADC" w:rsidRPr="005C44A1">
        <w:rPr>
          <w:szCs w:val="22"/>
        </w:rPr>
        <w:t>zložka</w:t>
      </w:r>
      <w:r w:rsidR="006F0DD1" w:rsidRPr="005C44A1">
        <w:rPr>
          <w:szCs w:val="22"/>
        </w:rPr>
        <w:t xml:space="preserve"> Reverantzy, </w:t>
      </w:r>
      <w:r w:rsidR="00025CA9" w:rsidRPr="005C44A1">
        <w:rPr>
          <w:szCs w:val="22"/>
        </w:rPr>
        <w:t>je selektívny antagonista receptor</w:t>
      </w:r>
      <w:r w:rsidR="00293A1B">
        <w:rPr>
          <w:szCs w:val="22"/>
        </w:rPr>
        <w:t>a</w:t>
      </w:r>
      <w:r w:rsidR="00025CA9" w:rsidRPr="005C44A1">
        <w:rPr>
          <w:szCs w:val="22"/>
        </w:rPr>
        <w:t xml:space="preserve"> </w:t>
      </w:r>
      <w:r w:rsidR="008F5210" w:rsidRPr="005C44A1">
        <w:rPr>
          <w:szCs w:val="22"/>
        </w:rPr>
        <w:t xml:space="preserve">(AT1) </w:t>
      </w:r>
      <w:r w:rsidR="00025CA9" w:rsidRPr="005C44A1">
        <w:rPr>
          <w:szCs w:val="22"/>
        </w:rPr>
        <w:t>angiotenzínu II.</w:t>
      </w:r>
    </w:p>
    <w:p w14:paraId="3B9326CD" w14:textId="77777777" w:rsidR="008F5210" w:rsidRPr="005C44A1" w:rsidRDefault="008F5210" w:rsidP="005C44A1">
      <w:pPr>
        <w:numPr>
          <w:ilvl w:val="12"/>
          <w:numId w:val="0"/>
        </w:numPr>
        <w:ind w:right="-2"/>
        <w:rPr>
          <w:szCs w:val="22"/>
        </w:rPr>
      </w:pPr>
    </w:p>
    <w:p w14:paraId="3B9326CE" w14:textId="1CA54930" w:rsidR="00010887" w:rsidRPr="005C44A1" w:rsidRDefault="004F4D91" w:rsidP="005C44A1">
      <w:pPr>
        <w:numPr>
          <w:ilvl w:val="12"/>
          <w:numId w:val="0"/>
        </w:numPr>
        <w:ind w:right="-2"/>
        <w:rPr>
          <w:szCs w:val="22"/>
        </w:rPr>
      </w:pPr>
      <w:r w:rsidRPr="007A6CC5">
        <w:rPr>
          <w:szCs w:val="22"/>
        </w:rPr>
        <w:t>Olmesart</w:t>
      </w:r>
      <w:r w:rsidR="006D15FB">
        <w:rPr>
          <w:szCs w:val="22"/>
        </w:rPr>
        <w:t>a</w:t>
      </w:r>
      <w:r w:rsidRPr="007A6CC5">
        <w:rPr>
          <w:szCs w:val="22"/>
        </w:rPr>
        <w:t>n-medoxomil</w:t>
      </w:r>
      <w:r w:rsidRPr="005C44A1">
        <w:rPr>
          <w:szCs w:val="22"/>
        </w:rPr>
        <w:t xml:space="preserve"> </w:t>
      </w:r>
      <w:r w:rsidR="00025CA9" w:rsidRPr="005C44A1">
        <w:rPr>
          <w:szCs w:val="22"/>
        </w:rPr>
        <w:t>sa rýchlo konvertuje na farmakologicky účinný metabolit, olmesart</w:t>
      </w:r>
      <w:r w:rsidR="00D30628">
        <w:rPr>
          <w:szCs w:val="22"/>
        </w:rPr>
        <w:t>a</w:t>
      </w:r>
      <w:r w:rsidR="00025CA9" w:rsidRPr="005C44A1">
        <w:rPr>
          <w:szCs w:val="22"/>
        </w:rPr>
        <w:t xml:space="preserve">n. Angiotenzín II je primárny vazoaktívny hormón systému renín-angiotenzín-aldosterón a má </w:t>
      </w:r>
      <w:r w:rsidR="009B68D5" w:rsidRPr="005C44A1">
        <w:rPr>
          <w:szCs w:val="22"/>
        </w:rPr>
        <w:t xml:space="preserve">významnú </w:t>
      </w:r>
      <w:r w:rsidR="00025CA9" w:rsidRPr="005C44A1">
        <w:rPr>
          <w:szCs w:val="22"/>
        </w:rPr>
        <w:t>úlohu v patofyziológii hypertenzie.</w:t>
      </w:r>
      <w:r w:rsidR="007F0363" w:rsidRPr="005C44A1">
        <w:rPr>
          <w:szCs w:val="22"/>
        </w:rPr>
        <w:t xml:space="preserve"> </w:t>
      </w:r>
      <w:r w:rsidR="00025CA9" w:rsidRPr="005C44A1">
        <w:rPr>
          <w:szCs w:val="22"/>
        </w:rPr>
        <w:t>Účinky angiotenzínu II zahŕňajú vazokonstrikciu, stimuláciu syntézy a uvoľňovania aldosterónu, kardiálnu stimuláciu a</w:t>
      </w:r>
      <w:r w:rsidR="007F0363" w:rsidRPr="005C44A1">
        <w:rPr>
          <w:szCs w:val="22"/>
        </w:rPr>
        <w:t xml:space="preserve"> renálnu </w:t>
      </w:r>
      <w:r w:rsidR="00025CA9" w:rsidRPr="005C44A1">
        <w:rPr>
          <w:szCs w:val="22"/>
        </w:rPr>
        <w:t>reabsorpciu sodíka. Olmesart</w:t>
      </w:r>
      <w:r w:rsidR="00711F08">
        <w:rPr>
          <w:szCs w:val="22"/>
        </w:rPr>
        <w:t>a</w:t>
      </w:r>
      <w:r w:rsidR="00025CA9" w:rsidRPr="005C44A1">
        <w:rPr>
          <w:szCs w:val="22"/>
        </w:rPr>
        <w:t>n blokuje vazokonstrikčné účinky a účinky angiotenzínu II na sekréciu aldosterónu blokádou jeho väzby na AT1 receptor v tkanivách, vrátane hladkého svalstva ciev a nadobličiek. Účinok olmesart</w:t>
      </w:r>
      <w:r w:rsidR="00711F08">
        <w:rPr>
          <w:szCs w:val="22"/>
        </w:rPr>
        <w:t>a</w:t>
      </w:r>
      <w:r w:rsidR="00025CA9" w:rsidRPr="005C44A1">
        <w:rPr>
          <w:szCs w:val="22"/>
        </w:rPr>
        <w:t xml:space="preserve">nu je nezávislý od </w:t>
      </w:r>
      <w:r w:rsidR="00761E42">
        <w:rPr>
          <w:szCs w:val="22"/>
        </w:rPr>
        <w:t>pôvodu</w:t>
      </w:r>
      <w:r w:rsidR="00025CA9" w:rsidRPr="005C44A1">
        <w:rPr>
          <w:szCs w:val="22"/>
        </w:rPr>
        <w:t xml:space="preserve"> alebo cesty syntézy angiotenzínu II. Dôsledkom selektívneho antagonizmu olmesart</w:t>
      </w:r>
      <w:r w:rsidR="00D30628">
        <w:rPr>
          <w:szCs w:val="22"/>
        </w:rPr>
        <w:t>a</w:t>
      </w:r>
      <w:r w:rsidR="00025CA9" w:rsidRPr="005C44A1">
        <w:rPr>
          <w:szCs w:val="22"/>
        </w:rPr>
        <w:t>nu voči receptorom angiotenzínu II (AT1) je zvýšenie plazmatickej hladiny renínu</w:t>
      </w:r>
      <w:r w:rsidR="00010887" w:rsidRPr="005C44A1">
        <w:rPr>
          <w:szCs w:val="22"/>
        </w:rPr>
        <w:t xml:space="preserve"> a </w:t>
      </w:r>
      <w:r w:rsidR="00025CA9" w:rsidRPr="005C44A1">
        <w:rPr>
          <w:szCs w:val="22"/>
        </w:rPr>
        <w:t xml:space="preserve">koncentrácie angiotenzínu I a II a </w:t>
      </w:r>
      <w:r w:rsidR="00010887" w:rsidRPr="005C44A1">
        <w:rPr>
          <w:szCs w:val="22"/>
        </w:rPr>
        <w:t>čiastočné</w:t>
      </w:r>
      <w:r w:rsidR="00025CA9" w:rsidRPr="005C44A1">
        <w:rPr>
          <w:szCs w:val="22"/>
        </w:rPr>
        <w:t xml:space="preserve"> zníženie plazmatickej koncentrácie aldosterónu.</w:t>
      </w:r>
    </w:p>
    <w:p w14:paraId="012171F4" w14:textId="77777777" w:rsidR="00761E42" w:rsidRDefault="00761E42" w:rsidP="005C44A1">
      <w:pPr>
        <w:numPr>
          <w:ilvl w:val="12"/>
          <w:numId w:val="0"/>
        </w:numPr>
        <w:ind w:right="-2"/>
        <w:rPr>
          <w:szCs w:val="22"/>
        </w:rPr>
      </w:pPr>
    </w:p>
    <w:p w14:paraId="3B9326CF" w14:textId="0BF56A97" w:rsidR="00025CA9" w:rsidRPr="005C44A1" w:rsidRDefault="00025CA9" w:rsidP="005C44A1">
      <w:pPr>
        <w:numPr>
          <w:ilvl w:val="12"/>
          <w:numId w:val="0"/>
        </w:numPr>
        <w:ind w:right="-2"/>
        <w:rPr>
          <w:szCs w:val="22"/>
        </w:rPr>
      </w:pPr>
      <w:r w:rsidRPr="005C44A1">
        <w:rPr>
          <w:szCs w:val="22"/>
        </w:rPr>
        <w:t>Pri hypertenzii olmesart</w:t>
      </w:r>
      <w:r w:rsidR="00D30628">
        <w:rPr>
          <w:szCs w:val="22"/>
        </w:rPr>
        <w:t>a</w:t>
      </w:r>
      <w:r w:rsidRPr="005C44A1">
        <w:rPr>
          <w:szCs w:val="22"/>
        </w:rPr>
        <w:t>n</w:t>
      </w:r>
      <w:r w:rsidR="00010887" w:rsidRPr="005C44A1">
        <w:rPr>
          <w:szCs w:val="22"/>
        </w:rPr>
        <w:t>-</w:t>
      </w:r>
      <w:r w:rsidRPr="005C44A1">
        <w:rPr>
          <w:szCs w:val="22"/>
        </w:rPr>
        <w:t>medoxomil</w:t>
      </w:r>
      <w:r w:rsidR="00937654" w:rsidRPr="005C44A1">
        <w:rPr>
          <w:szCs w:val="22"/>
        </w:rPr>
        <w:t>,</w:t>
      </w:r>
      <w:r w:rsidRPr="005C44A1">
        <w:rPr>
          <w:szCs w:val="22"/>
        </w:rPr>
        <w:t xml:space="preserve"> v závislosti od dávky</w:t>
      </w:r>
      <w:r w:rsidR="00937654" w:rsidRPr="005C44A1">
        <w:rPr>
          <w:szCs w:val="22"/>
        </w:rPr>
        <w:t>,</w:t>
      </w:r>
      <w:r w:rsidRPr="005C44A1">
        <w:rPr>
          <w:szCs w:val="22"/>
        </w:rPr>
        <w:t xml:space="preserve"> vyvoláva dlho</w:t>
      </w:r>
      <w:r w:rsidR="00937654" w:rsidRPr="005C44A1">
        <w:rPr>
          <w:szCs w:val="22"/>
        </w:rPr>
        <w:t>dobé</w:t>
      </w:r>
      <w:r w:rsidRPr="005C44A1">
        <w:rPr>
          <w:szCs w:val="22"/>
        </w:rPr>
        <w:t xml:space="preserve"> zníženie </w:t>
      </w:r>
      <w:r w:rsidR="00937654" w:rsidRPr="005C44A1">
        <w:rPr>
          <w:szCs w:val="22"/>
        </w:rPr>
        <w:t xml:space="preserve">arteriálneho </w:t>
      </w:r>
      <w:r w:rsidRPr="005C44A1">
        <w:rPr>
          <w:szCs w:val="22"/>
        </w:rPr>
        <w:t xml:space="preserve">krvného tlaku. </w:t>
      </w:r>
      <w:r w:rsidR="00937654" w:rsidRPr="005C44A1">
        <w:rPr>
          <w:szCs w:val="22"/>
        </w:rPr>
        <w:t>Neexistujú dôkazy o</w:t>
      </w:r>
      <w:r w:rsidRPr="005C44A1">
        <w:rPr>
          <w:szCs w:val="22"/>
        </w:rPr>
        <w:t xml:space="preserve"> hypotenzii po prvej dávke, </w:t>
      </w:r>
      <w:r w:rsidR="00937654" w:rsidRPr="005C44A1">
        <w:rPr>
          <w:szCs w:val="22"/>
        </w:rPr>
        <w:t xml:space="preserve">o </w:t>
      </w:r>
      <w:r w:rsidRPr="005C44A1">
        <w:rPr>
          <w:szCs w:val="22"/>
        </w:rPr>
        <w:t>tachyfylaxii počas dlhodobej liečby alebo</w:t>
      </w:r>
      <w:r w:rsidR="005E2FC3" w:rsidRPr="005C44A1">
        <w:rPr>
          <w:szCs w:val="22"/>
        </w:rPr>
        <w:t xml:space="preserve"> o </w:t>
      </w:r>
      <w:r w:rsidRPr="005C44A1">
        <w:rPr>
          <w:szCs w:val="22"/>
        </w:rPr>
        <w:t>prudk</w:t>
      </w:r>
      <w:r w:rsidR="005E2FC3" w:rsidRPr="005C44A1">
        <w:rPr>
          <w:szCs w:val="22"/>
        </w:rPr>
        <w:t>om zvýšení</w:t>
      </w:r>
      <w:r w:rsidRPr="005C44A1">
        <w:rPr>
          <w:szCs w:val="22"/>
        </w:rPr>
        <w:t xml:space="preserve"> krvného tlaku (rebound fenomén) po náhlom </w:t>
      </w:r>
      <w:r w:rsidR="005E2FC3" w:rsidRPr="005C44A1">
        <w:rPr>
          <w:szCs w:val="22"/>
        </w:rPr>
        <w:t>ukončení</w:t>
      </w:r>
      <w:r w:rsidRPr="005C44A1">
        <w:rPr>
          <w:szCs w:val="22"/>
        </w:rPr>
        <w:t xml:space="preserve"> liečby.</w:t>
      </w:r>
    </w:p>
    <w:p w14:paraId="3B9326D0" w14:textId="77777777" w:rsidR="00B45F40" w:rsidRPr="005C44A1" w:rsidRDefault="00B45F40" w:rsidP="005C44A1">
      <w:pPr>
        <w:numPr>
          <w:ilvl w:val="12"/>
          <w:numId w:val="0"/>
        </w:numPr>
        <w:ind w:right="-2"/>
        <w:rPr>
          <w:szCs w:val="22"/>
        </w:rPr>
      </w:pPr>
    </w:p>
    <w:p w14:paraId="3B9326D1" w14:textId="6106E684" w:rsidR="00025CA9" w:rsidRPr="005C44A1" w:rsidRDefault="00025CA9" w:rsidP="005C44A1">
      <w:pPr>
        <w:numPr>
          <w:ilvl w:val="12"/>
          <w:numId w:val="0"/>
        </w:numPr>
        <w:ind w:right="-2"/>
        <w:rPr>
          <w:color w:val="000000" w:themeColor="text1"/>
          <w:szCs w:val="22"/>
        </w:rPr>
      </w:pPr>
      <w:r w:rsidRPr="005C44A1">
        <w:rPr>
          <w:color w:val="000000" w:themeColor="text1"/>
          <w:szCs w:val="22"/>
        </w:rPr>
        <w:t>Po podaní jedenkrát denne pacientom s hypertenziou vykazuje olmesart</w:t>
      </w:r>
      <w:r w:rsidR="00075B99">
        <w:rPr>
          <w:color w:val="000000" w:themeColor="text1"/>
          <w:szCs w:val="22"/>
        </w:rPr>
        <w:t>a</w:t>
      </w:r>
      <w:r w:rsidRPr="005C44A1">
        <w:rPr>
          <w:color w:val="000000" w:themeColor="text1"/>
          <w:szCs w:val="22"/>
        </w:rPr>
        <w:t>n</w:t>
      </w:r>
      <w:r w:rsidR="00371928" w:rsidRPr="005C44A1">
        <w:rPr>
          <w:color w:val="000000" w:themeColor="text1"/>
          <w:szCs w:val="22"/>
        </w:rPr>
        <w:t>-</w:t>
      </w:r>
      <w:r w:rsidRPr="005C44A1">
        <w:rPr>
          <w:color w:val="000000" w:themeColor="text1"/>
          <w:szCs w:val="22"/>
        </w:rPr>
        <w:t xml:space="preserve">medoxomil účinné a rovnomerné zníženie krvného tlaku </w:t>
      </w:r>
      <w:r w:rsidR="000568B7" w:rsidRPr="005C44A1">
        <w:rPr>
          <w:color w:val="000000" w:themeColor="text1"/>
          <w:szCs w:val="22"/>
        </w:rPr>
        <w:t>počas</w:t>
      </w:r>
      <w:r w:rsidRPr="005C44A1">
        <w:rPr>
          <w:color w:val="000000" w:themeColor="text1"/>
          <w:szCs w:val="22"/>
        </w:rPr>
        <w:t xml:space="preserve"> 24-hodinov</w:t>
      </w:r>
      <w:r w:rsidR="000568B7" w:rsidRPr="005C44A1">
        <w:rPr>
          <w:color w:val="000000" w:themeColor="text1"/>
          <w:szCs w:val="22"/>
        </w:rPr>
        <w:t>ého</w:t>
      </w:r>
      <w:r w:rsidRPr="005C44A1">
        <w:rPr>
          <w:color w:val="000000" w:themeColor="text1"/>
          <w:szCs w:val="22"/>
        </w:rPr>
        <w:t xml:space="preserve"> interval</w:t>
      </w:r>
      <w:r w:rsidR="000568B7" w:rsidRPr="005C44A1">
        <w:rPr>
          <w:color w:val="000000" w:themeColor="text1"/>
          <w:szCs w:val="22"/>
        </w:rPr>
        <w:t>u</w:t>
      </w:r>
      <w:r w:rsidRPr="005C44A1">
        <w:rPr>
          <w:color w:val="000000" w:themeColor="text1"/>
          <w:szCs w:val="22"/>
        </w:rPr>
        <w:t xml:space="preserve"> dávkovania. Dávkovaním jedenkrát denne dochádza k podobnému zníženiu krvného tlaku ako pri dávkovaní dvakrát denne pri tej istej celkovej dennej dávke.</w:t>
      </w:r>
    </w:p>
    <w:p w14:paraId="7B1D4619" w14:textId="77777777" w:rsidR="00761E42" w:rsidRDefault="00761E42" w:rsidP="005C44A1">
      <w:pPr>
        <w:numPr>
          <w:ilvl w:val="12"/>
          <w:numId w:val="0"/>
        </w:numPr>
        <w:ind w:right="-2"/>
        <w:rPr>
          <w:szCs w:val="22"/>
        </w:rPr>
      </w:pPr>
    </w:p>
    <w:p w14:paraId="3B9326D2" w14:textId="77777777" w:rsidR="00025CA9" w:rsidRPr="005C44A1" w:rsidRDefault="00025CA9" w:rsidP="005C44A1">
      <w:pPr>
        <w:numPr>
          <w:ilvl w:val="12"/>
          <w:numId w:val="0"/>
        </w:numPr>
        <w:ind w:right="-2"/>
        <w:rPr>
          <w:szCs w:val="22"/>
        </w:rPr>
      </w:pPr>
      <w:r w:rsidRPr="005C44A1">
        <w:rPr>
          <w:szCs w:val="22"/>
        </w:rPr>
        <w:t xml:space="preserve">Pri kontinuálnej liečbe sa maximálny pokles krvného tlaku </w:t>
      </w:r>
      <w:r w:rsidR="00177F09" w:rsidRPr="005C44A1">
        <w:rPr>
          <w:szCs w:val="22"/>
        </w:rPr>
        <w:t>pozoruje</w:t>
      </w:r>
      <w:r w:rsidRPr="005C44A1">
        <w:rPr>
          <w:szCs w:val="22"/>
        </w:rPr>
        <w:t xml:space="preserve"> do 8 týždňov po začatí liečby, hoci významný pokles krvného tlaku sa pozoruje už po 2 týždňoch liečby.</w:t>
      </w:r>
    </w:p>
    <w:p w14:paraId="2D173095" w14:textId="77777777" w:rsidR="00761E42" w:rsidRDefault="00761E42" w:rsidP="005C44A1">
      <w:pPr>
        <w:numPr>
          <w:ilvl w:val="12"/>
          <w:numId w:val="0"/>
        </w:numPr>
        <w:ind w:right="-2"/>
        <w:rPr>
          <w:szCs w:val="22"/>
        </w:rPr>
      </w:pPr>
    </w:p>
    <w:p w14:paraId="3B9326D3" w14:textId="60C6309D" w:rsidR="00025CA9" w:rsidRPr="005C44A1" w:rsidRDefault="00025CA9" w:rsidP="005C44A1">
      <w:pPr>
        <w:numPr>
          <w:ilvl w:val="12"/>
          <w:numId w:val="0"/>
        </w:numPr>
        <w:ind w:right="-2"/>
        <w:rPr>
          <w:szCs w:val="22"/>
        </w:rPr>
      </w:pPr>
      <w:r w:rsidRPr="005C44A1">
        <w:rPr>
          <w:szCs w:val="22"/>
        </w:rPr>
        <w:t>Vplyv olmesart</w:t>
      </w:r>
      <w:r w:rsidR="00012EEA">
        <w:rPr>
          <w:szCs w:val="22"/>
        </w:rPr>
        <w:t>a</w:t>
      </w:r>
      <w:r w:rsidRPr="005C44A1">
        <w:rPr>
          <w:szCs w:val="22"/>
        </w:rPr>
        <w:t>nu</w:t>
      </w:r>
      <w:r w:rsidR="00177F09" w:rsidRPr="005C44A1">
        <w:rPr>
          <w:szCs w:val="22"/>
        </w:rPr>
        <w:t>-</w:t>
      </w:r>
      <w:r w:rsidRPr="005C44A1">
        <w:rPr>
          <w:szCs w:val="22"/>
        </w:rPr>
        <w:t xml:space="preserve">medoxomilu na mortalitu </w:t>
      </w:r>
      <w:r w:rsidR="005922BF" w:rsidRPr="005C44A1">
        <w:rPr>
          <w:szCs w:val="22"/>
        </w:rPr>
        <w:t xml:space="preserve">a morbiditu </w:t>
      </w:r>
      <w:r w:rsidRPr="005C44A1">
        <w:rPr>
          <w:szCs w:val="22"/>
        </w:rPr>
        <w:t xml:space="preserve">nie je </w:t>
      </w:r>
      <w:r w:rsidR="005922BF" w:rsidRPr="005C44A1">
        <w:rPr>
          <w:szCs w:val="22"/>
        </w:rPr>
        <w:t>zatiaľ</w:t>
      </w:r>
      <w:r w:rsidRPr="005C44A1">
        <w:rPr>
          <w:szCs w:val="22"/>
        </w:rPr>
        <w:t xml:space="preserve"> známy.</w:t>
      </w:r>
    </w:p>
    <w:p w14:paraId="6DAFA11D" w14:textId="77777777" w:rsidR="00761E42" w:rsidRDefault="00761E42" w:rsidP="005C44A1">
      <w:pPr>
        <w:numPr>
          <w:ilvl w:val="12"/>
          <w:numId w:val="0"/>
        </w:numPr>
        <w:ind w:right="-2"/>
        <w:rPr>
          <w:szCs w:val="22"/>
        </w:rPr>
      </w:pPr>
    </w:p>
    <w:p w14:paraId="3B9326D4" w14:textId="7F347F0E" w:rsidR="00025CA9" w:rsidRPr="005C44A1" w:rsidRDefault="00025CA9" w:rsidP="005C44A1">
      <w:pPr>
        <w:numPr>
          <w:ilvl w:val="12"/>
          <w:numId w:val="0"/>
        </w:numPr>
        <w:ind w:right="-2"/>
        <w:rPr>
          <w:szCs w:val="22"/>
        </w:rPr>
      </w:pPr>
      <w:r w:rsidRPr="005C44A1">
        <w:rPr>
          <w:szCs w:val="22"/>
        </w:rPr>
        <w:t>Randomizovaná štúdia prevencie diabetickej mikroalbuminúrie (Randomised Olmesartan and Diabetes Microalbuminuria Prevention, ROADMAP) so 4</w:t>
      </w:r>
      <w:r w:rsidR="005922BF" w:rsidRPr="005C44A1">
        <w:rPr>
          <w:szCs w:val="22"/>
        </w:rPr>
        <w:t xml:space="preserve"> </w:t>
      </w:r>
      <w:r w:rsidRPr="005C44A1">
        <w:rPr>
          <w:szCs w:val="22"/>
        </w:rPr>
        <w:t>447 pacientmi s</w:t>
      </w:r>
      <w:r w:rsidR="004D5C2E" w:rsidRPr="005C44A1">
        <w:rPr>
          <w:szCs w:val="22"/>
        </w:rPr>
        <w:t> </w:t>
      </w:r>
      <w:r w:rsidRPr="005C44A1">
        <w:rPr>
          <w:szCs w:val="22"/>
        </w:rPr>
        <w:t>diabetom</w:t>
      </w:r>
      <w:r w:rsidR="004D5C2E" w:rsidRPr="005C44A1">
        <w:rPr>
          <w:szCs w:val="22"/>
        </w:rPr>
        <w:t xml:space="preserve"> 2.</w:t>
      </w:r>
      <w:r w:rsidRPr="005C44A1">
        <w:rPr>
          <w:szCs w:val="22"/>
        </w:rPr>
        <w:t xml:space="preserve"> typu s normoalbuminúriou a najmenej jedným ďalším rizikovým faktorom pre vznik kardiovaskulárneho ochorenia skúmala, či liečba olmesart</w:t>
      </w:r>
      <w:r w:rsidR="00012EEA">
        <w:rPr>
          <w:szCs w:val="22"/>
        </w:rPr>
        <w:t>a</w:t>
      </w:r>
      <w:r w:rsidRPr="005C44A1">
        <w:rPr>
          <w:szCs w:val="22"/>
        </w:rPr>
        <w:t>nom môže oddialiť vznik</w:t>
      </w:r>
      <w:r w:rsidR="004D5C2E" w:rsidRPr="005C44A1">
        <w:rPr>
          <w:szCs w:val="22"/>
        </w:rPr>
        <w:t xml:space="preserve"> </w:t>
      </w:r>
      <w:r w:rsidRPr="005C44A1">
        <w:rPr>
          <w:szCs w:val="22"/>
        </w:rPr>
        <w:t xml:space="preserve">mikroalbuminúrie. Počas </w:t>
      </w:r>
      <w:r w:rsidR="00557B28" w:rsidRPr="005C44A1">
        <w:rPr>
          <w:szCs w:val="22"/>
        </w:rPr>
        <w:t>mediánu</w:t>
      </w:r>
      <w:r w:rsidR="004D5C2E" w:rsidRPr="005C44A1">
        <w:rPr>
          <w:szCs w:val="22"/>
        </w:rPr>
        <w:t xml:space="preserve"> sledovania </w:t>
      </w:r>
      <w:r w:rsidRPr="005C44A1">
        <w:rPr>
          <w:szCs w:val="22"/>
        </w:rPr>
        <w:t>3,2 rokov pacienti užívali olmesart</w:t>
      </w:r>
      <w:r w:rsidR="00FB79F0">
        <w:rPr>
          <w:szCs w:val="22"/>
        </w:rPr>
        <w:t>a</w:t>
      </w:r>
      <w:r w:rsidRPr="005C44A1">
        <w:rPr>
          <w:szCs w:val="22"/>
        </w:rPr>
        <w:t>n alebo placebo spolu s liekom proti hypertenzii</w:t>
      </w:r>
      <w:r w:rsidR="00C900EB" w:rsidRPr="005C44A1">
        <w:rPr>
          <w:szCs w:val="22"/>
        </w:rPr>
        <w:t>,</w:t>
      </w:r>
      <w:r w:rsidRPr="005C44A1">
        <w:rPr>
          <w:szCs w:val="22"/>
        </w:rPr>
        <w:t xml:space="preserve"> okrem ACE inhibítorov alebo blokátorov receptorov angiotenzínu.</w:t>
      </w:r>
    </w:p>
    <w:p w14:paraId="05C4BF56" w14:textId="77777777" w:rsidR="00761E42" w:rsidRDefault="00761E42" w:rsidP="005C44A1">
      <w:pPr>
        <w:numPr>
          <w:ilvl w:val="12"/>
          <w:numId w:val="0"/>
        </w:numPr>
        <w:ind w:right="-2"/>
        <w:rPr>
          <w:szCs w:val="22"/>
        </w:rPr>
      </w:pPr>
    </w:p>
    <w:p w14:paraId="3B9326D5" w14:textId="0F254191" w:rsidR="00025CA9" w:rsidRPr="005C44A1" w:rsidRDefault="00FA311D" w:rsidP="005C44A1">
      <w:pPr>
        <w:numPr>
          <w:ilvl w:val="12"/>
          <w:numId w:val="0"/>
        </w:numPr>
        <w:ind w:right="-2"/>
        <w:rPr>
          <w:szCs w:val="22"/>
        </w:rPr>
      </w:pPr>
      <w:r w:rsidRPr="005C44A1">
        <w:rPr>
          <w:szCs w:val="22"/>
        </w:rPr>
        <w:t>Pokiaľ ide o primárny cieľový ukazovateľ, š</w:t>
      </w:r>
      <w:r w:rsidR="00025CA9" w:rsidRPr="005C44A1">
        <w:rPr>
          <w:szCs w:val="22"/>
        </w:rPr>
        <w:t xml:space="preserve">túdia </w:t>
      </w:r>
      <w:r w:rsidR="00A03C79" w:rsidRPr="005C44A1">
        <w:rPr>
          <w:szCs w:val="22"/>
        </w:rPr>
        <w:t>pre</w:t>
      </w:r>
      <w:r w:rsidR="00025CA9" w:rsidRPr="005C44A1">
        <w:rPr>
          <w:szCs w:val="22"/>
        </w:rPr>
        <w:t xml:space="preserve">ukázala </w:t>
      </w:r>
      <w:r w:rsidR="00A03C79" w:rsidRPr="005C44A1">
        <w:rPr>
          <w:szCs w:val="22"/>
        </w:rPr>
        <w:t>významné</w:t>
      </w:r>
      <w:r w:rsidR="00025CA9" w:rsidRPr="005C44A1">
        <w:rPr>
          <w:szCs w:val="22"/>
        </w:rPr>
        <w:t xml:space="preserve"> zníženie rizika v čase </w:t>
      </w:r>
      <w:r w:rsidR="00A03C79" w:rsidRPr="005C44A1">
        <w:rPr>
          <w:szCs w:val="22"/>
        </w:rPr>
        <w:t xml:space="preserve">nástupu </w:t>
      </w:r>
      <w:r w:rsidR="00025CA9" w:rsidRPr="005C44A1">
        <w:rPr>
          <w:szCs w:val="22"/>
        </w:rPr>
        <w:t>mikroalbuminúrie v prospech olmesart</w:t>
      </w:r>
      <w:r w:rsidR="00FB79F0">
        <w:rPr>
          <w:szCs w:val="22"/>
        </w:rPr>
        <w:t>a</w:t>
      </w:r>
      <w:r w:rsidR="00025CA9" w:rsidRPr="005C44A1">
        <w:rPr>
          <w:szCs w:val="22"/>
        </w:rPr>
        <w:t>nu. Po úprave kvôli rozdielom v</w:t>
      </w:r>
      <w:r w:rsidR="00A03C79" w:rsidRPr="005C44A1">
        <w:rPr>
          <w:szCs w:val="22"/>
        </w:rPr>
        <w:t> krvnom tlaku</w:t>
      </w:r>
      <w:r w:rsidR="00025CA9" w:rsidRPr="005C44A1">
        <w:rPr>
          <w:szCs w:val="22"/>
        </w:rPr>
        <w:t xml:space="preserve"> toto zníženie rizika nebolo viac štatisticky významné. Mikroalbuminúria vznikla u 8,2 % pacientov v skupine s olmesart</w:t>
      </w:r>
      <w:r w:rsidR="00FB79F0">
        <w:rPr>
          <w:szCs w:val="22"/>
        </w:rPr>
        <w:t>a</w:t>
      </w:r>
      <w:r w:rsidR="00025CA9" w:rsidRPr="005C44A1">
        <w:rPr>
          <w:szCs w:val="22"/>
        </w:rPr>
        <w:t>nom (178 z 2160 pacientov) a u  9,8 % pacientov v skupine s placebom 210 z 2139 pacientov).</w:t>
      </w:r>
    </w:p>
    <w:p w14:paraId="3B9326D6" w14:textId="186A7C6B" w:rsidR="00025CA9" w:rsidRPr="005C44A1" w:rsidRDefault="0091649C" w:rsidP="005C44A1">
      <w:pPr>
        <w:numPr>
          <w:ilvl w:val="12"/>
          <w:numId w:val="0"/>
        </w:numPr>
        <w:ind w:right="-2"/>
        <w:rPr>
          <w:szCs w:val="22"/>
        </w:rPr>
      </w:pPr>
      <w:r w:rsidRPr="005C44A1">
        <w:rPr>
          <w:szCs w:val="22"/>
        </w:rPr>
        <w:t xml:space="preserve">Pokiaľ ide o </w:t>
      </w:r>
      <w:r w:rsidR="00025CA9" w:rsidRPr="005C44A1">
        <w:rPr>
          <w:szCs w:val="22"/>
        </w:rPr>
        <w:t>sekundárn</w:t>
      </w:r>
      <w:r w:rsidRPr="005C44A1">
        <w:rPr>
          <w:szCs w:val="22"/>
        </w:rPr>
        <w:t>e</w:t>
      </w:r>
      <w:r w:rsidR="00025CA9" w:rsidRPr="005C44A1">
        <w:rPr>
          <w:szCs w:val="22"/>
        </w:rPr>
        <w:t xml:space="preserve"> cieľov</w:t>
      </w:r>
      <w:r w:rsidRPr="005C44A1">
        <w:rPr>
          <w:szCs w:val="22"/>
        </w:rPr>
        <w:t>é</w:t>
      </w:r>
      <w:r w:rsidR="00025CA9" w:rsidRPr="005C44A1">
        <w:rPr>
          <w:szCs w:val="22"/>
        </w:rPr>
        <w:t xml:space="preserve"> ukazovate</w:t>
      </w:r>
      <w:r w:rsidRPr="005C44A1">
        <w:rPr>
          <w:szCs w:val="22"/>
        </w:rPr>
        <w:t>le</w:t>
      </w:r>
      <w:r w:rsidR="00025CA9" w:rsidRPr="005C44A1">
        <w:rPr>
          <w:szCs w:val="22"/>
        </w:rPr>
        <w:t>, kardiovaskulárne príhody vznikli u 96 pacientov (4,3 %) s olmesart</w:t>
      </w:r>
      <w:r w:rsidR="003A26ED">
        <w:rPr>
          <w:szCs w:val="22"/>
        </w:rPr>
        <w:t>a</w:t>
      </w:r>
      <w:r w:rsidR="00025CA9" w:rsidRPr="005C44A1">
        <w:rPr>
          <w:szCs w:val="22"/>
        </w:rPr>
        <w:t>nom a u 94 pacientov (4,2 %) s placebom. Incidencia kardiovaskulárnej mortality bola vyššia s olmesart</w:t>
      </w:r>
      <w:r w:rsidR="003A26ED">
        <w:rPr>
          <w:szCs w:val="22"/>
        </w:rPr>
        <w:t>a</w:t>
      </w:r>
      <w:r w:rsidR="00025CA9" w:rsidRPr="005C44A1">
        <w:rPr>
          <w:szCs w:val="22"/>
        </w:rPr>
        <w:t>nom v porovnaní s placebom (15 pacientov (0,7</w:t>
      </w:r>
      <w:r w:rsidR="00F272A3">
        <w:rPr>
          <w:szCs w:val="22"/>
        </w:rPr>
        <w:t> </w:t>
      </w:r>
      <w:r w:rsidR="00025CA9" w:rsidRPr="005C44A1">
        <w:rPr>
          <w:szCs w:val="22"/>
        </w:rPr>
        <w:t xml:space="preserve">%) vs 3 pacienti (0,1 %)), </w:t>
      </w:r>
      <w:r w:rsidR="008620EA" w:rsidRPr="005C44A1">
        <w:rPr>
          <w:szCs w:val="22"/>
        </w:rPr>
        <w:t xml:space="preserve">a to aj </w:t>
      </w:r>
      <w:r w:rsidR="00025CA9" w:rsidRPr="005C44A1">
        <w:rPr>
          <w:szCs w:val="22"/>
        </w:rPr>
        <w:t>napriek podobnému pomeru n</w:t>
      </w:r>
      <w:r w:rsidR="005900D2" w:rsidRPr="005C44A1">
        <w:rPr>
          <w:szCs w:val="22"/>
        </w:rPr>
        <w:t>e</w:t>
      </w:r>
      <w:r w:rsidR="00025CA9" w:rsidRPr="005C44A1">
        <w:rPr>
          <w:szCs w:val="22"/>
        </w:rPr>
        <w:t xml:space="preserve">fatálnych </w:t>
      </w:r>
      <w:r w:rsidR="005900D2" w:rsidRPr="005C44A1">
        <w:rPr>
          <w:szCs w:val="22"/>
        </w:rPr>
        <w:t xml:space="preserve">cievnych </w:t>
      </w:r>
      <w:r w:rsidR="00025CA9" w:rsidRPr="005C44A1">
        <w:rPr>
          <w:szCs w:val="22"/>
        </w:rPr>
        <w:t xml:space="preserve">mozgových príhod (14 pacientov (0,6 %) vs 8 pacientov (0,4 %)), </w:t>
      </w:r>
      <w:r w:rsidR="005900D2" w:rsidRPr="005C44A1">
        <w:rPr>
          <w:szCs w:val="22"/>
        </w:rPr>
        <w:t>ne</w:t>
      </w:r>
      <w:r w:rsidR="00025CA9" w:rsidRPr="005C44A1">
        <w:rPr>
          <w:szCs w:val="22"/>
        </w:rPr>
        <w:t xml:space="preserve">fatálnych infarktov myokardu (17 pacientov (0,8 %) vs 26 pacientov (1,2 %)) a </w:t>
      </w:r>
      <w:r w:rsidR="005900D2" w:rsidRPr="005C44A1">
        <w:rPr>
          <w:szCs w:val="22"/>
        </w:rPr>
        <w:t>ne</w:t>
      </w:r>
      <w:r w:rsidR="00025CA9" w:rsidRPr="005C44A1">
        <w:rPr>
          <w:szCs w:val="22"/>
        </w:rPr>
        <w:t>kardiovaskulárnej mortality (11 pacientov (0,5 %) vs 12 pacientov (0,5 %)). Celková mortalita s olmesart</w:t>
      </w:r>
      <w:r w:rsidR="003A26ED">
        <w:rPr>
          <w:szCs w:val="22"/>
        </w:rPr>
        <w:t>a</w:t>
      </w:r>
      <w:r w:rsidR="00025CA9" w:rsidRPr="005C44A1">
        <w:rPr>
          <w:szCs w:val="22"/>
        </w:rPr>
        <w:t xml:space="preserve">nom bola numericky zvýšená (26 pacientov (1,2 %) vs 15 pacientov (0,7 %)), čo bolo </w:t>
      </w:r>
      <w:r w:rsidR="00DA0740" w:rsidRPr="005C44A1">
        <w:rPr>
          <w:szCs w:val="22"/>
        </w:rPr>
        <w:t xml:space="preserve">spôsobené </w:t>
      </w:r>
      <w:r w:rsidR="007618BC" w:rsidRPr="005C44A1">
        <w:rPr>
          <w:szCs w:val="22"/>
        </w:rPr>
        <w:t xml:space="preserve">najmä </w:t>
      </w:r>
      <w:r w:rsidR="00025CA9" w:rsidRPr="005C44A1">
        <w:rPr>
          <w:szCs w:val="22"/>
        </w:rPr>
        <w:t>vyšším počtom kardiovaskulárnych príhod</w:t>
      </w:r>
      <w:r w:rsidR="007618BC" w:rsidRPr="005C44A1">
        <w:rPr>
          <w:szCs w:val="22"/>
        </w:rPr>
        <w:t xml:space="preserve"> s následkom smrti</w:t>
      </w:r>
      <w:r w:rsidR="00025CA9" w:rsidRPr="005C44A1">
        <w:rPr>
          <w:szCs w:val="22"/>
        </w:rPr>
        <w:t>.</w:t>
      </w:r>
    </w:p>
    <w:p w14:paraId="3B9326D7" w14:textId="77777777" w:rsidR="007618BC" w:rsidRPr="005C44A1" w:rsidRDefault="007618BC" w:rsidP="005C44A1">
      <w:pPr>
        <w:numPr>
          <w:ilvl w:val="12"/>
          <w:numId w:val="0"/>
        </w:numPr>
        <w:ind w:right="-2"/>
        <w:rPr>
          <w:szCs w:val="22"/>
        </w:rPr>
      </w:pPr>
    </w:p>
    <w:p w14:paraId="3B9326D8" w14:textId="551C2952" w:rsidR="00025CA9" w:rsidRPr="005C44A1" w:rsidRDefault="00025CA9" w:rsidP="005C44A1">
      <w:pPr>
        <w:numPr>
          <w:ilvl w:val="12"/>
          <w:numId w:val="0"/>
        </w:numPr>
        <w:ind w:right="-2"/>
        <w:rPr>
          <w:szCs w:val="22"/>
        </w:rPr>
      </w:pPr>
      <w:r w:rsidRPr="005C44A1">
        <w:rPr>
          <w:szCs w:val="22"/>
        </w:rPr>
        <w:t>Štúdia vplyvu olmesart</w:t>
      </w:r>
      <w:r w:rsidR="004D1542">
        <w:rPr>
          <w:szCs w:val="22"/>
        </w:rPr>
        <w:t>a</w:t>
      </w:r>
      <w:r w:rsidRPr="005C44A1">
        <w:rPr>
          <w:szCs w:val="22"/>
        </w:rPr>
        <w:t>nu na zníženie incidencie koncového štádia ochorenia obličiek pri diabetickej nefropatii (Olmesartan Reducing Incidence of End-stage Renal Disease in Diabetic Nephropathy Trial, ORIENT) skúmala účinok olmesart</w:t>
      </w:r>
      <w:r w:rsidR="00605940">
        <w:rPr>
          <w:szCs w:val="22"/>
        </w:rPr>
        <w:t>a</w:t>
      </w:r>
      <w:r w:rsidRPr="005C44A1">
        <w:rPr>
          <w:szCs w:val="22"/>
        </w:rPr>
        <w:t>nu na renálne a kardiovaskulárne ukazovatele u 577 randomizovaných</w:t>
      </w:r>
      <w:r w:rsidR="00D54E2A" w:rsidRPr="005C44A1">
        <w:rPr>
          <w:szCs w:val="22"/>
        </w:rPr>
        <w:t>,</w:t>
      </w:r>
      <w:r w:rsidRPr="005C44A1">
        <w:rPr>
          <w:szCs w:val="22"/>
        </w:rPr>
        <w:t xml:space="preserve"> japonských a čínskych pacientov s diabetom </w:t>
      </w:r>
      <w:r w:rsidR="00D54E2A" w:rsidRPr="005C44A1">
        <w:rPr>
          <w:szCs w:val="22"/>
        </w:rPr>
        <w:t xml:space="preserve">2. </w:t>
      </w:r>
      <w:r w:rsidRPr="005C44A1">
        <w:rPr>
          <w:szCs w:val="22"/>
        </w:rPr>
        <w:t>typu so zjavnou nefropatiou. Počas mediánu sledovania 3,1 roka pacienti užívali olmesart</w:t>
      </w:r>
      <w:r w:rsidR="00E9581A">
        <w:rPr>
          <w:szCs w:val="22"/>
        </w:rPr>
        <w:t>a</w:t>
      </w:r>
      <w:r w:rsidRPr="005C44A1">
        <w:rPr>
          <w:szCs w:val="22"/>
        </w:rPr>
        <w:t>n alebo placebo spolu s</w:t>
      </w:r>
      <w:r w:rsidR="00D54E2A" w:rsidRPr="005C44A1">
        <w:rPr>
          <w:szCs w:val="22"/>
        </w:rPr>
        <w:t> </w:t>
      </w:r>
      <w:r w:rsidRPr="005C44A1">
        <w:rPr>
          <w:szCs w:val="22"/>
        </w:rPr>
        <w:t>antihypertenzívami</w:t>
      </w:r>
      <w:r w:rsidR="00D54E2A" w:rsidRPr="005C44A1">
        <w:rPr>
          <w:szCs w:val="22"/>
        </w:rPr>
        <w:t xml:space="preserve">, </w:t>
      </w:r>
      <w:r w:rsidRPr="005C44A1">
        <w:rPr>
          <w:szCs w:val="22"/>
        </w:rPr>
        <w:t>vrátane ACE inhibítorov.</w:t>
      </w:r>
    </w:p>
    <w:p w14:paraId="3B9326D9" w14:textId="77777777" w:rsidR="00B931D1" w:rsidRPr="005C44A1" w:rsidRDefault="00B931D1" w:rsidP="005C44A1">
      <w:pPr>
        <w:numPr>
          <w:ilvl w:val="12"/>
          <w:numId w:val="0"/>
        </w:numPr>
        <w:ind w:right="-2"/>
        <w:rPr>
          <w:szCs w:val="22"/>
        </w:rPr>
      </w:pPr>
    </w:p>
    <w:p w14:paraId="3B9326DA" w14:textId="5B446EE3" w:rsidR="00025CA9" w:rsidRPr="005C44A1" w:rsidRDefault="00025CA9" w:rsidP="005C44A1">
      <w:pPr>
        <w:numPr>
          <w:ilvl w:val="12"/>
          <w:numId w:val="0"/>
        </w:numPr>
        <w:ind w:right="-2"/>
        <w:rPr>
          <w:szCs w:val="22"/>
        </w:rPr>
      </w:pPr>
      <w:r w:rsidRPr="005C44A1">
        <w:rPr>
          <w:szCs w:val="22"/>
        </w:rPr>
        <w:t xml:space="preserve">Primárny kompozitný cieľový ukazovateľ (čas do prvého </w:t>
      </w:r>
      <w:r w:rsidR="00B931D1" w:rsidRPr="005C44A1">
        <w:rPr>
          <w:szCs w:val="22"/>
        </w:rPr>
        <w:t xml:space="preserve">prípadu </w:t>
      </w:r>
      <w:r w:rsidRPr="005C44A1">
        <w:rPr>
          <w:szCs w:val="22"/>
        </w:rPr>
        <w:t xml:space="preserve">zdvojnásobenia </w:t>
      </w:r>
      <w:r w:rsidR="00B931D1" w:rsidRPr="005C44A1">
        <w:rPr>
          <w:szCs w:val="22"/>
        </w:rPr>
        <w:t>h</w:t>
      </w:r>
      <w:r w:rsidR="00EC0BF2">
        <w:rPr>
          <w:szCs w:val="22"/>
        </w:rPr>
        <w:t>ladin</w:t>
      </w:r>
      <w:r w:rsidR="00B931D1" w:rsidRPr="005C44A1">
        <w:rPr>
          <w:szCs w:val="22"/>
        </w:rPr>
        <w:t>y</w:t>
      </w:r>
      <w:r w:rsidRPr="005C44A1">
        <w:rPr>
          <w:szCs w:val="22"/>
        </w:rPr>
        <w:t xml:space="preserve"> sérového kreatinínu, koncové</w:t>
      </w:r>
      <w:r w:rsidR="00563E13" w:rsidRPr="005C44A1">
        <w:rPr>
          <w:szCs w:val="22"/>
        </w:rPr>
        <w:t>ho</w:t>
      </w:r>
      <w:r w:rsidRPr="005C44A1">
        <w:rPr>
          <w:szCs w:val="22"/>
        </w:rPr>
        <w:t xml:space="preserve"> štádi</w:t>
      </w:r>
      <w:r w:rsidR="00563E13" w:rsidRPr="005C44A1">
        <w:rPr>
          <w:szCs w:val="22"/>
        </w:rPr>
        <w:t>a renálneho</w:t>
      </w:r>
      <w:r w:rsidRPr="005C44A1">
        <w:rPr>
          <w:szCs w:val="22"/>
        </w:rPr>
        <w:t xml:space="preserve"> ochorenia, </w:t>
      </w:r>
      <w:r w:rsidR="00563E13" w:rsidRPr="005C44A1">
        <w:rPr>
          <w:szCs w:val="22"/>
        </w:rPr>
        <w:t>úmrtie</w:t>
      </w:r>
      <w:r w:rsidRPr="005C44A1">
        <w:rPr>
          <w:szCs w:val="22"/>
        </w:rPr>
        <w:t xml:space="preserve"> zo všetkých príčin) sa vyskytol u 116 pacientov v skupine s olmesart</w:t>
      </w:r>
      <w:r w:rsidR="00E9581A">
        <w:rPr>
          <w:szCs w:val="22"/>
        </w:rPr>
        <w:t>a</w:t>
      </w:r>
      <w:r w:rsidRPr="005C44A1">
        <w:rPr>
          <w:szCs w:val="22"/>
        </w:rPr>
        <w:t>nom (41,1 %) a 129 pacientov v skupine s placebom (45,4 %) (HR 0,97 (95 % I</w:t>
      </w:r>
      <w:r w:rsidR="00563E13" w:rsidRPr="005C44A1">
        <w:rPr>
          <w:szCs w:val="22"/>
        </w:rPr>
        <w:t>S</w:t>
      </w:r>
      <w:r w:rsidRPr="005C44A1">
        <w:rPr>
          <w:szCs w:val="22"/>
        </w:rPr>
        <w:t xml:space="preserve"> 0,75 – 1,24); p= 0,791). Sekundárny kompozitný kardiovaskulárny cieľový ukazovateľ sa vyskytol u 40 pacientov liečených olmesart</w:t>
      </w:r>
      <w:r w:rsidR="00482965">
        <w:rPr>
          <w:szCs w:val="22"/>
        </w:rPr>
        <w:t>a</w:t>
      </w:r>
      <w:r w:rsidRPr="005C44A1">
        <w:rPr>
          <w:szCs w:val="22"/>
        </w:rPr>
        <w:t xml:space="preserve">nom (14,2 %) a 53 pacientov s placebom (18,7 %). Tento kompozitný kardiovaskulárny cieľový ukazovateľ </w:t>
      </w:r>
      <w:r w:rsidR="008D6901" w:rsidRPr="005C44A1">
        <w:rPr>
          <w:szCs w:val="22"/>
        </w:rPr>
        <w:t>zahŕňal úmrtie</w:t>
      </w:r>
      <w:r w:rsidRPr="005C44A1">
        <w:rPr>
          <w:szCs w:val="22"/>
        </w:rPr>
        <w:t xml:space="preserve"> z kardiovaskulárnych príčin</w:t>
      </w:r>
      <w:r w:rsidR="00EC1D55">
        <w:rPr>
          <w:szCs w:val="22"/>
        </w:rPr>
        <w:t>,</w:t>
      </w:r>
      <w:r w:rsidRPr="005C44A1">
        <w:rPr>
          <w:szCs w:val="22"/>
        </w:rPr>
        <w:t xml:space="preserve"> bol u 10 (3,5 %) pacientov užívajúcich olmesart</w:t>
      </w:r>
      <w:r w:rsidR="00482965">
        <w:rPr>
          <w:szCs w:val="22"/>
        </w:rPr>
        <w:t>a</w:t>
      </w:r>
      <w:r w:rsidR="009F55E1" w:rsidRPr="005C44A1">
        <w:rPr>
          <w:szCs w:val="22"/>
        </w:rPr>
        <w:t>n vs 3 (1,1 %</w:t>
      </w:r>
      <w:r w:rsidRPr="005C44A1">
        <w:rPr>
          <w:szCs w:val="22"/>
        </w:rPr>
        <w:t>) užívajúcich placebo, celková mortalita 19 (6,7 %) pacientov užívajúcich olmesart</w:t>
      </w:r>
      <w:r w:rsidR="00482965">
        <w:rPr>
          <w:szCs w:val="22"/>
        </w:rPr>
        <w:t>a</w:t>
      </w:r>
      <w:r w:rsidRPr="005C44A1">
        <w:rPr>
          <w:szCs w:val="22"/>
        </w:rPr>
        <w:t>n vs 20 (7,0 %) užívajúcich placebo, n</w:t>
      </w:r>
      <w:r w:rsidR="009F55E1" w:rsidRPr="005C44A1">
        <w:rPr>
          <w:szCs w:val="22"/>
        </w:rPr>
        <w:t>e</w:t>
      </w:r>
      <w:r w:rsidRPr="005C44A1">
        <w:rPr>
          <w:szCs w:val="22"/>
        </w:rPr>
        <w:t xml:space="preserve">fatálna </w:t>
      </w:r>
      <w:r w:rsidR="009F55E1" w:rsidRPr="005C44A1">
        <w:rPr>
          <w:szCs w:val="22"/>
        </w:rPr>
        <w:t xml:space="preserve">cievna </w:t>
      </w:r>
      <w:r w:rsidRPr="005C44A1">
        <w:rPr>
          <w:szCs w:val="22"/>
        </w:rPr>
        <w:t>mozgová príhoda 8 (2,8 %) pacientov užívajúcich olmesart</w:t>
      </w:r>
      <w:r w:rsidR="00482965">
        <w:rPr>
          <w:szCs w:val="22"/>
        </w:rPr>
        <w:t>a</w:t>
      </w:r>
      <w:r w:rsidRPr="005C44A1">
        <w:rPr>
          <w:szCs w:val="22"/>
        </w:rPr>
        <w:t>n vs 11 (3,9 %) užívajúcich placebo a n</w:t>
      </w:r>
      <w:r w:rsidR="00951266" w:rsidRPr="005C44A1">
        <w:rPr>
          <w:szCs w:val="22"/>
        </w:rPr>
        <w:t>e</w:t>
      </w:r>
      <w:r w:rsidRPr="005C44A1">
        <w:rPr>
          <w:szCs w:val="22"/>
        </w:rPr>
        <w:t>fatálny infarkt myokardu 3 (1,1 %) pacientov užívajúcich olmesart</w:t>
      </w:r>
      <w:r w:rsidR="00482965">
        <w:rPr>
          <w:szCs w:val="22"/>
        </w:rPr>
        <w:t>a</w:t>
      </w:r>
      <w:r w:rsidRPr="005C44A1">
        <w:rPr>
          <w:szCs w:val="22"/>
        </w:rPr>
        <w:t>n vs 7 (2,5 %) užívajúcich placebo.</w:t>
      </w:r>
    </w:p>
    <w:p w14:paraId="3B9326DB" w14:textId="77777777" w:rsidR="00C32012" w:rsidRPr="005C44A1" w:rsidRDefault="00C32012" w:rsidP="005C44A1">
      <w:pPr>
        <w:numPr>
          <w:ilvl w:val="12"/>
          <w:numId w:val="0"/>
        </w:numPr>
        <w:ind w:right="-2"/>
        <w:rPr>
          <w:szCs w:val="22"/>
          <w:u w:val="single"/>
        </w:rPr>
      </w:pPr>
    </w:p>
    <w:p w14:paraId="3B9326DC" w14:textId="77777777" w:rsidR="00025CA9" w:rsidRDefault="00025CA9" w:rsidP="005C44A1">
      <w:pPr>
        <w:numPr>
          <w:ilvl w:val="12"/>
          <w:numId w:val="0"/>
        </w:numPr>
        <w:ind w:right="-2"/>
        <w:rPr>
          <w:szCs w:val="22"/>
        </w:rPr>
      </w:pPr>
      <w:r w:rsidRPr="005C44A1">
        <w:rPr>
          <w:szCs w:val="22"/>
          <w:u w:val="single"/>
        </w:rPr>
        <w:t xml:space="preserve">Amlodipín </w:t>
      </w:r>
      <w:r w:rsidRPr="005C44A1">
        <w:rPr>
          <w:szCs w:val="22"/>
        </w:rPr>
        <w:t>(</w:t>
      </w:r>
      <w:r w:rsidR="00C32012" w:rsidRPr="005C44A1">
        <w:rPr>
          <w:szCs w:val="22"/>
          <w:u w:val="single"/>
        </w:rPr>
        <w:t>liečivo Reverantzy</w:t>
      </w:r>
      <w:r w:rsidRPr="005C44A1">
        <w:rPr>
          <w:szCs w:val="22"/>
        </w:rPr>
        <w:t>)</w:t>
      </w:r>
    </w:p>
    <w:p w14:paraId="184A4DAC" w14:textId="77777777" w:rsidR="00EC0BF2" w:rsidRPr="005C44A1" w:rsidRDefault="00EC0BF2" w:rsidP="005C44A1">
      <w:pPr>
        <w:numPr>
          <w:ilvl w:val="12"/>
          <w:numId w:val="0"/>
        </w:numPr>
        <w:ind w:right="-2"/>
        <w:rPr>
          <w:szCs w:val="22"/>
        </w:rPr>
      </w:pPr>
    </w:p>
    <w:p w14:paraId="3B9326DD" w14:textId="22878BF3" w:rsidR="00025CA9" w:rsidRPr="005C44A1" w:rsidRDefault="00025CA9" w:rsidP="005C44A1">
      <w:pPr>
        <w:numPr>
          <w:ilvl w:val="12"/>
          <w:numId w:val="0"/>
        </w:numPr>
        <w:ind w:right="-2"/>
        <w:rPr>
          <w:szCs w:val="22"/>
        </w:rPr>
      </w:pPr>
      <w:r w:rsidRPr="005C44A1">
        <w:rPr>
          <w:szCs w:val="22"/>
        </w:rPr>
        <w:lastRenderedPageBreak/>
        <w:t>Amlodipín</w:t>
      </w:r>
      <w:r w:rsidR="00E62EE6" w:rsidRPr="005C44A1">
        <w:rPr>
          <w:szCs w:val="22"/>
        </w:rPr>
        <w:t>ová zložka</w:t>
      </w:r>
      <w:r w:rsidR="00C32012" w:rsidRPr="005C44A1">
        <w:rPr>
          <w:szCs w:val="22"/>
        </w:rPr>
        <w:t xml:space="preserve"> Reverantzy</w:t>
      </w:r>
      <w:r w:rsidRPr="005C44A1">
        <w:rPr>
          <w:szCs w:val="22"/>
        </w:rPr>
        <w:t xml:space="preserve"> je blokátorom kalciových kanálov, ktorý inhibuje transmembránový vstup kalciových iónov cez potenciálovo závislé kanály L-typu do srdca a hladkého sval</w:t>
      </w:r>
      <w:r w:rsidR="00E10C3D" w:rsidRPr="005C44A1">
        <w:rPr>
          <w:szCs w:val="22"/>
        </w:rPr>
        <w:t>stva</w:t>
      </w:r>
      <w:r w:rsidRPr="005C44A1">
        <w:rPr>
          <w:szCs w:val="22"/>
        </w:rPr>
        <w:t>.</w:t>
      </w:r>
    </w:p>
    <w:p w14:paraId="3B9326DE" w14:textId="4510A7B1" w:rsidR="00025CA9" w:rsidRDefault="00025CA9" w:rsidP="005C44A1">
      <w:pPr>
        <w:numPr>
          <w:ilvl w:val="12"/>
          <w:numId w:val="0"/>
        </w:numPr>
        <w:ind w:right="-2"/>
        <w:rPr>
          <w:szCs w:val="22"/>
        </w:rPr>
      </w:pPr>
      <w:r w:rsidRPr="005C44A1">
        <w:rPr>
          <w:szCs w:val="22"/>
        </w:rPr>
        <w:t xml:space="preserve">Experimentálne údaje naznačujú, že amlodipín sa viaže na </w:t>
      </w:r>
      <w:r w:rsidR="00E10C3D" w:rsidRPr="005C44A1">
        <w:rPr>
          <w:szCs w:val="22"/>
        </w:rPr>
        <w:t xml:space="preserve">väzobné miesta </w:t>
      </w:r>
      <w:r w:rsidRPr="005C44A1">
        <w:rPr>
          <w:szCs w:val="22"/>
        </w:rPr>
        <w:t>dihydropyridín</w:t>
      </w:r>
      <w:r w:rsidR="00E10C3D" w:rsidRPr="005C44A1">
        <w:rPr>
          <w:szCs w:val="22"/>
        </w:rPr>
        <w:t xml:space="preserve">u </w:t>
      </w:r>
      <w:r w:rsidRPr="005C44A1">
        <w:rPr>
          <w:szCs w:val="22"/>
        </w:rPr>
        <w:t>aj nedihydropyridín</w:t>
      </w:r>
      <w:r w:rsidR="00E10C3D" w:rsidRPr="005C44A1">
        <w:rPr>
          <w:szCs w:val="22"/>
        </w:rPr>
        <w:t>u</w:t>
      </w:r>
      <w:r w:rsidRPr="005C44A1">
        <w:rPr>
          <w:szCs w:val="22"/>
        </w:rPr>
        <w:t>. Amlodipín voči cievam vykazuje relatívnu selektivitu s väčším účinkom na bunky hladkého svalstva ciev ako na bunky srdc</w:t>
      </w:r>
      <w:r w:rsidR="004773CC" w:rsidRPr="005C44A1">
        <w:rPr>
          <w:szCs w:val="22"/>
        </w:rPr>
        <w:t>ového svalu</w:t>
      </w:r>
      <w:r w:rsidRPr="005C44A1">
        <w:rPr>
          <w:szCs w:val="22"/>
        </w:rPr>
        <w:t>. Antihypertenzný účinok amlodipínu pochádza z priameho relaxačného účinku na hladké svalstvo artérií, čo vedie k zníženiu periférnej rezistencie</w:t>
      </w:r>
      <w:r w:rsidR="004773CC" w:rsidRPr="005C44A1">
        <w:rPr>
          <w:szCs w:val="22"/>
        </w:rPr>
        <w:t>,</w:t>
      </w:r>
      <w:r w:rsidRPr="005C44A1">
        <w:rPr>
          <w:szCs w:val="22"/>
        </w:rPr>
        <w:t xml:space="preserve"> a tým k zníženiu krvného tlaku.</w:t>
      </w:r>
    </w:p>
    <w:p w14:paraId="75927BF3" w14:textId="77777777" w:rsidR="00EC0BF2" w:rsidRPr="005C44A1" w:rsidRDefault="00EC0BF2" w:rsidP="005C44A1">
      <w:pPr>
        <w:numPr>
          <w:ilvl w:val="12"/>
          <w:numId w:val="0"/>
        </w:numPr>
        <w:ind w:right="-2"/>
        <w:rPr>
          <w:szCs w:val="22"/>
        </w:rPr>
      </w:pPr>
    </w:p>
    <w:p w14:paraId="3B9326DF" w14:textId="77777777" w:rsidR="00025CA9" w:rsidRDefault="00025CA9" w:rsidP="005C44A1">
      <w:pPr>
        <w:numPr>
          <w:ilvl w:val="12"/>
          <w:numId w:val="0"/>
        </w:numPr>
        <w:ind w:right="-2"/>
        <w:rPr>
          <w:szCs w:val="22"/>
        </w:rPr>
      </w:pPr>
      <w:r w:rsidRPr="005C44A1">
        <w:rPr>
          <w:szCs w:val="22"/>
        </w:rPr>
        <w:t>U pacientov s hypertenziou vyvoláva amlodipín v závislosti od dávky dlho</w:t>
      </w:r>
      <w:r w:rsidR="005353EB" w:rsidRPr="005C44A1">
        <w:rPr>
          <w:szCs w:val="22"/>
        </w:rPr>
        <w:t>dobé</w:t>
      </w:r>
      <w:r w:rsidRPr="005C44A1">
        <w:rPr>
          <w:szCs w:val="22"/>
        </w:rPr>
        <w:t xml:space="preserve"> zníženie </w:t>
      </w:r>
      <w:r w:rsidR="005353EB" w:rsidRPr="005C44A1">
        <w:rPr>
          <w:szCs w:val="22"/>
        </w:rPr>
        <w:t xml:space="preserve">arteriálneho </w:t>
      </w:r>
      <w:r w:rsidRPr="005C44A1">
        <w:rPr>
          <w:szCs w:val="22"/>
        </w:rPr>
        <w:t xml:space="preserve">krvného tlaku. </w:t>
      </w:r>
      <w:r w:rsidR="005353EB" w:rsidRPr="005C44A1">
        <w:rPr>
          <w:szCs w:val="22"/>
        </w:rPr>
        <w:t>Neexistujú dôkazy</w:t>
      </w:r>
      <w:r w:rsidR="00FB0F64" w:rsidRPr="005C44A1">
        <w:rPr>
          <w:szCs w:val="22"/>
        </w:rPr>
        <w:t xml:space="preserve"> o</w:t>
      </w:r>
      <w:r w:rsidRPr="005C44A1">
        <w:rPr>
          <w:szCs w:val="22"/>
        </w:rPr>
        <w:t xml:space="preserve"> hypotenzii po prvej dávke, tachyfylaxii počas dlhodobej liečby alebo </w:t>
      </w:r>
      <w:r w:rsidR="00FB0F64" w:rsidRPr="005C44A1">
        <w:rPr>
          <w:szCs w:val="22"/>
        </w:rPr>
        <w:t>o</w:t>
      </w:r>
      <w:r w:rsidRPr="005C44A1">
        <w:rPr>
          <w:szCs w:val="22"/>
        </w:rPr>
        <w:t xml:space="preserve"> prudk</w:t>
      </w:r>
      <w:r w:rsidR="00FB0F64" w:rsidRPr="005C44A1">
        <w:rPr>
          <w:szCs w:val="22"/>
        </w:rPr>
        <w:t>om</w:t>
      </w:r>
      <w:r w:rsidRPr="005C44A1">
        <w:rPr>
          <w:szCs w:val="22"/>
        </w:rPr>
        <w:t xml:space="preserve"> vzostup</w:t>
      </w:r>
      <w:r w:rsidR="00FB0F64" w:rsidRPr="005C44A1">
        <w:rPr>
          <w:szCs w:val="22"/>
        </w:rPr>
        <w:t>e</w:t>
      </w:r>
      <w:r w:rsidRPr="005C44A1">
        <w:rPr>
          <w:szCs w:val="22"/>
        </w:rPr>
        <w:t xml:space="preserve"> krvného tlaku (rebound fenomén) po náhlom </w:t>
      </w:r>
      <w:r w:rsidR="00FB0F64" w:rsidRPr="005C44A1">
        <w:rPr>
          <w:szCs w:val="22"/>
        </w:rPr>
        <w:t>ukončení</w:t>
      </w:r>
      <w:r w:rsidRPr="005C44A1">
        <w:rPr>
          <w:szCs w:val="22"/>
        </w:rPr>
        <w:t xml:space="preserve"> liečby.</w:t>
      </w:r>
    </w:p>
    <w:p w14:paraId="0FAA0986" w14:textId="77777777" w:rsidR="00EC0BF2" w:rsidRPr="005C44A1" w:rsidRDefault="00EC0BF2" w:rsidP="005C44A1">
      <w:pPr>
        <w:numPr>
          <w:ilvl w:val="12"/>
          <w:numId w:val="0"/>
        </w:numPr>
        <w:ind w:right="-2"/>
        <w:rPr>
          <w:szCs w:val="22"/>
        </w:rPr>
      </w:pPr>
    </w:p>
    <w:p w14:paraId="3B9326E0" w14:textId="4A8FD0F9" w:rsidR="00025CA9" w:rsidRDefault="00025CA9" w:rsidP="005C44A1">
      <w:pPr>
        <w:numPr>
          <w:ilvl w:val="12"/>
          <w:numId w:val="0"/>
        </w:numPr>
        <w:ind w:right="-2"/>
        <w:rPr>
          <w:szCs w:val="22"/>
        </w:rPr>
      </w:pPr>
      <w:r w:rsidRPr="005C44A1">
        <w:rPr>
          <w:szCs w:val="22"/>
        </w:rPr>
        <w:t xml:space="preserve">Po podaní terapeutických dávok pacientom s hypertenziou amlodipín účinne znižuje krvný tlak v polohe v ľahu, sede </w:t>
      </w:r>
      <w:r w:rsidR="005222DF" w:rsidRPr="005C44A1">
        <w:rPr>
          <w:szCs w:val="22"/>
        </w:rPr>
        <w:t>a</w:t>
      </w:r>
      <w:r w:rsidRPr="005C44A1">
        <w:rPr>
          <w:szCs w:val="22"/>
        </w:rPr>
        <w:t xml:space="preserve"> v stoji. Dlhodobé užívanie amlodipínu nesúvisí s významnými zmenami srdcovej frekvencie alebo </w:t>
      </w:r>
      <w:r w:rsidR="00E541CB" w:rsidRPr="005C44A1">
        <w:rPr>
          <w:szCs w:val="22"/>
        </w:rPr>
        <w:t xml:space="preserve">plazmatických </w:t>
      </w:r>
      <w:r w:rsidRPr="005C44A1">
        <w:rPr>
          <w:szCs w:val="22"/>
        </w:rPr>
        <w:t>hladín katecholamínov. U</w:t>
      </w:r>
      <w:r w:rsidR="00A82754">
        <w:rPr>
          <w:szCs w:val="22"/>
        </w:rPr>
        <w:t xml:space="preserve"> pacientov s hypertenziou a </w:t>
      </w:r>
      <w:r w:rsidRPr="005C44A1">
        <w:rPr>
          <w:szCs w:val="22"/>
        </w:rPr>
        <w:t xml:space="preserve">normálnou </w:t>
      </w:r>
      <w:r w:rsidR="00E541CB" w:rsidRPr="005C44A1">
        <w:rPr>
          <w:szCs w:val="22"/>
        </w:rPr>
        <w:t xml:space="preserve">renálnou </w:t>
      </w:r>
      <w:r w:rsidRPr="005C44A1">
        <w:rPr>
          <w:szCs w:val="22"/>
        </w:rPr>
        <w:t xml:space="preserve">funkciou terapeutické dávky amlodipínu znižujú </w:t>
      </w:r>
      <w:r w:rsidR="00436347" w:rsidRPr="005C44A1">
        <w:rPr>
          <w:szCs w:val="22"/>
        </w:rPr>
        <w:t xml:space="preserve">renálnu </w:t>
      </w:r>
      <w:r w:rsidRPr="005C44A1">
        <w:rPr>
          <w:szCs w:val="22"/>
        </w:rPr>
        <w:t>vaskulárnu rezistenciu a zvyšujú rýchlosť glomerulárnej filtrácie a efektívny prietok plazmy obličkami bez zmeny filtračnej frakcie alebo proteinúrie.</w:t>
      </w:r>
    </w:p>
    <w:p w14:paraId="093C110E" w14:textId="77777777" w:rsidR="00EC0BF2" w:rsidRPr="005C44A1" w:rsidRDefault="00EC0BF2" w:rsidP="005C44A1">
      <w:pPr>
        <w:numPr>
          <w:ilvl w:val="12"/>
          <w:numId w:val="0"/>
        </w:numPr>
        <w:ind w:right="-2"/>
        <w:rPr>
          <w:szCs w:val="22"/>
        </w:rPr>
      </w:pPr>
    </w:p>
    <w:p w14:paraId="3B9326E1" w14:textId="3070C118" w:rsidR="00025CA9" w:rsidRPr="005C44A1" w:rsidRDefault="00025CA9" w:rsidP="005C44A1">
      <w:pPr>
        <w:numPr>
          <w:ilvl w:val="12"/>
          <w:numId w:val="0"/>
        </w:numPr>
        <w:ind w:right="-2"/>
        <w:rPr>
          <w:szCs w:val="22"/>
        </w:rPr>
      </w:pPr>
      <w:r w:rsidRPr="005C44A1">
        <w:rPr>
          <w:szCs w:val="22"/>
        </w:rPr>
        <w:t xml:space="preserve">V hemodynamických </w:t>
      </w:r>
      <w:r w:rsidR="00F75041" w:rsidRPr="005C44A1">
        <w:rPr>
          <w:szCs w:val="22"/>
        </w:rPr>
        <w:t>štúdiách</w:t>
      </w:r>
      <w:r w:rsidRPr="005C44A1">
        <w:rPr>
          <w:szCs w:val="22"/>
        </w:rPr>
        <w:t xml:space="preserve"> u pacientov so zlyh</w:t>
      </w:r>
      <w:r w:rsidR="00BF71D7">
        <w:rPr>
          <w:szCs w:val="22"/>
        </w:rPr>
        <w:t>áv</w:t>
      </w:r>
      <w:r w:rsidRPr="005C44A1">
        <w:rPr>
          <w:szCs w:val="22"/>
        </w:rPr>
        <w:t>aním</w:t>
      </w:r>
      <w:r w:rsidR="003219D1">
        <w:rPr>
          <w:szCs w:val="22"/>
        </w:rPr>
        <w:t xml:space="preserve"> srdca</w:t>
      </w:r>
      <w:r w:rsidRPr="005C44A1">
        <w:rPr>
          <w:szCs w:val="22"/>
        </w:rPr>
        <w:t xml:space="preserve"> a v klinických </w:t>
      </w:r>
      <w:r w:rsidR="00F75041" w:rsidRPr="005C44A1">
        <w:rPr>
          <w:szCs w:val="22"/>
        </w:rPr>
        <w:t>štúdiách založených na</w:t>
      </w:r>
      <w:r w:rsidRPr="005C44A1">
        <w:rPr>
          <w:szCs w:val="22"/>
        </w:rPr>
        <w:t xml:space="preserve"> záťažových testo</w:t>
      </w:r>
      <w:r w:rsidR="00F75041" w:rsidRPr="005C44A1">
        <w:rPr>
          <w:szCs w:val="22"/>
        </w:rPr>
        <w:t>ch</w:t>
      </w:r>
      <w:r w:rsidRPr="005C44A1">
        <w:rPr>
          <w:szCs w:val="22"/>
        </w:rPr>
        <w:t xml:space="preserve"> u pacientov so zlyh</w:t>
      </w:r>
      <w:r w:rsidR="00BF71D7">
        <w:rPr>
          <w:szCs w:val="22"/>
        </w:rPr>
        <w:t>áv</w:t>
      </w:r>
      <w:r w:rsidRPr="005C44A1">
        <w:rPr>
          <w:szCs w:val="22"/>
        </w:rPr>
        <w:t>aním</w:t>
      </w:r>
      <w:r w:rsidR="003219D1">
        <w:rPr>
          <w:szCs w:val="22"/>
        </w:rPr>
        <w:t xml:space="preserve"> srdca</w:t>
      </w:r>
      <w:r w:rsidRPr="005C44A1">
        <w:rPr>
          <w:szCs w:val="22"/>
        </w:rPr>
        <w:t xml:space="preserve"> </w:t>
      </w:r>
      <w:r w:rsidR="00F75041" w:rsidRPr="005C44A1">
        <w:rPr>
          <w:szCs w:val="22"/>
        </w:rPr>
        <w:t>triedy</w:t>
      </w:r>
      <w:r w:rsidRPr="005C44A1">
        <w:rPr>
          <w:szCs w:val="22"/>
        </w:rPr>
        <w:t xml:space="preserve"> NYHA II-IV sa preukázalo, že amlodipín </w:t>
      </w:r>
      <w:r w:rsidR="004773A0" w:rsidRPr="005C44A1">
        <w:rPr>
          <w:szCs w:val="22"/>
        </w:rPr>
        <w:t>nespôsobuje žiadne klinické zhoršenie merané podľa tolerancie záťaže, ejekčnej frakcie ľavej komory a klinických prejavov a príznakov</w:t>
      </w:r>
      <w:r w:rsidRPr="005C44A1">
        <w:rPr>
          <w:szCs w:val="22"/>
        </w:rPr>
        <w:t>.</w:t>
      </w:r>
    </w:p>
    <w:p w14:paraId="3B9326E2" w14:textId="77777777" w:rsidR="00CC000B" w:rsidRPr="005C44A1" w:rsidRDefault="00CC000B" w:rsidP="005C44A1">
      <w:pPr>
        <w:numPr>
          <w:ilvl w:val="12"/>
          <w:numId w:val="0"/>
        </w:numPr>
        <w:ind w:right="-2"/>
        <w:rPr>
          <w:szCs w:val="22"/>
        </w:rPr>
      </w:pPr>
    </w:p>
    <w:p w14:paraId="3B9326E3" w14:textId="268238D5" w:rsidR="00025CA9" w:rsidRPr="005C44A1" w:rsidRDefault="00025CA9" w:rsidP="005C44A1">
      <w:pPr>
        <w:numPr>
          <w:ilvl w:val="12"/>
          <w:numId w:val="0"/>
        </w:numPr>
        <w:ind w:right="-2"/>
        <w:rPr>
          <w:szCs w:val="22"/>
        </w:rPr>
      </w:pPr>
      <w:r w:rsidRPr="005C44A1">
        <w:rPr>
          <w:szCs w:val="22"/>
        </w:rPr>
        <w:t xml:space="preserve">Placebom kontrolovaná štúdia (PRAISE) </w:t>
      </w:r>
      <w:r w:rsidR="00094399" w:rsidRPr="005C44A1">
        <w:rPr>
          <w:szCs w:val="22"/>
        </w:rPr>
        <w:t>zameraná</w:t>
      </w:r>
      <w:r w:rsidRPr="005C44A1">
        <w:rPr>
          <w:szCs w:val="22"/>
        </w:rPr>
        <w:t xml:space="preserve"> na hodnotenie pacientov so  zlyh</w:t>
      </w:r>
      <w:r w:rsidR="00DF3F9E">
        <w:rPr>
          <w:szCs w:val="22"/>
        </w:rPr>
        <w:t>áv</w:t>
      </w:r>
      <w:r w:rsidRPr="005C44A1">
        <w:rPr>
          <w:szCs w:val="22"/>
        </w:rPr>
        <w:t xml:space="preserve">aním </w:t>
      </w:r>
      <w:r w:rsidR="003219D1">
        <w:rPr>
          <w:szCs w:val="22"/>
        </w:rPr>
        <w:t xml:space="preserve">srdca </w:t>
      </w:r>
      <w:r w:rsidRPr="005C44A1">
        <w:rPr>
          <w:szCs w:val="22"/>
        </w:rPr>
        <w:t>triedy NYHA III-IV užívajúcich digoxín, diuretiká a</w:t>
      </w:r>
      <w:r w:rsidR="00066B7A" w:rsidRPr="005C44A1">
        <w:rPr>
          <w:szCs w:val="22"/>
        </w:rPr>
        <w:t xml:space="preserve"> ACE </w:t>
      </w:r>
      <w:r w:rsidRPr="005C44A1">
        <w:rPr>
          <w:szCs w:val="22"/>
        </w:rPr>
        <w:t>inhibítory</w:t>
      </w:r>
      <w:r w:rsidR="00066B7A" w:rsidRPr="005C44A1">
        <w:rPr>
          <w:szCs w:val="22"/>
        </w:rPr>
        <w:t xml:space="preserve"> pre</w:t>
      </w:r>
      <w:r w:rsidRPr="005C44A1">
        <w:rPr>
          <w:szCs w:val="22"/>
        </w:rPr>
        <w:t>ukázala, že podávanie amlodipínu nezvyšuje riziko úmrtia alebo kombinovan</w:t>
      </w:r>
      <w:r w:rsidR="00CC000B" w:rsidRPr="005C44A1">
        <w:rPr>
          <w:szCs w:val="22"/>
        </w:rPr>
        <w:t>ej</w:t>
      </w:r>
      <w:r w:rsidRPr="005C44A1">
        <w:rPr>
          <w:szCs w:val="22"/>
        </w:rPr>
        <w:t xml:space="preserve"> mortality a morbidity u pacientov so  zlyh</w:t>
      </w:r>
      <w:r w:rsidR="002A01A2">
        <w:rPr>
          <w:szCs w:val="22"/>
        </w:rPr>
        <w:t>áv</w:t>
      </w:r>
      <w:r w:rsidRPr="005C44A1">
        <w:rPr>
          <w:szCs w:val="22"/>
        </w:rPr>
        <w:t>aním</w:t>
      </w:r>
      <w:r w:rsidR="003219D1">
        <w:rPr>
          <w:szCs w:val="22"/>
        </w:rPr>
        <w:t xml:space="preserve"> srdca</w:t>
      </w:r>
      <w:r w:rsidRPr="005C44A1">
        <w:rPr>
          <w:szCs w:val="22"/>
        </w:rPr>
        <w:t>.</w:t>
      </w:r>
    </w:p>
    <w:p w14:paraId="3B9326E4" w14:textId="77777777" w:rsidR="004F04A6" w:rsidRPr="005C44A1" w:rsidRDefault="004F04A6" w:rsidP="005C44A1">
      <w:pPr>
        <w:numPr>
          <w:ilvl w:val="12"/>
          <w:numId w:val="0"/>
        </w:numPr>
        <w:ind w:right="-2"/>
        <w:rPr>
          <w:szCs w:val="22"/>
        </w:rPr>
      </w:pPr>
    </w:p>
    <w:p w14:paraId="3B9326E5" w14:textId="3C2DB508" w:rsidR="00025CA9" w:rsidRPr="005C44A1" w:rsidRDefault="00025CA9" w:rsidP="005C44A1">
      <w:pPr>
        <w:numPr>
          <w:ilvl w:val="12"/>
          <w:numId w:val="0"/>
        </w:numPr>
        <w:ind w:right="-2"/>
        <w:rPr>
          <w:szCs w:val="22"/>
        </w:rPr>
      </w:pPr>
      <w:r w:rsidRPr="005C44A1">
        <w:rPr>
          <w:szCs w:val="22"/>
        </w:rPr>
        <w:t>V</w:t>
      </w:r>
      <w:r w:rsidR="003B292C" w:rsidRPr="005C44A1">
        <w:rPr>
          <w:szCs w:val="22"/>
        </w:rPr>
        <w:t> n</w:t>
      </w:r>
      <w:r w:rsidR="003219D1">
        <w:rPr>
          <w:szCs w:val="22"/>
        </w:rPr>
        <w:t>adväzujúc</w:t>
      </w:r>
      <w:r w:rsidR="003B292C" w:rsidRPr="005C44A1">
        <w:rPr>
          <w:szCs w:val="22"/>
        </w:rPr>
        <w:t>ej</w:t>
      </w:r>
      <w:r w:rsidRPr="005C44A1">
        <w:rPr>
          <w:szCs w:val="22"/>
        </w:rPr>
        <w:t xml:space="preserve"> dlhodobej, placebom kontrolovanej štúdii (PRAISE-2) sa ukázalo, že amlodipín nemal vplyv na celkovú alebo kardiovaskulárnu mortalitu u pacientov so zlyh</w:t>
      </w:r>
      <w:r w:rsidR="002A01A2">
        <w:rPr>
          <w:szCs w:val="22"/>
        </w:rPr>
        <w:t>áv</w:t>
      </w:r>
      <w:r w:rsidRPr="005C44A1">
        <w:rPr>
          <w:szCs w:val="22"/>
        </w:rPr>
        <w:t>aním</w:t>
      </w:r>
      <w:r w:rsidR="003219D1">
        <w:rPr>
          <w:szCs w:val="22"/>
        </w:rPr>
        <w:t xml:space="preserve"> srdca</w:t>
      </w:r>
      <w:r w:rsidRPr="005C44A1">
        <w:rPr>
          <w:szCs w:val="22"/>
        </w:rPr>
        <w:t xml:space="preserve"> </w:t>
      </w:r>
      <w:r w:rsidR="009E1B65" w:rsidRPr="005C44A1">
        <w:rPr>
          <w:szCs w:val="22"/>
        </w:rPr>
        <w:t>triedy</w:t>
      </w:r>
      <w:r w:rsidRPr="005C44A1">
        <w:rPr>
          <w:szCs w:val="22"/>
        </w:rPr>
        <w:t xml:space="preserve"> NYHA III-IV bez klinických symptómov alebo objektívnych nálezov naznačujúcich prebiehajúce ischemické ochorenie na stabilných dávkach ACE inhibítorov, digitálisu a diuretík. V </w:t>
      </w:r>
      <w:r w:rsidR="00370884" w:rsidRPr="005C44A1">
        <w:rPr>
          <w:szCs w:val="22"/>
        </w:rPr>
        <w:t>rovnakej</w:t>
      </w:r>
      <w:r w:rsidRPr="005C44A1">
        <w:rPr>
          <w:szCs w:val="22"/>
        </w:rPr>
        <w:t xml:space="preserve"> populácii bola liečba amlodipínom spojená s vyšším výskytom pľúcneho edému</w:t>
      </w:r>
      <w:r w:rsidR="00370884" w:rsidRPr="005C44A1">
        <w:rPr>
          <w:szCs w:val="22"/>
        </w:rPr>
        <w:t xml:space="preserve"> aj</w:t>
      </w:r>
      <w:r w:rsidRPr="005C44A1">
        <w:rPr>
          <w:szCs w:val="22"/>
        </w:rPr>
        <w:t xml:space="preserve"> napriek ne</w:t>
      </w:r>
      <w:r w:rsidR="00370884" w:rsidRPr="005C44A1">
        <w:rPr>
          <w:szCs w:val="22"/>
        </w:rPr>
        <w:t xml:space="preserve">významnému </w:t>
      </w:r>
      <w:r w:rsidRPr="005C44A1">
        <w:rPr>
          <w:szCs w:val="22"/>
        </w:rPr>
        <w:t>rozdielu v</w:t>
      </w:r>
      <w:r w:rsidR="00370884" w:rsidRPr="005C44A1">
        <w:rPr>
          <w:szCs w:val="22"/>
        </w:rPr>
        <w:t>o výskyte</w:t>
      </w:r>
      <w:r w:rsidRPr="005C44A1">
        <w:rPr>
          <w:szCs w:val="22"/>
        </w:rPr>
        <w:t xml:space="preserve"> zhoršenia zlyh</w:t>
      </w:r>
      <w:r w:rsidR="00361C1A">
        <w:rPr>
          <w:szCs w:val="22"/>
        </w:rPr>
        <w:t>áv</w:t>
      </w:r>
      <w:r w:rsidRPr="005C44A1">
        <w:rPr>
          <w:szCs w:val="22"/>
        </w:rPr>
        <w:t xml:space="preserve">ania </w:t>
      </w:r>
      <w:r w:rsidR="003219D1">
        <w:rPr>
          <w:szCs w:val="22"/>
        </w:rPr>
        <w:t xml:space="preserve">srdca </w:t>
      </w:r>
      <w:r w:rsidRPr="005C44A1">
        <w:rPr>
          <w:szCs w:val="22"/>
        </w:rPr>
        <w:t>v porovnaní s placebom.</w:t>
      </w:r>
    </w:p>
    <w:p w14:paraId="3B9326E6" w14:textId="77777777" w:rsidR="00C16658" w:rsidRPr="005C44A1" w:rsidRDefault="00C16658" w:rsidP="005C44A1">
      <w:pPr>
        <w:numPr>
          <w:ilvl w:val="12"/>
          <w:numId w:val="0"/>
        </w:numPr>
        <w:ind w:right="-2"/>
        <w:rPr>
          <w:szCs w:val="22"/>
        </w:rPr>
      </w:pPr>
    </w:p>
    <w:p w14:paraId="3B9326E7" w14:textId="77777777" w:rsidR="00025CA9" w:rsidRPr="005C44A1" w:rsidRDefault="00025CA9" w:rsidP="005C44A1">
      <w:pPr>
        <w:numPr>
          <w:ilvl w:val="12"/>
          <w:numId w:val="0"/>
        </w:numPr>
        <w:ind w:right="-2"/>
        <w:rPr>
          <w:szCs w:val="22"/>
        </w:rPr>
      </w:pPr>
      <w:r w:rsidRPr="005C44A1">
        <w:rPr>
          <w:szCs w:val="22"/>
        </w:rPr>
        <w:t>Štúdia liečby na prevenciu infarktu (ALLHAT)</w:t>
      </w:r>
    </w:p>
    <w:p w14:paraId="3B9326E9" w14:textId="4086B851" w:rsidR="00025CA9" w:rsidRPr="005C44A1" w:rsidRDefault="00025CA9" w:rsidP="005C44A1">
      <w:pPr>
        <w:numPr>
          <w:ilvl w:val="12"/>
          <w:numId w:val="0"/>
        </w:numPr>
        <w:ind w:right="-2"/>
        <w:rPr>
          <w:szCs w:val="22"/>
        </w:rPr>
      </w:pPr>
      <w:r w:rsidRPr="005C44A1">
        <w:rPr>
          <w:szCs w:val="22"/>
        </w:rPr>
        <w:t>Randomizovaná</w:t>
      </w:r>
      <w:r w:rsidR="00C16658" w:rsidRPr="005C44A1">
        <w:rPr>
          <w:szCs w:val="22"/>
        </w:rPr>
        <w:t>,</w:t>
      </w:r>
      <w:r w:rsidRPr="005C44A1">
        <w:rPr>
          <w:szCs w:val="22"/>
        </w:rPr>
        <w:t xml:space="preserve"> dvojito zaslepená štúdia morbidity-mortality </w:t>
      </w:r>
      <w:r w:rsidR="0050024C" w:rsidRPr="005C44A1">
        <w:rPr>
          <w:szCs w:val="22"/>
        </w:rPr>
        <w:t>s názvom</w:t>
      </w:r>
      <w:r w:rsidRPr="005C44A1">
        <w:rPr>
          <w:szCs w:val="22"/>
        </w:rPr>
        <w:t xml:space="preserve"> Štúdia antihypertenznej a hypolipidemickej liečby na prevenciu srdcového infarktu (Antihypertensive and Lipid-Lowering Treatment to Prevent Heart Attack Trial, ALLHAT) porovnávala nové liekové terapie: amlodipín</w:t>
      </w:r>
      <w:r w:rsidR="00BB24A7">
        <w:rPr>
          <w:szCs w:val="22"/>
        </w:rPr>
        <w:t xml:space="preserve"> </w:t>
      </w:r>
      <w:r w:rsidRPr="005C44A1">
        <w:rPr>
          <w:szCs w:val="22"/>
        </w:rPr>
        <w:t>2,5–10</w:t>
      </w:r>
      <w:r w:rsidR="00BB24A7">
        <w:rPr>
          <w:szCs w:val="22"/>
        </w:rPr>
        <w:t> </w:t>
      </w:r>
      <w:r w:rsidRPr="005C44A1">
        <w:rPr>
          <w:szCs w:val="22"/>
        </w:rPr>
        <w:t>mg/deň (blokátor kalciových kanálov) alebo lizinopril 10–40</w:t>
      </w:r>
      <w:r w:rsidR="00713225">
        <w:rPr>
          <w:szCs w:val="22"/>
        </w:rPr>
        <w:t> </w:t>
      </w:r>
      <w:r w:rsidRPr="005C44A1">
        <w:rPr>
          <w:szCs w:val="22"/>
        </w:rPr>
        <w:t>mg/deň (ACE inhibítor) ako</w:t>
      </w:r>
      <w:r w:rsidR="00274850" w:rsidRPr="005C44A1">
        <w:rPr>
          <w:szCs w:val="22"/>
        </w:rPr>
        <w:t xml:space="preserve"> prvolíniová liečba </w:t>
      </w:r>
      <w:r w:rsidRPr="005C44A1">
        <w:rPr>
          <w:szCs w:val="22"/>
        </w:rPr>
        <w:t>spolu s tiazidovým diuretik</w:t>
      </w:r>
      <w:r w:rsidR="00A356CA" w:rsidRPr="005C44A1">
        <w:rPr>
          <w:szCs w:val="22"/>
        </w:rPr>
        <w:t>om</w:t>
      </w:r>
      <w:r w:rsidRPr="005C44A1">
        <w:rPr>
          <w:szCs w:val="22"/>
        </w:rPr>
        <w:t>, chl</w:t>
      </w:r>
      <w:r w:rsidR="003219D1">
        <w:rPr>
          <w:szCs w:val="22"/>
        </w:rPr>
        <w:t>ó</w:t>
      </w:r>
      <w:r w:rsidRPr="005C44A1">
        <w:rPr>
          <w:szCs w:val="22"/>
        </w:rPr>
        <w:t>rtalidónom 12,5–25</w:t>
      </w:r>
      <w:r w:rsidR="00713225">
        <w:rPr>
          <w:szCs w:val="22"/>
        </w:rPr>
        <w:t> </w:t>
      </w:r>
      <w:r w:rsidRPr="005C44A1">
        <w:rPr>
          <w:szCs w:val="22"/>
        </w:rPr>
        <w:t xml:space="preserve">mg/deň pri </w:t>
      </w:r>
      <w:r w:rsidR="00A356CA" w:rsidRPr="005C44A1">
        <w:rPr>
          <w:szCs w:val="22"/>
        </w:rPr>
        <w:t xml:space="preserve">miernej až </w:t>
      </w:r>
      <w:r w:rsidRPr="005C44A1">
        <w:rPr>
          <w:szCs w:val="22"/>
        </w:rPr>
        <w:t>stredne ťažkej hypertenzii.</w:t>
      </w:r>
    </w:p>
    <w:p w14:paraId="3B9326EA" w14:textId="0046757D" w:rsidR="00025CA9" w:rsidRPr="005C44A1" w:rsidRDefault="00820FE8" w:rsidP="005C44A1">
      <w:pPr>
        <w:numPr>
          <w:ilvl w:val="12"/>
          <w:numId w:val="0"/>
        </w:numPr>
        <w:ind w:right="-2"/>
        <w:rPr>
          <w:szCs w:val="22"/>
        </w:rPr>
      </w:pPr>
      <w:r w:rsidRPr="005C44A1">
        <w:rPr>
          <w:szCs w:val="22"/>
        </w:rPr>
        <w:t xml:space="preserve">Celkovo bolo randomizovaných </w:t>
      </w:r>
      <w:r w:rsidR="00025CA9" w:rsidRPr="005C44A1">
        <w:rPr>
          <w:szCs w:val="22"/>
        </w:rPr>
        <w:t>33</w:t>
      </w:r>
      <w:r w:rsidR="00713225">
        <w:rPr>
          <w:szCs w:val="22"/>
        </w:rPr>
        <w:t> </w:t>
      </w:r>
      <w:r w:rsidR="00025CA9" w:rsidRPr="005C44A1">
        <w:rPr>
          <w:szCs w:val="22"/>
        </w:rPr>
        <w:t>357 pacientov s hypertenziou vo veku 55 a</w:t>
      </w:r>
      <w:r w:rsidRPr="005C44A1">
        <w:rPr>
          <w:szCs w:val="22"/>
        </w:rPr>
        <w:t xml:space="preserve"> starších </w:t>
      </w:r>
      <w:r w:rsidR="00025CA9" w:rsidRPr="005C44A1">
        <w:rPr>
          <w:szCs w:val="22"/>
        </w:rPr>
        <w:t xml:space="preserve">a sledovaných v priemere 4,9 roka. Pacienti mali najmenej jeden ďalší rizikový faktor pre </w:t>
      </w:r>
      <w:r w:rsidR="008314E4" w:rsidRPr="005C44A1">
        <w:rPr>
          <w:szCs w:val="22"/>
        </w:rPr>
        <w:t>ischemickú chorobu srdca (ICHS)</w:t>
      </w:r>
      <w:r w:rsidR="00151450" w:rsidRPr="005C44A1">
        <w:rPr>
          <w:szCs w:val="22"/>
        </w:rPr>
        <w:t>,</w:t>
      </w:r>
      <w:r w:rsidR="00025CA9" w:rsidRPr="005C44A1">
        <w:rPr>
          <w:szCs w:val="22"/>
        </w:rPr>
        <w:t xml:space="preserve"> vrátane predchádzajúceho infarktu myokardu alebo mozgovej príhody (</w:t>
      </w:r>
      <w:r w:rsidR="00151450" w:rsidRPr="005C44A1">
        <w:rPr>
          <w:szCs w:val="22"/>
        </w:rPr>
        <w:t xml:space="preserve">&gt; </w:t>
      </w:r>
      <w:r w:rsidR="00025CA9" w:rsidRPr="005C44A1">
        <w:rPr>
          <w:szCs w:val="22"/>
        </w:rPr>
        <w:t>6 mesiacov pred zaradením</w:t>
      </w:r>
      <w:r w:rsidR="00151450" w:rsidRPr="005C44A1">
        <w:rPr>
          <w:szCs w:val="22"/>
        </w:rPr>
        <w:t xml:space="preserve"> do štúdie</w:t>
      </w:r>
      <w:r w:rsidR="00025CA9" w:rsidRPr="005C44A1">
        <w:rPr>
          <w:szCs w:val="22"/>
        </w:rPr>
        <w:t xml:space="preserve">) alebo diagnostikované iné aterosklerotické kardiovaskulárne ochorenie (51,5 %), diabetes mellitus </w:t>
      </w:r>
      <w:r w:rsidR="00225CEF" w:rsidRPr="005C44A1">
        <w:rPr>
          <w:szCs w:val="22"/>
        </w:rPr>
        <w:t xml:space="preserve">2. </w:t>
      </w:r>
      <w:r w:rsidR="00025CA9" w:rsidRPr="005C44A1">
        <w:rPr>
          <w:szCs w:val="22"/>
        </w:rPr>
        <w:t>typu (36,1 %), HDL</w:t>
      </w:r>
      <w:r w:rsidR="006817BD" w:rsidRPr="00D06C93">
        <w:rPr>
          <w:spacing w:val="-1"/>
        </w:rPr>
        <w:t>-</w:t>
      </w:r>
      <w:r w:rsidR="00025CA9" w:rsidRPr="005C44A1">
        <w:rPr>
          <w:szCs w:val="22"/>
        </w:rPr>
        <w:t xml:space="preserve">C &lt; 35 mg/dl (11,6 %), hypertrofiu ľavej komory diagnostikovanú EKG alebo echokardiografiou (20,9 %), </w:t>
      </w:r>
      <w:r w:rsidR="00DC45D0" w:rsidRPr="005C44A1">
        <w:rPr>
          <w:szCs w:val="22"/>
        </w:rPr>
        <w:t xml:space="preserve">súčasné </w:t>
      </w:r>
      <w:r w:rsidR="00025CA9" w:rsidRPr="005C44A1">
        <w:rPr>
          <w:szCs w:val="22"/>
        </w:rPr>
        <w:t>fajčenie</w:t>
      </w:r>
      <w:r w:rsidR="00DC45D0" w:rsidRPr="005C44A1">
        <w:rPr>
          <w:szCs w:val="22"/>
        </w:rPr>
        <w:t xml:space="preserve"> cigariet</w:t>
      </w:r>
      <w:r w:rsidR="00025CA9" w:rsidRPr="005C44A1">
        <w:rPr>
          <w:szCs w:val="22"/>
        </w:rPr>
        <w:t xml:space="preserve"> (21,9 %).</w:t>
      </w:r>
    </w:p>
    <w:p w14:paraId="3B9326EC" w14:textId="42B7DE57" w:rsidR="004F5C06" w:rsidRPr="005C44A1" w:rsidRDefault="00025CA9" w:rsidP="005C44A1">
      <w:pPr>
        <w:numPr>
          <w:ilvl w:val="12"/>
          <w:numId w:val="0"/>
        </w:numPr>
        <w:ind w:right="-2"/>
        <w:rPr>
          <w:szCs w:val="22"/>
        </w:rPr>
      </w:pPr>
      <w:r w:rsidRPr="005C44A1">
        <w:rPr>
          <w:szCs w:val="22"/>
        </w:rPr>
        <w:t>Primárny cieľový ukazovateľ bol</w:t>
      </w:r>
      <w:r w:rsidR="00C238E5" w:rsidRPr="005C44A1">
        <w:rPr>
          <w:szCs w:val="22"/>
        </w:rPr>
        <w:t xml:space="preserve"> kombináciou</w:t>
      </w:r>
      <w:r w:rsidRPr="005C44A1">
        <w:rPr>
          <w:szCs w:val="22"/>
        </w:rPr>
        <w:t xml:space="preserve"> </w:t>
      </w:r>
      <w:r w:rsidR="00C55E8C" w:rsidRPr="005C44A1">
        <w:rPr>
          <w:szCs w:val="22"/>
        </w:rPr>
        <w:t xml:space="preserve">ICHS s následkom smrti </w:t>
      </w:r>
      <w:r w:rsidRPr="005C44A1">
        <w:rPr>
          <w:szCs w:val="22"/>
        </w:rPr>
        <w:t>alebo nefatáln</w:t>
      </w:r>
      <w:r w:rsidR="00C238E5" w:rsidRPr="005C44A1">
        <w:rPr>
          <w:szCs w:val="22"/>
        </w:rPr>
        <w:t>eho</w:t>
      </w:r>
      <w:r w:rsidRPr="005C44A1">
        <w:rPr>
          <w:szCs w:val="22"/>
        </w:rPr>
        <w:t xml:space="preserve"> infarkt</w:t>
      </w:r>
      <w:r w:rsidR="00C238E5" w:rsidRPr="005C44A1">
        <w:rPr>
          <w:szCs w:val="22"/>
        </w:rPr>
        <w:t>u</w:t>
      </w:r>
      <w:r w:rsidRPr="005C44A1">
        <w:rPr>
          <w:szCs w:val="22"/>
        </w:rPr>
        <w:t xml:space="preserve"> myokardu. </w:t>
      </w:r>
      <w:r w:rsidR="00C238E5" w:rsidRPr="005C44A1">
        <w:rPr>
          <w:szCs w:val="22"/>
        </w:rPr>
        <w:t>Medzi liečbou založenou na amlodipíne a liečbou na báze chl</w:t>
      </w:r>
      <w:r w:rsidR="003219D1">
        <w:rPr>
          <w:szCs w:val="22"/>
        </w:rPr>
        <w:t>ó</w:t>
      </w:r>
      <w:r w:rsidR="00C238E5" w:rsidRPr="005C44A1">
        <w:rPr>
          <w:szCs w:val="22"/>
        </w:rPr>
        <w:t>rtalidónu nebol významný rozdiel v primárnom koncovom ukazovateli:</w:t>
      </w:r>
      <w:r w:rsidRPr="005C44A1">
        <w:rPr>
          <w:szCs w:val="22"/>
        </w:rPr>
        <w:t xml:space="preserve"> RR 0,98</w:t>
      </w:r>
      <w:r w:rsidR="006817BD">
        <w:rPr>
          <w:szCs w:val="22"/>
        </w:rPr>
        <w:t>;</w:t>
      </w:r>
      <w:r w:rsidRPr="005C44A1">
        <w:rPr>
          <w:szCs w:val="22"/>
        </w:rPr>
        <w:t xml:space="preserve"> 95</w:t>
      </w:r>
      <w:r w:rsidR="002E77CD">
        <w:rPr>
          <w:szCs w:val="22"/>
        </w:rPr>
        <w:t> </w:t>
      </w:r>
      <w:r w:rsidRPr="005C44A1">
        <w:rPr>
          <w:szCs w:val="22"/>
        </w:rPr>
        <w:t>% I</w:t>
      </w:r>
      <w:r w:rsidR="00C238E5" w:rsidRPr="005C44A1">
        <w:rPr>
          <w:szCs w:val="22"/>
        </w:rPr>
        <w:t>S</w:t>
      </w:r>
      <w:r w:rsidRPr="005C44A1">
        <w:rPr>
          <w:szCs w:val="22"/>
        </w:rPr>
        <w:t xml:space="preserve"> </w:t>
      </w:r>
      <w:r w:rsidR="001F1143" w:rsidRPr="005C44A1">
        <w:rPr>
          <w:szCs w:val="22"/>
        </w:rPr>
        <w:t>(0,90–</w:t>
      </w:r>
      <w:r w:rsidRPr="005C44A1">
        <w:rPr>
          <w:szCs w:val="22"/>
        </w:rPr>
        <w:t>1,07), p=0,65. Spomedzi sekundárnych cieľových ukazovateľov bol výskyt zlyh</w:t>
      </w:r>
      <w:r w:rsidR="00B01F91">
        <w:rPr>
          <w:szCs w:val="22"/>
        </w:rPr>
        <w:t>áv</w:t>
      </w:r>
      <w:r w:rsidRPr="005C44A1">
        <w:rPr>
          <w:szCs w:val="22"/>
        </w:rPr>
        <w:t xml:space="preserve">ania </w:t>
      </w:r>
      <w:r w:rsidR="003219D1">
        <w:rPr>
          <w:szCs w:val="22"/>
        </w:rPr>
        <w:t xml:space="preserve">srdca </w:t>
      </w:r>
      <w:r w:rsidRPr="005C44A1">
        <w:rPr>
          <w:szCs w:val="22"/>
        </w:rPr>
        <w:t xml:space="preserve">(komponentu zloženého kombinovaného kardiovaskulárneho cieľového ukazovateľa) </w:t>
      </w:r>
      <w:r w:rsidR="00A36EAE" w:rsidRPr="005C44A1">
        <w:rPr>
          <w:szCs w:val="22"/>
        </w:rPr>
        <w:t xml:space="preserve">významne vyšší </w:t>
      </w:r>
      <w:r w:rsidRPr="005C44A1">
        <w:rPr>
          <w:szCs w:val="22"/>
        </w:rPr>
        <w:t>v skupine s amlodipínom v porovnaní s</w:t>
      </w:r>
      <w:r w:rsidR="00A36EAE" w:rsidRPr="005C44A1">
        <w:rPr>
          <w:szCs w:val="22"/>
        </w:rPr>
        <w:t>o skupinou s</w:t>
      </w:r>
      <w:r w:rsidRPr="005C44A1">
        <w:rPr>
          <w:szCs w:val="22"/>
        </w:rPr>
        <w:t xml:space="preserve"> chlortalidónom (10,2 % vs 7,7%, RR 1,38</w:t>
      </w:r>
      <w:r w:rsidR="006817BD">
        <w:rPr>
          <w:szCs w:val="22"/>
        </w:rPr>
        <w:t>;</w:t>
      </w:r>
      <w:r w:rsidRPr="005C44A1">
        <w:rPr>
          <w:szCs w:val="22"/>
        </w:rPr>
        <w:t xml:space="preserve"> 95 % I</w:t>
      </w:r>
      <w:r w:rsidR="00D80D81" w:rsidRPr="005C44A1">
        <w:rPr>
          <w:szCs w:val="22"/>
        </w:rPr>
        <w:t>S</w:t>
      </w:r>
      <w:r w:rsidRPr="005C44A1">
        <w:rPr>
          <w:szCs w:val="22"/>
        </w:rPr>
        <w:t xml:space="preserve"> </w:t>
      </w:r>
      <w:r w:rsidR="00D80D81" w:rsidRPr="005C44A1">
        <w:rPr>
          <w:spacing w:val="-1"/>
          <w:szCs w:val="22"/>
        </w:rPr>
        <w:t>[</w:t>
      </w:r>
      <w:r w:rsidRPr="005C44A1">
        <w:rPr>
          <w:szCs w:val="22"/>
        </w:rPr>
        <w:t>1,25-1,52</w:t>
      </w:r>
      <w:r w:rsidR="00D80D81" w:rsidRPr="005C44A1">
        <w:rPr>
          <w:spacing w:val="-1"/>
          <w:szCs w:val="22"/>
        </w:rPr>
        <w:t>]</w:t>
      </w:r>
      <w:r w:rsidRPr="005C44A1">
        <w:rPr>
          <w:szCs w:val="22"/>
        </w:rPr>
        <w:t xml:space="preserve">, p&lt;0,001). </w:t>
      </w:r>
      <w:r w:rsidR="008D0F59" w:rsidRPr="005C44A1">
        <w:rPr>
          <w:szCs w:val="22"/>
        </w:rPr>
        <w:t>V</w:t>
      </w:r>
      <w:r w:rsidRPr="005C44A1">
        <w:rPr>
          <w:szCs w:val="22"/>
        </w:rPr>
        <w:t xml:space="preserve"> mortalite zo všetkých príčin medzi amlodipínom a chl</w:t>
      </w:r>
      <w:r w:rsidR="003219D1">
        <w:rPr>
          <w:szCs w:val="22"/>
        </w:rPr>
        <w:t>ó</w:t>
      </w:r>
      <w:r w:rsidRPr="005C44A1">
        <w:rPr>
          <w:szCs w:val="22"/>
        </w:rPr>
        <w:t xml:space="preserve">rtalidónom nebol </w:t>
      </w:r>
      <w:r w:rsidR="004F5C06" w:rsidRPr="005C44A1">
        <w:rPr>
          <w:szCs w:val="22"/>
        </w:rPr>
        <w:t>význam</w:t>
      </w:r>
      <w:r w:rsidRPr="005C44A1">
        <w:rPr>
          <w:szCs w:val="22"/>
        </w:rPr>
        <w:t>ný rozdiel (RR 0,96 %</w:t>
      </w:r>
      <w:r w:rsidR="00594365">
        <w:rPr>
          <w:szCs w:val="22"/>
        </w:rPr>
        <w:t>;</w:t>
      </w:r>
      <w:r w:rsidRPr="005C44A1">
        <w:rPr>
          <w:szCs w:val="22"/>
        </w:rPr>
        <w:t xml:space="preserve"> 95</w:t>
      </w:r>
      <w:r w:rsidR="00581DBD">
        <w:rPr>
          <w:szCs w:val="22"/>
        </w:rPr>
        <w:t> </w:t>
      </w:r>
      <w:r w:rsidRPr="005C44A1">
        <w:rPr>
          <w:szCs w:val="22"/>
        </w:rPr>
        <w:t>% I</w:t>
      </w:r>
      <w:r w:rsidR="004F5C06" w:rsidRPr="005C44A1">
        <w:rPr>
          <w:szCs w:val="22"/>
        </w:rPr>
        <w:t>S</w:t>
      </w:r>
      <w:r w:rsidRPr="005C44A1">
        <w:rPr>
          <w:szCs w:val="22"/>
        </w:rPr>
        <w:t xml:space="preserve"> [0,89-1,02] p=0,20).</w:t>
      </w:r>
    </w:p>
    <w:p w14:paraId="3B9326ED" w14:textId="77777777" w:rsidR="004F5C06" w:rsidRPr="005C44A1" w:rsidRDefault="004F5C06" w:rsidP="005C44A1">
      <w:pPr>
        <w:numPr>
          <w:ilvl w:val="12"/>
          <w:numId w:val="0"/>
        </w:numPr>
        <w:ind w:right="-2"/>
        <w:rPr>
          <w:szCs w:val="22"/>
        </w:rPr>
      </w:pPr>
    </w:p>
    <w:p w14:paraId="3B9326EE" w14:textId="77777777" w:rsidR="00025CA9" w:rsidRPr="005C44A1" w:rsidRDefault="00025CA9" w:rsidP="005C44A1">
      <w:pPr>
        <w:numPr>
          <w:ilvl w:val="12"/>
          <w:numId w:val="0"/>
        </w:numPr>
        <w:ind w:right="-2"/>
        <w:rPr>
          <w:szCs w:val="22"/>
        </w:rPr>
      </w:pPr>
      <w:r w:rsidRPr="005C44A1">
        <w:rPr>
          <w:szCs w:val="22"/>
        </w:rPr>
        <w:t>Ďalšie informácie</w:t>
      </w:r>
      <w:r w:rsidR="004F5C06" w:rsidRPr="005C44A1">
        <w:rPr>
          <w:szCs w:val="22"/>
        </w:rPr>
        <w:t>:</w:t>
      </w:r>
    </w:p>
    <w:p w14:paraId="3B9326EF" w14:textId="77777777" w:rsidR="00025CA9" w:rsidRPr="005C44A1" w:rsidRDefault="00025CA9" w:rsidP="005C44A1">
      <w:pPr>
        <w:numPr>
          <w:ilvl w:val="12"/>
          <w:numId w:val="0"/>
        </w:numPr>
        <w:ind w:right="-2"/>
        <w:rPr>
          <w:szCs w:val="22"/>
        </w:rPr>
      </w:pPr>
      <w:r w:rsidRPr="005C44A1">
        <w:rPr>
          <w:szCs w:val="22"/>
        </w:rPr>
        <w:t xml:space="preserve">Dve rozsiahle randomizované, kontrolované klinické skúšania (ONTARGET (ONgoing Telmisartan Alone and in combination with Ramipril Global Endpoint Trial) a VA NEPHRON-D (The Veterans Affairs Nephropathy in Diabetes)) skúmali použitie kombinácie </w:t>
      </w:r>
      <w:r w:rsidR="004F5C06" w:rsidRPr="005C44A1">
        <w:rPr>
          <w:szCs w:val="22"/>
        </w:rPr>
        <w:t xml:space="preserve">ACE </w:t>
      </w:r>
      <w:r w:rsidRPr="005C44A1">
        <w:rPr>
          <w:szCs w:val="22"/>
        </w:rPr>
        <w:t>inhibítora a blokátora receptorov angiotenzínu II.</w:t>
      </w:r>
    </w:p>
    <w:p w14:paraId="3B9326F0" w14:textId="22D9851A" w:rsidR="00025CA9" w:rsidRPr="005C44A1" w:rsidRDefault="00025CA9" w:rsidP="005C44A1">
      <w:pPr>
        <w:numPr>
          <w:ilvl w:val="12"/>
          <w:numId w:val="0"/>
        </w:numPr>
        <w:ind w:right="-2"/>
        <w:rPr>
          <w:szCs w:val="22"/>
        </w:rPr>
      </w:pPr>
      <w:r w:rsidRPr="005C44A1">
        <w:rPr>
          <w:szCs w:val="22"/>
        </w:rPr>
        <w:t>Skúšanie ONTARGET sa vykonalo u pacientov s kardiovaskulárnym alebo cerebrovaskulárnym ochorením v anamnéze alebo u pacientov s diabetes mellitus 2. typu, u ktorých sa preukázalo poškodenie cieľových orgánov. Skúšanie VA NEPHRON-D sa vykonalo u pacientov s diabet</w:t>
      </w:r>
      <w:r w:rsidR="00D31D54">
        <w:rPr>
          <w:szCs w:val="22"/>
        </w:rPr>
        <w:t>om</w:t>
      </w:r>
      <w:r w:rsidRPr="005C44A1">
        <w:rPr>
          <w:szCs w:val="22"/>
        </w:rPr>
        <w:t xml:space="preserve"> mellitus 2. typu a diabetickou nefropatiou.</w:t>
      </w:r>
    </w:p>
    <w:p w14:paraId="3B9326F1" w14:textId="77777777" w:rsidR="000E6EF5" w:rsidRPr="005C44A1" w:rsidRDefault="000E6EF5" w:rsidP="005C44A1">
      <w:pPr>
        <w:numPr>
          <w:ilvl w:val="12"/>
          <w:numId w:val="0"/>
        </w:numPr>
        <w:ind w:right="-2"/>
        <w:rPr>
          <w:szCs w:val="22"/>
        </w:rPr>
      </w:pPr>
    </w:p>
    <w:p w14:paraId="3B9326F2" w14:textId="0DD3F397" w:rsidR="00025CA9" w:rsidRPr="005C44A1" w:rsidRDefault="00025CA9" w:rsidP="005C44A1">
      <w:pPr>
        <w:numPr>
          <w:ilvl w:val="12"/>
          <w:numId w:val="0"/>
        </w:numPr>
        <w:ind w:right="-2"/>
        <w:rPr>
          <w:szCs w:val="22"/>
        </w:rPr>
      </w:pPr>
      <w:r w:rsidRPr="005C44A1">
        <w:rPr>
          <w:szCs w:val="22"/>
        </w:rPr>
        <w:t xml:space="preserve">Tieto </w:t>
      </w:r>
      <w:r w:rsidR="00D31D54">
        <w:rPr>
          <w:szCs w:val="22"/>
        </w:rPr>
        <w:t>skúšania</w:t>
      </w:r>
      <w:r w:rsidRPr="005C44A1">
        <w:rPr>
          <w:szCs w:val="22"/>
        </w:rPr>
        <w:t xml:space="preserve"> ne</w:t>
      </w:r>
      <w:r w:rsidR="00347AB9" w:rsidRPr="005C44A1">
        <w:rPr>
          <w:szCs w:val="22"/>
        </w:rPr>
        <w:t>pre</w:t>
      </w:r>
      <w:r w:rsidRPr="005C44A1">
        <w:rPr>
          <w:szCs w:val="22"/>
        </w:rPr>
        <w:t xml:space="preserve">ukázali významný priaznivý účinok na renálne a/alebo kardiovaskulárne ukazovatele a mortalitu, zatiaľ čo v porovnaní s monoterapiou sa pozorovalo zvýšené riziko hyperkaliémie, akútneho poškodenia obličiek a/alebo hypotenzie. Vzhľadom na podobné farmakodynamické vlastnosti sú tieto výsledky relevantné aj pre ostatné </w:t>
      </w:r>
      <w:r w:rsidR="00844087" w:rsidRPr="005C44A1">
        <w:rPr>
          <w:szCs w:val="22"/>
        </w:rPr>
        <w:t xml:space="preserve">ACE </w:t>
      </w:r>
      <w:r w:rsidRPr="005C44A1">
        <w:rPr>
          <w:szCs w:val="22"/>
        </w:rPr>
        <w:t>inhibítory a blokátory receptorov angiotenzínu II.</w:t>
      </w:r>
    </w:p>
    <w:p w14:paraId="3B9326F3" w14:textId="77777777" w:rsidR="00025CA9" w:rsidRDefault="000D4073" w:rsidP="005C44A1">
      <w:pPr>
        <w:numPr>
          <w:ilvl w:val="12"/>
          <w:numId w:val="0"/>
        </w:numPr>
        <w:ind w:right="-2"/>
        <w:rPr>
          <w:szCs w:val="22"/>
        </w:rPr>
      </w:pPr>
      <w:r w:rsidRPr="005C44A1">
        <w:rPr>
          <w:szCs w:val="22"/>
        </w:rPr>
        <w:t>ACE i</w:t>
      </w:r>
      <w:r w:rsidR="00025CA9" w:rsidRPr="005C44A1">
        <w:rPr>
          <w:szCs w:val="22"/>
        </w:rPr>
        <w:t>nhibítory a blokátory receptorov angiotenzínu II sa preto nemajú používať súbežne u pacientov s diabetickou nefropatiou.</w:t>
      </w:r>
    </w:p>
    <w:p w14:paraId="67330ED2" w14:textId="77777777" w:rsidR="00D31D54" w:rsidRPr="005C44A1" w:rsidRDefault="00D31D54" w:rsidP="005C44A1">
      <w:pPr>
        <w:numPr>
          <w:ilvl w:val="12"/>
          <w:numId w:val="0"/>
        </w:numPr>
        <w:ind w:right="-2"/>
        <w:rPr>
          <w:szCs w:val="22"/>
        </w:rPr>
      </w:pPr>
    </w:p>
    <w:p w14:paraId="3B9326F4" w14:textId="1734A3BA" w:rsidR="0049191E" w:rsidRPr="005C44A1" w:rsidRDefault="00025CA9" w:rsidP="005C44A1">
      <w:pPr>
        <w:numPr>
          <w:ilvl w:val="12"/>
          <w:numId w:val="0"/>
        </w:numPr>
        <w:ind w:right="-2"/>
        <w:rPr>
          <w:szCs w:val="22"/>
        </w:rPr>
      </w:pPr>
      <w:r w:rsidRPr="005C44A1">
        <w:rPr>
          <w:szCs w:val="22"/>
        </w:rPr>
        <w:t xml:space="preserve">Skúšanie ALTITUDE (Aliskiren Trial in Type 2 Diabetes Using Cardiovascular and Renal Disease Endpoints) bolo </w:t>
      </w:r>
      <w:r w:rsidR="00E01FB1" w:rsidRPr="005C44A1">
        <w:rPr>
          <w:szCs w:val="22"/>
        </w:rPr>
        <w:t>zamerané</w:t>
      </w:r>
      <w:r w:rsidRPr="005C44A1">
        <w:rPr>
          <w:szCs w:val="22"/>
        </w:rPr>
        <w:t xml:space="preserve"> na skúmanie prínosu pridania aliskirénu k štandardnej liečbe </w:t>
      </w:r>
      <w:r w:rsidR="000D4073" w:rsidRPr="005C44A1">
        <w:rPr>
          <w:szCs w:val="22"/>
        </w:rPr>
        <w:t xml:space="preserve">ACE </w:t>
      </w:r>
      <w:r w:rsidRPr="005C44A1">
        <w:rPr>
          <w:szCs w:val="22"/>
        </w:rPr>
        <w:t>inhibítorom alebo blokátorom receptorov angiotenzínu II u pacientov s diabet</w:t>
      </w:r>
      <w:r w:rsidR="00D31D54">
        <w:rPr>
          <w:szCs w:val="22"/>
        </w:rPr>
        <w:t>om</w:t>
      </w:r>
      <w:r w:rsidRPr="005C44A1">
        <w:rPr>
          <w:szCs w:val="22"/>
        </w:rPr>
        <w:t xml:space="preserve"> mellitus 2. typu a chronickým ochorením obličiek, kardiovaskulárnym ochorením alebo obom</w:t>
      </w:r>
      <w:r w:rsidR="003E556F">
        <w:rPr>
          <w:szCs w:val="22"/>
        </w:rPr>
        <w:t>a</w:t>
      </w:r>
      <w:r w:rsidRPr="005C44A1">
        <w:rPr>
          <w:szCs w:val="22"/>
        </w:rPr>
        <w:t xml:space="preserve"> ochoreniami. Skúšanie bolo predčasne ukončené pre zvýšené riziko </w:t>
      </w:r>
      <w:r w:rsidR="00235998" w:rsidRPr="005C44A1">
        <w:rPr>
          <w:szCs w:val="22"/>
        </w:rPr>
        <w:t>nepriaznivých výsledkov</w:t>
      </w:r>
      <w:r w:rsidRPr="005C44A1">
        <w:rPr>
          <w:szCs w:val="22"/>
        </w:rPr>
        <w:t>. V skupine s aliskirénom bolo viac úmrtí z kardiovaskulárnej príčiny a cievnych mozgových príhod ako v skupine s placebom a v skupine s aliskirénom boli častejšie hlásené sledované nežiaduce udalosti a závažné nežiaduce udalosti (hyperkaliémia, hypotenzia a renálna dysfunkcia) ako v skupine s placebom</w:t>
      </w:r>
      <w:r w:rsidR="0067565E" w:rsidRPr="005C44A1">
        <w:rPr>
          <w:szCs w:val="22"/>
        </w:rPr>
        <w:t>.</w:t>
      </w:r>
    </w:p>
    <w:p w14:paraId="3B9326F5" w14:textId="77777777" w:rsidR="0049191E" w:rsidRPr="005C44A1" w:rsidRDefault="0049191E" w:rsidP="005C44A1">
      <w:pPr>
        <w:rPr>
          <w:szCs w:val="22"/>
        </w:rPr>
      </w:pPr>
    </w:p>
    <w:p w14:paraId="3B9326F6" w14:textId="77777777" w:rsidR="00780926" w:rsidRPr="005C44A1" w:rsidRDefault="0067565E" w:rsidP="005C44A1">
      <w:pPr>
        <w:rPr>
          <w:b/>
          <w:szCs w:val="22"/>
        </w:rPr>
      </w:pPr>
      <w:r w:rsidRPr="005C44A1">
        <w:rPr>
          <w:b/>
          <w:szCs w:val="22"/>
        </w:rPr>
        <w:t>5.2</w:t>
      </w:r>
      <w:r w:rsidRPr="005C44A1">
        <w:rPr>
          <w:b/>
          <w:szCs w:val="22"/>
        </w:rPr>
        <w:tab/>
        <w:t>Farmakokinetické vlastnosti</w:t>
      </w:r>
    </w:p>
    <w:p w14:paraId="3B9326F7" w14:textId="77777777" w:rsidR="00E1698A" w:rsidRPr="005C44A1" w:rsidRDefault="00E1698A" w:rsidP="005C44A1">
      <w:pPr>
        <w:rPr>
          <w:szCs w:val="22"/>
        </w:rPr>
      </w:pPr>
    </w:p>
    <w:p w14:paraId="3B9326F8" w14:textId="5979CF11" w:rsidR="00372F3B" w:rsidRPr="005C44A1" w:rsidRDefault="00372F3B" w:rsidP="005C44A1">
      <w:pPr>
        <w:rPr>
          <w:szCs w:val="22"/>
          <w:u w:val="single"/>
        </w:rPr>
      </w:pPr>
      <w:r w:rsidRPr="005C44A1">
        <w:rPr>
          <w:szCs w:val="22"/>
          <w:u w:val="single"/>
        </w:rPr>
        <w:t>Olmesart</w:t>
      </w:r>
      <w:r w:rsidR="00884851">
        <w:rPr>
          <w:szCs w:val="22"/>
          <w:u w:val="single"/>
        </w:rPr>
        <w:t>a</w:t>
      </w:r>
      <w:r w:rsidRPr="005C44A1">
        <w:rPr>
          <w:szCs w:val="22"/>
          <w:u w:val="single"/>
        </w:rPr>
        <w:t>n-medoxomil/amlodipín</w:t>
      </w:r>
    </w:p>
    <w:p w14:paraId="3B9326F9" w14:textId="77777777" w:rsidR="00372F3B" w:rsidRPr="005C44A1" w:rsidRDefault="00372F3B" w:rsidP="005C44A1">
      <w:pPr>
        <w:rPr>
          <w:szCs w:val="22"/>
        </w:rPr>
      </w:pPr>
    </w:p>
    <w:p w14:paraId="3B9326FA" w14:textId="1B8BCDC5" w:rsidR="00372F3B" w:rsidRPr="005C44A1" w:rsidRDefault="00372F3B" w:rsidP="005C44A1">
      <w:pPr>
        <w:ind w:left="0" w:firstLine="0"/>
        <w:rPr>
          <w:szCs w:val="22"/>
        </w:rPr>
      </w:pPr>
      <w:r w:rsidRPr="005C44A1">
        <w:rPr>
          <w:szCs w:val="22"/>
        </w:rPr>
        <w:t>Po perorálnom užití olmesart</w:t>
      </w:r>
      <w:r w:rsidR="00332777">
        <w:rPr>
          <w:szCs w:val="22"/>
        </w:rPr>
        <w:t>a</w:t>
      </w:r>
      <w:r w:rsidRPr="005C44A1">
        <w:rPr>
          <w:szCs w:val="22"/>
        </w:rPr>
        <w:t>nu</w:t>
      </w:r>
      <w:r w:rsidR="0004035C" w:rsidRPr="005C44A1">
        <w:rPr>
          <w:szCs w:val="22"/>
        </w:rPr>
        <w:t>-</w:t>
      </w:r>
      <w:r w:rsidRPr="005C44A1">
        <w:rPr>
          <w:szCs w:val="22"/>
        </w:rPr>
        <w:t>medoxomilu/amlodipínu sa maximálna plazmatická koncentrácia olmesart</w:t>
      </w:r>
      <w:r w:rsidR="00332777">
        <w:rPr>
          <w:szCs w:val="22"/>
        </w:rPr>
        <w:t>a</w:t>
      </w:r>
      <w:r w:rsidRPr="005C44A1">
        <w:rPr>
          <w:szCs w:val="22"/>
        </w:rPr>
        <w:t xml:space="preserve">nu dosiahne za 1,5 </w:t>
      </w:r>
      <w:r w:rsidR="0004035C" w:rsidRPr="005C44A1">
        <w:rPr>
          <w:szCs w:val="22"/>
        </w:rPr>
        <w:t>–</w:t>
      </w:r>
      <w:r w:rsidRPr="005C44A1">
        <w:rPr>
          <w:szCs w:val="22"/>
        </w:rPr>
        <w:t xml:space="preserve"> 2 hodiny a amlodipínu za 6 </w:t>
      </w:r>
      <w:r w:rsidR="0004035C" w:rsidRPr="005C44A1">
        <w:rPr>
          <w:szCs w:val="22"/>
        </w:rPr>
        <w:t>–</w:t>
      </w:r>
      <w:r w:rsidRPr="005C44A1">
        <w:rPr>
          <w:szCs w:val="22"/>
        </w:rPr>
        <w:t xml:space="preserve"> 8 hodín. Rýchlosť a </w:t>
      </w:r>
      <w:r w:rsidR="00325607">
        <w:rPr>
          <w:szCs w:val="22"/>
        </w:rPr>
        <w:t>miera</w:t>
      </w:r>
      <w:r w:rsidRPr="005C44A1">
        <w:rPr>
          <w:szCs w:val="22"/>
        </w:rPr>
        <w:t xml:space="preserve"> absorpcie dvoch liečiv z</w:t>
      </w:r>
      <w:r w:rsidR="008420ED" w:rsidRPr="005C44A1">
        <w:rPr>
          <w:szCs w:val="22"/>
        </w:rPr>
        <w:t> </w:t>
      </w:r>
      <w:r w:rsidRPr="005C44A1">
        <w:rPr>
          <w:szCs w:val="22"/>
        </w:rPr>
        <w:t>olmesart</w:t>
      </w:r>
      <w:r w:rsidR="00332777">
        <w:rPr>
          <w:szCs w:val="22"/>
        </w:rPr>
        <w:t>a</w:t>
      </w:r>
      <w:r w:rsidR="008420ED" w:rsidRPr="005C44A1">
        <w:rPr>
          <w:szCs w:val="22"/>
        </w:rPr>
        <w:t>nu-</w:t>
      </w:r>
      <w:r w:rsidRPr="005C44A1">
        <w:rPr>
          <w:szCs w:val="22"/>
        </w:rPr>
        <w:t xml:space="preserve">medoxomilu/amlodipínu sú ekvivalentné rýchlosti a </w:t>
      </w:r>
      <w:r w:rsidR="00325607">
        <w:rPr>
          <w:szCs w:val="22"/>
        </w:rPr>
        <w:t>miere</w:t>
      </w:r>
      <w:r w:rsidRPr="005C44A1">
        <w:rPr>
          <w:szCs w:val="22"/>
        </w:rPr>
        <w:t xml:space="preserve"> absorpcie po užití týchto dvoch zložiek ako samostatných tabliet. Jedlo neovplyvňuje biologickú dostupnosť olmesart</w:t>
      </w:r>
      <w:r w:rsidR="00332777">
        <w:rPr>
          <w:szCs w:val="22"/>
        </w:rPr>
        <w:t>a</w:t>
      </w:r>
      <w:r w:rsidRPr="005C44A1">
        <w:rPr>
          <w:szCs w:val="22"/>
        </w:rPr>
        <w:t>nu a amlodipínu z</w:t>
      </w:r>
      <w:r w:rsidR="008420ED" w:rsidRPr="005C44A1">
        <w:rPr>
          <w:szCs w:val="22"/>
        </w:rPr>
        <w:t> Reverantzy.</w:t>
      </w:r>
    </w:p>
    <w:p w14:paraId="3B9326FB" w14:textId="77777777" w:rsidR="00372F3B" w:rsidRPr="005C44A1" w:rsidRDefault="00372F3B" w:rsidP="005C44A1">
      <w:pPr>
        <w:numPr>
          <w:ilvl w:val="12"/>
          <w:numId w:val="0"/>
        </w:numPr>
        <w:suppressLineNumbers/>
        <w:ind w:right="-2"/>
        <w:rPr>
          <w:szCs w:val="22"/>
        </w:rPr>
      </w:pPr>
    </w:p>
    <w:p w14:paraId="3B9326FC" w14:textId="5D61B63D" w:rsidR="00A30425" w:rsidRPr="005C44A1" w:rsidRDefault="00A30425" w:rsidP="005C44A1">
      <w:pPr>
        <w:numPr>
          <w:ilvl w:val="12"/>
          <w:numId w:val="0"/>
        </w:numPr>
        <w:suppressLineNumbers/>
        <w:ind w:right="-2"/>
        <w:rPr>
          <w:noProof/>
          <w:szCs w:val="22"/>
          <w:u w:val="single"/>
        </w:rPr>
      </w:pPr>
      <w:r w:rsidRPr="005C44A1">
        <w:rPr>
          <w:szCs w:val="22"/>
          <w:u w:val="single"/>
        </w:rPr>
        <w:t>Olmesart</w:t>
      </w:r>
      <w:r w:rsidR="00332777">
        <w:rPr>
          <w:szCs w:val="22"/>
          <w:u w:val="single"/>
        </w:rPr>
        <w:t>a</w:t>
      </w:r>
      <w:r w:rsidRPr="005C44A1">
        <w:rPr>
          <w:szCs w:val="22"/>
          <w:u w:val="single"/>
        </w:rPr>
        <w:t>n-medoxomil</w:t>
      </w:r>
      <w:r w:rsidRPr="005C44A1">
        <w:rPr>
          <w:noProof/>
          <w:szCs w:val="22"/>
          <w:u w:val="single"/>
        </w:rPr>
        <w:t xml:space="preserve"> (liečivo Reverantzy)</w:t>
      </w:r>
    </w:p>
    <w:p w14:paraId="3B9326FD" w14:textId="77777777" w:rsidR="00A30425" w:rsidRPr="005C44A1" w:rsidRDefault="00A30425" w:rsidP="005C44A1">
      <w:pPr>
        <w:numPr>
          <w:ilvl w:val="12"/>
          <w:numId w:val="0"/>
        </w:numPr>
        <w:suppressLineNumbers/>
        <w:ind w:right="-2"/>
        <w:rPr>
          <w:noProof/>
          <w:szCs w:val="22"/>
          <w:u w:val="single"/>
        </w:rPr>
      </w:pPr>
    </w:p>
    <w:p w14:paraId="3B9326FE" w14:textId="77777777" w:rsidR="00FC6918" w:rsidRPr="005C44A1" w:rsidRDefault="0067565E" w:rsidP="005C44A1">
      <w:pPr>
        <w:numPr>
          <w:ilvl w:val="12"/>
          <w:numId w:val="0"/>
        </w:numPr>
        <w:suppressLineNumbers/>
        <w:ind w:right="-2"/>
        <w:rPr>
          <w:noProof/>
          <w:szCs w:val="22"/>
          <w:u w:val="single"/>
        </w:rPr>
      </w:pPr>
      <w:r w:rsidRPr="005C44A1">
        <w:rPr>
          <w:noProof/>
          <w:szCs w:val="22"/>
          <w:u w:val="single"/>
        </w:rPr>
        <w:t>Absorpcia</w:t>
      </w:r>
      <w:r w:rsidR="0004035C" w:rsidRPr="005C44A1">
        <w:rPr>
          <w:noProof/>
          <w:szCs w:val="22"/>
          <w:u w:val="single"/>
        </w:rPr>
        <w:t xml:space="preserve"> a distribúcia</w:t>
      </w:r>
    </w:p>
    <w:p w14:paraId="3B9326FF" w14:textId="34668006" w:rsidR="00A30425" w:rsidRPr="005C44A1" w:rsidRDefault="00A30425" w:rsidP="005C44A1">
      <w:pPr>
        <w:numPr>
          <w:ilvl w:val="12"/>
          <w:numId w:val="0"/>
        </w:numPr>
        <w:suppressLineNumbers/>
        <w:ind w:right="-2"/>
        <w:rPr>
          <w:noProof/>
          <w:szCs w:val="22"/>
        </w:rPr>
      </w:pPr>
      <w:r w:rsidRPr="005C44A1">
        <w:rPr>
          <w:noProof/>
          <w:szCs w:val="22"/>
        </w:rPr>
        <w:t>Olmesart</w:t>
      </w:r>
      <w:r w:rsidR="005C254D">
        <w:rPr>
          <w:noProof/>
          <w:szCs w:val="22"/>
        </w:rPr>
        <w:t>a</w:t>
      </w:r>
      <w:r w:rsidRPr="005C44A1">
        <w:rPr>
          <w:noProof/>
          <w:szCs w:val="22"/>
        </w:rPr>
        <w:t>n</w:t>
      </w:r>
      <w:r w:rsidR="001E0BE4">
        <w:rPr>
          <w:noProof/>
          <w:szCs w:val="22"/>
        </w:rPr>
        <w:t>-</w:t>
      </w:r>
      <w:r w:rsidRPr="005C44A1">
        <w:rPr>
          <w:noProof/>
          <w:szCs w:val="22"/>
        </w:rPr>
        <w:t xml:space="preserve">medoxomil je proliečivo. Počas absorpcie z gastrointestinálneho traktu sa </w:t>
      </w:r>
      <w:r w:rsidR="00D22689" w:rsidRPr="005C44A1">
        <w:rPr>
          <w:noProof/>
          <w:szCs w:val="22"/>
        </w:rPr>
        <w:t xml:space="preserve">prostredníctvom esteráz v sliznici čreva a portálnej krvi </w:t>
      </w:r>
      <w:r w:rsidRPr="005C44A1">
        <w:rPr>
          <w:noProof/>
          <w:szCs w:val="22"/>
        </w:rPr>
        <w:t>rýchlo mení na farmakologicky aktívny metabolit olmesart</w:t>
      </w:r>
      <w:r w:rsidR="005C254D">
        <w:rPr>
          <w:noProof/>
          <w:szCs w:val="22"/>
        </w:rPr>
        <w:t>a</w:t>
      </w:r>
      <w:r w:rsidRPr="005C44A1">
        <w:rPr>
          <w:noProof/>
          <w:szCs w:val="22"/>
        </w:rPr>
        <w:t xml:space="preserve">n. V plazme </w:t>
      </w:r>
      <w:r w:rsidR="001D6BA1" w:rsidRPr="005C44A1">
        <w:rPr>
          <w:noProof/>
          <w:szCs w:val="22"/>
        </w:rPr>
        <w:t>ani v exkr</w:t>
      </w:r>
      <w:r w:rsidR="00663383">
        <w:rPr>
          <w:noProof/>
          <w:szCs w:val="22"/>
        </w:rPr>
        <w:t>é</w:t>
      </w:r>
      <w:r w:rsidR="00204675" w:rsidRPr="005C44A1">
        <w:rPr>
          <w:noProof/>
          <w:szCs w:val="22"/>
        </w:rPr>
        <w:t>t</w:t>
      </w:r>
      <w:r w:rsidR="001D6BA1" w:rsidRPr="005C44A1">
        <w:rPr>
          <w:noProof/>
          <w:szCs w:val="22"/>
        </w:rPr>
        <w:t>och</w:t>
      </w:r>
      <w:r w:rsidRPr="005C44A1">
        <w:rPr>
          <w:noProof/>
          <w:szCs w:val="22"/>
        </w:rPr>
        <w:t xml:space="preserve"> nebol zistený intaktný olmes</w:t>
      </w:r>
      <w:r w:rsidR="005C254D">
        <w:rPr>
          <w:noProof/>
          <w:szCs w:val="22"/>
        </w:rPr>
        <w:t>a</w:t>
      </w:r>
      <w:r w:rsidRPr="005C44A1">
        <w:rPr>
          <w:noProof/>
          <w:szCs w:val="22"/>
        </w:rPr>
        <w:t>rtan</w:t>
      </w:r>
      <w:r w:rsidR="00204675" w:rsidRPr="005C44A1">
        <w:rPr>
          <w:noProof/>
          <w:szCs w:val="22"/>
        </w:rPr>
        <w:t>-</w:t>
      </w:r>
      <w:r w:rsidRPr="005C44A1">
        <w:rPr>
          <w:noProof/>
          <w:szCs w:val="22"/>
        </w:rPr>
        <w:t xml:space="preserve">medoxomil </w:t>
      </w:r>
      <w:r w:rsidRPr="00552E99">
        <w:rPr>
          <w:noProof/>
          <w:szCs w:val="22"/>
        </w:rPr>
        <w:t>a</w:t>
      </w:r>
      <w:r w:rsidR="00B31733" w:rsidRPr="00552E99">
        <w:rPr>
          <w:noProof/>
          <w:szCs w:val="22"/>
        </w:rPr>
        <w:t>ni</w:t>
      </w:r>
      <w:r w:rsidRPr="00552E99">
        <w:rPr>
          <w:noProof/>
          <w:szCs w:val="22"/>
        </w:rPr>
        <w:t xml:space="preserve"> </w:t>
      </w:r>
      <w:r w:rsidR="00B31733" w:rsidRPr="00552E99">
        <w:rPr>
          <w:noProof/>
          <w:szCs w:val="22"/>
        </w:rPr>
        <w:t>intaktný bočný reťazec medoxomilu</w:t>
      </w:r>
      <w:r w:rsidRPr="00552E99">
        <w:rPr>
          <w:noProof/>
          <w:szCs w:val="22"/>
        </w:rPr>
        <w:t>. Priemerná absolútna biologická dostupnosť olmesart</w:t>
      </w:r>
      <w:r w:rsidR="005C254D">
        <w:rPr>
          <w:noProof/>
          <w:szCs w:val="22"/>
        </w:rPr>
        <w:t>a</w:t>
      </w:r>
      <w:r w:rsidRPr="00552E99">
        <w:rPr>
          <w:noProof/>
          <w:szCs w:val="22"/>
        </w:rPr>
        <w:t>nu z tabletovej form</w:t>
      </w:r>
      <w:r w:rsidR="00DA78CC" w:rsidRPr="00552E99">
        <w:rPr>
          <w:noProof/>
          <w:szCs w:val="22"/>
        </w:rPr>
        <w:t>y</w:t>
      </w:r>
      <w:r w:rsidRPr="00552E99">
        <w:rPr>
          <w:noProof/>
          <w:szCs w:val="22"/>
        </w:rPr>
        <w:t xml:space="preserve"> bola 25,6</w:t>
      </w:r>
      <w:r w:rsidR="00F46698">
        <w:rPr>
          <w:noProof/>
          <w:szCs w:val="22"/>
        </w:rPr>
        <w:t> </w:t>
      </w:r>
      <w:r w:rsidRPr="00552E99">
        <w:rPr>
          <w:noProof/>
          <w:szCs w:val="22"/>
        </w:rPr>
        <w:t>%.</w:t>
      </w:r>
    </w:p>
    <w:p w14:paraId="3B932700" w14:textId="77777777" w:rsidR="00A30425" w:rsidRPr="005C44A1" w:rsidRDefault="00A30425" w:rsidP="005C44A1">
      <w:pPr>
        <w:numPr>
          <w:ilvl w:val="12"/>
          <w:numId w:val="0"/>
        </w:numPr>
        <w:suppressLineNumbers/>
        <w:ind w:right="-2"/>
        <w:rPr>
          <w:noProof/>
          <w:szCs w:val="22"/>
        </w:rPr>
      </w:pPr>
    </w:p>
    <w:p w14:paraId="3B932701" w14:textId="176D041E" w:rsidR="00A30425" w:rsidRPr="005C44A1" w:rsidRDefault="00A30425" w:rsidP="005C44A1">
      <w:pPr>
        <w:numPr>
          <w:ilvl w:val="12"/>
          <w:numId w:val="0"/>
        </w:numPr>
        <w:suppressLineNumbers/>
        <w:ind w:right="-2"/>
        <w:rPr>
          <w:noProof/>
          <w:szCs w:val="22"/>
        </w:rPr>
      </w:pPr>
      <w:r w:rsidRPr="005C44A1">
        <w:rPr>
          <w:noProof/>
          <w:szCs w:val="22"/>
        </w:rPr>
        <w:t>Priemerná maximálna plazmatická koncentrácia (C</w:t>
      </w:r>
      <w:r w:rsidRPr="005C44A1">
        <w:rPr>
          <w:noProof/>
          <w:szCs w:val="22"/>
          <w:vertAlign w:val="subscript"/>
        </w:rPr>
        <w:t>max</w:t>
      </w:r>
      <w:r w:rsidRPr="005C44A1">
        <w:rPr>
          <w:noProof/>
          <w:szCs w:val="22"/>
        </w:rPr>
        <w:t>) olmesart</w:t>
      </w:r>
      <w:r w:rsidR="005C254D">
        <w:rPr>
          <w:noProof/>
          <w:szCs w:val="22"/>
        </w:rPr>
        <w:t>a</w:t>
      </w:r>
      <w:r w:rsidRPr="005C44A1">
        <w:rPr>
          <w:noProof/>
          <w:szCs w:val="22"/>
        </w:rPr>
        <w:t>nu sa dosiahne asi za 2 hodiny po perorálnom podaní olmesart</w:t>
      </w:r>
      <w:r w:rsidR="00B55553">
        <w:rPr>
          <w:noProof/>
          <w:szCs w:val="22"/>
        </w:rPr>
        <w:t>a</w:t>
      </w:r>
      <w:r w:rsidRPr="005C44A1">
        <w:rPr>
          <w:noProof/>
          <w:szCs w:val="22"/>
        </w:rPr>
        <w:t>nu</w:t>
      </w:r>
      <w:r w:rsidR="00142AD2" w:rsidRPr="005C44A1">
        <w:rPr>
          <w:noProof/>
          <w:szCs w:val="22"/>
        </w:rPr>
        <w:t>/</w:t>
      </w:r>
      <w:r w:rsidRPr="005C44A1">
        <w:rPr>
          <w:noProof/>
          <w:szCs w:val="22"/>
        </w:rPr>
        <w:t>medoxomilu a plazmatické koncentrácie olmesart</w:t>
      </w:r>
      <w:r w:rsidR="00B55553">
        <w:rPr>
          <w:noProof/>
          <w:szCs w:val="22"/>
        </w:rPr>
        <w:t>a</w:t>
      </w:r>
      <w:r w:rsidRPr="005C44A1">
        <w:rPr>
          <w:noProof/>
          <w:szCs w:val="22"/>
        </w:rPr>
        <w:t>nu sa zvyšujú približne lineárne so zvyšovaním jednorazových perorálnych dávok až do približne 80 mg.</w:t>
      </w:r>
    </w:p>
    <w:p w14:paraId="3B932702" w14:textId="5B8054F7" w:rsidR="00A30425" w:rsidRPr="005C44A1" w:rsidRDefault="00A30425" w:rsidP="005C44A1">
      <w:pPr>
        <w:numPr>
          <w:ilvl w:val="12"/>
          <w:numId w:val="0"/>
        </w:numPr>
        <w:suppressLineNumbers/>
        <w:ind w:right="-2"/>
        <w:rPr>
          <w:noProof/>
          <w:szCs w:val="22"/>
        </w:rPr>
      </w:pPr>
      <w:r w:rsidRPr="005C44A1">
        <w:rPr>
          <w:noProof/>
          <w:szCs w:val="22"/>
        </w:rPr>
        <w:t>Jedlo malo minimálny vplyv na biologickú dostupnosť olmesart</w:t>
      </w:r>
      <w:r w:rsidR="00B55553">
        <w:rPr>
          <w:noProof/>
          <w:szCs w:val="22"/>
        </w:rPr>
        <w:t>a</w:t>
      </w:r>
      <w:r w:rsidRPr="005C44A1">
        <w:rPr>
          <w:noProof/>
          <w:szCs w:val="22"/>
        </w:rPr>
        <w:t>nu, a preto sa olmesart</w:t>
      </w:r>
      <w:r w:rsidR="00B55553">
        <w:rPr>
          <w:noProof/>
          <w:szCs w:val="22"/>
        </w:rPr>
        <w:t>a</w:t>
      </w:r>
      <w:r w:rsidRPr="005C44A1">
        <w:rPr>
          <w:noProof/>
          <w:szCs w:val="22"/>
        </w:rPr>
        <w:t>n</w:t>
      </w:r>
      <w:r w:rsidR="00142AD2" w:rsidRPr="005C44A1">
        <w:rPr>
          <w:noProof/>
          <w:szCs w:val="22"/>
        </w:rPr>
        <w:t>-</w:t>
      </w:r>
      <w:r w:rsidRPr="005C44A1">
        <w:rPr>
          <w:noProof/>
          <w:szCs w:val="22"/>
        </w:rPr>
        <w:t>medoxomil môže podávať s jedlom alebo bez jedla.</w:t>
      </w:r>
    </w:p>
    <w:p w14:paraId="3B932703" w14:textId="77777777" w:rsidR="00B4614B" w:rsidRDefault="00B4614B" w:rsidP="005C44A1">
      <w:pPr>
        <w:numPr>
          <w:ilvl w:val="12"/>
          <w:numId w:val="0"/>
        </w:numPr>
        <w:suppressLineNumbers/>
        <w:ind w:right="-2"/>
        <w:rPr>
          <w:noProof/>
          <w:szCs w:val="22"/>
        </w:rPr>
      </w:pPr>
    </w:p>
    <w:p w14:paraId="3B932704" w14:textId="65487CC4" w:rsidR="00A30425" w:rsidRPr="005C44A1" w:rsidRDefault="00A30425" w:rsidP="005C44A1">
      <w:pPr>
        <w:numPr>
          <w:ilvl w:val="12"/>
          <w:numId w:val="0"/>
        </w:numPr>
        <w:suppressLineNumbers/>
        <w:ind w:right="-2"/>
        <w:rPr>
          <w:noProof/>
          <w:szCs w:val="22"/>
        </w:rPr>
      </w:pPr>
      <w:r w:rsidRPr="005C44A1">
        <w:rPr>
          <w:noProof/>
          <w:szCs w:val="22"/>
        </w:rPr>
        <w:t>Neboli pozorované žiadne klinicky významné rozdiely vo farmakokinetike olmesart</w:t>
      </w:r>
      <w:r w:rsidR="00B55553">
        <w:rPr>
          <w:noProof/>
          <w:szCs w:val="22"/>
        </w:rPr>
        <w:t>a</w:t>
      </w:r>
      <w:r w:rsidRPr="005C44A1">
        <w:rPr>
          <w:noProof/>
          <w:szCs w:val="22"/>
        </w:rPr>
        <w:t>nu súvisiace s</w:t>
      </w:r>
      <w:r w:rsidR="00363B15" w:rsidRPr="005C44A1">
        <w:rPr>
          <w:noProof/>
          <w:szCs w:val="22"/>
        </w:rPr>
        <w:t> </w:t>
      </w:r>
      <w:r w:rsidRPr="005C44A1">
        <w:rPr>
          <w:noProof/>
          <w:szCs w:val="22"/>
        </w:rPr>
        <w:t>pohlavím</w:t>
      </w:r>
      <w:r w:rsidR="00363B15" w:rsidRPr="005C44A1">
        <w:rPr>
          <w:noProof/>
          <w:szCs w:val="22"/>
        </w:rPr>
        <w:t>.</w:t>
      </w:r>
    </w:p>
    <w:p w14:paraId="3B932705" w14:textId="77777777" w:rsidR="00B4614B" w:rsidRDefault="00B4614B" w:rsidP="005C44A1">
      <w:pPr>
        <w:numPr>
          <w:ilvl w:val="12"/>
          <w:numId w:val="0"/>
        </w:numPr>
        <w:suppressLineNumbers/>
        <w:ind w:right="-2"/>
        <w:rPr>
          <w:noProof/>
          <w:szCs w:val="22"/>
        </w:rPr>
      </w:pPr>
    </w:p>
    <w:p w14:paraId="3B932706" w14:textId="00FF17D8" w:rsidR="00363B15" w:rsidRPr="005C44A1" w:rsidRDefault="00363B15" w:rsidP="005C44A1">
      <w:pPr>
        <w:numPr>
          <w:ilvl w:val="12"/>
          <w:numId w:val="0"/>
        </w:numPr>
        <w:suppressLineNumbers/>
        <w:ind w:right="-2"/>
        <w:rPr>
          <w:noProof/>
          <w:szCs w:val="22"/>
        </w:rPr>
      </w:pPr>
      <w:r w:rsidRPr="005C44A1">
        <w:rPr>
          <w:noProof/>
          <w:szCs w:val="22"/>
        </w:rPr>
        <w:t>Olmesart</w:t>
      </w:r>
      <w:r w:rsidR="00A07C4D">
        <w:rPr>
          <w:noProof/>
          <w:szCs w:val="22"/>
        </w:rPr>
        <w:t>a</w:t>
      </w:r>
      <w:r w:rsidRPr="005C44A1">
        <w:rPr>
          <w:noProof/>
          <w:szCs w:val="22"/>
        </w:rPr>
        <w:t>n sa pevne viaže na plazmatické proteíny (99,7 %), ale potenciál pre klinicky významné interakcie podmienené vytesnením z väzby na proteíny medzi olmesart</w:t>
      </w:r>
      <w:r w:rsidR="00A77212">
        <w:rPr>
          <w:noProof/>
          <w:szCs w:val="22"/>
        </w:rPr>
        <w:t>a</w:t>
      </w:r>
      <w:r w:rsidRPr="005C44A1">
        <w:rPr>
          <w:noProof/>
          <w:szCs w:val="22"/>
        </w:rPr>
        <w:t xml:space="preserve">nom a inými súbežne </w:t>
      </w:r>
      <w:r w:rsidRPr="005C44A1">
        <w:rPr>
          <w:noProof/>
          <w:szCs w:val="22"/>
        </w:rPr>
        <w:lastRenderedPageBreak/>
        <w:t>podávanými liečivami, ktoré sa pevne viažu na plazmatické proteíny, je nízky (</w:t>
      </w:r>
      <w:r w:rsidR="006D6D18" w:rsidRPr="005C44A1">
        <w:rPr>
          <w:noProof/>
          <w:szCs w:val="22"/>
        </w:rPr>
        <w:t>čo potvrdzuje nedostatok</w:t>
      </w:r>
      <w:r w:rsidRPr="005C44A1">
        <w:rPr>
          <w:noProof/>
          <w:szCs w:val="22"/>
        </w:rPr>
        <w:t xml:space="preserve"> klinicky </w:t>
      </w:r>
      <w:r w:rsidR="006D6D18" w:rsidRPr="005C44A1">
        <w:rPr>
          <w:noProof/>
          <w:szCs w:val="22"/>
        </w:rPr>
        <w:t>významných</w:t>
      </w:r>
      <w:r w:rsidRPr="005C44A1">
        <w:rPr>
          <w:noProof/>
          <w:szCs w:val="22"/>
        </w:rPr>
        <w:t xml:space="preserve"> interakcií medzi olmesart</w:t>
      </w:r>
      <w:r w:rsidR="00A77212">
        <w:rPr>
          <w:noProof/>
          <w:szCs w:val="22"/>
        </w:rPr>
        <w:t>a</w:t>
      </w:r>
      <w:r w:rsidRPr="005C44A1">
        <w:rPr>
          <w:noProof/>
          <w:szCs w:val="22"/>
        </w:rPr>
        <w:t>nom</w:t>
      </w:r>
      <w:r w:rsidR="006D6D18" w:rsidRPr="005C44A1">
        <w:rPr>
          <w:noProof/>
          <w:szCs w:val="22"/>
        </w:rPr>
        <w:t>-</w:t>
      </w:r>
      <w:r w:rsidRPr="005C44A1">
        <w:rPr>
          <w:noProof/>
          <w:szCs w:val="22"/>
        </w:rPr>
        <w:t>medoxomilom a warfarínom). Väzba olmesart</w:t>
      </w:r>
      <w:r w:rsidR="00A77212">
        <w:rPr>
          <w:noProof/>
          <w:szCs w:val="22"/>
        </w:rPr>
        <w:t>a</w:t>
      </w:r>
      <w:r w:rsidRPr="005C44A1">
        <w:rPr>
          <w:noProof/>
          <w:szCs w:val="22"/>
        </w:rPr>
        <w:t xml:space="preserve">nu na krvné bunky je zanedbateľná. </w:t>
      </w:r>
      <w:r w:rsidR="006D6D18" w:rsidRPr="005C44A1">
        <w:rPr>
          <w:noProof/>
          <w:szCs w:val="22"/>
        </w:rPr>
        <w:t>Priemerný</w:t>
      </w:r>
      <w:r w:rsidRPr="005C44A1">
        <w:rPr>
          <w:noProof/>
          <w:szCs w:val="22"/>
        </w:rPr>
        <w:t xml:space="preserve"> distribučný objem po intravenóznom podaní je nízky (16 - 29 l).</w:t>
      </w:r>
    </w:p>
    <w:p w14:paraId="3B932707" w14:textId="77777777" w:rsidR="006D6D18" w:rsidRPr="005C44A1" w:rsidRDefault="006D6D18" w:rsidP="005C44A1">
      <w:pPr>
        <w:numPr>
          <w:ilvl w:val="12"/>
          <w:numId w:val="0"/>
        </w:numPr>
        <w:suppressLineNumbers/>
        <w:ind w:right="-2"/>
        <w:rPr>
          <w:noProof/>
          <w:szCs w:val="22"/>
        </w:rPr>
      </w:pPr>
    </w:p>
    <w:p w14:paraId="3B932708" w14:textId="77777777" w:rsidR="00FC6918" w:rsidRPr="005C44A1" w:rsidRDefault="0067565E" w:rsidP="005C44A1">
      <w:pPr>
        <w:numPr>
          <w:ilvl w:val="12"/>
          <w:numId w:val="0"/>
        </w:numPr>
        <w:suppressLineNumbers/>
        <w:ind w:right="-2"/>
        <w:rPr>
          <w:noProof/>
          <w:szCs w:val="22"/>
          <w:u w:val="single"/>
        </w:rPr>
      </w:pPr>
      <w:r w:rsidRPr="005C44A1">
        <w:rPr>
          <w:noProof/>
          <w:szCs w:val="22"/>
          <w:u w:val="single"/>
        </w:rPr>
        <w:t>Biotransformácia</w:t>
      </w:r>
      <w:r w:rsidR="006D6D18" w:rsidRPr="005C44A1">
        <w:rPr>
          <w:noProof/>
          <w:szCs w:val="22"/>
          <w:u w:val="single"/>
        </w:rPr>
        <w:t xml:space="preserve"> a e</w:t>
      </w:r>
      <w:r w:rsidRPr="005C44A1">
        <w:rPr>
          <w:noProof/>
          <w:szCs w:val="22"/>
          <w:u w:val="single"/>
        </w:rPr>
        <w:t>liminácia</w:t>
      </w:r>
    </w:p>
    <w:p w14:paraId="3B932709" w14:textId="5A16F611" w:rsidR="009E25E3" w:rsidRPr="005C44A1" w:rsidRDefault="009E25E3" w:rsidP="005C44A1">
      <w:pPr>
        <w:numPr>
          <w:ilvl w:val="12"/>
          <w:numId w:val="0"/>
        </w:numPr>
        <w:suppressLineNumbers/>
        <w:ind w:right="-2"/>
        <w:rPr>
          <w:noProof/>
          <w:szCs w:val="22"/>
        </w:rPr>
      </w:pPr>
      <w:r w:rsidRPr="005C44A1">
        <w:rPr>
          <w:noProof/>
          <w:szCs w:val="22"/>
        </w:rPr>
        <w:t>Celkový plazmatický klírens olmesart</w:t>
      </w:r>
      <w:r w:rsidR="00A77212">
        <w:rPr>
          <w:noProof/>
          <w:szCs w:val="22"/>
        </w:rPr>
        <w:t>a</w:t>
      </w:r>
      <w:r w:rsidRPr="005C44A1">
        <w:rPr>
          <w:noProof/>
          <w:szCs w:val="22"/>
        </w:rPr>
        <w:t xml:space="preserve">nu bol spravidla 1,3 l/h (CV, 19 %) a bol relatívne </w:t>
      </w:r>
      <w:r w:rsidR="00B61375" w:rsidRPr="005C44A1">
        <w:rPr>
          <w:noProof/>
          <w:szCs w:val="22"/>
        </w:rPr>
        <w:t>pomalý v porovnaní</w:t>
      </w:r>
      <w:r w:rsidRPr="005C44A1">
        <w:rPr>
          <w:noProof/>
          <w:szCs w:val="22"/>
        </w:rPr>
        <w:t xml:space="preserve"> s prietokom krvi pečeňou (</w:t>
      </w:r>
      <w:r w:rsidR="00ED4DDA">
        <w:rPr>
          <w:noProof/>
          <w:szCs w:val="22"/>
        </w:rPr>
        <w:t>približne</w:t>
      </w:r>
      <w:r w:rsidRPr="005C44A1">
        <w:rPr>
          <w:noProof/>
          <w:szCs w:val="22"/>
        </w:rPr>
        <w:t xml:space="preserve">  90 l/h). Po jedn</w:t>
      </w:r>
      <w:r w:rsidR="004C0AD8" w:rsidRPr="005C44A1">
        <w:rPr>
          <w:noProof/>
          <w:szCs w:val="22"/>
        </w:rPr>
        <w:t>orazovej</w:t>
      </w:r>
      <w:r w:rsidRPr="005C44A1">
        <w:rPr>
          <w:noProof/>
          <w:szCs w:val="22"/>
        </w:rPr>
        <w:t xml:space="preserve"> perorálnej dávke olmesart</w:t>
      </w:r>
      <w:r w:rsidR="00424A27">
        <w:rPr>
          <w:noProof/>
          <w:szCs w:val="22"/>
        </w:rPr>
        <w:t>a</w:t>
      </w:r>
      <w:r w:rsidRPr="005C44A1">
        <w:rPr>
          <w:noProof/>
          <w:szCs w:val="22"/>
        </w:rPr>
        <w:t>nu</w:t>
      </w:r>
      <w:r w:rsidR="004C0AD8" w:rsidRPr="005C44A1">
        <w:rPr>
          <w:noProof/>
          <w:szCs w:val="22"/>
        </w:rPr>
        <w:t>-</w:t>
      </w:r>
      <w:r w:rsidRPr="005C44A1">
        <w:rPr>
          <w:noProof/>
          <w:szCs w:val="22"/>
        </w:rPr>
        <w:t xml:space="preserve">medoxomilu </w:t>
      </w:r>
      <w:r w:rsidR="004C0AD8" w:rsidRPr="005C44A1">
        <w:rPr>
          <w:noProof/>
          <w:szCs w:val="22"/>
        </w:rPr>
        <w:t xml:space="preserve">značeného 14C </w:t>
      </w:r>
      <w:r w:rsidRPr="005C44A1">
        <w:rPr>
          <w:noProof/>
          <w:szCs w:val="22"/>
        </w:rPr>
        <w:t>sa 10</w:t>
      </w:r>
      <w:r w:rsidR="00B7369F">
        <w:rPr>
          <w:noProof/>
          <w:szCs w:val="22"/>
        </w:rPr>
        <w:t> </w:t>
      </w:r>
      <w:r w:rsidR="004C0AD8" w:rsidRPr="005C44A1">
        <w:rPr>
          <w:noProof/>
          <w:szCs w:val="22"/>
        </w:rPr>
        <w:t>%</w:t>
      </w:r>
      <w:r w:rsidRPr="005C44A1">
        <w:rPr>
          <w:noProof/>
          <w:szCs w:val="22"/>
        </w:rPr>
        <w:t xml:space="preserve"> </w:t>
      </w:r>
      <w:r w:rsidR="003960EB" w:rsidRPr="005C44A1">
        <w:rPr>
          <w:szCs w:val="22"/>
        </w:rPr>
        <w:t>–</w:t>
      </w:r>
      <w:r w:rsidRPr="005C44A1">
        <w:rPr>
          <w:noProof/>
          <w:szCs w:val="22"/>
        </w:rPr>
        <w:t xml:space="preserve"> 16</w:t>
      </w:r>
      <w:r w:rsidR="00B7369F">
        <w:rPr>
          <w:noProof/>
          <w:szCs w:val="22"/>
        </w:rPr>
        <w:t> </w:t>
      </w:r>
      <w:r w:rsidRPr="005C44A1">
        <w:rPr>
          <w:noProof/>
          <w:szCs w:val="22"/>
        </w:rPr>
        <w:t>% podanej rádioaktivity vylúčilo močom (veľká väčšina do 24 hodín</w:t>
      </w:r>
      <w:r w:rsidR="003960EB" w:rsidRPr="005C44A1">
        <w:rPr>
          <w:noProof/>
          <w:szCs w:val="22"/>
        </w:rPr>
        <w:t xml:space="preserve"> po podaní dávky</w:t>
      </w:r>
      <w:r w:rsidRPr="005C44A1">
        <w:rPr>
          <w:noProof/>
          <w:szCs w:val="22"/>
        </w:rPr>
        <w:t>) a zvyšná časť zachytenej rádioaktivity sa vylúčila stolicou. Na základe systémovej dostupnosti 25,6 % sa dá vypočítať, že olmesart</w:t>
      </w:r>
      <w:r w:rsidR="002B6974">
        <w:rPr>
          <w:noProof/>
          <w:szCs w:val="22"/>
        </w:rPr>
        <w:t>a</w:t>
      </w:r>
      <w:r w:rsidRPr="005C44A1">
        <w:rPr>
          <w:noProof/>
          <w:szCs w:val="22"/>
        </w:rPr>
        <w:t xml:space="preserve">n sa </w:t>
      </w:r>
      <w:r w:rsidR="001D558A" w:rsidRPr="005C44A1">
        <w:rPr>
          <w:noProof/>
          <w:szCs w:val="22"/>
        </w:rPr>
        <w:t>vylučuje</w:t>
      </w:r>
      <w:r w:rsidRPr="005C44A1">
        <w:rPr>
          <w:noProof/>
          <w:szCs w:val="22"/>
        </w:rPr>
        <w:t xml:space="preserve"> obličkami (cca 40 %) aj hepatobiliárne (cca 60 %).</w:t>
      </w:r>
      <w:r w:rsidR="00111087" w:rsidRPr="005C44A1">
        <w:rPr>
          <w:noProof/>
          <w:szCs w:val="22"/>
        </w:rPr>
        <w:t xml:space="preserve"> Celá získaná rádioaktivita bola identifikovaná ako olmesart</w:t>
      </w:r>
      <w:r w:rsidR="002B6974">
        <w:rPr>
          <w:noProof/>
          <w:szCs w:val="22"/>
        </w:rPr>
        <w:t>a</w:t>
      </w:r>
      <w:r w:rsidR="00111087" w:rsidRPr="005C44A1">
        <w:rPr>
          <w:noProof/>
          <w:szCs w:val="22"/>
        </w:rPr>
        <w:t>n. Nebol zistený žiadny ďalší významný metabolit.</w:t>
      </w:r>
    </w:p>
    <w:p w14:paraId="3B93270A" w14:textId="770C09F8" w:rsidR="009E25E3" w:rsidRPr="005C44A1" w:rsidRDefault="009E25E3" w:rsidP="005C44A1">
      <w:pPr>
        <w:numPr>
          <w:ilvl w:val="12"/>
          <w:numId w:val="0"/>
        </w:numPr>
        <w:suppressLineNumbers/>
        <w:ind w:right="-2"/>
        <w:rPr>
          <w:noProof/>
          <w:szCs w:val="22"/>
        </w:rPr>
      </w:pPr>
      <w:r w:rsidRPr="005C44A1">
        <w:rPr>
          <w:noProof/>
          <w:szCs w:val="22"/>
        </w:rPr>
        <w:t>Enterohepatálna recyklácia olmesart</w:t>
      </w:r>
      <w:r w:rsidR="002B6974">
        <w:rPr>
          <w:noProof/>
          <w:szCs w:val="22"/>
        </w:rPr>
        <w:t>a</w:t>
      </w:r>
      <w:r w:rsidRPr="005C44A1">
        <w:rPr>
          <w:noProof/>
          <w:szCs w:val="22"/>
        </w:rPr>
        <w:t>nu je minimálna.</w:t>
      </w:r>
      <w:r w:rsidR="002F623A" w:rsidRPr="005C44A1">
        <w:rPr>
          <w:noProof/>
          <w:szCs w:val="22"/>
        </w:rPr>
        <w:t xml:space="preserve"> </w:t>
      </w:r>
      <w:r w:rsidRPr="005C44A1">
        <w:rPr>
          <w:noProof/>
          <w:szCs w:val="22"/>
        </w:rPr>
        <w:t>Vzhľadom na to, že veľká časť olmesart</w:t>
      </w:r>
      <w:r w:rsidR="002B6974">
        <w:rPr>
          <w:noProof/>
          <w:szCs w:val="22"/>
        </w:rPr>
        <w:t>a</w:t>
      </w:r>
      <w:r w:rsidRPr="005C44A1">
        <w:rPr>
          <w:noProof/>
          <w:szCs w:val="22"/>
        </w:rPr>
        <w:t>nu sa vylučuje žlčo</w:t>
      </w:r>
      <w:r w:rsidR="002F623A" w:rsidRPr="005C44A1">
        <w:rPr>
          <w:noProof/>
          <w:szCs w:val="22"/>
        </w:rPr>
        <w:t>u</w:t>
      </w:r>
      <w:r w:rsidRPr="005C44A1">
        <w:rPr>
          <w:noProof/>
          <w:szCs w:val="22"/>
        </w:rPr>
        <w:t>,</w:t>
      </w:r>
      <w:r w:rsidR="002F623A" w:rsidRPr="005C44A1">
        <w:rPr>
          <w:noProof/>
          <w:szCs w:val="22"/>
        </w:rPr>
        <w:t xml:space="preserve"> použitie</w:t>
      </w:r>
      <w:r w:rsidRPr="005C44A1">
        <w:rPr>
          <w:noProof/>
          <w:szCs w:val="22"/>
        </w:rPr>
        <w:t xml:space="preserve"> u pacientov s obštrukciou </w:t>
      </w:r>
      <w:r w:rsidR="002F623A" w:rsidRPr="005C44A1">
        <w:rPr>
          <w:noProof/>
          <w:szCs w:val="22"/>
        </w:rPr>
        <w:t>žlčových ciest je</w:t>
      </w:r>
      <w:r w:rsidRPr="005C44A1">
        <w:rPr>
          <w:noProof/>
          <w:szCs w:val="22"/>
        </w:rPr>
        <w:t xml:space="preserve"> kontraindikované (pozri časť 4.3).</w:t>
      </w:r>
    </w:p>
    <w:p w14:paraId="3B93270B" w14:textId="77777777" w:rsidR="009E25E3" w:rsidRPr="005C44A1" w:rsidRDefault="009E25E3" w:rsidP="005C44A1">
      <w:pPr>
        <w:numPr>
          <w:ilvl w:val="12"/>
          <w:numId w:val="0"/>
        </w:numPr>
        <w:suppressLineNumbers/>
        <w:ind w:right="-2"/>
        <w:rPr>
          <w:noProof/>
          <w:szCs w:val="22"/>
        </w:rPr>
      </w:pPr>
    </w:p>
    <w:p w14:paraId="3B93270C" w14:textId="23E76914" w:rsidR="009E25E3" w:rsidRPr="005C44A1" w:rsidRDefault="002F623A" w:rsidP="005C44A1">
      <w:pPr>
        <w:numPr>
          <w:ilvl w:val="12"/>
          <w:numId w:val="0"/>
        </w:numPr>
        <w:suppressLineNumbers/>
        <w:ind w:right="-2"/>
        <w:rPr>
          <w:noProof/>
          <w:szCs w:val="22"/>
        </w:rPr>
      </w:pPr>
      <w:r w:rsidRPr="005C44A1">
        <w:rPr>
          <w:noProof/>
          <w:szCs w:val="22"/>
        </w:rPr>
        <w:t>Terminálny</w:t>
      </w:r>
      <w:r w:rsidR="00A2446D" w:rsidRPr="005C44A1">
        <w:rPr>
          <w:noProof/>
          <w:szCs w:val="22"/>
        </w:rPr>
        <w:t xml:space="preserve"> eliminačný</w:t>
      </w:r>
      <w:r w:rsidRPr="005C44A1">
        <w:rPr>
          <w:noProof/>
          <w:szCs w:val="22"/>
        </w:rPr>
        <w:t xml:space="preserve"> </w:t>
      </w:r>
      <w:r w:rsidR="009E25E3" w:rsidRPr="005C44A1">
        <w:rPr>
          <w:noProof/>
          <w:szCs w:val="22"/>
        </w:rPr>
        <w:t>polčas olmesart</w:t>
      </w:r>
      <w:r w:rsidR="005124FF">
        <w:rPr>
          <w:noProof/>
          <w:szCs w:val="22"/>
        </w:rPr>
        <w:t>a</w:t>
      </w:r>
      <w:r w:rsidR="009E25E3" w:rsidRPr="005C44A1">
        <w:rPr>
          <w:noProof/>
          <w:szCs w:val="22"/>
        </w:rPr>
        <w:t xml:space="preserve">nu sa pohybuje medzi 10 a 15 hodinami po viacnásobnom perorálnom podaní. Rovnovážny stav sa dosiahne po niekoľkých prvých dávkach a po 14 dňoch opakovaného podávania sa ďalšia akumulácia nedokázala. Renálny klírens je približne 0,5 </w:t>
      </w:r>
      <w:r w:rsidR="001F03ED" w:rsidRPr="005C44A1">
        <w:rPr>
          <w:szCs w:val="22"/>
        </w:rPr>
        <w:t>–</w:t>
      </w:r>
      <w:r w:rsidR="009E25E3" w:rsidRPr="005C44A1">
        <w:rPr>
          <w:noProof/>
          <w:szCs w:val="22"/>
        </w:rPr>
        <w:t xml:space="preserve"> 0,7 l/h a </w:t>
      </w:r>
      <w:r w:rsidR="001F03ED" w:rsidRPr="005C44A1">
        <w:rPr>
          <w:noProof/>
          <w:szCs w:val="22"/>
        </w:rPr>
        <w:t>nezávisí</w:t>
      </w:r>
      <w:r w:rsidR="009E25E3" w:rsidRPr="005C44A1">
        <w:rPr>
          <w:noProof/>
          <w:szCs w:val="22"/>
        </w:rPr>
        <w:t xml:space="preserve"> od dávky.</w:t>
      </w:r>
    </w:p>
    <w:p w14:paraId="3B93270D" w14:textId="77777777" w:rsidR="009E25E3" w:rsidRPr="005C44A1" w:rsidRDefault="009E25E3" w:rsidP="005C44A1">
      <w:pPr>
        <w:numPr>
          <w:ilvl w:val="12"/>
          <w:numId w:val="0"/>
        </w:numPr>
        <w:suppressLineNumbers/>
        <w:ind w:right="-2"/>
        <w:rPr>
          <w:noProof/>
          <w:szCs w:val="22"/>
        </w:rPr>
      </w:pPr>
    </w:p>
    <w:p w14:paraId="3B93270E" w14:textId="77777777" w:rsidR="009E25E3" w:rsidRPr="005C44A1" w:rsidRDefault="009E25E3" w:rsidP="005C44A1">
      <w:pPr>
        <w:numPr>
          <w:ilvl w:val="12"/>
          <w:numId w:val="0"/>
        </w:numPr>
        <w:suppressLineNumbers/>
        <w:ind w:right="-2"/>
        <w:rPr>
          <w:noProof/>
          <w:szCs w:val="22"/>
          <w:u w:val="single"/>
        </w:rPr>
      </w:pPr>
      <w:r w:rsidRPr="005C44A1">
        <w:rPr>
          <w:noProof/>
          <w:szCs w:val="22"/>
          <w:u w:val="single"/>
        </w:rPr>
        <w:t>Liekové interakcie</w:t>
      </w:r>
    </w:p>
    <w:p w14:paraId="3B93270F" w14:textId="77777777" w:rsidR="009E25E3" w:rsidRPr="005C44A1" w:rsidRDefault="009E25E3" w:rsidP="005C44A1">
      <w:pPr>
        <w:numPr>
          <w:ilvl w:val="12"/>
          <w:numId w:val="0"/>
        </w:numPr>
        <w:suppressLineNumbers/>
        <w:ind w:right="-2"/>
        <w:rPr>
          <w:noProof/>
          <w:szCs w:val="22"/>
        </w:rPr>
      </w:pPr>
      <w:r w:rsidRPr="005C44A1">
        <w:rPr>
          <w:noProof/>
          <w:szCs w:val="22"/>
        </w:rPr>
        <w:t xml:space="preserve">Kolesevelam, </w:t>
      </w:r>
      <w:r w:rsidR="00324D53" w:rsidRPr="005C44A1">
        <w:rPr>
          <w:noProof/>
          <w:szCs w:val="22"/>
        </w:rPr>
        <w:t>sekvestrant</w:t>
      </w:r>
      <w:r w:rsidRPr="005C44A1">
        <w:rPr>
          <w:noProof/>
          <w:szCs w:val="22"/>
        </w:rPr>
        <w:t xml:space="preserve"> žlčov</w:t>
      </w:r>
      <w:r w:rsidR="00324D53" w:rsidRPr="005C44A1">
        <w:rPr>
          <w:noProof/>
          <w:szCs w:val="22"/>
        </w:rPr>
        <w:t>ých</w:t>
      </w:r>
      <w:r w:rsidRPr="005C44A1">
        <w:rPr>
          <w:noProof/>
          <w:szCs w:val="22"/>
        </w:rPr>
        <w:t xml:space="preserve"> kysel</w:t>
      </w:r>
      <w:r w:rsidR="00324D53" w:rsidRPr="005C44A1">
        <w:rPr>
          <w:noProof/>
          <w:szCs w:val="22"/>
        </w:rPr>
        <w:t>ín:</w:t>
      </w:r>
    </w:p>
    <w:p w14:paraId="3B932710" w14:textId="176DABDD" w:rsidR="009E25E3" w:rsidRPr="005C44A1" w:rsidRDefault="009E25E3" w:rsidP="005C44A1">
      <w:pPr>
        <w:numPr>
          <w:ilvl w:val="12"/>
          <w:numId w:val="0"/>
        </w:numPr>
        <w:suppressLineNumbers/>
        <w:ind w:right="-2"/>
        <w:rPr>
          <w:noProof/>
          <w:szCs w:val="22"/>
        </w:rPr>
      </w:pPr>
      <w:r w:rsidRPr="005C44A1">
        <w:rPr>
          <w:noProof/>
          <w:szCs w:val="22"/>
        </w:rPr>
        <w:t>Súbežné podávanie 40 mg olmesart</w:t>
      </w:r>
      <w:r w:rsidR="005124FF">
        <w:rPr>
          <w:noProof/>
          <w:szCs w:val="22"/>
        </w:rPr>
        <w:t>a</w:t>
      </w:r>
      <w:r w:rsidRPr="005C44A1">
        <w:rPr>
          <w:noProof/>
          <w:szCs w:val="22"/>
        </w:rPr>
        <w:t>nu</w:t>
      </w:r>
      <w:r w:rsidR="00324D53" w:rsidRPr="005C44A1">
        <w:rPr>
          <w:noProof/>
          <w:szCs w:val="22"/>
        </w:rPr>
        <w:t>-</w:t>
      </w:r>
      <w:r w:rsidRPr="005C44A1">
        <w:rPr>
          <w:noProof/>
          <w:szCs w:val="22"/>
        </w:rPr>
        <w:t>medoxomilu a 3750 mg kolesevelamiumchloridu zdravý</w:t>
      </w:r>
      <w:r w:rsidR="00324D53" w:rsidRPr="005C44A1">
        <w:rPr>
          <w:noProof/>
          <w:szCs w:val="22"/>
        </w:rPr>
        <w:t>m</w:t>
      </w:r>
      <w:r w:rsidRPr="005C44A1">
        <w:rPr>
          <w:noProof/>
          <w:szCs w:val="22"/>
        </w:rPr>
        <w:t xml:space="preserve"> dobrovoľníko</w:t>
      </w:r>
      <w:r w:rsidR="00324D53" w:rsidRPr="005C44A1">
        <w:rPr>
          <w:noProof/>
          <w:szCs w:val="22"/>
        </w:rPr>
        <w:t>m</w:t>
      </w:r>
      <w:r w:rsidRPr="005C44A1">
        <w:rPr>
          <w:noProof/>
          <w:szCs w:val="22"/>
        </w:rPr>
        <w:t xml:space="preserve"> </w:t>
      </w:r>
      <w:r w:rsidR="009266C6" w:rsidRPr="005C44A1">
        <w:rPr>
          <w:noProof/>
          <w:szCs w:val="22"/>
        </w:rPr>
        <w:t>malo za následok</w:t>
      </w:r>
      <w:r w:rsidRPr="005C44A1">
        <w:rPr>
          <w:noProof/>
          <w:szCs w:val="22"/>
        </w:rPr>
        <w:t xml:space="preserve"> 28</w:t>
      </w:r>
      <w:r w:rsidR="00C61220">
        <w:rPr>
          <w:noProof/>
          <w:szCs w:val="22"/>
        </w:rPr>
        <w:t> </w:t>
      </w:r>
      <w:r w:rsidRPr="005C44A1">
        <w:rPr>
          <w:noProof/>
          <w:szCs w:val="22"/>
        </w:rPr>
        <w:t>% zníženi</w:t>
      </w:r>
      <w:r w:rsidR="009266C6" w:rsidRPr="005C44A1">
        <w:rPr>
          <w:noProof/>
          <w:szCs w:val="22"/>
        </w:rPr>
        <w:t>e</w:t>
      </w:r>
      <w:r w:rsidRPr="005C44A1">
        <w:rPr>
          <w:noProof/>
          <w:szCs w:val="22"/>
        </w:rPr>
        <w:t xml:space="preserve"> C</w:t>
      </w:r>
      <w:r w:rsidRPr="005C44A1">
        <w:rPr>
          <w:noProof/>
          <w:szCs w:val="22"/>
          <w:vertAlign w:val="subscript"/>
        </w:rPr>
        <w:t xml:space="preserve">max </w:t>
      </w:r>
      <w:r w:rsidRPr="005C44A1">
        <w:rPr>
          <w:noProof/>
          <w:szCs w:val="22"/>
        </w:rPr>
        <w:t>a</w:t>
      </w:r>
      <w:r w:rsidR="006B510A">
        <w:rPr>
          <w:noProof/>
          <w:szCs w:val="22"/>
        </w:rPr>
        <w:t> </w:t>
      </w:r>
      <w:r w:rsidRPr="005C44A1">
        <w:rPr>
          <w:noProof/>
          <w:szCs w:val="22"/>
        </w:rPr>
        <w:t>39</w:t>
      </w:r>
      <w:r w:rsidR="006B510A">
        <w:rPr>
          <w:noProof/>
          <w:szCs w:val="22"/>
        </w:rPr>
        <w:t> </w:t>
      </w:r>
      <w:r w:rsidRPr="005C44A1">
        <w:rPr>
          <w:noProof/>
          <w:szCs w:val="22"/>
        </w:rPr>
        <w:t>% zníženi</w:t>
      </w:r>
      <w:r w:rsidR="009266C6" w:rsidRPr="005C44A1">
        <w:rPr>
          <w:noProof/>
          <w:szCs w:val="22"/>
        </w:rPr>
        <w:t>e</w:t>
      </w:r>
      <w:r w:rsidRPr="005C44A1">
        <w:rPr>
          <w:noProof/>
          <w:szCs w:val="22"/>
        </w:rPr>
        <w:t xml:space="preserve"> AUC olmesart</w:t>
      </w:r>
      <w:r w:rsidR="005124FF">
        <w:rPr>
          <w:noProof/>
          <w:szCs w:val="22"/>
        </w:rPr>
        <w:t>a</w:t>
      </w:r>
      <w:r w:rsidRPr="005C44A1">
        <w:rPr>
          <w:noProof/>
          <w:szCs w:val="22"/>
        </w:rPr>
        <w:t xml:space="preserve">nu. </w:t>
      </w:r>
      <w:r w:rsidR="009266C6" w:rsidRPr="005C44A1">
        <w:rPr>
          <w:noProof/>
          <w:szCs w:val="22"/>
        </w:rPr>
        <w:t>Slabšie</w:t>
      </w:r>
      <w:r w:rsidRPr="005C44A1">
        <w:rPr>
          <w:noProof/>
          <w:szCs w:val="22"/>
        </w:rPr>
        <w:t xml:space="preserve"> účinky, 4</w:t>
      </w:r>
      <w:r w:rsidR="006B510A">
        <w:rPr>
          <w:noProof/>
          <w:szCs w:val="22"/>
        </w:rPr>
        <w:t> </w:t>
      </w:r>
      <w:r w:rsidRPr="005C44A1">
        <w:rPr>
          <w:noProof/>
          <w:szCs w:val="22"/>
        </w:rPr>
        <w:t>% a</w:t>
      </w:r>
      <w:r w:rsidR="006B510A">
        <w:rPr>
          <w:noProof/>
          <w:szCs w:val="22"/>
        </w:rPr>
        <w:t> </w:t>
      </w:r>
      <w:r w:rsidRPr="005C44A1">
        <w:rPr>
          <w:noProof/>
          <w:szCs w:val="22"/>
        </w:rPr>
        <w:t>15</w:t>
      </w:r>
      <w:r w:rsidR="006B510A">
        <w:rPr>
          <w:noProof/>
          <w:szCs w:val="22"/>
        </w:rPr>
        <w:t> </w:t>
      </w:r>
      <w:r w:rsidRPr="005C44A1">
        <w:rPr>
          <w:noProof/>
          <w:szCs w:val="22"/>
        </w:rPr>
        <w:t>% zníženie C</w:t>
      </w:r>
      <w:r w:rsidRPr="005C44A1">
        <w:rPr>
          <w:noProof/>
          <w:szCs w:val="22"/>
          <w:vertAlign w:val="subscript"/>
        </w:rPr>
        <w:t>max</w:t>
      </w:r>
      <w:r w:rsidRPr="005C44A1">
        <w:rPr>
          <w:noProof/>
          <w:szCs w:val="22"/>
        </w:rPr>
        <w:t xml:space="preserve"> a AUC v uvedenom poradí</w:t>
      </w:r>
      <w:r w:rsidR="006B510A">
        <w:rPr>
          <w:noProof/>
          <w:szCs w:val="22"/>
        </w:rPr>
        <w:t>,</w:t>
      </w:r>
      <w:r w:rsidRPr="005C44A1">
        <w:rPr>
          <w:noProof/>
          <w:szCs w:val="22"/>
        </w:rPr>
        <w:t xml:space="preserve"> bol</w:t>
      </w:r>
      <w:r w:rsidR="0048031C">
        <w:rPr>
          <w:noProof/>
          <w:szCs w:val="22"/>
        </w:rPr>
        <w:t>i</w:t>
      </w:r>
      <w:r w:rsidRPr="005C44A1">
        <w:rPr>
          <w:noProof/>
          <w:szCs w:val="22"/>
        </w:rPr>
        <w:t xml:space="preserve"> pozorované, keď bol podávaný olmesart</w:t>
      </w:r>
      <w:r w:rsidR="006666CE">
        <w:rPr>
          <w:noProof/>
          <w:szCs w:val="22"/>
        </w:rPr>
        <w:t>a</w:t>
      </w:r>
      <w:r w:rsidRPr="005C44A1">
        <w:rPr>
          <w:noProof/>
          <w:szCs w:val="22"/>
        </w:rPr>
        <w:t>n</w:t>
      </w:r>
      <w:r w:rsidR="00FC1660" w:rsidRPr="005C44A1">
        <w:rPr>
          <w:noProof/>
          <w:szCs w:val="22"/>
        </w:rPr>
        <w:t>-</w:t>
      </w:r>
      <w:r w:rsidRPr="005C44A1">
        <w:rPr>
          <w:noProof/>
          <w:szCs w:val="22"/>
        </w:rPr>
        <w:t>medoxomil 4 hodiny pred kolesevelamiumchloridom. Eliminačný polčas olmesart</w:t>
      </w:r>
      <w:r w:rsidR="006666CE">
        <w:rPr>
          <w:noProof/>
          <w:szCs w:val="22"/>
        </w:rPr>
        <w:t>a</w:t>
      </w:r>
      <w:r w:rsidRPr="005C44A1">
        <w:rPr>
          <w:noProof/>
          <w:szCs w:val="22"/>
        </w:rPr>
        <w:t>nu bol znížený o 50 až 52</w:t>
      </w:r>
      <w:r w:rsidR="0045101C">
        <w:rPr>
          <w:noProof/>
          <w:szCs w:val="22"/>
        </w:rPr>
        <w:t> </w:t>
      </w:r>
      <w:r w:rsidRPr="005C44A1">
        <w:rPr>
          <w:noProof/>
          <w:szCs w:val="22"/>
        </w:rPr>
        <w:t xml:space="preserve">% bez ohľadu na to, či </w:t>
      </w:r>
      <w:r w:rsidR="00FC1660" w:rsidRPr="005C44A1">
        <w:rPr>
          <w:noProof/>
          <w:szCs w:val="22"/>
        </w:rPr>
        <w:t>sa</w:t>
      </w:r>
      <w:r w:rsidRPr="005C44A1">
        <w:rPr>
          <w:noProof/>
          <w:szCs w:val="22"/>
        </w:rPr>
        <w:t xml:space="preserve"> podáva</w:t>
      </w:r>
      <w:r w:rsidR="00FC1660" w:rsidRPr="005C44A1">
        <w:rPr>
          <w:noProof/>
          <w:szCs w:val="22"/>
        </w:rPr>
        <w:t>l</w:t>
      </w:r>
      <w:r w:rsidRPr="005C44A1">
        <w:rPr>
          <w:noProof/>
          <w:szCs w:val="22"/>
        </w:rPr>
        <w:t xml:space="preserve"> súbežne alebo 4 hodiny pred kolesevelamiumchloridom (pozri časť 4.5).</w:t>
      </w:r>
    </w:p>
    <w:p w14:paraId="3B932711" w14:textId="77777777" w:rsidR="009E25E3" w:rsidRPr="005C44A1" w:rsidRDefault="009E25E3" w:rsidP="005C44A1">
      <w:pPr>
        <w:numPr>
          <w:ilvl w:val="12"/>
          <w:numId w:val="0"/>
        </w:numPr>
        <w:suppressLineNumbers/>
        <w:ind w:right="-2"/>
        <w:rPr>
          <w:noProof/>
          <w:szCs w:val="22"/>
        </w:rPr>
      </w:pPr>
    </w:p>
    <w:p w14:paraId="3B932712" w14:textId="77777777" w:rsidR="00FC6918" w:rsidRPr="005C44A1" w:rsidRDefault="00FC1660" w:rsidP="005C44A1">
      <w:pPr>
        <w:suppressLineNumbers/>
        <w:rPr>
          <w:noProof/>
          <w:szCs w:val="22"/>
          <w:u w:val="single"/>
        </w:rPr>
      </w:pPr>
      <w:r w:rsidRPr="005C44A1">
        <w:rPr>
          <w:noProof/>
          <w:szCs w:val="22"/>
          <w:u w:val="single"/>
        </w:rPr>
        <w:t>Amlodipín (liečivo Reverantzy)</w:t>
      </w:r>
    </w:p>
    <w:p w14:paraId="3B932713" w14:textId="77777777" w:rsidR="00780926" w:rsidRPr="005C44A1" w:rsidRDefault="00780926" w:rsidP="005C44A1">
      <w:pPr>
        <w:rPr>
          <w:szCs w:val="22"/>
        </w:rPr>
      </w:pPr>
    </w:p>
    <w:p w14:paraId="3B932714" w14:textId="77777777" w:rsidR="00FC1660" w:rsidRPr="005C44A1" w:rsidRDefault="00FC1660" w:rsidP="005C44A1">
      <w:pPr>
        <w:ind w:left="0" w:firstLine="0"/>
        <w:rPr>
          <w:szCs w:val="22"/>
          <w:u w:val="single"/>
        </w:rPr>
      </w:pPr>
      <w:r w:rsidRPr="005C44A1">
        <w:rPr>
          <w:szCs w:val="22"/>
          <w:u w:val="single"/>
        </w:rPr>
        <w:t>Absorpcia a distribúcia</w:t>
      </w:r>
    </w:p>
    <w:p w14:paraId="3B932715" w14:textId="51F95F64" w:rsidR="00FC1660" w:rsidRPr="005C44A1" w:rsidRDefault="00FC1660" w:rsidP="005C44A1">
      <w:pPr>
        <w:ind w:left="0" w:firstLine="0"/>
        <w:rPr>
          <w:szCs w:val="22"/>
        </w:rPr>
      </w:pPr>
      <w:r w:rsidRPr="005C44A1">
        <w:rPr>
          <w:szCs w:val="22"/>
        </w:rPr>
        <w:t>Po perorálnom podaní terapeutických dávok sa amlodipín dobre absorbuje s dosiahnutím najvyššej hladiny v krvi medzi 6-12 h po podaní dávky. Absolútna bio</w:t>
      </w:r>
      <w:r w:rsidR="00F375CF" w:rsidRPr="005C44A1">
        <w:rPr>
          <w:szCs w:val="22"/>
        </w:rPr>
        <w:t xml:space="preserve">logická </w:t>
      </w:r>
      <w:r w:rsidRPr="005C44A1">
        <w:rPr>
          <w:szCs w:val="22"/>
        </w:rPr>
        <w:t>dostupnosť bola stanovená medzi 64 a</w:t>
      </w:r>
      <w:r w:rsidR="00830B4C">
        <w:rPr>
          <w:szCs w:val="22"/>
        </w:rPr>
        <w:t> </w:t>
      </w:r>
      <w:r w:rsidRPr="005C44A1">
        <w:rPr>
          <w:szCs w:val="22"/>
        </w:rPr>
        <w:t>80</w:t>
      </w:r>
      <w:r w:rsidR="00830B4C">
        <w:rPr>
          <w:szCs w:val="22"/>
        </w:rPr>
        <w:t> </w:t>
      </w:r>
      <w:r w:rsidRPr="005C44A1">
        <w:rPr>
          <w:szCs w:val="22"/>
        </w:rPr>
        <w:t xml:space="preserve">%. Distribučný objem je </w:t>
      </w:r>
      <w:r w:rsidR="00F375CF" w:rsidRPr="005C44A1">
        <w:rPr>
          <w:szCs w:val="22"/>
        </w:rPr>
        <w:t>približne</w:t>
      </w:r>
      <w:r w:rsidRPr="005C44A1">
        <w:rPr>
          <w:szCs w:val="22"/>
        </w:rPr>
        <w:t xml:space="preserve"> 21 l/kg. Štúdie </w:t>
      </w:r>
      <w:r w:rsidRPr="005C44A1">
        <w:rPr>
          <w:i/>
          <w:szCs w:val="22"/>
        </w:rPr>
        <w:t>in vitro</w:t>
      </w:r>
      <w:r w:rsidRPr="005C44A1">
        <w:rPr>
          <w:szCs w:val="22"/>
        </w:rPr>
        <w:t xml:space="preserve"> </w:t>
      </w:r>
      <w:r w:rsidR="00F375CF" w:rsidRPr="005C44A1">
        <w:rPr>
          <w:szCs w:val="22"/>
        </w:rPr>
        <w:t>pre</w:t>
      </w:r>
      <w:r w:rsidRPr="005C44A1">
        <w:rPr>
          <w:szCs w:val="22"/>
        </w:rPr>
        <w:t>ukázali, že približne 97,5 % cirkulujúceho amlodipínu je viazaných na plazmatické proteíny.</w:t>
      </w:r>
      <w:r w:rsidR="00AC7F63" w:rsidRPr="005C44A1">
        <w:rPr>
          <w:szCs w:val="22"/>
        </w:rPr>
        <w:t xml:space="preserve"> </w:t>
      </w:r>
      <w:r w:rsidRPr="005C44A1">
        <w:rPr>
          <w:szCs w:val="22"/>
        </w:rPr>
        <w:t>Absorpcia amlodipínu nie je ovplyvnená súčasným príjmom potravy.</w:t>
      </w:r>
    </w:p>
    <w:p w14:paraId="3B932716" w14:textId="77777777" w:rsidR="00FC1660" w:rsidRPr="005C44A1" w:rsidRDefault="00FC1660" w:rsidP="005C44A1">
      <w:pPr>
        <w:ind w:left="0" w:firstLine="0"/>
        <w:rPr>
          <w:szCs w:val="22"/>
        </w:rPr>
      </w:pPr>
    </w:p>
    <w:p w14:paraId="3B932717" w14:textId="77777777" w:rsidR="00FC1660" w:rsidRPr="005C44A1" w:rsidRDefault="00FC1660" w:rsidP="005C44A1">
      <w:pPr>
        <w:ind w:left="0" w:firstLine="0"/>
        <w:rPr>
          <w:szCs w:val="22"/>
          <w:u w:val="single"/>
        </w:rPr>
      </w:pPr>
      <w:r w:rsidRPr="005C44A1">
        <w:rPr>
          <w:szCs w:val="22"/>
          <w:u w:val="single"/>
        </w:rPr>
        <w:t>Biotransformácia a eliminácia</w:t>
      </w:r>
    </w:p>
    <w:p w14:paraId="3B932718" w14:textId="66CD6228" w:rsidR="00FC1660" w:rsidRPr="005C44A1" w:rsidRDefault="00FC1660" w:rsidP="005C44A1">
      <w:pPr>
        <w:ind w:left="0" w:firstLine="0"/>
        <w:rPr>
          <w:szCs w:val="22"/>
        </w:rPr>
      </w:pPr>
      <w:r w:rsidRPr="005C44A1">
        <w:rPr>
          <w:szCs w:val="22"/>
        </w:rPr>
        <w:t>Terminálny eliminačný plazmatický polčas je 35</w:t>
      </w:r>
      <w:r w:rsidR="00AC7F63" w:rsidRPr="005C44A1">
        <w:rPr>
          <w:spacing w:val="-1"/>
          <w:szCs w:val="22"/>
        </w:rPr>
        <w:t>-</w:t>
      </w:r>
      <w:r w:rsidRPr="005C44A1">
        <w:rPr>
          <w:szCs w:val="22"/>
        </w:rPr>
        <w:t>50 h p</w:t>
      </w:r>
      <w:r w:rsidR="00AC7F63" w:rsidRPr="005C44A1">
        <w:rPr>
          <w:szCs w:val="22"/>
        </w:rPr>
        <w:t>ri</w:t>
      </w:r>
      <w:r w:rsidRPr="005C44A1">
        <w:rPr>
          <w:szCs w:val="22"/>
        </w:rPr>
        <w:t xml:space="preserve"> dávkovaní jedenkrát denne. Amlodipín sa extenzívne metabolizuje v pečeni na </w:t>
      </w:r>
      <w:r w:rsidR="00547429" w:rsidRPr="005C44A1">
        <w:rPr>
          <w:szCs w:val="22"/>
        </w:rPr>
        <w:t>ne</w:t>
      </w:r>
      <w:r w:rsidRPr="005C44A1">
        <w:rPr>
          <w:szCs w:val="22"/>
        </w:rPr>
        <w:t>aktívne metabolity</w:t>
      </w:r>
      <w:r w:rsidR="00547429" w:rsidRPr="005C44A1">
        <w:rPr>
          <w:szCs w:val="22"/>
        </w:rPr>
        <w:t>, pričom</w:t>
      </w:r>
      <w:r w:rsidRPr="005C44A1">
        <w:rPr>
          <w:szCs w:val="22"/>
        </w:rPr>
        <w:t xml:space="preserve"> 10 % materskej </w:t>
      </w:r>
      <w:r w:rsidR="00DF7296" w:rsidRPr="005C44A1">
        <w:rPr>
          <w:szCs w:val="22"/>
        </w:rPr>
        <w:t>zlúčeniny</w:t>
      </w:r>
      <w:r w:rsidRPr="005C44A1">
        <w:rPr>
          <w:szCs w:val="22"/>
        </w:rPr>
        <w:t xml:space="preserve"> a 60 % metabolitov sa vyl</w:t>
      </w:r>
      <w:r w:rsidR="00547429" w:rsidRPr="005C44A1">
        <w:rPr>
          <w:szCs w:val="22"/>
        </w:rPr>
        <w:t>učuje</w:t>
      </w:r>
      <w:r w:rsidRPr="005C44A1">
        <w:rPr>
          <w:szCs w:val="22"/>
        </w:rPr>
        <w:t xml:space="preserve"> moč</w:t>
      </w:r>
      <w:r w:rsidR="00547429" w:rsidRPr="005C44A1">
        <w:rPr>
          <w:szCs w:val="22"/>
        </w:rPr>
        <w:t>om</w:t>
      </w:r>
      <w:r w:rsidRPr="005C44A1">
        <w:rPr>
          <w:szCs w:val="22"/>
        </w:rPr>
        <w:t>.</w:t>
      </w:r>
    </w:p>
    <w:p w14:paraId="3B932719" w14:textId="77777777" w:rsidR="00FC1660" w:rsidRPr="005C44A1" w:rsidRDefault="00FC1660" w:rsidP="005C44A1">
      <w:pPr>
        <w:ind w:left="0" w:firstLine="0"/>
        <w:rPr>
          <w:szCs w:val="22"/>
        </w:rPr>
      </w:pPr>
    </w:p>
    <w:p w14:paraId="3B93271A" w14:textId="6566F0E9" w:rsidR="00FC1660" w:rsidRPr="005C44A1" w:rsidRDefault="00FC1660" w:rsidP="005C44A1">
      <w:pPr>
        <w:ind w:left="0" w:firstLine="0"/>
        <w:rPr>
          <w:szCs w:val="22"/>
          <w:u w:val="single"/>
        </w:rPr>
      </w:pPr>
      <w:r w:rsidRPr="005C44A1">
        <w:rPr>
          <w:szCs w:val="22"/>
          <w:u w:val="single"/>
        </w:rPr>
        <w:t>Olmesart</w:t>
      </w:r>
      <w:r w:rsidR="006666CE">
        <w:rPr>
          <w:szCs w:val="22"/>
          <w:u w:val="single"/>
        </w:rPr>
        <w:t>a</w:t>
      </w:r>
      <w:r w:rsidRPr="005C44A1">
        <w:rPr>
          <w:szCs w:val="22"/>
          <w:u w:val="single"/>
        </w:rPr>
        <w:t>n</w:t>
      </w:r>
      <w:r w:rsidR="002310BD" w:rsidRPr="005C44A1">
        <w:rPr>
          <w:szCs w:val="22"/>
          <w:u w:val="single"/>
        </w:rPr>
        <w:t>-</w:t>
      </w:r>
      <w:r w:rsidRPr="005C44A1">
        <w:rPr>
          <w:szCs w:val="22"/>
          <w:u w:val="single"/>
        </w:rPr>
        <w:t xml:space="preserve">medoxomil a amlodipín (liečivá </w:t>
      </w:r>
      <w:r w:rsidR="002310BD" w:rsidRPr="005C44A1">
        <w:rPr>
          <w:szCs w:val="22"/>
          <w:u w:val="single"/>
        </w:rPr>
        <w:t>Reverantzy</w:t>
      </w:r>
      <w:r w:rsidRPr="005C44A1">
        <w:rPr>
          <w:szCs w:val="22"/>
          <w:u w:val="single"/>
        </w:rPr>
        <w:t>)</w:t>
      </w:r>
    </w:p>
    <w:p w14:paraId="3B93271B" w14:textId="77777777" w:rsidR="00FC1660" w:rsidRPr="005C44A1" w:rsidRDefault="00FC1660" w:rsidP="005C44A1">
      <w:pPr>
        <w:ind w:left="0" w:firstLine="0"/>
        <w:rPr>
          <w:szCs w:val="22"/>
        </w:rPr>
      </w:pPr>
    </w:p>
    <w:p w14:paraId="3B93271C" w14:textId="77777777" w:rsidR="00FC1660" w:rsidRPr="005C44A1" w:rsidRDefault="00FC1660" w:rsidP="005C44A1">
      <w:pPr>
        <w:ind w:left="0" w:firstLine="0"/>
        <w:rPr>
          <w:szCs w:val="22"/>
          <w:u w:val="single"/>
        </w:rPr>
      </w:pPr>
      <w:r w:rsidRPr="005C44A1">
        <w:rPr>
          <w:szCs w:val="22"/>
          <w:u w:val="single"/>
        </w:rPr>
        <w:t>Osobitné populácie</w:t>
      </w:r>
    </w:p>
    <w:p w14:paraId="3B93271D" w14:textId="77777777" w:rsidR="00FC1660" w:rsidRPr="005C44A1" w:rsidRDefault="00FC1660" w:rsidP="005C44A1">
      <w:pPr>
        <w:ind w:left="0" w:firstLine="0"/>
        <w:rPr>
          <w:i/>
          <w:szCs w:val="22"/>
        </w:rPr>
      </w:pPr>
      <w:r w:rsidRPr="005C44A1">
        <w:rPr>
          <w:i/>
          <w:szCs w:val="22"/>
        </w:rPr>
        <w:t>Pediatrická populácia (vek do 18 rokov)</w:t>
      </w:r>
    </w:p>
    <w:p w14:paraId="3B93271E" w14:textId="77777777" w:rsidR="00FC1660" w:rsidRPr="005C44A1" w:rsidRDefault="00DF7296" w:rsidP="005C44A1">
      <w:pPr>
        <w:ind w:left="0" w:firstLine="0"/>
        <w:rPr>
          <w:szCs w:val="22"/>
        </w:rPr>
      </w:pPr>
      <w:r w:rsidRPr="005C44A1">
        <w:rPr>
          <w:szCs w:val="22"/>
        </w:rPr>
        <w:t xml:space="preserve">K dispozícii nie sú </w:t>
      </w:r>
      <w:r w:rsidR="00FC1660" w:rsidRPr="005C44A1">
        <w:rPr>
          <w:szCs w:val="22"/>
        </w:rPr>
        <w:t>žiadne údaje týkajúce sa farmakokinetiky</w:t>
      </w:r>
      <w:r w:rsidR="006E56B1" w:rsidRPr="005C44A1">
        <w:rPr>
          <w:szCs w:val="22"/>
        </w:rPr>
        <w:t xml:space="preserve"> v pediatrickej populácii</w:t>
      </w:r>
      <w:r w:rsidR="00FC1660" w:rsidRPr="005C44A1">
        <w:rPr>
          <w:szCs w:val="22"/>
        </w:rPr>
        <w:t>.</w:t>
      </w:r>
    </w:p>
    <w:p w14:paraId="3B93271F" w14:textId="77777777" w:rsidR="00FC1660" w:rsidRPr="005C44A1" w:rsidRDefault="00FC1660" w:rsidP="005C44A1">
      <w:pPr>
        <w:ind w:left="0" w:firstLine="0"/>
        <w:rPr>
          <w:szCs w:val="22"/>
        </w:rPr>
      </w:pPr>
    </w:p>
    <w:p w14:paraId="3B932720" w14:textId="3934FA41" w:rsidR="00FC1660" w:rsidRPr="005C44A1" w:rsidRDefault="00FC1660" w:rsidP="005C44A1">
      <w:pPr>
        <w:ind w:left="0" w:firstLine="0"/>
        <w:rPr>
          <w:i/>
          <w:szCs w:val="22"/>
        </w:rPr>
      </w:pPr>
      <w:r w:rsidRPr="005C44A1">
        <w:rPr>
          <w:i/>
          <w:szCs w:val="22"/>
        </w:rPr>
        <w:t>Starš</w:t>
      </w:r>
      <w:r w:rsidR="001C7D1B">
        <w:rPr>
          <w:i/>
          <w:szCs w:val="22"/>
        </w:rPr>
        <w:t>ie osoby</w:t>
      </w:r>
      <w:r w:rsidRPr="005C44A1">
        <w:rPr>
          <w:i/>
          <w:szCs w:val="22"/>
        </w:rPr>
        <w:t xml:space="preserve"> (vo veku 65 rokov a viac)</w:t>
      </w:r>
    </w:p>
    <w:p w14:paraId="3B932721" w14:textId="407160C3" w:rsidR="00FC1660" w:rsidRPr="005C44A1" w:rsidRDefault="006E56B1" w:rsidP="005C44A1">
      <w:pPr>
        <w:ind w:left="0" w:firstLine="0"/>
        <w:rPr>
          <w:szCs w:val="22"/>
        </w:rPr>
      </w:pPr>
      <w:r w:rsidRPr="005C44A1">
        <w:rPr>
          <w:szCs w:val="22"/>
        </w:rPr>
        <w:t>U pacientov s hypertenziou je AUC olmesart</w:t>
      </w:r>
      <w:r w:rsidR="00402BE5">
        <w:rPr>
          <w:szCs w:val="22"/>
        </w:rPr>
        <w:t>a</w:t>
      </w:r>
      <w:r w:rsidR="00FC1660" w:rsidRPr="005C44A1">
        <w:rPr>
          <w:szCs w:val="22"/>
        </w:rPr>
        <w:t>nu v rovnovážnom stave zvýš</w:t>
      </w:r>
      <w:r w:rsidR="003553C5" w:rsidRPr="005C44A1">
        <w:rPr>
          <w:szCs w:val="22"/>
        </w:rPr>
        <w:t>ená</w:t>
      </w:r>
      <w:r w:rsidR="00FC1660" w:rsidRPr="005C44A1">
        <w:rPr>
          <w:szCs w:val="22"/>
        </w:rPr>
        <w:t xml:space="preserve"> </w:t>
      </w:r>
      <w:r w:rsidR="003553C5" w:rsidRPr="005C44A1">
        <w:rPr>
          <w:szCs w:val="22"/>
        </w:rPr>
        <w:t>asi</w:t>
      </w:r>
      <w:r w:rsidR="00FC1660" w:rsidRPr="005C44A1">
        <w:rPr>
          <w:szCs w:val="22"/>
        </w:rPr>
        <w:t xml:space="preserve"> o 35 % u starších  ľudí (vo veku 65 - 75 rokov)</w:t>
      </w:r>
      <w:r w:rsidR="003553C5" w:rsidRPr="005C44A1">
        <w:rPr>
          <w:szCs w:val="22"/>
        </w:rPr>
        <w:t xml:space="preserve"> a asi o</w:t>
      </w:r>
      <w:r w:rsidR="001200B9">
        <w:rPr>
          <w:szCs w:val="22"/>
        </w:rPr>
        <w:t> </w:t>
      </w:r>
      <w:r w:rsidR="003553C5" w:rsidRPr="005C44A1">
        <w:rPr>
          <w:szCs w:val="22"/>
        </w:rPr>
        <w:t>44</w:t>
      </w:r>
      <w:r w:rsidR="001200B9">
        <w:rPr>
          <w:szCs w:val="22"/>
        </w:rPr>
        <w:t> </w:t>
      </w:r>
      <w:r w:rsidR="003553C5" w:rsidRPr="005C44A1">
        <w:rPr>
          <w:szCs w:val="22"/>
        </w:rPr>
        <w:t>%</w:t>
      </w:r>
      <w:r w:rsidR="00FC1660" w:rsidRPr="005C44A1">
        <w:rPr>
          <w:szCs w:val="22"/>
        </w:rPr>
        <w:t xml:space="preserve"> u veľmi starých ľudí (</w:t>
      </w:r>
      <w:r w:rsidR="003553C5" w:rsidRPr="005C44A1">
        <w:rPr>
          <w:szCs w:val="22"/>
        </w:rPr>
        <w:t xml:space="preserve">≥ </w:t>
      </w:r>
      <w:r w:rsidR="00FC1660" w:rsidRPr="005C44A1">
        <w:rPr>
          <w:szCs w:val="22"/>
        </w:rPr>
        <w:t xml:space="preserve">75 rokov) v porovnaní s mladšou vekovou skupinou (pozri časť 4.2). </w:t>
      </w:r>
      <w:r w:rsidR="00E25202" w:rsidRPr="005C44A1">
        <w:rPr>
          <w:szCs w:val="22"/>
        </w:rPr>
        <w:t>M</w:t>
      </w:r>
      <w:r w:rsidR="00FC1660" w:rsidRPr="005C44A1">
        <w:rPr>
          <w:szCs w:val="22"/>
        </w:rPr>
        <w:t xml:space="preserve">ôže </w:t>
      </w:r>
      <w:r w:rsidR="00E25202" w:rsidRPr="005C44A1">
        <w:rPr>
          <w:szCs w:val="22"/>
        </w:rPr>
        <w:t xml:space="preserve">to </w:t>
      </w:r>
      <w:r w:rsidR="00FC1660" w:rsidRPr="005C44A1">
        <w:rPr>
          <w:szCs w:val="22"/>
        </w:rPr>
        <w:t xml:space="preserve">aspoň čiastočne súvisieť s priemerným znížením </w:t>
      </w:r>
      <w:r w:rsidR="00E25202" w:rsidRPr="005C44A1">
        <w:rPr>
          <w:szCs w:val="22"/>
        </w:rPr>
        <w:t>renálnej</w:t>
      </w:r>
      <w:r w:rsidR="00FC1660" w:rsidRPr="005C44A1">
        <w:rPr>
          <w:szCs w:val="22"/>
        </w:rPr>
        <w:t xml:space="preserve"> funkcie </w:t>
      </w:r>
      <w:r w:rsidR="00E25202" w:rsidRPr="005C44A1">
        <w:rPr>
          <w:szCs w:val="22"/>
        </w:rPr>
        <w:t>u</w:t>
      </w:r>
      <w:r w:rsidR="00FC1660" w:rsidRPr="005C44A1">
        <w:rPr>
          <w:szCs w:val="22"/>
        </w:rPr>
        <w:t xml:space="preserve"> tejto skupin</w:t>
      </w:r>
      <w:r w:rsidR="00E25202" w:rsidRPr="005C44A1">
        <w:rPr>
          <w:szCs w:val="22"/>
        </w:rPr>
        <w:t>y</w:t>
      </w:r>
      <w:r w:rsidR="00FC1660" w:rsidRPr="005C44A1">
        <w:rPr>
          <w:szCs w:val="22"/>
        </w:rPr>
        <w:t xml:space="preserve"> pacientov. Odporúčané dávkovanie je však u starších ľudí rovnaké, aj keď sa pri zvyšovaní dávky vyžaduje opatrnosť.</w:t>
      </w:r>
    </w:p>
    <w:p w14:paraId="3B932722" w14:textId="77777777" w:rsidR="00FC1660" w:rsidRPr="005C44A1" w:rsidRDefault="00FC1660" w:rsidP="005C44A1">
      <w:pPr>
        <w:ind w:left="0" w:firstLine="0"/>
        <w:rPr>
          <w:szCs w:val="22"/>
        </w:rPr>
      </w:pPr>
    </w:p>
    <w:p w14:paraId="3B932723" w14:textId="5899E7D0" w:rsidR="00FC1660" w:rsidRPr="005C44A1" w:rsidRDefault="00E25202" w:rsidP="005C44A1">
      <w:pPr>
        <w:ind w:left="0" w:firstLine="0"/>
        <w:rPr>
          <w:szCs w:val="22"/>
        </w:rPr>
      </w:pPr>
      <w:r w:rsidRPr="005C44A1">
        <w:rPr>
          <w:szCs w:val="22"/>
        </w:rPr>
        <w:lastRenderedPageBreak/>
        <w:t xml:space="preserve">Čas </w:t>
      </w:r>
      <w:r w:rsidR="001C7D1B">
        <w:rPr>
          <w:szCs w:val="22"/>
        </w:rPr>
        <w:t xml:space="preserve">potrebný </w:t>
      </w:r>
      <w:r w:rsidRPr="005C44A1">
        <w:rPr>
          <w:szCs w:val="22"/>
        </w:rPr>
        <w:t xml:space="preserve">na dosiahnutie maximálnych plazmatických koncentrácií amlodipínu je podobný u starších a mladších jedincov. Klírens amlodipínu má tendenciu znižovať </w:t>
      </w:r>
      <w:r w:rsidR="00C61AF7" w:rsidRPr="005C44A1">
        <w:rPr>
          <w:szCs w:val="22"/>
        </w:rPr>
        <w:t xml:space="preserve">sa </w:t>
      </w:r>
      <w:r w:rsidRPr="005C44A1">
        <w:rPr>
          <w:szCs w:val="22"/>
        </w:rPr>
        <w:t>s následným zvýšením AUC a eliminačným polčasom u starších ľudí. Predĺženie AUC a eliminačný polčas u pacientov s kongestívnym zlyh</w:t>
      </w:r>
      <w:r w:rsidR="00C07CA9">
        <w:rPr>
          <w:szCs w:val="22"/>
        </w:rPr>
        <w:t>áv</w:t>
      </w:r>
      <w:r w:rsidRPr="005C44A1">
        <w:rPr>
          <w:szCs w:val="22"/>
        </w:rPr>
        <w:t xml:space="preserve">aním </w:t>
      </w:r>
      <w:r w:rsidR="001C7D1B">
        <w:rPr>
          <w:szCs w:val="22"/>
        </w:rPr>
        <w:t xml:space="preserve">srdca </w:t>
      </w:r>
      <w:r w:rsidR="00C61AF7" w:rsidRPr="005C44A1">
        <w:rPr>
          <w:szCs w:val="22"/>
        </w:rPr>
        <w:t>sa</w:t>
      </w:r>
      <w:r w:rsidRPr="005C44A1">
        <w:rPr>
          <w:szCs w:val="22"/>
        </w:rPr>
        <w:t xml:space="preserve"> v tejto štúdii pre </w:t>
      </w:r>
      <w:r w:rsidR="00AD69E6" w:rsidRPr="005C44A1">
        <w:rPr>
          <w:szCs w:val="22"/>
        </w:rPr>
        <w:t xml:space="preserve">danú </w:t>
      </w:r>
      <w:r w:rsidRPr="005C44A1">
        <w:rPr>
          <w:szCs w:val="22"/>
        </w:rPr>
        <w:t>vekovú skupinu pacientov</w:t>
      </w:r>
      <w:r w:rsidR="00AD69E6" w:rsidRPr="005C44A1">
        <w:rPr>
          <w:szCs w:val="22"/>
        </w:rPr>
        <w:t xml:space="preserve"> očakávalo</w:t>
      </w:r>
      <w:r w:rsidRPr="005C44A1">
        <w:rPr>
          <w:szCs w:val="22"/>
        </w:rPr>
        <w:t xml:space="preserve"> (pozri časť 4.4).</w:t>
      </w:r>
    </w:p>
    <w:p w14:paraId="3B932724" w14:textId="77777777" w:rsidR="00FC1660" w:rsidRPr="005C44A1" w:rsidRDefault="00FC1660" w:rsidP="005C44A1">
      <w:pPr>
        <w:ind w:left="0" w:firstLine="0"/>
        <w:rPr>
          <w:szCs w:val="22"/>
        </w:rPr>
      </w:pPr>
    </w:p>
    <w:p w14:paraId="3B932725" w14:textId="77777777" w:rsidR="00FC1660" w:rsidRPr="005C44A1" w:rsidRDefault="00FC1660" w:rsidP="005C44A1">
      <w:pPr>
        <w:ind w:left="0" w:firstLine="0"/>
        <w:rPr>
          <w:i/>
          <w:szCs w:val="22"/>
        </w:rPr>
      </w:pPr>
      <w:r w:rsidRPr="005C44A1">
        <w:rPr>
          <w:i/>
          <w:szCs w:val="22"/>
        </w:rPr>
        <w:t>Porucha funkcie obličiek</w:t>
      </w:r>
    </w:p>
    <w:p w14:paraId="3B932726" w14:textId="25F77B99" w:rsidR="00FC1660" w:rsidRPr="005C44A1" w:rsidRDefault="00FC1660" w:rsidP="005C44A1">
      <w:pPr>
        <w:ind w:left="0" w:firstLine="0"/>
        <w:rPr>
          <w:szCs w:val="22"/>
        </w:rPr>
      </w:pPr>
      <w:r w:rsidRPr="005C44A1">
        <w:rPr>
          <w:szCs w:val="22"/>
        </w:rPr>
        <w:t>U pacientov s poruchou funkcie obličiek sa AUC olmesart</w:t>
      </w:r>
      <w:r w:rsidR="00402BE5">
        <w:rPr>
          <w:szCs w:val="22"/>
        </w:rPr>
        <w:t>a</w:t>
      </w:r>
      <w:r w:rsidRPr="005C44A1">
        <w:rPr>
          <w:szCs w:val="22"/>
        </w:rPr>
        <w:t xml:space="preserve">nu v rovnovážnom stave zvýšila o 62 % pri miernej, 82 % pri stredne </w:t>
      </w:r>
      <w:r w:rsidR="001C7D1B">
        <w:rPr>
          <w:szCs w:val="22"/>
        </w:rPr>
        <w:t>závažn</w:t>
      </w:r>
      <w:r w:rsidRPr="005C44A1">
        <w:rPr>
          <w:szCs w:val="22"/>
        </w:rPr>
        <w:t xml:space="preserve">ej alebo 179 % pri </w:t>
      </w:r>
      <w:r w:rsidR="001C7D1B">
        <w:rPr>
          <w:szCs w:val="22"/>
        </w:rPr>
        <w:t>závažn</w:t>
      </w:r>
      <w:r w:rsidRPr="005C44A1">
        <w:rPr>
          <w:szCs w:val="22"/>
        </w:rPr>
        <w:t>ej poruche funkcie obličiek v porovnaní so zdravými kontrol</w:t>
      </w:r>
      <w:r w:rsidR="00986B2D" w:rsidRPr="005C44A1">
        <w:rPr>
          <w:szCs w:val="22"/>
        </w:rPr>
        <w:t>nými skupin</w:t>
      </w:r>
      <w:r w:rsidRPr="005C44A1">
        <w:rPr>
          <w:szCs w:val="22"/>
        </w:rPr>
        <w:t>ami (pozri časti 4.2 a 4.4).</w:t>
      </w:r>
    </w:p>
    <w:p w14:paraId="3B932727" w14:textId="224D7440" w:rsidR="00FC1660" w:rsidRPr="005C44A1" w:rsidRDefault="00FC1660" w:rsidP="005C44A1">
      <w:pPr>
        <w:ind w:left="0" w:firstLine="0"/>
        <w:rPr>
          <w:szCs w:val="22"/>
        </w:rPr>
      </w:pPr>
      <w:r w:rsidRPr="005C44A1">
        <w:rPr>
          <w:szCs w:val="22"/>
        </w:rPr>
        <w:t xml:space="preserve">Amlodipín sa do značnej miery metabolizuje na </w:t>
      </w:r>
      <w:r w:rsidR="00E23C97" w:rsidRPr="005C44A1">
        <w:rPr>
          <w:szCs w:val="22"/>
        </w:rPr>
        <w:t>ne</w:t>
      </w:r>
      <w:r w:rsidRPr="005C44A1">
        <w:rPr>
          <w:szCs w:val="22"/>
        </w:rPr>
        <w:t>aktívne metabolity. 10</w:t>
      </w:r>
      <w:r w:rsidR="008A067D">
        <w:rPr>
          <w:szCs w:val="22"/>
        </w:rPr>
        <w:t> </w:t>
      </w:r>
      <w:r w:rsidRPr="005C44A1">
        <w:rPr>
          <w:szCs w:val="22"/>
        </w:rPr>
        <w:t>% l</w:t>
      </w:r>
      <w:r w:rsidR="001C7D1B">
        <w:rPr>
          <w:szCs w:val="22"/>
        </w:rPr>
        <w:t>iečiva</w:t>
      </w:r>
      <w:r w:rsidRPr="005C44A1">
        <w:rPr>
          <w:szCs w:val="22"/>
        </w:rPr>
        <w:t xml:space="preserve"> sa vylučuje močom v nezmenenej podobe. Zmeny v</w:t>
      </w:r>
      <w:r w:rsidR="00F022FA" w:rsidRPr="005C44A1">
        <w:rPr>
          <w:szCs w:val="22"/>
        </w:rPr>
        <w:t xml:space="preserve"> plazmatickej </w:t>
      </w:r>
      <w:r w:rsidRPr="005C44A1">
        <w:rPr>
          <w:szCs w:val="22"/>
        </w:rPr>
        <w:t>koncentrácii amlodipínu nezodpovedajú stupňu poruchy funkcie obličiek. U týchto pacientov sa amlodipín môže podávať v normálnej dávke. Amlodipín nie je dialyzovateľný.</w:t>
      </w:r>
    </w:p>
    <w:p w14:paraId="3B932728" w14:textId="77777777" w:rsidR="00FC1660" w:rsidRPr="005C44A1" w:rsidRDefault="00FC1660" w:rsidP="005C44A1">
      <w:pPr>
        <w:ind w:left="0" w:firstLine="0"/>
        <w:rPr>
          <w:szCs w:val="22"/>
        </w:rPr>
      </w:pPr>
    </w:p>
    <w:p w14:paraId="3B932729" w14:textId="77777777" w:rsidR="00FC1660" w:rsidRPr="005C44A1" w:rsidRDefault="00FC1660" w:rsidP="005C44A1">
      <w:pPr>
        <w:ind w:left="0" w:firstLine="0"/>
        <w:rPr>
          <w:i/>
          <w:szCs w:val="22"/>
        </w:rPr>
      </w:pPr>
      <w:r w:rsidRPr="005C44A1">
        <w:rPr>
          <w:i/>
          <w:szCs w:val="22"/>
        </w:rPr>
        <w:t>Porucha funkcie pečene</w:t>
      </w:r>
    </w:p>
    <w:p w14:paraId="3B93272A" w14:textId="18656088" w:rsidR="00FC1660" w:rsidRPr="005C44A1" w:rsidRDefault="00FC1660" w:rsidP="005C44A1">
      <w:pPr>
        <w:ind w:left="0" w:firstLine="0"/>
        <w:rPr>
          <w:szCs w:val="22"/>
        </w:rPr>
      </w:pPr>
      <w:r w:rsidRPr="005C44A1">
        <w:rPr>
          <w:szCs w:val="22"/>
        </w:rPr>
        <w:t>Po jednorazovej perorálnej dávke sú hodnoty AUC olmesart</w:t>
      </w:r>
      <w:r w:rsidR="00580175">
        <w:rPr>
          <w:szCs w:val="22"/>
        </w:rPr>
        <w:t>a</w:t>
      </w:r>
      <w:r w:rsidRPr="005C44A1">
        <w:rPr>
          <w:szCs w:val="22"/>
        </w:rPr>
        <w:t xml:space="preserve">nu vyššie o 6 % a 65 % u pacientov s miernou a stredne </w:t>
      </w:r>
      <w:r w:rsidR="001C7D1B">
        <w:rPr>
          <w:szCs w:val="22"/>
        </w:rPr>
        <w:t>závažn</w:t>
      </w:r>
      <w:r w:rsidRPr="005C44A1">
        <w:rPr>
          <w:szCs w:val="22"/>
        </w:rPr>
        <w:t xml:space="preserve">ou poruchou funkcie pečene v porovnaní so zdravou kontrolnou skupinou. Nenaviazaná </w:t>
      </w:r>
      <w:r w:rsidR="00986B2D" w:rsidRPr="005C44A1">
        <w:rPr>
          <w:szCs w:val="22"/>
        </w:rPr>
        <w:t>frakcia</w:t>
      </w:r>
      <w:r w:rsidRPr="005C44A1">
        <w:rPr>
          <w:szCs w:val="22"/>
        </w:rPr>
        <w:t xml:space="preserve"> olmesart</w:t>
      </w:r>
      <w:r w:rsidR="00580175">
        <w:rPr>
          <w:szCs w:val="22"/>
        </w:rPr>
        <w:t>a</w:t>
      </w:r>
      <w:r w:rsidRPr="005C44A1">
        <w:rPr>
          <w:szCs w:val="22"/>
        </w:rPr>
        <w:t xml:space="preserve">nu po </w:t>
      </w:r>
      <w:r w:rsidR="00D94A56" w:rsidRPr="005C44A1">
        <w:rPr>
          <w:szCs w:val="22"/>
        </w:rPr>
        <w:t>2</w:t>
      </w:r>
      <w:r w:rsidRPr="005C44A1">
        <w:rPr>
          <w:szCs w:val="22"/>
        </w:rPr>
        <w:t xml:space="preserve"> hodinách po podaní zdravým </w:t>
      </w:r>
      <w:r w:rsidR="00D94A56" w:rsidRPr="005C44A1">
        <w:rPr>
          <w:szCs w:val="22"/>
        </w:rPr>
        <w:t>osobám</w:t>
      </w:r>
      <w:r w:rsidRPr="005C44A1">
        <w:rPr>
          <w:szCs w:val="22"/>
        </w:rPr>
        <w:t xml:space="preserve"> bola 0,26 %, </w:t>
      </w:r>
      <w:r w:rsidR="00E348F3">
        <w:rPr>
          <w:szCs w:val="22"/>
        </w:rPr>
        <w:t xml:space="preserve">u </w:t>
      </w:r>
      <w:r w:rsidRPr="005C44A1">
        <w:rPr>
          <w:szCs w:val="22"/>
        </w:rPr>
        <w:t>paciento</w:t>
      </w:r>
      <w:r w:rsidR="00E348F3">
        <w:rPr>
          <w:szCs w:val="22"/>
        </w:rPr>
        <w:t>v</w:t>
      </w:r>
      <w:r w:rsidRPr="005C44A1">
        <w:rPr>
          <w:szCs w:val="22"/>
        </w:rPr>
        <w:t xml:space="preserve"> s miernou poruchou funkcie pečene bola 0,34 % a 0,41</w:t>
      </w:r>
      <w:r w:rsidR="00E348F3">
        <w:rPr>
          <w:szCs w:val="22"/>
        </w:rPr>
        <w:t> </w:t>
      </w:r>
      <w:r w:rsidRPr="005C44A1">
        <w:rPr>
          <w:szCs w:val="22"/>
        </w:rPr>
        <w:t xml:space="preserve">% u pacientov so stredne </w:t>
      </w:r>
      <w:r w:rsidR="001C7D1B">
        <w:rPr>
          <w:szCs w:val="22"/>
        </w:rPr>
        <w:t>závažn</w:t>
      </w:r>
      <w:r w:rsidRPr="005C44A1">
        <w:rPr>
          <w:szCs w:val="22"/>
        </w:rPr>
        <w:t xml:space="preserve">ou poruchou funkcie pečene. Po opakovanej dávke u pacientov so stredne </w:t>
      </w:r>
      <w:r w:rsidR="001C7D1B">
        <w:rPr>
          <w:szCs w:val="22"/>
        </w:rPr>
        <w:t>závažn</w:t>
      </w:r>
      <w:r w:rsidRPr="005C44A1">
        <w:rPr>
          <w:szCs w:val="22"/>
        </w:rPr>
        <w:t>ou poruchou pečene je priemerná AUC opäť o</w:t>
      </w:r>
      <w:r w:rsidR="00E468FE">
        <w:rPr>
          <w:szCs w:val="22"/>
        </w:rPr>
        <w:t> </w:t>
      </w:r>
      <w:r w:rsidRPr="005C44A1">
        <w:rPr>
          <w:szCs w:val="22"/>
        </w:rPr>
        <w:t>65</w:t>
      </w:r>
      <w:r w:rsidR="00E468FE">
        <w:rPr>
          <w:szCs w:val="22"/>
        </w:rPr>
        <w:t> </w:t>
      </w:r>
      <w:r w:rsidRPr="005C44A1">
        <w:rPr>
          <w:szCs w:val="22"/>
        </w:rPr>
        <w:t>% vyššia ako u zdravých kontrol</w:t>
      </w:r>
      <w:r w:rsidR="00101C60" w:rsidRPr="005C44A1">
        <w:rPr>
          <w:szCs w:val="22"/>
        </w:rPr>
        <w:t>ných skupín</w:t>
      </w:r>
      <w:r w:rsidRPr="005C44A1">
        <w:rPr>
          <w:szCs w:val="22"/>
        </w:rPr>
        <w:t>. Priemerná C</w:t>
      </w:r>
      <w:r w:rsidRPr="005C44A1">
        <w:rPr>
          <w:szCs w:val="22"/>
          <w:vertAlign w:val="subscript"/>
        </w:rPr>
        <w:t xml:space="preserve">max </w:t>
      </w:r>
      <w:r w:rsidRPr="005C44A1">
        <w:rPr>
          <w:szCs w:val="22"/>
        </w:rPr>
        <w:t>olmesart</w:t>
      </w:r>
      <w:r w:rsidR="00EF7F73">
        <w:rPr>
          <w:szCs w:val="22"/>
        </w:rPr>
        <w:t>a</w:t>
      </w:r>
      <w:r w:rsidRPr="005C44A1">
        <w:rPr>
          <w:szCs w:val="22"/>
        </w:rPr>
        <w:t>nu  je podobná  u pacientov s poruchou funkcie pečene a</w:t>
      </w:r>
      <w:r w:rsidR="00B242A3">
        <w:rPr>
          <w:szCs w:val="22"/>
        </w:rPr>
        <w:t>ko u</w:t>
      </w:r>
      <w:r w:rsidRPr="005C44A1">
        <w:rPr>
          <w:szCs w:val="22"/>
        </w:rPr>
        <w:t xml:space="preserve"> zdravých </w:t>
      </w:r>
      <w:r w:rsidR="005202D0" w:rsidRPr="005C44A1">
        <w:rPr>
          <w:szCs w:val="22"/>
        </w:rPr>
        <w:t>osôb</w:t>
      </w:r>
      <w:r w:rsidRPr="005C44A1">
        <w:rPr>
          <w:szCs w:val="22"/>
        </w:rPr>
        <w:t>. Olmesart</w:t>
      </w:r>
      <w:r w:rsidR="00EF7F73">
        <w:rPr>
          <w:szCs w:val="22"/>
        </w:rPr>
        <w:t>a</w:t>
      </w:r>
      <w:r w:rsidRPr="005C44A1">
        <w:rPr>
          <w:szCs w:val="22"/>
        </w:rPr>
        <w:t>n</w:t>
      </w:r>
      <w:r w:rsidR="005202D0" w:rsidRPr="005C44A1">
        <w:rPr>
          <w:szCs w:val="22"/>
        </w:rPr>
        <w:t>-</w:t>
      </w:r>
      <w:r w:rsidRPr="005C44A1">
        <w:rPr>
          <w:szCs w:val="22"/>
        </w:rPr>
        <w:t>medoxomil sa ne</w:t>
      </w:r>
      <w:r w:rsidR="005202D0" w:rsidRPr="005C44A1">
        <w:rPr>
          <w:szCs w:val="22"/>
        </w:rPr>
        <w:t>hodnotil</w:t>
      </w:r>
      <w:r w:rsidRPr="005C44A1">
        <w:rPr>
          <w:szCs w:val="22"/>
        </w:rPr>
        <w:t xml:space="preserve"> u pacientov s</w:t>
      </w:r>
      <w:r w:rsidR="00B242A3">
        <w:rPr>
          <w:szCs w:val="22"/>
        </w:rPr>
        <w:t>o</w:t>
      </w:r>
      <w:r w:rsidRPr="005C44A1">
        <w:rPr>
          <w:szCs w:val="22"/>
        </w:rPr>
        <w:t xml:space="preserve"> </w:t>
      </w:r>
      <w:r w:rsidR="00B242A3">
        <w:rPr>
          <w:szCs w:val="22"/>
        </w:rPr>
        <w:t>závažn</w:t>
      </w:r>
      <w:r w:rsidRPr="005C44A1">
        <w:rPr>
          <w:szCs w:val="22"/>
        </w:rPr>
        <w:t>ou poruchou funkcie pečene (pozri časti 4.2, 4.4).</w:t>
      </w:r>
    </w:p>
    <w:p w14:paraId="3B93272B" w14:textId="77777777" w:rsidR="00FC1660" w:rsidRPr="005C44A1" w:rsidRDefault="00FC1660" w:rsidP="005C44A1">
      <w:pPr>
        <w:ind w:left="0" w:firstLine="0"/>
        <w:rPr>
          <w:szCs w:val="22"/>
        </w:rPr>
      </w:pPr>
    </w:p>
    <w:p w14:paraId="3B93272C" w14:textId="77777777" w:rsidR="00FC1660" w:rsidRPr="005C44A1" w:rsidRDefault="00FC1660" w:rsidP="005C44A1">
      <w:pPr>
        <w:ind w:left="0" w:firstLine="0"/>
        <w:rPr>
          <w:szCs w:val="22"/>
        </w:rPr>
      </w:pPr>
      <w:r w:rsidRPr="005C44A1">
        <w:rPr>
          <w:szCs w:val="22"/>
        </w:rPr>
        <w:t>Klinické údaje o podávaní amlodipínu pacientom s poruchou funkcie pečene sú veľmi obmedzené.</w:t>
      </w:r>
    </w:p>
    <w:p w14:paraId="3B93272D" w14:textId="2A536691" w:rsidR="002310BD" w:rsidRPr="005C44A1" w:rsidRDefault="00FC1660" w:rsidP="005C44A1">
      <w:pPr>
        <w:keepNext/>
        <w:ind w:left="0" w:firstLine="0"/>
        <w:rPr>
          <w:szCs w:val="22"/>
        </w:rPr>
      </w:pPr>
      <w:r w:rsidRPr="005C44A1">
        <w:rPr>
          <w:szCs w:val="22"/>
        </w:rPr>
        <w:t>Klírens amlodipínu je znížený a polčas predĺžený u pacientov s poruchou funkcie pečene, čo sa prejavuje zvýšením AUC o približne 40</w:t>
      </w:r>
      <w:r w:rsidR="00C071C8">
        <w:rPr>
          <w:szCs w:val="22"/>
        </w:rPr>
        <w:t> </w:t>
      </w:r>
      <w:r w:rsidRPr="005C44A1">
        <w:rPr>
          <w:szCs w:val="22"/>
        </w:rPr>
        <w:t xml:space="preserve">% </w:t>
      </w:r>
      <w:r w:rsidR="00AF3923" w:rsidRPr="005C44A1">
        <w:rPr>
          <w:szCs w:val="22"/>
        </w:rPr>
        <w:t>–</w:t>
      </w:r>
      <w:r w:rsidRPr="005C44A1">
        <w:rPr>
          <w:szCs w:val="22"/>
        </w:rPr>
        <w:t xml:space="preserve"> 60</w:t>
      </w:r>
      <w:r w:rsidR="00C071C8">
        <w:rPr>
          <w:szCs w:val="22"/>
        </w:rPr>
        <w:t> </w:t>
      </w:r>
      <w:r w:rsidRPr="005C44A1">
        <w:rPr>
          <w:szCs w:val="22"/>
        </w:rPr>
        <w:t>% (pozri časti 4.2</w:t>
      </w:r>
      <w:r w:rsidR="00111ABE">
        <w:rPr>
          <w:szCs w:val="22"/>
        </w:rPr>
        <w:t xml:space="preserve"> a</w:t>
      </w:r>
      <w:r w:rsidRPr="005C44A1">
        <w:rPr>
          <w:szCs w:val="22"/>
        </w:rPr>
        <w:t xml:space="preserve"> 4.4).</w:t>
      </w:r>
    </w:p>
    <w:p w14:paraId="3B93272E" w14:textId="77777777" w:rsidR="002310BD" w:rsidRPr="005C44A1" w:rsidRDefault="002310BD" w:rsidP="005C44A1">
      <w:pPr>
        <w:keepNext/>
        <w:rPr>
          <w:szCs w:val="22"/>
        </w:rPr>
      </w:pPr>
    </w:p>
    <w:p w14:paraId="3B93272F" w14:textId="77777777" w:rsidR="00780926" w:rsidRPr="005C44A1" w:rsidRDefault="0067565E" w:rsidP="005C44A1">
      <w:pPr>
        <w:keepNext/>
        <w:rPr>
          <w:szCs w:val="22"/>
        </w:rPr>
      </w:pPr>
      <w:r w:rsidRPr="005C44A1">
        <w:rPr>
          <w:b/>
          <w:szCs w:val="22"/>
        </w:rPr>
        <w:t>5.3</w:t>
      </w:r>
      <w:r w:rsidRPr="005C44A1">
        <w:rPr>
          <w:b/>
          <w:szCs w:val="22"/>
        </w:rPr>
        <w:tab/>
        <w:t>Predklinické údaje o</w:t>
      </w:r>
      <w:r w:rsidR="00FA099B" w:rsidRPr="005C44A1">
        <w:rPr>
          <w:b/>
          <w:szCs w:val="22"/>
        </w:rPr>
        <w:t> </w:t>
      </w:r>
      <w:r w:rsidRPr="005C44A1">
        <w:rPr>
          <w:b/>
          <w:szCs w:val="22"/>
        </w:rPr>
        <w:t>bezpečnosti</w:t>
      </w:r>
    </w:p>
    <w:p w14:paraId="3B932730" w14:textId="77777777" w:rsidR="00780926" w:rsidRPr="005C44A1" w:rsidRDefault="00780926" w:rsidP="005C44A1">
      <w:pPr>
        <w:keepNext/>
        <w:rPr>
          <w:szCs w:val="22"/>
        </w:rPr>
      </w:pPr>
    </w:p>
    <w:p w14:paraId="3B932731" w14:textId="04350C1D" w:rsidR="00AF3923" w:rsidRPr="005C44A1" w:rsidRDefault="00AF3923" w:rsidP="005C44A1">
      <w:pPr>
        <w:ind w:left="0" w:firstLine="0"/>
        <w:rPr>
          <w:szCs w:val="22"/>
        </w:rPr>
      </w:pPr>
      <w:r w:rsidRPr="005C44A1">
        <w:rPr>
          <w:szCs w:val="22"/>
        </w:rPr>
        <w:t xml:space="preserve">Na základe </w:t>
      </w:r>
      <w:r w:rsidR="008761BC" w:rsidRPr="005C44A1">
        <w:rPr>
          <w:szCs w:val="22"/>
        </w:rPr>
        <w:t>pred</w:t>
      </w:r>
      <w:r w:rsidRPr="005C44A1">
        <w:rPr>
          <w:szCs w:val="22"/>
        </w:rPr>
        <w:t xml:space="preserve">klinického profilu toxicity jednotlivých liečiv sa v ich kombinácii nepredpokladajú žiadne </w:t>
      </w:r>
      <w:r w:rsidR="007A0801" w:rsidRPr="005C44A1">
        <w:rPr>
          <w:szCs w:val="22"/>
        </w:rPr>
        <w:t>exacerbácie</w:t>
      </w:r>
      <w:r w:rsidRPr="005C44A1">
        <w:rPr>
          <w:szCs w:val="22"/>
        </w:rPr>
        <w:t xml:space="preserve"> toxicity, pretože cieľové miesta </w:t>
      </w:r>
      <w:r w:rsidR="00B242A3">
        <w:rPr>
          <w:szCs w:val="22"/>
        </w:rPr>
        <w:t xml:space="preserve">účinku </w:t>
      </w:r>
      <w:r w:rsidRPr="005C44A1">
        <w:rPr>
          <w:szCs w:val="22"/>
        </w:rPr>
        <w:t>liečiv sú odlišné, t.</w:t>
      </w:r>
      <w:r w:rsidR="00B54FE8">
        <w:rPr>
          <w:szCs w:val="22"/>
        </w:rPr>
        <w:t xml:space="preserve"> </w:t>
      </w:r>
      <w:r w:rsidRPr="005C44A1">
        <w:rPr>
          <w:szCs w:val="22"/>
        </w:rPr>
        <w:t>j. obličky v prípade olmesart</w:t>
      </w:r>
      <w:r w:rsidR="00E15964">
        <w:rPr>
          <w:szCs w:val="22"/>
        </w:rPr>
        <w:t>a</w:t>
      </w:r>
      <w:r w:rsidRPr="005C44A1">
        <w:rPr>
          <w:szCs w:val="22"/>
        </w:rPr>
        <w:t>nu</w:t>
      </w:r>
      <w:r w:rsidR="007A0801" w:rsidRPr="005C44A1">
        <w:rPr>
          <w:szCs w:val="22"/>
        </w:rPr>
        <w:t>-</w:t>
      </w:r>
      <w:r w:rsidRPr="005C44A1">
        <w:rPr>
          <w:szCs w:val="22"/>
        </w:rPr>
        <w:t>medoxomilu a srdce v prípade amlodipínu.</w:t>
      </w:r>
    </w:p>
    <w:p w14:paraId="3B932732" w14:textId="77777777" w:rsidR="00111ABE" w:rsidRDefault="00111ABE" w:rsidP="005C44A1">
      <w:pPr>
        <w:ind w:left="0" w:firstLine="0"/>
        <w:rPr>
          <w:szCs w:val="22"/>
        </w:rPr>
      </w:pPr>
    </w:p>
    <w:p w14:paraId="3B932733" w14:textId="6415E66C" w:rsidR="00DD2FF9" w:rsidRPr="005C44A1" w:rsidRDefault="00AF3923" w:rsidP="005C44A1">
      <w:pPr>
        <w:ind w:left="0" w:firstLine="0"/>
        <w:rPr>
          <w:szCs w:val="22"/>
        </w:rPr>
      </w:pPr>
      <w:r w:rsidRPr="005C44A1">
        <w:rPr>
          <w:szCs w:val="22"/>
        </w:rPr>
        <w:t xml:space="preserve">V 3-mesačnej štúdii toxicity po opakovanom podaní perorálnych dávok </w:t>
      </w:r>
      <w:r w:rsidR="00111ABE">
        <w:rPr>
          <w:szCs w:val="22"/>
        </w:rPr>
        <w:t xml:space="preserve">v kombinácii </w:t>
      </w:r>
      <w:r w:rsidRPr="005C44A1">
        <w:rPr>
          <w:szCs w:val="22"/>
        </w:rPr>
        <w:t>olmesart</w:t>
      </w:r>
      <w:r w:rsidR="00E15964">
        <w:rPr>
          <w:szCs w:val="22"/>
        </w:rPr>
        <w:t>a</w:t>
      </w:r>
      <w:r w:rsidRPr="005C44A1">
        <w:rPr>
          <w:szCs w:val="22"/>
        </w:rPr>
        <w:t>n</w:t>
      </w:r>
      <w:r w:rsidR="00C16DB8" w:rsidRPr="005C44A1">
        <w:rPr>
          <w:szCs w:val="22"/>
        </w:rPr>
        <w:t>-</w:t>
      </w:r>
      <w:r w:rsidRPr="005C44A1">
        <w:rPr>
          <w:szCs w:val="22"/>
        </w:rPr>
        <w:t>medoxomil/amlodipín sa u potkanov pozorovali nasled</w:t>
      </w:r>
      <w:r w:rsidR="00C16DB8" w:rsidRPr="005C44A1">
        <w:rPr>
          <w:szCs w:val="22"/>
        </w:rPr>
        <w:t>ujúce</w:t>
      </w:r>
      <w:r w:rsidRPr="005C44A1">
        <w:rPr>
          <w:szCs w:val="22"/>
        </w:rPr>
        <w:t xml:space="preserve"> zmeny: </w:t>
      </w:r>
      <w:r w:rsidR="00DD2FF9" w:rsidRPr="005C44A1">
        <w:rPr>
          <w:szCs w:val="22"/>
        </w:rPr>
        <w:t>pokles parametrov súvisiacich s počtom červených krviniek a zmeny obličiek, ktoré môžu byť vyvolané zložkou olmesart</w:t>
      </w:r>
      <w:r w:rsidR="00E15964">
        <w:rPr>
          <w:szCs w:val="22"/>
        </w:rPr>
        <w:t>a</w:t>
      </w:r>
      <w:r w:rsidR="00DD2FF9" w:rsidRPr="005C44A1">
        <w:rPr>
          <w:szCs w:val="22"/>
        </w:rPr>
        <w:t xml:space="preserve">n-medoxomil; zmeny na črevách (luminálna dilatácia a difúzne zhrubnutie sliznice ilea a hrubého čreva), </w:t>
      </w:r>
      <w:r w:rsidR="002A1738" w:rsidRPr="005C44A1">
        <w:rPr>
          <w:szCs w:val="22"/>
        </w:rPr>
        <w:t xml:space="preserve">zmeny </w:t>
      </w:r>
      <w:r w:rsidR="00DD2FF9" w:rsidRPr="005C44A1">
        <w:rPr>
          <w:szCs w:val="22"/>
        </w:rPr>
        <w:t>nadobličiek (hypertrofia glomerulárnych kortikálnych buniek a vakuolizácia fascikulárnych kortikálnych buniek) a hypertrofia kanálikov v mliečnych žľazách, ktoré môžu byť vyvolané amlodipínov</w:t>
      </w:r>
      <w:r w:rsidR="002A1738" w:rsidRPr="005C44A1">
        <w:rPr>
          <w:szCs w:val="22"/>
        </w:rPr>
        <w:t>ou</w:t>
      </w:r>
      <w:r w:rsidR="00DD2FF9" w:rsidRPr="005C44A1">
        <w:rPr>
          <w:szCs w:val="22"/>
        </w:rPr>
        <w:t xml:space="preserve"> zložk</w:t>
      </w:r>
      <w:r w:rsidR="002A1738" w:rsidRPr="005C44A1">
        <w:rPr>
          <w:szCs w:val="22"/>
        </w:rPr>
        <w:t>ou.</w:t>
      </w:r>
    </w:p>
    <w:p w14:paraId="3B932734" w14:textId="0B223BF5" w:rsidR="00AF3923" w:rsidRPr="005C44A1" w:rsidRDefault="00AF3923" w:rsidP="005C44A1">
      <w:pPr>
        <w:ind w:left="0" w:firstLine="0"/>
        <w:rPr>
          <w:szCs w:val="22"/>
        </w:rPr>
      </w:pPr>
      <w:r w:rsidRPr="005C44A1">
        <w:rPr>
          <w:szCs w:val="22"/>
        </w:rPr>
        <w:t>Tieto zmeny nepredstavovali zvýšenie dovtedy hlásenej a existujúcej toxicity jednotlivých liečiv ani</w:t>
      </w:r>
      <w:r w:rsidR="00430AE6" w:rsidRPr="005C44A1">
        <w:rPr>
          <w:szCs w:val="22"/>
        </w:rPr>
        <w:t xml:space="preserve"> </w:t>
      </w:r>
      <w:r w:rsidRPr="005C44A1">
        <w:rPr>
          <w:szCs w:val="22"/>
        </w:rPr>
        <w:t>nenavodzovali žiadnu novú toxicitu a nepozorovali sa žiadne toxikologicky synergické účinky.</w:t>
      </w:r>
    </w:p>
    <w:p w14:paraId="3B932735" w14:textId="77777777" w:rsidR="00AF3923" w:rsidRPr="005C44A1" w:rsidRDefault="00AF3923" w:rsidP="005C44A1">
      <w:pPr>
        <w:ind w:left="0" w:firstLine="0"/>
        <w:rPr>
          <w:szCs w:val="22"/>
        </w:rPr>
      </w:pPr>
    </w:p>
    <w:p w14:paraId="3B932736" w14:textId="3735B2E0" w:rsidR="00AF3923" w:rsidRPr="005C44A1" w:rsidRDefault="00AF3923" w:rsidP="005C44A1">
      <w:pPr>
        <w:ind w:left="0" w:firstLine="0"/>
        <w:rPr>
          <w:szCs w:val="22"/>
          <w:u w:val="single"/>
        </w:rPr>
      </w:pPr>
      <w:r w:rsidRPr="005C44A1">
        <w:rPr>
          <w:szCs w:val="22"/>
          <w:u w:val="single"/>
        </w:rPr>
        <w:t>Olmesart</w:t>
      </w:r>
      <w:r w:rsidR="004D4ED5">
        <w:rPr>
          <w:szCs w:val="22"/>
          <w:u w:val="single"/>
        </w:rPr>
        <w:t>a</w:t>
      </w:r>
      <w:r w:rsidR="00430AE6" w:rsidRPr="005C44A1">
        <w:rPr>
          <w:szCs w:val="22"/>
          <w:u w:val="single"/>
        </w:rPr>
        <w:t>n-</w:t>
      </w:r>
      <w:r w:rsidRPr="005C44A1">
        <w:rPr>
          <w:szCs w:val="22"/>
          <w:u w:val="single"/>
        </w:rPr>
        <w:t xml:space="preserve">medoxomil (liečivo </w:t>
      </w:r>
      <w:r w:rsidR="00430AE6" w:rsidRPr="005C44A1">
        <w:rPr>
          <w:szCs w:val="22"/>
          <w:u w:val="single"/>
        </w:rPr>
        <w:t>Reverantzy</w:t>
      </w:r>
      <w:r w:rsidRPr="005C44A1">
        <w:rPr>
          <w:szCs w:val="22"/>
          <w:u w:val="single"/>
        </w:rPr>
        <w:t>)</w:t>
      </w:r>
    </w:p>
    <w:p w14:paraId="3B932737" w14:textId="77777777" w:rsidR="00AF3923" w:rsidRPr="005C44A1" w:rsidRDefault="00AF3923" w:rsidP="005C44A1">
      <w:pPr>
        <w:ind w:left="0" w:firstLine="0"/>
        <w:rPr>
          <w:szCs w:val="22"/>
        </w:rPr>
      </w:pPr>
    </w:p>
    <w:p w14:paraId="3B932738" w14:textId="36F23EA2" w:rsidR="00121B60" w:rsidRPr="005C44A1" w:rsidRDefault="00AF3923" w:rsidP="005C44A1">
      <w:pPr>
        <w:ind w:left="0" w:firstLine="0"/>
        <w:rPr>
          <w:szCs w:val="22"/>
        </w:rPr>
      </w:pPr>
      <w:r w:rsidRPr="005C44A1">
        <w:rPr>
          <w:szCs w:val="22"/>
        </w:rPr>
        <w:t>V štúdiách chronick</w:t>
      </w:r>
      <w:r w:rsidR="00430AE6" w:rsidRPr="005C44A1">
        <w:rPr>
          <w:szCs w:val="22"/>
        </w:rPr>
        <w:t xml:space="preserve">ej </w:t>
      </w:r>
      <w:r w:rsidRPr="005C44A1">
        <w:rPr>
          <w:szCs w:val="22"/>
        </w:rPr>
        <w:t>toxicit</w:t>
      </w:r>
      <w:r w:rsidR="00430AE6" w:rsidRPr="005C44A1">
        <w:rPr>
          <w:szCs w:val="22"/>
        </w:rPr>
        <w:t xml:space="preserve">y </w:t>
      </w:r>
      <w:r w:rsidRPr="005C44A1">
        <w:rPr>
          <w:szCs w:val="22"/>
        </w:rPr>
        <w:t xml:space="preserve">na potkanoch a psoch </w:t>
      </w:r>
      <w:r w:rsidR="00430AE6" w:rsidRPr="005C44A1">
        <w:rPr>
          <w:szCs w:val="22"/>
        </w:rPr>
        <w:t xml:space="preserve">vykazoval </w:t>
      </w:r>
      <w:r w:rsidRPr="005C44A1">
        <w:rPr>
          <w:szCs w:val="22"/>
        </w:rPr>
        <w:t>olmesart</w:t>
      </w:r>
      <w:r w:rsidR="004D4ED5">
        <w:rPr>
          <w:szCs w:val="22"/>
        </w:rPr>
        <w:t>a</w:t>
      </w:r>
      <w:r w:rsidRPr="005C44A1">
        <w:rPr>
          <w:szCs w:val="22"/>
        </w:rPr>
        <w:t>n</w:t>
      </w:r>
      <w:r w:rsidR="00430AE6" w:rsidRPr="005C44A1">
        <w:rPr>
          <w:szCs w:val="22"/>
        </w:rPr>
        <w:t>-</w:t>
      </w:r>
      <w:r w:rsidRPr="005C44A1">
        <w:rPr>
          <w:szCs w:val="22"/>
        </w:rPr>
        <w:t xml:space="preserve">medoxomil podobné účinky ako iné antagonisty receptorov </w:t>
      </w:r>
      <w:r w:rsidR="00D17F71" w:rsidRPr="005C44A1">
        <w:rPr>
          <w:szCs w:val="22"/>
        </w:rPr>
        <w:t xml:space="preserve">AT1 </w:t>
      </w:r>
      <w:r w:rsidRPr="005C44A1">
        <w:rPr>
          <w:szCs w:val="22"/>
        </w:rPr>
        <w:t xml:space="preserve">a ACE inhibítory: </w:t>
      </w:r>
      <w:r w:rsidR="00757670" w:rsidRPr="005C44A1">
        <w:rPr>
          <w:szCs w:val="22"/>
        </w:rPr>
        <w:t xml:space="preserve">v krvi </w:t>
      </w:r>
      <w:r w:rsidRPr="005C44A1">
        <w:rPr>
          <w:szCs w:val="22"/>
        </w:rPr>
        <w:t>zvýšená hodnota močoviny</w:t>
      </w:r>
      <w:r w:rsidR="00D17F71" w:rsidRPr="005C44A1">
        <w:rPr>
          <w:szCs w:val="22"/>
        </w:rPr>
        <w:t xml:space="preserve"> </w:t>
      </w:r>
      <w:r w:rsidRPr="005C44A1">
        <w:rPr>
          <w:szCs w:val="22"/>
        </w:rPr>
        <w:t>(blood urea</w:t>
      </w:r>
      <w:r w:rsidR="00EA68A8">
        <w:rPr>
          <w:szCs w:val="22"/>
        </w:rPr>
        <w:t xml:space="preserve"> nitrogen</w:t>
      </w:r>
      <w:r w:rsidRPr="005C44A1">
        <w:rPr>
          <w:szCs w:val="22"/>
        </w:rPr>
        <w:t>, BUN) a kreatinínu; zníženie hmotnosti srdca, zníženie parametrov červených krviniek (erytrocyty, hemoglobín, hematokrit), histologické nálezy naznačujúce poškodenie obličiek (regenera</w:t>
      </w:r>
      <w:r w:rsidR="00757670" w:rsidRPr="005C44A1">
        <w:rPr>
          <w:szCs w:val="22"/>
        </w:rPr>
        <w:t>čné</w:t>
      </w:r>
      <w:r w:rsidRPr="005C44A1">
        <w:rPr>
          <w:szCs w:val="22"/>
        </w:rPr>
        <w:t xml:space="preserve"> lézie renálneho epitelu, zhrubnutie bazálnej membrány, dilatácia tubulov). Tieto nežiaduce účinky spôsobené farmakologick</w:t>
      </w:r>
      <w:r w:rsidR="00757670" w:rsidRPr="005C44A1">
        <w:rPr>
          <w:szCs w:val="22"/>
        </w:rPr>
        <w:t>ým účinkom</w:t>
      </w:r>
      <w:r w:rsidRPr="005C44A1">
        <w:rPr>
          <w:szCs w:val="22"/>
        </w:rPr>
        <w:t xml:space="preserve"> olmesart</w:t>
      </w:r>
      <w:r w:rsidR="00BD5AB4">
        <w:rPr>
          <w:szCs w:val="22"/>
        </w:rPr>
        <w:t>a</w:t>
      </w:r>
      <w:r w:rsidRPr="005C44A1">
        <w:rPr>
          <w:szCs w:val="22"/>
        </w:rPr>
        <w:t>nu</w:t>
      </w:r>
      <w:r w:rsidR="00757670" w:rsidRPr="005C44A1">
        <w:rPr>
          <w:szCs w:val="22"/>
        </w:rPr>
        <w:t>-</w:t>
      </w:r>
      <w:r w:rsidRPr="005C44A1">
        <w:rPr>
          <w:szCs w:val="22"/>
        </w:rPr>
        <w:t>medoxomilu sa vyskytli aj v predklinických štúdiách s inými antagonistami receptorov</w:t>
      </w:r>
      <w:r w:rsidR="00121B60" w:rsidRPr="005C44A1">
        <w:rPr>
          <w:szCs w:val="22"/>
        </w:rPr>
        <w:t xml:space="preserve"> AT1</w:t>
      </w:r>
      <w:r w:rsidRPr="005C44A1">
        <w:rPr>
          <w:szCs w:val="22"/>
        </w:rPr>
        <w:t xml:space="preserve"> a ACE inhibítormi a možno ich znížiť </w:t>
      </w:r>
      <w:r w:rsidR="00121B60" w:rsidRPr="005C44A1">
        <w:rPr>
          <w:szCs w:val="22"/>
        </w:rPr>
        <w:t>súčasným</w:t>
      </w:r>
      <w:r w:rsidRPr="005C44A1">
        <w:rPr>
          <w:szCs w:val="22"/>
        </w:rPr>
        <w:t xml:space="preserve"> perorálnym podaním chloridu sodného.</w:t>
      </w:r>
    </w:p>
    <w:p w14:paraId="3B932739" w14:textId="77777777" w:rsidR="00AF3923" w:rsidRPr="005C44A1" w:rsidRDefault="00AF3923" w:rsidP="005C44A1">
      <w:pPr>
        <w:ind w:left="0" w:firstLine="0"/>
        <w:rPr>
          <w:szCs w:val="22"/>
        </w:rPr>
      </w:pPr>
      <w:r w:rsidRPr="005C44A1">
        <w:rPr>
          <w:szCs w:val="22"/>
        </w:rPr>
        <w:lastRenderedPageBreak/>
        <w:t xml:space="preserve">U obidvoch druhov zvierat sa zistilo zvýšenie aktivity </w:t>
      </w:r>
      <w:r w:rsidR="00121B60" w:rsidRPr="005C44A1">
        <w:rPr>
          <w:szCs w:val="22"/>
        </w:rPr>
        <w:t xml:space="preserve">renínu </w:t>
      </w:r>
      <w:r w:rsidRPr="005C44A1">
        <w:rPr>
          <w:szCs w:val="22"/>
        </w:rPr>
        <w:t>v plazme a hypertrofia/hyperplázia juxtaglomerulárnych buniek v obličkách. Zdá sa však, že tieto zmeny, typické pre skupinu ACE inhibítorov a pre iné antagonisty receptorov</w:t>
      </w:r>
      <w:r w:rsidR="00E36131" w:rsidRPr="005C44A1">
        <w:rPr>
          <w:szCs w:val="22"/>
        </w:rPr>
        <w:t xml:space="preserve"> AT1</w:t>
      </w:r>
      <w:r w:rsidRPr="005C44A1">
        <w:rPr>
          <w:szCs w:val="22"/>
        </w:rPr>
        <w:t>, nemajú žiadn</w:t>
      </w:r>
      <w:r w:rsidR="00C87BEB" w:rsidRPr="005C44A1">
        <w:rPr>
          <w:szCs w:val="22"/>
        </w:rPr>
        <w:t>y</w:t>
      </w:r>
      <w:r w:rsidRPr="005C44A1">
        <w:rPr>
          <w:szCs w:val="22"/>
        </w:rPr>
        <w:t xml:space="preserve"> klinick</w:t>
      </w:r>
      <w:r w:rsidR="00C87BEB" w:rsidRPr="005C44A1">
        <w:rPr>
          <w:szCs w:val="22"/>
        </w:rPr>
        <w:t>ý</w:t>
      </w:r>
      <w:r w:rsidRPr="005C44A1">
        <w:rPr>
          <w:szCs w:val="22"/>
        </w:rPr>
        <w:t xml:space="preserve"> význam.</w:t>
      </w:r>
    </w:p>
    <w:p w14:paraId="3B93273A" w14:textId="77777777" w:rsidR="00AF3923" w:rsidRPr="005C44A1" w:rsidRDefault="00AF3923" w:rsidP="005C44A1">
      <w:pPr>
        <w:ind w:left="0" w:firstLine="0"/>
        <w:rPr>
          <w:szCs w:val="22"/>
        </w:rPr>
      </w:pPr>
    </w:p>
    <w:p w14:paraId="3B93273B" w14:textId="6D61EEAE" w:rsidR="00AF3923" w:rsidRPr="005C44A1" w:rsidRDefault="00AF3923" w:rsidP="005C44A1">
      <w:pPr>
        <w:ind w:left="0" w:firstLine="0"/>
        <w:rPr>
          <w:szCs w:val="22"/>
        </w:rPr>
      </w:pPr>
      <w:r w:rsidRPr="005C44A1">
        <w:rPr>
          <w:szCs w:val="22"/>
        </w:rPr>
        <w:t>Zistilo sa, že rovnako ako iné antagonisty receptorov</w:t>
      </w:r>
      <w:r w:rsidR="00E36131" w:rsidRPr="005C44A1">
        <w:rPr>
          <w:szCs w:val="22"/>
        </w:rPr>
        <w:t xml:space="preserve"> AT1</w:t>
      </w:r>
      <w:r w:rsidRPr="005C44A1">
        <w:rPr>
          <w:szCs w:val="22"/>
        </w:rPr>
        <w:t>, aj olmesart</w:t>
      </w:r>
      <w:r w:rsidR="00BD5AB4">
        <w:rPr>
          <w:szCs w:val="22"/>
        </w:rPr>
        <w:t>a</w:t>
      </w:r>
      <w:r w:rsidR="00E36131" w:rsidRPr="005C44A1">
        <w:rPr>
          <w:szCs w:val="22"/>
        </w:rPr>
        <w:t>n-</w:t>
      </w:r>
      <w:r w:rsidRPr="005C44A1">
        <w:rPr>
          <w:szCs w:val="22"/>
        </w:rPr>
        <w:t xml:space="preserve">medoxomil zvyšoval </w:t>
      </w:r>
      <w:r w:rsidR="00E36131" w:rsidRPr="005C44A1">
        <w:rPr>
          <w:szCs w:val="22"/>
        </w:rPr>
        <w:t>výskyt</w:t>
      </w:r>
      <w:r w:rsidRPr="005C44A1">
        <w:rPr>
          <w:szCs w:val="22"/>
        </w:rPr>
        <w:t xml:space="preserve"> chromozómových zlomov v bunkových kultúrach </w:t>
      </w:r>
      <w:r w:rsidRPr="005C44A1">
        <w:rPr>
          <w:i/>
          <w:szCs w:val="22"/>
        </w:rPr>
        <w:t>in vitro</w:t>
      </w:r>
      <w:r w:rsidRPr="005C44A1">
        <w:rPr>
          <w:szCs w:val="22"/>
        </w:rPr>
        <w:t xml:space="preserve">. V niekoľkých </w:t>
      </w:r>
      <w:r w:rsidRPr="00406CF5">
        <w:rPr>
          <w:i/>
          <w:szCs w:val="22"/>
        </w:rPr>
        <w:t>in vivo</w:t>
      </w:r>
      <w:r w:rsidRPr="005C44A1">
        <w:rPr>
          <w:szCs w:val="22"/>
        </w:rPr>
        <w:t xml:space="preserve"> štúdiách s</w:t>
      </w:r>
      <w:r w:rsidR="00E36131" w:rsidRPr="005C44A1">
        <w:rPr>
          <w:szCs w:val="22"/>
        </w:rPr>
        <w:t> </w:t>
      </w:r>
      <w:r w:rsidRPr="005C44A1">
        <w:rPr>
          <w:szCs w:val="22"/>
        </w:rPr>
        <w:t>olmesart</w:t>
      </w:r>
      <w:r w:rsidR="00BD5AB4">
        <w:rPr>
          <w:szCs w:val="22"/>
        </w:rPr>
        <w:t>a</w:t>
      </w:r>
      <w:r w:rsidRPr="005C44A1">
        <w:rPr>
          <w:szCs w:val="22"/>
        </w:rPr>
        <w:t>nom</w:t>
      </w:r>
      <w:r w:rsidR="00E36131" w:rsidRPr="005C44A1">
        <w:rPr>
          <w:szCs w:val="22"/>
        </w:rPr>
        <w:t>-</w:t>
      </w:r>
      <w:r w:rsidRPr="005C44A1">
        <w:rPr>
          <w:szCs w:val="22"/>
        </w:rPr>
        <w:t>medoxomilom podávaným vo veľmi vysokých perorálnych dávkach až do 2000</w:t>
      </w:r>
      <w:r w:rsidR="00CD78FF">
        <w:rPr>
          <w:szCs w:val="22"/>
        </w:rPr>
        <w:t> </w:t>
      </w:r>
      <w:r w:rsidRPr="005C44A1">
        <w:rPr>
          <w:szCs w:val="22"/>
        </w:rPr>
        <w:t xml:space="preserve">mg/kg sa nezistili žiadne </w:t>
      </w:r>
      <w:r w:rsidR="00DD7737" w:rsidRPr="005C44A1">
        <w:rPr>
          <w:szCs w:val="22"/>
        </w:rPr>
        <w:t>významné</w:t>
      </w:r>
      <w:r w:rsidRPr="005C44A1">
        <w:rPr>
          <w:szCs w:val="22"/>
        </w:rPr>
        <w:t xml:space="preserve"> účinky. Súhrnné údaje z programu komplexného testovania genotoxicity </w:t>
      </w:r>
      <w:r w:rsidR="00DD7737" w:rsidRPr="005C44A1">
        <w:rPr>
          <w:szCs w:val="22"/>
        </w:rPr>
        <w:t>naznačujú</w:t>
      </w:r>
      <w:r w:rsidRPr="005C44A1">
        <w:rPr>
          <w:szCs w:val="22"/>
        </w:rPr>
        <w:t xml:space="preserve">, že </w:t>
      </w:r>
      <w:r w:rsidR="00DD7737" w:rsidRPr="005C44A1">
        <w:rPr>
          <w:szCs w:val="22"/>
        </w:rPr>
        <w:t>je nepravdepodobné, aby mal olmesart</w:t>
      </w:r>
      <w:r w:rsidR="003A033C">
        <w:rPr>
          <w:szCs w:val="22"/>
        </w:rPr>
        <w:t>a</w:t>
      </w:r>
      <w:r w:rsidR="00DD7737" w:rsidRPr="005C44A1">
        <w:rPr>
          <w:szCs w:val="22"/>
        </w:rPr>
        <w:t xml:space="preserve">n </w:t>
      </w:r>
      <w:r w:rsidR="00963A74" w:rsidRPr="005C44A1">
        <w:rPr>
          <w:szCs w:val="22"/>
        </w:rPr>
        <w:t xml:space="preserve">v klinickom používaní </w:t>
      </w:r>
      <w:r w:rsidRPr="005C44A1">
        <w:rPr>
          <w:szCs w:val="22"/>
        </w:rPr>
        <w:t>genotoxický účinok.</w:t>
      </w:r>
    </w:p>
    <w:p w14:paraId="3B93273C" w14:textId="77777777" w:rsidR="00406CF5" w:rsidRDefault="00406CF5" w:rsidP="005C44A1">
      <w:pPr>
        <w:ind w:left="0" w:firstLine="0"/>
        <w:rPr>
          <w:szCs w:val="22"/>
        </w:rPr>
      </w:pPr>
    </w:p>
    <w:p w14:paraId="3B93273D" w14:textId="610E78DA" w:rsidR="00AF3923" w:rsidRPr="005C44A1" w:rsidRDefault="00AF3923" w:rsidP="005C44A1">
      <w:pPr>
        <w:ind w:left="0" w:firstLine="0"/>
        <w:rPr>
          <w:szCs w:val="22"/>
        </w:rPr>
      </w:pPr>
      <w:r w:rsidRPr="005C44A1">
        <w:rPr>
          <w:szCs w:val="22"/>
        </w:rPr>
        <w:t>Olmesart</w:t>
      </w:r>
      <w:r w:rsidR="003A033C">
        <w:rPr>
          <w:szCs w:val="22"/>
        </w:rPr>
        <w:t>a</w:t>
      </w:r>
      <w:r w:rsidRPr="005C44A1">
        <w:rPr>
          <w:szCs w:val="22"/>
        </w:rPr>
        <w:t>n</w:t>
      </w:r>
      <w:r w:rsidR="00963A74" w:rsidRPr="005C44A1">
        <w:rPr>
          <w:szCs w:val="22"/>
        </w:rPr>
        <w:t>-</w:t>
      </w:r>
      <w:r w:rsidRPr="005C44A1">
        <w:rPr>
          <w:szCs w:val="22"/>
        </w:rPr>
        <w:t xml:space="preserve">medoxomil nebol karcinogénny </w:t>
      </w:r>
      <w:r w:rsidR="00963A74" w:rsidRPr="005C44A1">
        <w:rPr>
          <w:szCs w:val="22"/>
        </w:rPr>
        <w:t>v 2-ročnej štúdii na</w:t>
      </w:r>
      <w:r w:rsidRPr="005C44A1">
        <w:rPr>
          <w:szCs w:val="22"/>
        </w:rPr>
        <w:t xml:space="preserve"> potkano</w:t>
      </w:r>
      <w:r w:rsidR="00963A74" w:rsidRPr="005C44A1">
        <w:rPr>
          <w:szCs w:val="22"/>
        </w:rPr>
        <w:t>ch</w:t>
      </w:r>
      <w:r w:rsidRPr="005C44A1">
        <w:rPr>
          <w:szCs w:val="22"/>
        </w:rPr>
        <w:t xml:space="preserve"> ani v dvoch 6-mesačných štúdiách karcinogenicity </w:t>
      </w:r>
      <w:r w:rsidR="009266EA" w:rsidRPr="005C44A1">
        <w:rPr>
          <w:szCs w:val="22"/>
        </w:rPr>
        <w:t>na</w:t>
      </w:r>
      <w:r w:rsidRPr="005C44A1">
        <w:rPr>
          <w:szCs w:val="22"/>
        </w:rPr>
        <w:t xml:space="preserve"> transgénnych myš</w:t>
      </w:r>
      <w:r w:rsidR="009266EA" w:rsidRPr="005C44A1">
        <w:rPr>
          <w:szCs w:val="22"/>
        </w:rPr>
        <w:t>iach</w:t>
      </w:r>
      <w:r w:rsidRPr="005C44A1">
        <w:rPr>
          <w:szCs w:val="22"/>
        </w:rPr>
        <w:t>.</w:t>
      </w:r>
    </w:p>
    <w:p w14:paraId="3B93273E" w14:textId="77777777" w:rsidR="00406CF5" w:rsidRDefault="00406CF5" w:rsidP="005C44A1">
      <w:pPr>
        <w:ind w:left="0" w:firstLine="0"/>
        <w:rPr>
          <w:szCs w:val="22"/>
        </w:rPr>
      </w:pPr>
    </w:p>
    <w:p w14:paraId="3B93273F" w14:textId="54DA51A4" w:rsidR="00AF3923" w:rsidRPr="005C44A1" w:rsidRDefault="00AF3923" w:rsidP="005C44A1">
      <w:pPr>
        <w:ind w:left="0" w:firstLine="0"/>
        <w:rPr>
          <w:szCs w:val="22"/>
        </w:rPr>
      </w:pPr>
      <w:r w:rsidRPr="005C44A1">
        <w:rPr>
          <w:szCs w:val="22"/>
        </w:rPr>
        <w:t>V reprodukčných štúdiách na potkanoch olmesart</w:t>
      </w:r>
      <w:r w:rsidR="003A033C">
        <w:rPr>
          <w:szCs w:val="22"/>
        </w:rPr>
        <w:t>a</w:t>
      </w:r>
      <w:r w:rsidRPr="005C44A1">
        <w:rPr>
          <w:szCs w:val="22"/>
        </w:rPr>
        <w:t>n</w:t>
      </w:r>
      <w:r w:rsidR="009266EA" w:rsidRPr="005C44A1">
        <w:rPr>
          <w:szCs w:val="22"/>
        </w:rPr>
        <w:t>-</w:t>
      </w:r>
      <w:r w:rsidRPr="005C44A1">
        <w:rPr>
          <w:szCs w:val="22"/>
        </w:rPr>
        <w:t>medoxomil neovplyvňoval fertilitu a</w:t>
      </w:r>
      <w:r w:rsidR="009266EA" w:rsidRPr="005C44A1">
        <w:rPr>
          <w:szCs w:val="22"/>
        </w:rPr>
        <w:t xml:space="preserve"> nedokázali </w:t>
      </w:r>
      <w:r w:rsidRPr="005C44A1">
        <w:rPr>
          <w:szCs w:val="22"/>
        </w:rPr>
        <w:t>sa teratogénn</w:t>
      </w:r>
      <w:r w:rsidR="009266EA" w:rsidRPr="005C44A1">
        <w:rPr>
          <w:szCs w:val="22"/>
        </w:rPr>
        <w:t>e</w:t>
      </w:r>
      <w:r w:rsidRPr="005C44A1">
        <w:rPr>
          <w:szCs w:val="22"/>
        </w:rPr>
        <w:t xml:space="preserve"> účink</w:t>
      </w:r>
      <w:r w:rsidR="009266EA" w:rsidRPr="005C44A1">
        <w:rPr>
          <w:szCs w:val="22"/>
        </w:rPr>
        <w:t>y</w:t>
      </w:r>
      <w:r w:rsidRPr="005C44A1">
        <w:rPr>
          <w:szCs w:val="22"/>
        </w:rPr>
        <w:t>. Rovnako ako u iných antagonistov angiotenzínu II, aj po expozícii olmesart</w:t>
      </w:r>
      <w:r w:rsidR="008132D4">
        <w:rPr>
          <w:szCs w:val="22"/>
        </w:rPr>
        <w:t>a</w:t>
      </w:r>
      <w:r w:rsidRPr="005C44A1">
        <w:rPr>
          <w:szCs w:val="22"/>
        </w:rPr>
        <w:t>nu</w:t>
      </w:r>
      <w:r w:rsidR="003F069B" w:rsidRPr="005C44A1">
        <w:rPr>
          <w:szCs w:val="22"/>
        </w:rPr>
        <w:t>-</w:t>
      </w:r>
      <w:r w:rsidRPr="005C44A1">
        <w:rPr>
          <w:szCs w:val="22"/>
        </w:rPr>
        <w:t xml:space="preserve">medoxomilu sa prežívanie potomstva znížilo a po expozícii samíc v neskorých štádiách gravidity a počas laktácie </w:t>
      </w:r>
      <w:r w:rsidR="003F069B" w:rsidRPr="005C44A1">
        <w:rPr>
          <w:szCs w:val="22"/>
        </w:rPr>
        <w:t>sa pozorovala</w:t>
      </w:r>
      <w:r w:rsidRPr="005C44A1">
        <w:rPr>
          <w:szCs w:val="22"/>
        </w:rPr>
        <w:t xml:space="preserve"> dilatáci</w:t>
      </w:r>
      <w:r w:rsidR="003F069B" w:rsidRPr="005C44A1">
        <w:rPr>
          <w:szCs w:val="22"/>
        </w:rPr>
        <w:t>a</w:t>
      </w:r>
      <w:r w:rsidRPr="005C44A1">
        <w:rPr>
          <w:szCs w:val="22"/>
        </w:rPr>
        <w:t xml:space="preserve"> </w:t>
      </w:r>
      <w:r w:rsidR="00E2706E" w:rsidRPr="005C44A1">
        <w:rPr>
          <w:szCs w:val="22"/>
        </w:rPr>
        <w:t xml:space="preserve">obličkovej </w:t>
      </w:r>
      <w:r w:rsidRPr="005C44A1">
        <w:rPr>
          <w:szCs w:val="22"/>
        </w:rPr>
        <w:t>panvičky. Rovnako ako iné antihypertenzíva, aj olmesart</w:t>
      </w:r>
      <w:r w:rsidR="008132D4">
        <w:rPr>
          <w:szCs w:val="22"/>
        </w:rPr>
        <w:t>a</w:t>
      </w:r>
      <w:r w:rsidRPr="005C44A1">
        <w:rPr>
          <w:szCs w:val="22"/>
        </w:rPr>
        <w:t>n</w:t>
      </w:r>
      <w:r w:rsidR="00DA4D2E" w:rsidRPr="005C44A1">
        <w:rPr>
          <w:szCs w:val="22"/>
        </w:rPr>
        <w:t>-</w:t>
      </w:r>
      <w:r w:rsidRPr="005C44A1">
        <w:rPr>
          <w:szCs w:val="22"/>
        </w:rPr>
        <w:t>medoxomil bol toxickejší pre gravidné králiky ako pre gravidné potkany, avšak bez akéhokoľvek náznaku fetotoxického účinku.</w:t>
      </w:r>
    </w:p>
    <w:p w14:paraId="3B932740" w14:textId="77777777" w:rsidR="00AF3923" w:rsidRPr="005C44A1" w:rsidRDefault="00AF3923" w:rsidP="005C44A1">
      <w:pPr>
        <w:ind w:left="0" w:firstLine="0"/>
        <w:rPr>
          <w:szCs w:val="22"/>
        </w:rPr>
      </w:pPr>
      <w:r w:rsidRPr="005C44A1">
        <w:rPr>
          <w:szCs w:val="22"/>
        </w:rPr>
        <w:t xml:space="preserve"> </w:t>
      </w:r>
    </w:p>
    <w:p w14:paraId="3B932741" w14:textId="77777777" w:rsidR="00AF3923" w:rsidRPr="005C44A1" w:rsidRDefault="00AF3923" w:rsidP="005C44A1">
      <w:pPr>
        <w:ind w:left="0" w:firstLine="0"/>
        <w:rPr>
          <w:szCs w:val="22"/>
          <w:u w:val="single"/>
        </w:rPr>
      </w:pPr>
      <w:r w:rsidRPr="005C44A1">
        <w:rPr>
          <w:szCs w:val="22"/>
          <w:u w:val="single"/>
        </w:rPr>
        <w:t xml:space="preserve">Amlodipín (liečivo </w:t>
      </w:r>
      <w:r w:rsidR="00DA4D2E" w:rsidRPr="005C44A1">
        <w:rPr>
          <w:szCs w:val="22"/>
          <w:u w:val="single"/>
        </w:rPr>
        <w:t>Reverantzy</w:t>
      </w:r>
      <w:r w:rsidRPr="005C44A1">
        <w:rPr>
          <w:szCs w:val="22"/>
          <w:u w:val="single"/>
        </w:rPr>
        <w:t>)</w:t>
      </w:r>
    </w:p>
    <w:p w14:paraId="3B932742" w14:textId="77777777" w:rsidR="00AF3923" w:rsidRPr="005C44A1" w:rsidRDefault="00AF3923" w:rsidP="005C44A1">
      <w:pPr>
        <w:ind w:left="0" w:firstLine="0"/>
        <w:rPr>
          <w:szCs w:val="22"/>
        </w:rPr>
      </w:pPr>
    </w:p>
    <w:p w14:paraId="3B932743" w14:textId="77777777" w:rsidR="00AF3923" w:rsidRPr="005C44A1" w:rsidRDefault="00AF3923" w:rsidP="005C44A1">
      <w:pPr>
        <w:ind w:left="0" w:firstLine="0"/>
        <w:rPr>
          <w:szCs w:val="22"/>
          <w:u w:val="single"/>
        </w:rPr>
      </w:pPr>
      <w:r w:rsidRPr="005C44A1">
        <w:rPr>
          <w:szCs w:val="22"/>
          <w:u w:val="single"/>
        </w:rPr>
        <w:t>Reprodukčná toxikológia</w:t>
      </w:r>
    </w:p>
    <w:p w14:paraId="3B932744" w14:textId="77777777" w:rsidR="00AF3923" w:rsidRPr="005C44A1" w:rsidRDefault="00DA4D2E" w:rsidP="005C44A1">
      <w:pPr>
        <w:ind w:left="0" w:firstLine="0"/>
        <w:rPr>
          <w:szCs w:val="22"/>
        </w:rPr>
      </w:pPr>
      <w:r w:rsidRPr="005C44A1">
        <w:rPr>
          <w:szCs w:val="22"/>
        </w:rPr>
        <w:t>R</w:t>
      </w:r>
      <w:r w:rsidR="00AF3923" w:rsidRPr="005C44A1">
        <w:rPr>
          <w:szCs w:val="22"/>
        </w:rPr>
        <w:t>eprodukčn</w:t>
      </w:r>
      <w:r w:rsidRPr="005C44A1">
        <w:rPr>
          <w:szCs w:val="22"/>
        </w:rPr>
        <w:t>é</w:t>
      </w:r>
      <w:r w:rsidR="00AF3923" w:rsidRPr="005C44A1">
        <w:rPr>
          <w:szCs w:val="22"/>
        </w:rPr>
        <w:t xml:space="preserve"> štúdi</w:t>
      </w:r>
      <w:r w:rsidRPr="005C44A1">
        <w:rPr>
          <w:szCs w:val="22"/>
        </w:rPr>
        <w:t>e</w:t>
      </w:r>
      <w:r w:rsidR="00AF3923" w:rsidRPr="005C44A1">
        <w:rPr>
          <w:szCs w:val="22"/>
        </w:rPr>
        <w:t xml:space="preserve"> na potkanoch a myšiach </w:t>
      </w:r>
      <w:r w:rsidR="002E5CDA" w:rsidRPr="005C44A1">
        <w:rPr>
          <w:szCs w:val="22"/>
        </w:rPr>
        <w:t>preukázali</w:t>
      </w:r>
      <w:r w:rsidR="00AF3923" w:rsidRPr="005C44A1">
        <w:rPr>
          <w:szCs w:val="22"/>
        </w:rPr>
        <w:t xml:space="preserve"> oneskorenie pôrodu, predĺženie pôrodnej doby a zníženie prežívania mláďat pri dávkach približne 50-krát vyšších</w:t>
      </w:r>
      <w:r w:rsidR="00A0101D" w:rsidRPr="005C44A1">
        <w:rPr>
          <w:szCs w:val="22"/>
        </w:rPr>
        <w:t>,</w:t>
      </w:r>
      <w:r w:rsidR="00AF3923" w:rsidRPr="005C44A1">
        <w:rPr>
          <w:szCs w:val="22"/>
        </w:rPr>
        <w:t xml:space="preserve"> ako je maximálna odporúčaná dávka pre ľudí stanovená v mg/kg.</w:t>
      </w:r>
    </w:p>
    <w:p w14:paraId="3B932745" w14:textId="77777777" w:rsidR="00AF3923" w:rsidRPr="005C44A1" w:rsidRDefault="00AF3923" w:rsidP="005C44A1">
      <w:pPr>
        <w:ind w:left="0" w:firstLine="0"/>
        <w:rPr>
          <w:szCs w:val="22"/>
        </w:rPr>
      </w:pPr>
    </w:p>
    <w:p w14:paraId="3B932746" w14:textId="77777777" w:rsidR="00AF3923" w:rsidRPr="005C44A1" w:rsidRDefault="00AF3923" w:rsidP="005C44A1">
      <w:pPr>
        <w:ind w:left="0" w:firstLine="0"/>
        <w:rPr>
          <w:szCs w:val="22"/>
          <w:u w:val="single"/>
        </w:rPr>
      </w:pPr>
      <w:r w:rsidRPr="005C44A1">
        <w:rPr>
          <w:szCs w:val="22"/>
          <w:u w:val="single"/>
        </w:rPr>
        <w:t>Porucha fertility</w:t>
      </w:r>
    </w:p>
    <w:p w14:paraId="3B932747" w14:textId="77777777" w:rsidR="00AF3923" w:rsidRPr="005C44A1" w:rsidRDefault="00AF3923" w:rsidP="005C44A1">
      <w:pPr>
        <w:ind w:left="0" w:firstLine="0"/>
        <w:rPr>
          <w:szCs w:val="22"/>
        </w:rPr>
      </w:pPr>
      <w:r w:rsidRPr="005C44A1">
        <w:rPr>
          <w:szCs w:val="22"/>
        </w:rPr>
        <w:t>Ne</w:t>
      </w:r>
      <w:r w:rsidR="00F643F6" w:rsidRPr="005C44A1">
        <w:rPr>
          <w:szCs w:val="22"/>
        </w:rPr>
        <w:t>zistil</w:t>
      </w:r>
      <w:r w:rsidRPr="005C44A1">
        <w:rPr>
          <w:szCs w:val="22"/>
        </w:rPr>
        <w:t xml:space="preserve"> sa </w:t>
      </w:r>
      <w:r w:rsidR="00F643F6" w:rsidRPr="005C44A1">
        <w:rPr>
          <w:szCs w:val="22"/>
        </w:rPr>
        <w:t>žiadny účinok</w:t>
      </w:r>
      <w:r w:rsidRPr="005C44A1">
        <w:rPr>
          <w:szCs w:val="22"/>
        </w:rPr>
        <w:t xml:space="preserve"> na </w:t>
      </w:r>
      <w:r w:rsidR="00F643F6" w:rsidRPr="005C44A1">
        <w:rPr>
          <w:szCs w:val="22"/>
        </w:rPr>
        <w:t>fertilitu</w:t>
      </w:r>
      <w:r w:rsidRPr="005C44A1">
        <w:rPr>
          <w:szCs w:val="22"/>
        </w:rPr>
        <w:t xml:space="preserve"> potkanov</w:t>
      </w:r>
      <w:r w:rsidR="00C97440" w:rsidRPr="005C44A1">
        <w:rPr>
          <w:szCs w:val="22"/>
        </w:rPr>
        <w:t xml:space="preserve"> liečených</w:t>
      </w:r>
      <w:r w:rsidRPr="005C44A1">
        <w:rPr>
          <w:szCs w:val="22"/>
        </w:rPr>
        <w:t xml:space="preserve"> amlodipín</w:t>
      </w:r>
      <w:r w:rsidR="00C97440" w:rsidRPr="005C44A1">
        <w:rPr>
          <w:szCs w:val="22"/>
        </w:rPr>
        <w:t>om</w:t>
      </w:r>
      <w:r w:rsidRPr="005C44A1">
        <w:rPr>
          <w:szCs w:val="22"/>
        </w:rPr>
        <w:t xml:space="preserve"> (samc</w:t>
      </w:r>
      <w:r w:rsidR="00C97440" w:rsidRPr="005C44A1">
        <w:rPr>
          <w:szCs w:val="22"/>
        </w:rPr>
        <w:t>i</w:t>
      </w:r>
      <w:r w:rsidRPr="005C44A1">
        <w:rPr>
          <w:szCs w:val="22"/>
        </w:rPr>
        <w:t xml:space="preserve"> 64 dní a samic</w:t>
      </w:r>
      <w:r w:rsidR="00C97440" w:rsidRPr="005C44A1">
        <w:rPr>
          <w:szCs w:val="22"/>
        </w:rPr>
        <w:t>e</w:t>
      </w:r>
      <w:r w:rsidRPr="005C44A1">
        <w:rPr>
          <w:szCs w:val="22"/>
        </w:rPr>
        <w:t xml:space="preserve"> 14 dní pred párením</w:t>
      </w:r>
      <w:r w:rsidR="00C97440" w:rsidRPr="005C44A1">
        <w:rPr>
          <w:szCs w:val="22"/>
        </w:rPr>
        <w:t>)</w:t>
      </w:r>
      <w:r w:rsidRPr="005C44A1">
        <w:rPr>
          <w:szCs w:val="22"/>
        </w:rPr>
        <w:t xml:space="preserve"> v dávkach </w:t>
      </w:r>
      <w:r w:rsidR="00C97440" w:rsidRPr="005C44A1">
        <w:rPr>
          <w:szCs w:val="22"/>
        </w:rPr>
        <w:t xml:space="preserve">až </w:t>
      </w:r>
      <w:r w:rsidRPr="005C44A1">
        <w:rPr>
          <w:szCs w:val="22"/>
        </w:rPr>
        <w:t xml:space="preserve">do 10 mg/kg/deň (8-krát* viac ako maximálna odporúčaná dávka </w:t>
      </w:r>
      <w:r w:rsidR="007709E5" w:rsidRPr="005C44A1">
        <w:rPr>
          <w:szCs w:val="22"/>
        </w:rPr>
        <w:t>pre človeka</w:t>
      </w:r>
      <w:r w:rsidRPr="005C44A1">
        <w:rPr>
          <w:szCs w:val="22"/>
        </w:rPr>
        <w:t xml:space="preserve"> 10 mg na základe mg/m</w:t>
      </w:r>
      <w:r w:rsidRPr="005C44A1">
        <w:rPr>
          <w:szCs w:val="22"/>
          <w:vertAlign w:val="superscript"/>
        </w:rPr>
        <w:t>2</w:t>
      </w:r>
      <w:r w:rsidRPr="005C44A1">
        <w:rPr>
          <w:szCs w:val="22"/>
        </w:rPr>
        <w:t>).</w:t>
      </w:r>
    </w:p>
    <w:p w14:paraId="3B932748" w14:textId="567AEF19" w:rsidR="00AF3923" w:rsidRPr="005C44A1" w:rsidRDefault="00AF3923" w:rsidP="005C44A1">
      <w:pPr>
        <w:ind w:left="0" w:firstLine="0"/>
        <w:rPr>
          <w:szCs w:val="22"/>
        </w:rPr>
      </w:pPr>
      <w:r w:rsidRPr="005C44A1">
        <w:rPr>
          <w:szCs w:val="22"/>
        </w:rPr>
        <w:t xml:space="preserve">V inej štúdii, v ktorej boli samce potkanov liečené </w:t>
      </w:r>
      <w:r w:rsidR="007709E5" w:rsidRPr="005C44A1">
        <w:rPr>
          <w:szCs w:val="22"/>
        </w:rPr>
        <w:t>amlodipínium</w:t>
      </w:r>
      <w:r w:rsidR="00425982">
        <w:rPr>
          <w:szCs w:val="22"/>
        </w:rPr>
        <w:t>-</w:t>
      </w:r>
      <w:r w:rsidR="007709E5" w:rsidRPr="005C44A1">
        <w:rPr>
          <w:szCs w:val="22"/>
        </w:rPr>
        <w:t>be</w:t>
      </w:r>
      <w:r w:rsidR="0047601B">
        <w:rPr>
          <w:szCs w:val="22"/>
        </w:rPr>
        <w:t>zy</w:t>
      </w:r>
      <w:r w:rsidR="007709E5" w:rsidRPr="005C44A1">
        <w:rPr>
          <w:szCs w:val="22"/>
        </w:rPr>
        <w:t>lát</w:t>
      </w:r>
      <w:r w:rsidR="00886B71" w:rsidRPr="005C44A1">
        <w:rPr>
          <w:szCs w:val="22"/>
        </w:rPr>
        <w:t>om</w:t>
      </w:r>
      <w:r w:rsidR="007709E5" w:rsidRPr="005C44A1">
        <w:rPr>
          <w:szCs w:val="22"/>
        </w:rPr>
        <w:t xml:space="preserve"> </w:t>
      </w:r>
      <w:r w:rsidRPr="005C44A1">
        <w:rPr>
          <w:szCs w:val="22"/>
        </w:rPr>
        <w:t>po</w:t>
      </w:r>
      <w:r w:rsidR="007709E5" w:rsidRPr="005C44A1">
        <w:rPr>
          <w:szCs w:val="22"/>
        </w:rPr>
        <w:t>čas</w:t>
      </w:r>
      <w:r w:rsidRPr="005C44A1">
        <w:rPr>
          <w:szCs w:val="22"/>
        </w:rPr>
        <w:t xml:space="preserve"> 30 dní v dávke porovnateľnej </w:t>
      </w:r>
      <w:r w:rsidR="00E7748D" w:rsidRPr="005C44A1">
        <w:rPr>
          <w:szCs w:val="22"/>
        </w:rPr>
        <w:t>s</w:t>
      </w:r>
      <w:r w:rsidR="007709E5" w:rsidRPr="005C44A1">
        <w:rPr>
          <w:szCs w:val="22"/>
        </w:rPr>
        <w:t> dávkou pre človeka</w:t>
      </w:r>
      <w:r w:rsidRPr="005C44A1">
        <w:rPr>
          <w:szCs w:val="22"/>
        </w:rPr>
        <w:t xml:space="preserve"> na základe mg/kg, bol zaznamenaný pokles folikuly</w:t>
      </w:r>
      <w:r w:rsidR="00886B71" w:rsidRPr="005C44A1">
        <w:rPr>
          <w:szCs w:val="22"/>
        </w:rPr>
        <w:t>-</w:t>
      </w:r>
      <w:r w:rsidRPr="005C44A1">
        <w:rPr>
          <w:szCs w:val="22"/>
        </w:rPr>
        <w:t>stimulujúceho hormónu v plazme a testosterónu a zníženie hustoty spermií a počtu zrelých spermií a Sertoliho buniek.</w:t>
      </w:r>
    </w:p>
    <w:p w14:paraId="3B932749" w14:textId="77777777" w:rsidR="00AF3923" w:rsidRPr="005C44A1" w:rsidRDefault="00AF3923" w:rsidP="005C44A1">
      <w:pPr>
        <w:ind w:left="0" w:firstLine="0"/>
        <w:rPr>
          <w:szCs w:val="22"/>
        </w:rPr>
      </w:pPr>
    </w:p>
    <w:p w14:paraId="3B93274A" w14:textId="77777777" w:rsidR="00AF3923" w:rsidRPr="005C44A1" w:rsidRDefault="00AF3923" w:rsidP="005C44A1">
      <w:pPr>
        <w:ind w:left="0" w:firstLine="0"/>
        <w:rPr>
          <w:szCs w:val="22"/>
          <w:u w:val="single"/>
        </w:rPr>
      </w:pPr>
      <w:r w:rsidRPr="005C44A1">
        <w:rPr>
          <w:szCs w:val="22"/>
          <w:u w:val="single"/>
        </w:rPr>
        <w:t>Karcinogénny a mutagénny účinok</w:t>
      </w:r>
    </w:p>
    <w:p w14:paraId="3B93274B" w14:textId="29314EE6" w:rsidR="00AF3923" w:rsidRPr="005C44A1" w:rsidRDefault="00223716" w:rsidP="005C44A1">
      <w:pPr>
        <w:ind w:left="0" w:firstLine="0"/>
        <w:rPr>
          <w:szCs w:val="22"/>
        </w:rPr>
      </w:pPr>
      <w:r w:rsidRPr="005C44A1">
        <w:rPr>
          <w:szCs w:val="22"/>
        </w:rPr>
        <w:t>Potkany a myši liečené</w:t>
      </w:r>
      <w:r w:rsidR="00AF3923" w:rsidRPr="005C44A1">
        <w:rPr>
          <w:szCs w:val="22"/>
        </w:rPr>
        <w:t xml:space="preserve"> amlodipín</w:t>
      </w:r>
      <w:r w:rsidR="00821B19">
        <w:rPr>
          <w:szCs w:val="22"/>
        </w:rPr>
        <w:t>om</w:t>
      </w:r>
      <w:r w:rsidR="00AF3923" w:rsidRPr="005C44A1">
        <w:rPr>
          <w:szCs w:val="22"/>
        </w:rPr>
        <w:t xml:space="preserve"> podávaný</w:t>
      </w:r>
      <w:r w:rsidRPr="005C44A1">
        <w:rPr>
          <w:szCs w:val="22"/>
        </w:rPr>
        <w:t>m</w:t>
      </w:r>
      <w:r w:rsidR="00AF3923" w:rsidRPr="005C44A1">
        <w:rPr>
          <w:szCs w:val="22"/>
        </w:rPr>
        <w:t xml:space="preserve"> v potrave počas dvoch rokov </w:t>
      </w:r>
      <w:r w:rsidRPr="005C44A1">
        <w:rPr>
          <w:szCs w:val="22"/>
        </w:rPr>
        <w:t>v</w:t>
      </w:r>
      <w:r w:rsidR="00BD71CB">
        <w:rPr>
          <w:szCs w:val="22"/>
        </w:rPr>
        <w:t> </w:t>
      </w:r>
      <w:r w:rsidRPr="005C44A1">
        <w:rPr>
          <w:szCs w:val="22"/>
        </w:rPr>
        <w:t>koncentrá</w:t>
      </w:r>
      <w:r w:rsidR="00BD71CB">
        <w:rPr>
          <w:szCs w:val="22"/>
        </w:rPr>
        <w:t xml:space="preserve">ciách </w:t>
      </w:r>
      <w:r w:rsidR="00C77A27" w:rsidRPr="005C44A1">
        <w:rPr>
          <w:szCs w:val="22"/>
        </w:rPr>
        <w:t>vypočítaných tak, aby poskytovali denné dávky</w:t>
      </w:r>
      <w:r w:rsidR="00AF3923" w:rsidRPr="005C44A1">
        <w:rPr>
          <w:szCs w:val="22"/>
        </w:rPr>
        <w:t xml:space="preserve"> 0,5</w:t>
      </w:r>
      <w:r w:rsidR="00C77A27" w:rsidRPr="005C44A1">
        <w:rPr>
          <w:szCs w:val="22"/>
        </w:rPr>
        <w:t xml:space="preserve"> mg /kg/deň</w:t>
      </w:r>
      <w:r w:rsidR="00AF3923" w:rsidRPr="005C44A1">
        <w:rPr>
          <w:szCs w:val="22"/>
        </w:rPr>
        <w:t>; 1,25</w:t>
      </w:r>
      <w:r w:rsidR="00C77A27" w:rsidRPr="005C44A1">
        <w:rPr>
          <w:szCs w:val="22"/>
        </w:rPr>
        <w:t xml:space="preserve"> mg /kg/deň</w:t>
      </w:r>
      <w:r w:rsidR="00AF3923" w:rsidRPr="005C44A1">
        <w:rPr>
          <w:szCs w:val="22"/>
        </w:rPr>
        <w:t xml:space="preserve"> a 2,5 mg /kg/deň, nebol preukázaný karcinogénny účinok. Najvyššia dávka (pre myši, podobne ako pre potkany</w:t>
      </w:r>
      <w:r w:rsidR="000547EB" w:rsidRPr="005C44A1">
        <w:rPr>
          <w:szCs w:val="22"/>
        </w:rPr>
        <w:t>,</w:t>
      </w:r>
      <w:r w:rsidR="00AF3923" w:rsidRPr="005C44A1">
        <w:rPr>
          <w:szCs w:val="22"/>
        </w:rPr>
        <w:t xml:space="preserve"> dvojnásobok* maximálnej odporúčanej klinickej dávky 10 mg na základe mg/m</w:t>
      </w:r>
      <w:r w:rsidR="00AF3923" w:rsidRPr="003C589E">
        <w:rPr>
          <w:szCs w:val="22"/>
          <w:vertAlign w:val="superscript"/>
        </w:rPr>
        <w:t>2</w:t>
      </w:r>
      <w:r w:rsidR="00AF3923" w:rsidRPr="005C44A1">
        <w:rPr>
          <w:szCs w:val="22"/>
        </w:rPr>
        <w:t xml:space="preserve">) bola blízko maximálnej tolerovanej dávky pre myši, </w:t>
      </w:r>
      <w:r w:rsidR="000547EB" w:rsidRPr="005C44A1">
        <w:rPr>
          <w:szCs w:val="22"/>
        </w:rPr>
        <w:t>ale nie</w:t>
      </w:r>
      <w:r w:rsidR="00AF3923" w:rsidRPr="005C44A1">
        <w:rPr>
          <w:szCs w:val="22"/>
        </w:rPr>
        <w:t xml:space="preserve"> pre potkan</w:t>
      </w:r>
      <w:r w:rsidR="000547EB" w:rsidRPr="005C44A1">
        <w:rPr>
          <w:szCs w:val="22"/>
        </w:rPr>
        <w:t>y</w:t>
      </w:r>
      <w:r w:rsidR="00AF3923" w:rsidRPr="005C44A1">
        <w:rPr>
          <w:szCs w:val="22"/>
        </w:rPr>
        <w:t>.</w:t>
      </w:r>
    </w:p>
    <w:p w14:paraId="3B93274C" w14:textId="5F89FFE0" w:rsidR="00AF3923" w:rsidRPr="005C44A1" w:rsidRDefault="00AF3923" w:rsidP="005C44A1">
      <w:pPr>
        <w:ind w:left="0" w:firstLine="0"/>
        <w:rPr>
          <w:szCs w:val="22"/>
        </w:rPr>
      </w:pPr>
      <w:r w:rsidRPr="005C44A1">
        <w:rPr>
          <w:szCs w:val="22"/>
        </w:rPr>
        <w:t xml:space="preserve">Štúdie mutagenity </w:t>
      </w:r>
      <w:r w:rsidR="000547EB" w:rsidRPr="005C44A1">
        <w:rPr>
          <w:szCs w:val="22"/>
        </w:rPr>
        <w:t>neodhalili</w:t>
      </w:r>
      <w:r w:rsidRPr="005C44A1">
        <w:rPr>
          <w:szCs w:val="22"/>
        </w:rPr>
        <w:t xml:space="preserve"> žiadn</w:t>
      </w:r>
      <w:r w:rsidR="000547EB" w:rsidRPr="005C44A1">
        <w:rPr>
          <w:szCs w:val="22"/>
        </w:rPr>
        <w:t>e</w:t>
      </w:r>
      <w:r w:rsidRPr="005C44A1">
        <w:rPr>
          <w:szCs w:val="22"/>
        </w:rPr>
        <w:t xml:space="preserve"> účink</w:t>
      </w:r>
      <w:r w:rsidR="000547EB" w:rsidRPr="005C44A1">
        <w:rPr>
          <w:szCs w:val="22"/>
        </w:rPr>
        <w:t>y</w:t>
      </w:r>
      <w:r w:rsidR="008D681D" w:rsidRPr="005C44A1">
        <w:rPr>
          <w:szCs w:val="22"/>
        </w:rPr>
        <w:t xml:space="preserve"> súvisiace s liekom ani </w:t>
      </w:r>
      <w:r w:rsidR="00810607">
        <w:rPr>
          <w:szCs w:val="22"/>
        </w:rPr>
        <w:t xml:space="preserve">na </w:t>
      </w:r>
      <w:r w:rsidR="008D681D" w:rsidRPr="005C44A1">
        <w:rPr>
          <w:szCs w:val="22"/>
        </w:rPr>
        <w:t>úrovni génov či</w:t>
      </w:r>
      <w:r w:rsidRPr="005C44A1">
        <w:rPr>
          <w:szCs w:val="22"/>
        </w:rPr>
        <w:t xml:space="preserve"> chromozómov.</w:t>
      </w:r>
    </w:p>
    <w:p w14:paraId="3B93274D" w14:textId="77777777" w:rsidR="00E1698A" w:rsidRPr="005C44A1" w:rsidRDefault="00AF3923" w:rsidP="005C44A1">
      <w:pPr>
        <w:ind w:left="0" w:firstLine="0"/>
        <w:rPr>
          <w:noProof/>
          <w:szCs w:val="22"/>
          <w:u w:val="single"/>
        </w:rPr>
      </w:pPr>
      <w:r w:rsidRPr="005C44A1">
        <w:rPr>
          <w:szCs w:val="22"/>
        </w:rPr>
        <w:t>* na základe telesnej hmotnosti pacienta 50 kg</w:t>
      </w:r>
    </w:p>
    <w:p w14:paraId="3B93274E" w14:textId="77777777" w:rsidR="00780926" w:rsidRPr="005C44A1" w:rsidRDefault="00780926" w:rsidP="005C44A1">
      <w:pPr>
        <w:rPr>
          <w:szCs w:val="22"/>
        </w:rPr>
      </w:pPr>
    </w:p>
    <w:p w14:paraId="3B93274F" w14:textId="77777777" w:rsidR="00E1698A" w:rsidRPr="005C44A1" w:rsidRDefault="00E1698A" w:rsidP="005C44A1">
      <w:pPr>
        <w:rPr>
          <w:szCs w:val="22"/>
        </w:rPr>
      </w:pPr>
    </w:p>
    <w:p w14:paraId="3B932750" w14:textId="77777777" w:rsidR="00780926" w:rsidRPr="005C44A1" w:rsidRDefault="0067565E" w:rsidP="005C44A1">
      <w:pPr>
        <w:rPr>
          <w:b/>
          <w:szCs w:val="22"/>
        </w:rPr>
      </w:pPr>
      <w:r w:rsidRPr="005C44A1">
        <w:rPr>
          <w:b/>
          <w:szCs w:val="22"/>
        </w:rPr>
        <w:t>6.</w:t>
      </w:r>
      <w:r w:rsidRPr="005C44A1">
        <w:rPr>
          <w:b/>
          <w:szCs w:val="22"/>
        </w:rPr>
        <w:tab/>
        <w:t>FARMACEUTICKÉ INFORMÁCIE</w:t>
      </w:r>
    </w:p>
    <w:p w14:paraId="3B932751" w14:textId="77777777" w:rsidR="00780926" w:rsidRPr="005C44A1" w:rsidRDefault="00780926" w:rsidP="005C44A1">
      <w:pPr>
        <w:rPr>
          <w:szCs w:val="22"/>
        </w:rPr>
      </w:pPr>
    </w:p>
    <w:p w14:paraId="3B932752" w14:textId="77777777" w:rsidR="00780926" w:rsidRPr="005C44A1" w:rsidRDefault="0067565E" w:rsidP="005C44A1">
      <w:pPr>
        <w:rPr>
          <w:szCs w:val="22"/>
        </w:rPr>
      </w:pPr>
      <w:r w:rsidRPr="005C44A1">
        <w:rPr>
          <w:b/>
          <w:szCs w:val="22"/>
        </w:rPr>
        <w:t>6.1</w:t>
      </w:r>
      <w:r w:rsidRPr="005C44A1">
        <w:rPr>
          <w:b/>
          <w:szCs w:val="22"/>
        </w:rPr>
        <w:tab/>
        <w:t>Zoznam pomocných látok</w:t>
      </w:r>
    </w:p>
    <w:p w14:paraId="3B932753" w14:textId="77777777" w:rsidR="00780926" w:rsidRPr="005C44A1" w:rsidRDefault="00780926" w:rsidP="005C44A1">
      <w:pPr>
        <w:rPr>
          <w:szCs w:val="22"/>
        </w:rPr>
      </w:pPr>
    </w:p>
    <w:p w14:paraId="3B932754" w14:textId="77777777" w:rsidR="00096CAA" w:rsidRPr="005C44A1" w:rsidRDefault="008D681D" w:rsidP="005C44A1">
      <w:pPr>
        <w:rPr>
          <w:noProof/>
          <w:color w:val="000000" w:themeColor="text1"/>
          <w:szCs w:val="22"/>
          <w:u w:val="single"/>
        </w:rPr>
      </w:pPr>
      <w:r w:rsidRPr="005C44A1">
        <w:rPr>
          <w:noProof/>
          <w:color w:val="000000" w:themeColor="text1"/>
          <w:szCs w:val="22"/>
          <w:u w:val="single"/>
        </w:rPr>
        <w:t>Jadro tablety</w:t>
      </w:r>
    </w:p>
    <w:p w14:paraId="3B932755" w14:textId="77777777" w:rsidR="008D681D" w:rsidRPr="005C44A1" w:rsidRDefault="009F1EB6" w:rsidP="005C44A1">
      <w:pPr>
        <w:rPr>
          <w:noProof/>
          <w:color w:val="000000" w:themeColor="text1"/>
          <w:szCs w:val="22"/>
        </w:rPr>
      </w:pPr>
      <w:r w:rsidRPr="005C44A1">
        <w:rPr>
          <w:noProof/>
          <w:color w:val="000000" w:themeColor="text1"/>
          <w:szCs w:val="22"/>
        </w:rPr>
        <w:t>celulóza, mikrokryštalická</w:t>
      </w:r>
    </w:p>
    <w:p w14:paraId="3B932756" w14:textId="77777777" w:rsidR="009F1EB6" w:rsidRPr="005C44A1" w:rsidRDefault="009F1EB6" w:rsidP="005C44A1">
      <w:pPr>
        <w:rPr>
          <w:noProof/>
          <w:color w:val="000000" w:themeColor="text1"/>
          <w:szCs w:val="22"/>
        </w:rPr>
      </w:pPr>
      <w:r w:rsidRPr="005C44A1">
        <w:rPr>
          <w:noProof/>
          <w:color w:val="000000" w:themeColor="text1"/>
          <w:szCs w:val="22"/>
        </w:rPr>
        <w:t>kroskarmelóza, sodná soľ</w:t>
      </w:r>
    </w:p>
    <w:p w14:paraId="3B932757" w14:textId="77777777" w:rsidR="009F1EB6" w:rsidRPr="005C44A1" w:rsidRDefault="009F1EB6" w:rsidP="005C44A1">
      <w:pPr>
        <w:rPr>
          <w:noProof/>
          <w:color w:val="000000" w:themeColor="text1"/>
          <w:szCs w:val="22"/>
        </w:rPr>
      </w:pPr>
      <w:r w:rsidRPr="005C44A1">
        <w:rPr>
          <w:noProof/>
          <w:color w:val="000000" w:themeColor="text1"/>
          <w:szCs w:val="22"/>
        </w:rPr>
        <w:t>oxid kremičitý, koloidný, bezvodý</w:t>
      </w:r>
    </w:p>
    <w:p w14:paraId="3B932758" w14:textId="77777777" w:rsidR="00632EA6" w:rsidRPr="005C44A1" w:rsidRDefault="00632EA6" w:rsidP="005C44A1">
      <w:pPr>
        <w:rPr>
          <w:noProof/>
          <w:color w:val="000000" w:themeColor="text1"/>
          <w:szCs w:val="22"/>
        </w:rPr>
      </w:pPr>
      <w:r w:rsidRPr="005C44A1">
        <w:rPr>
          <w:noProof/>
          <w:color w:val="000000" w:themeColor="text1"/>
          <w:szCs w:val="22"/>
        </w:rPr>
        <w:t>s</w:t>
      </w:r>
      <w:r w:rsidR="009F1EB6" w:rsidRPr="005C44A1">
        <w:rPr>
          <w:noProof/>
          <w:color w:val="000000" w:themeColor="text1"/>
          <w:szCs w:val="22"/>
        </w:rPr>
        <w:t>tearát horečnatý</w:t>
      </w:r>
    </w:p>
    <w:p w14:paraId="3B932759" w14:textId="77777777" w:rsidR="00632EA6" w:rsidRPr="005C44A1" w:rsidRDefault="00632EA6" w:rsidP="005C44A1">
      <w:pPr>
        <w:rPr>
          <w:noProof/>
          <w:color w:val="000000" w:themeColor="text1"/>
          <w:szCs w:val="22"/>
        </w:rPr>
      </w:pPr>
    </w:p>
    <w:p w14:paraId="3B93275A" w14:textId="77777777" w:rsidR="008D681D" w:rsidRPr="005C44A1" w:rsidRDefault="008D681D" w:rsidP="005C44A1">
      <w:pPr>
        <w:rPr>
          <w:noProof/>
          <w:color w:val="000000" w:themeColor="text1"/>
          <w:szCs w:val="22"/>
          <w:u w:val="single"/>
        </w:rPr>
      </w:pPr>
      <w:r w:rsidRPr="005C44A1">
        <w:rPr>
          <w:noProof/>
          <w:color w:val="000000" w:themeColor="text1"/>
          <w:szCs w:val="22"/>
          <w:u w:val="single"/>
        </w:rPr>
        <w:lastRenderedPageBreak/>
        <w:t>Obal tablety</w:t>
      </w:r>
    </w:p>
    <w:p w14:paraId="3B93275B" w14:textId="77777777" w:rsidR="008D681D" w:rsidRPr="005C44A1" w:rsidRDefault="00632EA6" w:rsidP="005C44A1">
      <w:pPr>
        <w:rPr>
          <w:color w:val="000000" w:themeColor="text1"/>
          <w:szCs w:val="22"/>
        </w:rPr>
      </w:pPr>
      <w:r w:rsidRPr="005C44A1">
        <w:rPr>
          <w:color w:val="000000" w:themeColor="text1"/>
          <w:szCs w:val="22"/>
        </w:rPr>
        <w:t>polyvinylalkohol</w:t>
      </w:r>
    </w:p>
    <w:p w14:paraId="3B93275C" w14:textId="77777777" w:rsidR="00632EA6" w:rsidRPr="005C44A1" w:rsidRDefault="00632EA6" w:rsidP="005C44A1">
      <w:pPr>
        <w:rPr>
          <w:color w:val="000000" w:themeColor="text1"/>
          <w:szCs w:val="22"/>
        </w:rPr>
      </w:pPr>
      <w:r w:rsidRPr="005C44A1">
        <w:rPr>
          <w:color w:val="000000" w:themeColor="text1"/>
          <w:szCs w:val="22"/>
        </w:rPr>
        <w:t>makrogol 3350</w:t>
      </w:r>
    </w:p>
    <w:p w14:paraId="3B93275D" w14:textId="77777777" w:rsidR="00632EA6" w:rsidRPr="005C44A1" w:rsidRDefault="00632EA6" w:rsidP="005C44A1">
      <w:pPr>
        <w:rPr>
          <w:color w:val="000000" w:themeColor="text1"/>
          <w:szCs w:val="22"/>
        </w:rPr>
      </w:pPr>
      <w:r w:rsidRPr="005C44A1">
        <w:rPr>
          <w:color w:val="000000" w:themeColor="text1"/>
          <w:szCs w:val="22"/>
        </w:rPr>
        <w:t>mastenec</w:t>
      </w:r>
    </w:p>
    <w:p w14:paraId="3B93275E" w14:textId="77777777" w:rsidR="00632EA6" w:rsidRPr="005C44A1" w:rsidRDefault="00632EA6" w:rsidP="005C44A1">
      <w:pPr>
        <w:rPr>
          <w:color w:val="000000" w:themeColor="text1"/>
          <w:szCs w:val="22"/>
        </w:rPr>
      </w:pPr>
      <w:r w:rsidRPr="005C44A1">
        <w:rPr>
          <w:color w:val="000000" w:themeColor="text1"/>
          <w:szCs w:val="22"/>
        </w:rPr>
        <w:t>oxid titaničitý (E171)</w:t>
      </w:r>
    </w:p>
    <w:p w14:paraId="3B93275F" w14:textId="77777777" w:rsidR="00632EA6" w:rsidRPr="005C44A1" w:rsidRDefault="007D4393" w:rsidP="005C44A1">
      <w:pPr>
        <w:rPr>
          <w:color w:val="000000" w:themeColor="text1"/>
          <w:szCs w:val="22"/>
        </w:rPr>
      </w:pPr>
      <w:r w:rsidRPr="005C44A1">
        <w:rPr>
          <w:color w:val="000000" w:themeColor="text1"/>
          <w:szCs w:val="22"/>
        </w:rPr>
        <w:t>žltý oxid železitý (E172) (pre silu 40 mg/5 mg)</w:t>
      </w:r>
    </w:p>
    <w:p w14:paraId="3B932760" w14:textId="77777777" w:rsidR="008575F1" w:rsidRPr="00A62527" w:rsidRDefault="008575F1" w:rsidP="005C44A1">
      <w:pPr>
        <w:rPr>
          <w:color w:val="000000" w:themeColor="text1"/>
          <w:szCs w:val="22"/>
        </w:rPr>
      </w:pPr>
    </w:p>
    <w:p w14:paraId="3B932761" w14:textId="77777777" w:rsidR="00780926" w:rsidRPr="005C44A1" w:rsidRDefault="0067565E" w:rsidP="005C44A1">
      <w:pPr>
        <w:rPr>
          <w:szCs w:val="22"/>
        </w:rPr>
      </w:pPr>
      <w:r w:rsidRPr="005C44A1">
        <w:rPr>
          <w:b/>
          <w:szCs w:val="22"/>
        </w:rPr>
        <w:t>6.2</w:t>
      </w:r>
      <w:r w:rsidRPr="005C44A1">
        <w:rPr>
          <w:b/>
          <w:szCs w:val="22"/>
        </w:rPr>
        <w:tab/>
        <w:t>Inkompatibility</w:t>
      </w:r>
    </w:p>
    <w:p w14:paraId="3B932762" w14:textId="77777777" w:rsidR="00780926" w:rsidRPr="005C44A1" w:rsidRDefault="00780926" w:rsidP="005C44A1">
      <w:pPr>
        <w:rPr>
          <w:szCs w:val="22"/>
        </w:rPr>
      </w:pPr>
    </w:p>
    <w:p w14:paraId="3B932763" w14:textId="77777777" w:rsidR="00780926" w:rsidRPr="005C44A1" w:rsidRDefault="0067565E" w:rsidP="005C44A1">
      <w:pPr>
        <w:rPr>
          <w:szCs w:val="22"/>
        </w:rPr>
      </w:pPr>
      <w:r w:rsidRPr="005C44A1">
        <w:rPr>
          <w:szCs w:val="22"/>
        </w:rPr>
        <w:t>Neaplikovateľné</w:t>
      </w:r>
      <w:r w:rsidR="00C74F76" w:rsidRPr="005C44A1">
        <w:rPr>
          <w:szCs w:val="22"/>
        </w:rPr>
        <w:t>.</w:t>
      </w:r>
    </w:p>
    <w:p w14:paraId="3B932764" w14:textId="77777777" w:rsidR="00780926" w:rsidRPr="005C44A1" w:rsidRDefault="00780926" w:rsidP="005C44A1">
      <w:pPr>
        <w:rPr>
          <w:szCs w:val="22"/>
        </w:rPr>
      </w:pPr>
    </w:p>
    <w:p w14:paraId="3B932765" w14:textId="77777777" w:rsidR="00780926" w:rsidRPr="005C44A1" w:rsidRDefault="0067565E" w:rsidP="005C44A1">
      <w:pPr>
        <w:rPr>
          <w:szCs w:val="22"/>
        </w:rPr>
      </w:pPr>
      <w:r w:rsidRPr="005C44A1">
        <w:rPr>
          <w:b/>
          <w:szCs w:val="22"/>
        </w:rPr>
        <w:t>6.3</w:t>
      </w:r>
      <w:r w:rsidRPr="005C44A1">
        <w:rPr>
          <w:b/>
          <w:szCs w:val="22"/>
        </w:rPr>
        <w:tab/>
        <w:t>Čas použiteľnosti</w:t>
      </w:r>
    </w:p>
    <w:p w14:paraId="3B932766" w14:textId="77777777" w:rsidR="00780926" w:rsidRPr="005C44A1" w:rsidRDefault="00780926" w:rsidP="005C44A1">
      <w:pPr>
        <w:rPr>
          <w:szCs w:val="22"/>
        </w:rPr>
      </w:pPr>
    </w:p>
    <w:p w14:paraId="3B932767" w14:textId="77777777" w:rsidR="00780926" w:rsidRPr="005C44A1" w:rsidRDefault="00A44B9E" w:rsidP="005C44A1">
      <w:pPr>
        <w:ind w:left="540" w:hanging="540"/>
        <w:rPr>
          <w:szCs w:val="22"/>
        </w:rPr>
      </w:pPr>
      <w:r w:rsidRPr="005C44A1">
        <w:rPr>
          <w:szCs w:val="22"/>
        </w:rPr>
        <w:t>51</w:t>
      </w:r>
      <w:r w:rsidR="0067565E" w:rsidRPr="005C44A1">
        <w:rPr>
          <w:szCs w:val="22"/>
        </w:rPr>
        <w:t> mesiacov</w:t>
      </w:r>
    </w:p>
    <w:p w14:paraId="3B932768" w14:textId="77777777" w:rsidR="00780926" w:rsidRPr="005C44A1" w:rsidRDefault="00780926" w:rsidP="005C44A1">
      <w:pPr>
        <w:rPr>
          <w:szCs w:val="22"/>
        </w:rPr>
      </w:pPr>
    </w:p>
    <w:p w14:paraId="3B932769" w14:textId="77777777" w:rsidR="00780926" w:rsidRPr="005C44A1" w:rsidRDefault="0067565E" w:rsidP="005C44A1">
      <w:pPr>
        <w:rPr>
          <w:szCs w:val="22"/>
        </w:rPr>
      </w:pPr>
      <w:r w:rsidRPr="005C44A1">
        <w:rPr>
          <w:b/>
          <w:szCs w:val="22"/>
        </w:rPr>
        <w:t>6.4</w:t>
      </w:r>
      <w:r w:rsidRPr="005C44A1">
        <w:rPr>
          <w:b/>
          <w:szCs w:val="22"/>
        </w:rPr>
        <w:tab/>
        <w:t>Špeciálne upozornenia na uchovávanie</w:t>
      </w:r>
    </w:p>
    <w:p w14:paraId="3B93276A" w14:textId="77777777" w:rsidR="00780926" w:rsidRPr="005C44A1" w:rsidRDefault="00780926" w:rsidP="005C44A1">
      <w:pPr>
        <w:rPr>
          <w:szCs w:val="22"/>
        </w:rPr>
      </w:pPr>
    </w:p>
    <w:p w14:paraId="3B93276B" w14:textId="33748716" w:rsidR="00732241" w:rsidRPr="005C44A1" w:rsidRDefault="00732241" w:rsidP="005C44A1">
      <w:pPr>
        <w:rPr>
          <w:noProof/>
          <w:szCs w:val="22"/>
        </w:rPr>
      </w:pPr>
      <w:r w:rsidRPr="005C44A1">
        <w:rPr>
          <w:noProof/>
          <w:szCs w:val="22"/>
        </w:rPr>
        <w:t xml:space="preserve">Uchovávajte pri teplote </w:t>
      </w:r>
      <w:r w:rsidR="00A44B9E" w:rsidRPr="005C44A1">
        <w:rPr>
          <w:noProof/>
          <w:szCs w:val="22"/>
        </w:rPr>
        <w:t>do</w:t>
      </w:r>
      <w:r w:rsidRPr="005C44A1">
        <w:rPr>
          <w:noProof/>
          <w:szCs w:val="22"/>
        </w:rPr>
        <w:t xml:space="preserve"> 30</w:t>
      </w:r>
      <w:r w:rsidR="00B00335">
        <w:rPr>
          <w:noProof/>
          <w:szCs w:val="22"/>
        </w:rPr>
        <w:t> </w:t>
      </w:r>
      <w:r w:rsidRPr="005C44A1">
        <w:rPr>
          <w:noProof/>
          <w:szCs w:val="22"/>
        </w:rPr>
        <w:t>°C.</w:t>
      </w:r>
    </w:p>
    <w:p w14:paraId="3B93276C" w14:textId="77777777" w:rsidR="00780926" w:rsidRPr="005C44A1" w:rsidRDefault="00780926" w:rsidP="005C44A1">
      <w:pPr>
        <w:rPr>
          <w:szCs w:val="22"/>
        </w:rPr>
      </w:pPr>
    </w:p>
    <w:p w14:paraId="3B93276D" w14:textId="77777777" w:rsidR="00780926" w:rsidRPr="005C44A1" w:rsidRDefault="0067565E" w:rsidP="005C44A1">
      <w:pPr>
        <w:rPr>
          <w:szCs w:val="22"/>
        </w:rPr>
      </w:pPr>
      <w:r w:rsidRPr="005C44A1">
        <w:rPr>
          <w:b/>
          <w:szCs w:val="22"/>
        </w:rPr>
        <w:t>6.5</w:t>
      </w:r>
      <w:r w:rsidRPr="005C44A1">
        <w:rPr>
          <w:b/>
          <w:szCs w:val="22"/>
        </w:rPr>
        <w:tab/>
        <w:t>Druh obalu a obsah balenia</w:t>
      </w:r>
    </w:p>
    <w:p w14:paraId="3B93276E" w14:textId="77777777" w:rsidR="00780926" w:rsidRPr="005C44A1" w:rsidRDefault="00780926" w:rsidP="005C44A1">
      <w:pPr>
        <w:rPr>
          <w:szCs w:val="22"/>
        </w:rPr>
      </w:pPr>
    </w:p>
    <w:p w14:paraId="3B93276F" w14:textId="453368D9" w:rsidR="00A60190" w:rsidRPr="005C44A1" w:rsidRDefault="00A60190" w:rsidP="005C44A1">
      <w:pPr>
        <w:rPr>
          <w:szCs w:val="22"/>
        </w:rPr>
      </w:pPr>
      <w:r w:rsidRPr="005C44A1">
        <w:rPr>
          <w:szCs w:val="22"/>
        </w:rPr>
        <w:t xml:space="preserve">Blistre </w:t>
      </w:r>
      <w:r w:rsidR="00CB4033">
        <w:rPr>
          <w:szCs w:val="22"/>
        </w:rPr>
        <w:t>O</w:t>
      </w:r>
      <w:r w:rsidRPr="005C44A1">
        <w:rPr>
          <w:szCs w:val="22"/>
        </w:rPr>
        <w:t>PA-Al-PVC/Al.</w:t>
      </w:r>
    </w:p>
    <w:p w14:paraId="3B932770" w14:textId="77777777" w:rsidR="00A60190" w:rsidRPr="005C44A1" w:rsidRDefault="00A60190" w:rsidP="005C44A1">
      <w:pPr>
        <w:rPr>
          <w:szCs w:val="22"/>
        </w:rPr>
      </w:pPr>
    </w:p>
    <w:p w14:paraId="3B932771" w14:textId="77777777" w:rsidR="00A60190" w:rsidRPr="005C44A1" w:rsidRDefault="00A60190" w:rsidP="005C44A1">
      <w:pPr>
        <w:rPr>
          <w:szCs w:val="22"/>
        </w:rPr>
      </w:pPr>
      <w:r w:rsidRPr="005C44A1">
        <w:rPr>
          <w:szCs w:val="22"/>
        </w:rPr>
        <w:t>Veľkosti balenia: 14, 28 alebo 30 filmom obalených tabliet.</w:t>
      </w:r>
    </w:p>
    <w:p w14:paraId="3B932772" w14:textId="77777777" w:rsidR="00780926" w:rsidRPr="005C44A1" w:rsidRDefault="00D71CEA" w:rsidP="005C44A1">
      <w:pPr>
        <w:rPr>
          <w:szCs w:val="22"/>
        </w:rPr>
      </w:pPr>
      <w:r w:rsidRPr="005C44A1">
        <w:rPr>
          <w:szCs w:val="22"/>
        </w:rPr>
        <w:t>Na trh nemusia byť uvedené</w:t>
      </w:r>
      <w:r w:rsidRPr="005C44A1">
        <w:rPr>
          <w:noProof/>
          <w:szCs w:val="22"/>
        </w:rPr>
        <w:t xml:space="preserve"> </w:t>
      </w:r>
      <w:r w:rsidR="00A60190" w:rsidRPr="005C44A1">
        <w:rPr>
          <w:szCs w:val="22"/>
        </w:rPr>
        <w:t>všetky veľkosti balenia.</w:t>
      </w:r>
    </w:p>
    <w:p w14:paraId="3B932773" w14:textId="77777777" w:rsidR="00780926" w:rsidRPr="005C44A1" w:rsidRDefault="00780926" w:rsidP="005C44A1">
      <w:pPr>
        <w:rPr>
          <w:szCs w:val="22"/>
        </w:rPr>
      </w:pPr>
    </w:p>
    <w:p w14:paraId="3B932774" w14:textId="77777777" w:rsidR="00780926" w:rsidRPr="005C44A1" w:rsidRDefault="0067565E" w:rsidP="005C44A1">
      <w:pPr>
        <w:rPr>
          <w:b/>
          <w:bCs/>
          <w:noProof/>
          <w:szCs w:val="22"/>
        </w:rPr>
      </w:pPr>
      <w:r w:rsidRPr="005C44A1">
        <w:rPr>
          <w:b/>
          <w:szCs w:val="22"/>
        </w:rPr>
        <w:t>6.6</w:t>
      </w:r>
      <w:r w:rsidRPr="005C44A1">
        <w:rPr>
          <w:b/>
          <w:szCs w:val="22"/>
        </w:rPr>
        <w:tab/>
      </w:r>
      <w:r w:rsidRPr="005C44A1">
        <w:rPr>
          <w:b/>
          <w:bCs/>
          <w:noProof/>
          <w:szCs w:val="22"/>
        </w:rPr>
        <w:t>Špeciálne opatrenia na likvidáciu</w:t>
      </w:r>
    </w:p>
    <w:p w14:paraId="3B932775" w14:textId="77777777" w:rsidR="00780926" w:rsidRPr="005C44A1" w:rsidRDefault="00780926" w:rsidP="005C44A1">
      <w:pPr>
        <w:rPr>
          <w:bCs/>
          <w:noProof/>
          <w:szCs w:val="22"/>
        </w:rPr>
      </w:pPr>
    </w:p>
    <w:p w14:paraId="3B932776" w14:textId="77777777" w:rsidR="00780926" w:rsidRPr="005C44A1" w:rsidRDefault="0067565E" w:rsidP="005C44A1">
      <w:pPr>
        <w:rPr>
          <w:szCs w:val="22"/>
        </w:rPr>
      </w:pPr>
      <w:r w:rsidRPr="005C44A1">
        <w:rPr>
          <w:szCs w:val="22"/>
        </w:rPr>
        <w:t>Žiadne zvláštne požiadavky</w:t>
      </w:r>
      <w:r w:rsidR="00A60190" w:rsidRPr="005C44A1">
        <w:rPr>
          <w:szCs w:val="22"/>
        </w:rPr>
        <w:t>.</w:t>
      </w:r>
    </w:p>
    <w:p w14:paraId="3B932777" w14:textId="77777777" w:rsidR="00BC798A" w:rsidRPr="005C44A1" w:rsidRDefault="00BC798A" w:rsidP="005C44A1">
      <w:pPr>
        <w:rPr>
          <w:szCs w:val="22"/>
        </w:rPr>
      </w:pPr>
    </w:p>
    <w:p w14:paraId="3B932778" w14:textId="77777777" w:rsidR="00780926" w:rsidRPr="005C44A1" w:rsidRDefault="00780926" w:rsidP="005C44A1">
      <w:pPr>
        <w:rPr>
          <w:szCs w:val="22"/>
        </w:rPr>
      </w:pPr>
    </w:p>
    <w:p w14:paraId="3B932779" w14:textId="77777777" w:rsidR="00780926" w:rsidRPr="005C44A1" w:rsidRDefault="0067565E" w:rsidP="005C44A1">
      <w:pPr>
        <w:rPr>
          <w:b/>
          <w:szCs w:val="22"/>
        </w:rPr>
      </w:pPr>
      <w:r w:rsidRPr="005C44A1">
        <w:rPr>
          <w:b/>
          <w:szCs w:val="22"/>
        </w:rPr>
        <w:t>7.</w:t>
      </w:r>
      <w:r w:rsidRPr="005C44A1">
        <w:rPr>
          <w:b/>
          <w:szCs w:val="22"/>
        </w:rPr>
        <w:tab/>
        <w:t>DRŽITEĽ ROZHODNUTIA O REGISTRÁCII</w:t>
      </w:r>
    </w:p>
    <w:p w14:paraId="3B93277A" w14:textId="77777777" w:rsidR="00780926" w:rsidRPr="005C44A1" w:rsidRDefault="00780926" w:rsidP="005C44A1">
      <w:pPr>
        <w:rPr>
          <w:szCs w:val="22"/>
        </w:rPr>
      </w:pPr>
    </w:p>
    <w:p w14:paraId="3B93277B" w14:textId="77777777" w:rsidR="001641BE" w:rsidRPr="001641BE" w:rsidRDefault="001641BE" w:rsidP="001641BE">
      <w:pPr>
        <w:rPr>
          <w:szCs w:val="22"/>
        </w:rPr>
      </w:pPr>
      <w:r w:rsidRPr="001641BE">
        <w:rPr>
          <w:szCs w:val="22"/>
        </w:rPr>
        <w:t>Swyssi AG</w:t>
      </w:r>
    </w:p>
    <w:p w14:paraId="3B93277C" w14:textId="19AE8FA8" w:rsidR="001641BE" w:rsidRPr="001641BE" w:rsidRDefault="001641BE" w:rsidP="001641BE">
      <w:pPr>
        <w:rPr>
          <w:szCs w:val="22"/>
        </w:rPr>
      </w:pPr>
      <w:r w:rsidRPr="001641BE">
        <w:rPr>
          <w:szCs w:val="22"/>
        </w:rPr>
        <w:t>Lyoner Strasse</w:t>
      </w:r>
      <w:r w:rsidR="002A7DA9">
        <w:rPr>
          <w:szCs w:val="22"/>
        </w:rPr>
        <w:t xml:space="preserve"> 14</w:t>
      </w:r>
      <w:r w:rsidRPr="001641BE">
        <w:rPr>
          <w:szCs w:val="22"/>
        </w:rPr>
        <w:t>,</w:t>
      </w:r>
    </w:p>
    <w:p w14:paraId="3B93277D" w14:textId="77777777" w:rsidR="001641BE" w:rsidRPr="001641BE" w:rsidRDefault="001641BE">
      <w:pPr>
        <w:rPr>
          <w:szCs w:val="22"/>
        </w:rPr>
      </w:pPr>
      <w:r w:rsidRPr="001641BE">
        <w:rPr>
          <w:szCs w:val="22"/>
        </w:rPr>
        <w:t>60528 Frankfurt am Main,</w:t>
      </w:r>
      <w:r w:rsidR="008822BE">
        <w:rPr>
          <w:szCs w:val="22"/>
        </w:rPr>
        <w:t xml:space="preserve"> </w:t>
      </w:r>
      <w:r w:rsidRPr="001641BE">
        <w:rPr>
          <w:szCs w:val="22"/>
        </w:rPr>
        <w:t>Nemecko</w:t>
      </w:r>
    </w:p>
    <w:p w14:paraId="3B93277E" w14:textId="77777777" w:rsidR="001641BE" w:rsidRPr="001641BE" w:rsidRDefault="001641BE" w:rsidP="001641BE">
      <w:pPr>
        <w:rPr>
          <w:szCs w:val="22"/>
        </w:rPr>
      </w:pPr>
      <w:r w:rsidRPr="001641BE">
        <w:rPr>
          <w:szCs w:val="22"/>
        </w:rPr>
        <w:t>Tel. +49 69 66554 162</w:t>
      </w:r>
    </w:p>
    <w:p w14:paraId="3B93277F" w14:textId="77777777" w:rsidR="00780926" w:rsidRPr="005C44A1" w:rsidRDefault="001641BE" w:rsidP="005C44A1">
      <w:pPr>
        <w:rPr>
          <w:szCs w:val="22"/>
        </w:rPr>
      </w:pPr>
      <w:r w:rsidRPr="001641BE">
        <w:rPr>
          <w:szCs w:val="22"/>
        </w:rPr>
        <w:t>Email: info@swyssi.com</w:t>
      </w:r>
    </w:p>
    <w:p w14:paraId="3B932780" w14:textId="77777777" w:rsidR="00780926" w:rsidRDefault="00780926" w:rsidP="005C44A1">
      <w:pPr>
        <w:rPr>
          <w:szCs w:val="22"/>
        </w:rPr>
      </w:pPr>
    </w:p>
    <w:p w14:paraId="3B932781" w14:textId="77777777" w:rsidR="001641BE" w:rsidRPr="005C44A1" w:rsidRDefault="001641BE" w:rsidP="005C44A1">
      <w:pPr>
        <w:rPr>
          <w:szCs w:val="22"/>
        </w:rPr>
      </w:pPr>
    </w:p>
    <w:p w14:paraId="3B932782" w14:textId="77777777" w:rsidR="00780926" w:rsidRPr="005C44A1" w:rsidRDefault="0067565E" w:rsidP="005C44A1">
      <w:pPr>
        <w:rPr>
          <w:b/>
          <w:szCs w:val="22"/>
        </w:rPr>
      </w:pPr>
      <w:r w:rsidRPr="005C44A1">
        <w:rPr>
          <w:b/>
          <w:szCs w:val="22"/>
        </w:rPr>
        <w:t>8.</w:t>
      </w:r>
      <w:r w:rsidRPr="005C44A1">
        <w:rPr>
          <w:b/>
          <w:szCs w:val="22"/>
        </w:rPr>
        <w:tab/>
        <w:t>REGISTRAČNÉ ČÍSLA</w:t>
      </w:r>
    </w:p>
    <w:p w14:paraId="3B932783" w14:textId="77777777" w:rsidR="00780926" w:rsidRPr="005C44A1" w:rsidRDefault="00780926" w:rsidP="005C44A1">
      <w:pPr>
        <w:rPr>
          <w:szCs w:val="22"/>
        </w:rPr>
      </w:pPr>
    </w:p>
    <w:p w14:paraId="3B932784" w14:textId="18135FAE" w:rsidR="00780926" w:rsidRDefault="00124CC8" w:rsidP="005C44A1">
      <w:pPr>
        <w:rPr>
          <w:szCs w:val="22"/>
        </w:rPr>
      </w:pPr>
      <w:r>
        <w:rPr>
          <w:szCs w:val="22"/>
        </w:rPr>
        <w:t xml:space="preserve">Reverantza 20 mg/5 mg filmom obalené tablety: </w:t>
      </w:r>
      <w:r w:rsidRPr="00124CC8">
        <w:rPr>
          <w:szCs w:val="22"/>
        </w:rPr>
        <w:t>58/0240/20-S</w:t>
      </w:r>
    </w:p>
    <w:p w14:paraId="3A4A5168" w14:textId="1EDA6400" w:rsidR="00124CC8" w:rsidRDefault="00124CC8" w:rsidP="005C44A1">
      <w:pPr>
        <w:rPr>
          <w:szCs w:val="22"/>
        </w:rPr>
      </w:pPr>
      <w:r>
        <w:rPr>
          <w:szCs w:val="22"/>
        </w:rPr>
        <w:t xml:space="preserve">Reverantza </w:t>
      </w:r>
      <w:r>
        <w:rPr>
          <w:szCs w:val="22"/>
        </w:rPr>
        <w:t>4</w:t>
      </w:r>
      <w:r>
        <w:rPr>
          <w:szCs w:val="22"/>
        </w:rPr>
        <w:t>0 mg/5 mg filmom obalené tablety</w:t>
      </w:r>
      <w:r>
        <w:rPr>
          <w:szCs w:val="22"/>
        </w:rPr>
        <w:t>: 58/0241/20-S</w:t>
      </w:r>
    </w:p>
    <w:p w14:paraId="3B3B2885" w14:textId="77777777" w:rsidR="00124CC8" w:rsidRPr="005C44A1" w:rsidRDefault="00124CC8" w:rsidP="005C44A1">
      <w:pPr>
        <w:rPr>
          <w:szCs w:val="22"/>
        </w:rPr>
      </w:pPr>
    </w:p>
    <w:p w14:paraId="3B932785" w14:textId="77777777" w:rsidR="00780926" w:rsidRPr="005C44A1" w:rsidRDefault="00780926" w:rsidP="005C44A1">
      <w:pPr>
        <w:rPr>
          <w:szCs w:val="22"/>
        </w:rPr>
      </w:pPr>
    </w:p>
    <w:p w14:paraId="3B932786" w14:textId="77777777" w:rsidR="00780926" w:rsidRPr="005C44A1" w:rsidRDefault="0067565E" w:rsidP="005C44A1">
      <w:pPr>
        <w:rPr>
          <w:b/>
          <w:szCs w:val="22"/>
        </w:rPr>
      </w:pPr>
      <w:r w:rsidRPr="005C44A1">
        <w:rPr>
          <w:b/>
          <w:szCs w:val="22"/>
        </w:rPr>
        <w:t>9.</w:t>
      </w:r>
      <w:r w:rsidRPr="005C44A1">
        <w:rPr>
          <w:b/>
          <w:szCs w:val="22"/>
        </w:rPr>
        <w:tab/>
        <w:t>DÁTUM PRVEJ REGISTRÁCIE/PREDĹŽENIA REGISTRÁCIE</w:t>
      </w:r>
    </w:p>
    <w:p w14:paraId="3B932787" w14:textId="77777777" w:rsidR="00780926" w:rsidRPr="005C44A1" w:rsidRDefault="00780926" w:rsidP="005C44A1">
      <w:pPr>
        <w:rPr>
          <w:szCs w:val="22"/>
        </w:rPr>
      </w:pPr>
    </w:p>
    <w:p w14:paraId="3B932788" w14:textId="77777777" w:rsidR="00780926" w:rsidRPr="005C44A1" w:rsidRDefault="001641BE" w:rsidP="005C44A1">
      <w:pPr>
        <w:rPr>
          <w:szCs w:val="22"/>
        </w:rPr>
      </w:pPr>
      <w:r>
        <w:rPr>
          <w:szCs w:val="22"/>
        </w:rPr>
        <w:t xml:space="preserve">Dátum prvej registrácie: </w:t>
      </w:r>
    </w:p>
    <w:p w14:paraId="3B932789" w14:textId="77777777" w:rsidR="00780926" w:rsidRDefault="00780926" w:rsidP="005C44A1">
      <w:pPr>
        <w:rPr>
          <w:szCs w:val="22"/>
        </w:rPr>
      </w:pPr>
    </w:p>
    <w:p w14:paraId="3B93278A" w14:textId="77777777" w:rsidR="001641BE" w:rsidRPr="005C44A1" w:rsidRDefault="001641BE" w:rsidP="005C44A1">
      <w:pPr>
        <w:rPr>
          <w:szCs w:val="22"/>
        </w:rPr>
      </w:pPr>
    </w:p>
    <w:p w14:paraId="3B93278B" w14:textId="77777777" w:rsidR="00780926" w:rsidRPr="005C44A1" w:rsidRDefault="0067565E" w:rsidP="005C44A1">
      <w:pPr>
        <w:rPr>
          <w:b/>
          <w:szCs w:val="22"/>
        </w:rPr>
      </w:pPr>
      <w:r w:rsidRPr="005C44A1">
        <w:rPr>
          <w:b/>
          <w:szCs w:val="22"/>
        </w:rPr>
        <w:t>10.</w:t>
      </w:r>
      <w:r w:rsidRPr="005C44A1">
        <w:rPr>
          <w:b/>
          <w:szCs w:val="22"/>
        </w:rPr>
        <w:tab/>
        <w:t>DÁTUM REVÍZIE TEXTU</w:t>
      </w:r>
    </w:p>
    <w:p w14:paraId="3B93278C" w14:textId="77777777" w:rsidR="00780926" w:rsidRPr="005C44A1" w:rsidRDefault="00780926" w:rsidP="005C44A1">
      <w:pPr>
        <w:rPr>
          <w:szCs w:val="22"/>
        </w:rPr>
      </w:pPr>
    </w:p>
    <w:p w14:paraId="3B93278D" w14:textId="58C9DEE5" w:rsidR="00B323B9" w:rsidRPr="005C44A1" w:rsidRDefault="00CB4033" w:rsidP="005C44A1">
      <w:pPr>
        <w:suppressLineNumbers/>
        <w:rPr>
          <w:szCs w:val="22"/>
        </w:rPr>
      </w:pPr>
      <w:r>
        <w:rPr>
          <w:noProof/>
          <w:szCs w:val="22"/>
        </w:rPr>
        <w:t>10</w:t>
      </w:r>
      <w:r w:rsidR="001641BE">
        <w:rPr>
          <w:noProof/>
          <w:szCs w:val="22"/>
        </w:rPr>
        <w:t>/2020</w:t>
      </w:r>
    </w:p>
    <w:p w14:paraId="3B93278E" w14:textId="77777777" w:rsidR="00780926" w:rsidRPr="005C44A1" w:rsidRDefault="00780926" w:rsidP="005C44A1">
      <w:pPr>
        <w:rPr>
          <w:szCs w:val="22"/>
        </w:rPr>
      </w:pPr>
    </w:p>
    <w:p w14:paraId="3B93278F" w14:textId="77777777" w:rsidR="00780926" w:rsidRPr="005C44A1" w:rsidRDefault="00780926" w:rsidP="005C44A1">
      <w:pPr>
        <w:rPr>
          <w:iCs/>
          <w:szCs w:val="22"/>
        </w:rPr>
      </w:pPr>
    </w:p>
    <w:p w14:paraId="3B932790" w14:textId="77777777" w:rsidR="00780926" w:rsidRPr="005C44A1" w:rsidRDefault="00780926" w:rsidP="005C44A1">
      <w:pPr>
        <w:rPr>
          <w:iCs/>
          <w:szCs w:val="22"/>
        </w:rPr>
      </w:pPr>
    </w:p>
    <w:sectPr w:rsidR="00780926" w:rsidRPr="005C44A1" w:rsidSect="006D05B2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ABDC952" w16cid:durableId="233421F9"/>
  <w16cid:commentId w16cid:paraId="20EE9281" w16cid:durableId="233421F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4D254D" w14:textId="77777777" w:rsidR="001B50AB" w:rsidRDefault="001B50AB">
      <w:r>
        <w:separator/>
      </w:r>
    </w:p>
  </w:endnote>
  <w:endnote w:type="continuationSeparator" w:id="0">
    <w:p w14:paraId="67D8B07A" w14:textId="77777777" w:rsidR="001B50AB" w:rsidRDefault="001B50AB">
      <w:r>
        <w:continuationSeparator/>
      </w:r>
    </w:p>
  </w:endnote>
  <w:endnote w:type="continuationNotice" w:id="1">
    <w:p w14:paraId="6A52001A" w14:textId="77777777" w:rsidR="001B50AB" w:rsidRDefault="001B50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32798" w14:textId="77777777" w:rsidR="00761E42" w:rsidRPr="00B13F68" w:rsidRDefault="00761E42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B13F68">
      <w:rPr>
        <w:rFonts w:ascii="Arial" w:hAnsi="Arial" w:cs="Arial"/>
      </w:rPr>
      <w:fldChar w:fldCharType="begin"/>
    </w:r>
    <w:r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D513D2">
      <w:rPr>
        <w:rStyle w:val="slostrany"/>
        <w:rFonts w:ascii="Arial" w:hAnsi="Arial" w:cs="Arial"/>
      </w:rPr>
      <w:fldChar w:fldCharType="begin"/>
    </w:r>
    <w:r w:rsidRPr="00B13F68">
      <w:rPr>
        <w:rStyle w:val="slostrany"/>
        <w:rFonts w:ascii="Arial" w:hAnsi="Arial" w:cs="Arial"/>
      </w:rPr>
      <w:instrText xml:space="preserve">PAGE  </w:instrText>
    </w:r>
    <w:r w:rsidRPr="00D513D2">
      <w:rPr>
        <w:rStyle w:val="slostrany"/>
        <w:rFonts w:ascii="Arial" w:hAnsi="Arial" w:cs="Arial"/>
      </w:rPr>
      <w:fldChar w:fldCharType="separate"/>
    </w:r>
    <w:r w:rsidR="00124CC8">
      <w:rPr>
        <w:rStyle w:val="slostrany"/>
        <w:rFonts w:ascii="Arial" w:hAnsi="Arial" w:cs="Arial"/>
        <w:noProof/>
      </w:rPr>
      <w:t>2</w:t>
    </w:r>
    <w:r w:rsidRPr="00D513D2">
      <w:rPr>
        <w:rStyle w:val="slostran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0726518"/>
      <w:docPartObj>
        <w:docPartGallery w:val="Page Numbers (Bottom of Page)"/>
        <w:docPartUnique/>
      </w:docPartObj>
    </w:sdtPr>
    <w:sdtEndPr/>
    <w:sdtContent>
      <w:p w14:paraId="0CAF7E95" w14:textId="340A8A36" w:rsidR="00761E42" w:rsidRDefault="00761E4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CC8" w:rsidRPr="00124CC8">
          <w:rPr>
            <w:noProof/>
            <w:lang w:val="sk-SK"/>
          </w:rPr>
          <w:t>1</w:t>
        </w:r>
        <w:r>
          <w:fldChar w:fldCharType="end"/>
        </w:r>
      </w:p>
    </w:sdtContent>
  </w:sdt>
  <w:p w14:paraId="3B93279A" w14:textId="21C138DF" w:rsidR="00761E42" w:rsidRDefault="00761E42">
    <w:pPr>
      <w:pStyle w:val="Pta"/>
      <w:tabs>
        <w:tab w:val="clear" w:pos="8930"/>
        <w:tab w:val="right" w:pos="8931"/>
      </w:tabs>
      <w:ind w:right="9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6249E3" w14:textId="77777777" w:rsidR="001B50AB" w:rsidRDefault="001B50AB">
      <w:r>
        <w:separator/>
      </w:r>
    </w:p>
  </w:footnote>
  <w:footnote w:type="continuationSeparator" w:id="0">
    <w:p w14:paraId="60727198" w14:textId="77777777" w:rsidR="001B50AB" w:rsidRDefault="001B50AB">
      <w:r>
        <w:continuationSeparator/>
      </w:r>
    </w:p>
  </w:footnote>
  <w:footnote w:type="continuationNotice" w:id="1">
    <w:p w14:paraId="4A78813A" w14:textId="77777777" w:rsidR="001B50AB" w:rsidRDefault="001B50A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32796" w14:textId="5EB877DC" w:rsidR="00761E42" w:rsidRPr="003C589E" w:rsidRDefault="00761E42">
    <w:pPr>
      <w:pStyle w:val="Hlavika"/>
      <w:rPr>
        <w:rFonts w:ascii="Times New Roman" w:hAnsi="Times New Roman"/>
        <w:sz w:val="18"/>
        <w:szCs w:val="18"/>
      </w:rPr>
    </w:pPr>
    <w:r w:rsidRPr="003C589E">
      <w:rPr>
        <w:rFonts w:ascii="Times New Roman" w:hAnsi="Times New Roman"/>
        <w:sz w:val="18"/>
        <w:szCs w:val="18"/>
      </w:rPr>
      <w:t>Schválený text k rozhodnutiu o registrácii, ev. č.:</w:t>
    </w:r>
    <w:r w:rsidR="002F59FB">
      <w:rPr>
        <w:rFonts w:ascii="Times New Roman" w:hAnsi="Times New Roman"/>
        <w:sz w:val="18"/>
        <w:szCs w:val="18"/>
      </w:rPr>
      <w:t xml:space="preserve"> </w:t>
    </w:r>
    <w:r w:rsidR="002F59FB" w:rsidRPr="002F59FB">
      <w:rPr>
        <w:rFonts w:ascii="Times New Roman" w:hAnsi="Times New Roman"/>
        <w:sz w:val="18"/>
        <w:szCs w:val="18"/>
      </w:rPr>
      <w:t>2019/01296-REG</w:t>
    </w:r>
    <w:r w:rsidR="002F59FB">
      <w:rPr>
        <w:rFonts w:ascii="Times New Roman" w:hAnsi="Times New Roman"/>
        <w:sz w:val="18"/>
        <w:szCs w:val="18"/>
      </w:rPr>
      <w:t>, 2019/01297</w:t>
    </w:r>
    <w:r w:rsidR="002F59FB" w:rsidRPr="002F59FB">
      <w:rPr>
        <w:rFonts w:ascii="Times New Roman" w:hAnsi="Times New Roman"/>
        <w:sz w:val="18"/>
        <w:szCs w:val="18"/>
      </w:rPr>
      <w:t>-REG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B7FF8" w14:textId="76BF3FCF" w:rsidR="00761E42" w:rsidRPr="003C589E" w:rsidRDefault="00761E42">
    <w:pPr>
      <w:pStyle w:val="Hlavika"/>
      <w:rPr>
        <w:rFonts w:ascii="Times New Roman" w:hAnsi="Times New Roman"/>
        <w:sz w:val="18"/>
        <w:szCs w:val="18"/>
      </w:rPr>
    </w:pPr>
    <w:r w:rsidRPr="003C589E">
      <w:rPr>
        <w:rFonts w:ascii="Times New Roman" w:hAnsi="Times New Roman"/>
        <w:sz w:val="18"/>
        <w:szCs w:val="18"/>
      </w:rPr>
      <w:t>Schválený text k rozhodnutiu o registrácii, ev. č.:</w:t>
    </w:r>
    <w:r w:rsidR="002F59FB">
      <w:rPr>
        <w:rFonts w:ascii="Times New Roman" w:hAnsi="Times New Roman"/>
        <w:sz w:val="18"/>
        <w:szCs w:val="18"/>
      </w:rPr>
      <w:t xml:space="preserve"> </w:t>
    </w:r>
    <w:r w:rsidR="002F59FB" w:rsidRPr="002F59FB">
      <w:rPr>
        <w:rFonts w:ascii="Times New Roman" w:hAnsi="Times New Roman"/>
        <w:sz w:val="18"/>
        <w:szCs w:val="18"/>
      </w:rPr>
      <w:t>2019/01296-REG</w:t>
    </w:r>
    <w:r w:rsidR="002F59FB">
      <w:rPr>
        <w:rFonts w:ascii="Times New Roman" w:hAnsi="Times New Roman"/>
        <w:sz w:val="18"/>
        <w:szCs w:val="18"/>
      </w:rPr>
      <w:t>, 2019/01297</w:t>
    </w:r>
    <w:r w:rsidR="002F59FB" w:rsidRPr="002F59FB">
      <w:rPr>
        <w:rFonts w:ascii="Times New Roman" w:hAnsi="Times New Roman"/>
        <w:sz w:val="18"/>
        <w:szCs w:val="18"/>
      </w:rPr>
      <w:t>-REG</w:t>
    </w:r>
  </w:p>
  <w:p w14:paraId="3B932799" w14:textId="77777777" w:rsidR="00761E42" w:rsidRDefault="00761E4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F73897"/>
    <w:multiLevelType w:val="hybridMultilevel"/>
    <w:tmpl w:val="80C8162A"/>
    <w:lvl w:ilvl="0" w:tplc="51B2A422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5DE211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DC5D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3A24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F818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430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4E05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E42E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8265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B15F5"/>
    <w:multiLevelType w:val="hybridMultilevel"/>
    <w:tmpl w:val="02E45BD8"/>
    <w:lvl w:ilvl="0" w:tplc="FD566D0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CF3167"/>
    <w:multiLevelType w:val="hybridMultilevel"/>
    <w:tmpl w:val="FAF2DBB4"/>
    <w:lvl w:ilvl="0" w:tplc="FD566D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8" w15:restartNumberingAfterBreak="0">
    <w:nsid w:val="57EF2607"/>
    <w:multiLevelType w:val="hybridMultilevel"/>
    <w:tmpl w:val="57023C8A"/>
    <w:lvl w:ilvl="0" w:tplc="FD566D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5F8C380">
      <w:numFmt w:val="bullet"/>
      <w:lvlText w:val="-"/>
      <w:lvlJc w:val="left"/>
      <w:pPr>
        <w:ind w:left="1650" w:hanging="57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0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2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7A100D28"/>
    <w:multiLevelType w:val="hybridMultilevel"/>
    <w:tmpl w:val="2F94C0BA"/>
    <w:lvl w:ilvl="0" w:tplc="C314597A">
      <w:start w:val="1"/>
      <w:numFmt w:val="upperLetter"/>
      <w:lvlText w:val="%1."/>
      <w:lvlJc w:val="left"/>
      <w:pPr>
        <w:ind w:left="5670" w:hanging="5670"/>
      </w:pPr>
      <w:rPr>
        <w:b/>
      </w:rPr>
    </w:lvl>
    <w:lvl w:ilvl="1" w:tplc="F27ABC12">
      <w:start w:val="1"/>
      <w:numFmt w:val="decimal"/>
      <w:lvlText w:val="%2."/>
      <w:lvlJc w:val="left"/>
      <w:pPr>
        <w:ind w:left="1650" w:hanging="570"/>
      </w:pPr>
      <w:rPr>
        <w:b/>
        <w:i w:val="0"/>
      </w:rPr>
    </w:lvl>
    <w:lvl w:ilvl="2" w:tplc="966E6456">
      <w:start w:val="1"/>
      <w:numFmt w:val="lowerRoman"/>
      <w:lvlText w:val="%3."/>
      <w:lvlJc w:val="right"/>
      <w:pPr>
        <w:ind w:left="2160" w:hanging="180"/>
      </w:pPr>
    </w:lvl>
    <w:lvl w:ilvl="3" w:tplc="C5D407D4">
      <w:start w:val="1"/>
      <w:numFmt w:val="decimal"/>
      <w:lvlText w:val="%4."/>
      <w:lvlJc w:val="left"/>
      <w:pPr>
        <w:ind w:left="2880" w:hanging="360"/>
      </w:pPr>
    </w:lvl>
    <w:lvl w:ilvl="4" w:tplc="CF86D9E2">
      <w:start w:val="1"/>
      <w:numFmt w:val="lowerLetter"/>
      <w:lvlText w:val="%5."/>
      <w:lvlJc w:val="left"/>
      <w:pPr>
        <w:ind w:left="3600" w:hanging="360"/>
      </w:pPr>
    </w:lvl>
    <w:lvl w:ilvl="5" w:tplc="631824B8">
      <w:start w:val="1"/>
      <w:numFmt w:val="lowerRoman"/>
      <w:lvlText w:val="%6."/>
      <w:lvlJc w:val="right"/>
      <w:pPr>
        <w:ind w:left="4320" w:hanging="180"/>
      </w:pPr>
    </w:lvl>
    <w:lvl w:ilvl="6" w:tplc="16701BD0">
      <w:start w:val="1"/>
      <w:numFmt w:val="decimal"/>
      <w:lvlText w:val="%7."/>
      <w:lvlJc w:val="left"/>
      <w:pPr>
        <w:ind w:left="5040" w:hanging="360"/>
      </w:pPr>
    </w:lvl>
    <w:lvl w:ilvl="7" w:tplc="65A02D7C">
      <w:start w:val="1"/>
      <w:numFmt w:val="lowerLetter"/>
      <w:lvlText w:val="%8."/>
      <w:lvlJc w:val="left"/>
      <w:pPr>
        <w:ind w:left="5760" w:hanging="360"/>
      </w:pPr>
    </w:lvl>
    <w:lvl w:ilvl="8" w:tplc="4A840AF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1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9"/>
  </w:num>
  <w:num w:numId="10">
    <w:abstractNumId w:val="10"/>
  </w:num>
  <w:num w:numId="11">
    <w:abstractNumId w:val="1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780926"/>
    <w:rsid w:val="000028C6"/>
    <w:rsid w:val="00005308"/>
    <w:rsid w:val="00006CAA"/>
    <w:rsid w:val="00010887"/>
    <w:rsid w:val="00012EEA"/>
    <w:rsid w:val="00014749"/>
    <w:rsid w:val="00014A34"/>
    <w:rsid w:val="0002204D"/>
    <w:rsid w:val="000226DC"/>
    <w:rsid w:val="00025CA9"/>
    <w:rsid w:val="00027AB4"/>
    <w:rsid w:val="0004035C"/>
    <w:rsid w:val="00040726"/>
    <w:rsid w:val="000436D1"/>
    <w:rsid w:val="00052EE2"/>
    <w:rsid w:val="000547EB"/>
    <w:rsid w:val="00056045"/>
    <w:rsid w:val="000568B7"/>
    <w:rsid w:val="00056924"/>
    <w:rsid w:val="000574CF"/>
    <w:rsid w:val="00060F58"/>
    <w:rsid w:val="00061445"/>
    <w:rsid w:val="000618A8"/>
    <w:rsid w:val="000624F8"/>
    <w:rsid w:val="00066B7A"/>
    <w:rsid w:val="00070069"/>
    <w:rsid w:val="00071F2B"/>
    <w:rsid w:val="000729AA"/>
    <w:rsid w:val="00075B99"/>
    <w:rsid w:val="00077CF6"/>
    <w:rsid w:val="00082521"/>
    <w:rsid w:val="00082B1F"/>
    <w:rsid w:val="00085939"/>
    <w:rsid w:val="00086927"/>
    <w:rsid w:val="00090230"/>
    <w:rsid w:val="00094399"/>
    <w:rsid w:val="000949BC"/>
    <w:rsid w:val="00096CAA"/>
    <w:rsid w:val="000A06A9"/>
    <w:rsid w:val="000B13AD"/>
    <w:rsid w:val="000B1714"/>
    <w:rsid w:val="000B2928"/>
    <w:rsid w:val="000B6759"/>
    <w:rsid w:val="000C2817"/>
    <w:rsid w:val="000C3F18"/>
    <w:rsid w:val="000C534D"/>
    <w:rsid w:val="000C6D5B"/>
    <w:rsid w:val="000D3B1B"/>
    <w:rsid w:val="000D4073"/>
    <w:rsid w:val="000D60A0"/>
    <w:rsid w:val="000E1D3E"/>
    <w:rsid w:val="000E2174"/>
    <w:rsid w:val="000E27E4"/>
    <w:rsid w:val="000E3D7D"/>
    <w:rsid w:val="000E6364"/>
    <w:rsid w:val="000E6EF5"/>
    <w:rsid w:val="000E7166"/>
    <w:rsid w:val="000E7685"/>
    <w:rsid w:val="000F3F53"/>
    <w:rsid w:val="000F62C2"/>
    <w:rsid w:val="001001CE"/>
    <w:rsid w:val="001010D9"/>
    <w:rsid w:val="00101C60"/>
    <w:rsid w:val="001026C2"/>
    <w:rsid w:val="00110F87"/>
    <w:rsid w:val="00111087"/>
    <w:rsid w:val="001114AF"/>
    <w:rsid w:val="00111ABE"/>
    <w:rsid w:val="00111E1A"/>
    <w:rsid w:val="001150F2"/>
    <w:rsid w:val="00117A3D"/>
    <w:rsid w:val="001200B9"/>
    <w:rsid w:val="00121B60"/>
    <w:rsid w:val="001236F1"/>
    <w:rsid w:val="00124CC8"/>
    <w:rsid w:val="00124F22"/>
    <w:rsid w:val="00125C23"/>
    <w:rsid w:val="001334A2"/>
    <w:rsid w:val="0013379E"/>
    <w:rsid w:val="00134B55"/>
    <w:rsid w:val="001350F8"/>
    <w:rsid w:val="0013575C"/>
    <w:rsid w:val="00135802"/>
    <w:rsid w:val="00135894"/>
    <w:rsid w:val="00136311"/>
    <w:rsid w:val="001404C0"/>
    <w:rsid w:val="001406FE"/>
    <w:rsid w:val="00140F73"/>
    <w:rsid w:val="00141412"/>
    <w:rsid w:val="00141BD1"/>
    <w:rsid w:val="00142AD2"/>
    <w:rsid w:val="00143595"/>
    <w:rsid w:val="001446D2"/>
    <w:rsid w:val="00151450"/>
    <w:rsid w:val="0015367B"/>
    <w:rsid w:val="001540DF"/>
    <w:rsid w:val="0015608F"/>
    <w:rsid w:val="00156C1E"/>
    <w:rsid w:val="00157731"/>
    <w:rsid w:val="00160107"/>
    <w:rsid w:val="001631E6"/>
    <w:rsid w:val="001641BE"/>
    <w:rsid w:val="00165A6B"/>
    <w:rsid w:val="00173997"/>
    <w:rsid w:val="001765D9"/>
    <w:rsid w:val="00177A4A"/>
    <w:rsid w:val="00177F09"/>
    <w:rsid w:val="00185CB1"/>
    <w:rsid w:val="00187ECC"/>
    <w:rsid w:val="001967D9"/>
    <w:rsid w:val="001A3218"/>
    <w:rsid w:val="001A4A44"/>
    <w:rsid w:val="001B08B2"/>
    <w:rsid w:val="001B4CF5"/>
    <w:rsid w:val="001B50AB"/>
    <w:rsid w:val="001B73FD"/>
    <w:rsid w:val="001C0542"/>
    <w:rsid w:val="001C463D"/>
    <w:rsid w:val="001C481B"/>
    <w:rsid w:val="001C4F42"/>
    <w:rsid w:val="001C58A6"/>
    <w:rsid w:val="001C7D1B"/>
    <w:rsid w:val="001D0BD4"/>
    <w:rsid w:val="001D1B4B"/>
    <w:rsid w:val="001D4230"/>
    <w:rsid w:val="001D558A"/>
    <w:rsid w:val="001D6BA1"/>
    <w:rsid w:val="001E0BE4"/>
    <w:rsid w:val="001E0D26"/>
    <w:rsid w:val="001F03ED"/>
    <w:rsid w:val="001F1143"/>
    <w:rsid w:val="001F22D0"/>
    <w:rsid w:val="001F7CF0"/>
    <w:rsid w:val="002003FB"/>
    <w:rsid w:val="00202BDC"/>
    <w:rsid w:val="00203417"/>
    <w:rsid w:val="00204675"/>
    <w:rsid w:val="00205090"/>
    <w:rsid w:val="00205FC2"/>
    <w:rsid w:val="00211FA8"/>
    <w:rsid w:val="002202BA"/>
    <w:rsid w:val="00220A3F"/>
    <w:rsid w:val="0022161B"/>
    <w:rsid w:val="00221A14"/>
    <w:rsid w:val="002227EB"/>
    <w:rsid w:val="002233A9"/>
    <w:rsid w:val="00223716"/>
    <w:rsid w:val="00223E9F"/>
    <w:rsid w:val="00225235"/>
    <w:rsid w:val="0022527A"/>
    <w:rsid w:val="00225CEF"/>
    <w:rsid w:val="0022615A"/>
    <w:rsid w:val="002310BD"/>
    <w:rsid w:val="0023421A"/>
    <w:rsid w:val="00235998"/>
    <w:rsid w:val="002404D3"/>
    <w:rsid w:val="00243F67"/>
    <w:rsid w:val="002471E1"/>
    <w:rsid w:val="002479C5"/>
    <w:rsid w:val="0025422C"/>
    <w:rsid w:val="00255B4E"/>
    <w:rsid w:val="0025696C"/>
    <w:rsid w:val="0025772F"/>
    <w:rsid w:val="002608B1"/>
    <w:rsid w:val="00261F70"/>
    <w:rsid w:val="002651FD"/>
    <w:rsid w:val="002660C8"/>
    <w:rsid w:val="00266453"/>
    <w:rsid w:val="002664FB"/>
    <w:rsid w:val="00270B82"/>
    <w:rsid w:val="00273217"/>
    <w:rsid w:val="002732BE"/>
    <w:rsid w:val="00274850"/>
    <w:rsid w:val="00274FD7"/>
    <w:rsid w:val="00275D3A"/>
    <w:rsid w:val="002776F1"/>
    <w:rsid w:val="00281C02"/>
    <w:rsid w:val="00282559"/>
    <w:rsid w:val="00284EEF"/>
    <w:rsid w:val="00286A4A"/>
    <w:rsid w:val="00293A1B"/>
    <w:rsid w:val="002A01A2"/>
    <w:rsid w:val="002A09FE"/>
    <w:rsid w:val="002A0FD2"/>
    <w:rsid w:val="002A1738"/>
    <w:rsid w:val="002A1D7C"/>
    <w:rsid w:val="002A24BE"/>
    <w:rsid w:val="002A46DA"/>
    <w:rsid w:val="002A6AB5"/>
    <w:rsid w:val="002A6F3E"/>
    <w:rsid w:val="002A7DA9"/>
    <w:rsid w:val="002B1645"/>
    <w:rsid w:val="002B6974"/>
    <w:rsid w:val="002B7838"/>
    <w:rsid w:val="002C428B"/>
    <w:rsid w:val="002C5553"/>
    <w:rsid w:val="002C64A9"/>
    <w:rsid w:val="002D5C3E"/>
    <w:rsid w:val="002D6730"/>
    <w:rsid w:val="002E0AC3"/>
    <w:rsid w:val="002E5CDA"/>
    <w:rsid w:val="002E641A"/>
    <w:rsid w:val="002E77CD"/>
    <w:rsid w:val="002E79B7"/>
    <w:rsid w:val="002F59FB"/>
    <w:rsid w:val="002F623A"/>
    <w:rsid w:val="003015F6"/>
    <w:rsid w:val="003021DE"/>
    <w:rsid w:val="00302F2A"/>
    <w:rsid w:val="00305562"/>
    <w:rsid w:val="0030577A"/>
    <w:rsid w:val="00306120"/>
    <w:rsid w:val="003076B5"/>
    <w:rsid w:val="003116B0"/>
    <w:rsid w:val="0031186C"/>
    <w:rsid w:val="00314AD5"/>
    <w:rsid w:val="00320392"/>
    <w:rsid w:val="003219D1"/>
    <w:rsid w:val="00324D53"/>
    <w:rsid w:val="00325607"/>
    <w:rsid w:val="00330840"/>
    <w:rsid w:val="00331592"/>
    <w:rsid w:val="00332777"/>
    <w:rsid w:val="00332DC3"/>
    <w:rsid w:val="0034126A"/>
    <w:rsid w:val="003461A9"/>
    <w:rsid w:val="00346633"/>
    <w:rsid w:val="00347AB9"/>
    <w:rsid w:val="003553C5"/>
    <w:rsid w:val="00355F02"/>
    <w:rsid w:val="003606A0"/>
    <w:rsid w:val="00361C1A"/>
    <w:rsid w:val="00363B15"/>
    <w:rsid w:val="00367A7D"/>
    <w:rsid w:val="00370406"/>
    <w:rsid w:val="0037058E"/>
    <w:rsid w:val="00370884"/>
    <w:rsid w:val="00371928"/>
    <w:rsid w:val="0037234F"/>
    <w:rsid w:val="003724D2"/>
    <w:rsid w:val="00372F3B"/>
    <w:rsid w:val="00374CAD"/>
    <w:rsid w:val="003772CB"/>
    <w:rsid w:val="00382713"/>
    <w:rsid w:val="00386E3A"/>
    <w:rsid w:val="00394087"/>
    <w:rsid w:val="00395262"/>
    <w:rsid w:val="003960EB"/>
    <w:rsid w:val="00397654"/>
    <w:rsid w:val="003A033C"/>
    <w:rsid w:val="003A26ED"/>
    <w:rsid w:val="003A3BBC"/>
    <w:rsid w:val="003A6637"/>
    <w:rsid w:val="003A706F"/>
    <w:rsid w:val="003A7CC2"/>
    <w:rsid w:val="003B292C"/>
    <w:rsid w:val="003B3C2C"/>
    <w:rsid w:val="003B675A"/>
    <w:rsid w:val="003B7B3E"/>
    <w:rsid w:val="003C0C46"/>
    <w:rsid w:val="003C1EB0"/>
    <w:rsid w:val="003C383B"/>
    <w:rsid w:val="003C589E"/>
    <w:rsid w:val="003C6272"/>
    <w:rsid w:val="003D2A04"/>
    <w:rsid w:val="003D5307"/>
    <w:rsid w:val="003E556F"/>
    <w:rsid w:val="003F069B"/>
    <w:rsid w:val="003F1419"/>
    <w:rsid w:val="003F2753"/>
    <w:rsid w:val="003F2978"/>
    <w:rsid w:val="003F2B2F"/>
    <w:rsid w:val="004027C6"/>
    <w:rsid w:val="00402BE5"/>
    <w:rsid w:val="00403D57"/>
    <w:rsid w:val="00406CF5"/>
    <w:rsid w:val="004104FE"/>
    <w:rsid w:val="00410B86"/>
    <w:rsid w:val="0041172C"/>
    <w:rsid w:val="00411A8F"/>
    <w:rsid w:val="00420145"/>
    <w:rsid w:val="004210D4"/>
    <w:rsid w:val="00421AE4"/>
    <w:rsid w:val="0042341B"/>
    <w:rsid w:val="0042356B"/>
    <w:rsid w:val="00424A27"/>
    <w:rsid w:val="00425982"/>
    <w:rsid w:val="00430AE6"/>
    <w:rsid w:val="00432830"/>
    <w:rsid w:val="00435A70"/>
    <w:rsid w:val="00436347"/>
    <w:rsid w:val="00447920"/>
    <w:rsid w:val="0045101C"/>
    <w:rsid w:val="00456A8A"/>
    <w:rsid w:val="00457BB5"/>
    <w:rsid w:val="004605F8"/>
    <w:rsid w:val="00462853"/>
    <w:rsid w:val="00464FCF"/>
    <w:rsid w:val="00465857"/>
    <w:rsid w:val="00466A25"/>
    <w:rsid w:val="00474DCD"/>
    <w:rsid w:val="0047601B"/>
    <w:rsid w:val="004773A0"/>
    <w:rsid w:val="004773CC"/>
    <w:rsid w:val="0048031C"/>
    <w:rsid w:val="00482965"/>
    <w:rsid w:val="00482DE9"/>
    <w:rsid w:val="0048412D"/>
    <w:rsid w:val="004843F1"/>
    <w:rsid w:val="00486C3D"/>
    <w:rsid w:val="0048718C"/>
    <w:rsid w:val="0049191E"/>
    <w:rsid w:val="004A1A36"/>
    <w:rsid w:val="004A531E"/>
    <w:rsid w:val="004B2B6E"/>
    <w:rsid w:val="004B7220"/>
    <w:rsid w:val="004B74FC"/>
    <w:rsid w:val="004C0111"/>
    <w:rsid w:val="004C0AD8"/>
    <w:rsid w:val="004C7410"/>
    <w:rsid w:val="004D1542"/>
    <w:rsid w:val="004D2C41"/>
    <w:rsid w:val="004D2E9F"/>
    <w:rsid w:val="004D457B"/>
    <w:rsid w:val="004D4ED5"/>
    <w:rsid w:val="004D5C2E"/>
    <w:rsid w:val="004D69CE"/>
    <w:rsid w:val="004D71F7"/>
    <w:rsid w:val="004E51C4"/>
    <w:rsid w:val="004E5B22"/>
    <w:rsid w:val="004E770D"/>
    <w:rsid w:val="004E78AD"/>
    <w:rsid w:val="004E7F73"/>
    <w:rsid w:val="004F04A6"/>
    <w:rsid w:val="004F1DC7"/>
    <w:rsid w:val="004F2778"/>
    <w:rsid w:val="004F2AA0"/>
    <w:rsid w:val="004F3B6D"/>
    <w:rsid w:val="004F4D91"/>
    <w:rsid w:val="004F5C06"/>
    <w:rsid w:val="004F7052"/>
    <w:rsid w:val="0050024C"/>
    <w:rsid w:val="005002A4"/>
    <w:rsid w:val="00504C89"/>
    <w:rsid w:val="00510CCB"/>
    <w:rsid w:val="005124FF"/>
    <w:rsid w:val="005202D0"/>
    <w:rsid w:val="00520495"/>
    <w:rsid w:val="005222DF"/>
    <w:rsid w:val="005279ED"/>
    <w:rsid w:val="00527C46"/>
    <w:rsid w:val="00530E36"/>
    <w:rsid w:val="005353EB"/>
    <w:rsid w:val="00536B25"/>
    <w:rsid w:val="00537894"/>
    <w:rsid w:val="005418FB"/>
    <w:rsid w:val="0054284F"/>
    <w:rsid w:val="00547429"/>
    <w:rsid w:val="005512F4"/>
    <w:rsid w:val="005529E6"/>
    <w:rsid w:val="00552E99"/>
    <w:rsid w:val="00556602"/>
    <w:rsid w:val="00557B28"/>
    <w:rsid w:val="00560D93"/>
    <w:rsid w:val="00563E13"/>
    <w:rsid w:val="00572FC2"/>
    <w:rsid w:val="00573926"/>
    <w:rsid w:val="00577FD0"/>
    <w:rsid w:val="00580175"/>
    <w:rsid w:val="00581068"/>
    <w:rsid w:val="00581DBD"/>
    <w:rsid w:val="0058262C"/>
    <w:rsid w:val="005845A0"/>
    <w:rsid w:val="005854E8"/>
    <w:rsid w:val="00585F8B"/>
    <w:rsid w:val="005900D2"/>
    <w:rsid w:val="00591792"/>
    <w:rsid w:val="005922BF"/>
    <w:rsid w:val="00593583"/>
    <w:rsid w:val="00594365"/>
    <w:rsid w:val="005971B0"/>
    <w:rsid w:val="005A2509"/>
    <w:rsid w:val="005A4459"/>
    <w:rsid w:val="005A5717"/>
    <w:rsid w:val="005A61D8"/>
    <w:rsid w:val="005A72D4"/>
    <w:rsid w:val="005A7C06"/>
    <w:rsid w:val="005C01F5"/>
    <w:rsid w:val="005C254D"/>
    <w:rsid w:val="005C44A1"/>
    <w:rsid w:val="005C56F9"/>
    <w:rsid w:val="005D05B6"/>
    <w:rsid w:val="005D0D1D"/>
    <w:rsid w:val="005D7E5D"/>
    <w:rsid w:val="005E2FC3"/>
    <w:rsid w:val="005E4F97"/>
    <w:rsid w:val="005E685E"/>
    <w:rsid w:val="005F481D"/>
    <w:rsid w:val="006002A7"/>
    <w:rsid w:val="00601D7C"/>
    <w:rsid w:val="00603E94"/>
    <w:rsid w:val="00605940"/>
    <w:rsid w:val="00607357"/>
    <w:rsid w:val="00610BC7"/>
    <w:rsid w:val="006114F0"/>
    <w:rsid w:val="006124DA"/>
    <w:rsid w:val="00615A35"/>
    <w:rsid w:val="00620976"/>
    <w:rsid w:val="00626759"/>
    <w:rsid w:val="006272AA"/>
    <w:rsid w:val="00632EA6"/>
    <w:rsid w:val="0063568E"/>
    <w:rsid w:val="00635C39"/>
    <w:rsid w:val="006404AC"/>
    <w:rsid w:val="006425C9"/>
    <w:rsid w:val="00643ECA"/>
    <w:rsid w:val="006456EE"/>
    <w:rsid w:val="00650EBD"/>
    <w:rsid w:val="006527BF"/>
    <w:rsid w:val="00655B1C"/>
    <w:rsid w:val="0065720D"/>
    <w:rsid w:val="006573BB"/>
    <w:rsid w:val="00660275"/>
    <w:rsid w:val="00663383"/>
    <w:rsid w:val="00664192"/>
    <w:rsid w:val="00664EFD"/>
    <w:rsid w:val="006666CE"/>
    <w:rsid w:val="00666A5F"/>
    <w:rsid w:val="00671E24"/>
    <w:rsid w:val="0067386E"/>
    <w:rsid w:val="0067565E"/>
    <w:rsid w:val="00677420"/>
    <w:rsid w:val="006817BD"/>
    <w:rsid w:val="0068607E"/>
    <w:rsid w:val="006862B6"/>
    <w:rsid w:val="006864DC"/>
    <w:rsid w:val="00693217"/>
    <w:rsid w:val="00697C91"/>
    <w:rsid w:val="006A0574"/>
    <w:rsid w:val="006A0744"/>
    <w:rsid w:val="006A0C46"/>
    <w:rsid w:val="006A294E"/>
    <w:rsid w:val="006A44C5"/>
    <w:rsid w:val="006A4970"/>
    <w:rsid w:val="006A49AC"/>
    <w:rsid w:val="006A513D"/>
    <w:rsid w:val="006A68C6"/>
    <w:rsid w:val="006B1053"/>
    <w:rsid w:val="006B427E"/>
    <w:rsid w:val="006B4B67"/>
    <w:rsid w:val="006B504A"/>
    <w:rsid w:val="006B510A"/>
    <w:rsid w:val="006C31E8"/>
    <w:rsid w:val="006C3768"/>
    <w:rsid w:val="006C6631"/>
    <w:rsid w:val="006D05B2"/>
    <w:rsid w:val="006D15FB"/>
    <w:rsid w:val="006D3571"/>
    <w:rsid w:val="006D4E50"/>
    <w:rsid w:val="006D6D18"/>
    <w:rsid w:val="006D74DB"/>
    <w:rsid w:val="006D7D4F"/>
    <w:rsid w:val="006E41C1"/>
    <w:rsid w:val="006E56B1"/>
    <w:rsid w:val="006E611A"/>
    <w:rsid w:val="006F0DD1"/>
    <w:rsid w:val="006F2281"/>
    <w:rsid w:val="006F3CD9"/>
    <w:rsid w:val="0070521F"/>
    <w:rsid w:val="00711F08"/>
    <w:rsid w:val="00713225"/>
    <w:rsid w:val="00716A4E"/>
    <w:rsid w:val="007221BD"/>
    <w:rsid w:val="00724E11"/>
    <w:rsid w:val="007262FE"/>
    <w:rsid w:val="0073167B"/>
    <w:rsid w:val="00732241"/>
    <w:rsid w:val="00734C0D"/>
    <w:rsid w:val="007356D8"/>
    <w:rsid w:val="007407E4"/>
    <w:rsid w:val="00740C03"/>
    <w:rsid w:val="00751BAC"/>
    <w:rsid w:val="007527E0"/>
    <w:rsid w:val="00752FD9"/>
    <w:rsid w:val="00754355"/>
    <w:rsid w:val="00757670"/>
    <w:rsid w:val="00760188"/>
    <w:rsid w:val="0076057E"/>
    <w:rsid w:val="00760BC3"/>
    <w:rsid w:val="007611EC"/>
    <w:rsid w:val="007618BC"/>
    <w:rsid w:val="00761E42"/>
    <w:rsid w:val="00762414"/>
    <w:rsid w:val="00762B77"/>
    <w:rsid w:val="007709E5"/>
    <w:rsid w:val="0077164A"/>
    <w:rsid w:val="007777A6"/>
    <w:rsid w:val="00780926"/>
    <w:rsid w:val="00780EE8"/>
    <w:rsid w:val="007824C5"/>
    <w:rsid w:val="00783152"/>
    <w:rsid w:val="007865B9"/>
    <w:rsid w:val="00786A2F"/>
    <w:rsid w:val="0078730F"/>
    <w:rsid w:val="00791189"/>
    <w:rsid w:val="00797B61"/>
    <w:rsid w:val="007A0801"/>
    <w:rsid w:val="007A4C2E"/>
    <w:rsid w:val="007A6CC5"/>
    <w:rsid w:val="007C33BE"/>
    <w:rsid w:val="007C3776"/>
    <w:rsid w:val="007C3BB6"/>
    <w:rsid w:val="007C71C8"/>
    <w:rsid w:val="007C7C17"/>
    <w:rsid w:val="007D17FC"/>
    <w:rsid w:val="007D4393"/>
    <w:rsid w:val="007E1F8F"/>
    <w:rsid w:val="007E5956"/>
    <w:rsid w:val="007F0363"/>
    <w:rsid w:val="007F1D6E"/>
    <w:rsid w:val="007F339B"/>
    <w:rsid w:val="007F570D"/>
    <w:rsid w:val="00803622"/>
    <w:rsid w:val="00803841"/>
    <w:rsid w:val="0080465E"/>
    <w:rsid w:val="00806C77"/>
    <w:rsid w:val="00806F1C"/>
    <w:rsid w:val="0080747C"/>
    <w:rsid w:val="00810607"/>
    <w:rsid w:val="008132D4"/>
    <w:rsid w:val="00813494"/>
    <w:rsid w:val="00815D96"/>
    <w:rsid w:val="00820679"/>
    <w:rsid w:val="00820FE8"/>
    <w:rsid w:val="00821A3A"/>
    <w:rsid w:val="00821B19"/>
    <w:rsid w:val="0082445A"/>
    <w:rsid w:val="0082743C"/>
    <w:rsid w:val="00830B4C"/>
    <w:rsid w:val="008314E4"/>
    <w:rsid w:val="008316F5"/>
    <w:rsid w:val="008352CF"/>
    <w:rsid w:val="00835427"/>
    <w:rsid w:val="00837096"/>
    <w:rsid w:val="00840DA3"/>
    <w:rsid w:val="008420ED"/>
    <w:rsid w:val="00844087"/>
    <w:rsid w:val="0084687A"/>
    <w:rsid w:val="00851699"/>
    <w:rsid w:val="00852371"/>
    <w:rsid w:val="0085357F"/>
    <w:rsid w:val="008539C2"/>
    <w:rsid w:val="008557A8"/>
    <w:rsid w:val="008575F1"/>
    <w:rsid w:val="00860503"/>
    <w:rsid w:val="008620EA"/>
    <w:rsid w:val="00873520"/>
    <w:rsid w:val="008761BC"/>
    <w:rsid w:val="00881AB0"/>
    <w:rsid w:val="008822BE"/>
    <w:rsid w:val="008847FC"/>
    <w:rsid w:val="00884851"/>
    <w:rsid w:val="00884AB9"/>
    <w:rsid w:val="00885C20"/>
    <w:rsid w:val="00886B71"/>
    <w:rsid w:val="008873CC"/>
    <w:rsid w:val="00890443"/>
    <w:rsid w:val="00891D76"/>
    <w:rsid w:val="00891F8B"/>
    <w:rsid w:val="008A067D"/>
    <w:rsid w:val="008A2100"/>
    <w:rsid w:val="008B2DAF"/>
    <w:rsid w:val="008B5366"/>
    <w:rsid w:val="008C1B51"/>
    <w:rsid w:val="008C316E"/>
    <w:rsid w:val="008C5012"/>
    <w:rsid w:val="008D0F59"/>
    <w:rsid w:val="008D24D2"/>
    <w:rsid w:val="008D6744"/>
    <w:rsid w:val="008D681D"/>
    <w:rsid w:val="008D6901"/>
    <w:rsid w:val="008E04A8"/>
    <w:rsid w:val="008E0812"/>
    <w:rsid w:val="008E33FB"/>
    <w:rsid w:val="008E3C66"/>
    <w:rsid w:val="008E4CFA"/>
    <w:rsid w:val="008F0FB1"/>
    <w:rsid w:val="008F5210"/>
    <w:rsid w:val="008F5ED1"/>
    <w:rsid w:val="008F6BC1"/>
    <w:rsid w:val="008F6C58"/>
    <w:rsid w:val="008F7E13"/>
    <w:rsid w:val="00900995"/>
    <w:rsid w:val="009016D8"/>
    <w:rsid w:val="0090335C"/>
    <w:rsid w:val="009058FE"/>
    <w:rsid w:val="00906ED5"/>
    <w:rsid w:val="009078A6"/>
    <w:rsid w:val="0091185E"/>
    <w:rsid w:val="0091649C"/>
    <w:rsid w:val="00921690"/>
    <w:rsid w:val="00924DF3"/>
    <w:rsid w:val="009266C6"/>
    <w:rsid w:val="009266EA"/>
    <w:rsid w:val="009270B1"/>
    <w:rsid w:val="00934097"/>
    <w:rsid w:val="0093424C"/>
    <w:rsid w:val="00937654"/>
    <w:rsid w:val="0094502F"/>
    <w:rsid w:val="00946672"/>
    <w:rsid w:val="00951266"/>
    <w:rsid w:val="00951D3F"/>
    <w:rsid w:val="0095258D"/>
    <w:rsid w:val="00954012"/>
    <w:rsid w:val="00960754"/>
    <w:rsid w:val="009612A3"/>
    <w:rsid w:val="00962EA5"/>
    <w:rsid w:val="00963A74"/>
    <w:rsid w:val="00967FE6"/>
    <w:rsid w:val="009705A8"/>
    <w:rsid w:val="00986B2D"/>
    <w:rsid w:val="00990241"/>
    <w:rsid w:val="00990742"/>
    <w:rsid w:val="009976B6"/>
    <w:rsid w:val="009A28DB"/>
    <w:rsid w:val="009A6D51"/>
    <w:rsid w:val="009A71CF"/>
    <w:rsid w:val="009B0168"/>
    <w:rsid w:val="009B423F"/>
    <w:rsid w:val="009B51C9"/>
    <w:rsid w:val="009B68D5"/>
    <w:rsid w:val="009C221B"/>
    <w:rsid w:val="009C2296"/>
    <w:rsid w:val="009C5E1E"/>
    <w:rsid w:val="009C5F5E"/>
    <w:rsid w:val="009D2A94"/>
    <w:rsid w:val="009D2BC4"/>
    <w:rsid w:val="009D5E45"/>
    <w:rsid w:val="009D6937"/>
    <w:rsid w:val="009D773C"/>
    <w:rsid w:val="009E0E67"/>
    <w:rsid w:val="009E1B65"/>
    <w:rsid w:val="009E25E3"/>
    <w:rsid w:val="009E48AA"/>
    <w:rsid w:val="009E50E4"/>
    <w:rsid w:val="009F1EB6"/>
    <w:rsid w:val="009F55E1"/>
    <w:rsid w:val="009F6FEE"/>
    <w:rsid w:val="00A0053E"/>
    <w:rsid w:val="00A0101D"/>
    <w:rsid w:val="00A01B04"/>
    <w:rsid w:val="00A03C79"/>
    <w:rsid w:val="00A06BB4"/>
    <w:rsid w:val="00A07C4D"/>
    <w:rsid w:val="00A10438"/>
    <w:rsid w:val="00A10852"/>
    <w:rsid w:val="00A12B91"/>
    <w:rsid w:val="00A144A5"/>
    <w:rsid w:val="00A236CF"/>
    <w:rsid w:val="00A2444C"/>
    <w:rsid w:val="00A2446D"/>
    <w:rsid w:val="00A244BE"/>
    <w:rsid w:val="00A26F7C"/>
    <w:rsid w:val="00A30425"/>
    <w:rsid w:val="00A31A9C"/>
    <w:rsid w:val="00A333FD"/>
    <w:rsid w:val="00A356CA"/>
    <w:rsid w:val="00A36EAE"/>
    <w:rsid w:val="00A37C43"/>
    <w:rsid w:val="00A416B8"/>
    <w:rsid w:val="00A43F3E"/>
    <w:rsid w:val="00A44B9E"/>
    <w:rsid w:val="00A60190"/>
    <w:rsid w:val="00A61CBF"/>
    <w:rsid w:val="00A62527"/>
    <w:rsid w:val="00A63C0B"/>
    <w:rsid w:val="00A63F1A"/>
    <w:rsid w:val="00A71474"/>
    <w:rsid w:val="00A72672"/>
    <w:rsid w:val="00A737B8"/>
    <w:rsid w:val="00A75ECC"/>
    <w:rsid w:val="00A761D3"/>
    <w:rsid w:val="00A77212"/>
    <w:rsid w:val="00A80F9E"/>
    <w:rsid w:val="00A824EB"/>
    <w:rsid w:val="00A82754"/>
    <w:rsid w:val="00A833E5"/>
    <w:rsid w:val="00A85CCE"/>
    <w:rsid w:val="00A87064"/>
    <w:rsid w:val="00AB1DE7"/>
    <w:rsid w:val="00AB3082"/>
    <w:rsid w:val="00AB6E67"/>
    <w:rsid w:val="00AC111B"/>
    <w:rsid w:val="00AC7F63"/>
    <w:rsid w:val="00AD4C46"/>
    <w:rsid w:val="00AD69E6"/>
    <w:rsid w:val="00AE4D65"/>
    <w:rsid w:val="00AE4FC2"/>
    <w:rsid w:val="00AF1F75"/>
    <w:rsid w:val="00AF210B"/>
    <w:rsid w:val="00AF3265"/>
    <w:rsid w:val="00AF3923"/>
    <w:rsid w:val="00AF457E"/>
    <w:rsid w:val="00B00335"/>
    <w:rsid w:val="00B01F91"/>
    <w:rsid w:val="00B04CE0"/>
    <w:rsid w:val="00B06E24"/>
    <w:rsid w:val="00B07509"/>
    <w:rsid w:val="00B07EB7"/>
    <w:rsid w:val="00B1281C"/>
    <w:rsid w:val="00B12FC5"/>
    <w:rsid w:val="00B13F68"/>
    <w:rsid w:val="00B22299"/>
    <w:rsid w:val="00B237D7"/>
    <w:rsid w:val="00B242A3"/>
    <w:rsid w:val="00B300A3"/>
    <w:rsid w:val="00B30FDB"/>
    <w:rsid w:val="00B31733"/>
    <w:rsid w:val="00B31F6C"/>
    <w:rsid w:val="00B323B9"/>
    <w:rsid w:val="00B36EA3"/>
    <w:rsid w:val="00B375DE"/>
    <w:rsid w:val="00B45F40"/>
    <w:rsid w:val="00B4614B"/>
    <w:rsid w:val="00B464C1"/>
    <w:rsid w:val="00B472F4"/>
    <w:rsid w:val="00B52456"/>
    <w:rsid w:val="00B54FE8"/>
    <w:rsid w:val="00B55553"/>
    <w:rsid w:val="00B609D3"/>
    <w:rsid w:val="00B61375"/>
    <w:rsid w:val="00B63554"/>
    <w:rsid w:val="00B720A9"/>
    <w:rsid w:val="00B7369F"/>
    <w:rsid w:val="00B77873"/>
    <w:rsid w:val="00B82119"/>
    <w:rsid w:val="00B84704"/>
    <w:rsid w:val="00B931D1"/>
    <w:rsid w:val="00B95A19"/>
    <w:rsid w:val="00BA212B"/>
    <w:rsid w:val="00BA26BC"/>
    <w:rsid w:val="00BA3662"/>
    <w:rsid w:val="00BA5DBF"/>
    <w:rsid w:val="00BA665F"/>
    <w:rsid w:val="00BB1152"/>
    <w:rsid w:val="00BB24A7"/>
    <w:rsid w:val="00BB6D67"/>
    <w:rsid w:val="00BC798A"/>
    <w:rsid w:val="00BD1AC2"/>
    <w:rsid w:val="00BD31FD"/>
    <w:rsid w:val="00BD5AB4"/>
    <w:rsid w:val="00BD7004"/>
    <w:rsid w:val="00BD71CB"/>
    <w:rsid w:val="00BD7DD7"/>
    <w:rsid w:val="00BE0026"/>
    <w:rsid w:val="00BE1994"/>
    <w:rsid w:val="00BE24F8"/>
    <w:rsid w:val="00BE3E86"/>
    <w:rsid w:val="00BF0071"/>
    <w:rsid w:val="00BF5AB0"/>
    <w:rsid w:val="00BF6308"/>
    <w:rsid w:val="00BF71D7"/>
    <w:rsid w:val="00BF7DC6"/>
    <w:rsid w:val="00C0384A"/>
    <w:rsid w:val="00C03EA6"/>
    <w:rsid w:val="00C071C8"/>
    <w:rsid w:val="00C07CA9"/>
    <w:rsid w:val="00C11EC8"/>
    <w:rsid w:val="00C14C43"/>
    <w:rsid w:val="00C16658"/>
    <w:rsid w:val="00C16DB8"/>
    <w:rsid w:val="00C211B0"/>
    <w:rsid w:val="00C213A6"/>
    <w:rsid w:val="00C2249C"/>
    <w:rsid w:val="00C233E9"/>
    <w:rsid w:val="00C238E5"/>
    <w:rsid w:val="00C24691"/>
    <w:rsid w:val="00C24725"/>
    <w:rsid w:val="00C26F80"/>
    <w:rsid w:val="00C30015"/>
    <w:rsid w:val="00C31CD3"/>
    <w:rsid w:val="00C32012"/>
    <w:rsid w:val="00C329A5"/>
    <w:rsid w:val="00C3762E"/>
    <w:rsid w:val="00C44A4F"/>
    <w:rsid w:val="00C54152"/>
    <w:rsid w:val="00C54172"/>
    <w:rsid w:val="00C55DBB"/>
    <w:rsid w:val="00C55E8C"/>
    <w:rsid w:val="00C5614B"/>
    <w:rsid w:val="00C5616A"/>
    <w:rsid w:val="00C61220"/>
    <w:rsid w:val="00C61255"/>
    <w:rsid w:val="00C61AF7"/>
    <w:rsid w:val="00C66CDC"/>
    <w:rsid w:val="00C74F76"/>
    <w:rsid w:val="00C77A27"/>
    <w:rsid w:val="00C82AA0"/>
    <w:rsid w:val="00C83DD7"/>
    <w:rsid w:val="00C85B40"/>
    <w:rsid w:val="00C86C42"/>
    <w:rsid w:val="00C87BEB"/>
    <w:rsid w:val="00C900EB"/>
    <w:rsid w:val="00C949DC"/>
    <w:rsid w:val="00C97440"/>
    <w:rsid w:val="00CA0726"/>
    <w:rsid w:val="00CA1ABB"/>
    <w:rsid w:val="00CA2692"/>
    <w:rsid w:val="00CA34F6"/>
    <w:rsid w:val="00CA361F"/>
    <w:rsid w:val="00CA3631"/>
    <w:rsid w:val="00CA7702"/>
    <w:rsid w:val="00CA7E10"/>
    <w:rsid w:val="00CB25B2"/>
    <w:rsid w:val="00CB4033"/>
    <w:rsid w:val="00CB6C00"/>
    <w:rsid w:val="00CC000B"/>
    <w:rsid w:val="00CC24B3"/>
    <w:rsid w:val="00CC644C"/>
    <w:rsid w:val="00CD175A"/>
    <w:rsid w:val="00CD5125"/>
    <w:rsid w:val="00CD6594"/>
    <w:rsid w:val="00CD78FF"/>
    <w:rsid w:val="00CE0058"/>
    <w:rsid w:val="00CE110B"/>
    <w:rsid w:val="00CF0244"/>
    <w:rsid w:val="00CF0342"/>
    <w:rsid w:val="00CF1F33"/>
    <w:rsid w:val="00CF28BB"/>
    <w:rsid w:val="00CF2B31"/>
    <w:rsid w:val="00CF48D6"/>
    <w:rsid w:val="00CF7343"/>
    <w:rsid w:val="00CF76C2"/>
    <w:rsid w:val="00CF7FEF"/>
    <w:rsid w:val="00D0126A"/>
    <w:rsid w:val="00D0428D"/>
    <w:rsid w:val="00D06B2B"/>
    <w:rsid w:val="00D105FB"/>
    <w:rsid w:val="00D10860"/>
    <w:rsid w:val="00D12C5B"/>
    <w:rsid w:val="00D15C7A"/>
    <w:rsid w:val="00D17871"/>
    <w:rsid w:val="00D17F71"/>
    <w:rsid w:val="00D22689"/>
    <w:rsid w:val="00D23ADC"/>
    <w:rsid w:val="00D24425"/>
    <w:rsid w:val="00D25F85"/>
    <w:rsid w:val="00D30628"/>
    <w:rsid w:val="00D31D54"/>
    <w:rsid w:val="00D326E1"/>
    <w:rsid w:val="00D33461"/>
    <w:rsid w:val="00D33F2E"/>
    <w:rsid w:val="00D35EB6"/>
    <w:rsid w:val="00D40BA6"/>
    <w:rsid w:val="00D434B3"/>
    <w:rsid w:val="00D43F55"/>
    <w:rsid w:val="00D44027"/>
    <w:rsid w:val="00D46D3E"/>
    <w:rsid w:val="00D47E9D"/>
    <w:rsid w:val="00D513D2"/>
    <w:rsid w:val="00D5183F"/>
    <w:rsid w:val="00D52116"/>
    <w:rsid w:val="00D52196"/>
    <w:rsid w:val="00D53E22"/>
    <w:rsid w:val="00D54E2A"/>
    <w:rsid w:val="00D631E2"/>
    <w:rsid w:val="00D6662A"/>
    <w:rsid w:val="00D67CF2"/>
    <w:rsid w:val="00D712C9"/>
    <w:rsid w:val="00D71CEA"/>
    <w:rsid w:val="00D76DB3"/>
    <w:rsid w:val="00D80D81"/>
    <w:rsid w:val="00D85940"/>
    <w:rsid w:val="00D870CD"/>
    <w:rsid w:val="00D92829"/>
    <w:rsid w:val="00D92F55"/>
    <w:rsid w:val="00D941B7"/>
    <w:rsid w:val="00D944E0"/>
    <w:rsid w:val="00D94A56"/>
    <w:rsid w:val="00D96D7D"/>
    <w:rsid w:val="00D96F2E"/>
    <w:rsid w:val="00DA0740"/>
    <w:rsid w:val="00DA12C5"/>
    <w:rsid w:val="00DA4090"/>
    <w:rsid w:val="00DA469E"/>
    <w:rsid w:val="00DA4AB8"/>
    <w:rsid w:val="00DA4D2E"/>
    <w:rsid w:val="00DA6354"/>
    <w:rsid w:val="00DA63C9"/>
    <w:rsid w:val="00DA70DD"/>
    <w:rsid w:val="00DA78CC"/>
    <w:rsid w:val="00DB561F"/>
    <w:rsid w:val="00DB7FAD"/>
    <w:rsid w:val="00DC1FAD"/>
    <w:rsid w:val="00DC45D0"/>
    <w:rsid w:val="00DD2FF9"/>
    <w:rsid w:val="00DD452B"/>
    <w:rsid w:val="00DD5C73"/>
    <w:rsid w:val="00DD7737"/>
    <w:rsid w:val="00DD7BFB"/>
    <w:rsid w:val="00DE0DBD"/>
    <w:rsid w:val="00DE7F26"/>
    <w:rsid w:val="00DF13CE"/>
    <w:rsid w:val="00DF3F9E"/>
    <w:rsid w:val="00DF6CDB"/>
    <w:rsid w:val="00DF6E6A"/>
    <w:rsid w:val="00DF7296"/>
    <w:rsid w:val="00E01235"/>
    <w:rsid w:val="00E01FB1"/>
    <w:rsid w:val="00E0272D"/>
    <w:rsid w:val="00E04E6F"/>
    <w:rsid w:val="00E10836"/>
    <w:rsid w:val="00E10C3D"/>
    <w:rsid w:val="00E13A3E"/>
    <w:rsid w:val="00E15964"/>
    <w:rsid w:val="00E159B0"/>
    <w:rsid w:val="00E1698A"/>
    <w:rsid w:val="00E17FB8"/>
    <w:rsid w:val="00E17FD4"/>
    <w:rsid w:val="00E23A3A"/>
    <w:rsid w:val="00E23C97"/>
    <w:rsid w:val="00E24456"/>
    <w:rsid w:val="00E25202"/>
    <w:rsid w:val="00E26B6E"/>
    <w:rsid w:val="00E2706E"/>
    <w:rsid w:val="00E3427C"/>
    <w:rsid w:val="00E348F3"/>
    <w:rsid w:val="00E35813"/>
    <w:rsid w:val="00E35DC0"/>
    <w:rsid w:val="00E36131"/>
    <w:rsid w:val="00E363F3"/>
    <w:rsid w:val="00E36B26"/>
    <w:rsid w:val="00E375E5"/>
    <w:rsid w:val="00E37AA3"/>
    <w:rsid w:val="00E40AF6"/>
    <w:rsid w:val="00E41B3F"/>
    <w:rsid w:val="00E42831"/>
    <w:rsid w:val="00E4563B"/>
    <w:rsid w:val="00E468FE"/>
    <w:rsid w:val="00E5053B"/>
    <w:rsid w:val="00E51450"/>
    <w:rsid w:val="00E53CD7"/>
    <w:rsid w:val="00E541CB"/>
    <w:rsid w:val="00E56A79"/>
    <w:rsid w:val="00E62EE6"/>
    <w:rsid w:val="00E65206"/>
    <w:rsid w:val="00E732D0"/>
    <w:rsid w:val="00E7748D"/>
    <w:rsid w:val="00E81609"/>
    <w:rsid w:val="00E84F50"/>
    <w:rsid w:val="00E877C8"/>
    <w:rsid w:val="00E909C1"/>
    <w:rsid w:val="00E93480"/>
    <w:rsid w:val="00E946BD"/>
    <w:rsid w:val="00E9581A"/>
    <w:rsid w:val="00E96ABE"/>
    <w:rsid w:val="00EA05C9"/>
    <w:rsid w:val="00EA405A"/>
    <w:rsid w:val="00EA5D34"/>
    <w:rsid w:val="00EA68A8"/>
    <w:rsid w:val="00EB65C6"/>
    <w:rsid w:val="00EC0BF2"/>
    <w:rsid w:val="00EC1CF9"/>
    <w:rsid w:val="00EC1D55"/>
    <w:rsid w:val="00EC2CE9"/>
    <w:rsid w:val="00ED3E00"/>
    <w:rsid w:val="00ED4DDA"/>
    <w:rsid w:val="00ED503F"/>
    <w:rsid w:val="00EE1F4B"/>
    <w:rsid w:val="00EE62D2"/>
    <w:rsid w:val="00EF44E8"/>
    <w:rsid w:val="00EF7575"/>
    <w:rsid w:val="00EF7F73"/>
    <w:rsid w:val="00F00D87"/>
    <w:rsid w:val="00F022FA"/>
    <w:rsid w:val="00F02486"/>
    <w:rsid w:val="00F02F60"/>
    <w:rsid w:val="00F05B3A"/>
    <w:rsid w:val="00F05D01"/>
    <w:rsid w:val="00F06F4D"/>
    <w:rsid w:val="00F07529"/>
    <w:rsid w:val="00F11AE3"/>
    <w:rsid w:val="00F13437"/>
    <w:rsid w:val="00F145AE"/>
    <w:rsid w:val="00F168D7"/>
    <w:rsid w:val="00F20B96"/>
    <w:rsid w:val="00F222AA"/>
    <w:rsid w:val="00F23E96"/>
    <w:rsid w:val="00F272A3"/>
    <w:rsid w:val="00F27525"/>
    <w:rsid w:val="00F27A2E"/>
    <w:rsid w:val="00F30177"/>
    <w:rsid w:val="00F375CF"/>
    <w:rsid w:val="00F42E6D"/>
    <w:rsid w:val="00F44613"/>
    <w:rsid w:val="00F46698"/>
    <w:rsid w:val="00F47C5F"/>
    <w:rsid w:val="00F47FCA"/>
    <w:rsid w:val="00F500E3"/>
    <w:rsid w:val="00F54EF0"/>
    <w:rsid w:val="00F55076"/>
    <w:rsid w:val="00F56C45"/>
    <w:rsid w:val="00F6107C"/>
    <w:rsid w:val="00F6288E"/>
    <w:rsid w:val="00F63DAD"/>
    <w:rsid w:val="00F643F6"/>
    <w:rsid w:val="00F65A8D"/>
    <w:rsid w:val="00F66A28"/>
    <w:rsid w:val="00F72C5B"/>
    <w:rsid w:val="00F75041"/>
    <w:rsid w:val="00F80F79"/>
    <w:rsid w:val="00F81142"/>
    <w:rsid w:val="00F81438"/>
    <w:rsid w:val="00F81FF3"/>
    <w:rsid w:val="00F8331C"/>
    <w:rsid w:val="00F8384D"/>
    <w:rsid w:val="00F85EAC"/>
    <w:rsid w:val="00F85FED"/>
    <w:rsid w:val="00F87DCF"/>
    <w:rsid w:val="00F9666C"/>
    <w:rsid w:val="00F96EB4"/>
    <w:rsid w:val="00FA099B"/>
    <w:rsid w:val="00FA311D"/>
    <w:rsid w:val="00FA336A"/>
    <w:rsid w:val="00FB0F64"/>
    <w:rsid w:val="00FB2C88"/>
    <w:rsid w:val="00FB533E"/>
    <w:rsid w:val="00FB7767"/>
    <w:rsid w:val="00FB79F0"/>
    <w:rsid w:val="00FB7C4A"/>
    <w:rsid w:val="00FC0770"/>
    <w:rsid w:val="00FC1660"/>
    <w:rsid w:val="00FC5CD8"/>
    <w:rsid w:val="00FC6918"/>
    <w:rsid w:val="00FD1342"/>
    <w:rsid w:val="00FD2D42"/>
    <w:rsid w:val="00FD5A71"/>
    <w:rsid w:val="00FE7C71"/>
    <w:rsid w:val="00FF1D60"/>
    <w:rsid w:val="00FF25FE"/>
    <w:rsid w:val="00FF2878"/>
    <w:rsid w:val="00FF2EC0"/>
    <w:rsid w:val="00FF565C"/>
    <w:rsid w:val="00FF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9322A7"/>
  <w15:docId w15:val="{36CB772D-AF18-4F03-B2D8-97212DCB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link w:val="PtaChar"/>
    <w:uiPriority w:val="99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uiPriority w:val="99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uiPriority w:val="9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character" w:customStyle="1" w:styleId="TextkomentraChar">
    <w:name w:val="Text komentára Char"/>
    <w:link w:val="Textkomentra"/>
    <w:uiPriority w:val="99"/>
    <w:rsid w:val="006D7D4F"/>
  </w:style>
  <w:style w:type="character" w:customStyle="1" w:styleId="tlid-translation">
    <w:name w:val="tlid-translation"/>
    <w:rsid w:val="002660C8"/>
  </w:style>
  <w:style w:type="paragraph" w:styleId="Revzia">
    <w:name w:val="Revision"/>
    <w:hidden/>
    <w:uiPriority w:val="99"/>
    <w:semiHidden/>
    <w:rsid w:val="003F1419"/>
    <w:rPr>
      <w:sz w:val="22"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rsid w:val="0042341B"/>
    <w:pPr>
      <w:ind w:left="720"/>
      <w:contextualSpacing/>
    </w:pPr>
  </w:style>
  <w:style w:type="character" w:customStyle="1" w:styleId="HlavikaChar">
    <w:name w:val="Hlavička Char"/>
    <w:basedOn w:val="Predvolenpsmoodseku"/>
    <w:link w:val="Hlavika"/>
    <w:uiPriority w:val="99"/>
    <w:rsid w:val="00573926"/>
    <w:rPr>
      <w:rFonts w:ascii="Helvetica" w:hAnsi="Helvetica"/>
      <w:lang w:val="cs-CZ" w:eastAsia="en-US"/>
    </w:rPr>
  </w:style>
  <w:style w:type="character" w:customStyle="1" w:styleId="PtaChar">
    <w:name w:val="Päta Char"/>
    <w:basedOn w:val="Predvolenpsmoodseku"/>
    <w:link w:val="Pta"/>
    <w:uiPriority w:val="99"/>
    <w:rsid w:val="00C5614B"/>
    <w:rPr>
      <w:rFonts w:ascii="Helvetica" w:hAnsi="Helvetica"/>
      <w:sz w:val="16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4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7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54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11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9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11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44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81632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363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6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72674a2-18c8-4fd7-bde8-8b528547dd36">UF23SEN75TND-1566521749-126215</_dlc_DocId>
    <_dlc_DocIdUrl xmlns="672674a2-18c8-4fd7-bde8-8b528547dd36">
      <Url>https://artmed.sharepoint.com/sites/R/_layouts/15/DocIdRedir.aspx?ID=UF23SEN75TND-1566521749-126215</Url>
      <Description>UF23SEN75TND-1566521749-126215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44C3DB222EE84B8976703C4F7B1F5E" ma:contentTypeVersion="315" ma:contentTypeDescription="Umožňuje vytvoriť nový dokument." ma:contentTypeScope="" ma:versionID="c20d753f34612b5c81ccd75d7e454b49">
  <xsd:schema xmlns:xsd="http://www.w3.org/2001/XMLSchema" xmlns:xs="http://www.w3.org/2001/XMLSchema" xmlns:p="http://schemas.microsoft.com/office/2006/metadata/properties" xmlns:ns2="672674a2-18c8-4fd7-bde8-8b528547dd36" xmlns:ns3="adfeb669-cd5d-42ed-b743-e0888bc4c916" targetNamespace="http://schemas.microsoft.com/office/2006/metadata/properties" ma:root="true" ma:fieldsID="4c7d4cd3c72380e5b86c93b062dd4c41" ns2:_="" ns3:_="">
    <xsd:import namespace="672674a2-18c8-4fd7-bde8-8b528547dd36"/>
    <xsd:import namespace="adfeb669-cd5d-42ed-b743-e0888bc4c9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674a2-18c8-4fd7-bde8-8b528547dd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eb669-cd5d-42ed-b743-e0888bc4c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1A1B55-DB75-4C2C-9059-DFA4EF1648A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dfeb669-cd5d-42ed-b743-e0888bc4c916"/>
    <ds:schemaRef ds:uri="http://schemas.microsoft.com/office/2006/documentManagement/types"/>
    <ds:schemaRef ds:uri="672674a2-18c8-4fd7-bde8-8b528547dd36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357BACC-9E50-4B90-A5F3-6C35FAB0B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8B6C81-C388-4991-8645-7D23AB74EC5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E98D4AB-55EB-41E6-B841-05D2E94C6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674a2-18c8-4fd7-bde8-8b528547dd36"/>
    <ds:schemaRef ds:uri="adfeb669-cd5d-42ed-b743-e0888bc4c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20</Pages>
  <Words>7716</Words>
  <Characters>51105</Characters>
  <Application>Microsoft Office Word</Application>
  <DocSecurity>0</DocSecurity>
  <Lines>425</Lines>
  <Paragraphs>117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Hreferralspcclean_sk</vt:lpstr>
      <vt:lpstr>Hreferralspcclean_sk</vt:lpstr>
    </vt:vector>
  </TitlesOfParts>
  <Company>EMEA</Company>
  <LinksUpToDate>false</LinksUpToDate>
  <CharactersWithSpaces>58704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Hreferralspcclean_sk</dc:title>
  <dc:subject>General-EMA/53564/2010</dc:subject>
  <dc:creator>European Medicines Agency</dc:creator>
  <cp:lastModifiedBy>Hudecová, Martina</cp:lastModifiedBy>
  <cp:revision>3</cp:revision>
  <cp:lastPrinted>2003-05-16T08:55:00Z</cp:lastPrinted>
  <dcterms:created xsi:type="dcterms:W3CDTF">2020-10-23T06:09:00Z</dcterms:created>
  <dcterms:modified xsi:type="dcterms:W3CDTF">2020-10-23T06:14:00Z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03/02/2020 15:43:37</vt:lpwstr>
  </property>
  <property fmtid="{D5CDD505-2E9C-101B-9397-08002B2CF9AE}" pid="7" name="DM_Creator_Name">
    <vt:lpwstr>Akhtar Timea</vt:lpwstr>
  </property>
  <property fmtid="{D5CDD505-2E9C-101B-9397-08002B2CF9AE}" pid="8" name="DM_DocRefId">
    <vt:lpwstr>EMA/59346/2020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53564</vt:lpwstr>
  </property>
  <property fmtid="{D5CDD505-2E9C-101B-9397-08002B2CF9AE}" pid="14" name="DM_emea_doc_ref_id">
    <vt:lpwstr>EMA/59346/2020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17/02/2020 15:09:36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17/02/2020 15:09:36</vt:lpwstr>
  </property>
  <property fmtid="{D5CDD505-2E9C-101B-9397-08002B2CF9AE}" pid="37" name="DM_Name">
    <vt:lpwstr>Hreferralspcclean_sk</vt:lpwstr>
  </property>
  <property fmtid="{D5CDD505-2E9C-101B-9397-08002B2CF9AE}" pid="38" name="DM_Owner">
    <vt:lpwstr>Espinasse Claire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templates/2019-06 H Referral template v 4.1 Dec 19/Publication February 2020/Final CLEAN templates f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MSIP_Label_0eea11ca-d417-4147-80ed-01a58412c458_ActionId">
    <vt:lpwstr>d9608360-ec08-4717-b086-3f0c673eb2c2</vt:lpwstr>
  </property>
  <property fmtid="{D5CDD505-2E9C-101B-9397-08002B2CF9AE}" pid="46" name="MSIP_Label_0eea11ca-d417-4147-80ed-01a58412c458_Application">
    <vt:lpwstr>Microsoft Azure Information Protection</vt:lpwstr>
  </property>
  <property fmtid="{D5CDD505-2E9C-101B-9397-08002B2CF9AE}" pid="47" name="MSIP_Label_0eea11ca-d417-4147-80ed-01a58412c458_Enabled">
    <vt:lpwstr>True</vt:lpwstr>
  </property>
  <property fmtid="{D5CDD505-2E9C-101B-9397-08002B2CF9AE}" pid="48" name="MSIP_Label_0eea11ca-d417-4147-80ed-01a58412c458_Extended_MSFT_Method">
    <vt:lpwstr>Automatic</vt:lpwstr>
  </property>
  <property fmtid="{D5CDD505-2E9C-101B-9397-08002B2CF9AE}" pid="49" name="MSIP_Label_0eea11ca-d417-4147-80ed-01a58412c458_Name">
    <vt:lpwstr>All EMA Staff and Contractors</vt:lpwstr>
  </property>
  <property fmtid="{D5CDD505-2E9C-101B-9397-08002B2CF9AE}" pid="50" name="MSIP_Label_0eea11ca-d417-4147-80ed-01a58412c458_Owner">
    <vt:lpwstr>Tia.Akhtar@ema.europa.eu</vt:lpwstr>
  </property>
  <property fmtid="{D5CDD505-2E9C-101B-9397-08002B2CF9AE}" pid="51" name="MSIP_Label_0eea11ca-d417-4147-80ed-01a58412c458_Parent">
    <vt:lpwstr>afe1b31d-cec0-4074-b4bd-f07689e43d84</vt:lpwstr>
  </property>
  <property fmtid="{D5CDD505-2E9C-101B-9397-08002B2CF9AE}" pid="52" name="MSIP_Label_0eea11ca-d417-4147-80ed-01a58412c458_SetDate">
    <vt:lpwstr>2020-02-03T14:36:57.5274532Z</vt:lpwstr>
  </property>
  <property fmtid="{D5CDD505-2E9C-101B-9397-08002B2CF9AE}" pid="53" name="MSIP_Label_0eea11ca-d417-4147-80ed-01a58412c458_SiteId">
    <vt:lpwstr>bc9dc15c-61bc-4f03-b60b-e5b6d8922839</vt:lpwstr>
  </property>
  <property fmtid="{D5CDD505-2E9C-101B-9397-08002B2CF9AE}" pid="54" name="MSIP_Label_afe1b31d-cec0-4074-b4bd-f07689e43d84_ActionId">
    <vt:lpwstr>d9608360-ec08-4717-b086-3f0c673eb2c2</vt:lpwstr>
  </property>
  <property fmtid="{D5CDD505-2E9C-101B-9397-08002B2CF9AE}" pid="55" name="MSIP_Label_afe1b31d-cec0-4074-b4bd-f07689e43d84_Application">
    <vt:lpwstr>Microsoft Azure Information Protection</vt:lpwstr>
  </property>
  <property fmtid="{D5CDD505-2E9C-101B-9397-08002B2CF9AE}" pid="56" name="MSIP_Label_afe1b31d-cec0-4074-b4bd-f07689e43d84_Enabled">
    <vt:lpwstr>True</vt:lpwstr>
  </property>
  <property fmtid="{D5CDD505-2E9C-101B-9397-08002B2CF9AE}" pid="57" name="MSIP_Label_afe1b31d-cec0-4074-b4bd-f07689e43d84_Extended_MSFT_Method">
    <vt:lpwstr>Automatic</vt:lpwstr>
  </property>
  <property fmtid="{D5CDD505-2E9C-101B-9397-08002B2CF9AE}" pid="58" name="MSIP_Label_afe1b31d-cec0-4074-b4bd-f07689e43d84_Name">
    <vt:lpwstr>Internal</vt:lpwstr>
  </property>
  <property fmtid="{D5CDD505-2E9C-101B-9397-08002B2CF9AE}" pid="59" name="MSIP_Label_afe1b31d-cec0-4074-b4bd-f07689e43d84_Owner">
    <vt:lpwstr>Tia.Akhtar@ema.europa.eu</vt:lpwstr>
  </property>
  <property fmtid="{D5CDD505-2E9C-101B-9397-08002B2CF9AE}" pid="60" name="MSIP_Label_afe1b31d-cec0-4074-b4bd-f07689e43d84_SetDate">
    <vt:lpwstr>2020-02-03T14:36:57.5274532Z</vt:lpwstr>
  </property>
  <property fmtid="{D5CDD505-2E9C-101B-9397-08002B2CF9AE}" pid="61" name="MSIP_Label_afe1b31d-cec0-4074-b4bd-f07689e43d84_SiteId">
    <vt:lpwstr>bc9dc15c-61bc-4f03-b60b-e5b6d8922839</vt:lpwstr>
  </property>
  <property fmtid="{D5CDD505-2E9C-101B-9397-08002B2CF9AE}" pid="62" name="ContentTypeId">
    <vt:lpwstr>0x0101003C44C3DB222EE84B8976703C4F7B1F5E</vt:lpwstr>
  </property>
  <property fmtid="{D5CDD505-2E9C-101B-9397-08002B2CF9AE}" pid="63" name="_dlc_DocIdItemGuid">
    <vt:lpwstr>7bfe998b-32e6-48c3-b249-3c9b06d50812</vt:lpwstr>
  </property>
</Properties>
</file>