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631FE" w14:textId="5E800381" w:rsidR="001E775C" w:rsidRPr="003444F6" w:rsidRDefault="001E775C" w:rsidP="00173815">
      <w:pPr>
        <w:widowControl w:val="0"/>
        <w:ind w:left="0" w:firstLine="0"/>
        <w:jc w:val="center"/>
        <w:rPr>
          <w:szCs w:val="22"/>
        </w:rPr>
      </w:pPr>
      <w:bookmarkStart w:id="0" w:name="_GoBack"/>
      <w:bookmarkEnd w:id="0"/>
      <w:r w:rsidRPr="00D97E23">
        <w:rPr>
          <w:b/>
        </w:rPr>
        <w:t>SÚHRN CHARAKTERISTICKÝCH VLASTNOSTÍ LIEKU</w:t>
      </w:r>
    </w:p>
    <w:p w14:paraId="611BFBF1" w14:textId="77777777" w:rsidR="00FD4DD8" w:rsidRPr="00D97E23" w:rsidRDefault="00FD4DD8" w:rsidP="00FD4DD8">
      <w:pPr>
        <w:rPr>
          <w:szCs w:val="22"/>
        </w:rPr>
      </w:pPr>
    </w:p>
    <w:p w14:paraId="099D342E" w14:textId="77777777" w:rsidR="00FD4DD8" w:rsidRPr="00D97E23" w:rsidRDefault="00FD4DD8" w:rsidP="00FD4DD8">
      <w:pPr>
        <w:rPr>
          <w:szCs w:val="22"/>
        </w:rPr>
      </w:pPr>
    </w:p>
    <w:p w14:paraId="6EE78434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1.</w:t>
      </w:r>
      <w:r w:rsidRPr="00D97E23">
        <w:rPr>
          <w:b/>
          <w:szCs w:val="22"/>
        </w:rPr>
        <w:tab/>
        <w:t>NÁZOV LIEKU</w:t>
      </w:r>
    </w:p>
    <w:p w14:paraId="42C7A146" w14:textId="77777777" w:rsidR="00FD4DD8" w:rsidRPr="00D97E23" w:rsidRDefault="00FD4DD8" w:rsidP="00FD4DD8">
      <w:pPr>
        <w:rPr>
          <w:szCs w:val="22"/>
        </w:rPr>
      </w:pPr>
    </w:p>
    <w:p w14:paraId="5EBFDA79" w14:textId="77777777" w:rsidR="001E775C" w:rsidRPr="00D97E23" w:rsidRDefault="00A1367A" w:rsidP="002C7104">
      <w:pPr>
        <w:rPr>
          <w:szCs w:val="22"/>
        </w:rPr>
      </w:pPr>
      <w:r w:rsidRPr="00D97E23">
        <w:rPr>
          <w:szCs w:val="22"/>
        </w:rPr>
        <w:t xml:space="preserve">Paracetamol/Ibuprofen Vale </w:t>
      </w:r>
    </w:p>
    <w:p w14:paraId="7F82C0EF" w14:textId="5F5B12C7" w:rsidR="002C7104" w:rsidRPr="00D97E23" w:rsidRDefault="002C7104" w:rsidP="002C7104">
      <w:pPr>
        <w:rPr>
          <w:szCs w:val="22"/>
        </w:rPr>
      </w:pPr>
      <w:r w:rsidRPr="00D97E23">
        <w:rPr>
          <w:szCs w:val="22"/>
        </w:rPr>
        <w:t>1</w:t>
      </w:r>
      <w:r w:rsidR="001E775C" w:rsidRPr="00D97E23">
        <w:rPr>
          <w:szCs w:val="22"/>
        </w:rPr>
        <w:t xml:space="preserve"> </w:t>
      </w:r>
      <w:r w:rsidRPr="00D97E23">
        <w:rPr>
          <w:szCs w:val="22"/>
        </w:rPr>
        <w:t>0</w:t>
      </w:r>
      <w:r w:rsidR="001E775C" w:rsidRPr="00D97E23">
        <w:rPr>
          <w:szCs w:val="22"/>
        </w:rPr>
        <w:t>00 mg/300 mg</w:t>
      </w:r>
      <w:r w:rsidR="00D23E34" w:rsidRPr="00D97E23">
        <w:rPr>
          <w:szCs w:val="22"/>
        </w:rPr>
        <w:t xml:space="preserve"> </w:t>
      </w:r>
      <w:r w:rsidRPr="00D97E23">
        <w:rPr>
          <w:szCs w:val="22"/>
        </w:rPr>
        <w:t>infúzny roztok</w:t>
      </w:r>
    </w:p>
    <w:p w14:paraId="0EAE2686" w14:textId="77777777" w:rsidR="001E775C" w:rsidRPr="00D97E23" w:rsidRDefault="001E775C" w:rsidP="002C7104">
      <w:pPr>
        <w:rPr>
          <w:szCs w:val="22"/>
        </w:rPr>
      </w:pPr>
    </w:p>
    <w:p w14:paraId="1FC87043" w14:textId="77777777" w:rsidR="00FD4DD8" w:rsidRPr="00D97E23" w:rsidRDefault="00FD4DD8" w:rsidP="00FD4DD8">
      <w:pPr>
        <w:rPr>
          <w:szCs w:val="22"/>
        </w:rPr>
      </w:pPr>
    </w:p>
    <w:p w14:paraId="678774A2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2.</w:t>
      </w:r>
      <w:r w:rsidRPr="00D97E23">
        <w:rPr>
          <w:b/>
          <w:szCs w:val="22"/>
        </w:rPr>
        <w:tab/>
        <w:t>KVALITATÍVNE A KVANTITATÍVNE ZLOŽENIE</w:t>
      </w:r>
    </w:p>
    <w:p w14:paraId="529250D4" w14:textId="77777777" w:rsidR="002C7104" w:rsidRPr="00D97E23" w:rsidRDefault="002C7104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</w:p>
    <w:p w14:paraId="5233B705" w14:textId="5C0D182C" w:rsidR="002C7104" w:rsidRPr="00D97E23" w:rsidRDefault="002C7104" w:rsidP="002C7104">
      <w:r w:rsidRPr="00D97E23">
        <w:t xml:space="preserve">Jeden ml obsahuje 10 mg paracetamolu a 3 mg </w:t>
      </w:r>
      <w:r w:rsidR="001E775C" w:rsidRPr="00D97E23">
        <w:t xml:space="preserve">dihydrátu sodnej soli </w:t>
      </w:r>
      <w:r w:rsidRPr="00D97E23">
        <w:t xml:space="preserve">ibuprofénu. </w:t>
      </w:r>
    </w:p>
    <w:p w14:paraId="25012B23" w14:textId="77777777" w:rsidR="002C7104" w:rsidRPr="00D97E23" w:rsidRDefault="002C7104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</w:p>
    <w:p w14:paraId="38E09BE8" w14:textId="77777777" w:rsidR="00FD4DD8" w:rsidRPr="00D97E23" w:rsidRDefault="00FD4DD8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  <w:r w:rsidRPr="00D97E23">
        <w:rPr>
          <w:u w:val="single"/>
          <w:lang w:val="sk-SK"/>
        </w:rPr>
        <w:t>Pomocná látka</w:t>
      </w:r>
      <w:r w:rsidR="002C7104" w:rsidRPr="00D97E23">
        <w:rPr>
          <w:u w:val="single"/>
          <w:lang w:val="sk-SK"/>
        </w:rPr>
        <w:t xml:space="preserve"> </w:t>
      </w:r>
      <w:r w:rsidRPr="00D97E23">
        <w:rPr>
          <w:noProof/>
          <w:szCs w:val="24"/>
          <w:u w:val="single"/>
          <w:lang w:val="sk-SK"/>
        </w:rPr>
        <w:t>so známym účinkom</w:t>
      </w:r>
      <w:r w:rsidR="002C7104" w:rsidRPr="00D97E23">
        <w:rPr>
          <w:u w:val="single"/>
          <w:lang w:val="sk-SK"/>
        </w:rPr>
        <w:t>:</w:t>
      </w:r>
    </w:p>
    <w:p w14:paraId="1BC9E3FB" w14:textId="7D65331C" w:rsidR="002C7104" w:rsidRPr="00D97E23" w:rsidRDefault="002C7104" w:rsidP="002C7104">
      <w:r w:rsidRPr="00D97E23">
        <w:t>Sodík 35 mg na 100 ml (0</w:t>
      </w:r>
      <w:r w:rsidR="001E775C" w:rsidRPr="00D97E23">
        <w:t>,</w:t>
      </w:r>
      <w:r w:rsidRPr="00D97E23">
        <w:t>35 mg/ml).</w:t>
      </w:r>
    </w:p>
    <w:p w14:paraId="2B3BDFB7" w14:textId="77777777" w:rsidR="002C7104" w:rsidRPr="00D97E23" w:rsidRDefault="002C7104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</w:p>
    <w:p w14:paraId="3302268E" w14:textId="77777777" w:rsidR="00FD4DD8" w:rsidRPr="00D97E23" w:rsidRDefault="00FD4DD8" w:rsidP="00FD4DD8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D97E23">
        <w:rPr>
          <w:szCs w:val="20"/>
          <w:lang w:eastAsia="en-US"/>
        </w:rPr>
        <w:t>Úplný zoznam pomocných látok, pozri časť 6.1.</w:t>
      </w:r>
    </w:p>
    <w:p w14:paraId="748DDC77" w14:textId="77777777" w:rsidR="00FD4DD8" w:rsidRPr="00D97E23" w:rsidRDefault="00FD4DD8" w:rsidP="00FD4DD8">
      <w:pPr>
        <w:rPr>
          <w:szCs w:val="22"/>
        </w:rPr>
      </w:pPr>
    </w:p>
    <w:p w14:paraId="014FBAFE" w14:textId="77777777" w:rsidR="00FD4DD8" w:rsidRPr="00D97E23" w:rsidRDefault="00FD4DD8" w:rsidP="00FD4DD8">
      <w:pPr>
        <w:rPr>
          <w:szCs w:val="22"/>
        </w:rPr>
      </w:pPr>
    </w:p>
    <w:p w14:paraId="6AC55C31" w14:textId="77777777" w:rsidR="00FD4DD8" w:rsidRPr="00D97E23" w:rsidRDefault="00FD4DD8" w:rsidP="00FD4DD8">
      <w:pPr>
        <w:rPr>
          <w:caps/>
          <w:szCs w:val="22"/>
        </w:rPr>
      </w:pPr>
      <w:r w:rsidRPr="00D97E23">
        <w:rPr>
          <w:b/>
          <w:szCs w:val="22"/>
        </w:rPr>
        <w:t>3.</w:t>
      </w:r>
      <w:r w:rsidRPr="00D97E23">
        <w:rPr>
          <w:b/>
          <w:szCs w:val="22"/>
        </w:rPr>
        <w:tab/>
        <w:t>LIEKOVÁ FORMA</w:t>
      </w:r>
    </w:p>
    <w:p w14:paraId="306EAD4D" w14:textId="77777777" w:rsidR="00FD4DD8" w:rsidRPr="00D97E23" w:rsidRDefault="00FD4DD8" w:rsidP="00FD4DD8"/>
    <w:p w14:paraId="20FB3EC3" w14:textId="2E66C54A" w:rsidR="00FD4DD8" w:rsidRPr="00D97E23" w:rsidRDefault="001E775C" w:rsidP="00FD4DD8">
      <w:r w:rsidRPr="00D97E23">
        <w:t xml:space="preserve">Infúzny </w:t>
      </w:r>
      <w:r w:rsidR="00D6340D" w:rsidRPr="00D97E23">
        <w:t>roztok</w:t>
      </w:r>
    </w:p>
    <w:p w14:paraId="61A385DF" w14:textId="77777777" w:rsidR="00FD4DD8" w:rsidRPr="00D97E23" w:rsidRDefault="00FD4DD8" w:rsidP="00FD4DD8"/>
    <w:p w14:paraId="59539D58" w14:textId="6110EBCB" w:rsidR="00FD4DD8" w:rsidRPr="00D97E23" w:rsidRDefault="00D6340D" w:rsidP="00FD4DD8">
      <w:pPr>
        <w:rPr>
          <w:noProof/>
        </w:rPr>
      </w:pPr>
      <w:r w:rsidRPr="00D97E23">
        <w:rPr>
          <w:noProof/>
        </w:rPr>
        <w:t>Číry, bezfarebný roztok, bez viditeľných častíc s pH 6,3-7,3 a osmolalitou 285-320 m</w:t>
      </w:r>
      <w:r w:rsidR="00780257" w:rsidRPr="00D97E23">
        <w:rPr>
          <w:noProof/>
        </w:rPr>
        <w:t>O</w:t>
      </w:r>
      <w:r w:rsidRPr="00D97E23">
        <w:rPr>
          <w:noProof/>
        </w:rPr>
        <w:t>smol/kg.</w:t>
      </w:r>
    </w:p>
    <w:p w14:paraId="4F0BE804" w14:textId="77777777" w:rsidR="00473DFA" w:rsidRPr="00D97E23" w:rsidRDefault="00473DFA" w:rsidP="00FD4DD8">
      <w:pPr>
        <w:rPr>
          <w:szCs w:val="22"/>
        </w:rPr>
      </w:pPr>
    </w:p>
    <w:p w14:paraId="77C810EE" w14:textId="77777777" w:rsidR="00FD4DD8" w:rsidRPr="00D97E23" w:rsidRDefault="00FD4DD8" w:rsidP="00FD4DD8">
      <w:pPr>
        <w:rPr>
          <w:szCs w:val="22"/>
        </w:rPr>
      </w:pPr>
    </w:p>
    <w:p w14:paraId="513E841A" w14:textId="77777777" w:rsidR="00FD4DD8" w:rsidRPr="00D97E23" w:rsidRDefault="00FD4DD8" w:rsidP="00FD4DD8">
      <w:pPr>
        <w:rPr>
          <w:caps/>
          <w:szCs w:val="22"/>
        </w:rPr>
      </w:pPr>
      <w:r w:rsidRPr="00D97E23">
        <w:rPr>
          <w:b/>
          <w:caps/>
          <w:szCs w:val="22"/>
        </w:rPr>
        <w:t>4.</w:t>
      </w:r>
      <w:r w:rsidRPr="00D97E23">
        <w:rPr>
          <w:b/>
          <w:caps/>
          <w:szCs w:val="22"/>
        </w:rPr>
        <w:tab/>
        <w:t>KLINICKÉ ÚDAJE</w:t>
      </w:r>
    </w:p>
    <w:p w14:paraId="665ECD35" w14:textId="77777777" w:rsidR="00FD4DD8" w:rsidRPr="00D97E23" w:rsidRDefault="00FD4DD8" w:rsidP="00FD4DD8">
      <w:pPr>
        <w:rPr>
          <w:szCs w:val="22"/>
        </w:rPr>
      </w:pPr>
    </w:p>
    <w:p w14:paraId="5DF35C71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4.1</w:t>
      </w:r>
      <w:r w:rsidRPr="00D97E23">
        <w:rPr>
          <w:b/>
          <w:szCs w:val="22"/>
        </w:rPr>
        <w:tab/>
        <w:t>Terapeutické indikácie</w:t>
      </w:r>
    </w:p>
    <w:p w14:paraId="5C2E545C" w14:textId="77777777" w:rsidR="00FD4DD8" w:rsidRPr="00D97E23" w:rsidRDefault="00FD4DD8" w:rsidP="00D6340D">
      <w:pPr>
        <w:ind w:left="0" w:firstLine="0"/>
        <w:rPr>
          <w:szCs w:val="22"/>
        </w:rPr>
      </w:pPr>
    </w:p>
    <w:p w14:paraId="78672A2E" w14:textId="269DC988" w:rsidR="00FD4DD8" w:rsidRPr="00D97E23" w:rsidRDefault="00A1367A" w:rsidP="00D6340D">
      <w:pPr>
        <w:ind w:left="0" w:firstLine="0"/>
        <w:rPr>
          <w:szCs w:val="22"/>
        </w:rPr>
      </w:pPr>
      <w:r w:rsidRPr="00D97E23">
        <w:rPr>
          <w:szCs w:val="22"/>
        </w:rPr>
        <w:t xml:space="preserve">Paracetamol/Ibuprofen Vale </w:t>
      </w:r>
      <w:r w:rsidR="00FD4DD8" w:rsidRPr="00D97E23">
        <w:rPr>
          <w:color w:val="000000"/>
          <w:szCs w:val="22"/>
        </w:rPr>
        <w:t>je indikovaný dospelým</w:t>
      </w:r>
      <w:r w:rsidR="00D6340D" w:rsidRPr="00D97E23">
        <w:rPr>
          <w:color w:val="000000"/>
          <w:szCs w:val="22"/>
        </w:rPr>
        <w:t xml:space="preserve"> </w:t>
      </w:r>
      <w:r w:rsidR="00473DFA" w:rsidRPr="00D97E23">
        <w:rPr>
          <w:color w:val="000000"/>
          <w:szCs w:val="22"/>
        </w:rPr>
        <w:t>na</w:t>
      </w:r>
      <w:r w:rsidR="00D6340D" w:rsidRPr="00D97E23">
        <w:rPr>
          <w:color w:val="000000"/>
          <w:szCs w:val="22"/>
        </w:rPr>
        <w:t xml:space="preserve"> krátkodob</w:t>
      </w:r>
      <w:r w:rsidR="00473DFA" w:rsidRPr="00D97E23">
        <w:rPr>
          <w:color w:val="000000"/>
          <w:szCs w:val="22"/>
        </w:rPr>
        <w:t>ú</w:t>
      </w:r>
      <w:r w:rsidR="00D6340D" w:rsidRPr="00D97E23">
        <w:rPr>
          <w:color w:val="000000"/>
          <w:szCs w:val="22"/>
        </w:rPr>
        <w:t xml:space="preserve"> symptomatick</w:t>
      </w:r>
      <w:r w:rsidR="00473DFA" w:rsidRPr="00D97E23">
        <w:rPr>
          <w:color w:val="000000"/>
          <w:szCs w:val="22"/>
        </w:rPr>
        <w:t>ú</w:t>
      </w:r>
      <w:r w:rsidR="00D6340D" w:rsidRPr="00D97E23">
        <w:rPr>
          <w:color w:val="000000"/>
          <w:szCs w:val="22"/>
        </w:rPr>
        <w:t xml:space="preserve"> liečb</w:t>
      </w:r>
      <w:r w:rsidR="00473DFA" w:rsidRPr="00D97E23">
        <w:rPr>
          <w:color w:val="000000"/>
          <w:szCs w:val="22"/>
        </w:rPr>
        <w:t>u</w:t>
      </w:r>
      <w:r w:rsidR="00D6340D" w:rsidRPr="00D97E23">
        <w:rPr>
          <w:color w:val="000000"/>
          <w:szCs w:val="22"/>
        </w:rPr>
        <w:t xml:space="preserve"> akútnej</w:t>
      </w:r>
      <w:r w:rsidR="00473DFA" w:rsidRPr="00D97E23">
        <w:rPr>
          <w:color w:val="000000"/>
          <w:szCs w:val="22"/>
        </w:rPr>
        <w:t>,</w:t>
      </w:r>
      <w:r w:rsidR="00D6340D" w:rsidRPr="00D97E23">
        <w:rPr>
          <w:color w:val="000000"/>
          <w:szCs w:val="22"/>
        </w:rPr>
        <w:t xml:space="preserve"> </w:t>
      </w:r>
      <w:r w:rsidR="00473DFA" w:rsidRPr="00D97E23">
        <w:rPr>
          <w:color w:val="000000"/>
          <w:szCs w:val="22"/>
        </w:rPr>
        <w:t>stredne silnej</w:t>
      </w:r>
      <w:r w:rsidR="00D6340D" w:rsidRPr="00D97E23">
        <w:rPr>
          <w:color w:val="000000"/>
          <w:szCs w:val="22"/>
        </w:rPr>
        <w:t xml:space="preserve"> bolesti, ke</w:t>
      </w:r>
      <w:r w:rsidR="00473DFA" w:rsidRPr="00D97E23">
        <w:rPr>
          <w:color w:val="000000"/>
          <w:szCs w:val="22"/>
        </w:rPr>
        <w:t>ď</w:t>
      </w:r>
      <w:r w:rsidR="00D6340D" w:rsidRPr="00D97E23">
        <w:rPr>
          <w:color w:val="000000"/>
          <w:szCs w:val="22"/>
        </w:rPr>
        <w:t xml:space="preserve"> je klinicky </w:t>
      </w:r>
      <w:r w:rsidR="00473DFA" w:rsidRPr="00D97E23">
        <w:rPr>
          <w:color w:val="000000"/>
          <w:szCs w:val="22"/>
        </w:rPr>
        <w:t xml:space="preserve">považovaná za </w:t>
      </w:r>
      <w:r w:rsidR="00D6340D" w:rsidRPr="00D97E23">
        <w:rPr>
          <w:color w:val="000000"/>
          <w:szCs w:val="22"/>
        </w:rPr>
        <w:t>nevyhnutn</w:t>
      </w:r>
      <w:r w:rsidR="00473DFA" w:rsidRPr="00D97E23">
        <w:rPr>
          <w:color w:val="000000"/>
          <w:szCs w:val="22"/>
        </w:rPr>
        <w:t>ú</w:t>
      </w:r>
      <w:r w:rsidR="00D6340D" w:rsidRPr="00D97E23">
        <w:rPr>
          <w:color w:val="000000"/>
          <w:szCs w:val="22"/>
        </w:rPr>
        <w:t xml:space="preserve"> intravenózn</w:t>
      </w:r>
      <w:r w:rsidR="00473DFA" w:rsidRPr="00D97E23">
        <w:rPr>
          <w:color w:val="000000"/>
          <w:szCs w:val="22"/>
        </w:rPr>
        <w:t>a</w:t>
      </w:r>
      <w:r w:rsidR="00D6340D" w:rsidRPr="00D97E23">
        <w:rPr>
          <w:color w:val="000000"/>
          <w:szCs w:val="22"/>
        </w:rPr>
        <w:t xml:space="preserve"> </w:t>
      </w:r>
      <w:r w:rsidR="00473DFA" w:rsidRPr="00D97E23">
        <w:rPr>
          <w:color w:val="000000"/>
          <w:szCs w:val="22"/>
        </w:rPr>
        <w:t>cesta</w:t>
      </w:r>
      <w:r w:rsidR="00D6340D" w:rsidRPr="00D97E23">
        <w:rPr>
          <w:color w:val="000000"/>
          <w:szCs w:val="22"/>
        </w:rPr>
        <w:t xml:space="preserve"> pod</w:t>
      </w:r>
      <w:r w:rsidR="00473DFA" w:rsidRPr="00D97E23">
        <w:rPr>
          <w:color w:val="000000"/>
          <w:szCs w:val="22"/>
        </w:rPr>
        <w:t>ania</w:t>
      </w:r>
      <w:r w:rsidR="00D6340D" w:rsidRPr="00D97E23">
        <w:rPr>
          <w:color w:val="000000"/>
          <w:szCs w:val="22"/>
        </w:rPr>
        <w:t xml:space="preserve"> a/alebo ak nie sú možné iné cesty podania.</w:t>
      </w:r>
    </w:p>
    <w:p w14:paraId="28CA21F8" w14:textId="77777777" w:rsidR="00FD4DD8" w:rsidRPr="00D97E23" w:rsidRDefault="00FD4DD8" w:rsidP="00FD4DD8">
      <w:pPr>
        <w:rPr>
          <w:szCs w:val="22"/>
        </w:rPr>
      </w:pPr>
    </w:p>
    <w:p w14:paraId="6D85F94A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4.2</w:t>
      </w:r>
      <w:r w:rsidRPr="00D97E23">
        <w:rPr>
          <w:b/>
          <w:szCs w:val="22"/>
        </w:rPr>
        <w:tab/>
        <w:t>Dávkovanie a spôsob podávania</w:t>
      </w:r>
    </w:p>
    <w:p w14:paraId="47B96FB0" w14:textId="77777777" w:rsidR="00FD4DD8" w:rsidRPr="00D97E23" w:rsidRDefault="00FD4DD8" w:rsidP="00FD4DD8">
      <w:pPr>
        <w:rPr>
          <w:szCs w:val="22"/>
        </w:rPr>
      </w:pPr>
    </w:p>
    <w:p w14:paraId="2FFE8AAE" w14:textId="77777777" w:rsidR="00FD4DD8" w:rsidRPr="00D97E23" w:rsidRDefault="00FD4DD8" w:rsidP="00FD4DD8">
      <w:pPr>
        <w:rPr>
          <w:szCs w:val="22"/>
          <w:u w:val="single"/>
        </w:rPr>
      </w:pPr>
      <w:r w:rsidRPr="00D97E23">
        <w:rPr>
          <w:szCs w:val="22"/>
          <w:u w:val="single"/>
        </w:rPr>
        <w:t>Dávkovanie</w:t>
      </w:r>
    </w:p>
    <w:p w14:paraId="4E656B2E" w14:textId="7E6AF57E" w:rsidR="00D6340D" w:rsidRPr="00D97E23" w:rsidRDefault="00D6340D" w:rsidP="00D6340D">
      <w:pPr>
        <w:ind w:left="0" w:firstLine="0"/>
        <w:rPr>
          <w:color w:val="000000"/>
          <w:szCs w:val="22"/>
        </w:rPr>
      </w:pPr>
      <w:r w:rsidRPr="00D97E23">
        <w:rPr>
          <w:color w:val="000000"/>
          <w:szCs w:val="22"/>
        </w:rPr>
        <w:t xml:space="preserve">Určené </w:t>
      </w:r>
      <w:r w:rsidR="00473DFA" w:rsidRPr="00D97E23">
        <w:rPr>
          <w:color w:val="000000"/>
          <w:szCs w:val="22"/>
        </w:rPr>
        <w:t>na</w:t>
      </w:r>
      <w:r w:rsidRPr="00D97E23">
        <w:rPr>
          <w:color w:val="000000"/>
          <w:szCs w:val="22"/>
        </w:rPr>
        <w:t xml:space="preserve"> krátkodobé intravenózne </w:t>
      </w:r>
      <w:r w:rsidR="005A7E71" w:rsidRPr="00D97E23">
        <w:rPr>
          <w:color w:val="000000"/>
          <w:szCs w:val="22"/>
        </w:rPr>
        <w:t>podani</w:t>
      </w:r>
      <w:r w:rsidR="00473DFA" w:rsidRPr="00D97E23">
        <w:rPr>
          <w:color w:val="000000"/>
          <w:szCs w:val="22"/>
        </w:rPr>
        <w:t>e</w:t>
      </w:r>
      <w:r w:rsidR="005A7E71" w:rsidRPr="00D97E23">
        <w:rPr>
          <w:color w:val="000000"/>
          <w:szCs w:val="22"/>
        </w:rPr>
        <w:t xml:space="preserve"> </w:t>
      </w:r>
      <w:r w:rsidRPr="00D97E23">
        <w:rPr>
          <w:color w:val="000000"/>
          <w:szCs w:val="22"/>
        </w:rPr>
        <w:t xml:space="preserve">počas maximálne 2 dní. Nežiaduce účinky možno </w:t>
      </w:r>
      <w:r w:rsidR="00473DFA" w:rsidRPr="00D97E23">
        <w:rPr>
          <w:color w:val="000000"/>
          <w:szCs w:val="22"/>
        </w:rPr>
        <w:t>minimalizovať</w:t>
      </w:r>
      <w:r w:rsidRPr="00D97E23">
        <w:rPr>
          <w:color w:val="000000"/>
          <w:szCs w:val="22"/>
        </w:rPr>
        <w:t xml:space="preserve"> použitím najnižšej možnej účinnej dávky po</w:t>
      </w:r>
      <w:r w:rsidR="00473DFA" w:rsidRPr="00D97E23">
        <w:rPr>
          <w:color w:val="000000"/>
          <w:szCs w:val="22"/>
        </w:rPr>
        <w:t>čas</w:t>
      </w:r>
      <w:r w:rsidRPr="00D97E23">
        <w:rPr>
          <w:color w:val="000000"/>
          <w:szCs w:val="22"/>
        </w:rPr>
        <w:t xml:space="preserve"> čo najkratš</w:t>
      </w:r>
      <w:r w:rsidR="00473DFA" w:rsidRPr="00D97E23">
        <w:rPr>
          <w:color w:val="000000"/>
          <w:szCs w:val="22"/>
        </w:rPr>
        <w:t>ej</w:t>
      </w:r>
      <w:r w:rsidRPr="00D97E23">
        <w:rPr>
          <w:color w:val="000000"/>
          <w:szCs w:val="22"/>
        </w:rPr>
        <w:t xml:space="preserve"> dob</w:t>
      </w:r>
      <w:r w:rsidR="00473DFA" w:rsidRPr="00D97E23">
        <w:rPr>
          <w:color w:val="000000"/>
          <w:szCs w:val="22"/>
        </w:rPr>
        <w:t>y nevyhnutnej</w:t>
      </w:r>
      <w:r w:rsidR="00790A74" w:rsidRPr="00D97E23">
        <w:rPr>
          <w:color w:val="000000"/>
          <w:szCs w:val="22"/>
        </w:rPr>
        <w:t xml:space="preserve"> </w:t>
      </w:r>
      <w:r w:rsidRPr="00D97E23">
        <w:rPr>
          <w:color w:val="000000"/>
          <w:szCs w:val="22"/>
        </w:rPr>
        <w:t>na kontrolu symptómov</w:t>
      </w:r>
      <w:r w:rsidR="00473DFA" w:rsidRPr="00D97E23">
        <w:rPr>
          <w:color w:val="000000"/>
          <w:szCs w:val="22"/>
        </w:rPr>
        <w:t xml:space="preserve"> (pozri časť 4.4)</w:t>
      </w:r>
      <w:r w:rsidRPr="00D97E23">
        <w:rPr>
          <w:color w:val="000000"/>
          <w:szCs w:val="22"/>
        </w:rPr>
        <w:t>.</w:t>
      </w:r>
    </w:p>
    <w:p w14:paraId="23CDADD0" w14:textId="77777777" w:rsidR="00D6340D" w:rsidRPr="00D97E23" w:rsidRDefault="00D6340D" w:rsidP="00FD4DD8">
      <w:pPr>
        <w:rPr>
          <w:szCs w:val="22"/>
          <w:u w:val="single"/>
        </w:rPr>
      </w:pPr>
    </w:p>
    <w:p w14:paraId="2491BFD5" w14:textId="6083D91F" w:rsidR="00D6340D" w:rsidRPr="00D97E23" w:rsidRDefault="00D6340D" w:rsidP="00D6340D">
      <w:pPr>
        <w:rPr>
          <w:b/>
          <w:bCs/>
          <w:i/>
          <w:iCs/>
          <w:szCs w:val="22"/>
        </w:rPr>
      </w:pPr>
      <w:r w:rsidRPr="00D97E23">
        <w:rPr>
          <w:b/>
          <w:bCs/>
          <w:i/>
          <w:iCs/>
          <w:szCs w:val="22"/>
        </w:rPr>
        <w:t>Dospelí (s hmotnosťou</w:t>
      </w:r>
      <w:r w:rsidR="00473DFA" w:rsidRPr="00D97E23">
        <w:rPr>
          <w:b/>
          <w:bCs/>
          <w:i/>
          <w:iCs/>
          <w:szCs w:val="22"/>
        </w:rPr>
        <w:t xml:space="preserve"> nad</w:t>
      </w:r>
      <w:r w:rsidRPr="00D97E23">
        <w:rPr>
          <w:b/>
          <w:bCs/>
          <w:i/>
          <w:iCs/>
          <w:szCs w:val="22"/>
        </w:rPr>
        <w:t xml:space="preserve"> 50 kg)</w:t>
      </w:r>
    </w:p>
    <w:p w14:paraId="06791BDC" w14:textId="2C62C55E" w:rsidR="00FD4DD8" w:rsidRPr="00D97E23" w:rsidRDefault="00473DFA" w:rsidP="00D6340D">
      <w:pPr>
        <w:ind w:left="0" w:firstLine="0"/>
        <w:rPr>
          <w:szCs w:val="22"/>
        </w:rPr>
      </w:pPr>
      <w:r w:rsidRPr="00D97E23">
        <w:rPr>
          <w:szCs w:val="22"/>
        </w:rPr>
        <w:t>P</w:t>
      </w:r>
      <w:r w:rsidR="00D6340D" w:rsidRPr="00D97E23">
        <w:rPr>
          <w:szCs w:val="22"/>
        </w:rPr>
        <w:t>od</w:t>
      </w:r>
      <w:r w:rsidRPr="00D97E23">
        <w:rPr>
          <w:szCs w:val="22"/>
        </w:rPr>
        <w:t>áva sa</w:t>
      </w:r>
      <w:r w:rsidR="00D6340D" w:rsidRPr="00D97E23">
        <w:rPr>
          <w:szCs w:val="22"/>
        </w:rPr>
        <w:t xml:space="preserve"> </w:t>
      </w:r>
      <w:r w:rsidRPr="00D97E23">
        <w:rPr>
          <w:szCs w:val="22"/>
        </w:rPr>
        <w:t xml:space="preserve">obsah </w:t>
      </w:r>
      <w:r w:rsidR="00D6340D" w:rsidRPr="00D97E23">
        <w:rPr>
          <w:szCs w:val="22"/>
        </w:rPr>
        <w:t>jedn</w:t>
      </w:r>
      <w:r w:rsidRPr="00D97E23">
        <w:rPr>
          <w:szCs w:val="22"/>
        </w:rPr>
        <w:t>ej</w:t>
      </w:r>
      <w:r w:rsidR="00D6340D" w:rsidRPr="00D97E23">
        <w:rPr>
          <w:szCs w:val="22"/>
        </w:rPr>
        <w:t xml:space="preserve"> </w:t>
      </w:r>
      <w:r w:rsidRPr="00D97E23">
        <w:rPr>
          <w:szCs w:val="22"/>
        </w:rPr>
        <w:t xml:space="preserve">injekčnej liekovky </w:t>
      </w:r>
      <w:r w:rsidR="00D6340D" w:rsidRPr="00D97E23">
        <w:rPr>
          <w:szCs w:val="22"/>
        </w:rPr>
        <w:t xml:space="preserve">(100 ml) </w:t>
      </w:r>
      <w:r w:rsidR="00A1367A" w:rsidRPr="00D97E23">
        <w:rPr>
          <w:szCs w:val="22"/>
        </w:rPr>
        <w:t>Paracetamol</w:t>
      </w:r>
      <w:r w:rsidRPr="00D97E23">
        <w:rPr>
          <w:szCs w:val="22"/>
        </w:rPr>
        <w:t>u</w:t>
      </w:r>
      <w:r w:rsidR="00A1367A" w:rsidRPr="00D97E23">
        <w:rPr>
          <w:szCs w:val="22"/>
        </w:rPr>
        <w:t>/Ibuprofen</w:t>
      </w:r>
      <w:r w:rsidRPr="00D97E23">
        <w:rPr>
          <w:szCs w:val="22"/>
        </w:rPr>
        <w:t>u</w:t>
      </w:r>
      <w:r w:rsidR="00A1367A" w:rsidRPr="00D97E23">
        <w:rPr>
          <w:szCs w:val="22"/>
        </w:rPr>
        <w:t xml:space="preserve"> Vale </w:t>
      </w:r>
      <w:r w:rsidR="00D6340D" w:rsidRPr="00D97E23">
        <w:rPr>
          <w:szCs w:val="22"/>
        </w:rPr>
        <w:t>ako 15-minútov</w:t>
      </w:r>
      <w:r w:rsidRPr="00D97E23">
        <w:rPr>
          <w:szCs w:val="22"/>
        </w:rPr>
        <w:t>á</w:t>
      </w:r>
      <w:r w:rsidR="00D6340D" w:rsidRPr="00D97E23">
        <w:rPr>
          <w:szCs w:val="22"/>
        </w:rPr>
        <w:t xml:space="preserve"> infúzi</w:t>
      </w:r>
      <w:r w:rsidRPr="00D97E23">
        <w:rPr>
          <w:szCs w:val="22"/>
        </w:rPr>
        <w:t>a</w:t>
      </w:r>
      <w:r w:rsidR="00D6340D" w:rsidRPr="00D97E23">
        <w:rPr>
          <w:szCs w:val="22"/>
        </w:rPr>
        <w:t xml:space="preserve"> každých 6 hodín</w:t>
      </w:r>
      <w:r w:rsidRPr="00D97E23">
        <w:rPr>
          <w:szCs w:val="22"/>
        </w:rPr>
        <w:t xml:space="preserve"> podľa potreby</w:t>
      </w:r>
      <w:r w:rsidR="00D6340D" w:rsidRPr="00D97E23">
        <w:rPr>
          <w:szCs w:val="22"/>
        </w:rPr>
        <w:t xml:space="preserve">. Neprekračujte celkovú dennú dávku štyroch </w:t>
      </w:r>
      <w:r w:rsidR="0048487A" w:rsidRPr="00D97E23">
        <w:rPr>
          <w:szCs w:val="22"/>
        </w:rPr>
        <w:t xml:space="preserve">injekčných liekoviek </w:t>
      </w:r>
      <w:r w:rsidR="00D6340D" w:rsidRPr="00D97E23">
        <w:rPr>
          <w:szCs w:val="22"/>
        </w:rPr>
        <w:t xml:space="preserve">(400 ml), </w:t>
      </w:r>
      <w:r w:rsidR="0048487A" w:rsidRPr="00D97E23">
        <w:rPr>
          <w:szCs w:val="22"/>
        </w:rPr>
        <w:t xml:space="preserve">čo </w:t>
      </w:r>
      <w:r w:rsidR="00D6340D" w:rsidRPr="00D97E23">
        <w:rPr>
          <w:szCs w:val="22"/>
        </w:rPr>
        <w:t>zodpoved</w:t>
      </w:r>
      <w:r w:rsidR="0048487A" w:rsidRPr="00D97E23">
        <w:rPr>
          <w:szCs w:val="22"/>
        </w:rPr>
        <w:t>á</w:t>
      </w:r>
      <w:r w:rsidR="00D6340D" w:rsidRPr="00D97E23">
        <w:rPr>
          <w:szCs w:val="22"/>
        </w:rPr>
        <w:t xml:space="preserve"> 4 000 mg (4 g) paracetamolu a 1 200 mg ibuprofénu.</w:t>
      </w:r>
    </w:p>
    <w:p w14:paraId="6F2E735A" w14:textId="77777777" w:rsidR="00D53B9C" w:rsidRPr="00D97E23" w:rsidRDefault="00D53B9C" w:rsidP="00D53B9C">
      <w:pPr>
        <w:rPr>
          <w:szCs w:val="22"/>
        </w:rPr>
      </w:pPr>
    </w:p>
    <w:p w14:paraId="640C38E2" w14:textId="643A8302" w:rsidR="00D53B9C" w:rsidRPr="00D97E23" w:rsidRDefault="00D53B9C" w:rsidP="00D53B9C">
      <w:pPr>
        <w:rPr>
          <w:b/>
          <w:bCs/>
          <w:i/>
          <w:iCs/>
          <w:szCs w:val="22"/>
        </w:rPr>
      </w:pPr>
      <w:r w:rsidRPr="00D97E23">
        <w:rPr>
          <w:b/>
          <w:bCs/>
          <w:i/>
          <w:iCs/>
          <w:szCs w:val="22"/>
        </w:rPr>
        <w:t xml:space="preserve">Dospelí (s hmotnosťou </w:t>
      </w:r>
      <w:r w:rsidR="0048487A" w:rsidRPr="00D97E23">
        <w:rPr>
          <w:b/>
          <w:bCs/>
          <w:i/>
          <w:iCs/>
          <w:szCs w:val="22"/>
        </w:rPr>
        <w:t>do</w:t>
      </w:r>
      <w:r w:rsidRPr="00D97E23">
        <w:rPr>
          <w:b/>
          <w:bCs/>
          <w:i/>
          <w:iCs/>
          <w:szCs w:val="22"/>
        </w:rPr>
        <w:t xml:space="preserve"> 50 kg)</w:t>
      </w:r>
    </w:p>
    <w:p w14:paraId="43EF133D" w14:textId="606C9814" w:rsidR="00D53B9C" w:rsidRPr="00D97E23" w:rsidRDefault="00D53B9C" w:rsidP="00D53B9C">
      <w:pPr>
        <w:ind w:left="0" w:firstLine="0"/>
        <w:rPr>
          <w:szCs w:val="22"/>
        </w:rPr>
      </w:pPr>
      <w:r w:rsidRPr="00D97E23">
        <w:rPr>
          <w:szCs w:val="22"/>
        </w:rPr>
        <w:t xml:space="preserve">Dávka pre dospelého vážiaceho 50 kg alebo menej by mala zodpovedať jeho hmotnosti, a to 1,5 ml/kg </w:t>
      </w:r>
      <w:r w:rsidR="0048487A" w:rsidRPr="00D97E23">
        <w:rPr>
          <w:szCs w:val="22"/>
        </w:rPr>
        <w:t>ako</w:t>
      </w:r>
      <w:r w:rsidRPr="00D97E23">
        <w:rPr>
          <w:szCs w:val="22"/>
        </w:rPr>
        <w:t xml:space="preserve"> 15-minútov</w:t>
      </w:r>
      <w:r w:rsidR="0048487A" w:rsidRPr="00D97E23">
        <w:rPr>
          <w:szCs w:val="22"/>
        </w:rPr>
        <w:t>á</w:t>
      </w:r>
      <w:r w:rsidRPr="00D97E23">
        <w:rPr>
          <w:szCs w:val="22"/>
        </w:rPr>
        <w:t xml:space="preserve"> infúzi</w:t>
      </w:r>
      <w:r w:rsidR="0048487A" w:rsidRPr="00D97E23">
        <w:rPr>
          <w:szCs w:val="22"/>
        </w:rPr>
        <w:t>a</w:t>
      </w:r>
      <w:r w:rsidRPr="00D97E23">
        <w:rPr>
          <w:szCs w:val="22"/>
        </w:rPr>
        <w:t xml:space="preserve"> každých 6 hodín</w:t>
      </w:r>
      <w:r w:rsidR="0048487A" w:rsidRPr="00D97E23">
        <w:rPr>
          <w:szCs w:val="22"/>
        </w:rPr>
        <w:t xml:space="preserve"> podľa potreby</w:t>
      </w:r>
      <w:r w:rsidRPr="00D97E23">
        <w:rPr>
          <w:szCs w:val="22"/>
        </w:rPr>
        <w:t xml:space="preserve">. To zodpovedá maximálnej jednorazovej dávke 75 ml </w:t>
      </w:r>
      <w:r w:rsidR="0048487A" w:rsidRPr="00D97E23">
        <w:rPr>
          <w:szCs w:val="22"/>
        </w:rPr>
        <w:t>nepoužitý</w:t>
      </w:r>
      <w:r w:rsidRPr="00D97E23">
        <w:rPr>
          <w:szCs w:val="22"/>
        </w:rPr>
        <w:t xml:space="preserve"> liek v</w:t>
      </w:r>
      <w:r w:rsidR="0048487A" w:rsidRPr="00D97E23">
        <w:rPr>
          <w:szCs w:val="22"/>
        </w:rPr>
        <w:t> injekčnej liekovke</w:t>
      </w:r>
      <w:r w:rsidRPr="00D97E23">
        <w:rPr>
          <w:szCs w:val="22"/>
        </w:rPr>
        <w:t xml:space="preserve"> je nutné zlikvidovať) a celkovej dennej dávke 3 000 mg (3 g) paracetamolu a 900 mg ibuprofénu.</w:t>
      </w:r>
    </w:p>
    <w:p w14:paraId="45C1DC88" w14:textId="77777777" w:rsidR="00D53B9C" w:rsidRPr="00D97E23" w:rsidRDefault="00D53B9C" w:rsidP="00FD4DD8">
      <w:pPr>
        <w:rPr>
          <w:szCs w:val="22"/>
        </w:rPr>
      </w:pPr>
    </w:p>
    <w:p w14:paraId="49C43313" w14:textId="77777777" w:rsidR="00FD4DD8" w:rsidRPr="00D97E23" w:rsidRDefault="00FD4DD8" w:rsidP="00FD4DD8">
      <w:pPr>
        <w:rPr>
          <w:b/>
          <w:bCs/>
          <w:i/>
          <w:szCs w:val="22"/>
        </w:rPr>
      </w:pPr>
      <w:r w:rsidRPr="00D97E23">
        <w:rPr>
          <w:b/>
          <w:bCs/>
          <w:i/>
          <w:noProof/>
          <w:szCs w:val="22"/>
        </w:rPr>
        <w:t>Pediatrická populácia</w:t>
      </w:r>
    </w:p>
    <w:p w14:paraId="18F2DD8E" w14:textId="5A5D7DB6" w:rsidR="00FD4DD8" w:rsidRPr="00D97E23" w:rsidRDefault="00A1367A" w:rsidP="00FD4DD8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 xml:space="preserve">Paracetamol/Ibuprofen Vale </w:t>
      </w:r>
      <w:r w:rsidR="00FD4DD8" w:rsidRPr="00D97E23">
        <w:rPr>
          <w:noProof/>
          <w:szCs w:val="22"/>
        </w:rPr>
        <w:t>je kontraindikovaný u</w:t>
      </w:r>
      <w:r w:rsidR="00D6340D" w:rsidRPr="00D97E23">
        <w:rPr>
          <w:noProof/>
          <w:szCs w:val="22"/>
        </w:rPr>
        <w:t> </w:t>
      </w:r>
      <w:r w:rsidR="00FD4DD8" w:rsidRPr="00D97E23">
        <w:rPr>
          <w:noProof/>
          <w:szCs w:val="22"/>
        </w:rPr>
        <w:t>detí</w:t>
      </w:r>
      <w:r w:rsidR="00D6340D" w:rsidRPr="00D97E23">
        <w:rPr>
          <w:noProof/>
          <w:szCs w:val="22"/>
        </w:rPr>
        <w:t xml:space="preserve"> a dospievajúcich mladších ako 18 rokov</w:t>
      </w:r>
      <w:r w:rsidR="00FD4DD8" w:rsidRPr="00D97E23">
        <w:rPr>
          <w:szCs w:val="22"/>
        </w:rPr>
        <w:t xml:space="preserve"> (pozri časť 4.3).</w:t>
      </w:r>
    </w:p>
    <w:p w14:paraId="382A5C30" w14:textId="4043AFB1" w:rsidR="00F9211C" w:rsidRPr="00D97E23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C1F81D7" w14:textId="14B4BCC6" w:rsidR="00F9211C" w:rsidRPr="00D97E23" w:rsidRDefault="00506236" w:rsidP="00F9211C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</w:rPr>
      </w:pPr>
      <w:r w:rsidRPr="00D97E23">
        <w:rPr>
          <w:b/>
          <w:bCs/>
          <w:i/>
          <w:iCs/>
          <w:szCs w:val="22"/>
        </w:rPr>
        <w:t>Osobitné populácie</w:t>
      </w:r>
    </w:p>
    <w:p w14:paraId="6FC4FE3A" w14:textId="77777777" w:rsidR="00014DAF" w:rsidRPr="00D97E23" w:rsidRDefault="00014DAF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359F133" w14:textId="77777777" w:rsidR="00F9211C" w:rsidRPr="00D97E23" w:rsidRDefault="00F9211C" w:rsidP="00F9211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D97E23">
        <w:rPr>
          <w:i/>
          <w:iCs/>
          <w:szCs w:val="22"/>
        </w:rPr>
        <w:t>Starší pacienti</w:t>
      </w:r>
    </w:p>
    <w:p w14:paraId="5C8734BA" w14:textId="43CDE711" w:rsidR="00F9211C" w:rsidRPr="00D97E23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>Dávk</w:t>
      </w:r>
      <w:r w:rsidR="00506236" w:rsidRPr="00D97E23">
        <w:rPr>
          <w:szCs w:val="22"/>
        </w:rPr>
        <w:t>a</w:t>
      </w:r>
      <w:r w:rsidRPr="00D97E23">
        <w:rPr>
          <w:szCs w:val="22"/>
        </w:rPr>
        <w:t xml:space="preserve"> </w:t>
      </w:r>
      <w:r w:rsidR="00506236" w:rsidRPr="00D97E23">
        <w:rPr>
          <w:szCs w:val="22"/>
        </w:rPr>
        <w:t>pre</w:t>
      </w:r>
      <w:r w:rsidRPr="00D97E23">
        <w:rPr>
          <w:szCs w:val="22"/>
        </w:rPr>
        <w:t xml:space="preserve"> starších pacientov by mal</w:t>
      </w:r>
      <w:r w:rsidR="00506236" w:rsidRPr="00D97E23">
        <w:rPr>
          <w:szCs w:val="22"/>
        </w:rPr>
        <w:t>a</w:t>
      </w:r>
      <w:r w:rsidRPr="00D97E23">
        <w:rPr>
          <w:szCs w:val="22"/>
        </w:rPr>
        <w:t xml:space="preserve"> byť </w:t>
      </w:r>
      <w:r w:rsidR="00506236" w:rsidRPr="00D97E23">
        <w:rPr>
          <w:szCs w:val="22"/>
        </w:rPr>
        <w:t xml:space="preserve">vybratá </w:t>
      </w:r>
      <w:r w:rsidRPr="00D97E23">
        <w:rPr>
          <w:szCs w:val="22"/>
        </w:rPr>
        <w:t>s</w:t>
      </w:r>
      <w:r w:rsidR="00506236" w:rsidRPr="00D97E23">
        <w:rPr>
          <w:szCs w:val="22"/>
        </w:rPr>
        <w:t> </w:t>
      </w:r>
      <w:r w:rsidRPr="00D97E23">
        <w:rPr>
          <w:szCs w:val="22"/>
        </w:rPr>
        <w:t>opatrnosťou</w:t>
      </w:r>
      <w:r w:rsidR="00506236" w:rsidRPr="00D97E23">
        <w:rPr>
          <w:szCs w:val="22"/>
        </w:rPr>
        <w:t>, zvyčajne</w:t>
      </w:r>
      <w:r w:rsidRPr="00D97E23">
        <w:rPr>
          <w:szCs w:val="22"/>
        </w:rPr>
        <w:t xml:space="preserve"> </w:t>
      </w:r>
      <w:r w:rsidR="00506236" w:rsidRPr="00D97E23">
        <w:rPr>
          <w:szCs w:val="22"/>
        </w:rPr>
        <w:t xml:space="preserve">začínajúca </w:t>
      </w:r>
      <w:r w:rsidRPr="00D97E23">
        <w:rPr>
          <w:szCs w:val="22"/>
        </w:rPr>
        <w:t>na spodnej hranici dávkovacieho rozmedzia, a to z dôvodu vyššieho výskytu zníženej funkcie pečene, obličiek alebo srdca a sprievodného ochorenia alebo in</w:t>
      </w:r>
      <w:r w:rsidR="00014DAF" w:rsidRPr="00D97E23">
        <w:rPr>
          <w:szCs w:val="22"/>
        </w:rPr>
        <w:t>ej</w:t>
      </w:r>
      <w:r w:rsidRPr="00D97E23">
        <w:rPr>
          <w:szCs w:val="22"/>
        </w:rPr>
        <w:t xml:space="preserve"> </w:t>
      </w:r>
      <w:r w:rsidR="00506236" w:rsidRPr="00D97E23">
        <w:rPr>
          <w:szCs w:val="22"/>
        </w:rPr>
        <w:t>farmakoterapie</w:t>
      </w:r>
      <w:r w:rsidRPr="00D97E23">
        <w:rPr>
          <w:szCs w:val="22"/>
        </w:rPr>
        <w:t>.</w:t>
      </w:r>
    </w:p>
    <w:p w14:paraId="49FE9F82" w14:textId="77777777" w:rsidR="00F9211C" w:rsidRPr="00D97E23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83A1332" w14:textId="2F12400E" w:rsidR="00F9211C" w:rsidRPr="00D97E23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 xml:space="preserve">U starších ľudí je zvýšené riziko vzniku závažných nežiaducich účinkov. Ak je podanie NSAID považované za nevyhnutné, mala by byť použitá minimálna účinná dávka </w:t>
      </w:r>
      <w:r w:rsidR="00506236" w:rsidRPr="00D97E23">
        <w:rPr>
          <w:szCs w:val="22"/>
        </w:rPr>
        <w:t>počas</w:t>
      </w:r>
      <w:r w:rsidRPr="00D97E23">
        <w:rPr>
          <w:szCs w:val="22"/>
        </w:rPr>
        <w:t xml:space="preserve"> čo najkratš</w:t>
      </w:r>
      <w:r w:rsidR="00506236" w:rsidRPr="00D97E23">
        <w:rPr>
          <w:szCs w:val="22"/>
        </w:rPr>
        <w:t>ej</w:t>
      </w:r>
      <w:r w:rsidRPr="00D97E23">
        <w:rPr>
          <w:szCs w:val="22"/>
        </w:rPr>
        <w:t xml:space="preserve"> možn</w:t>
      </w:r>
      <w:r w:rsidR="00506236" w:rsidRPr="00D97E23">
        <w:rPr>
          <w:szCs w:val="22"/>
        </w:rPr>
        <w:t>ej</w:t>
      </w:r>
      <w:r w:rsidRPr="00D97E23">
        <w:rPr>
          <w:szCs w:val="22"/>
        </w:rPr>
        <w:t xml:space="preserve"> dob</w:t>
      </w:r>
      <w:r w:rsidR="00506236" w:rsidRPr="00D97E23">
        <w:rPr>
          <w:szCs w:val="22"/>
        </w:rPr>
        <w:t>y</w:t>
      </w:r>
      <w:r w:rsidRPr="00D97E23">
        <w:rPr>
          <w:szCs w:val="22"/>
        </w:rPr>
        <w:t>. Liečba by mala byť v pravidelných intervaloch kontrolovaná a v prípade, že nie je pozorovaný žiadny prínos alebo sa objaví neznášanlivosť, liečba</w:t>
      </w:r>
      <w:r w:rsidR="00014DAF" w:rsidRPr="00D97E23">
        <w:rPr>
          <w:szCs w:val="22"/>
        </w:rPr>
        <w:t xml:space="preserve"> má byť</w:t>
      </w:r>
      <w:r w:rsidRPr="00D97E23">
        <w:rPr>
          <w:szCs w:val="22"/>
        </w:rPr>
        <w:t xml:space="preserve"> prerušená. Počas liečby NSAID treba u pacienta pravidelne sledovať možnosť vzniku gastrointestinálneho krvácania.</w:t>
      </w:r>
    </w:p>
    <w:p w14:paraId="76FF3E40" w14:textId="77777777" w:rsidR="00014DAF" w:rsidRPr="00D97E23" w:rsidRDefault="00014DAF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9041C54" w14:textId="6A3012B4" w:rsidR="00014DAF" w:rsidRPr="00D97E23" w:rsidRDefault="00506236" w:rsidP="00014DAF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D97E23">
        <w:rPr>
          <w:i/>
          <w:iCs/>
          <w:szCs w:val="22"/>
        </w:rPr>
        <w:t xml:space="preserve">Porucha funkcie </w:t>
      </w:r>
      <w:r w:rsidR="00014DAF" w:rsidRPr="00D97E23">
        <w:rPr>
          <w:i/>
          <w:iCs/>
          <w:szCs w:val="22"/>
        </w:rPr>
        <w:t>obličiek</w:t>
      </w:r>
    </w:p>
    <w:p w14:paraId="6DBF9EC0" w14:textId="30D2A4F9" w:rsidR="00014DAF" w:rsidRPr="00D97E23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 xml:space="preserve">U pacientov s </w:t>
      </w:r>
      <w:r w:rsidR="00506236" w:rsidRPr="00D97E23">
        <w:rPr>
          <w:szCs w:val="22"/>
        </w:rPr>
        <w:t xml:space="preserve">poruchou funkcie </w:t>
      </w:r>
      <w:r w:rsidRPr="00D97E23">
        <w:rPr>
          <w:szCs w:val="22"/>
        </w:rPr>
        <w:t>obličiek je nutné postupovať pri dávkovaní ibuprofénu opatrne. Tento liek je kontraindikovaný u pacientov so závažným zlyh</w:t>
      </w:r>
      <w:r w:rsidR="00506236" w:rsidRPr="00D97E23">
        <w:rPr>
          <w:szCs w:val="22"/>
        </w:rPr>
        <w:t>ávaním</w:t>
      </w:r>
      <w:r w:rsidRPr="00D97E23">
        <w:rPr>
          <w:szCs w:val="22"/>
        </w:rPr>
        <w:t xml:space="preserve"> obličiek (pozri časť 4.3).</w:t>
      </w:r>
    </w:p>
    <w:p w14:paraId="6B3A1C97" w14:textId="77777777" w:rsidR="00014DAF" w:rsidRPr="00D97E23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F67BBFA" w14:textId="43AAE02E" w:rsidR="00014DAF" w:rsidRPr="00D97E23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>Dávka by mala byť nastavená individuálne. U pacientov s miern</w:t>
      </w:r>
      <w:r w:rsidR="00506236" w:rsidRPr="00D97E23">
        <w:rPr>
          <w:szCs w:val="22"/>
        </w:rPr>
        <w:t>ou</w:t>
      </w:r>
      <w:r w:rsidRPr="00D97E23">
        <w:rPr>
          <w:szCs w:val="22"/>
        </w:rPr>
        <w:t xml:space="preserve"> až stredne ťažk</w:t>
      </w:r>
      <w:r w:rsidR="00506236" w:rsidRPr="00D97E23">
        <w:rPr>
          <w:szCs w:val="22"/>
        </w:rPr>
        <w:t>ou poruchou funkcie</w:t>
      </w:r>
      <w:r w:rsidRPr="00D97E23">
        <w:rPr>
          <w:szCs w:val="22"/>
        </w:rPr>
        <w:t xml:space="preserve"> obličiek sa má </w:t>
      </w:r>
      <w:r w:rsidR="00506236" w:rsidRPr="00D97E23">
        <w:rPr>
          <w:szCs w:val="22"/>
        </w:rPr>
        <w:t>za</w:t>
      </w:r>
      <w:r w:rsidRPr="00D97E23">
        <w:rPr>
          <w:szCs w:val="22"/>
        </w:rPr>
        <w:t>čiatočná dávka znížiť. Dávka by sa mala udržiavať na čo najnižšej úrovni a mala by byť používaná po</w:t>
      </w:r>
      <w:r w:rsidR="00506236" w:rsidRPr="00D97E23">
        <w:rPr>
          <w:szCs w:val="22"/>
        </w:rPr>
        <w:t>čas čo</w:t>
      </w:r>
      <w:r w:rsidRPr="00D97E23">
        <w:rPr>
          <w:szCs w:val="22"/>
        </w:rPr>
        <w:t xml:space="preserve"> najkratš</w:t>
      </w:r>
      <w:r w:rsidR="00506236" w:rsidRPr="00D97E23">
        <w:rPr>
          <w:szCs w:val="22"/>
        </w:rPr>
        <w:t>ej</w:t>
      </w:r>
      <w:r w:rsidRPr="00D97E23">
        <w:rPr>
          <w:szCs w:val="22"/>
        </w:rPr>
        <w:t xml:space="preserve"> dob</w:t>
      </w:r>
      <w:r w:rsidR="00506236" w:rsidRPr="00D97E23">
        <w:rPr>
          <w:szCs w:val="22"/>
        </w:rPr>
        <w:t>y</w:t>
      </w:r>
      <w:r w:rsidRPr="00D97E23">
        <w:rPr>
          <w:szCs w:val="22"/>
        </w:rPr>
        <w:t xml:space="preserve"> nevyhnutn</w:t>
      </w:r>
      <w:r w:rsidR="00506236" w:rsidRPr="00D97E23">
        <w:rPr>
          <w:szCs w:val="22"/>
        </w:rPr>
        <w:t>ej</w:t>
      </w:r>
      <w:r w:rsidRPr="00D97E23">
        <w:rPr>
          <w:szCs w:val="22"/>
        </w:rPr>
        <w:t xml:space="preserve"> na </w:t>
      </w:r>
      <w:r w:rsidR="00506236" w:rsidRPr="00D97E23">
        <w:rPr>
          <w:szCs w:val="22"/>
        </w:rPr>
        <w:t>kontrolu</w:t>
      </w:r>
      <w:r w:rsidRPr="00D97E23">
        <w:rPr>
          <w:szCs w:val="22"/>
        </w:rPr>
        <w:t xml:space="preserve"> príznakov. </w:t>
      </w:r>
      <w:r w:rsidR="00506236" w:rsidRPr="00D97E23">
        <w:rPr>
          <w:szCs w:val="22"/>
        </w:rPr>
        <w:t>Má sa</w:t>
      </w:r>
      <w:r w:rsidRPr="00D97E23">
        <w:rPr>
          <w:szCs w:val="22"/>
        </w:rPr>
        <w:t xml:space="preserve"> sledovať funkci</w:t>
      </w:r>
      <w:r w:rsidR="00506236" w:rsidRPr="00D97E23">
        <w:rPr>
          <w:szCs w:val="22"/>
        </w:rPr>
        <w:t>a</w:t>
      </w:r>
      <w:r w:rsidRPr="00D97E23">
        <w:rPr>
          <w:szCs w:val="22"/>
        </w:rPr>
        <w:t xml:space="preserve"> obličiek (pozri časti 4.3, 4.4 a 5.2).</w:t>
      </w:r>
    </w:p>
    <w:p w14:paraId="39A327AF" w14:textId="77777777" w:rsidR="00014DAF" w:rsidRPr="00D97E23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3363173" w14:textId="0D6719C2" w:rsidR="00014DAF" w:rsidRPr="00D97E23" w:rsidRDefault="00506236" w:rsidP="00014DAF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D97E23">
        <w:rPr>
          <w:i/>
          <w:iCs/>
          <w:szCs w:val="22"/>
        </w:rPr>
        <w:t xml:space="preserve">Porucha funkcie </w:t>
      </w:r>
      <w:r w:rsidR="00014DAF" w:rsidRPr="00D97E23">
        <w:rPr>
          <w:i/>
          <w:iCs/>
          <w:szCs w:val="22"/>
        </w:rPr>
        <w:t>pečene</w:t>
      </w:r>
    </w:p>
    <w:p w14:paraId="1113F08E" w14:textId="4753E12C" w:rsidR="00014DAF" w:rsidRPr="00D97E23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 xml:space="preserve">Použitie paracetamolu vo vyšších dávkach, ako je odporúčané, môže viesť k hepatotoxicite a dokonca k zlyhaniu pečene a smrti. U pacientov s ďalšími rizikovými faktormi </w:t>
      </w:r>
      <w:r w:rsidR="00506236" w:rsidRPr="00D97E23">
        <w:rPr>
          <w:szCs w:val="22"/>
        </w:rPr>
        <w:t xml:space="preserve">pre </w:t>
      </w:r>
      <w:r w:rsidRPr="00D97E23">
        <w:rPr>
          <w:szCs w:val="22"/>
        </w:rPr>
        <w:t>hepatotoxicit</w:t>
      </w:r>
      <w:r w:rsidR="00506236" w:rsidRPr="00D97E23">
        <w:rPr>
          <w:szCs w:val="22"/>
        </w:rPr>
        <w:t>u</w:t>
      </w:r>
      <w:r w:rsidRPr="00D97E23">
        <w:rPr>
          <w:szCs w:val="22"/>
        </w:rPr>
        <w:t>, ako je hepatocelulárna nedostatočnosť, chronický alkoholizmus, chronická podvýživa (nízke rezervy glutatiónu v pečeni) alebo dehydratácia, sa nemá prekročiť celková denná dávka 3 000 mg (3 g) paracetamolu.</w:t>
      </w:r>
    </w:p>
    <w:p w14:paraId="45004104" w14:textId="77777777" w:rsidR="00014DAF" w:rsidRPr="00D97E23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5CB1098" w14:textId="62CF9BA6" w:rsidR="00014DAF" w:rsidRPr="00D97E23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>Tento liek je kontraindikovaný u pacientov so závažným zlyh</w:t>
      </w:r>
      <w:r w:rsidR="00506236" w:rsidRPr="00D97E23">
        <w:rPr>
          <w:szCs w:val="22"/>
        </w:rPr>
        <w:t>ávaním</w:t>
      </w:r>
      <w:r w:rsidRPr="00D97E23">
        <w:rPr>
          <w:szCs w:val="22"/>
        </w:rPr>
        <w:t xml:space="preserve"> pečene (pozri časť 4.3). Pacienti so symptómami a/alebo pr</w:t>
      </w:r>
      <w:r w:rsidR="00506236" w:rsidRPr="00D97E23">
        <w:rPr>
          <w:szCs w:val="22"/>
        </w:rPr>
        <w:t>ejavmi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>dysfunkci</w:t>
      </w:r>
      <w:r w:rsidR="00506236" w:rsidRPr="00D97E23">
        <w:rPr>
          <w:szCs w:val="22"/>
        </w:rPr>
        <w:t>e</w:t>
      </w:r>
      <w:r w:rsidRPr="00D97E23">
        <w:rPr>
          <w:szCs w:val="22"/>
        </w:rPr>
        <w:t xml:space="preserve"> pečene alebo s hodnotami pečeňových testov</w:t>
      </w:r>
      <w:r w:rsidR="00506236" w:rsidRPr="00D97E23">
        <w:rPr>
          <w:szCs w:val="22"/>
        </w:rPr>
        <w:t xml:space="preserve"> mimo normy</w:t>
      </w:r>
      <w:r w:rsidRPr="00D97E23">
        <w:rPr>
          <w:szCs w:val="22"/>
        </w:rPr>
        <w:t xml:space="preserve"> by mali byť vyšetrení, či sa u nich počas liečby ibuprofénom nevyskytla závažn</w:t>
      </w:r>
      <w:r w:rsidR="00506236" w:rsidRPr="00D97E23">
        <w:rPr>
          <w:szCs w:val="22"/>
        </w:rPr>
        <w:t>á</w:t>
      </w:r>
      <w:r w:rsidRPr="00D97E23">
        <w:rPr>
          <w:szCs w:val="22"/>
        </w:rPr>
        <w:t xml:space="preserve"> pečeňová reakcia a liečba </w:t>
      </w:r>
      <w:r w:rsidR="00870DB2" w:rsidRPr="00D97E23">
        <w:t>Paracetamol</w:t>
      </w:r>
      <w:r w:rsidR="003B2F2A" w:rsidRPr="00D97E23">
        <w:t>om</w:t>
      </w:r>
      <w:r w:rsidR="00870DB2" w:rsidRPr="00D97E23">
        <w:t>/Ibuprofen</w:t>
      </w:r>
      <w:r w:rsidR="003B2F2A" w:rsidRPr="00D97E23">
        <w:t>om</w:t>
      </w:r>
      <w:r w:rsidR="00870DB2" w:rsidRPr="00D97E23">
        <w:t xml:space="preserve"> Vale </w:t>
      </w:r>
      <w:r w:rsidRPr="00D97E23">
        <w:rPr>
          <w:szCs w:val="22"/>
        </w:rPr>
        <w:t xml:space="preserve">by mala byť prerušená. Ak sa objavia klinické </w:t>
      </w:r>
      <w:r w:rsidR="003B2F2A" w:rsidRPr="00D97E23">
        <w:rPr>
          <w:szCs w:val="22"/>
        </w:rPr>
        <w:t>prejavy</w:t>
      </w:r>
      <w:r w:rsidRPr="00D97E23">
        <w:rPr>
          <w:szCs w:val="22"/>
        </w:rPr>
        <w:t xml:space="preserve"> a </w:t>
      </w:r>
      <w:r w:rsidR="003B2F2A" w:rsidRPr="00D97E23">
        <w:rPr>
          <w:szCs w:val="22"/>
        </w:rPr>
        <w:t>príznaky</w:t>
      </w:r>
      <w:r w:rsidRPr="00D97E23">
        <w:rPr>
          <w:szCs w:val="22"/>
        </w:rPr>
        <w:t xml:space="preserve"> zodpovedajúce ochoreniu pečene, alebo ak sa objavia systémové prejavy (napr. eozinofília, vyrážka atď.), je potrebné liečbu </w:t>
      </w:r>
      <w:r w:rsidR="003B2F2A" w:rsidRPr="00D97E23">
        <w:t>Paracetamolom/Ibuprofenom Vale</w:t>
      </w:r>
      <w:r w:rsidR="00790A74" w:rsidRPr="00D97E23">
        <w:t xml:space="preserve"> </w:t>
      </w:r>
      <w:r w:rsidRPr="00D97E23">
        <w:rPr>
          <w:szCs w:val="22"/>
        </w:rPr>
        <w:t>prerušiť.</w:t>
      </w:r>
    </w:p>
    <w:p w14:paraId="4A485E66" w14:textId="77777777" w:rsidR="00D6340D" w:rsidRPr="00D97E23" w:rsidRDefault="00D6340D" w:rsidP="00FD4DD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55A5E52" w14:textId="5C038758" w:rsidR="00FD4DD8" w:rsidRPr="00D97E23" w:rsidRDefault="00FD4DD8" w:rsidP="00FD4DD8">
      <w:pPr>
        <w:rPr>
          <w:szCs w:val="22"/>
          <w:u w:val="single"/>
        </w:rPr>
      </w:pPr>
      <w:r w:rsidRPr="00D97E23">
        <w:rPr>
          <w:szCs w:val="22"/>
          <w:u w:val="single"/>
        </w:rPr>
        <w:t>Spôsob</w:t>
      </w:r>
      <w:r w:rsidRPr="00D97E23">
        <w:rPr>
          <w:noProof/>
          <w:szCs w:val="22"/>
          <w:u w:val="single"/>
        </w:rPr>
        <w:t xml:space="preserve"> pod</w:t>
      </w:r>
      <w:r w:rsidR="003B2F2A" w:rsidRPr="00D97E23">
        <w:rPr>
          <w:noProof/>
          <w:szCs w:val="22"/>
          <w:u w:val="single"/>
        </w:rPr>
        <w:t>ania</w:t>
      </w:r>
    </w:p>
    <w:p w14:paraId="100E2668" w14:textId="64BADD32" w:rsidR="00014DAF" w:rsidRPr="00D97E23" w:rsidRDefault="00870DB2" w:rsidP="00C24894">
      <w:pPr>
        <w:ind w:left="0" w:firstLine="0"/>
      </w:pPr>
      <w:r w:rsidRPr="00D97E23">
        <w:t xml:space="preserve">Paracetamol/Ibuprofen Vale </w:t>
      </w:r>
      <w:r w:rsidR="0057301F" w:rsidRPr="00D97E23">
        <w:t>sa</w:t>
      </w:r>
      <w:r w:rsidR="00014DAF" w:rsidRPr="00D97E23">
        <w:t xml:space="preserve"> podáv</w:t>
      </w:r>
      <w:r w:rsidR="0057301F" w:rsidRPr="00D97E23">
        <w:t>a</w:t>
      </w:r>
      <w:r w:rsidR="00014DAF" w:rsidRPr="00D97E23">
        <w:t xml:space="preserve"> formou 15-minútovej intravenóznej infúzie.</w:t>
      </w:r>
    </w:p>
    <w:p w14:paraId="09E42A11" w14:textId="77777777" w:rsidR="00014DAF" w:rsidRPr="00D97E23" w:rsidRDefault="00014DAF" w:rsidP="00014DAF"/>
    <w:p w14:paraId="112E9031" w14:textId="1EB3A566" w:rsidR="00014DAF" w:rsidRPr="00D97E23" w:rsidRDefault="00014DAF" w:rsidP="005A7E71">
      <w:pPr>
        <w:ind w:left="0" w:firstLine="0"/>
      </w:pPr>
      <w:r w:rsidRPr="00D97E23">
        <w:t xml:space="preserve">Na </w:t>
      </w:r>
      <w:r w:rsidR="00EA79F1" w:rsidRPr="00D97E23">
        <w:t>odo</w:t>
      </w:r>
      <w:r w:rsidR="0057301F" w:rsidRPr="00D97E23">
        <w:t xml:space="preserve">bratie </w:t>
      </w:r>
      <w:r w:rsidRPr="00D97E23">
        <w:t xml:space="preserve">roztoku </w:t>
      </w:r>
      <w:r w:rsidR="00EA79F1" w:rsidRPr="00D97E23">
        <w:t xml:space="preserve">sa má </w:t>
      </w:r>
      <w:r w:rsidRPr="00D97E23">
        <w:t>použi</w:t>
      </w:r>
      <w:r w:rsidR="00EA79F1" w:rsidRPr="00D97E23">
        <w:t>ť</w:t>
      </w:r>
      <w:r w:rsidRPr="00D97E23">
        <w:t xml:space="preserve"> ihl</w:t>
      </w:r>
      <w:r w:rsidR="00EA79F1" w:rsidRPr="00D97E23">
        <w:t>a</w:t>
      </w:r>
      <w:r w:rsidRPr="00D97E23">
        <w:t xml:space="preserve"> 0,8 mm (ihla</w:t>
      </w:r>
      <w:r w:rsidR="0057301F" w:rsidRPr="00D97E23">
        <w:t xml:space="preserve"> kalibru</w:t>
      </w:r>
      <w:r w:rsidRPr="00D97E23">
        <w:t xml:space="preserve"> 21) a zvisle perfor</w:t>
      </w:r>
      <w:r w:rsidR="00EA79F1" w:rsidRPr="00D97E23">
        <w:t>ovať</w:t>
      </w:r>
      <w:r w:rsidRPr="00D97E23">
        <w:t xml:space="preserve"> zátku na mieste, kde je </w:t>
      </w:r>
      <w:r w:rsidR="0057301F" w:rsidRPr="00D97E23">
        <w:t>to označené</w:t>
      </w:r>
      <w:r w:rsidRPr="00D97E23">
        <w:t>.</w:t>
      </w:r>
    </w:p>
    <w:p w14:paraId="425E5C40" w14:textId="77777777" w:rsidR="00014DAF" w:rsidRPr="00D97E23" w:rsidRDefault="00014DAF" w:rsidP="00014DAF"/>
    <w:p w14:paraId="3905E2C9" w14:textId="463CE7BD" w:rsidR="00014DAF" w:rsidRPr="00D97E23" w:rsidRDefault="00014DAF" w:rsidP="005A7E71">
      <w:pPr>
        <w:ind w:left="0" w:firstLine="0"/>
      </w:pPr>
      <w:r w:rsidRPr="00D97E23">
        <w:t>U pacientov s hmotnosťou nižšou ako 50 kg, pr</w:t>
      </w:r>
      <w:r w:rsidR="00F44E22" w:rsidRPr="00D97E23">
        <w:t>e</w:t>
      </w:r>
      <w:r w:rsidRPr="00D97E23">
        <w:t xml:space="preserve"> ktorých nie je nutn</w:t>
      </w:r>
      <w:r w:rsidR="00F44E22" w:rsidRPr="00D97E23">
        <w:t>é použiť</w:t>
      </w:r>
      <w:r w:rsidR="00EA79F1" w:rsidRPr="00D97E23">
        <w:t xml:space="preserve"> celý obsah injekčnej liekovky</w:t>
      </w:r>
      <w:r w:rsidRPr="00D97E23">
        <w:t xml:space="preserve"> (100 ml), má byť podané správne množstvo</w:t>
      </w:r>
      <w:r w:rsidR="00EA79F1" w:rsidRPr="00D97E23">
        <w:t xml:space="preserve"> formou</w:t>
      </w:r>
      <w:r w:rsidRPr="00D97E23">
        <w:t xml:space="preserve"> infúzie a </w:t>
      </w:r>
      <w:r w:rsidR="00EA79F1" w:rsidRPr="00D97E23">
        <w:t xml:space="preserve">nepoužitý </w:t>
      </w:r>
      <w:r w:rsidRPr="00D97E23">
        <w:t>roztok sa m</w:t>
      </w:r>
      <w:r w:rsidR="00EA79F1" w:rsidRPr="00D97E23">
        <w:t>á</w:t>
      </w:r>
      <w:r w:rsidRPr="00D97E23">
        <w:t xml:space="preserve"> zlikvidovať.</w:t>
      </w:r>
    </w:p>
    <w:p w14:paraId="31DA0333" w14:textId="77777777" w:rsidR="00014DAF" w:rsidRPr="00D97E23" w:rsidRDefault="00014DAF" w:rsidP="00014DAF"/>
    <w:p w14:paraId="13B98EA0" w14:textId="587C875E" w:rsidR="00014DAF" w:rsidRPr="00D97E23" w:rsidRDefault="00014DAF" w:rsidP="005A7E71">
      <w:pPr>
        <w:ind w:left="0" w:firstLine="0"/>
      </w:pPr>
      <w:r w:rsidRPr="00D97E23">
        <w:t xml:space="preserve">Rovnako ako </w:t>
      </w:r>
      <w:r w:rsidR="00F44E22" w:rsidRPr="00D97E23">
        <w:t>pri</w:t>
      </w:r>
      <w:r w:rsidRPr="00D97E23">
        <w:t xml:space="preserve"> všetkých infúznych roztoko</w:t>
      </w:r>
      <w:r w:rsidR="00F44E22" w:rsidRPr="00D97E23">
        <w:t>ch</w:t>
      </w:r>
      <w:r w:rsidRPr="00D97E23">
        <w:t xml:space="preserve"> v</w:t>
      </w:r>
      <w:r w:rsidR="00F44E22" w:rsidRPr="00D97E23">
        <w:t> </w:t>
      </w:r>
      <w:r w:rsidRPr="00D97E23">
        <w:t>sklenených</w:t>
      </w:r>
      <w:r w:rsidR="00F44E22" w:rsidRPr="00D97E23">
        <w:t xml:space="preserve"> injekčných liekovkách</w:t>
      </w:r>
      <w:r w:rsidRPr="00D97E23">
        <w:t xml:space="preserve"> je pred ukončením infúzie vyžadované starostlivé sledovanie, bez ohľadu na spôsob podania. </w:t>
      </w:r>
      <w:r w:rsidR="00F44E22" w:rsidRPr="00D97E23">
        <w:t xml:space="preserve">Sledovanie </w:t>
      </w:r>
      <w:r w:rsidRPr="00D97E23">
        <w:t xml:space="preserve">na konci perfúzie </w:t>
      </w:r>
      <w:r w:rsidR="00F44E22" w:rsidRPr="00D97E23">
        <w:t>je potrebné</w:t>
      </w:r>
      <w:r w:rsidRPr="00D97E23">
        <w:t xml:space="preserve"> najmä pr</w:t>
      </w:r>
      <w:r w:rsidR="00F44E22" w:rsidRPr="00D97E23">
        <w:t>i</w:t>
      </w:r>
      <w:r w:rsidRPr="00D97E23">
        <w:t xml:space="preserve"> infúzi</w:t>
      </w:r>
      <w:r w:rsidR="00F44E22" w:rsidRPr="00D97E23">
        <w:t>i</w:t>
      </w:r>
      <w:r w:rsidRPr="00D97E23">
        <w:t xml:space="preserve"> centrálnou cestou, aby sa zabránilo vzduchovej embólii.</w:t>
      </w:r>
    </w:p>
    <w:p w14:paraId="50A15475" w14:textId="77777777" w:rsidR="00FD4DD8" w:rsidRPr="00D97E23" w:rsidRDefault="00FD4DD8" w:rsidP="00FD4DD8">
      <w:pPr>
        <w:rPr>
          <w:szCs w:val="22"/>
        </w:rPr>
      </w:pPr>
    </w:p>
    <w:p w14:paraId="5831FF85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4.3</w:t>
      </w:r>
      <w:r w:rsidRPr="00D97E23">
        <w:rPr>
          <w:b/>
          <w:szCs w:val="22"/>
        </w:rPr>
        <w:tab/>
        <w:t>Kontraindikácie</w:t>
      </w:r>
    </w:p>
    <w:p w14:paraId="11246431" w14:textId="77777777" w:rsidR="00014DAF" w:rsidRPr="00D97E23" w:rsidRDefault="00014DAF" w:rsidP="00FD4DD8">
      <w:pPr>
        <w:rPr>
          <w:b/>
          <w:szCs w:val="22"/>
        </w:rPr>
      </w:pPr>
    </w:p>
    <w:p w14:paraId="3C245B3B" w14:textId="77777777" w:rsidR="00014DAF" w:rsidRPr="00D97E23" w:rsidRDefault="00014DAF" w:rsidP="00FD4DD8">
      <w:r w:rsidRPr="00D97E23">
        <w:t>Tento liek je kontraindikovaný:</w:t>
      </w:r>
    </w:p>
    <w:p w14:paraId="59CCBF72" w14:textId="77777777" w:rsidR="00014DAF" w:rsidRPr="00D97E23" w:rsidRDefault="00014DAF" w:rsidP="00FD4DD8">
      <w:pPr>
        <w:rPr>
          <w:szCs w:val="22"/>
        </w:rPr>
      </w:pPr>
    </w:p>
    <w:p w14:paraId="1ED97087" w14:textId="3C6210B8" w:rsidR="00FD4DD8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szCs w:val="22"/>
        </w:rPr>
        <w:t>u pacientov s precitlivenosťou</w:t>
      </w:r>
      <w:r w:rsidR="00FD4DD8" w:rsidRPr="00D97E23">
        <w:rPr>
          <w:szCs w:val="22"/>
        </w:rPr>
        <w:t xml:space="preserve"> na</w:t>
      </w:r>
      <w:r w:rsidR="002A4B03" w:rsidRPr="00D97E23">
        <w:rPr>
          <w:szCs w:val="22"/>
        </w:rPr>
        <w:t xml:space="preserve"> paracetamol, ibuprofén, iné NSAID</w:t>
      </w:r>
      <w:r w:rsidR="00FD4DD8" w:rsidRPr="00D97E23">
        <w:rPr>
          <w:szCs w:val="22"/>
        </w:rPr>
        <w:t xml:space="preserve"> alebo na </w:t>
      </w:r>
      <w:r w:rsidR="00FD4DD8" w:rsidRPr="00D97E23">
        <w:rPr>
          <w:noProof/>
          <w:szCs w:val="22"/>
        </w:rPr>
        <w:t>ktorúkoľvek</w:t>
      </w:r>
      <w:r w:rsidR="00FD4DD8" w:rsidRPr="00D97E23">
        <w:rPr>
          <w:szCs w:val="22"/>
        </w:rPr>
        <w:t xml:space="preserve"> z pomocných látok </w:t>
      </w:r>
      <w:r w:rsidR="00FD4DD8" w:rsidRPr="00D97E23">
        <w:rPr>
          <w:noProof/>
        </w:rPr>
        <w:t>uvedených v časti 6.1</w:t>
      </w:r>
      <w:r w:rsidRPr="00D97E23">
        <w:rPr>
          <w:noProof/>
        </w:rPr>
        <w:t>;</w:t>
      </w:r>
    </w:p>
    <w:p w14:paraId="16BEA50A" w14:textId="19282815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lastRenderedPageBreak/>
        <w:t xml:space="preserve">u pacientov so závažným </w:t>
      </w:r>
      <w:r w:rsidR="00081993" w:rsidRPr="00D97E23">
        <w:rPr>
          <w:noProof/>
          <w:szCs w:val="22"/>
        </w:rPr>
        <w:t>zlyhávaním srdca</w:t>
      </w:r>
      <w:r w:rsidRPr="00D97E23">
        <w:rPr>
          <w:noProof/>
          <w:szCs w:val="22"/>
        </w:rPr>
        <w:t xml:space="preserve"> (NYHA trieda IV);</w:t>
      </w:r>
    </w:p>
    <w:p w14:paraId="2ACE3ABD" w14:textId="34965AD0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 xml:space="preserve">u pacientov s chronickým alkoholizmom, pretože nadmerné požitie alkoholu môže viesť k zvýšeniu rizika hepatotoxicity (v dôsledku </w:t>
      </w:r>
      <w:r w:rsidR="00081993" w:rsidRPr="00D97E23">
        <w:rPr>
          <w:noProof/>
          <w:szCs w:val="22"/>
        </w:rPr>
        <w:t xml:space="preserve">obsahu </w:t>
      </w:r>
      <w:r w:rsidRPr="00D97E23">
        <w:rPr>
          <w:noProof/>
          <w:szCs w:val="22"/>
        </w:rPr>
        <w:t>paracetamolu);</w:t>
      </w:r>
    </w:p>
    <w:p w14:paraId="44B030CA" w14:textId="70A1FB41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s astmou, žihľavkou alebo alergickými reakciami po užití kyseliny acetylsalicylovej alebo iných NSAID;</w:t>
      </w:r>
    </w:p>
    <w:p w14:paraId="364C7DD7" w14:textId="1130E819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s anamnézou gastrointestinálneho krvácania alebo perforáci</w:t>
      </w:r>
      <w:r w:rsidR="002470B6" w:rsidRPr="00D97E23">
        <w:rPr>
          <w:noProof/>
          <w:szCs w:val="22"/>
        </w:rPr>
        <w:t>e</w:t>
      </w:r>
      <w:r w:rsidRPr="00D97E23">
        <w:rPr>
          <w:noProof/>
          <w:szCs w:val="22"/>
        </w:rPr>
        <w:t xml:space="preserve"> súvisiace s predchádzajúcou </w:t>
      </w:r>
      <w:r w:rsidR="00081993" w:rsidRPr="00D97E23">
        <w:rPr>
          <w:noProof/>
          <w:szCs w:val="22"/>
        </w:rPr>
        <w:t>liečbou</w:t>
      </w:r>
      <w:r w:rsidRPr="00D97E23">
        <w:rPr>
          <w:noProof/>
          <w:szCs w:val="22"/>
        </w:rPr>
        <w:t xml:space="preserve"> NSAID;</w:t>
      </w:r>
    </w:p>
    <w:p w14:paraId="2F846D62" w14:textId="15AFBADD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s aktívnym alebo rekurentným peptickým vredom/krvácaním (dve alebo viac samostatných epizód preukázanej ulcerácie alebo krvácania);</w:t>
      </w:r>
    </w:p>
    <w:p w14:paraId="06651EFF" w14:textId="6B743763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so závažným zly</w:t>
      </w:r>
      <w:r w:rsidR="00081993" w:rsidRPr="00D97E23">
        <w:rPr>
          <w:noProof/>
          <w:szCs w:val="22"/>
        </w:rPr>
        <w:t>hávaním</w:t>
      </w:r>
      <w:r w:rsidRPr="00D97E23">
        <w:rPr>
          <w:noProof/>
          <w:szCs w:val="22"/>
        </w:rPr>
        <w:t xml:space="preserve"> pečene alebo </w:t>
      </w:r>
      <w:r w:rsidR="00081993" w:rsidRPr="00D97E23">
        <w:rPr>
          <w:noProof/>
          <w:szCs w:val="22"/>
        </w:rPr>
        <w:t>závažným</w:t>
      </w:r>
      <w:r w:rsidRPr="00D97E23">
        <w:rPr>
          <w:noProof/>
          <w:szCs w:val="22"/>
        </w:rPr>
        <w:t xml:space="preserve"> zlyh</w:t>
      </w:r>
      <w:r w:rsidR="00081993" w:rsidRPr="00D97E23">
        <w:rPr>
          <w:noProof/>
          <w:szCs w:val="22"/>
        </w:rPr>
        <w:t>ávaním</w:t>
      </w:r>
      <w:r w:rsidRPr="00D97E23">
        <w:rPr>
          <w:noProof/>
          <w:szCs w:val="22"/>
        </w:rPr>
        <w:t xml:space="preserve"> obličiek (pozri časť 4.4);</w:t>
      </w:r>
    </w:p>
    <w:p w14:paraId="7062E0AB" w14:textId="77777777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s cerebrovaskulárnym alebo iným aktívnym krvácaním;</w:t>
      </w:r>
    </w:p>
    <w:p w14:paraId="1C51FDA1" w14:textId="77777777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s poruchami zrážania krvi a stav</w:t>
      </w:r>
      <w:r w:rsidR="005A7E71" w:rsidRPr="00D97E23">
        <w:rPr>
          <w:noProof/>
          <w:szCs w:val="22"/>
        </w:rPr>
        <w:t>mi</w:t>
      </w:r>
      <w:r w:rsidRPr="00D97E23">
        <w:rPr>
          <w:noProof/>
          <w:szCs w:val="22"/>
        </w:rPr>
        <w:t xml:space="preserve"> so zvýšenou tendenciou ku krvácaniu;</w:t>
      </w:r>
    </w:p>
    <w:p w14:paraId="107BC68F" w14:textId="77777777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s ťažkou dehydratáciou (spôsobenou vracaním, hnačkou alebo nedostatočným príjmom tekutín);</w:t>
      </w:r>
    </w:p>
    <w:p w14:paraId="777D10D8" w14:textId="77777777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počas tretieho trimestra tehotenstva (pozri časť 4.6);</w:t>
      </w:r>
    </w:p>
    <w:p w14:paraId="13FC37D1" w14:textId="77777777" w:rsidR="00014DAF" w:rsidRPr="00D97E23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97E23">
        <w:rPr>
          <w:noProof/>
          <w:szCs w:val="22"/>
        </w:rPr>
        <w:t>u pacientov do 18 rokov.</w:t>
      </w:r>
    </w:p>
    <w:p w14:paraId="4DF5FE74" w14:textId="77777777" w:rsidR="00FD4DD8" w:rsidRPr="00D97E23" w:rsidRDefault="00FD4DD8" w:rsidP="00FD4DD8">
      <w:pPr>
        <w:rPr>
          <w:szCs w:val="22"/>
        </w:rPr>
      </w:pPr>
    </w:p>
    <w:p w14:paraId="712F8473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4.4</w:t>
      </w:r>
      <w:r w:rsidRPr="00D97E23">
        <w:rPr>
          <w:b/>
          <w:szCs w:val="22"/>
        </w:rPr>
        <w:tab/>
        <w:t>Osobitné upozornenia a opatrenia pri používaní</w:t>
      </w:r>
    </w:p>
    <w:p w14:paraId="46F92796" w14:textId="77777777" w:rsidR="002470B6" w:rsidRPr="00D97E23" w:rsidRDefault="002470B6" w:rsidP="00FD4DD8">
      <w:pPr>
        <w:rPr>
          <w:b/>
          <w:szCs w:val="22"/>
        </w:rPr>
      </w:pPr>
    </w:p>
    <w:p w14:paraId="5F70906A" w14:textId="0463F282" w:rsidR="002470B6" w:rsidRPr="00D97E23" w:rsidRDefault="002470B6" w:rsidP="002470B6">
      <w:pPr>
        <w:ind w:left="0" w:firstLine="0"/>
      </w:pPr>
      <w:r w:rsidRPr="00D97E23">
        <w:t xml:space="preserve">Nežiaduce účinky môžu byť </w:t>
      </w:r>
      <w:r w:rsidR="00F34F21" w:rsidRPr="00D97E23">
        <w:t>minimalizované</w:t>
      </w:r>
      <w:r w:rsidR="00002E50" w:rsidRPr="00D97E23">
        <w:t xml:space="preserve"> </w:t>
      </w:r>
      <w:r w:rsidRPr="00D97E23">
        <w:t>použití</w:t>
      </w:r>
      <w:r w:rsidR="00F34F21" w:rsidRPr="00D97E23">
        <w:t>m</w:t>
      </w:r>
      <w:r w:rsidRPr="00D97E23">
        <w:t xml:space="preserve"> najnižšej účinnej dávky počas čo najkratšej doby nevyhnutnej pre kontrolu symptómov. Liek je určený na krátkodobé použitie a neodporúča sa používať dlhšie ako </w:t>
      </w:r>
      <w:r w:rsidR="00F34F21" w:rsidRPr="00D97E23">
        <w:t>2</w:t>
      </w:r>
      <w:r w:rsidRPr="00D97E23">
        <w:t xml:space="preserve"> dni.</w:t>
      </w:r>
    </w:p>
    <w:p w14:paraId="7C611410" w14:textId="77777777" w:rsidR="002470B6" w:rsidRPr="00D97E23" w:rsidRDefault="002470B6" w:rsidP="002470B6"/>
    <w:p w14:paraId="334B96AF" w14:textId="30606C4F" w:rsidR="002470B6" w:rsidRPr="00D97E23" w:rsidRDefault="002470B6" w:rsidP="002470B6">
      <w:pPr>
        <w:ind w:left="0" w:firstLine="0"/>
      </w:pPr>
      <w:r w:rsidRPr="00D97E23">
        <w:t xml:space="preserve">Je potrebné sa vyvarovať </w:t>
      </w:r>
      <w:r w:rsidR="00F34F21" w:rsidRPr="00D97E23">
        <w:t xml:space="preserve">súbežnému </w:t>
      </w:r>
      <w:r w:rsidRPr="00D97E23">
        <w:t xml:space="preserve">použitiu </w:t>
      </w:r>
      <w:r w:rsidR="00870DB2" w:rsidRPr="00D97E23">
        <w:t>Paracetamol</w:t>
      </w:r>
      <w:r w:rsidR="00F34F21" w:rsidRPr="00D97E23">
        <w:t>u</w:t>
      </w:r>
      <w:r w:rsidR="00870DB2" w:rsidRPr="00D97E23">
        <w:t>/Ibuprofen</w:t>
      </w:r>
      <w:r w:rsidR="00F34F21" w:rsidRPr="00D97E23">
        <w:t>u</w:t>
      </w:r>
      <w:r w:rsidR="00870DB2" w:rsidRPr="00D97E23">
        <w:t xml:space="preserve"> Vale </w:t>
      </w:r>
      <w:r w:rsidR="00F34F21" w:rsidRPr="00D97E23">
        <w:t>s</w:t>
      </w:r>
      <w:r w:rsidRPr="00D97E23">
        <w:t xml:space="preserve"> NSAID, vrátane selektívnych inhibítorov cyklooxygenázy-2.</w:t>
      </w:r>
    </w:p>
    <w:p w14:paraId="75E08E90" w14:textId="77777777" w:rsidR="002470B6" w:rsidRPr="00D97E23" w:rsidRDefault="002470B6" w:rsidP="002470B6"/>
    <w:p w14:paraId="42CA2618" w14:textId="77777777" w:rsidR="002470B6" w:rsidRPr="00D97E23" w:rsidRDefault="002470B6" w:rsidP="002470B6">
      <w:r w:rsidRPr="00D97E23">
        <w:t>S cieľom predísť riziku predávkovania,</w:t>
      </w:r>
    </w:p>
    <w:p w14:paraId="60244341" w14:textId="77777777" w:rsidR="002470B6" w:rsidRPr="00D97E23" w:rsidRDefault="002470B6" w:rsidP="002470B6">
      <w:pPr>
        <w:pStyle w:val="Odsekzoznamu"/>
        <w:numPr>
          <w:ilvl w:val="0"/>
          <w:numId w:val="2"/>
        </w:numPr>
      </w:pPr>
      <w:r w:rsidRPr="00D97E23">
        <w:t>je nutné skontrolovať, či iné užívané lieky neobsahujú paracetamol,</w:t>
      </w:r>
    </w:p>
    <w:p w14:paraId="6A34FAF7" w14:textId="77777777" w:rsidR="002470B6" w:rsidRPr="00D97E23" w:rsidRDefault="005A7E71" w:rsidP="002470B6">
      <w:pPr>
        <w:pStyle w:val="Odsekzoznamu"/>
        <w:numPr>
          <w:ilvl w:val="0"/>
          <w:numId w:val="2"/>
        </w:numPr>
      </w:pPr>
      <w:r w:rsidRPr="00D97E23">
        <w:t xml:space="preserve">je nutné </w:t>
      </w:r>
      <w:r w:rsidR="002470B6" w:rsidRPr="00D97E23">
        <w:t>dodrž</w:t>
      </w:r>
      <w:r w:rsidRPr="00D97E23">
        <w:t>iavať</w:t>
      </w:r>
      <w:r w:rsidR="002470B6" w:rsidRPr="00D97E23">
        <w:t xml:space="preserve"> maximálnu odporúčan</w:t>
      </w:r>
      <w:r w:rsidRPr="00D97E23">
        <w:t>ú</w:t>
      </w:r>
      <w:r w:rsidR="002470B6" w:rsidRPr="00D97E23">
        <w:t xml:space="preserve"> dávk</w:t>
      </w:r>
      <w:r w:rsidRPr="00D97E23">
        <w:t>u</w:t>
      </w:r>
      <w:r w:rsidR="002470B6" w:rsidRPr="00D97E23">
        <w:t xml:space="preserve"> (pozri časť 4.2).</w:t>
      </w:r>
    </w:p>
    <w:p w14:paraId="69EA7DB1" w14:textId="77777777" w:rsidR="002470B6" w:rsidRPr="00D97E23" w:rsidRDefault="002470B6" w:rsidP="006D66C4">
      <w:pPr>
        <w:ind w:left="0" w:firstLine="0"/>
      </w:pPr>
    </w:p>
    <w:p w14:paraId="63E4D5BA" w14:textId="77777777" w:rsidR="002470B6" w:rsidRPr="00D97E23" w:rsidRDefault="002470B6" w:rsidP="002470B6">
      <w:pPr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Kardiovaskulárne trombotické príhody</w:t>
      </w:r>
    </w:p>
    <w:p w14:paraId="5CE82606" w14:textId="632D80B4" w:rsidR="002470B6" w:rsidRPr="00D97E23" w:rsidRDefault="002470B6" w:rsidP="002470B6">
      <w:pPr>
        <w:ind w:left="0" w:firstLine="0"/>
      </w:pPr>
      <w:r w:rsidRPr="00D97E23">
        <w:t>Klinické štúdie naznačujú, že použitie ibuprofénu, najmä pri vysokej dávke (2400 mg/deň), môže byť spojené s možným zvýšeným rizikom art</w:t>
      </w:r>
      <w:r w:rsidR="00F34F21" w:rsidRPr="00D97E23">
        <w:t>ériových</w:t>
      </w:r>
      <w:r w:rsidRPr="00D97E23">
        <w:t xml:space="preserve"> trombotických príhod (napríklad infarktu myokardu alebo cievnej mozgovej príhody). </w:t>
      </w:r>
      <w:r w:rsidR="00F34F21" w:rsidRPr="00D97E23">
        <w:t>Vo v</w:t>
      </w:r>
      <w:r w:rsidRPr="00D97E23">
        <w:t>šeobecn</w:t>
      </w:r>
      <w:r w:rsidR="00F34F21" w:rsidRPr="00D97E23">
        <w:t>osti</w:t>
      </w:r>
      <w:r w:rsidRPr="00D97E23">
        <w:t xml:space="preserve"> epidemiologické štúdie nepreukazujú, že by nízka dávka ibuprofénu (napr. 1200 mg/deň) bola spojená so zvýšeným rizikom art</w:t>
      </w:r>
      <w:r w:rsidR="00F34F21" w:rsidRPr="00D97E23">
        <w:t>ériových</w:t>
      </w:r>
      <w:r w:rsidRPr="00D97E23">
        <w:t xml:space="preserve"> trombotických príhod.</w:t>
      </w:r>
    </w:p>
    <w:p w14:paraId="51078BC5" w14:textId="77777777" w:rsidR="002470B6" w:rsidRPr="00D97E23" w:rsidRDefault="002470B6" w:rsidP="002470B6"/>
    <w:p w14:paraId="2989EB5F" w14:textId="0736FE69" w:rsidR="002470B6" w:rsidRPr="00D97E23" w:rsidRDefault="002470B6" w:rsidP="002470B6">
      <w:pPr>
        <w:ind w:left="0" w:firstLine="0"/>
      </w:pPr>
      <w:r w:rsidRPr="00D97E23">
        <w:t xml:space="preserve">Pacienti s </w:t>
      </w:r>
      <w:r w:rsidR="00F34F21" w:rsidRPr="00D97E23">
        <w:t xml:space="preserve">neliečenou </w:t>
      </w:r>
      <w:r w:rsidRPr="00D97E23">
        <w:t xml:space="preserve">hypertenziou, </w:t>
      </w:r>
      <w:r w:rsidR="00F34F21" w:rsidRPr="00D97E23">
        <w:t>zlyhávaním srdca</w:t>
      </w:r>
      <w:r w:rsidRPr="00D97E23">
        <w:t xml:space="preserve"> (NYHA II-III), </w:t>
      </w:r>
      <w:r w:rsidR="00F34F21" w:rsidRPr="00D97E23">
        <w:t xml:space="preserve">diagnostikovanou </w:t>
      </w:r>
      <w:r w:rsidRPr="00D97E23">
        <w:t>ischemickou chorobou srdca, periférnym ochorením</w:t>
      </w:r>
      <w:r w:rsidR="00F34F21" w:rsidRPr="00D97E23">
        <w:t xml:space="preserve"> artérií</w:t>
      </w:r>
      <w:r w:rsidRPr="00D97E23">
        <w:t xml:space="preserve"> a/alebo cerebrovaskulárnym ochorením majú byť liečení iba po starostlivom zvážení a mali by sa </w:t>
      </w:r>
      <w:r w:rsidR="00F34F21" w:rsidRPr="00D97E23">
        <w:t xml:space="preserve">vyhnúť </w:t>
      </w:r>
      <w:r w:rsidRPr="00D97E23">
        <w:t>vysoký</w:t>
      </w:r>
      <w:r w:rsidR="005A7E71" w:rsidRPr="00D97E23">
        <w:t xml:space="preserve">m dávkam </w:t>
      </w:r>
      <w:r w:rsidR="00002E50" w:rsidRPr="00D97E23">
        <w:t>ibuprofénu (2400 mg/deň)</w:t>
      </w:r>
      <w:r w:rsidRPr="00D97E23">
        <w:t>.</w:t>
      </w:r>
    </w:p>
    <w:p w14:paraId="2B175715" w14:textId="77777777" w:rsidR="002470B6" w:rsidRPr="00D97E23" w:rsidRDefault="002470B6" w:rsidP="002470B6"/>
    <w:p w14:paraId="3974839E" w14:textId="0D5574FB" w:rsidR="002470B6" w:rsidRPr="00D97E23" w:rsidRDefault="002470B6" w:rsidP="002470B6">
      <w:pPr>
        <w:ind w:left="0" w:firstLine="0"/>
      </w:pPr>
      <w:r w:rsidRPr="00D97E23">
        <w:t>Dlhodobá liečba a najmä podávanie vysokých dávok ibuprofénu (2400 mg/deň) sa má starostlivo zvážiť u pacientov s rizikovými faktormi kardiovaskulárnych príhod (napr. hypertenzia, hyperlipidémia, diabetes mellitus a fajčenie).</w:t>
      </w:r>
    </w:p>
    <w:p w14:paraId="45EA06B6" w14:textId="77777777" w:rsidR="002470B6" w:rsidRPr="00D97E23" w:rsidRDefault="002470B6" w:rsidP="002470B6">
      <w:pPr>
        <w:ind w:left="0" w:firstLine="0"/>
      </w:pPr>
    </w:p>
    <w:p w14:paraId="580C1B1F" w14:textId="22756AC5" w:rsidR="002470B6" w:rsidRPr="00D97E23" w:rsidRDefault="009F0F50" w:rsidP="002470B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 xml:space="preserve">Porucha funkcie </w:t>
      </w:r>
      <w:r w:rsidR="002470B6" w:rsidRPr="00D97E23">
        <w:rPr>
          <w:b/>
          <w:i/>
          <w:spacing w:val="-1"/>
          <w:szCs w:val="22"/>
          <w:lang w:eastAsia="en-US"/>
        </w:rPr>
        <w:t>pečene</w:t>
      </w:r>
    </w:p>
    <w:p w14:paraId="63795FA2" w14:textId="258E3023" w:rsidR="002470B6" w:rsidRPr="00D97E23" w:rsidRDefault="00EF39EE" w:rsidP="002470B6">
      <w:pPr>
        <w:ind w:left="0" w:firstLine="0"/>
      </w:pPr>
      <w:r w:rsidRPr="00D97E23">
        <w:t xml:space="preserve">Použitie paracetamolu vo vyšších ako odporúčaných dávkach môže viesť k hepatotoxicite a dokonca k zlyhaniu pečene a smrti. </w:t>
      </w:r>
      <w:r w:rsidR="002470B6" w:rsidRPr="00D97E23">
        <w:t>U pacientov so zhoršenou funkciou pečene alebo s anamnézou ochorenia pečene, ktorí sú dlhodobo liečení ibuprofénom alebo paracetamolom, by mala byť v pravidelných intervaloch monitorovaná funkci</w:t>
      </w:r>
      <w:r w:rsidRPr="00D97E23">
        <w:t>a</w:t>
      </w:r>
      <w:r w:rsidR="002470B6" w:rsidRPr="00D97E23">
        <w:t xml:space="preserve"> pečene, pretože bolo hlásené, že ibuprofén má malý až prechodný účinok na </w:t>
      </w:r>
      <w:r w:rsidR="009F0F50" w:rsidRPr="00D97E23">
        <w:t xml:space="preserve">pečeňové </w:t>
      </w:r>
      <w:r w:rsidR="002470B6" w:rsidRPr="00D97E23">
        <w:t>enzýmy. U pacientov s príznakmi zhoršenia funkcie pečene sa odporúča zníženie dávky. U pacientov s</w:t>
      </w:r>
      <w:r w:rsidR="009F0F50" w:rsidRPr="00D97E23">
        <w:t>o</w:t>
      </w:r>
      <w:r w:rsidR="002470B6" w:rsidRPr="00D97E23">
        <w:t xml:space="preserve"> </w:t>
      </w:r>
      <w:r w:rsidR="009F0F50" w:rsidRPr="00D97E23">
        <w:t>závažným</w:t>
      </w:r>
      <w:r w:rsidR="002470B6" w:rsidRPr="00D97E23">
        <w:t xml:space="preserve"> zlyh</w:t>
      </w:r>
      <w:r w:rsidR="009F0F50" w:rsidRPr="00D97E23">
        <w:t>ávaním</w:t>
      </w:r>
      <w:r w:rsidR="002470B6" w:rsidRPr="00D97E23">
        <w:t xml:space="preserve"> pečene má byť liečba ukončená (pozri časť 4.3).</w:t>
      </w:r>
    </w:p>
    <w:p w14:paraId="4256AEDB" w14:textId="77777777" w:rsidR="002470B6" w:rsidRPr="00D97E23" w:rsidRDefault="002470B6" w:rsidP="002470B6">
      <w:pPr>
        <w:ind w:left="0" w:firstLine="0"/>
      </w:pPr>
    </w:p>
    <w:p w14:paraId="127EDBB5" w14:textId="359DDBD8" w:rsidR="002470B6" w:rsidRPr="00D97E23" w:rsidRDefault="002470B6" w:rsidP="002470B6">
      <w:pPr>
        <w:ind w:left="0" w:firstLine="0"/>
      </w:pPr>
      <w:r w:rsidRPr="00D97E23">
        <w:t xml:space="preserve">Zriedkavo boli </w:t>
      </w:r>
      <w:r w:rsidR="009F0F50" w:rsidRPr="00D97E23">
        <w:t>pri</w:t>
      </w:r>
      <w:r w:rsidRPr="00D97E23">
        <w:t xml:space="preserve"> ibuprofén</w:t>
      </w:r>
      <w:r w:rsidR="009F0F50" w:rsidRPr="00D97E23">
        <w:t>e</w:t>
      </w:r>
      <w:r w:rsidRPr="00D97E23">
        <w:t xml:space="preserve"> hlásené </w:t>
      </w:r>
      <w:r w:rsidR="009F0F50" w:rsidRPr="00D97E23">
        <w:t xml:space="preserve">závažné </w:t>
      </w:r>
      <w:r w:rsidRPr="00D97E23">
        <w:t xml:space="preserve">reakcie pečene, vrátane žltačky a prípadov fatálnej hepatitídy rovnako ako </w:t>
      </w:r>
      <w:r w:rsidR="009F0F50" w:rsidRPr="00D97E23">
        <w:t>pri</w:t>
      </w:r>
      <w:r w:rsidRPr="00D97E23">
        <w:t xml:space="preserve"> iných NSAID. Ak sú výsledky pečeňových testov</w:t>
      </w:r>
      <w:r w:rsidR="00790A74" w:rsidRPr="00D97E23">
        <w:t xml:space="preserve"> </w:t>
      </w:r>
      <w:r w:rsidR="009F0F50" w:rsidRPr="00D97E23">
        <w:t>mimo normy</w:t>
      </w:r>
      <w:r w:rsidRPr="00D97E23">
        <w:t xml:space="preserve">, zhoršujú sa, alebo sa objavujú klinické </w:t>
      </w:r>
      <w:r w:rsidR="009F0F50" w:rsidRPr="00D97E23">
        <w:t>prejavy a príznaky</w:t>
      </w:r>
      <w:r w:rsidRPr="00D97E23">
        <w:t xml:space="preserve"> spojené s ochorením pečene, či ďalšie systémové </w:t>
      </w:r>
      <w:r w:rsidRPr="00D97E23">
        <w:lastRenderedPageBreak/>
        <w:t xml:space="preserve">prejavy (napr. eozinofília, vyrážka atď.), je potrebné ibuprofén vysadiť. Bolo hlásené, že obe </w:t>
      </w:r>
      <w:r w:rsidR="009F0F50" w:rsidRPr="00D97E23">
        <w:t>liečivá</w:t>
      </w:r>
      <w:r w:rsidRPr="00D97E23">
        <w:t xml:space="preserve"> spôsobujú hepatotoxicitu a dokonca aj zlyhanie pečene, najmä paracetamol.</w:t>
      </w:r>
    </w:p>
    <w:p w14:paraId="27BF618F" w14:textId="77777777" w:rsidR="00550E1D" w:rsidRPr="00D97E23" w:rsidRDefault="00550E1D" w:rsidP="002470B6">
      <w:pPr>
        <w:ind w:left="0" w:firstLine="0"/>
      </w:pPr>
    </w:p>
    <w:p w14:paraId="740E6444" w14:textId="18FC8F9C" w:rsidR="00550E1D" w:rsidRPr="00D97E23" w:rsidRDefault="006A10F6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 xml:space="preserve">Porucha funkcie </w:t>
      </w:r>
      <w:r w:rsidR="00550E1D" w:rsidRPr="00D97E23">
        <w:rPr>
          <w:b/>
          <w:i/>
          <w:spacing w:val="-1"/>
          <w:szCs w:val="22"/>
          <w:lang w:eastAsia="en-US"/>
        </w:rPr>
        <w:t>obličiek</w:t>
      </w:r>
    </w:p>
    <w:p w14:paraId="6729832E" w14:textId="13FA5DC7" w:rsidR="00550E1D" w:rsidRPr="00D97E23" w:rsidRDefault="00550E1D" w:rsidP="00550E1D">
      <w:pPr>
        <w:ind w:left="0" w:firstLine="0"/>
      </w:pPr>
      <w:r w:rsidRPr="00D97E23">
        <w:t xml:space="preserve">Paracetamol možno použiť u pacientov s chronickým ochorením obličiek bez úpravy dávky. U pacientov so stredne </w:t>
      </w:r>
      <w:r w:rsidR="006A10F6" w:rsidRPr="00D97E23">
        <w:t xml:space="preserve">závažným </w:t>
      </w:r>
      <w:r w:rsidRPr="00D97E23">
        <w:t xml:space="preserve">až </w:t>
      </w:r>
      <w:r w:rsidR="006A10F6" w:rsidRPr="00D97E23">
        <w:t>závažným</w:t>
      </w:r>
      <w:r w:rsidRPr="00D97E23">
        <w:t xml:space="preserve"> zlyh</w:t>
      </w:r>
      <w:r w:rsidR="006A10F6" w:rsidRPr="00D97E23">
        <w:t>ávaním</w:t>
      </w:r>
      <w:r w:rsidRPr="00D97E23">
        <w:t xml:space="preserve"> obličiek existuje minimálne riziko paracetamolovej toxicity. </w:t>
      </w:r>
      <w:r w:rsidR="006A10F6" w:rsidRPr="00D97E23">
        <w:t>K</w:t>
      </w:r>
      <w:r w:rsidRPr="00D97E23">
        <w:t xml:space="preserve">vôli </w:t>
      </w:r>
      <w:r w:rsidR="006A10F6" w:rsidRPr="00D97E23">
        <w:t>obsahu</w:t>
      </w:r>
      <w:r w:rsidRPr="00D97E23">
        <w:t xml:space="preserve"> ibuprofénu </w:t>
      </w:r>
      <w:r w:rsidR="006A10F6" w:rsidRPr="00D97E23">
        <w:t>v</w:t>
      </w:r>
      <w:r w:rsidRPr="00D97E23">
        <w:t xml:space="preserve"> tomto lieku, by mala byť liečba</w:t>
      </w:r>
      <w:r w:rsidR="00D97E23" w:rsidRPr="00D97E23">
        <w:t xml:space="preserve"> </w:t>
      </w:r>
      <w:r w:rsidRPr="00D97E23">
        <w:t>pacientov s dehydratáciou z</w:t>
      </w:r>
      <w:r w:rsidR="006A10F6" w:rsidRPr="00D97E23">
        <w:t>ačatá</w:t>
      </w:r>
      <w:r w:rsidRPr="00D97E23">
        <w:t xml:space="preserve"> opatrne. Dva hlavné metabolity ibuprofénu sa vylučujú hlavne močom a zhoršenie funkcie obličiek môže viesť k ich akumuláci</w:t>
      </w:r>
      <w:r w:rsidR="0047323A" w:rsidRPr="00D97E23">
        <w:t>i</w:t>
      </w:r>
      <w:r w:rsidRPr="00D97E23">
        <w:t xml:space="preserve">. Význam tohto </w:t>
      </w:r>
      <w:r w:rsidR="0047323A" w:rsidRPr="00D97E23">
        <w:t>zistenia</w:t>
      </w:r>
      <w:r w:rsidRPr="00D97E23">
        <w:t xml:space="preserve"> je známy. Bolo popísané, že NSAID spôsobujú nefrotoxicitu v rôznych formách: intersticiálna nefritída, nefr</w:t>
      </w:r>
      <w:r w:rsidR="0047323A" w:rsidRPr="00D97E23">
        <w:t>o</w:t>
      </w:r>
      <w:r w:rsidRPr="00D97E23">
        <w:t xml:space="preserve">tický syndróm a zlyhanie obličiek. Poškodenie obličiek pri užívaní ibuprofénu je zvyčajne reverzibilné. U pacientov s </w:t>
      </w:r>
      <w:r w:rsidR="0047323A" w:rsidRPr="00D97E23">
        <w:t xml:space="preserve">poruchou funkcie </w:t>
      </w:r>
      <w:r w:rsidRPr="00D97E23">
        <w:t>obličiek, srdca alebo pečene, u pacientov užívajúcich diuretiká a inhibítory</w:t>
      </w:r>
      <w:r w:rsidR="0047323A" w:rsidRPr="00D97E23">
        <w:t xml:space="preserve"> enzýmu konvertujúceho angiotenzín (ACE)</w:t>
      </w:r>
      <w:r w:rsidRPr="00D97E23">
        <w:t xml:space="preserve"> a u starších pacientov je potrebná opatrnosť, pretože použitie NSAID môže viesť k zhoršeniu funkcie obličiek. Dávka by sa mala udržiavať na čo najnižšej úrovni a u týchto pacientov by sa mala ďalej sledovať funkcia obličiek. Liečba by mala byť </w:t>
      </w:r>
      <w:r w:rsidR="0047323A" w:rsidRPr="00D97E23">
        <w:t xml:space="preserve">ukončená </w:t>
      </w:r>
      <w:r w:rsidRPr="00D97E23">
        <w:t>u pacientov, u ktorých sa rozvinie závažné zlyh</w:t>
      </w:r>
      <w:r w:rsidR="0047323A" w:rsidRPr="00D97E23">
        <w:t>ávanie</w:t>
      </w:r>
      <w:r w:rsidRPr="00D97E23">
        <w:t xml:space="preserve"> obličiek (pozri časť 4.3).</w:t>
      </w:r>
    </w:p>
    <w:p w14:paraId="3E9A6CEE" w14:textId="77777777" w:rsidR="00550E1D" w:rsidRPr="00D97E23" w:rsidRDefault="00550E1D" w:rsidP="00550E1D">
      <w:pPr>
        <w:ind w:left="0" w:firstLine="0"/>
      </w:pPr>
    </w:p>
    <w:p w14:paraId="4551AB8B" w14:textId="31745A4D" w:rsidR="00550E1D" w:rsidRPr="00D97E23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Kombinované použitie</w:t>
      </w:r>
      <w:r w:rsidR="00D97E23" w:rsidRPr="00D97E23">
        <w:rPr>
          <w:b/>
          <w:i/>
          <w:spacing w:val="-1"/>
          <w:szCs w:val="22"/>
          <w:lang w:eastAsia="en-US"/>
        </w:rPr>
        <w:t xml:space="preserve"> </w:t>
      </w:r>
      <w:r w:rsidRPr="00D97E23">
        <w:rPr>
          <w:b/>
          <w:i/>
          <w:spacing w:val="-1"/>
          <w:szCs w:val="22"/>
          <w:lang w:eastAsia="en-US"/>
        </w:rPr>
        <w:t>inhibítorov</w:t>
      </w:r>
      <w:r w:rsidR="00851A25" w:rsidRPr="00D97E23">
        <w:rPr>
          <w:b/>
          <w:i/>
          <w:spacing w:val="-1"/>
          <w:szCs w:val="22"/>
          <w:lang w:eastAsia="en-US"/>
        </w:rPr>
        <w:t xml:space="preserve"> ACE </w:t>
      </w:r>
      <w:r w:rsidRPr="00D97E23">
        <w:rPr>
          <w:b/>
          <w:i/>
          <w:spacing w:val="-1"/>
          <w:szCs w:val="22"/>
          <w:lang w:eastAsia="en-US"/>
        </w:rPr>
        <w:t>alebo antagonistov receptorov angiotenzínu, protizápalových liečiv a tiazidových diuretík</w:t>
      </w:r>
    </w:p>
    <w:p w14:paraId="692EDF77" w14:textId="0407B75A" w:rsidR="00550E1D" w:rsidRPr="00D97E23" w:rsidRDefault="00550E1D" w:rsidP="00550E1D">
      <w:pPr>
        <w:ind w:left="0" w:firstLine="0"/>
      </w:pPr>
      <w:r w:rsidRPr="00D97E23">
        <w:t>Sú</w:t>
      </w:r>
      <w:r w:rsidR="00851A25" w:rsidRPr="00D97E23">
        <w:t>bežné</w:t>
      </w:r>
      <w:r w:rsidRPr="00D97E23">
        <w:t xml:space="preserve"> použitie l</w:t>
      </w:r>
      <w:r w:rsidR="00851A25" w:rsidRPr="00D97E23">
        <w:t>iečiv</w:t>
      </w:r>
      <w:r w:rsidRPr="00D97E23">
        <w:t xml:space="preserve"> inhibujúc</w:t>
      </w:r>
      <w:r w:rsidR="00851A25" w:rsidRPr="00D97E23">
        <w:t>ich</w:t>
      </w:r>
      <w:r w:rsidRPr="00D97E23">
        <w:t xml:space="preserve"> ACE (inhibítor</w:t>
      </w:r>
      <w:r w:rsidR="00851A25" w:rsidRPr="00D97E23">
        <w:t>y ACE</w:t>
      </w:r>
      <w:r w:rsidRPr="00D97E23">
        <w:t xml:space="preserve"> alebo antagonist</w:t>
      </w:r>
      <w:r w:rsidR="00851A25" w:rsidRPr="00D97E23">
        <w:t>y</w:t>
      </w:r>
      <w:r w:rsidRPr="00D97E23">
        <w:t xml:space="preserve"> angiotenzínov</w:t>
      </w:r>
      <w:r w:rsidR="00851A25" w:rsidRPr="00D97E23">
        <w:t>ých</w:t>
      </w:r>
      <w:r w:rsidRPr="00D97E23">
        <w:t xml:space="preserve"> receptor</w:t>
      </w:r>
      <w:r w:rsidR="00851A25" w:rsidRPr="00D97E23">
        <w:t>ov</w:t>
      </w:r>
      <w:r w:rsidRPr="00D97E23">
        <w:t>), protizápalov</w:t>
      </w:r>
      <w:r w:rsidR="00851A25" w:rsidRPr="00D97E23">
        <w:t>ých</w:t>
      </w:r>
      <w:r w:rsidRPr="00D97E23">
        <w:t xml:space="preserve"> lie</w:t>
      </w:r>
      <w:r w:rsidR="00851A25" w:rsidRPr="00D97E23">
        <w:t>čiv</w:t>
      </w:r>
      <w:r w:rsidRPr="00D97E23">
        <w:t xml:space="preserve"> (NSAID alebo </w:t>
      </w:r>
      <w:r w:rsidR="00851A25" w:rsidRPr="00D97E23">
        <w:t xml:space="preserve">inhibítory </w:t>
      </w:r>
      <w:r w:rsidRPr="00D97E23">
        <w:t>COX-2 ) a tiazidov</w:t>
      </w:r>
      <w:r w:rsidR="00851A25" w:rsidRPr="00D97E23">
        <w:t>ých</w:t>
      </w:r>
      <w:r w:rsidRPr="00D97E23">
        <w:t xml:space="preserve"> diuret</w:t>
      </w:r>
      <w:r w:rsidR="00851A25" w:rsidRPr="00D97E23">
        <w:t>ík</w:t>
      </w:r>
      <w:r w:rsidRPr="00D97E23">
        <w:t xml:space="preserve"> zvyšuje riziko poškodenia obličiek. </w:t>
      </w:r>
      <w:r w:rsidR="00851A25" w:rsidRPr="00D97E23">
        <w:t>Z</w:t>
      </w:r>
      <w:r w:rsidRPr="00D97E23">
        <w:t xml:space="preserve">ahŕňa </w:t>
      </w:r>
      <w:r w:rsidR="00851A25" w:rsidRPr="00D97E23">
        <w:t xml:space="preserve">to </w:t>
      </w:r>
      <w:r w:rsidRPr="00D97E23">
        <w:t xml:space="preserve">použitie </w:t>
      </w:r>
      <w:r w:rsidR="00EF39EE" w:rsidRPr="00D97E23">
        <w:t>liekov</w:t>
      </w:r>
      <w:r w:rsidRPr="00D97E23">
        <w:t xml:space="preserve"> </w:t>
      </w:r>
      <w:r w:rsidR="00851A25" w:rsidRPr="00D97E23">
        <w:t>vo forme</w:t>
      </w:r>
      <w:r w:rsidRPr="00D97E23">
        <w:t xml:space="preserve"> fixn</w:t>
      </w:r>
      <w:r w:rsidR="00851A25" w:rsidRPr="00D97E23">
        <w:t>ých</w:t>
      </w:r>
      <w:r w:rsidRPr="00D97E23">
        <w:t xml:space="preserve"> kombináci</w:t>
      </w:r>
      <w:r w:rsidR="00851A25" w:rsidRPr="00D97E23">
        <w:t>i</w:t>
      </w:r>
      <w:r w:rsidRPr="00D97E23">
        <w:t>, ktoré obsahujú viac ako jed</w:t>
      </w:r>
      <w:r w:rsidR="00851A25" w:rsidRPr="00D97E23">
        <w:t>no z týchto liečiv</w:t>
      </w:r>
      <w:r w:rsidRPr="00D97E23">
        <w:t>.</w:t>
      </w:r>
      <w:r w:rsidR="00790A74" w:rsidRPr="00D97E23">
        <w:t xml:space="preserve"> </w:t>
      </w:r>
      <w:r w:rsidR="00851A25" w:rsidRPr="00D97E23">
        <w:t>Súbežné</w:t>
      </w:r>
      <w:r w:rsidRPr="00D97E23">
        <w:t xml:space="preserve"> použitie týchto lie</w:t>
      </w:r>
      <w:r w:rsidR="00851A25" w:rsidRPr="00D97E23">
        <w:t>čiv</w:t>
      </w:r>
      <w:r w:rsidRPr="00D97E23">
        <w:t xml:space="preserve"> by malo byť sprevádzané zvýšeným monitorovaním sérového kreatinínu, a to najmä pri použití v kombinácii. Kombinácia lie</w:t>
      </w:r>
      <w:r w:rsidR="00851A25" w:rsidRPr="00D97E23">
        <w:t>čiv</w:t>
      </w:r>
      <w:r w:rsidRPr="00D97E23">
        <w:t xml:space="preserve"> z týchto troch tried by sa mala používať s opatrnosťou, najmä u starších pacientov alebo u pacientov s už existujúc</w:t>
      </w:r>
      <w:r w:rsidR="00851A25" w:rsidRPr="00D97E23">
        <w:t>ou poruchou funkcie</w:t>
      </w:r>
      <w:r w:rsidR="00C83A6D" w:rsidRPr="00D97E23">
        <w:t xml:space="preserve"> </w:t>
      </w:r>
      <w:r w:rsidRPr="00D97E23">
        <w:t>obličiek.</w:t>
      </w:r>
    </w:p>
    <w:p w14:paraId="463FCE9E" w14:textId="77777777" w:rsidR="00550E1D" w:rsidRPr="00D97E23" w:rsidRDefault="00550E1D" w:rsidP="00550E1D">
      <w:pPr>
        <w:ind w:left="0" w:firstLine="0"/>
      </w:pPr>
    </w:p>
    <w:p w14:paraId="18E65CF1" w14:textId="77777777" w:rsidR="00550E1D" w:rsidRPr="00D97E23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Starší pacienti</w:t>
      </w:r>
    </w:p>
    <w:p w14:paraId="3711AEEB" w14:textId="27652299" w:rsidR="00790A74" w:rsidRPr="00D97E23" w:rsidRDefault="00550E1D" w:rsidP="00550E1D">
      <w:pPr>
        <w:ind w:left="0" w:firstLine="0"/>
      </w:pPr>
      <w:r w:rsidRPr="00D97E23">
        <w:t xml:space="preserve">Nie je nutné znižovať odporúčané dávkovanie. Pokiaľ ide o použitie ibuprofénu, je však potrebné postupovať opatrne, pretože by ho nemali užívať dospelí nad 65 rokov, bez toho, aby sa brala do úvahy komorbidita a súbežná liečba z dôvodu zvýšeného rizika nežiaducich účinkov, najmä </w:t>
      </w:r>
      <w:r w:rsidR="00C83A6D" w:rsidRPr="00D97E23">
        <w:t>zlyhávania srdca</w:t>
      </w:r>
      <w:r w:rsidRPr="00D97E23">
        <w:t>, gastrointestinálne</w:t>
      </w:r>
      <w:r w:rsidR="00C83A6D" w:rsidRPr="00D97E23">
        <w:t>j</w:t>
      </w:r>
      <w:r w:rsidRPr="00D97E23">
        <w:t xml:space="preserve"> ulcerácie a poškodeni</w:t>
      </w:r>
      <w:r w:rsidR="00C83A6D" w:rsidRPr="00D97E23">
        <w:t>a</w:t>
      </w:r>
      <w:r w:rsidRPr="00D97E23">
        <w:t xml:space="preserve"> obličiek.</w:t>
      </w:r>
    </w:p>
    <w:p w14:paraId="739A74FA" w14:textId="77777777" w:rsidR="00550E1D" w:rsidRPr="00D97E23" w:rsidRDefault="00550E1D" w:rsidP="00550E1D">
      <w:pPr>
        <w:ind w:left="0" w:firstLine="0"/>
      </w:pPr>
    </w:p>
    <w:p w14:paraId="07869B07" w14:textId="77777777" w:rsidR="00550E1D" w:rsidRPr="00D97E23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Hematologické účinky</w:t>
      </w:r>
    </w:p>
    <w:p w14:paraId="51F606ED" w14:textId="77777777" w:rsidR="00550E1D" w:rsidRPr="00D97E23" w:rsidRDefault="00550E1D" w:rsidP="00550E1D">
      <w:pPr>
        <w:ind w:left="0" w:firstLine="0"/>
      </w:pPr>
      <w:r w:rsidRPr="00D97E23">
        <w:t>Zriedka boli hlásené krvné dyskrázie. Pacienti s dlhodobou liečbou ibuprofénom by mali byť pravidelne hematologicky sledovaní.</w:t>
      </w:r>
    </w:p>
    <w:p w14:paraId="21235C9C" w14:textId="77777777" w:rsidR="00550E1D" w:rsidRPr="00D97E23" w:rsidRDefault="00550E1D" w:rsidP="00550E1D">
      <w:pPr>
        <w:rPr>
          <w:szCs w:val="22"/>
        </w:rPr>
      </w:pPr>
    </w:p>
    <w:p w14:paraId="64A498CC" w14:textId="77777777" w:rsidR="00550E1D" w:rsidRPr="00D97E23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Anafylaktoidné reakcie</w:t>
      </w:r>
    </w:p>
    <w:p w14:paraId="1986B8EE" w14:textId="01E9EA28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>Štandardne je odporúčané pacienta počas infúzie starostlivo sledovať, a to najmä na začiatku, aby sa predišlo prípadnej anafylaktickej reakcii spôsoben</w:t>
      </w:r>
      <w:r w:rsidR="0053452C" w:rsidRPr="00D97E23">
        <w:rPr>
          <w:szCs w:val="22"/>
        </w:rPr>
        <w:t>ej</w:t>
      </w:r>
      <w:r w:rsidRPr="00D97E23">
        <w:rPr>
          <w:szCs w:val="22"/>
        </w:rPr>
        <w:t xml:space="preserve"> </w:t>
      </w:r>
      <w:r w:rsidR="0053452C" w:rsidRPr="00D97E23">
        <w:rPr>
          <w:szCs w:val="22"/>
        </w:rPr>
        <w:t>liečivami</w:t>
      </w:r>
      <w:r w:rsidRPr="00D97E23">
        <w:rPr>
          <w:szCs w:val="22"/>
        </w:rPr>
        <w:t xml:space="preserve"> alebo pomocnými látkami.</w:t>
      </w:r>
    </w:p>
    <w:p w14:paraId="60714EBC" w14:textId="77777777" w:rsidR="00550E1D" w:rsidRPr="00D97E23" w:rsidRDefault="00550E1D" w:rsidP="00550E1D">
      <w:pPr>
        <w:rPr>
          <w:szCs w:val="22"/>
        </w:rPr>
      </w:pPr>
    </w:p>
    <w:p w14:paraId="75E67F0D" w14:textId="2E181CDF" w:rsidR="00FD4DD8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>Zriedka s</w:t>
      </w:r>
      <w:r w:rsidR="005470AF" w:rsidRPr="00D97E23">
        <w:rPr>
          <w:szCs w:val="22"/>
        </w:rPr>
        <w:t>a</w:t>
      </w:r>
      <w:r w:rsidRPr="00D97E23">
        <w:rPr>
          <w:szCs w:val="22"/>
        </w:rPr>
        <w:t xml:space="preserve"> pozorova</w:t>
      </w:r>
      <w:r w:rsidR="005470AF" w:rsidRPr="00D97E23">
        <w:rPr>
          <w:szCs w:val="22"/>
        </w:rPr>
        <w:t>li</w:t>
      </w:r>
      <w:r w:rsidRPr="00D97E23">
        <w:rPr>
          <w:szCs w:val="22"/>
        </w:rPr>
        <w:t xml:space="preserve"> závažné akútne reakcie precitlivenosti (napr. anafylaktický šok). Pri prvých </w:t>
      </w:r>
      <w:r w:rsidR="005470AF" w:rsidRPr="00D97E23">
        <w:rPr>
          <w:szCs w:val="22"/>
        </w:rPr>
        <w:t>prejavoch</w:t>
      </w:r>
      <w:r w:rsidRPr="00D97E23">
        <w:rPr>
          <w:szCs w:val="22"/>
        </w:rPr>
        <w:t xml:space="preserve"> reakcie precitlivenosti po podaní </w:t>
      </w:r>
      <w:r w:rsidR="002A4B03" w:rsidRPr="00D97E23">
        <w:t>Paracetamol</w:t>
      </w:r>
      <w:r w:rsidR="00805C4E" w:rsidRPr="00D97E23">
        <w:t>u</w:t>
      </w:r>
      <w:r w:rsidR="002A4B03" w:rsidRPr="00D97E23">
        <w:t>/Ibuprofen</w:t>
      </w:r>
      <w:r w:rsidR="00805C4E" w:rsidRPr="00D97E23">
        <w:t>u</w:t>
      </w:r>
      <w:r w:rsidR="002A4B03" w:rsidRPr="00D97E23">
        <w:t xml:space="preserve"> Vale </w:t>
      </w:r>
      <w:r w:rsidRPr="00D97E23">
        <w:rPr>
          <w:szCs w:val="22"/>
        </w:rPr>
        <w:t xml:space="preserve">musí byť liečba ukončená a </w:t>
      </w:r>
      <w:r w:rsidR="003361C7" w:rsidRPr="00D97E23">
        <w:rPr>
          <w:szCs w:val="22"/>
        </w:rPr>
        <w:t xml:space="preserve">začatá </w:t>
      </w:r>
      <w:r w:rsidRPr="00D97E23">
        <w:rPr>
          <w:szCs w:val="22"/>
        </w:rPr>
        <w:t xml:space="preserve">symptomatická liečba. </w:t>
      </w:r>
      <w:r w:rsidR="003361C7" w:rsidRPr="00D97E23">
        <w:rPr>
          <w:szCs w:val="22"/>
        </w:rPr>
        <w:t>Lekár má začať potrebnú liečbu na základe príznakov.</w:t>
      </w:r>
    </w:p>
    <w:p w14:paraId="26A5001F" w14:textId="77777777" w:rsidR="00550E1D" w:rsidRPr="00D97E23" w:rsidRDefault="00550E1D" w:rsidP="00550E1D">
      <w:pPr>
        <w:ind w:left="0" w:firstLine="0"/>
        <w:rPr>
          <w:szCs w:val="22"/>
        </w:rPr>
      </w:pPr>
    </w:p>
    <w:p w14:paraId="23027C68" w14:textId="77777777" w:rsidR="00550E1D" w:rsidRPr="00D97E23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Poruchy koagulácie</w:t>
      </w:r>
    </w:p>
    <w:p w14:paraId="316B5EC6" w14:textId="77D38251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 xml:space="preserve">Podobne ako iné NSAID </w:t>
      </w:r>
      <w:r w:rsidR="003361C7" w:rsidRPr="00D97E23">
        <w:rPr>
          <w:szCs w:val="22"/>
        </w:rPr>
        <w:t xml:space="preserve">aj </w:t>
      </w:r>
      <w:r w:rsidRPr="00D97E23">
        <w:rPr>
          <w:szCs w:val="22"/>
        </w:rPr>
        <w:t xml:space="preserve">ibuprofén </w:t>
      </w:r>
      <w:r w:rsidR="003361C7" w:rsidRPr="00D97E23">
        <w:rPr>
          <w:szCs w:val="22"/>
        </w:rPr>
        <w:t xml:space="preserve">môže </w:t>
      </w:r>
      <w:r w:rsidRPr="00D97E23">
        <w:rPr>
          <w:szCs w:val="22"/>
        </w:rPr>
        <w:t xml:space="preserve">inhibovať agregáciu </w:t>
      </w:r>
      <w:r w:rsidR="003361C7" w:rsidRPr="00D97E23">
        <w:rPr>
          <w:szCs w:val="22"/>
        </w:rPr>
        <w:t xml:space="preserve">krvných </w:t>
      </w:r>
      <w:r w:rsidRPr="00D97E23">
        <w:rPr>
          <w:szCs w:val="22"/>
        </w:rPr>
        <w:t xml:space="preserve">doštičiek. Bolo preukázané, že u zdravých </w:t>
      </w:r>
      <w:r w:rsidR="003361C7" w:rsidRPr="00D97E23">
        <w:rPr>
          <w:szCs w:val="22"/>
        </w:rPr>
        <w:t xml:space="preserve">osôb </w:t>
      </w:r>
      <w:r w:rsidRPr="00D97E23">
        <w:rPr>
          <w:szCs w:val="22"/>
        </w:rPr>
        <w:t xml:space="preserve">ibuprofén predlžuje dobu krvácania (ale v normálnom rozmedzí). Z dôvodu </w:t>
      </w:r>
      <w:r w:rsidR="003361C7" w:rsidRPr="00D97E23">
        <w:rPr>
          <w:szCs w:val="22"/>
        </w:rPr>
        <w:t xml:space="preserve">možného predĺženia </w:t>
      </w:r>
      <w:r w:rsidRPr="00D97E23">
        <w:rPr>
          <w:szCs w:val="22"/>
        </w:rPr>
        <w:t>krváca</w:t>
      </w:r>
      <w:r w:rsidR="003361C7" w:rsidRPr="00D97E23">
        <w:rPr>
          <w:szCs w:val="22"/>
        </w:rPr>
        <w:t>nia sa</w:t>
      </w:r>
      <w:r w:rsidRPr="00D97E23">
        <w:rPr>
          <w:szCs w:val="22"/>
        </w:rPr>
        <w:t xml:space="preserve"> u pacientov s preukázanými hemostatickými poruchami </w:t>
      </w:r>
      <w:r w:rsidR="003361C7" w:rsidRPr="00D97E23">
        <w:rPr>
          <w:szCs w:val="22"/>
        </w:rPr>
        <w:t>majú</w:t>
      </w:r>
      <w:r w:rsidRPr="00D97E23">
        <w:rPr>
          <w:szCs w:val="22"/>
        </w:rPr>
        <w:t xml:space="preserve"> </w:t>
      </w:r>
      <w:r w:rsidR="008048F8" w:rsidRPr="00D97E23">
        <w:rPr>
          <w:szCs w:val="22"/>
        </w:rPr>
        <w:t>lieky</w:t>
      </w:r>
      <w:r w:rsidRPr="00D97E23">
        <w:rPr>
          <w:szCs w:val="22"/>
        </w:rPr>
        <w:t xml:space="preserve"> obsahujúce ibuprofén používa</w:t>
      </w:r>
      <w:r w:rsidR="003361C7" w:rsidRPr="00D97E23">
        <w:rPr>
          <w:szCs w:val="22"/>
        </w:rPr>
        <w:t>ť</w:t>
      </w:r>
      <w:r w:rsidRPr="00D97E23">
        <w:rPr>
          <w:szCs w:val="22"/>
        </w:rPr>
        <w:t xml:space="preserve"> s opatrnosťou, najmä u osôb s </w:t>
      </w:r>
      <w:r w:rsidR="003361C7" w:rsidRPr="00D97E23">
        <w:rPr>
          <w:szCs w:val="22"/>
        </w:rPr>
        <w:t>primárnymi</w:t>
      </w:r>
      <w:r w:rsidRPr="00D97E23">
        <w:rPr>
          <w:szCs w:val="22"/>
        </w:rPr>
        <w:t xml:space="preserve"> koagulačnými </w:t>
      </w:r>
      <w:r w:rsidR="003942CB" w:rsidRPr="00D97E23">
        <w:rPr>
          <w:szCs w:val="22"/>
        </w:rPr>
        <w:t>poruchami</w:t>
      </w:r>
      <w:r w:rsidRPr="00D97E23">
        <w:rPr>
          <w:szCs w:val="22"/>
        </w:rPr>
        <w:t xml:space="preserve"> a u </w:t>
      </w:r>
      <w:r w:rsidR="003361C7" w:rsidRPr="00D97E23">
        <w:rPr>
          <w:szCs w:val="22"/>
        </w:rPr>
        <w:t>pacientov liečených</w:t>
      </w:r>
      <w:r w:rsidRPr="00D97E23">
        <w:rPr>
          <w:szCs w:val="22"/>
        </w:rPr>
        <w:t xml:space="preserve"> antikoagula</w:t>
      </w:r>
      <w:r w:rsidR="003361C7" w:rsidRPr="00D97E23">
        <w:rPr>
          <w:szCs w:val="22"/>
        </w:rPr>
        <w:t>nciami</w:t>
      </w:r>
      <w:r w:rsidRPr="00D97E23">
        <w:rPr>
          <w:szCs w:val="22"/>
        </w:rPr>
        <w:t xml:space="preserve">. Pacienti s poruchami koagulácie alebo pacienti podstupujúci chirurgický zákrok by mali byť sledovaní. Pri použití u pacientov bezprostredne po </w:t>
      </w:r>
      <w:r w:rsidR="00EC023C" w:rsidRPr="00D97E23">
        <w:rPr>
          <w:szCs w:val="22"/>
        </w:rPr>
        <w:t xml:space="preserve">rozsiahlom </w:t>
      </w:r>
      <w:r w:rsidRPr="00D97E23">
        <w:rPr>
          <w:szCs w:val="22"/>
        </w:rPr>
        <w:t xml:space="preserve">chirurgickom zákroku je nutné </w:t>
      </w:r>
      <w:r w:rsidR="003361C7" w:rsidRPr="00D97E23">
        <w:rPr>
          <w:szCs w:val="22"/>
        </w:rPr>
        <w:t xml:space="preserve">liek </w:t>
      </w:r>
      <w:r w:rsidRPr="00D97E23">
        <w:rPr>
          <w:szCs w:val="22"/>
        </w:rPr>
        <w:t>používať s opatrnosťou.</w:t>
      </w:r>
    </w:p>
    <w:p w14:paraId="7C38BFCE" w14:textId="77777777" w:rsidR="00550E1D" w:rsidRPr="00D97E23" w:rsidRDefault="00550E1D" w:rsidP="00550E1D">
      <w:pPr>
        <w:ind w:left="0" w:firstLine="0"/>
        <w:rPr>
          <w:szCs w:val="22"/>
        </w:rPr>
      </w:pPr>
    </w:p>
    <w:p w14:paraId="28233FA4" w14:textId="77777777" w:rsidR="00550E1D" w:rsidRPr="00D97E23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Gastrointestinálne príhody</w:t>
      </w:r>
    </w:p>
    <w:p w14:paraId="6B4D4F84" w14:textId="77777777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Gastrointestinálne (GI) krvácanie, ulcerácia alebo perforácia, ktoré môžu byť fatálne, boli hlásené pri všetkých NSAID, kedykoľvek počas liečby, či už s varovnými príznakmi alebo bez nich, alebo s predchádzajúcou anamnézou závažných GI príhod.</w:t>
      </w:r>
    </w:p>
    <w:p w14:paraId="0FF06C19" w14:textId="77777777" w:rsidR="00550E1D" w:rsidRPr="00D97E23" w:rsidRDefault="00550E1D" w:rsidP="00550E1D">
      <w:pPr>
        <w:ind w:left="0" w:firstLine="0"/>
        <w:rPr>
          <w:szCs w:val="22"/>
        </w:rPr>
      </w:pPr>
    </w:p>
    <w:p w14:paraId="156FB95A" w14:textId="77777777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 xml:space="preserve">Riziko krvácania do </w:t>
      </w:r>
      <w:r w:rsidR="003942CB" w:rsidRPr="00D97E23">
        <w:rPr>
          <w:szCs w:val="22"/>
        </w:rPr>
        <w:t>GI</w:t>
      </w:r>
      <w:r w:rsidRPr="00D97E23">
        <w:rPr>
          <w:szCs w:val="22"/>
        </w:rPr>
        <w:t xml:space="preserve"> traktu, ulcerácie alebo perforácie je vyššie so zvyšujúcimi sa dávkami NSAID, u pacientov s vredom v anamnéze, najmä ak je komplikovaný krvácaním alebo perforáciou (pozri časť 4.3), a u starších pacientov. Títo pacienti by mali začať liečbu najnižšou možnou dávkou.</w:t>
      </w:r>
    </w:p>
    <w:p w14:paraId="7A2662FF" w14:textId="77777777" w:rsidR="00550E1D" w:rsidRPr="00D97E23" w:rsidRDefault="00550E1D" w:rsidP="00550E1D">
      <w:pPr>
        <w:ind w:left="0" w:firstLine="0"/>
        <w:rPr>
          <w:szCs w:val="22"/>
        </w:rPr>
      </w:pPr>
    </w:p>
    <w:p w14:paraId="2DB0BE68" w14:textId="45728D5F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>U týchto pacientov a tiež u pacientov súbežne vyžadujúcich nízku dávku kyseliny acetylsalicylovej alebo iných liekov, ktoré pravdepodobne zvyšujú gastrointestinálne riziko (pozri nižšie a časť 4.5), sa má zvážiť kombinovaná liečba ochrannými l</w:t>
      </w:r>
      <w:r w:rsidR="00F36C9D" w:rsidRPr="00D97E23">
        <w:rPr>
          <w:szCs w:val="22"/>
        </w:rPr>
        <w:t>iečivami</w:t>
      </w:r>
      <w:r w:rsidRPr="00D97E23">
        <w:rPr>
          <w:szCs w:val="22"/>
        </w:rPr>
        <w:t xml:space="preserve"> (napr. mi</w:t>
      </w:r>
      <w:r w:rsidR="00F36C9D" w:rsidRPr="00D97E23">
        <w:rPr>
          <w:szCs w:val="22"/>
        </w:rPr>
        <w:t>z</w:t>
      </w:r>
      <w:r w:rsidRPr="00D97E23">
        <w:rPr>
          <w:szCs w:val="22"/>
        </w:rPr>
        <w:t xml:space="preserve">oprostolom alebo inhibítormi protónovej pumpy). Pacienti s anamnézou GI toxicity, najmä ak sú starší, by mali najmä v </w:t>
      </w:r>
      <w:r w:rsidR="00F36C9D" w:rsidRPr="00D97E23">
        <w:rPr>
          <w:szCs w:val="22"/>
        </w:rPr>
        <w:t>za</w:t>
      </w:r>
      <w:r w:rsidRPr="00D97E23">
        <w:rPr>
          <w:szCs w:val="22"/>
        </w:rPr>
        <w:t xml:space="preserve">čiatočných štádiách liečby hlásiť akékoľvek nezvyčajné príznaky v oblasti </w:t>
      </w:r>
      <w:r w:rsidR="00F36C9D" w:rsidRPr="00D97E23">
        <w:rPr>
          <w:szCs w:val="22"/>
        </w:rPr>
        <w:t xml:space="preserve">GI </w:t>
      </w:r>
      <w:r w:rsidRPr="00D97E23">
        <w:rPr>
          <w:szCs w:val="22"/>
        </w:rPr>
        <w:t xml:space="preserve">traktu (najmä krvácanie do </w:t>
      </w:r>
      <w:r w:rsidR="003942CB" w:rsidRPr="00D97E23">
        <w:rPr>
          <w:szCs w:val="22"/>
        </w:rPr>
        <w:t>GI</w:t>
      </w:r>
      <w:r w:rsidRPr="00D97E23">
        <w:rPr>
          <w:szCs w:val="22"/>
        </w:rPr>
        <w:t xml:space="preserve"> traktu).</w:t>
      </w:r>
    </w:p>
    <w:p w14:paraId="708579AA" w14:textId="77777777" w:rsidR="00550E1D" w:rsidRPr="00D97E23" w:rsidRDefault="00550E1D" w:rsidP="00550E1D">
      <w:pPr>
        <w:ind w:left="0" w:firstLine="0"/>
        <w:rPr>
          <w:szCs w:val="22"/>
        </w:rPr>
      </w:pPr>
    </w:p>
    <w:p w14:paraId="4B995F73" w14:textId="76154809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>Je potrebné postupovať opatrne u pacientov, ktorí sú</w:t>
      </w:r>
      <w:r w:rsidR="00F36C9D" w:rsidRPr="00D97E23">
        <w:rPr>
          <w:szCs w:val="22"/>
        </w:rPr>
        <w:t>bežne</w:t>
      </w:r>
      <w:r w:rsidRPr="00D97E23">
        <w:rPr>
          <w:szCs w:val="22"/>
        </w:rPr>
        <w:t xml:space="preserve"> užívajú lieky, ktoré môžu zvyšovať riziko ulcerácie alebo krvácania ako sú perorálne kortikosteroidy, antikoagulanciá, ako je warfarín, selektívne inhibítory spätného vychytávania s</w:t>
      </w:r>
      <w:r w:rsidR="00F36C9D" w:rsidRPr="00D97E23">
        <w:rPr>
          <w:szCs w:val="22"/>
        </w:rPr>
        <w:t>é</w:t>
      </w:r>
      <w:r w:rsidRPr="00D97E23">
        <w:rPr>
          <w:szCs w:val="22"/>
        </w:rPr>
        <w:t>rotonínu alebo antiagrega</w:t>
      </w:r>
      <w:r w:rsidR="00F36C9D" w:rsidRPr="00D97E23">
        <w:rPr>
          <w:szCs w:val="22"/>
        </w:rPr>
        <w:t>nciá</w:t>
      </w:r>
      <w:r w:rsidRPr="00D97E23">
        <w:rPr>
          <w:szCs w:val="22"/>
        </w:rPr>
        <w:t>, ako je kyselina acetylsalicylová (pozri časť 4.5).</w:t>
      </w:r>
    </w:p>
    <w:p w14:paraId="55EF9FCF" w14:textId="77777777" w:rsidR="00550E1D" w:rsidRPr="00D97E23" w:rsidRDefault="00550E1D" w:rsidP="00550E1D">
      <w:pPr>
        <w:ind w:left="0" w:firstLine="0"/>
        <w:rPr>
          <w:szCs w:val="22"/>
        </w:rPr>
      </w:pPr>
    </w:p>
    <w:p w14:paraId="64D2AAA7" w14:textId="719808F7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 xml:space="preserve">Kvôli </w:t>
      </w:r>
      <w:r w:rsidR="00F36C9D" w:rsidRPr="00D97E23">
        <w:rPr>
          <w:szCs w:val="22"/>
        </w:rPr>
        <w:t>obsahu</w:t>
      </w:r>
      <w:r w:rsidRPr="00D97E23">
        <w:rPr>
          <w:szCs w:val="22"/>
        </w:rPr>
        <w:t xml:space="preserve"> ibuprofénu by mal byť</w:t>
      </w:r>
      <w:r w:rsidR="00D97E23" w:rsidRPr="00D97E23">
        <w:rPr>
          <w:szCs w:val="22"/>
        </w:rPr>
        <w:t xml:space="preserve"> </w:t>
      </w:r>
      <w:r w:rsidR="00A1367A" w:rsidRPr="00D97E23">
        <w:t>Paracetamol/Ibuprofen Vale</w:t>
      </w:r>
      <w:r w:rsidR="00F36C9D" w:rsidRPr="00D97E23">
        <w:t xml:space="preserve"> </w:t>
      </w:r>
      <w:r w:rsidRPr="00D97E23">
        <w:rPr>
          <w:szCs w:val="22"/>
        </w:rPr>
        <w:t>používa</w:t>
      </w:r>
      <w:r w:rsidR="00563BF6" w:rsidRPr="00D97E23">
        <w:rPr>
          <w:szCs w:val="22"/>
        </w:rPr>
        <w:t>ný</w:t>
      </w:r>
      <w:r w:rsidRPr="00D97E23">
        <w:rPr>
          <w:szCs w:val="22"/>
        </w:rPr>
        <w:t xml:space="preserve"> opatrne u pacientov s anamnézou gastrointestinálneho </w:t>
      </w:r>
      <w:r w:rsidR="00F36C9D" w:rsidRPr="00D97E23">
        <w:rPr>
          <w:szCs w:val="22"/>
        </w:rPr>
        <w:t>ochorenia</w:t>
      </w:r>
      <w:r w:rsidRPr="00D97E23">
        <w:rPr>
          <w:szCs w:val="22"/>
        </w:rPr>
        <w:t xml:space="preserve"> (ulcerózna kolitída, Crohnova choroba) a tiež </w:t>
      </w:r>
      <w:r w:rsidR="00F36C9D" w:rsidRPr="00D97E23">
        <w:rPr>
          <w:szCs w:val="22"/>
        </w:rPr>
        <w:t xml:space="preserve">u </w:t>
      </w:r>
      <w:r w:rsidRPr="00D97E23">
        <w:rPr>
          <w:szCs w:val="22"/>
        </w:rPr>
        <w:t>paciento</w:t>
      </w:r>
      <w:r w:rsidR="00F36C9D" w:rsidRPr="00D97E23">
        <w:rPr>
          <w:szCs w:val="22"/>
        </w:rPr>
        <w:t>v</w:t>
      </w:r>
      <w:r w:rsidRPr="00D97E23">
        <w:rPr>
          <w:szCs w:val="22"/>
        </w:rPr>
        <w:t xml:space="preserve"> s porfýriou.</w:t>
      </w:r>
    </w:p>
    <w:p w14:paraId="00E9BC70" w14:textId="77777777" w:rsidR="00550E1D" w:rsidRPr="00D97E23" w:rsidRDefault="00550E1D" w:rsidP="00550E1D">
      <w:pPr>
        <w:ind w:left="0" w:firstLine="0"/>
        <w:rPr>
          <w:szCs w:val="22"/>
        </w:rPr>
      </w:pPr>
    </w:p>
    <w:p w14:paraId="21EEBA27" w14:textId="235CB347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 xml:space="preserve">Starší pacienti majú zvýšenú frekvenciu nežiaducich účinkov </w:t>
      </w:r>
      <w:r w:rsidR="00EE14C9" w:rsidRPr="00D97E23">
        <w:rPr>
          <w:szCs w:val="22"/>
        </w:rPr>
        <w:t>po</w:t>
      </w:r>
      <w:r w:rsidRPr="00D97E23">
        <w:rPr>
          <w:szCs w:val="22"/>
        </w:rPr>
        <w:t xml:space="preserve"> NSAID, najmä gastrointestinálne krvácanie a perforácia, ktor</w:t>
      </w:r>
      <w:r w:rsidR="00EE14C9" w:rsidRPr="00D97E23">
        <w:rPr>
          <w:szCs w:val="22"/>
        </w:rPr>
        <w:t>é</w:t>
      </w:r>
      <w:r w:rsidRPr="00D97E23">
        <w:rPr>
          <w:szCs w:val="22"/>
        </w:rPr>
        <w:t xml:space="preserve"> môž</w:t>
      </w:r>
      <w:r w:rsidR="00EE14C9" w:rsidRPr="00D97E23">
        <w:rPr>
          <w:szCs w:val="22"/>
        </w:rPr>
        <w:t>u</w:t>
      </w:r>
      <w:r w:rsidRPr="00D97E23">
        <w:rPr>
          <w:szCs w:val="22"/>
        </w:rPr>
        <w:t xml:space="preserve"> byť fatálne (pozri časť 4.2).</w:t>
      </w:r>
    </w:p>
    <w:p w14:paraId="5E683D1D" w14:textId="77777777" w:rsidR="00550E1D" w:rsidRPr="00D97E23" w:rsidRDefault="00550E1D" w:rsidP="00550E1D">
      <w:pPr>
        <w:ind w:left="0" w:firstLine="0"/>
        <w:rPr>
          <w:szCs w:val="22"/>
        </w:rPr>
      </w:pPr>
    </w:p>
    <w:p w14:paraId="5FFD69CC" w14:textId="2C3CF9CA" w:rsidR="00550E1D" w:rsidRPr="00D97E23" w:rsidRDefault="00550E1D" w:rsidP="00550E1D">
      <w:pPr>
        <w:ind w:left="0" w:firstLine="0"/>
        <w:rPr>
          <w:szCs w:val="22"/>
        </w:rPr>
      </w:pPr>
      <w:r w:rsidRPr="00D97E23">
        <w:rPr>
          <w:szCs w:val="22"/>
        </w:rPr>
        <w:t xml:space="preserve">Liečba sa má prerušiť, ak existujú akékoľvek </w:t>
      </w:r>
      <w:r w:rsidR="00EE14C9" w:rsidRPr="00D97E23">
        <w:rPr>
          <w:szCs w:val="22"/>
        </w:rPr>
        <w:t xml:space="preserve">prejavy </w:t>
      </w:r>
      <w:r w:rsidRPr="00D97E23">
        <w:rPr>
          <w:szCs w:val="22"/>
        </w:rPr>
        <w:t>gastrointestinálneho krvácania alebo ulcerácie.</w:t>
      </w:r>
    </w:p>
    <w:p w14:paraId="38C85B44" w14:textId="77777777" w:rsidR="00563BF6" w:rsidRPr="00D97E23" w:rsidRDefault="00563BF6" w:rsidP="00563BF6">
      <w:pPr>
        <w:ind w:left="0" w:firstLine="0"/>
        <w:rPr>
          <w:szCs w:val="22"/>
        </w:rPr>
      </w:pPr>
    </w:p>
    <w:p w14:paraId="79621E8F" w14:textId="77777777" w:rsidR="00563BF6" w:rsidRPr="00D97E23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Hypertenzia</w:t>
      </w:r>
    </w:p>
    <w:p w14:paraId="443B5281" w14:textId="64ACBBCB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 xml:space="preserve">NSAID môžu viesť k vzniku hypertenzie alebo k zhoršeniu už existujúcej hypertenzie. Pacienti užívajúci antihypertenzíva s NSAID môžu mať zhoršenú antihypertenznú odpoveď. Pri predpisovaní NSAID pacientom s hypertenziou sa odporúča opatrnosť. Počas </w:t>
      </w:r>
      <w:r w:rsidR="00F56124" w:rsidRPr="00D97E23">
        <w:rPr>
          <w:szCs w:val="22"/>
        </w:rPr>
        <w:t xml:space="preserve">začatia </w:t>
      </w:r>
      <w:r w:rsidRPr="00D97E23">
        <w:rPr>
          <w:szCs w:val="22"/>
        </w:rPr>
        <w:t>liečby NSAID je potrebné starostlivo sledovať krvný tlak</w:t>
      </w:r>
      <w:r w:rsidR="00F56124" w:rsidRPr="00D97E23">
        <w:rPr>
          <w:szCs w:val="22"/>
        </w:rPr>
        <w:t>,</w:t>
      </w:r>
      <w:r w:rsidRPr="00D97E23">
        <w:rPr>
          <w:szCs w:val="22"/>
        </w:rPr>
        <w:t xml:space="preserve"> a potom v sledovaní pokračovať v pravidelných intervaloch.</w:t>
      </w:r>
    </w:p>
    <w:p w14:paraId="32D8F0C3" w14:textId="77777777" w:rsidR="00563BF6" w:rsidRPr="00D97E23" w:rsidRDefault="00563BF6" w:rsidP="00563BF6">
      <w:pPr>
        <w:ind w:left="0" w:firstLine="0"/>
        <w:rPr>
          <w:szCs w:val="22"/>
        </w:rPr>
      </w:pPr>
    </w:p>
    <w:p w14:paraId="479930C5" w14:textId="51AD51CE" w:rsidR="00563BF6" w:rsidRPr="00D97E23" w:rsidRDefault="00F56124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Zlyhávanie srdca</w:t>
      </w:r>
    </w:p>
    <w:p w14:paraId="5AF0DDCA" w14:textId="01283DBB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 xml:space="preserve">U niektorých pacientov užívajúcich NSAID bola pozorovaná retencia tekutín a vznik opuchov, preto je u pacientov s retenciou tekutín alebo </w:t>
      </w:r>
      <w:r w:rsidR="00F56124" w:rsidRPr="00D97E23">
        <w:rPr>
          <w:szCs w:val="22"/>
        </w:rPr>
        <w:t>zlyhávaním srdca</w:t>
      </w:r>
      <w:r w:rsidRPr="00D97E23">
        <w:rPr>
          <w:szCs w:val="22"/>
        </w:rPr>
        <w:t xml:space="preserve"> odporúčaná zvýšená opatrnosť.</w:t>
      </w:r>
    </w:p>
    <w:p w14:paraId="17ED8A68" w14:textId="77777777" w:rsidR="00F56124" w:rsidRPr="00D97E23" w:rsidRDefault="00F56124" w:rsidP="00563BF6">
      <w:pPr>
        <w:ind w:left="0" w:firstLine="0"/>
        <w:rPr>
          <w:b/>
          <w:i/>
          <w:spacing w:val="-1"/>
          <w:szCs w:val="22"/>
          <w:lang w:eastAsia="en-US"/>
        </w:rPr>
      </w:pPr>
    </w:p>
    <w:p w14:paraId="6579819F" w14:textId="7FD4E601" w:rsidR="00563BF6" w:rsidRPr="00D97E23" w:rsidRDefault="00F56124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 xml:space="preserve">Závažné </w:t>
      </w:r>
      <w:r w:rsidR="00563BF6" w:rsidRPr="00D97E23">
        <w:rPr>
          <w:b/>
          <w:i/>
          <w:spacing w:val="-1"/>
          <w:szCs w:val="22"/>
          <w:lang w:eastAsia="en-US"/>
        </w:rPr>
        <w:t>kožné reakcie</w:t>
      </w:r>
    </w:p>
    <w:p w14:paraId="016E988B" w14:textId="2E39D2EC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>Veľmi zriedkavo môžu NSAID spôsobiť závažné kožné nežiaduce účinky, ako je exfoliatívna dermatitída, toxická epidermálna nekrolýza (TEN) a Stevens</w:t>
      </w:r>
      <w:r w:rsidR="00F56124" w:rsidRPr="00D97E23">
        <w:rPr>
          <w:szCs w:val="22"/>
        </w:rPr>
        <w:t>ov</w:t>
      </w:r>
      <w:r w:rsidRPr="00D97E23">
        <w:rPr>
          <w:szCs w:val="22"/>
        </w:rPr>
        <w:t xml:space="preserve">-Johnsonov syndróm (SJS), ktoré môžu byť fatálne a môžu nastať bez </w:t>
      </w:r>
      <w:r w:rsidR="00F56124" w:rsidRPr="00D97E23">
        <w:rPr>
          <w:szCs w:val="22"/>
        </w:rPr>
        <w:t>predchádzajúcich príznakov</w:t>
      </w:r>
      <w:r w:rsidRPr="00D97E23">
        <w:rPr>
          <w:szCs w:val="22"/>
        </w:rPr>
        <w:t>. V súvislosti s</w:t>
      </w:r>
      <w:r w:rsidR="00E14C1A" w:rsidRPr="00D97E23">
        <w:rPr>
          <w:szCs w:val="22"/>
        </w:rPr>
        <w:t> liekmi</w:t>
      </w:r>
      <w:r w:rsidRPr="00D97E23">
        <w:rPr>
          <w:szCs w:val="22"/>
        </w:rPr>
        <w:t xml:space="preserve"> obsahujúcimi ibuprofén bola hlásená akútna generalizovaná exantematózn</w:t>
      </w:r>
      <w:r w:rsidR="00F56124" w:rsidRPr="00D97E23">
        <w:rPr>
          <w:szCs w:val="22"/>
        </w:rPr>
        <w:t>a</w:t>
      </w:r>
      <w:r w:rsidRPr="00D97E23">
        <w:rPr>
          <w:szCs w:val="22"/>
        </w:rPr>
        <w:t xml:space="preserve"> pustul</w:t>
      </w:r>
      <w:r w:rsidR="00F56124" w:rsidRPr="00D97E23">
        <w:rPr>
          <w:szCs w:val="22"/>
        </w:rPr>
        <w:t>óza</w:t>
      </w:r>
      <w:r w:rsidRPr="00D97E23">
        <w:rPr>
          <w:szCs w:val="22"/>
        </w:rPr>
        <w:t xml:space="preserve"> (AGEP). Zdá sa, že </w:t>
      </w:r>
      <w:r w:rsidR="00F56124" w:rsidRPr="00D97E23">
        <w:rPr>
          <w:szCs w:val="22"/>
        </w:rPr>
        <w:t>pri</w:t>
      </w:r>
      <w:r w:rsidRPr="00D97E23">
        <w:rPr>
          <w:szCs w:val="22"/>
        </w:rPr>
        <w:t xml:space="preserve"> týchto reakci</w:t>
      </w:r>
      <w:r w:rsidR="00F56124" w:rsidRPr="00D97E23">
        <w:rPr>
          <w:szCs w:val="22"/>
        </w:rPr>
        <w:t>ách</w:t>
      </w:r>
      <w:r w:rsidRPr="00D97E23">
        <w:rPr>
          <w:szCs w:val="22"/>
        </w:rPr>
        <w:t xml:space="preserve"> sú pacienti najviac ohrození</w:t>
      </w:r>
      <w:r w:rsidR="00F56124" w:rsidRPr="00D97E23">
        <w:rPr>
          <w:szCs w:val="22"/>
        </w:rPr>
        <w:t xml:space="preserve"> na začiatku liečby</w:t>
      </w:r>
      <w:r w:rsidRPr="00D97E23">
        <w:rPr>
          <w:szCs w:val="22"/>
        </w:rPr>
        <w:t>, pričom reakcia sa vo väčšine prípadov objavuje v prvom mesiaci liečby.</w:t>
      </w:r>
    </w:p>
    <w:p w14:paraId="0ADEAF91" w14:textId="77777777" w:rsidR="00563BF6" w:rsidRPr="00D97E23" w:rsidRDefault="00563BF6" w:rsidP="00563BF6">
      <w:pPr>
        <w:ind w:left="0" w:firstLine="0"/>
        <w:rPr>
          <w:szCs w:val="22"/>
        </w:rPr>
      </w:pPr>
    </w:p>
    <w:p w14:paraId="1C020174" w14:textId="4A6C56AA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 xml:space="preserve">Pacienti </w:t>
      </w:r>
      <w:r w:rsidR="00F56124" w:rsidRPr="00D97E23">
        <w:rPr>
          <w:szCs w:val="22"/>
        </w:rPr>
        <w:t>majú byť</w:t>
      </w:r>
      <w:r w:rsidRPr="00D97E23">
        <w:rPr>
          <w:szCs w:val="22"/>
        </w:rPr>
        <w:t xml:space="preserve"> informovaní o príznakoch závažných kožných reakcií a pri prvom výskyte kožnej vyrážky alebo akýchkoľvek iných </w:t>
      </w:r>
      <w:r w:rsidR="00F56124" w:rsidRPr="00D97E23">
        <w:rPr>
          <w:szCs w:val="22"/>
        </w:rPr>
        <w:t xml:space="preserve">prejavoch </w:t>
      </w:r>
      <w:r w:rsidRPr="00D97E23">
        <w:rPr>
          <w:szCs w:val="22"/>
        </w:rPr>
        <w:t>precitlivenosti</w:t>
      </w:r>
      <w:r w:rsidR="00F56124" w:rsidRPr="00D97E23">
        <w:rPr>
          <w:szCs w:val="22"/>
        </w:rPr>
        <w:t xml:space="preserve"> to</w:t>
      </w:r>
      <w:r w:rsidRPr="00D97E23">
        <w:rPr>
          <w:szCs w:val="22"/>
        </w:rPr>
        <w:t xml:space="preserve"> konzultovať so svojím lekárom.</w:t>
      </w:r>
    </w:p>
    <w:p w14:paraId="13FE91D4" w14:textId="77777777" w:rsidR="00563BF6" w:rsidRPr="00D97E23" w:rsidRDefault="00563BF6" w:rsidP="00563BF6">
      <w:pPr>
        <w:ind w:left="0" w:firstLine="0"/>
        <w:rPr>
          <w:szCs w:val="22"/>
        </w:rPr>
      </w:pPr>
    </w:p>
    <w:p w14:paraId="282D2335" w14:textId="43ABD86D" w:rsidR="00563BF6" w:rsidRPr="00D97E23" w:rsidRDefault="00F56124" w:rsidP="00563BF6">
      <w:pPr>
        <w:ind w:left="0" w:firstLine="0"/>
        <w:rPr>
          <w:szCs w:val="22"/>
        </w:rPr>
      </w:pPr>
      <w:r w:rsidRPr="00D97E23">
        <w:rPr>
          <w:szCs w:val="22"/>
        </w:rPr>
        <w:t>Vo výnimočných prípadoch</w:t>
      </w:r>
      <w:r w:rsidR="00563BF6" w:rsidRPr="00D97E23">
        <w:rPr>
          <w:szCs w:val="22"/>
        </w:rPr>
        <w:t xml:space="preserve"> môž</w:t>
      </w:r>
      <w:r w:rsidR="000A39F2" w:rsidRPr="00D97E23">
        <w:rPr>
          <w:szCs w:val="22"/>
        </w:rPr>
        <w:t>u</w:t>
      </w:r>
      <w:r w:rsidR="00563BF6" w:rsidRPr="00D97E23">
        <w:rPr>
          <w:szCs w:val="22"/>
        </w:rPr>
        <w:t xml:space="preserve"> </w:t>
      </w:r>
      <w:r w:rsidRPr="00D97E23">
        <w:rPr>
          <w:szCs w:val="22"/>
        </w:rPr>
        <w:t xml:space="preserve">ovčie kiahne </w:t>
      </w:r>
      <w:r w:rsidR="00563BF6" w:rsidRPr="00D97E23">
        <w:rPr>
          <w:szCs w:val="22"/>
        </w:rPr>
        <w:t xml:space="preserve">spôsobiť závažné </w:t>
      </w:r>
      <w:r w:rsidRPr="00D97E23">
        <w:rPr>
          <w:szCs w:val="22"/>
        </w:rPr>
        <w:t xml:space="preserve">komplikácie </w:t>
      </w:r>
      <w:r w:rsidR="00563BF6" w:rsidRPr="00D97E23">
        <w:rPr>
          <w:szCs w:val="22"/>
        </w:rPr>
        <w:t>kož</w:t>
      </w:r>
      <w:r w:rsidRPr="00D97E23">
        <w:rPr>
          <w:szCs w:val="22"/>
        </w:rPr>
        <w:t>e</w:t>
      </w:r>
      <w:r w:rsidR="00563BF6" w:rsidRPr="00D97E23">
        <w:rPr>
          <w:szCs w:val="22"/>
        </w:rPr>
        <w:t xml:space="preserve"> a mäkk</w:t>
      </w:r>
      <w:r w:rsidRPr="00D97E23">
        <w:rPr>
          <w:szCs w:val="22"/>
        </w:rPr>
        <w:t>ých</w:t>
      </w:r>
      <w:r w:rsidR="00563BF6" w:rsidRPr="00D97E23">
        <w:rPr>
          <w:szCs w:val="22"/>
        </w:rPr>
        <w:t xml:space="preserve"> tkan</w:t>
      </w:r>
      <w:r w:rsidRPr="00D97E23">
        <w:rPr>
          <w:szCs w:val="22"/>
        </w:rPr>
        <w:t>ív</w:t>
      </w:r>
      <w:r w:rsidR="00563BF6" w:rsidRPr="00D97E23">
        <w:rPr>
          <w:szCs w:val="22"/>
        </w:rPr>
        <w:t xml:space="preserve">. </w:t>
      </w:r>
      <w:r w:rsidRPr="00D97E23">
        <w:rPr>
          <w:szCs w:val="22"/>
        </w:rPr>
        <w:t>V súčasnosti</w:t>
      </w:r>
      <w:r w:rsidR="00563BF6" w:rsidRPr="00D97E23">
        <w:rPr>
          <w:szCs w:val="22"/>
        </w:rPr>
        <w:t xml:space="preserve"> nemožno vylúčiť</w:t>
      </w:r>
      <w:r w:rsidR="00E14C1A" w:rsidRPr="00D97E23">
        <w:rPr>
          <w:szCs w:val="22"/>
        </w:rPr>
        <w:t>, že</w:t>
      </w:r>
      <w:r w:rsidR="00563BF6" w:rsidRPr="00D97E23">
        <w:rPr>
          <w:szCs w:val="22"/>
        </w:rPr>
        <w:t xml:space="preserve"> NSAID</w:t>
      </w:r>
      <w:r w:rsidR="00E14C1A" w:rsidRPr="00D97E23">
        <w:rPr>
          <w:szCs w:val="22"/>
        </w:rPr>
        <w:t xml:space="preserve"> prispievajú</w:t>
      </w:r>
      <w:r w:rsidR="00563BF6" w:rsidRPr="00D97E23">
        <w:rPr>
          <w:szCs w:val="22"/>
        </w:rPr>
        <w:t xml:space="preserve"> k</w:t>
      </w:r>
      <w:r w:rsidR="000A39F2" w:rsidRPr="00D97E23">
        <w:rPr>
          <w:szCs w:val="22"/>
        </w:rPr>
        <w:t> </w:t>
      </w:r>
      <w:r w:rsidR="00563BF6" w:rsidRPr="00D97E23">
        <w:rPr>
          <w:szCs w:val="22"/>
        </w:rPr>
        <w:t>zhorš</w:t>
      </w:r>
      <w:r w:rsidR="000A39F2" w:rsidRPr="00D97E23">
        <w:rPr>
          <w:szCs w:val="22"/>
        </w:rPr>
        <w:t>eniu tejto</w:t>
      </w:r>
      <w:r w:rsidR="006F3A55" w:rsidRPr="00D97E23">
        <w:rPr>
          <w:szCs w:val="22"/>
        </w:rPr>
        <w:t xml:space="preserve"> </w:t>
      </w:r>
      <w:r w:rsidR="00563BF6" w:rsidRPr="00D97E23">
        <w:rPr>
          <w:szCs w:val="22"/>
        </w:rPr>
        <w:t xml:space="preserve">infekcie. Preto je vhodné vyhnúť sa použitiu </w:t>
      </w:r>
      <w:r w:rsidR="00870DB2" w:rsidRPr="00D97E23">
        <w:t>Paracetamol</w:t>
      </w:r>
      <w:r w:rsidRPr="00D97E23">
        <w:t>u</w:t>
      </w:r>
      <w:r w:rsidR="00870DB2" w:rsidRPr="00D97E23">
        <w:t>/Ibuprofen</w:t>
      </w:r>
      <w:r w:rsidRPr="00D97E23">
        <w:t>u</w:t>
      </w:r>
      <w:r w:rsidR="00870DB2" w:rsidRPr="00D97E23">
        <w:t xml:space="preserve"> Vale </w:t>
      </w:r>
      <w:r w:rsidR="00563BF6" w:rsidRPr="00D97E23">
        <w:rPr>
          <w:szCs w:val="22"/>
        </w:rPr>
        <w:t>v prípade ovčích kiahní.</w:t>
      </w:r>
    </w:p>
    <w:p w14:paraId="66AC7863" w14:textId="77777777" w:rsidR="00563BF6" w:rsidRPr="00D97E23" w:rsidRDefault="00563BF6" w:rsidP="00563BF6">
      <w:pPr>
        <w:ind w:left="0" w:firstLine="0"/>
        <w:rPr>
          <w:szCs w:val="22"/>
        </w:rPr>
      </w:pPr>
    </w:p>
    <w:p w14:paraId="01936524" w14:textId="0F3307D1" w:rsidR="00563BF6" w:rsidRPr="00D97E23" w:rsidRDefault="000A39F2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Diagnostikovaná</w:t>
      </w:r>
      <w:r w:rsidR="00563BF6" w:rsidRPr="00D97E23">
        <w:rPr>
          <w:b/>
          <w:i/>
          <w:spacing w:val="-1"/>
          <w:szCs w:val="22"/>
          <w:lang w:eastAsia="en-US"/>
        </w:rPr>
        <w:t xml:space="preserve"> astma</w:t>
      </w:r>
    </w:p>
    <w:p w14:paraId="0E9BD8EB" w14:textId="33BFA096" w:rsidR="00563BF6" w:rsidRPr="00D97E23" w:rsidRDefault="00EA6A7E" w:rsidP="00563BF6">
      <w:pPr>
        <w:ind w:left="0" w:firstLine="0"/>
        <w:rPr>
          <w:szCs w:val="22"/>
        </w:rPr>
      </w:pPr>
      <w:r w:rsidRPr="00D97E23">
        <w:rPr>
          <w:szCs w:val="22"/>
        </w:rPr>
        <w:t>Lieky</w:t>
      </w:r>
      <w:r w:rsidR="00563BF6" w:rsidRPr="00D97E23">
        <w:rPr>
          <w:szCs w:val="22"/>
        </w:rPr>
        <w:t xml:space="preserve"> obsahujúce ibuprofén sa nesmú podávať pacientom s astmou, ktorí sú citliví na kyselinu acetylsalicylovú a mali by byť používané s opatrnosťou u pacientov s </w:t>
      </w:r>
      <w:r w:rsidR="000A39F2" w:rsidRPr="00D97E23">
        <w:rPr>
          <w:szCs w:val="22"/>
        </w:rPr>
        <w:t>diagnostikovanou</w:t>
      </w:r>
      <w:r w:rsidR="00563BF6" w:rsidRPr="00D97E23">
        <w:rPr>
          <w:szCs w:val="22"/>
        </w:rPr>
        <w:t xml:space="preserve"> astmou.</w:t>
      </w:r>
    </w:p>
    <w:p w14:paraId="0BDD63C0" w14:textId="77777777" w:rsidR="00563BF6" w:rsidRPr="00D97E23" w:rsidRDefault="00563BF6" w:rsidP="00563BF6">
      <w:pPr>
        <w:ind w:left="0" w:firstLine="0"/>
        <w:rPr>
          <w:szCs w:val="22"/>
        </w:rPr>
      </w:pPr>
    </w:p>
    <w:p w14:paraId="47487A74" w14:textId="77777777" w:rsidR="00563BF6" w:rsidRPr="00D97E23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Očné účinky</w:t>
      </w:r>
    </w:p>
    <w:p w14:paraId="428E9117" w14:textId="59807527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 xml:space="preserve">Nežiaduce očné účinky boli pozorované </w:t>
      </w:r>
      <w:r w:rsidR="000A39F2" w:rsidRPr="00D97E23">
        <w:rPr>
          <w:szCs w:val="22"/>
        </w:rPr>
        <w:t>pri</w:t>
      </w:r>
      <w:r w:rsidR="00E14C1A" w:rsidRPr="00D97E23">
        <w:rPr>
          <w:szCs w:val="22"/>
        </w:rPr>
        <w:t> </w:t>
      </w:r>
      <w:r w:rsidRPr="00D97E23">
        <w:rPr>
          <w:szCs w:val="22"/>
        </w:rPr>
        <w:t>NSAID</w:t>
      </w:r>
      <w:r w:rsidR="00E14C1A" w:rsidRPr="00D97E23">
        <w:rPr>
          <w:szCs w:val="22"/>
        </w:rPr>
        <w:t>,</w:t>
      </w:r>
      <w:r w:rsidRPr="00D97E23">
        <w:rPr>
          <w:szCs w:val="22"/>
        </w:rPr>
        <w:t xml:space="preserve"> preto by pacienti, u ktorých sa počas liečby </w:t>
      </w:r>
      <w:r w:rsidR="00E14C1A" w:rsidRPr="00D97E23">
        <w:rPr>
          <w:szCs w:val="22"/>
        </w:rPr>
        <w:t>liekmi</w:t>
      </w:r>
      <w:r w:rsidRPr="00D97E23">
        <w:rPr>
          <w:szCs w:val="22"/>
        </w:rPr>
        <w:t xml:space="preserve"> obsahujúcimi ibuprofén objavia poruchy videnia, mali podstúpiť oftalmologické vyšetrenie.</w:t>
      </w:r>
    </w:p>
    <w:p w14:paraId="7260F286" w14:textId="77777777" w:rsidR="00563BF6" w:rsidRPr="00D97E23" w:rsidRDefault="00563BF6" w:rsidP="00563BF6">
      <w:pPr>
        <w:ind w:left="0" w:firstLine="0"/>
        <w:rPr>
          <w:szCs w:val="22"/>
        </w:rPr>
      </w:pPr>
    </w:p>
    <w:p w14:paraId="0C44F059" w14:textId="77777777" w:rsidR="00563BF6" w:rsidRPr="00D97E23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Aseptická meningitída</w:t>
      </w:r>
    </w:p>
    <w:p w14:paraId="4BC54EF0" w14:textId="709CE842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 xml:space="preserve">Zriedkavo bola </w:t>
      </w:r>
      <w:r w:rsidR="000A39F2" w:rsidRPr="00D97E23">
        <w:rPr>
          <w:szCs w:val="22"/>
        </w:rPr>
        <w:t>pri</w:t>
      </w:r>
      <w:r w:rsidRPr="00D97E23">
        <w:rPr>
          <w:szCs w:val="22"/>
        </w:rPr>
        <w:t xml:space="preserve"> </w:t>
      </w:r>
      <w:r w:rsidR="00EA6A7E" w:rsidRPr="00D97E23">
        <w:rPr>
          <w:szCs w:val="22"/>
        </w:rPr>
        <w:t>lieko</w:t>
      </w:r>
      <w:r w:rsidR="00583790" w:rsidRPr="00D97E23">
        <w:rPr>
          <w:szCs w:val="22"/>
        </w:rPr>
        <w:t>ch</w:t>
      </w:r>
      <w:r w:rsidRPr="00D97E23">
        <w:rPr>
          <w:szCs w:val="22"/>
        </w:rPr>
        <w:t xml:space="preserve"> obsahujúcich ibuprofén hlásená aseptická meningitída, obvykle, ale nie vždy, u pacientov so systémovým </w:t>
      </w:r>
      <w:r w:rsidRPr="00D97E23">
        <w:rPr>
          <w:i/>
          <w:szCs w:val="22"/>
        </w:rPr>
        <w:t>lupus</w:t>
      </w:r>
      <w:r w:rsidR="005E017D" w:rsidRPr="00D97E23">
        <w:rPr>
          <w:i/>
          <w:szCs w:val="22"/>
        </w:rPr>
        <w:t>om</w:t>
      </w:r>
      <w:r w:rsidRPr="00D97E23">
        <w:rPr>
          <w:i/>
          <w:szCs w:val="22"/>
        </w:rPr>
        <w:t xml:space="preserve"> erythematosus</w:t>
      </w:r>
      <w:r w:rsidRPr="00D97E23">
        <w:rPr>
          <w:szCs w:val="22"/>
        </w:rPr>
        <w:t xml:space="preserve"> (SLE) alebo inými poruchami spojivového tkaniva.</w:t>
      </w:r>
    </w:p>
    <w:p w14:paraId="6B722766" w14:textId="77777777" w:rsidR="00563BF6" w:rsidRPr="00D97E23" w:rsidRDefault="00563BF6" w:rsidP="00563BF6">
      <w:pPr>
        <w:ind w:left="0" w:firstLine="0"/>
        <w:rPr>
          <w:szCs w:val="22"/>
        </w:rPr>
      </w:pPr>
    </w:p>
    <w:p w14:paraId="155E6892" w14:textId="51E0F3D1" w:rsidR="00563BF6" w:rsidRPr="00D97E23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Možn</w:t>
      </w:r>
      <w:r w:rsidR="000A39F2" w:rsidRPr="00D97E23">
        <w:rPr>
          <w:b/>
          <w:i/>
          <w:spacing w:val="-1"/>
          <w:szCs w:val="22"/>
          <w:lang w:eastAsia="en-US"/>
        </w:rPr>
        <w:t>á</w:t>
      </w:r>
      <w:r w:rsidRPr="00D97E23">
        <w:rPr>
          <w:b/>
          <w:i/>
          <w:spacing w:val="-1"/>
          <w:szCs w:val="22"/>
          <w:lang w:eastAsia="en-US"/>
        </w:rPr>
        <w:t xml:space="preserve"> interferen</w:t>
      </w:r>
      <w:r w:rsidR="000A39F2" w:rsidRPr="00D97E23">
        <w:rPr>
          <w:b/>
          <w:i/>
          <w:spacing w:val="-1"/>
          <w:szCs w:val="22"/>
          <w:lang w:eastAsia="en-US"/>
        </w:rPr>
        <w:t>cia s</w:t>
      </w:r>
      <w:r w:rsidRPr="00D97E23">
        <w:rPr>
          <w:b/>
          <w:i/>
          <w:spacing w:val="-1"/>
          <w:szCs w:val="22"/>
          <w:lang w:eastAsia="en-US"/>
        </w:rPr>
        <w:t xml:space="preserve"> laboratórn</w:t>
      </w:r>
      <w:r w:rsidR="000A39F2" w:rsidRPr="00D97E23">
        <w:rPr>
          <w:b/>
          <w:i/>
          <w:spacing w:val="-1"/>
          <w:szCs w:val="22"/>
          <w:lang w:eastAsia="en-US"/>
        </w:rPr>
        <w:t>ymi</w:t>
      </w:r>
      <w:r w:rsidRPr="00D97E23">
        <w:rPr>
          <w:b/>
          <w:i/>
          <w:spacing w:val="-1"/>
          <w:szCs w:val="22"/>
          <w:lang w:eastAsia="en-US"/>
        </w:rPr>
        <w:t xml:space="preserve"> test</w:t>
      </w:r>
      <w:r w:rsidR="000A39F2" w:rsidRPr="00D97E23">
        <w:rPr>
          <w:b/>
          <w:i/>
          <w:spacing w:val="-1"/>
          <w:szCs w:val="22"/>
          <w:lang w:eastAsia="en-US"/>
        </w:rPr>
        <w:t>ami</w:t>
      </w:r>
    </w:p>
    <w:p w14:paraId="61DE6DE5" w14:textId="25316196" w:rsidR="00563BF6" w:rsidRPr="00D97E23" w:rsidRDefault="000A39F2" w:rsidP="00563BF6">
      <w:pPr>
        <w:ind w:left="0" w:firstLine="0"/>
        <w:rPr>
          <w:szCs w:val="22"/>
        </w:rPr>
      </w:pPr>
      <w:r w:rsidRPr="00D97E23">
        <w:rPr>
          <w:szCs w:val="22"/>
        </w:rPr>
        <w:t>Pri použití súčasných analytických systémov, p</w:t>
      </w:r>
      <w:r w:rsidR="00563BF6" w:rsidRPr="00D97E23">
        <w:rPr>
          <w:szCs w:val="22"/>
        </w:rPr>
        <w:t xml:space="preserve">aracetamol nespôsobuje interferenciu </w:t>
      </w:r>
      <w:r w:rsidRPr="00D97E23">
        <w:rPr>
          <w:szCs w:val="22"/>
        </w:rPr>
        <w:t>s</w:t>
      </w:r>
      <w:r w:rsidR="00563BF6" w:rsidRPr="00D97E23">
        <w:rPr>
          <w:szCs w:val="22"/>
        </w:rPr>
        <w:t xml:space="preserve"> laboratórny</w:t>
      </w:r>
      <w:r w:rsidRPr="00D97E23">
        <w:rPr>
          <w:szCs w:val="22"/>
        </w:rPr>
        <w:t>mi</w:t>
      </w:r>
      <w:r w:rsidR="00563BF6" w:rsidRPr="00D97E23">
        <w:rPr>
          <w:szCs w:val="22"/>
        </w:rPr>
        <w:t xml:space="preserve"> test</w:t>
      </w:r>
      <w:r w:rsidRPr="00D97E23">
        <w:rPr>
          <w:szCs w:val="22"/>
        </w:rPr>
        <w:t>ami</w:t>
      </w:r>
      <w:r w:rsidR="00563BF6" w:rsidRPr="00D97E23">
        <w:rPr>
          <w:szCs w:val="22"/>
        </w:rPr>
        <w:t xml:space="preserve">. Existujú však určité metódy, </w:t>
      </w:r>
      <w:r w:rsidRPr="00D97E23">
        <w:rPr>
          <w:szCs w:val="22"/>
        </w:rPr>
        <w:t>pri</w:t>
      </w:r>
      <w:r w:rsidR="00563BF6" w:rsidRPr="00D97E23">
        <w:rPr>
          <w:szCs w:val="22"/>
        </w:rPr>
        <w:t xml:space="preserve"> ktorých existuje riziko skreslenia laboratórneho výsledku, ako je popísané nižšie:</w:t>
      </w:r>
    </w:p>
    <w:p w14:paraId="2D2AE79F" w14:textId="77777777" w:rsidR="00563BF6" w:rsidRPr="00D97E23" w:rsidRDefault="00563BF6" w:rsidP="00563BF6">
      <w:pPr>
        <w:ind w:left="0" w:firstLine="0"/>
        <w:rPr>
          <w:szCs w:val="22"/>
        </w:rPr>
      </w:pPr>
    </w:p>
    <w:p w14:paraId="62049B26" w14:textId="77777777" w:rsidR="00563BF6" w:rsidRPr="00D97E23" w:rsidRDefault="00563BF6" w:rsidP="00563BF6">
      <w:pPr>
        <w:ind w:left="0" w:firstLine="0"/>
        <w:rPr>
          <w:i/>
          <w:iCs/>
          <w:szCs w:val="22"/>
        </w:rPr>
      </w:pPr>
      <w:r w:rsidRPr="00D97E23">
        <w:rPr>
          <w:i/>
          <w:iCs/>
          <w:szCs w:val="22"/>
        </w:rPr>
        <w:t>Močové testy</w:t>
      </w:r>
    </w:p>
    <w:p w14:paraId="65C0D938" w14:textId="77777777" w:rsidR="00E14C1A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 xml:space="preserve">Paracetamol v terapeutických dávkach môže interferovať so stanovením kyseliny </w:t>
      </w:r>
    </w:p>
    <w:p w14:paraId="325A2012" w14:textId="727983C4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>5-hydroxyindol</w:t>
      </w:r>
      <w:r w:rsidR="000A39F2" w:rsidRPr="00D97E23">
        <w:rPr>
          <w:szCs w:val="22"/>
        </w:rPr>
        <w:t>octovej</w:t>
      </w:r>
      <w:r w:rsidRPr="00D97E23">
        <w:rPr>
          <w:szCs w:val="22"/>
        </w:rPr>
        <w:t xml:space="preserve"> (5HIAA), čo môže viesť k falošne pozitívnym výsledkom. Falošné stanovenie môže byť eliminované tým, že sa zabráni požitiu paracetamolu niekoľko hodín pred a počas odberu vzorky moču.</w:t>
      </w:r>
    </w:p>
    <w:p w14:paraId="468D2D80" w14:textId="77777777" w:rsidR="00563BF6" w:rsidRPr="00D97E23" w:rsidRDefault="00563BF6" w:rsidP="00563BF6">
      <w:pPr>
        <w:ind w:left="0" w:firstLine="0"/>
        <w:rPr>
          <w:szCs w:val="22"/>
        </w:rPr>
      </w:pPr>
    </w:p>
    <w:p w14:paraId="311774F9" w14:textId="3AC0F2F6" w:rsidR="00563BF6" w:rsidRPr="00D97E23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 xml:space="preserve">Maskovanie príznakov </w:t>
      </w:r>
      <w:r w:rsidR="008D6DB6" w:rsidRPr="00D97E23">
        <w:rPr>
          <w:b/>
          <w:i/>
          <w:spacing w:val="-1"/>
          <w:szCs w:val="22"/>
          <w:lang w:eastAsia="en-US"/>
        </w:rPr>
        <w:t xml:space="preserve">primárnych </w:t>
      </w:r>
      <w:r w:rsidRPr="00D97E23">
        <w:rPr>
          <w:b/>
          <w:i/>
          <w:spacing w:val="-1"/>
          <w:szCs w:val="22"/>
          <w:lang w:eastAsia="en-US"/>
        </w:rPr>
        <w:t>infekcií</w:t>
      </w:r>
    </w:p>
    <w:p w14:paraId="6BEF3664" w14:textId="4E8727D5" w:rsidR="00563BF6" w:rsidRPr="00D97E23" w:rsidRDefault="002926C5" w:rsidP="00563BF6">
      <w:pPr>
        <w:ind w:left="0" w:firstLine="0"/>
        <w:rPr>
          <w:szCs w:val="22"/>
        </w:rPr>
      </w:pPr>
      <w:r w:rsidRPr="00D97E23">
        <w:t xml:space="preserve">Paracetamol/Ibuprofen Vale </w:t>
      </w:r>
      <w:r w:rsidR="00563BF6" w:rsidRPr="00D97E23">
        <w:rPr>
          <w:szCs w:val="22"/>
        </w:rPr>
        <w:t>môže maskovať príznaky infekcie, čo môže viesť k oneskorenému začati</w:t>
      </w:r>
      <w:r w:rsidR="005E017D" w:rsidRPr="00D97E23">
        <w:rPr>
          <w:szCs w:val="22"/>
        </w:rPr>
        <w:t>u</w:t>
      </w:r>
      <w:r w:rsidR="00563BF6" w:rsidRPr="00D97E23">
        <w:rPr>
          <w:szCs w:val="22"/>
        </w:rPr>
        <w:t xml:space="preserve"> vhodnej liečby</w:t>
      </w:r>
      <w:r w:rsidR="008D6DB6" w:rsidRPr="00D97E23">
        <w:rPr>
          <w:szCs w:val="22"/>
        </w:rPr>
        <w:t>,</w:t>
      </w:r>
      <w:r w:rsidR="00563BF6" w:rsidRPr="00D97E23">
        <w:rPr>
          <w:szCs w:val="22"/>
        </w:rPr>
        <w:t xml:space="preserve"> a tým k zhoršeniu infekcie. </w:t>
      </w:r>
      <w:r w:rsidR="00492908" w:rsidRPr="00D97E23">
        <w:rPr>
          <w:szCs w:val="22"/>
        </w:rPr>
        <w:t>B</w:t>
      </w:r>
      <w:r w:rsidR="00563BF6" w:rsidRPr="00D97E23">
        <w:rPr>
          <w:szCs w:val="22"/>
        </w:rPr>
        <w:t>olo</w:t>
      </w:r>
      <w:r w:rsidR="001D605D" w:rsidRPr="00D97E23">
        <w:rPr>
          <w:szCs w:val="22"/>
        </w:rPr>
        <w:t xml:space="preserve"> to</w:t>
      </w:r>
      <w:r w:rsidR="00563BF6" w:rsidRPr="00D97E23">
        <w:rPr>
          <w:szCs w:val="22"/>
        </w:rPr>
        <w:t xml:space="preserve"> pozorované </w:t>
      </w:r>
      <w:r w:rsidR="001D605D" w:rsidRPr="00D97E23">
        <w:rPr>
          <w:szCs w:val="22"/>
        </w:rPr>
        <w:t>pri komunitne získaných</w:t>
      </w:r>
      <w:r w:rsidR="00563BF6" w:rsidRPr="00D97E23">
        <w:rPr>
          <w:szCs w:val="22"/>
        </w:rPr>
        <w:t xml:space="preserve"> bakteriálnych pneumóni</w:t>
      </w:r>
      <w:r w:rsidR="001D605D" w:rsidRPr="00D97E23">
        <w:rPr>
          <w:szCs w:val="22"/>
        </w:rPr>
        <w:t xml:space="preserve">ách </w:t>
      </w:r>
      <w:r w:rsidR="00563BF6" w:rsidRPr="00D97E23">
        <w:rPr>
          <w:szCs w:val="22"/>
        </w:rPr>
        <w:t>a bakteriálnych komplikáci</w:t>
      </w:r>
      <w:r w:rsidR="001D605D" w:rsidRPr="00D97E23">
        <w:rPr>
          <w:szCs w:val="22"/>
        </w:rPr>
        <w:t>ách</w:t>
      </w:r>
      <w:r w:rsidR="00563BF6" w:rsidRPr="00D97E23">
        <w:rPr>
          <w:szCs w:val="22"/>
        </w:rPr>
        <w:t xml:space="preserve"> vyvolaných </w:t>
      </w:r>
      <w:r w:rsidR="001D605D" w:rsidRPr="00D97E23">
        <w:rPr>
          <w:szCs w:val="22"/>
        </w:rPr>
        <w:t xml:space="preserve">ovčími </w:t>
      </w:r>
      <w:r w:rsidR="00563BF6" w:rsidRPr="00D97E23">
        <w:rPr>
          <w:szCs w:val="22"/>
        </w:rPr>
        <w:t>kiahňam</w:t>
      </w:r>
      <w:r w:rsidR="005E017D" w:rsidRPr="00D97E23">
        <w:rPr>
          <w:szCs w:val="22"/>
        </w:rPr>
        <w:t>i</w:t>
      </w:r>
      <w:r w:rsidR="00563BF6" w:rsidRPr="00D97E23">
        <w:rPr>
          <w:szCs w:val="22"/>
        </w:rPr>
        <w:t xml:space="preserve">. Pokiaľ je </w:t>
      </w:r>
      <w:r w:rsidR="00A1367A" w:rsidRPr="00D97E23">
        <w:rPr>
          <w:szCs w:val="22"/>
        </w:rPr>
        <w:t>Paracetamol/Ibuprofen Vale</w:t>
      </w:r>
      <w:r w:rsidR="001D605D" w:rsidRPr="00D97E23">
        <w:rPr>
          <w:szCs w:val="22"/>
        </w:rPr>
        <w:t xml:space="preserve"> </w:t>
      </w:r>
      <w:r w:rsidR="00563BF6" w:rsidRPr="00D97E23">
        <w:rPr>
          <w:szCs w:val="22"/>
        </w:rPr>
        <w:t xml:space="preserve">podávaný </w:t>
      </w:r>
      <w:r w:rsidR="001D605D" w:rsidRPr="00D97E23">
        <w:rPr>
          <w:szCs w:val="22"/>
        </w:rPr>
        <w:t>na</w:t>
      </w:r>
      <w:r w:rsidR="00563BF6" w:rsidRPr="00D97E23">
        <w:rPr>
          <w:szCs w:val="22"/>
        </w:rPr>
        <w:t xml:space="preserve"> zníženi</w:t>
      </w:r>
      <w:r w:rsidR="001D605D" w:rsidRPr="00D97E23">
        <w:rPr>
          <w:szCs w:val="22"/>
        </w:rPr>
        <w:t>e</w:t>
      </w:r>
      <w:r w:rsidR="00563BF6" w:rsidRPr="00D97E23">
        <w:rPr>
          <w:szCs w:val="22"/>
        </w:rPr>
        <w:t xml:space="preserve"> horúčky alebo úľav</w:t>
      </w:r>
      <w:r w:rsidR="001D605D" w:rsidRPr="00D97E23">
        <w:rPr>
          <w:szCs w:val="22"/>
        </w:rPr>
        <w:t>u</w:t>
      </w:r>
      <w:r w:rsidR="00563BF6" w:rsidRPr="00D97E23">
        <w:rPr>
          <w:szCs w:val="22"/>
        </w:rPr>
        <w:t xml:space="preserve"> od bolesti v súvislosti s</w:t>
      </w:r>
      <w:r w:rsidR="00D97E23" w:rsidRPr="00D97E23">
        <w:rPr>
          <w:szCs w:val="22"/>
        </w:rPr>
        <w:t xml:space="preserve"> </w:t>
      </w:r>
      <w:r w:rsidR="00563BF6" w:rsidRPr="00D97E23">
        <w:rPr>
          <w:szCs w:val="22"/>
        </w:rPr>
        <w:t>infekciou, odporúča sa infekci</w:t>
      </w:r>
      <w:r w:rsidR="005E017D" w:rsidRPr="00D97E23">
        <w:rPr>
          <w:szCs w:val="22"/>
        </w:rPr>
        <w:t>u</w:t>
      </w:r>
      <w:r w:rsidR="00563BF6" w:rsidRPr="00D97E23">
        <w:rPr>
          <w:szCs w:val="22"/>
        </w:rPr>
        <w:t xml:space="preserve"> sledovať. V prípade pobytu mimo nemocnice by mal pacient konzultovať so svojím lekárom prípadné pretrvávajúce</w:t>
      </w:r>
      <w:r w:rsidR="00583790" w:rsidRPr="00D97E23">
        <w:rPr>
          <w:szCs w:val="22"/>
        </w:rPr>
        <w:t>,</w:t>
      </w:r>
      <w:r w:rsidR="00563BF6" w:rsidRPr="00D97E23">
        <w:rPr>
          <w:szCs w:val="22"/>
        </w:rPr>
        <w:t xml:space="preserve"> či zhoršujúce sa príznaky.</w:t>
      </w:r>
    </w:p>
    <w:p w14:paraId="53069489" w14:textId="77777777" w:rsidR="00563BF6" w:rsidRPr="00D97E23" w:rsidRDefault="00563BF6" w:rsidP="00563BF6">
      <w:pPr>
        <w:ind w:left="0" w:firstLine="0"/>
        <w:rPr>
          <w:szCs w:val="22"/>
        </w:rPr>
      </w:pPr>
    </w:p>
    <w:p w14:paraId="3E7D2F80" w14:textId="77777777" w:rsidR="00563BF6" w:rsidRPr="00D97E23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Dlhodobé používanie analgetík</w:t>
      </w:r>
    </w:p>
    <w:p w14:paraId="63941245" w14:textId="77777777" w:rsidR="00563BF6" w:rsidRPr="00D97E23" w:rsidRDefault="00563BF6" w:rsidP="00563BF6">
      <w:pPr>
        <w:ind w:left="0" w:firstLine="0"/>
        <w:rPr>
          <w:szCs w:val="22"/>
        </w:rPr>
      </w:pPr>
      <w:r w:rsidRPr="00D97E23">
        <w:rPr>
          <w:szCs w:val="22"/>
        </w:rPr>
        <w:t>Pri dlhodobom používaní analgetík sa môžu objaviť bolesti hlavy, ktoré sa nesmú ďalej liečiť zvýšením dávky lieku.</w:t>
      </w:r>
    </w:p>
    <w:p w14:paraId="428DD9ED" w14:textId="77777777" w:rsidR="005E017D" w:rsidRPr="00D97E23" w:rsidRDefault="005E017D" w:rsidP="00563BF6">
      <w:pPr>
        <w:ind w:left="0" w:firstLine="0"/>
        <w:rPr>
          <w:szCs w:val="22"/>
        </w:rPr>
      </w:pPr>
    </w:p>
    <w:p w14:paraId="56EE3269" w14:textId="77777777" w:rsidR="005E017D" w:rsidRPr="00D97E23" w:rsidRDefault="005E017D" w:rsidP="005E017D">
      <w:pPr>
        <w:ind w:left="0" w:firstLine="0"/>
        <w:rPr>
          <w:b/>
          <w:i/>
          <w:spacing w:val="-1"/>
          <w:szCs w:val="22"/>
          <w:lang w:eastAsia="en-US"/>
        </w:rPr>
      </w:pPr>
      <w:r w:rsidRPr="00D97E23">
        <w:rPr>
          <w:b/>
          <w:i/>
          <w:spacing w:val="-1"/>
          <w:szCs w:val="22"/>
          <w:lang w:eastAsia="en-US"/>
        </w:rPr>
        <w:t>Osobitné opatrenia</w:t>
      </w:r>
    </w:p>
    <w:p w14:paraId="0B10D3C5" w14:textId="29F51534" w:rsidR="005E017D" w:rsidRPr="00D97E23" w:rsidRDefault="005E017D" w:rsidP="005E017D">
      <w:pPr>
        <w:ind w:left="0" w:firstLine="0"/>
        <w:rPr>
          <w:szCs w:val="22"/>
        </w:rPr>
      </w:pPr>
      <w:r w:rsidRPr="00D97E23">
        <w:rPr>
          <w:szCs w:val="22"/>
        </w:rPr>
        <w:t>Existujú dôkazy, že liečivá, ktoré inhibujú cyklooxygenáz</w:t>
      </w:r>
      <w:r w:rsidR="007C0154" w:rsidRPr="00D97E23">
        <w:rPr>
          <w:szCs w:val="22"/>
        </w:rPr>
        <w:t>u</w:t>
      </w:r>
      <w:r w:rsidRPr="00D97E23">
        <w:rPr>
          <w:szCs w:val="22"/>
        </w:rPr>
        <w:t>/</w:t>
      </w:r>
      <w:r w:rsidR="007C0154" w:rsidRPr="00D97E23">
        <w:rPr>
          <w:szCs w:val="22"/>
        </w:rPr>
        <w:t xml:space="preserve">syntézu </w:t>
      </w:r>
      <w:r w:rsidRPr="00D97E23">
        <w:rPr>
          <w:szCs w:val="22"/>
        </w:rPr>
        <w:t>prostaglandín</w:t>
      </w:r>
      <w:r w:rsidR="007C0154" w:rsidRPr="00D97E23">
        <w:rPr>
          <w:szCs w:val="22"/>
        </w:rPr>
        <w:t>ov</w:t>
      </w:r>
      <w:r w:rsidRPr="00D97E23">
        <w:rPr>
          <w:szCs w:val="22"/>
        </w:rPr>
        <w:t xml:space="preserve">, môžu poškodiť ženskú plodnosť pôsobením na ovuláciu. </w:t>
      </w:r>
      <w:r w:rsidR="007C0154" w:rsidRPr="00D97E23">
        <w:rPr>
          <w:szCs w:val="22"/>
        </w:rPr>
        <w:t>Stav je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>reverzibiln</w:t>
      </w:r>
      <w:r w:rsidR="007C0154" w:rsidRPr="00D97E23">
        <w:rPr>
          <w:szCs w:val="22"/>
        </w:rPr>
        <w:t>ý</w:t>
      </w:r>
      <w:r w:rsidRPr="00D97E23">
        <w:rPr>
          <w:szCs w:val="22"/>
        </w:rPr>
        <w:t xml:space="preserve"> po ukončení liečby.</w:t>
      </w:r>
    </w:p>
    <w:p w14:paraId="1F98D614" w14:textId="77777777" w:rsidR="005E017D" w:rsidRPr="00D97E23" w:rsidRDefault="005E017D" w:rsidP="005E017D">
      <w:pPr>
        <w:ind w:left="0" w:firstLine="0"/>
        <w:rPr>
          <w:szCs w:val="22"/>
        </w:rPr>
      </w:pPr>
    </w:p>
    <w:p w14:paraId="455988DE" w14:textId="2E3828D7" w:rsidR="005E017D" w:rsidRPr="00D97E23" w:rsidRDefault="005E017D" w:rsidP="005E017D">
      <w:pPr>
        <w:ind w:left="0" w:firstLine="0"/>
        <w:rPr>
          <w:szCs w:val="22"/>
        </w:rPr>
      </w:pPr>
      <w:r w:rsidRPr="00D97E23">
        <w:rPr>
          <w:szCs w:val="22"/>
        </w:rPr>
        <w:t xml:space="preserve">U pacientov s vrodenou poruchou metabolizmu porfyrínu (napr. akútna intermitentná porfýria) by malo byť použitie ibuprofénu </w:t>
      </w:r>
      <w:r w:rsidR="007C0154" w:rsidRPr="00D97E23">
        <w:rPr>
          <w:szCs w:val="22"/>
        </w:rPr>
        <w:t xml:space="preserve">indikované </w:t>
      </w:r>
      <w:r w:rsidRPr="00D97E23">
        <w:rPr>
          <w:szCs w:val="22"/>
        </w:rPr>
        <w:t>iba po prísnom posúdení prínosu/rizika.</w:t>
      </w:r>
    </w:p>
    <w:p w14:paraId="16E4910E" w14:textId="77777777" w:rsidR="005E017D" w:rsidRPr="00D97E23" w:rsidRDefault="005E017D" w:rsidP="005E017D">
      <w:pPr>
        <w:ind w:left="0" w:firstLine="0"/>
        <w:rPr>
          <w:szCs w:val="22"/>
        </w:rPr>
      </w:pPr>
    </w:p>
    <w:p w14:paraId="0B97C09B" w14:textId="3A3B46A1" w:rsidR="005E017D" w:rsidRPr="00D97E23" w:rsidRDefault="005E017D" w:rsidP="005E017D">
      <w:pPr>
        <w:ind w:left="0" w:firstLine="0"/>
        <w:rPr>
          <w:szCs w:val="22"/>
        </w:rPr>
      </w:pPr>
      <w:r w:rsidRPr="00D97E23">
        <w:rPr>
          <w:szCs w:val="22"/>
        </w:rPr>
        <w:t>Pri súčasnom požívaní alkoholu môžu byť pri používaní NSAID zvýšené nežiaduce účinky súvisiace s</w:t>
      </w:r>
      <w:r w:rsidR="00D97E23" w:rsidRPr="00D97E23">
        <w:rPr>
          <w:szCs w:val="22"/>
        </w:rPr>
        <w:t xml:space="preserve"> </w:t>
      </w:r>
      <w:r w:rsidR="007C0154" w:rsidRPr="00D97E23">
        <w:rPr>
          <w:szCs w:val="22"/>
        </w:rPr>
        <w:t>liečivami</w:t>
      </w:r>
      <w:r w:rsidRPr="00D97E23">
        <w:rPr>
          <w:szCs w:val="22"/>
        </w:rPr>
        <w:t>, týkajúce sa najmä gastrointestinálneho traktu alebo centrálneho nervového systému.</w:t>
      </w:r>
    </w:p>
    <w:p w14:paraId="57C4B0A1" w14:textId="77777777" w:rsidR="005E017D" w:rsidRPr="00D97E23" w:rsidRDefault="005E017D" w:rsidP="005E017D">
      <w:pPr>
        <w:ind w:left="0" w:firstLine="0"/>
        <w:rPr>
          <w:szCs w:val="22"/>
        </w:rPr>
      </w:pPr>
      <w:r w:rsidRPr="00D97E23">
        <w:rPr>
          <w:szCs w:val="22"/>
        </w:rPr>
        <w:t>Je potrebná zvýšená opatrnosť u pacientov so špecifickými stavmi, ktoré sa môžu zhoršovať:</w:t>
      </w:r>
    </w:p>
    <w:p w14:paraId="2FB904C7" w14:textId="77777777" w:rsidR="005E017D" w:rsidRPr="00D97E23" w:rsidRDefault="005E017D" w:rsidP="005E017D">
      <w:pPr>
        <w:pStyle w:val="Odsekzoznamu"/>
        <w:numPr>
          <w:ilvl w:val="0"/>
          <w:numId w:val="3"/>
        </w:numPr>
        <w:rPr>
          <w:szCs w:val="22"/>
        </w:rPr>
      </w:pPr>
      <w:r w:rsidRPr="00D97E23">
        <w:rPr>
          <w:szCs w:val="22"/>
        </w:rPr>
        <w:t>U pacientov, ktorí alergicky reagujú na iné látky, existuje zvýšené riziko výskytu reakcií z precitlivenosti pri používaní tohto lieku.</w:t>
      </w:r>
    </w:p>
    <w:p w14:paraId="67F91C89" w14:textId="47439975" w:rsidR="005E017D" w:rsidRPr="00D97E23" w:rsidRDefault="005E017D" w:rsidP="005E017D">
      <w:pPr>
        <w:pStyle w:val="Odsekzoznamu"/>
        <w:numPr>
          <w:ilvl w:val="0"/>
          <w:numId w:val="3"/>
        </w:numPr>
        <w:rPr>
          <w:szCs w:val="22"/>
        </w:rPr>
      </w:pPr>
      <w:r w:rsidRPr="00D97E23">
        <w:rPr>
          <w:szCs w:val="22"/>
        </w:rPr>
        <w:t>U</w:t>
      </w:r>
      <w:r w:rsidR="007C0154" w:rsidRPr="00D97E23">
        <w:rPr>
          <w:szCs w:val="22"/>
        </w:rPr>
        <w:t> </w:t>
      </w:r>
      <w:r w:rsidRPr="00D97E23">
        <w:rPr>
          <w:szCs w:val="22"/>
        </w:rPr>
        <w:t>pacientov</w:t>
      </w:r>
      <w:r w:rsidR="007C0154" w:rsidRPr="00D97E23">
        <w:rPr>
          <w:szCs w:val="22"/>
        </w:rPr>
        <w:t xml:space="preserve"> so</w:t>
      </w:r>
      <w:r w:rsidRPr="00D97E23">
        <w:rPr>
          <w:szCs w:val="22"/>
        </w:rPr>
        <w:t xml:space="preserve"> sennou nádchou, nosovými polypmi alebo chronickými obštrukčnými respiračnými poruchami, existuje zvýšené riziko výskytu alergických reakcií. Tie sa môžu prejaviť ako záchvaty astmy (tzv. analgetická astma), Quinck</w:t>
      </w:r>
      <w:r w:rsidR="007C0154" w:rsidRPr="00D97E23">
        <w:rPr>
          <w:szCs w:val="22"/>
        </w:rPr>
        <w:t>eho</w:t>
      </w:r>
      <w:r w:rsidRPr="00D97E23">
        <w:rPr>
          <w:szCs w:val="22"/>
        </w:rPr>
        <w:t xml:space="preserve"> edém alebo žihľavka.</w:t>
      </w:r>
    </w:p>
    <w:p w14:paraId="5AC8903B" w14:textId="77777777" w:rsidR="005E017D" w:rsidRPr="00D97E23" w:rsidRDefault="005E017D" w:rsidP="005E017D">
      <w:pPr>
        <w:ind w:left="0" w:firstLine="0"/>
        <w:rPr>
          <w:szCs w:val="22"/>
        </w:rPr>
      </w:pPr>
    </w:p>
    <w:p w14:paraId="5B5206D1" w14:textId="29AB5263" w:rsidR="005E017D" w:rsidRPr="00D97E23" w:rsidRDefault="005E017D" w:rsidP="005E017D">
      <w:pPr>
        <w:ind w:left="0" w:firstLine="0"/>
        <w:rPr>
          <w:szCs w:val="22"/>
        </w:rPr>
      </w:pPr>
      <w:r w:rsidRPr="00D97E23">
        <w:rPr>
          <w:szCs w:val="22"/>
        </w:rPr>
        <w:t>Tento liek obsahuje 35,06 mg sodíka v jednej 100 ml injekčnej liekovke</w:t>
      </w:r>
      <w:r w:rsidR="00485D71" w:rsidRPr="00D97E23">
        <w:rPr>
          <w:szCs w:val="22"/>
        </w:rPr>
        <w:t>, čo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 xml:space="preserve">zodpovedá 1,75% </w:t>
      </w:r>
      <w:r w:rsidR="00485D71" w:rsidRPr="00D97E23">
        <w:rPr>
          <w:szCs w:val="22"/>
        </w:rPr>
        <w:t xml:space="preserve">WHO </w:t>
      </w:r>
      <w:r w:rsidRPr="00D97E23">
        <w:rPr>
          <w:szCs w:val="22"/>
        </w:rPr>
        <w:t>odporúčan</w:t>
      </w:r>
      <w:r w:rsidR="00485D71" w:rsidRPr="00D97E23">
        <w:rPr>
          <w:szCs w:val="22"/>
        </w:rPr>
        <w:t>ého</w:t>
      </w:r>
      <w:r w:rsidRPr="00D97E23">
        <w:rPr>
          <w:szCs w:val="22"/>
        </w:rPr>
        <w:t xml:space="preserve"> </w:t>
      </w:r>
      <w:r w:rsidR="00485D71" w:rsidRPr="00D97E23">
        <w:rPr>
          <w:szCs w:val="22"/>
        </w:rPr>
        <w:t xml:space="preserve">maximálneho </w:t>
      </w:r>
      <w:r w:rsidRPr="00D97E23">
        <w:rPr>
          <w:szCs w:val="22"/>
        </w:rPr>
        <w:t>denn</w:t>
      </w:r>
      <w:r w:rsidR="00485D71" w:rsidRPr="00D97E23">
        <w:rPr>
          <w:szCs w:val="22"/>
        </w:rPr>
        <w:t>ého</w:t>
      </w:r>
      <w:r w:rsidRPr="00D97E23">
        <w:rPr>
          <w:szCs w:val="22"/>
        </w:rPr>
        <w:t xml:space="preserve"> </w:t>
      </w:r>
      <w:r w:rsidR="00485D71" w:rsidRPr="00D97E23">
        <w:rPr>
          <w:szCs w:val="22"/>
        </w:rPr>
        <w:t>príjmu</w:t>
      </w:r>
      <w:r w:rsidRPr="00D97E23">
        <w:rPr>
          <w:szCs w:val="22"/>
        </w:rPr>
        <w:t xml:space="preserve"> 2 g sodíka pre dospelú osobu.</w:t>
      </w:r>
    </w:p>
    <w:p w14:paraId="74DC6287" w14:textId="77777777" w:rsidR="00FD4DD8" w:rsidRPr="00D97E23" w:rsidRDefault="00FD4DD8" w:rsidP="005E017D">
      <w:pPr>
        <w:ind w:left="0" w:firstLine="0"/>
        <w:rPr>
          <w:szCs w:val="22"/>
        </w:rPr>
      </w:pPr>
    </w:p>
    <w:p w14:paraId="45BCD6BE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4.5</w:t>
      </w:r>
      <w:r w:rsidRPr="00D97E23">
        <w:rPr>
          <w:b/>
          <w:szCs w:val="22"/>
        </w:rPr>
        <w:tab/>
        <w:t>Liekové a iné interakcie</w:t>
      </w:r>
    </w:p>
    <w:p w14:paraId="7887210B" w14:textId="77777777" w:rsidR="005E017D" w:rsidRPr="00D97E23" w:rsidRDefault="005E017D" w:rsidP="00FD4DD8">
      <w:pPr>
        <w:rPr>
          <w:b/>
          <w:szCs w:val="22"/>
        </w:rPr>
      </w:pPr>
    </w:p>
    <w:p w14:paraId="730BA405" w14:textId="14611F9B" w:rsidR="005E017D" w:rsidRPr="00D97E23" w:rsidRDefault="005E017D" w:rsidP="005E017D">
      <w:pPr>
        <w:ind w:left="0" w:firstLine="0"/>
        <w:rPr>
          <w:noProof/>
        </w:rPr>
      </w:pPr>
      <w:r w:rsidRPr="00D97E23">
        <w:rPr>
          <w:noProof/>
        </w:rPr>
        <w:t xml:space="preserve">Bez </w:t>
      </w:r>
      <w:r w:rsidR="0089394D" w:rsidRPr="00D97E23">
        <w:rPr>
          <w:noProof/>
        </w:rPr>
        <w:t xml:space="preserve">odporúčania </w:t>
      </w:r>
      <w:r w:rsidRPr="00D97E23">
        <w:rPr>
          <w:noProof/>
        </w:rPr>
        <w:t xml:space="preserve">lekára tento liek </w:t>
      </w:r>
      <w:r w:rsidR="0089394D" w:rsidRPr="00D97E23">
        <w:rPr>
          <w:noProof/>
        </w:rPr>
        <w:t xml:space="preserve">nesmie byť </w:t>
      </w:r>
      <w:r w:rsidRPr="00D97E23">
        <w:rPr>
          <w:noProof/>
        </w:rPr>
        <w:t>užívaný s inými liekmi obsahujúcimi paracetamol, ibuprof</w:t>
      </w:r>
      <w:r w:rsidR="0089394D" w:rsidRPr="00D97E23">
        <w:rPr>
          <w:noProof/>
        </w:rPr>
        <w:t>é</w:t>
      </w:r>
      <w:r w:rsidRPr="00D97E23">
        <w:rPr>
          <w:noProof/>
        </w:rPr>
        <w:t>n, kyselinu acetylsalicylovú, salicyláty alebo s inými protizápalovými liekmi (NSAID).</w:t>
      </w:r>
    </w:p>
    <w:p w14:paraId="20A04BEE" w14:textId="77777777" w:rsidR="005E017D" w:rsidRPr="00D97E23" w:rsidRDefault="005E017D" w:rsidP="005E017D">
      <w:pPr>
        <w:rPr>
          <w:noProof/>
        </w:rPr>
      </w:pPr>
    </w:p>
    <w:p w14:paraId="408DA388" w14:textId="6D064816" w:rsidR="005E017D" w:rsidRPr="00D97E23" w:rsidRDefault="005E017D" w:rsidP="005E017D">
      <w:pPr>
        <w:rPr>
          <w:noProof/>
        </w:rPr>
      </w:pPr>
      <w:r w:rsidRPr="00D97E23">
        <w:rPr>
          <w:noProof/>
          <w:u w:val="single"/>
        </w:rPr>
        <w:lastRenderedPageBreak/>
        <w:t>Ibuprof</w:t>
      </w:r>
      <w:r w:rsidR="0089394D" w:rsidRPr="00D97E23">
        <w:rPr>
          <w:noProof/>
          <w:u w:val="single"/>
        </w:rPr>
        <w:t>é</w:t>
      </w:r>
      <w:r w:rsidRPr="00D97E23">
        <w:rPr>
          <w:noProof/>
          <w:u w:val="single"/>
        </w:rPr>
        <w:t>n</w:t>
      </w:r>
      <w:r w:rsidRPr="00D97E23">
        <w:rPr>
          <w:noProof/>
        </w:rPr>
        <w:t>:</w:t>
      </w:r>
    </w:p>
    <w:p w14:paraId="14C7697B" w14:textId="2C8472B0" w:rsidR="005E017D" w:rsidRPr="00D97E23" w:rsidRDefault="005E017D" w:rsidP="005E017D">
      <w:pPr>
        <w:ind w:left="0" w:firstLine="0"/>
        <w:rPr>
          <w:noProof/>
        </w:rPr>
      </w:pPr>
      <w:r w:rsidRPr="00D97E23">
        <w:rPr>
          <w:noProof/>
        </w:rPr>
        <w:t xml:space="preserve">Rovnako ako </w:t>
      </w:r>
      <w:r w:rsidR="0089394D" w:rsidRPr="00D97E23">
        <w:rPr>
          <w:noProof/>
        </w:rPr>
        <w:t>pri</w:t>
      </w:r>
      <w:r w:rsidRPr="00D97E23">
        <w:rPr>
          <w:noProof/>
        </w:rPr>
        <w:t xml:space="preserve"> iných </w:t>
      </w:r>
      <w:r w:rsidR="00EA6A7E" w:rsidRPr="00D97E23">
        <w:rPr>
          <w:noProof/>
        </w:rPr>
        <w:t>lieko</w:t>
      </w:r>
      <w:r w:rsidR="00056D36" w:rsidRPr="00D97E23">
        <w:rPr>
          <w:noProof/>
        </w:rPr>
        <w:t>c</w:t>
      </w:r>
      <w:r w:rsidR="0089394D" w:rsidRPr="00D97E23">
        <w:rPr>
          <w:noProof/>
        </w:rPr>
        <w:t>h</w:t>
      </w:r>
      <w:r w:rsidRPr="00D97E23">
        <w:rPr>
          <w:noProof/>
        </w:rPr>
        <w:t xml:space="preserve"> obsahujúcich ibuprof</w:t>
      </w:r>
      <w:r w:rsidR="0089394D" w:rsidRPr="00D97E23">
        <w:rPr>
          <w:noProof/>
        </w:rPr>
        <w:t>é</w:t>
      </w:r>
      <w:r w:rsidR="00583790" w:rsidRPr="00D97E23">
        <w:rPr>
          <w:noProof/>
        </w:rPr>
        <w:t xml:space="preserve">n </w:t>
      </w:r>
      <w:r w:rsidR="008B5FCD" w:rsidRPr="00D97E23">
        <w:rPr>
          <w:noProof/>
        </w:rPr>
        <w:t>sa nemajú</w:t>
      </w:r>
      <w:r w:rsidRPr="00D97E23">
        <w:rPr>
          <w:noProof/>
        </w:rPr>
        <w:t xml:space="preserve"> používať nasledujúce kombinácie s</w:t>
      </w:r>
      <w:r w:rsidR="00D97E23" w:rsidRPr="00D97E23">
        <w:rPr>
          <w:noProof/>
        </w:rPr>
        <w:t xml:space="preserve"> </w:t>
      </w:r>
      <w:r w:rsidR="00A1367A" w:rsidRPr="00D97E23">
        <w:t>Paracetamol</w:t>
      </w:r>
      <w:r w:rsidR="0089394D" w:rsidRPr="00D97E23">
        <w:t>om</w:t>
      </w:r>
      <w:r w:rsidR="00A1367A" w:rsidRPr="00D97E23">
        <w:t>/Ibuprofen</w:t>
      </w:r>
      <w:r w:rsidR="0089394D" w:rsidRPr="00D97E23">
        <w:t>om</w:t>
      </w:r>
      <w:r w:rsidR="00A1367A" w:rsidRPr="00D97E23">
        <w:t xml:space="preserve"> Vale</w:t>
      </w:r>
      <w:r w:rsidRPr="00D97E23">
        <w:rPr>
          <w:noProof/>
        </w:rPr>
        <w:t>:</w:t>
      </w:r>
    </w:p>
    <w:p w14:paraId="41265BB1" w14:textId="2ECC696B" w:rsidR="005E017D" w:rsidRPr="00D97E23" w:rsidRDefault="00056D36" w:rsidP="005E017D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Liečiva zo skupiny</w:t>
      </w:r>
      <w:r w:rsidR="00256651" w:rsidRPr="00D97E23">
        <w:rPr>
          <w:i/>
          <w:iCs/>
          <w:noProof/>
        </w:rPr>
        <w:t xml:space="preserve"> </w:t>
      </w:r>
      <w:r w:rsidRPr="00D97E23">
        <w:rPr>
          <w:i/>
          <w:iCs/>
          <w:noProof/>
        </w:rPr>
        <w:t>d</w:t>
      </w:r>
      <w:r w:rsidR="005E017D" w:rsidRPr="00D97E23">
        <w:rPr>
          <w:i/>
          <w:iCs/>
          <w:noProof/>
        </w:rPr>
        <w:t>ikumarol</w:t>
      </w:r>
      <w:r w:rsidRPr="00D97E23">
        <w:rPr>
          <w:i/>
          <w:iCs/>
          <w:noProof/>
        </w:rPr>
        <w:t>ov</w:t>
      </w:r>
      <w:r w:rsidR="005E017D" w:rsidRPr="00D97E23">
        <w:rPr>
          <w:noProof/>
        </w:rPr>
        <w:t xml:space="preserve">: NSAID môžu zvýšiť účinok antikoagulancií, ako je warfarín. Experimentálne štúdie </w:t>
      </w:r>
      <w:r w:rsidRPr="00D97E23">
        <w:rPr>
          <w:noProof/>
        </w:rPr>
        <w:t>naznačujú</w:t>
      </w:r>
      <w:r w:rsidR="005E017D" w:rsidRPr="00D97E23">
        <w:rPr>
          <w:noProof/>
        </w:rPr>
        <w:t>, že ibuprofén</w:t>
      </w:r>
      <w:r w:rsidRPr="00D97E23">
        <w:rPr>
          <w:noProof/>
        </w:rPr>
        <w:t xml:space="preserve"> zosilňuje účinok warfarínu nadobu krvácania</w:t>
      </w:r>
      <w:r w:rsidR="005E017D" w:rsidRPr="00D97E23">
        <w:rPr>
          <w:noProof/>
        </w:rPr>
        <w:t>. NSAID a skupina dikumarolu sú metabolizované rovnakým enzýmom, CYP2C9.</w:t>
      </w:r>
    </w:p>
    <w:p w14:paraId="77985E21" w14:textId="4BEA57B3" w:rsidR="005E017D" w:rsidRPr="00D97E23" w:rsidRDefault="005E017D" w:rsidP="005E017D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Antiagregačn</w:t>
      </w:r>
      <w:r w:rsidR="008B5FCD" w:rsidRPr="00D97E23">
        <w:rPr>
          <w:i/>
          <w:iCs/>
          <w:noProof/>
        </w:rPr>
        <w:t>é</w:t>
      </w:r>
      <w:r w:rsidRPr="00D97E23">
        <w:rPr>
          <w:i/>
          <w:iCs/>
          <w:noProof/>
        </w:rPr>
        <w:t xml:space="preserve"> lie</w:t>
      </w:r>
      <w:r w:rsidR="008B5FCD" w:rsidRPr="00D97E23">
        <w:rPr>
          <w:i/>
          <w:iCs/>
          <w:noProof/>
        </w:rPr>
        <w:t>čivá</w:t>
      </w:r>
      <w:r w:rsidRPr="00D97E23">
        <w:rPr>
          <w:noProof/>
        </w:rPr>
        <w:t xml:space="preserve">: NSAID </w:t>
      </w:r>
      <w:r w:rsidR="008B5FCD" w:rsidRPr="00D97E23">
        <w:rPr>
          <w:noProof/>
        </w:rPr>
        <w:t>sa nemajú</w:t>
      </w:r>
      <w:r w:rsidRPr="00D97E23">
        <w:rPr>
          <w:noProof/>
        </w:rPr>
        <w:t xml:space="preserve"> kombinova</w:t>
      </w:r>
      <w:r w:rsidR="008B5FCD" w:rsidRPr="00D97E23">
        <w:rPr>
          <w:noProof/>
        </w:rPr>
        <w:t>ť</w:t>
      </w:r>
      <w:r w:rsidRPr="00D97E23">
        <w:rPr>
          <w:noProof/>
        </w:rPr>
        <w:t xml:space="preserve"> s antiagregačn</w:t>
      </w:r>
      <w:r w:rsidR="008B5FCD" w:rsidRPr="00D97E23">
        <w:rPr>
          <w:noProof/>
        </w:rPr>
        <w:t>ými</w:t>
      </w:r>
      <w:r w:rsidRPr="00D97E23">
        <w:rPr>
          <w:noProof/>
        </w:rPr>
        <w:t xml:space="preserve"> lieč</w:t>
      </w:r>
      <w:r w:rsidR="008B5FCD" w:rsidRPr="00D97E23">
        <w:rPr>
          <w:noProof/>
        </w:rPr>
        <w:t>ivami</w:t>
      </w:r>
      <w:r w:rsidRPr="00D97E23">
        <w:rPr>
          <w:noProof/>
        </w:rPr>
        <w:t>, ako je tiklopidín, kvôli aditívnej inhibíci</w:t>
      </w:r>
      <w:r w:rsidR="008B5FCD" w:rsidRPr="00D97E23">
        <w:rPr>
          <w:noProof/>
        </w:rPr>
        <w:t>i</w:t>
      </w:r>
      <w:r w:rsidRPr="00D97E23">
        <w:rPr>
          <w:noProof/>
        </w:rPr>
        <w:t xml:space="preserve"> funkcie trombocytov (pozri nižšie).</w:t>
      </w:r>
    </w:p>
    <w:p w14:paraId="2B60071C" w14:textId="1255FA02" w:rsidR="005E017D" w:rsidRPr="00D97E23" w:rsidRDefault="005E017D" w:rsidP="005E017D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Metotrexát</w:t>
      </w:r>
      <w:r w:rsidRPr="00D97E23">
        <w:rPr>
          <w:noProof/>
        </w:rPr>
        <w:t>: NSAID inhibujú tubulárnu sekréciu metotrexátu a v dôsledku toho môže dôjsť aj k metabolickej interakcii so znížen</w:t>
      </w:r>
      <w:r w:rsidR="008B5FCD" w:rsidRPr="00D97E23">
        <w:rPr>
          <w:noProof/>
        </w:rPr>
        <w:t>ým</w:t>
      </w:r>
      <w:r w:rsidRPr="00D97E23">
        <w:rPr>
          <w:noProof/>
        </w:rPr>
        <w:t xml:space="preserve"> </w:t>
      </w:r>
      <w:r w:rsidR="001C029E" w:rsidRPr="00D97E23">
        <w:rPr>
          <w:noProof/>
        </w:rPr>
        <w:t>klírens</w:t>
      </w:r>
      <w:r w:rsidR="008B5FCD" w:rsidRPr="00D97E23">
        <w:rPr>
          <w:noProof/>
        </w:rPr>
        <w:t>om</w:t>
      </w:r>
      <w:r w:rsidRPr="00D97E23">
        <w:rPr>
          <w:noProof/>
        </w:rPr>
        <w:t xml:space="preserve"> metotrexátu. </w:t>
      </w:r>
      <w:r w:rsidR="00E14C1A" w:rsidRPr="00D97E23">
        <w:rPr>
          <w:noProof/>
        </w:rPr>
        <w:t xml:space="preserve">Riziko potenciálnej interakcie medzi NSAID a metotrexátom sa má vziať do úvahy aj </w:t>
      </w:r>
      <w:r w:rsidR="008B5FCD" w:rsidRPr="00D97E23">
        <w:rPr>
          <w:noProof/>
        </w:rPr>
        <w:t>pri</w:t>
      </w:r>
      <w:r w:rsidR="00D97E23" w:rsidRPr="00D97E23">
        <w:rPr>
          <w:noProof/>
        </w:rPr>
        <w:t xml:space="preserve"> </w:t>
      </w:r>
      <w:r w:rsidR="00E14C1A" w:rsidRPr="00D97E23">
        <w:rPr>
          <w:noProof/>
        </w:rPr>
        <w:t>nízk</w:t>
      </w:r>
      <w:r w:rsidR="008B5FCD" w:rsidRPr="00D97E23">
        <w:rPr>
          <w:noProof/>
        </w:rPr>
        <w:t>ej</w:t>
      </w:r>
      <w:r w:rsidR="00E14C1A" w:rsidRPr="00D97E23">
        <w:rPr>
          <w:noProof/>
        </w:rPr>
        <w:t xml:space="preserve"> dávk</w:t>
      </w:r>
      <w:r w:rsidR="008B5FCD" w:rsidRPr="00D97E23">
        <w:rPr>
          <w:noProof/>
        </w:rPr>
        <w:t>e</w:t>
      </w:r>
      <w:r w:rsidR="00E14C1A" w:rsidRPr="00D97E23">
        <w:rPr>
          <w:noProof/>
        </w:rPr>
        <w:t xml:space="preserve"> metotrexát</w:t>
      </w:r>
      <w:r w:rsidR="008B5FCD" w:rsidRPr="00D97E23">
        <w:rPr>
          <w:noProof/>
        </w:rPr>
        <w:t>u</w:t>
      </w:r>
      <w:r w:rsidR="00E14C1A" w:rsidRPr="00D97E23">
        <w:rPr>
          <w:noProof/>
        </w:rPr>
        <w:t xml:space="preserve">, najmä u pacientov s poškodením obličiek. </w:t>
      </w:r>
      <w:r w:rsidRPr="00D97E23">
        <w:rPr>
          <w:noProof/>
        </w:rPr>
        <w:t xml:space="preserve">Pri každej kombinovanej liečbe by mala byť sledovaná funkcia obličiek. Ak sú NSAID a metotrexát podané do 24 hodín, je potrebné postupovať opatrne, pretože plazmatické </w:t>
      </w:r>
      <w:r w:rsidR="008B5FCD" w:rsidRPr="00D97E23">
        <w:rPr>
          <w:noProof/>
        </w:rPr>
        <w:t xml:space="preserve">koncentrácie </w:t>
      </w:r>
      <w:r w:rsidRPr="00D97E23">
        <w:rPr>
          <w:noProof/>
        </w:rPr>
        <w:t xml:space="preserve">metotrexátu sa môžu zvýšiť, čo vedie k zvýšenej toxicite. Podľa toho by sa pri liečbe vysokými dávkami metotrexátu </w:t>
      </w:r>
      <w:r w:rsidR="008B5FCD" w:rsidRPr="00D97E23">
        <w:rPr>
          <w:noProof/>
        </w:rPr>
        <w:t>malo vyhnúť</w:t>
      </w:r>
      <w:r w:rsidRPr="00D97E23">
        <w:rPr>
          <w:noProof/>
        </w:rPr>
        <w:t xml:space="preserve"> NSAID.</w:t>
      </w:r>
    </w:p>
    <w:p w14:paraId="1DFD7F09" w14:textId="625FF242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Kyselina acetylsalicylová</w:t>
      </w:r>
      <w:r w:rsidRPr="00D97E23">
        <w:rPr>
          <w:noProof/>
        </w:rPr>
        <w:t>: Súbežné podávanie ibuprofénu a kyseliny acetylsalicylovej sa všeobecne neodporúča z dôvodu možn</w:t>
      </w:r>
      <w:r w:rsidR="008B5FCD" w:rsidRPr="00D97E23">
        <w:rPr>
          <w:noProof/>
        </w:rPr>
        <w:t>ého</w:t>
      </w:r>
      <w:r w:rsidRPr="00D97E23">
        <w:rPr>
          <w:noProof/>
        </w:rPr>
        <w:t xml:space="preserve"> zvýšen</w:t>
      </w:r>
      <w:r w:rsidR="008B5FCD" w:rsidRPr="00D97E23">
        <w:rPr>
          <w:noProof/>
        </w:rPr>
        <w:t>ého</w:t>
      </w:r>
      <w:r w:rsidR="00E14C1A" w:rsidRPr="00D97E23">
        <w:rPr>
          <w:noProof/>
        </w:rPr>
        <w:t xml:space="preserve"> výskyt</w:t>
      </w:r>
      <w:r w:rsidR="008B5FCD" w:rsidRPr="00D97E23">
        <w:rPr>
          <w:noProof/>
        </w:rPr>
        <w:t>u</w:t>
      </w:r>
      <w:r w:rsidRPr="00D97E23">
        <w:rPr>
          <w:noProof/>
        </w:rPr>
        <w:t xml:space="preserve"> </w:t>
      </w:r>
      <w:r w:rsidR="008B5FCD" w:rsidRPr="00D97E23">
        <w:rPr>
          <w:noProof/>
        </w:rPr>
        <w:t>nežiaducich</w:t>
      </w:r>
      <w:r w:rsidRPr="00D97E23">
        <w:rPr>
          <w:noProof/>
        </w:rPr>
        <w:t xml:space="preserve"> účinkov. Experimentálne údaje naznačujú, že ibuprofén môže kompetitívne inhibovať účinok nízkej dávky kyseliny acetylsalicylovej na agregáciu trombocytov, </w:t>
      </w:r>
      <w:r w:rsidR="008B5FCD" w:rsidRPr="00D97E23">
        <w:rPr>
          <w:noProof/>
        </w:rPr>
        <w:t xml:space="preserve">ak </w:t>
      </w:r>
      <w:r w:rsidRPr="00D97E23">
        <w:rPr>
          <w:noProof/>
        </w:rPr>
        <w:t>sú podávané sú</w:t>
      </w:r>
      <w:r w:rsidR="008B5FCD" w:rsidRPr="00D97E23">
        <w:rPr>
          <w:noProof/>
        </w:rPr>
        <w:t>bežne</w:t>
      </w:r>
      <w:r w:rsidRPr="00D97E23">
        <w:rPr>
          <w:noProof/>
        </w:rPr>
        <w:t xml:space="preserve">. Hoci existuje neistota ohľadom extrapolácie týchto údajov </w:t>
      </w:r>
      <w:r w:rsidR="008B5FCD" w:rsidRPr="00D97E23">
        <w:rPr>
          <w:noProof/>
        </w:rPr>
        <w:t>do</w:t>
      </w:r>
      <w:r w:rsidRPr="00D97E23">
        <w:rPr>
          <w:noProof/>
        </w:rPr>
        <w:t xml:space="preserve"> klinick</w:t>
      </w:r>
      <w:r w:rsidR="008B5FCD" w:rsidRPr="00D97E23">
        <w:rPr>
          <w:noProof/>
        </w:rPr>
        <w:t>ej</w:t>
      </w:r>
      <w:r w:rsidRPr="00D97E23">
        <w:rPr>
          <w:noProof/>
        </w:rPr>
        <w:t xml:space="preserve"> </w:t>
      </w:r>
      <w:r w:rsidR="008B5FCD" w:rsidRPr="00D97E23">
        <w:rPr>
          <w:noProof/>
        </w:rPr>
        <w:t>praxe</w:t>
      </w:r>
      <w:r w:rsidRPr="00D97E23">
        <w:rPr>
          <w:noProof/>
        </w:rPr>
        <w:t xml:space="preserve">, nemožno vylúčiť možnosť, že pravidelné a dlhodobé užívanie ibuprofenu môže znížiť kardioprotektívny účinok nízkej dávky kyseliny acetylsalicylovej. </w:t>
      </w:r>
      <w:r w:rsidR="006A52B0" w:rsidRPr="00D97E23">
        <w:rPr>
          <w:noProof/>
        </w:rPr>
        <w:t>Pri</w:t>
      </w:r>
      <w:r w:rsidRPr="00D97E23">
        <w:rPr>
          <w:noProof/>
        </w:rPr>
        <w:t xml:space="preserve"> príležitostn</w:t>
      </w:r>
      <w:r w:rsidR="006A52B0" w:rsidRPr="00D97E23">
        <w:rPr>
          <w:noProof/>
        </w:rPr>
        <w:t>om</w:t>
      </w:r>
      <w:r w:rsidRPr="00D97E23">
        <w:rPr>
          <w:noProof/>
        </w:rPr>
        <w:t xml:space="preserve"> použit</w:t>
      </w:r>
      <w:r w:rsidR="006A52B0" w:rsidRPr="00D97E23">
        <w:rPr>
          <w:noProof/>
        </w:rPr>
        <w:t>í</w:t>
      </w:r>
      <w:r w:rsidRPr="00D97E23">
        <w:rPr>
          <w:noProof/>
        </w:rPr>
        <w:t xml:space="preserve"> ibuprofénu sa nepredpokladá klinicky relevantný účinok (pozri časť 5.1).</w:t>
      </w:r>
    </w:p>
    <w:p w14:paraId="20FF4926" w14:textId="408DB5D3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Lítium</w:t>
      </w:r>
      <w:r w:rsidRPr="00D97E23">
        <w:rPr>
          <w:noProof/>
        </w:rPr>
        <w:t>: Ibuprofén znižuje renálny klírens lítia, čo môže viesť k zvýšeniu hladiny lítia v sére. Je potrebné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 xml:space="preserve">vyhnúť </w:t>
      </w:r>
      <w:r w:rsidR="008B0D02" w:rsidRPr="00D97E23">
        <w:rPr>
          <w:noProof/>
        </w:rPr>
        <w:t xml:space="preserve">sa </w:t>
      </w:r>
      <w:r w:rsidRPr="00D97E23">
        <w:rPr>
          <w:noProof/>
        </w:rPr>
        <w:t xml:space="preserve">kombinácii, ak nie je možné vykonávať časté kontroly sérového lítia a </w:t>
      </w:r>
      <w:r w:rsidR="008B0D02" w:rsidRPr="00D97E23">
        <w:rPr>
          <w:noProof/>
        </w:rPr>
        <w:t>znížiť</w:t>
      </w:r>
      <w:r w:rsidRPr="00D97E23">
        <w:rPr>
          <w:noProof/>
        </w:rPr>
        <w:t xml:space="preserve"> dávk</w:t>
      </w:r>
      <w:r w:rsidR="008B0D02" w:rsidRPr="00D97E23">
        <w:rPr>
          <w:noProof/>
        </w:rPr>
        <w:t>u</w:t>
      </w:r>
      <w:r w:rsidRPr="00D97E23">
        <w:rPr>
          <w:noProof/>
        </w:rPr>
        <w:t xml:space="preserve"> lítia.</w:t>
      </w:r>
    </w:p>
    <w:p w14:paraId="7CA5F837" w14:textId="1C66A040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Srdcové glykozidy</w:t>
      </w:r>
      <w:r w:rsidRPr="00D97E23">
        <w:rPr>
          <w:noProof/>
        </w:rPr>
        <w:t xml:space="preserve">: NSAID môžu zhoršovať </w:t>
      </w:r>
      <w:r w:rsidR="000224B1" w:rsidRPr="00D97E23">
        <w:rPr>
          <w:noProof/>
        </w:rPr>
        <w:t>zlyhávanie srdca</w:t>
      </w:r>
      <w:r w:rsidRPr="00D97E23">
        <w:rPr>
          <w:noProof/>
        </w:rPr>
        <w:t>, znižovať glomerulárnu filtráciu a zvyšovať plazmatick</w:t>
      </w:r>
      <w:r w:rsidR="000224B1" w:rsidRPr="00D97E23">
        <w:rPr>
          <w:noProof/>
        </w:rPr>
        <w:t>ú koncentráciu</w:t>
      </w:r>
      <w:r w:rsidRPr="00D97E23">
        <w:rPr>
          <w:noProof/>
        </w:rPr>
        <w:t xml:space="preserve"> srdcových glykozidov (napr. digoxín).</w:t>
      </w:r>
    </w:p>
    <w:p w14:paraId="063045C7" w14:textId="17852C9B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Mifeprist</w:t>
      </w:r>
      <w:r w:rsidR="000224B1" w:rsidRPr="00D97E23">
        <w:rPr>
          <w:i/>
          <w:iCs/>
          <w:noProof/>
        </w:rPr>
        <w:t>ó</w:t>
      </w:r>
      <w:r w:rsidRPr="00D97E23">
        <w:rPr>
          <w:i/>
          <w:iCs/>
          <w:noProof/>
        </w:rPr>
        <w:t>n</w:t>
      </w:r>
      <w:r w:rsidRPr="00D97E23">
        <w:rPr>
          <w:noProof/>
        </w:rPr>
        <w:t>: Teoreticky môže dôjsť k zníženiu účinnosti lie</w:t>
      </w:r>
      <w:r w:rsidR="000224B1" w:rsidRPr="00D97E23">
        <w:rPr>
          <w:noProof/>
        </w:rPr>
        <w:t>čiva</w:t>
      </w:r>
      <w:r w:rsidRPr="00D97E23">
        <w:rPr>
          <w:noProof/>
        </w:rPr>
        <w:t xml:space="preserve"> v dôsledku antiprostagland</w:t>
      </w:r>
      <w:r w:rsidR="000224B1" w:rsidRPr="00D97E23">
        <w:rPr>
          <w:noProof/>
        </w:rPr>
        <w:t>í</w:t>
      </w:r>
      <w:r w:rsidRPr="00D97E23">
        <w:rPr>
          <w:noProof/>
        </w:rPr>
        <w:t>nových vlastností nesteroidných protizápalových liečiv (NSAID) vrátane kyseliny acetylsalicylovej. Obmedzené dôkazy naznačujú, že sú</w:t>
      </w:r>
      <w:r w:rsidR="000224B1" w:rsidRPr="00D97E23">
        <w:rPr>
          <w:noProof/>
        </w:rPr>
        <w:t>bežné</w:t>
      </w:r>
      <w:r w:rsidRPr="00D97E23">
        <w:rPr>
          <w:noProof/>
        </w:rPr>
        <w:t xml:space="preserve"> podávanie NSAID v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>deň podávania prostaglandínu nemá nežiaduci vplyv na účinky mifeprist</w:t>
      </w:r>
      <w:r w:rsidR="000224B1" w:rsidRPr="00D97E23">
        <w:rPr>
          <w:noProof/>
        </w:rPr>
        <w:t>ó</w:t>
      </w:r>
      <w:r w:rsidRPr="00D97E23">
        <w:rPr>
          <w:noProof/>
        </w:rPr>
        <w:t>nu alebo prostaglandínu na cervikálne dozrievanie alebo kontraktilitu maternice a neznižuje tak klinickú účinnosť lekárskeho ukončenia tehotenstva.</w:t>
      </w:r>
    </w:p>
    <w:p w14:paraId="04F19713" w14:textId="6C93919B" w:rsidR="005E017D" w:rsidRPr="00D97E23" w:rsidRDefault="000224B1" w:rsidP="00F66FA8">
      <w:pPr>
        <w:pStyle w:val="Odsekzoznamu"/>
        <w:numPr>
          <w:ilvl w:val="0"/>
          <w:numId w:val="4"/>
        </w:numPr>
        <w:rPr>
          <w:b/>
          <w:szCs w:val="22"/>
        </w:rPr>
      </w:pPr>
      <w:r w:rsidRPr="00D97E23">
        <w:rPr>
          <w:i/>
          <w:iCs/>
          <w:noProof/>
        </w:rPr>
        <w:t>I</w:t>
      </w:r>
      <w:r w:rsidR="001C029E" w:rsidRPr="00D97E23">
        <w:rPr>
          <w:i/>
          <w:iCs/>
          <w:noProof/>
        </w:rPr>
        <w:t xml:space="preserve">nhibítory </w:t>
      </w:r>
      <w:r w:rsidRPr="00D97E23">
        <w:rPr>
          <w:i/>
          <w:iCs/>
          <w:noProof/>
        </w:rPr>
        <w:t xml:space="preserve">ACE </w:t>
      </w:r>
      <w:r w:rsidR="001C029E" w:rsidRPr="00D97E23">
        <w:rPr>
          <w:i/>
          <w:iCs/>
          <w:noProof/>
        </w:rPr>
        <w:t>a antagonisty angiotenzínu</w:t>
      </w:r>
      <w:r w:rsidRPr="00D97E23">
        <w:rPr>
          <w:i/>
          <w:iCs/>
          <w:noProof/>
        </w:rPr>
        <w:t xml:space="preserve"> </w:t>
      </w:r>
      <w:r w:rsidR="001C029E" w:rsidRPr="00D97E23">
        <w:rPr>
          <w:i/>
          <w:iCs/>
          <w:noProof/>
        </w:rPr>
        <w:t>II</w:t>
      </w:r>
      <w:r w:rsidR="001C029E" w:rsidRPr="00D97E23">
        <w:rPr>
          <w:noProof/>
        </w:rPr>
        <w:t>: Existuje zvýšené, často reverzibilné, riziko akútneho zlyhania obličiek, pri podávaní</w:t>
      </w:r>
      <w:r w:rsidR="00D97E23" w:rsidRPr="00D97E23">
        <w:rPr>
          <w:noProof/>
        </w:rPr>
        <w:t xml:space="preserve"> </w:t>
      </w:r>
      <w:r w:rsidR="001C029E" w:rsidRPr="00D97E23">
        <w:rPr>
          <w:noProof/>
        </w:rPr>
        <w:t>inhibítorov</w:t>
      </w:r>
      <w:r w:rsidRPr="00D97E23">
        <w:rPr>
          <w:noProof/>
        </w:rPr>
        <w:t xml:space="preserve"> ACE</w:t>
      </w:r>
      <w:r w:rsidR="001C029E" w:rsidRPr="00D97E23">
        <w:rPr>
          <w:noProof/>
        </w:rPr>
        <w:t xml:space="preserve"> alebo antagonistov angiotenzínu</w:t>
      </w:r>
      <w:r w:rsidRPr="00D97E23">
        <w:rPr>
          <w:noProof/>
        </w:rPr>
        <w:t xml:space="preserve"> </w:t>
      </w:r>
      <w:r w:rsidR="001C029E" w:rsidRPr="00D97E23">
        <w:rPr>
          <w:noProof/>
        </w:rPr>
        <w:t>II sú</w:t>
      </w:r>
      <w:r w:rsidRPr="00D97E23">
        <w:rPr>
          <w:noProof/>
        </w:rPr>
        <w:t>bežne</w:t>
      </w:r>
      <w:r w:rsidR="001C029E" w:rsidRPr="00D97E23">
        <w:rPr>
          <w:noProof/>
        </w:rPr>
        <w:t xml:space="preserve"> s NSAID, vrátane selektívnych inhibítorov cyklooxygenázy</w:t>
      </w:r>
      <w:r w:rsidRPr="00D97E23">
        <w:rPr>
          <w:noProof/>
        </w:rPr>
        <w:t xml:space="preserve"> </w:t>
      </w:r>
      <w:r w:rsidR="001C029E" w:rsidRPr="00D97E23">
        <w:rPr>
          <w:noProof/>
        </w:rPr>
        <w:t>2, u pacientov so zníženou funkciou obličiek (napr. u dehydratovaných a/alebo starších pacientov). Kombinácia by preto mala byť podávaná opatrne pacientom so zníženou funkciou obličiek, najmä starším pacientom. Pacienti by mali byť náležite hydratovaní a v pravidelných intervaloch sa má zvážiť kontrola funkcie obličiek po začatí kombinovanej liečby (pozri časť 4.4).</w:t>
      </w:r>
    </w:p>
    <w:p w14:paraId="433D54B9" w14:textId="44CE775E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Betablokátory</w:t>
      </w:r>
      <w:r w:rsidRPr="00D97E23">
        <w:rPr>
          <w:noProof/>
        </w:rPr>
        <w:t>: NSAID pôsob</w:t>
      </w:r>
      <w:r w:rsidR="000224B1" w:rsidRPr="00D97E23">
        <w:rPr>
          <w:noProof/>
        </w:rPr>
        <w:t>ia</w:t>
      </w:r>
      <w:r w:rsidRPr="00D97E23">
        <w:rPr>
          <w:noProof/>
        </w:rPr>
        <w:t xml:space="preserve"> proti antihypertenzívnemu účinku liekov blokujúcich beta-adrenoceptorov.</w:t>
      </w:r>
    </w:p>
    <w:p w14:paraId="22E8061D" w14:textId="6C5B2587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Deriváty sulfonylmočoviny</w:t>
      </w:r>
      <w:r w:rsidRPr="00D97E23">
        <w:rPr>
          <w:noProof/>
        </w:rPr>
        <w:t xml:space="preserve">: Zriedkavo </w:t>
      </w:r>
      <w:r w:rsidR="000224B1" w:rsidRPr="00D97E23">
        <w:rPr>
          <w:noProof/>
        </w:rPr>
        <w:t>boli</w:t>
      </w:r>
      <w:r w:rsidRPr="00D97E23">
        <w:rPr>
          <w:noProof/>
        </w:rPr>
        <w:t xml:space="preserve"> hlásené </w:t>
      </w:r>
      <w:r w:rsidR="000224B1" w:rsidRPr="00D97E23">
        <w:rPr>
          <w:noProof/>
        </w:rPr>
        <w:t>údaje</w:t>
      </w:r>
      <w:r w:rsidRPr="00D97E23">
        <w:rPr>
          <w:noProof/>
        </w:rPr>
        <w:t xml:space="preserve"> o hypoglykémii u pacientov liečených </w:t>
      </w:r>
      <w:r w:rsidR="000224B1" w:rsidRPr="00D97E23">
        <w:rPr>
          <w:noProof/>
        </w:rPr>
        <w:t xml:space="preserve">derivátmi </w:t>
      </w:r>
      <w:r w:rsidRPr="00D97E23">
        <w:rPr>
          <w:noProof/>
        </w:rPr>
        <w:t>sulfonylmočovin</w:t>
      </w:r>
      <w:r w:rsidR="000224B1" w:rsidRPr="00D97E23">
        <w:rPr>
          <w:noProof/>
        </w:rPr>
        <w:t>y</w:t>
      </w:r>
      <w:r w:rsidRPr="00D97E23">
        <w:rPr>
          <w:noProof/>
        </w:rPr>
        <w:t xml:space="preserve">, ktorí </w:t>
      </w:r>
      <w:r w:rsidR="000224B1" w:rsidRPr="00D97E23">
        <w:rPr>
          <w:noProof/>
        </w:rPr>
        <w:t xml:space="preserve">užívali </w:t>
      </w:r>
      <w:r w:rsidRPr="00D97E23">
        <w:rPr>
          <w:noProof/>
        </w:rPr>
        <w:t>ibuprofén.</w:t>
      </w:r>
    </w:p>
    <w:p w14:paraId="3A3F5642" w14:textId="7FBB8C79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Zidovudín</w:t>
      </w:r>
      <w:r w:rsidRPr="00D97E23">
        <w:rPr>
          <w:noProof/>
        </w:rPr>
        <w:t>: Existujú dôkazy o zvýšenom riziku hemartróz a hematómu u HIV (+) hemofilikov, ktorí sú s</w:t>
      </w:r>
      <w:r w:rsidR="000224B1" w:rsidRPr="00D97E23">
        <w:rPr>
          <w:noProof/>
        </w:rPr>
        <w:t>úbežne</w:t>
      </w:r>
      <w:r w:rsidRPr="00D97E23">
        <w:rPr>
          <w:noProof/>
        </w:rPr>
        <w:t xml:space="preserve"> liečení zidovudínom a ibuprofénom.</w:t>
      </w:r>
    </w:p>
    <w:p w14:paraId="2ADD0602" w14:textId="7445E842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Chinolónové antibiotiká</w:t>
      </w:r>
      <w:r w:rsidRPr="00D97E23">
        <w:rPr>
          <w:noProof/>
        </w:rPr>
        <w:t>: údaje získané na zvieratách naznačujú, že NSAID môžu zvyšovať riziko k</w:t>
      </w:r>
      <w:r w:rsidR="00E54517" w:rsidRPr="00D97E23">
        <w:rPr>
          <w:noProof/>
        </w:rPr>
        <w:t>onvulzií</w:t>
      </w:r>
      <w:r w:rsidRPr="00D97E23">
        <w:rPr>
          <w:noProof/>
        </w:rPr>
        <w:t xml:space="preserve"> spojených s chinolónovými antibiotikami. U pacientov užívajúcich NSAID a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>chinolóny môže byť zvýšené riziko vzniku k</w:t>
      </w:r>
      <w:r w:rsidR="00E54517" w:rsidRPr="00D97E23">
        <w:rPr>
          <w:noProof/>
        </w:rPr>
        <w:t>onvulzií</w:t>
      </w:r>
      <w:r w:rsidRPr="00D97E23">
        <w:rPr>
          <w:noProof/>
        </w:rPr>
        <w:t>.</w:t>
      </w:r>
    </w:p>
    <w:p w14:paraId="7C3C4102" w14:textId="72F4E8C3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 xml:space="preserve">Tiazidy, </w:t>
      </w:r>
      <w:r w:rsidR="00E54517" w:rsidRPr="00D97E23">
        <w:rPr>
          <w:i/>
          <w:iCs/>
          <w:noProof/>
        </w:rPr>
        <w:t>deriváty</w:t>
      </w:r>
      <w:r w:rsidRPr="00D97E23">
        <w:rPr>
          <w:i/>
          <w:iCs/>
          <w:noProof/>
        </w:rPr>
        <w:t xml:space="preserve"> tiazid</w:t>
      </w:r>
      <w:r w:rsidR="00E54517" w:rsidRPr="00D97E23">
        <w:rPr>
          <w:i/>
          <w:iCs/>
          <w:noProof/>
        </w:rPr>
        <w:t>ov</w:t>
      </w:r>
      <w:r w:rsidRPr="00D97E23">
        <w:rPr>
          <w:i/>
          <w:iCs/>
          <w:noProof/>
        </w:rPr>
        <w:t xml:space="preserve"> a </w:t>
      </w:r>
      <w:r w:rsidR="00E54517" w:rsidRPr="00D97E23">
        <w:rPr>
          <w:i/>
          <w:iCs/>
          <w:noProof/>
        </w:rPr>
        <w:t xml:space="preserve">kľučkové </w:t>
      </w:r>
      <w:r w:rsidRPr="00D97E23">
        <w:rPr>
          <w:i/>
          <w:iCs/>
          <w:noProof/>
        </w:rPr>
        <w:t>diuretiká</w:t>
      </w:r>
      <w:r w:rsidRPr="00D97E23">
        <w:rPr>
          <w:noProof/>
        </w:rPr>
        <w:t>: NSAID môžu pôsobiť proti diuretickému účinku furosemidu a bumetanidu, pravdepodobne inhibíciou syntézy prostaglandínov. Môžu tiež pôsobiť proti antihypertenzívnemu účinku tiazidov.</w:t>
      </w:r>
    </w:p>
    <w:p w14:paraId="2E96D21A" w14:textId="77777777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Diuretiká šetriace draslík</w:t>
      </w:r>
      <w:r w:rsidRPr="00D97E23">
        <w:rPr>
          <w:noProof/>
        </w:rPr>
        <w:t>: Súbežné použitie môže viesť k hyperkaliémii.</w:t>
      </w:r>
    </w:p>
    <w:p w14:paraId="6B070A55" w14:textId="77777777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Aminoglykozidy</w:t>
      </w:r>
      <w:r w:rsidRPr="00D97E23">
        <w:rPr>
          <w:noProof/>
        </w:rPr>
        <w:t>: NSAID môžu znížiť vylučovanie aminoglykozidov.</w:t>
      </w:r>
    </w:p>
    <w:p w14:paraId="08244562" w14:textId="38EC1D0B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Selektívne inhibítory spätného vychytávania s</w:t>
      </w:r>
      <w:r w:rsidR="00E54517" w:rsidRPr="00D97E23">
        <w:rPr>
          <w:i/>
          <w:iCs/>
          <w:noProof/>
        </w:rPr>
        <w:t>é</w:t>
      </w:r>
      <w:r w:rsidRPr="00D97E23">
        <w:rPr>
          <w:i/>
          <w:iCs/>
          <w:noProof/>
        </w:rPr>
        <w:t>rotonínu (SSRI)</w:t>
      </w:r>
      <w:r w:rsidRPr="00D97E23">
        <w:rPr>
          <w:noProof/>
        </w:rPr>
        <w:t>: SSRI a</w:t>
      </w:r>
      <w:r w:rsidR="00E54517" w:rsidRPr="00D97E23">
        <w:rPr>
          <w:noProof/>
        </w:rPr>
        <w:t>j</w:t>
      </w:r>
      <w:r w:rsidRPr="00D97E23">
        <w:rPr>
          <w:noProof/>
        </w:rPr>
        <w:t xml:space="preserve"> NSAID predstavuj</w:t>
      </w:r>
      <w:r w:rsidR="00E54517" w:rsidRPr="00D97E23">
        <w:rPr>
          <w:noProof/>
        </w:rPr>
        <w:t>ú</w:t>
      </w:r>
      <w:r w:rsidRPr="00D97E23">
        <w:rPr>
          <w:noProof/>
        </w:rPr>
        <w:t xml:space="preserve"> zvýšené riziko krvácania, napr. z gastrointestinálneho traktu. Toto riziko sa zvyšuje </w:t>
      </w:r>
      <w:r w:rsidRPr="00D97E23">
        <w:rPr>
          <w:noProof/>
        </w:rPr>
        <w:lastRenderedPageBreak/>
        <w:t>kombináciou. Tento mechanizmus môže byť spojený so znížen</w:t>
      </w:r>
      <w:r w:rsidR="00E54517" w:rsidRPr="00D97E23">
        <w:rPr>
          <w:noProof/>
        </w:rPr>
        <w:t>ým</w:t>
      </w:r>
      <w:r w:rsidR="00E81149" w:rsidRPr="00D97E23">
        <w:rPr>
          <w:noProof/>
        </w:rPr>
        <w:t xml:space="preserve"> </w:t>
      </w:r>
      <w:r w:rsidR="00E54517" w:rsidRPr="00D97E23">
        <w:rPr>
          <w:noProof/>
        </w:rPr>
        <w:t xml:space="preserve">vychytávaním </w:t>
      </w:r>
      <w:r w:rsidRPr="00D97E23">
        <w:rPr>
          <w:noProof/>
        </w:rPr>
        <w:t>s</w:t>
      </w:r>
      <w:r w:rsidR="00E54517" w:rsidRPr="00D97E23">
        <w:rPr>
          <w:noProof/>
        </w:rPr>
        <w:t>é</w:t>
      </w:r>
      <w:r w:rsidRPr="00D97E23">
        <w:rPr>
          <w:noProof/>
        </w:rPr>
        <w:t>rotonínu v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>krvných doštičkách (pozri časť 4.4).</w:t>
      </w:r>
    </w:p>
    <w:p w14:paraId="728686A8" w14:textId="55230C95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Cyklosporín</w:t>
      </w:r>
      <w:r w:rsidRPr="00D97E23">
        <w:rPr>
          <w:noProof/>
        </w:rPr>
        <w:t xml:space="preserve">: </w:t>
      </w:r>
      <w:r w:rsidR="00E54517" w:rsidRPr="00D97E23">
        <w:rPr>
          <w:noProof/>
        </w:rPr>
        <w:t>Existuje</w:t>
      </w:r>
      <w:r w:rsidRPr="00D97E23">
        <w:rPr>
          <w:noProof/>
        </w:rPr>
        <w:t xml:space="preserve"> zvýšené riziko nefrotoxicity pri sú</w:t>
      </w:r>
      <w:r w:rsidR="00E54517" w:rsidRPr="00D97E23">
        <w:rPr>
          <w:noProof/>
        </w:rPr>
        <w:t>bežnom</w:t>
      </w:r>
      <w:r w:rsidRPr="00D97E23">
        <w:rPr>
          <w:noProof/>
        </w:rPr>
        <w:t xml:space="preserve"> podávaní NSAID a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>cyklosporínu z dôvodu zníženej synt</w:t>
      </w:r>
      <w:r w:rsidR="00332F14" w:rsidRPr="00D97E23">
        <w:rPr>
          <w:noProof/>
        </w:rPr>
        <w:t xml:space="preserve">ézy prostacyklínu v obličkách. </w:t>
      </w:r>
      <w:r w:rsidR="00E54517" w:rsidRPr="00D97E23">
        <w:rPr>
          <w:noProof/>
        </w:rPr>
        <w:t>V</w:t>
      </w:r>
      <w:r w:rsidRPr="00D97E23">
        <w:rPr>
          <w:noProof/>
        </w:rPr>
        <w:t xml:space="preserve"> prípade kombinovanej liečby musí byť </w:t>
      </w:r>
      <w:r w:rsidR="00E54517" w:rsidRPr="00D97E23">
        <w:rPr>
          <w:noProof/>
        </w:rPr>
        <w:t xml:space="preserve">preto </w:t>
      </w:r>
      <w:r w:rsidRPr="00D97E23">
        <w:rPr>
          <w:noProof/>
        </w:rPr>
        <w:t>funkcia obličiek starostlivo sledovaná.</w:t>
      </w:r>
    </w:p>
    <w:p w14:paraId="2DE8D4DE" w14:textId="1F6A639B" w:rsidR="001C029E" w:rsidRPr="00D97E23" w:rsidRDefault="00E54517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K</w:t>
      </w:r>
      <w:r w:rsidR="001C029E" w:rsidRPr="00D97E23">
        <w:rPr>
          <w:i/>
          <w:iCs/>
          <w:noProof/>
        </w:rPr>
        <w:t>aptopril</w:t>
      </w:r>
      <w:r w:rsidR="001C029E" w:rsidRPr="00D97E23">
        <w:rPr>
          <w:noProof/>
        </w:rPr>
        <w:t xml:space="preserve">: Experimentálne štúdie </w:t>
      </w:r>
      <w:r w:rsidRPr="00D97E23">
        <w:rPr>
          <w:noProof/>
        </w:rPr>
        <w:t>naznačujú</w:t>
      </w:r>
      <w:r w:rsidR="001C029E" w:rsidRPr="00D97E23">
        <w:rPr>
          <w:noProof/>
        </w:rPr>
        <w:t>, že ibuprofén pôsobí proti účinku kaptoprilu na vylučovanie sodíka.</w:t>
      </w:r>
    </w:p>
    <w:p w14:paraId="583B099C" w14:textId="54DDBF1B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Takrolimus</w:t>
      </w:r>
      <w:r w:rsidRPr="00D97E23">
        <w:rPr>
          <w:noProof/>
        </w:rPr>
        <w:t xml:space="preserve">: </w:t>
      </w:r>
      <w:r w:rsidR="00E54517" w:rsidRPr="00D97E23">
        <w:rPr>
          <w:noProof/>
        </w:rPr>
        <w:t>Existuje</w:t>
      </w:r>
      <w:r w:rsidRPr="00D97E23">
        <w:rPr>
          <w:noProof/>
        </w:rPr>
        <w:t xml:space="preserve"> zvýšené riziko nefrotoxicity pri sú</w:t>
      </w:r>
      <w:r w:rsidR="00E54517" w:rsidRPr="00D97E23">
        <w:rPr>
          <w:noProof/>
        </w:rPr>
        <w:t>bežnom</w:t>
      </w:r>
      <w:r w:rsidRPr="00D97E23">
        <w:rPr>
          <w:noProof/>
        </w:rPr>
        <w:t xml:space="preserve"> podávaní NSAID a takrolimu v dôsledku zníženej syntézy prostacyklínu v obličkách. Preto</w:t>
      </w:r>
      <w:r w:rsidR="00E81149" w:rsidRPr="00D97E23">
        <w:rPr>
          <w:noProof/>
        </w:rPr>
        <w:t xml:space="preserve"> </w:t>
      </w:r>
      <w:r w:rsidR="002B34CC" w:rsidRPr="00D97E23">
        <w:rPr>
          <w:noProof/>
        </w:rPr>
        <w:t>má byť starostlivo sledovaná funkcia obličiek</w:t>
      </w:r>
      <w:r w:rsidRPr="00D97E23">
        <w:rPr>
          <w:noProof/>
        </w:rPr>
        <w:t xml:space="preserve"> v prípade kombinovanej liečby</w:t>
      </w:r>
      <w:r w:rsidR="002B34CC" w:rsidRPr="00D97E23">
        <w:rPr>
          <w:noProof/>
        </w:rPr>
        <w:t>.</w:t>
      </w:r>
    </w:p>
    <w:p w14:paraId="6BEC9204" w14:textId="2026067F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Kortikosteroidy</w:t>
      </w:r>
      <w:r w:rsidRPr="00D97E23">
        <w:rPr>
          <w:noProof/>
        </w:rPr>
        <w:t>: Sú</w:t>
      </w:r>
      <w:r w:rsidR="00E54517" w:rsidRPr="00D97E23">
        <w:rPr>
          <w:noProof/>
        </w:rPr>
        <w:t>bežná</w:t>
      </w:r>
      <w:r w:rsidRPr="00D97E23">
        <w:rPr>
          <w:noProof/>
        </w:rPr>
        <w:t xml:space="preserve"> liečba zvyšuje riziko gastrointestinálne</w:t>
      </w:r>
      <w:r w:rsidR="002B34CC" w:rsidRPr="00D97E23">
        <w:rPr>
          <w:noProof/>
        </w:rPr>
        <w:t>j</w:t>
      </w:r>
      <w:r w:rsidRPr="00D97E23">
        <w:rPr>
          <w:noProof/>
        </w:rPr>
        <w:t xml:space="preserve"> ulcerácie alebo krvácani</w:t>
      </w:r>
      <w:r w:rsidR="002B34CC" w:rsidRPr="00D97E23">
        <w:rPr>
          <w:noProof/>
        </w:rPr>
        <w:t>a</w:t>
      </w:r>
      <w:r w:rsidRPr="00D97E23">
        <w:rPr>
          <w:noProof/>
        </w:rPr>
        <w:t>.</w:t>
      </w:r>
    </w:p>
    <w:p w14:paraId="6DAA9651" w14:textId="0A68BC30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Inhibítory CYP2C9</w:t>
      </w:r>
      <w:r w:rsidRPr="00D97E23">
        <w:rPr>
          <w:noProof/>
        </w:rPr>
        <w:t>: Súbežné podávanie ibuprofénu s inhibítormi CYP2C9 môže zvýšiť expozíciu ibuprofénu (substrát CYP2C9). V štúdii s vorikonazolom a flukonazolom (inhibítory CYP2C9) bola preukázaná zvýšená expozícia S(+)-ibuprofénu približne o 80 až 100%. Pri sú</w:t>
      </w:r>
      <w:r w:rsidR="00E54517" w:rsidRPr="00D97E23">
        <w:rPr>
          <w:noProof/>
        </w:rPr>
        <w:t>bežnom</w:t>
      </w:r>
      <w:r w:rsidRPr="00D97E23">
        <w:rPr>
          <w:noProof/>
        </w:rPr>
        <w:t xml:space="preserve"> podávaní silných inhibítorov CYP2C9 sa má zvážiť zníženie dávky ibuprofénu, najmä ak je ibuprofén podávaný vo vysokej dávke buď s vorikonazolom alebo flukonazolom.</w:t>
      </w:r>
    </w:p>
    <w:p w14:paraId="44558CCC" w14:textId="28D62C58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Fenytoín</w:t>
      </w:r>
      <w:r w:rsidRPr="00D97E23">
        <w:rPr>
          <w:noProof/>
        </w:rPr>
        <w:t xml:space="preserve">: Plazmatické </w:t>
      </w:r>
      <w:r w:rsidR="002A54C5" w:rsidRPr="00D97E23">
        <w:rPr>
          <w:noProof/>
        </w:rPr>
        <w:t>koncentrácie</w:t>
      </w:r>
      <w:r w:rsidRPr="00D97E23">
        <w:rPr>
          <w:noProof/>
        </w:rPr>
        <w:t xml:space="preserve"> fenytoínu sa môžu pri sú</w:t>
      </w:r>
      <w:r w:rsidR="002A54C5" w:rsidRPr="00D97E23">
        <w:rPr>
          <w:noProof/>
        </w:rPr>
        <w:t>bežnej</w:t>
      </w:r>
      <w:r w:rsidRPr="00D97E23">
        <w:rPr>
          <w:noProof/>
        </w:rPr>
        <w:t xml:space="preserve"> liečbe ibuprofénom zvýšiť, a zvýšiť tak riziko toxicity.</w:t>
      </w:r>
    </w:p>
    <w:p w14:paraId="21075331" w14:textId="77777777" w:rsidR="001C029E" w:rsidRPr="00D97E23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Probenecid a sulfinpyrazón</w:t>
      </w:r>
      <w:r w:rsidRPr="00D97E23">
        <w:rPr>
          <w:noProof/>
        </w:rPr>
        <w:t>: Lieky, ktoré obsahujú probenecid alebo sulfinpyrazón, môžu oneskoriť vylučovanie ibuprofénu.</w:t>
      </w:r>
    </w:p>
    <w:p w14:paraId="310F338D" w14:textId="3B6FFB52" w:rsidR="001C029E" w:rsidRPr="00D97E23" w:rsidRDefault="002A54C5" w:rsidP="001C029E">
      <w:pPr>
        <w:pStyle w:val="Odsekzoznamu"/>
        <w:numPr>
          <w:ilvl w:val="0"/>
          <w:numId w:val="4"/>
        </w:numPr>
        <w:rPr>
          <w:noProof/>
        </w:rPr>
      </w:pPr>
      <w:r w:rsidRPr="00D97E23">
        <w:rPr>
          <w:i/>
          <w:iCs/>
          <w:noProof/>
        </w:rPr>
        <w:t>Rastlinné</w:t>
      </w:r>
      <w:r w:rsidR="001C029E" w:rsidRPr="00D97E23">
        <w:rPr>
          <w:i/>
          <w:iCs/>
          <w:noProof/>
        </w:rPr>
        <w:t xml:space="preserve"> extrakty</w:t>
      </w:r>
      <w:r w:rsidR="001C029E" w:rsidRPr="00D97E23">
        <w:rPr>
          <w:noProof/>
        </w:rPr>
        <w:t>: Ginkgo biloba v kombinácii s NSAID môže zvyšovať riziko krvácania</w:t>
      </w:r>
      <w:r w:rsidR="002B34CC" w:rsidRPr="00D97E23">
        <w:rPr>
          <w:noProof/>
        </w:rPr>
        <w:t>.</w:t>
      </w:r>
    </w:p>
    <w:p w14:paraId="4B8779C3" w14:textId="77777777" w:rsidR="00F66FA8" w:rsidRPr="00D97E23" w:rsidRDefault="00F66FA8" w:rsidP="00D42A3B">
      <w:pPr>
        <w:ind w:left="0" w:firstLine="0"/>
        <w:rPr>
          <w:noProof/>
        </w:rPr>
      </w:pPr>
    </w:p>
    <w:p w14:paraId="27570270" w14:textId="77777777" w:rsidR="00F66FA8" w:rsidRPr="00D97E23" w:rsidRDefault="00F66FA8" w:rsidP="00F66FA8">
      <w:pPr>
        <w:rPr>
          <w:noProof/>
          <w:u w:val="single"/>
        </w:rPr>
      </w:pPr>
      <w:r w:rsidRPr="00D97E23">
        <w:rPr>
          <w:noProof/>
          <w:u w:val="single"/>
        </w:rPr>
        <w:t>Paracetamol:</w:t>
      </w:r>
    </w:p>
    <w:p w14:paraId="500538EF" w14:textId="5B47296E" w:rsidR="00F66FA8" w:rsidRPr="00D97E23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D97E23">
        <w:rPr>
          <w:noProof/>
        </w:rPr>
        <w:t>Probenecid inhibuje väzbu paracetamolu na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>kyselinu</w:t>
      </w:r>
      <w:r w:rsidR="006247B1" w:rsidRPr="00D97E23">
        <w:rPr>
          <w:noProof/>
        </w:rPr>
        <w:t xml:space="preserve"> glukurónovú</w:t>
      </w:r>
      <w:r w:rsidRPr="00D97E23">
        <w:rPr>
          <w:noProof/>
        </w:rPr>
        <w:t xml:space="preserve">, čo vedie k zníženiu klírensu paracetamolu </w:t>
      </w:r>
      <w:r w:rsidR="006247B1" w:rsidRPr="00D97E23">
        <w:rPr>
          <w:noProof/>
        </w:rPr>
        <w:t>dvojnásobne</w:t>
      </w:r>
      <w:r w:rsidRPr="00D97E23">
        <w:rPr>
          <w:noProof/>
        </w:rPr>
        <w:t>. U pacientov sú</w:t>
      </w:r>
      <w:r w:rsidR="006247B1" w:rsidRPr="00D97E23">
        <w:rPr>
          <w:noProof/>
        </w:rPr>
        <w:t>bežne</w:t>
      </w:r>
      <w:r w:rsidRPr="00D97E23">
        <w:rPr>
          <w:noProof/>
        </w:rPr>
        <w:t xml:space="preserve"> užívajúcich probenecid </w:t>
      </w:r>
      <w:r w:rsidR="006247B1" w:rsidRPr="00D97E23">
        <w:rPr>
          <w:noProof/>
        </w:rPr>
        <w:t xml:space="preserve">by </w:t>
      </w:r>
      <w:r w:rsidRPr="00D97E23">
        <w:rPr>
          <w:noProof/>
        </w:rPr>
        <w:t>sa dávka paracetamolu mala</w:t>
      </w:r>
      <w:r w:rsidR="006247B1" w:rsidRPr="00D97E23">
        <w:rPr>
          <w:noProof/>
        </w:rPr>
        <w:t xml:space="preserve"> znížiť.</w:t>
      </w:r>
    </w:p>
    <w:p w14:paraId="73661624" w14:textId="540D41EB" w:rsidR="00F66FA8" w:rsidRPr="00D97E23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D97E23">
        <w:rPr>
          <w:noProof/>
        </w:rPr>
        <w:t>Lie</w:t>
      </w:r>
      <w:r w:rsidR="006247B1" w:rsidRPr="00D97E23">
        <w:rPr>
          <w:noProof/>
        </w:rPr>
        <w:t>čivá</w:t>
      </w:r>
      <w:r w:rsidRPr="00D97E23">
        <w:rPr>
          <w:noProof/>
        </w:rPr>
        <w:t xml:space="preserve"> indukujúce enzýmy, ako sú niektoré antiepileptiká (fenytoín, fenobarbital, karbamazepín), znížili vo farmakokinetických štúdiách AUC paracetamolu v plazme približne na 60%. Podávanie lie</w:t>
      </w:r>
      <w:r w:rsidR="006247B1" w:rsidRPr="00D97E23">
        <w:rPr>
          <w:noProof/>
        </w:rPr>
        <w:t>čiv</w:t>
      </w:r>
      <w:r w:rsidRPr="00D97E23">
        <w:rPr>
          <w:noProof/>
        </w:rPr>
        <w:t xml:space="preserve"> indukujúc</w:t>
      </w:r>
      <w:r w:rsidR="006247B1" w:rsidRPr="00D97E23">
        <w:rPr>
          <w:noProof/>
        </w:rPr>
        <w:t>i</w:t>
      </w:r>
      <w:r w:rsidR="00E81149" w:rsidRPr="00D97E23">
        <w:rPr>
          <w:noProof/>
        </w:rPr>
        <w:t>c</w:t>
      </w:r>
      <w:r w:rsidR="006247B1" w:rsidRPr="00D97E23">
        <w:rPr>
          <w:noProof/>
        </w:rPr>
        <w:t>h</w:t>
      </w:r>
      <w:r w:rsidRPr="00D97E23">
        <w:rPr>
          <w:noProof/>
        </w:rPr>
        <w:t xml:space="preserve"> enzýmy (rifampicín, </w:t>
      </w:r>
      <w:r w:rsidR="006247B1" w:rsidRPr="00D97E23">
        <w:rPr>
          <w:noProof/>
        </w:rPr>
        <w:t>ľubovník</w:t>
      </w:r>
      <w:r w:rsidRPr="00D97E23">
        <w:rPr>
          <w:noProof/>
        </w:rPr>
        <w:t xml:space="preserve">) by tiež mohlo viesť k zníženým koncentráciám paracetamolu. </w:t>
      </w:r>
      <w:r w:rsidR="006247B1" w:rsidRPr="00D97E23">
        <w:rPr>
          <w:noProof/>
        </w:rPr>
        <w:t>R</w:t>
      </w:r>
      <w:r w:rsidRPr="00D97E23">
        <w:rPr>
          <w:noProof/>
        </w:rPr>
        <w:t xml:space="preserve">iziko poškodenia pečene počas liečby maximálnou odporúčanou dávkou paracetamolu </w:t>
      </w:r>
      <w:r w:rsidR="006247B1" w:rsidRPr="00D97E23">
        <w:rPr>
          <w:noProof/>
        </w:rPr>
        <w:t xml:space="preserve">je </w:t>
      </w:r>
      <w:r w:rsidRPr="00D97E23">
        <w:rPr>
          <w:noProof/>
        </w:rPr>
        <w:t xml:space="preserve">pravdepodobne vyššie u pacientov, ktorí </w:t>
      </w:r>
      <w:r w:rsidR="006247B1" w:rsidRPr="00D97E23">
        <w:rPr>
          <w:noProof/>
        </w:rPr>
        <w:t>užívajú</w:t>
      </w:r>
      <w:r w:rsidRPr="00D97E23">
        <w:rPr>
          <w:noProof/>
        </w:rPr>
        <w:t xml:space="preserve"> lieky indukujúce enzýmy.</w:t>
      </w:r>
    </w:p>
    <w:p w14:paraId="2E6C63CE" w14:textId="39D442F0" w:rsidR="00F66FA8" w:rsidRPr="00D97E23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D97E23">
        <w:rPr>
          <w:noProof/>
        </w:rPr>
        <w:t xml:space="preserve">Zidovudín môže ovplyvniť metabolizmus paracetamolu a </w:t>
      </w:r>
      <w:r w:rsidR="006247B1" w:rsidRPr="00D97E23">
        <w:rPr>
          <w:noProof/>
        </w:rPr>
        <w:t>opačne</w:t>
      </w:r>
      <w:r w:rsidRPr="00D97E23">
        <w:rPr>
          <w:noProof/>
        </w:rPr>
        <w:t>, čo môže zvýšiť toxicitu oboch</w:t>
      </w:r>
      <w:r w:rsidR="006247B1" w:rsidRPr="00D97E23">
        <w:rPr>
          <w:noProof/>
        </w:rPr>
        <w:t xml:space="preserve"> liečiv</w:t>
      </w:r>
      <w:r w:rsidRPr="00D97E23">
        <w:rPr>
          <w:noProof/>
        </w:rPr>
        <w:t>.</w:t>
      </w:r>
    </w:p>
    <w:p w14:paraId="0F3DB213" w14:textId="1F18CDCD" w:rsidR="00F66FA8" w:rsidRPr="00D97E23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D97E23">
        <w:rPr>
          <w:noProof/>
        </w:rPr>
        <w:t xml:space="preserve">Antikoagulanciá (warfarín) - zníženie dávky môže byť vyžadované, ak sa paracetamol a antikoagulanciá užívajú </w:t>
      </w:r>
      <w:r w:rsidR="006247B1" w:rsidRPr="00D97E23">
        <w:rPr>
          <w:noProof/>
        </w:rPr>
        <w:t>dlhodobo</w:t>
      </w:r>
      <w:r w:rsidRPr="00D97E23">
        <w:rPr>
          <w:noProof/>
        </w:rPr>
        <w:t>.</w:t>
      </w:r>
    </w:p>
    <w:p w14:paraId="4CE54D61" w14:textId="1B966E54" w:rsidR="00F66FA8" w:rsidRPr="00D97E23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D97E23">
        <w:rPr>
          <w:noProof/>
        </w:rPr>
        <w:t>U pacientov užívajúcich izoniazid samostatne alebo aj v kombinácii s inými liekmi na tuberkulózu bola hlásená závažná hepatotoxicita pri terapeutických dávkach alebo pri miern</w:t>
      </w:r>
      <w:r w:rsidR="00860578" w:rsidRPr="00D97E23">
        <w:rPr>
          <w:noProof/>
        </w:rPr>
        <w:t>evyšších dávkach</w:t>
      </w:r>
      <w:r w:rsidRPr="00D97E23">
        <w:rPr>
          <w:noProof/>
        </w:rPr>
        <w:t xml:space="preserve"> paracetamol</w:t>
      </w:r>
      <w:r w:rsidR="00860578" w:rsidRPr="00D97E23">
        <w:rPr>
          <w:noProof/>
        </w:rPr>
        <w:t>u</w:t>
      </w:r>
      <w:r w:rsidRPr="00D97E23">
        <w:rPr>
          <w:noProof/>
        </w:rPr>
        <w:t>.</w:t>
      </w:r>
    </w:p>
    <w:p w14:paraId="13D67136" w14:textId="7EE10110" w:rsidR="00F66FA8" w:rsidRPr="00D97E23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D97E23">
        <w:rPr>
          <w:noProof/>
        </w:rPr>
        <w:t xml:space="preserve">Paracetamol môže ovplyvňovať farmakokinetiku chloramfenikolu. Odporúča sa sledovať plazmatickú </w:t>
      </w:r>
      <w:r w:rsidR="00860578" w:rsidRPr="00D97E23">
        <w:rPr>
          <w:noProof/>
        </w:rPr>
        <w:t>koncentráciu</w:t>
      </w:r>
      <w:r w:rsidRPr="00D97E23">
        <w:rPr>
          <w:noProof/>
        </w:rPr>
        <w:t xml:space="preserve"> chloramfenikolu, ak sa paracetamol kombinuje s injekčnou liečbou chloramfenikol</w:t>
      </w:r>
      <w:r w:rsidR="00860578" w:rsidRPr="00D97E23">
        <w:rPr>
          <w:noProof/>
        </w:rPr>
        <w:t>om</w:t>
      </w:r>
      <w:r w:rsidRPr="00D97E23">
        <w:rPr>
          <w:noProof/>
        </w:rPr>
        <w:t>.</w:t>
      </w:r>
    </w:p>
    <w:p w14:paraId="3B9A41BF" w14:textId="45F4EA82" w:rsidR="005E017D" w:rsidRPr="00D97E23" w:rsidRDefault="00F66FA8" w:rsidP="00D42A3B">
      <w:pPr>
        <w:pStyle w:val="Odsekzoznamu"/>
        <w:numPr>
          <w:ilvl w:val="0"/>
          <w:numId w:val="5"/>
        </w:numPr>
        <w:rPr>
          <w:noProof/>
        </w:rPr>
      </w:pPr>
      <w:r w:rsidRPr="00D97E23">
        <w:rPr>
          <w:noProof/>
        </w:rPr>
        <w:t>Etylalkohol zosilňuje paracetamolov</w:t>
      </w:r>
      <w:r w:rsidR="008002EE" w:rsidRPr="00D97E23">
        <w:rPr>
          <w:noProof/>
        </w:rPr>
        <w:t>ú</w:t>
      </w:r>
      <w:r w:rsidRPr="00D97E23">
        <w:rPr>
          <w:noProof/>
        </w:rPr>
        <w:t xml:space="preserve"> toxicitu, pravdepodobne </w:t>
      </w:r>
      <w:r w:rsidR="00860578" w:rsidRPr="00D97E23">
        <w:rPr>
          <w:noProof/>
        </w:rPr>
        <w:t>indukciou tvorby hepatotoxických met</w:t>
      </w:r>
      <w:r w:rsidR="00D42A3B" w:rsidRPr="00D97E23">
        <w:rPr>
          <w:noProof/>
        </w:rPr>
        <w:t>abolitov paracetamolu v pečeni.</w:t>
      </w:r>
    </w:p>
    <w:p w14:paraId="27D9012C" w14:textId="77777777" w:rsidR="00FD4DD8" w:rsidRPr="00D97E23" w:rsidRDefault="00FD4DD8" w:rsidP="00FD4DD8">
      <w:pPr>
        <w:rPr>
          <w:szCs w:val="22"/>
        </w:rPr>
      </w:pPr>
    </w:p>
    <w:p w14:paraId="4B0EC515" w14:textId="77777777" w:rsidR="008002EE" w:rsidRPr="00D97E23" w:rsidRDefault="008002EE" w:rsidP="008002EE">
      <w:pPr>
        <w:rPr>
          <w:noProof/>
          <w:u w:val="single"/>
        </w:rPr>
      </w:pPr>
      <w:r w:rsidRPr="00D97E23">
        <w:rPr>
          <w:noProof/>
          <w:u w:val="single"/>
        </w:rPr>
        <w:t>Účinky na laboratórne testy</w:t>
      </w:r>
    </w:p>
    <w:p w14:paraId="10AB9724" w14:textId="77777777" w:rsidR="008002EE" w:rsidRPr="00D97E23" w:rsidRDefault="008002EE" w:rsidP="008002EE">
      <w:pPr>
        <w:ind w:left="0" w:firstLine="0"/>
        <w:rPr>
          <w:noProof/>
        </w:rPr>
      </w:pPr>
    </w:p>
    <w:p w14:paraId="21D1F1C2" w14:textId="46459A11" w:rsidR="00FD4DD8" w:rsidRPr="00D97E23" w:rsidRDefault="00885A9E" w:rsidP="008002EE">
      <w:pPr>
        <w:ind w:left="0" w:firstLine="0"/>
        <w:rPr>
          <w:noProof/>
        </w:rPr>
      </w:pPr>
      <w:r w:rsidRPr="00D97E23">
        <w:rPr>
          <w:noProof/>
        </w:rPr>
        <w:t xml:space="preserve">Použitie </w:t>
      </w:r>
      <w:r w:rsidR="008002EE" w:rsidRPr="00D97E23">
        <w:rPr>
          <w:noProof/>
        </w:rPr>
        <w:t xml:space="preserve">paracetamolu môže </w:t>
      </w:r>
      <w:r w:rsidRPr="00D97E23">
        <w:rPr>
          <w:noProof/>
        </w:rPr>
        <w:t>interferovať s testami na stanovenie</w:t>
      </w:r>
      <w:r w:rsidR="008002EE" w:rsidRPr="00D97E23">
        <w:rPr>
          <w:noProof/>
        </w:rPr>
        <w:t xml:space="preserve"> kyseliny močovej využívajúc</w:t>
      </w:r>
      <w:r w:rsidRPr="00D97E23">
        <w:rPr>
          <w:noProof/>
        </w:rPr>
        <w:t>ich</w:t>
      </w:r>
      <w:r w:rsidR="008002EE" w:rsidRPr="00D97E23">
        <w:rPr>
          <w:noProof/>
        </w:rPr>
        <w:t xml:space="preserve"> kyselinu fosfo</w:t>
      </w:r>
      <w:r w:rsidR="00DD1F3E" w:rsidRPr="00D97E23">
        <w:rPr>
          <w:noProof/>
        </w:rPr>
        <w:t>wolfrámovú</w:t>
      </w:r>
      <w:r w:rsidR="008002EE" w:rsidRPr="00D97E23">
        <w:rPr>
          <w:noProof/>
        </w:rPr>
        <w:t xml:space="preserve"> a</w:t>
      </w:r>
      <w:r w:rsidRPr="00D97E23">
        <w:rPr>
          <w:noProof/>
        </w:rPr>
        <w:t xml:space="preserve"> testami na stanovenie krvného cukru </w:t>
      </w:r>
      <w:r w:rsidR="008002EE" w:rsidRPr="00D97E23">
        <w:rPr>
          <w:noProof/>
        </w:rPr>
        <w:t>pomocou glukóz</w:t>
      </w:r>
      <w:r w:rsidRPr="00D97E23">
        <w:rPr>
          <w:noProof/>
        </w:rPr>
        <w:t>a</w:t>
      </w:r>
      <w:r w:rsidR="008002EE" w:rsidRPr="00D97E23">
        <w:rPr>
          <w:noProof/>
        </w:rPr>
        <w:t>-oxidáz</w:t>
      </w:r>
      <w:r w:rsidRPr="00D97E23">
        <w:rPr>
          <w:noProof/>
        </w:rPr>
        <w:t>a</w:t>
      </w:r>
      <w:r w:rsidR="008002EE" w:rsidRPr="00D97E23">
        <w:rPr>
          <w:noProof/>
        </w:rPr>
        <w:t>-peroxidázy.</w:t>
      </w:r>
    </w:p>
    <w:p w14:paraId="0E34635D" w14:textId="77777777" w:rsidR="008002EE" w:rsidRPr="00D97E23" w:rsidRDefault="008002EE" w:rsidP="008002EE">
      <w:pPr>
        <w:ind w:left="0" w:firstLine="0"/>
        <w:rPr>
          <w:noProof/>
        </w:rPr>
      </w:pPr>
    </w:p>
    <w:p w14:paraId="0AD4AFFE" w14:textId="77777777" w:rsidR="00FD4DD8" w:rsidRPr="00D97E23" w:rsidRDefault="00FD4DD8" w:rsidP="00FD4DD8">
      <w:pPr>
        <w:rPr>
          <w:noProof/>
          <w:szCs w:val="22"/>
        </w:rPr>
      </w:pPr>
      <w:r w:rsidRPr="00D97E23">
        <w:rPr>
          <w:bCs/>
          <w:iCs/>
          <w:szCs w:val="22"/>
          <w:u w:val="single"/>
        </w:rPr>
        <w:t>Pediatrická populácia</w:t>
      </w:r>
    </w:p>
    <w:p w14:paraId="1C706882" w14:textId="77777777" w:rsidR="00FD4DD8" w:rsidRPr="00D97E23" w:rsidRDefault="00FD4DD8" w:rsidP="00FD4DD8">
      <w:pPr>
        <w:rPr>
          <w:noProof/>
          <w:szCs w:val="22"/>
        </w:rPr>
      </w:pPr>
    </w:p>
    <w:p w14:paraId="1F6616C6" w14:textId="77777777" w:rsidR="00FD4DD8" w:rsidRPr="00D97E23" w:rsidRDefault="00FD4DD8" w:rsidP="00C24894">
      <w:pPr>
        <w:ind w:left="0" w:firstLine="0"/>
        <w:rPr>
          <w:szCs w:val="22"/>
        </w:rPr>
      </w:pPr>
      <w:r w:rsidRPr="00D97E23">
        <w:rPr>
          <w:noProof/>
        </w:rPr>
        <w:t>Interakčné štúdie sa uskutočnili len u dospelých.</w:t>
      </w:r>
    </w:p>
    <w:p w14:paraId="2A8471B6" w14:textId="77777777" w:rsidR="00FD4DD8" w:rsidRPr="00D97E23" w:rsidRDefault="00FD4DD8" w:rsidP="00FD4DD8">
      <w:pPr>
        <w:rPr>
          <w:szCs w:val="22"/>
        </w:rPr>
      </w:pPr>
    </w:p>
    <w:p w14:paraId="360B2D68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4.6</w:t>
      </w:r>
      <w:r w:rsidRPr="00D97E23">
        <w:rPr>
          <w:b/>
          <w:szCs w:val="22"/>
        </w:rPr>
        <w:tab/>
      </w:r>
      <w:r w:rsidRPr="00D97E23">
        <w:rPr>
          <w:b/>
          <w:noProof/>
          <w:szCs w:val="22"/>
        </w:rPr>
        <w:t>Fertilita, g</w:t>
      </w:r>
      <w:r w:rsidRPr="00D97E23">
        <w:rPr>
          <w:b/>
          <w:szCs w:val="22"/>
        </w:rPr>
        <w:t>ravidita a laktácia</w:t>
      </w:r>
    </w:p>
    <w:p w14:paraId="65D9C3E6" w14:textId="77777777" w:rsidR="00FD4DD8" w:rsidRPr="00D97E23" w:rsidRDefault="00FD4DD8" w:rsidP="00FD4DD8"/>
    <w:p w14:paraId="6D17696D" w14:textId="77777777" w:rsidR="00232578" w:rsidRPr="003444F6" w:rsidRDefault="00232578" w:rsidP="00232578">
      <w:pPr>
        <w:tabs>
          <w:tab w:val="left" w:pos="567"/>
        </w:tabs>
        <w:suppressAutoHyphens/>
        <w:spacing w:line="260" w:lineRule="exact"/>
        <w:ind w:left="0" w:firstLine="0"/>
        <w:rPr>
          <w:noProof/>
          <w:szCs w:val="20"/>
          <w:u w:val="single"/>
          <w:lang w:eastAsia="zh-CN"/>
        </w:rPr>
      </w:pPr>
      <w:r w:rsidRPr="003444F6">
        <w:rPr>
          <w:noProof/>
          <w:szCs w:val="20"/>
          <w:u w:val="single"/>
          <w:lang w:eastAsia="zh-CN"/>
        </w:rPr>
        <w:t>Gravidita</w:t>
      </w:r>
    </w:p>
    <w:p w14:paraId="34ACC12E" w14:textId="1465F95C" w:rsidR="00EC3E5F" w:rsidRPr="00D97E23" w:rsidRDefault="00EC3E5F" w:rsidP="00925AB9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Nie sú k dispozícii skúsenosti s použitím tohto lieku u ľudí počas tehotenstva. Kvôli obsahu ibuprofénu je Paracetamol/Ibuprofen Vale kontraindikovaný počas tretieho trimestra gravidity (pozri nižšie).</w:t>
      </w:r>
    </w:p>
    <w:p w14:paraId="10A9D101" w14:textId="77777777" w:rsidR="008002EE" w:rsidRPr="00D97E23" w:rsidRDefault="008002EE" w:rsidP="00C24894">
      <w:pPr>
        <w:ind w:left="0" w:firstLine="0"/>
        <w:rPr>
          <w:noProof/>
          <w:szCs w:val="22"/>
        </w:rPr>
      </w:pPr>
    </w:p>
    <w:p w14:paraId="5DC3D107" w14:textId="7385AA35" w:rsidR="008002EE" w:rsidRPr="00D97E23" w:rsidRDefault="008002EE" w:rsidP="008002EE">
      <w:pPr>
        <w:pStyle w:val="Nadpis4"/>
        <w:rPr>
          <w:lang w:val="sk-SK"/>
        </w:rPr>
      </w:pPr>
      <w:r w:rsidRPr="00D97E23">
        <w:rPr>
          <w:lang w:val="sk-SK"/>
        </w:rPr>
        <w:t>Pre ibuprof</w:t>
      </w:r>
      <w:r w:rsidR="00266001" w:rsidRPr="00D97E23">
        <w:rPr>
          <w:lang w:val="sk-SK"/>
        </w:rPr>
        <w:t>é</w:t>
      </w:r>
      <w:r w:rsidRPr="00D97E23">
        <w:rPr>
          <w:lang w:val="sk-SK"/>
        </w:rPr>
        <w:t>n</w:t>
      </w:r>
    </w:p>
    <w:p w14:paraId="3C36E631" w14:textId="74F0B8FD" w:rsidR="008002EE" w:rsidRPr="00D97E23" w:rsidRDefault="008002EE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Inhibícia syntézy prostaglandínov môže nepriaznivo ovplyvniť tehotenstvo a/alebo výv</w:t>
      </w:r>
      <w:r w:rsidR="00266001" w:rsidRPr="00D97E23">
        <w:rPr>
          <w:noProof/>
          <w:szCs w:val="22"/>
        </w:rPr>
        <w:t>in</w:t>
      </w:r>
      <w:r w:rsidRPr="00D97E23">
        <w:rPr>
          <w:noProof/>
          <w:szCs w:val="22"/>
        </w:rPr>
        <w:t xml:space="preserve"> embrya/ plodu. Údaje z epidemiologických štúdií naznačujú zvýšené riziko potratu a srdcových malformácií a gastrosch</w:t>
      </w:r>
      <w:r w:rsidR="00266001" w:rsidRPr="00D97E23">
        <w:rPr>
          <w:noProof/>
          <w:szCs w:val="22"/>
        </w:rPr>
        <w:t>i</w:t>
      </w:r>
      <w:r w:rsidRPr="00D97E23">
        <w:rPr>
          <w:noProof/>
          <w:szCs w:val="22"/>
        </w:rPr>
        <w:t>zy po použití inhibítor</w:t>
      </w:r>
      <w:r w:rsidR="00266001" w:rsidRPr="00D97E23">
        <w:rPr>
          <w:noProof/>
          <w:szCs w:val="22"/>
        </w:rPr>
        <w:t>ov</w:t>
      </w:r>
      <w:r w:rsidRPr="00D97E23">
        <w:rPr>
          <w:noProof/>
          <w:szCs w:val="22"/>
        </w:rPr>
        <w:t xml:space="preserve"> syntézy prostaglandínov na začiatku tehotenstva. Absolútne riziko kardiovaskulárnej malformácie sa zvýšilo z menej ako 1% na približne 1,5%. Predpokladá sa, že riziko sa zvyšuje s dávkou a dĺžkou liečby. U zvierat bolo preukázané, že podávanie inhibítor</w:t>
      </w:r>
      <w:r w:rsidR="00266001" w:rsidRPr="00D97E23">
        <w:rPr>
          <w:noProof/>
          <w:szCs w:val="22"/>
        </w:rPr>
        <w:t>ov</w:t>
      </w:r>
      <w:r w:rsidRPr="00D97E23">
        <w:rPr>
          <w:noProof/>
          <w:szCs w:val="22"/>
        </w:rPr>
        <w:t xml:space="preserve"> syntézy prostaglandínov vedie k zvýšenej pre- a postimplantačnej strate a embryofetálnej úmrtnosti. U zvierat, ktorým bol podaný inhibítor syntézy prostaglandínov počas obdobia organogenézy, boli hlásené zvýšené incidencie rôznych malformácií, vrátane kardiovaskulárnych. Počas prvého a druhého trimestra tehotenstva by nemal byť ibuprofén podávaný, pokiaľ to nie je nevyhnutné. Ak ibuprofén užíva žena, ktorá sa snaží otehotnieť, alebo počas prvého a druhého trimestra tehotenstva, mala by byť dávka čo najnižšia a </w:t>
      </w:r>
      <w:r w:rsidR="00266001" w:rsidRPr="00D97E23">
        <w:rPr>
          <w:noProof/>
          <w:szCs w:val="22"/>
        </w:rPr>
        <w:t>dĺžka</w:t>
      </w:r>
      <w:r w:rsidRPr="00D97E23">
        <w:rPr>
          <w:noProof/>
          <w:szCs w:val="22"/>
        </w:rPr>
        <w:t xml:space="preserve"> liečby čo najkratši</w:t>
      </w:r>
      <w:r w:rsidR="00266001" w:rsidRPr="00D97E23">
        <w:rPr>
          <w:noProof/>
          <w:szCs w:val="22"/>
        </w:rPr>
        <w:t>a</w:t>
      </w:r>
      <w:r w:rsidRPr="00D97E23">
        <w:rPr>
          <w:noProof/>
          <w:szCs w:val="22"/>
        </w:rPr>
        <w:t>.</w:t>
      </w:r>
    </w:p>
    <w:p w14:paraId="2129A7D1" w14:textId="77777777" w:rsidR="008002EE" w:rsidRPr="00D97E23" w:rsidRDefault="008002EE" w:rsidP="008002EE">
      <w:pPr>
        <w:ind w:left="0" w:firstLine="0"/>
        <w:rPr>
          <w:noProof/>
          <w:szCs w:val="22"/>
        </w:rPr>
      </w:pPr>
    </w:p>
    <w:p w14:paraId="5617B160" w14:textId="0EFC617A" w:rsidR="008002EE" w:rsidRPr="00D97E23" w:rsidRDefault="00265144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P</w:t>
      </w:r>
      <w:r w:rsidR="008002EE" w:rsidRPr="00D97E23">
        <w:rPr>
          <w:noProof/>
          <w:szCs w:val="22"/>
        </w:rPr>
        <w:t>očas tretieho trimestra</w:t>
      </w:r>
      <w:r w:rsidRPr="00D97E23">
        <w:rPr>
          <w:noProof/>
          <w:szCs w:val="22"/>
        </w:rPr>
        <w:t xml:space="preserve"> môžu všetky inhibítory syntézy prostaglandínov vystaviť plod</w:t>
      </w:r>
      <w:r w:rsidR="008002EE" w:rsidRPr="00D97E23">
        <w:rPr>
          <w:noProof/>
          <w:szCs w:val="22"/>
        </w:rPr>
        <w:t>:</w:t>
      </w:r>
    </w:p>
    <w:p w14:paraId="65FC8F68" w14:textId="03344D7B" w:rsidR="008002EE" w:rsidRPr="00D97E23" w:rsidRDefault="008002EE" w:rsidP="008002EE">
      <w:pPr>
        <w:pStyle w:val="Odsekzoznamu"/>
        <w:numPr>
          <w:ilvl w:val="0"/>
          <w:numId w:val="6"/>
        </w:numPr>
        <w:rPr>
          <w:noProof/>
          <w:szCs w:val="22"/>
        </w:rPr>
      </w:pPr>
      <w:r w:rsidRPr="00D97E23">
        <w:rPr>
          <w:noProof/>
          <w:szCs w:val="22"/>
        </w:rPr>
        <w:t xml:space="preserve">kardiopulmonálnej toxicite (s predčasným uzavretím </w:t>
      </w:r>
      <w:r w:rsidRPr="00D97E23">
        <w:rPr>
          <w:i/>
          <w:noProof/>
          <w:szCs w:val="22"/>
        </w:rPr>
        <w:t>ductus arteriosus</w:t>
      </w:r>
      <w:r w:rsidRPr="00D97E23">
        <w:rPr>
          <w:noProof/>
          <w:szCs w:val="22"/>
        </w:rPr>
        <w:t xml:space="preserve"> a pľúcnej hypertenzi</w:t>
      </w:r>
      <w:r w:rsidR="00265144" w:rsidRPr="00D97E23">
        <w:rPr>
          <w:noProof/>
          <w:szCs w:val="22"/>
        </w:rPr>
        <w:t>i</w:t>
      </w:r>
      <w:r w:rsidRPr="00D97E23">
        <w:rPr>
          <w:noProof/>
          <w:szCs w:val="22"/>
        </w:rPr>
        <w:t>);</w:t>
      </w:r>
    </w:p>
    <w:p w14:paraId="25167953" w14:textId="27E1EADF" w:rsidR="008002EE" w:rsidRPr="00D97E23" w:rsidRDefault="008002EE" w:rsidP="008002EE">
      <w:pPr>
        <w:pStyle w:val="Odsekzoznamu"/>
        <w:numPr>
          <w:ilvl w:val="0"/>
          <w:numId w:val="6"/>
        </w:numPr>
        <w:rPr>
          <w:noProof/>
          <w:szCs w:val="22"/>
        </w:rPr>
      </w:pPr>
      <w:r w:rsidRPr="00D97E23">
        <w:rPr>
          <w:noProof/>
          <w:szCs w:val="22"/>
        </w:rPr>
        <w:t>renálnej dysfunkci</w:t>
      </w:r>
      <w:r w:rsidR="00265144" w:rsidRPr="00D97E23">
        <w:rPr>
          <w:noProof/>
          <w:szCs w:val="22"/>
        </w:rPr>
        <w:t>i</w:t>
      </w:r>
      <w:r w:rsidRPr="00D97E23">
        <w:rPr>
          <w:noProof/>
          <w:szCs w:val="22"/>
        </w:rPr>
        <w:t>, ktorá môže progredovať do zlyhania obličiek</w:t>
      </w:r>
      <w:r w:rsidR="00265144" w:rsidRPr="00D97E23">
        <w:rPr>
          <w:noProof/>
          <w:szCs w:val="22"/>
        </w:rPr>
        <w:t xml:space="preserve"> s oligohydramniónom</w:t>
      </w:r>
      <w:r w:rsidRPr="00D97E23">
        <w:rPr>
          <w:noProof/>
          <w:szCs w:val="22"/>
        </w:rPr>
        <w:t>;</w:t>
      </w:r>
    </w:p>
    <w:p w14:paraId="6A39383F" w14:textId="77777777" w:rsidR="008002EE" w:rsidRPr="00D97E23" w:rsidRDefault="008002EE" w:rsidP="008002EE">
      <w:pPr>
        <w:ind w:left="0" w:firstLine="0"/>
        <w:rPr>
          <w:noProof/>
          <w:szCs w:val="22"/>
        </w:rPr>
      </w:pPr>
    </w:p>
    <w:p w14:paraId="302FB396" w14:textId="77777777" w:rsidR="008002EE" w:rsidRPr="00D97E23" w:rsidRDefault="008002EE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matku a novorodenca na konci tehotenstva:</w:t>
      </w:r>
    </w:p>
    <w:p w14:paraId="31094E25" w14:textId="77777777" w:rsidR="008002EE" w:rsidRPr="00D97E23" w:rsidRDefault="008002EE" w:rsidP="008002EE">
      <w:pPr>
        <w:pStyle w:val="Odsekzoznamu"/>
        <w:numPr>
          <w:ilvl w:val="0"/>
          <w:numId w:val="7"/>
        </w:numPr>
        <w:rPr>
          <w:noProof/>
          <w:szCs w:val="22"/>
        </w:rPr>
      </w:pPr>
      <w:r w:rsidRPr="00D97E23">
        <w:rPr>
          <w:noProof/>
          <w:szCs w:val="22"/>
        </w:rPr>
        <w:t>možnému predĺženiu času krvácania, antiagregačnému účinku, ku ktorému môže dôjsť aj pri veľmi nízkych dávkach;</w:t>
      </w:r>
    </w:p>
    <w:p w14:paraId="4D07B450" w14:textId="53FB0739" w:rsidR="008002EE" w:rsidRPr="00D97E23" w:rsidRDefault="008002EE" w:rsidP="00D07DFA">
      <w:pPr>
        <w:pStyle w:val="Odsekzoznamu"/>
        <w:numPr>
          <w:ilvl w:val="0"/>
          <w:numId w:val="7"/>
        </w:numPr>
        <w:rPr>
          <w:noProof/>
          <w:szCs w:val="22"/>
        </w:rPr>
      </w:pPr>
      <w:r w:rsidRPr="00D97E23">
        <w:rPr>
          <w:noProof/>
          <w:szCs w:val="22"/>
        </w:rPr>
        <w:t>inhibícii kontrakcií maternice vedúc</w:t>
      </w:r>
      <w:r w:rsidR="00265144" w:rsidRPr="00D97E23">
        <w:rPr>
          <w:noProof/>
          <w:szCs w:val="22"/>
        </w:rPr>
        <w:t>im</w:t>
      </w:r>
      <w:r w:rsidRPr="00D97E23">
        <w:rPr>
          <w:noProof/>
          <w:szCs w:val="22"/>
        </w:rPr>
        <w:t xml:space="preserve"> k oneskoren</w:t>
      </w:r>
      <w:r w:rsidR="00265144" w:rsidRPr="00D97E23">
        <w:rPr>
          <w:noProof/>
          <w:szCs w:val="22"/>
        </w:rPr>
        <w:t>ému</w:t>
      </w:r>
      <w:r w:rsidRPr="00D97E23">
        <w:rPr>
          <w:noProof/>
          <w:szCs w:val="22"/>
        </w:rPr>
        <w:t xml:space="preserve"> alebo predĺžen</w:t>
      </w:r>
      <w:r w:rsidR="00265144" w:rsidRPr="00D97E23">
        <w:rPr>
          <w:noProof/>
          <w:szCs w:val="22"/>
        </w:rPr>
        <w:t>ému pôrodu</w:t>
      </w:r>
      <w:r w:rsidR="00D07DFA" w:rsidRPr="00D97E23">
        <w:rPr>
          <w:noProof/>
          <w:szCs w:val="22"/>
        </w:rPr>
        <w:t>.</w:t>
      </w:r>
    </w:p>
    <w:p w14:paraId="3B9D36DB" w14:textId="77777777" w:rsidR="008002EE" w:rsidRPr="00D97E23" w:rsidRDefault="008002EE" w:rsidP="008002EE">
      <w:pPr>
        <w:ind w:left="0" w:firstLine="0"/>
        <w:rPr>
          <w:noProof/>
          <w:szCs w:val="22"/>
        </w:rPr>
      </w:pPr>
    </w:p>
    <w:p w14:paraId="194E4893" w14:textId="115BC84D" w:rsidR="008002EE" w:rsidRPr="00D97E23" w:rsidRDefault="008002EE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 xml:space="preserve">V dôsledku toho je </w:t>
      </w:r>
      <w:r w:rsidR="00A1367A" w:rsidRPr="00D97E23">
        <w:rPr>
          <w:noProof/>
          <w:szCs w:val="22"/>
        </w:rPr>
        <w:t xml:space="preserve">Paracetamol/Ibuprofen Vale </w:t>
      </w:r>
      <w:r w:rsidRPr="00D97E23">
        <w:rPr>
          <w:noProof/>
          <w:szCs w:val="22"/>
        </w:rPr>
        <w:t>kontraindikovaný počas tretieho trimestra gravidity (pozri časť 4.3)</w:t>
      </w:r>
    </w:p>
    <w:p w14:paraId="6B430126" w14:textId="77777777" w:rsidR="008002EE" w:rsidRPr="00D97E23" w:rsidRDefault="008002EE" w:rsidP="008002EE">
      <w:pPr>
        <w:ind w:left="0" w:firstLine="0"/>
        <w:rPr>
          <w:noProof/>
          <w:szCs w:val="22"/>
        </w:rPr>
      </w:pPr>
    </w:p>
    <w:p w14:paraId="048FEF2B" w14:textId="77777777" w:rsidR="008002EE" w:rsidRPr="00D97E23" w:rsidRDefault="008002EE" w:rsidP="008002EE">
      <w:pPr>
        <w:pStyle w:val="Nadpis4"/>
        <w:rPr>
          <w:lang w:val="sk-SK"/>
        </w:rPr>
      </w:pPr>
      <w:r w:rsidRPr="00D97E23">
        <w:rPr>
          <w:lang w:val="sk-SK"/>
        </w:rPr>
        <w:t>Pre paracetamol</w:t>
      </w:r>
    </w:p>
    <w:p w14:paraId="20D6E884" w14:textId="04B8F574" w:rsidR="008002EE" w:rsidRPr="00D97E23" w:rsidRDefault="008002EE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Veľké množstvo údajov dostupných od tehotných žien užívajúcich paracetamol nenaznačuje malformačné</w:t>
      </w:r>
      <w:r w:rsidR="0009376E" w:rsidRPr="00D97E23">
        <w:rPr>
          <w:noProof/>
          <w:szCs w:val="22"/>
        </w:rPr>
        <w:t xml:space="preserve"> účinky</w:t>
      </w:r>
      <w:r w:rsidRPr="00D97E23">
        <w:rPr>
          <w:noProof/>
          <w:szCs w:val="22"/>
        </w:rPr>
        <w:t>, ani fetáln</w:t>
      </w:r>
      <w:r w:rsidR="0009376E" w:rsidRPr="00D97E23">
        <w:rPr>
          <w:noProof/>
          <w:szCs w:val="22"/>
        </w:rPr>
        <w:t>u</w:t>
      </w:r>
      <w:r w:rsidRPr="00D97E23">
        <w:rPr>
          <w:noProof/>
          <w:szCs w:val="22"/>
        </w:rPr>
        <w:t>/</w:t>
      </w:r>
      <w:r w:rsidR="0009376E" w:rsidRPr="00D97E23">
        <w:rPr>
          <w:noProof/>
          <w:szCs w:val="22"/>
        </w:rPr>
        <w:t>neonatálnu</w:t>
      </w:r>
      <w:r w:rsidRPr="00D97E23">
        <w:rPr>
          <w:noProof/>
          <w:szCs w:val="22"/>
        </w:rPr>
        <w:t xml:space="preserve"> toxicitu. Epidemiologické štúdie </w:t>
      </w:r>
      <w:r w:rsidR="0009376E" w:rsidRPr="00D97E23">
        <w:rPr>
          <w:noProof/>
          <w:szCs w:val="22"/>
        </w:rPr>
        <w:t>o vývine nervovej sústavy</w:t>
      </w:r>
      <w:r w:rsidRPr="00D97E23">
        <w:rPr>
          <w:noProof/>
          <w:szCs w:val="22"/>
        </w:rPr>
        <w:t xml:space="preserve"> u detí vystavených paracetamolu </w:t>
      </w:r>
      <w:r w:rsidRPr="00D97E23">
        <w:rPr>
          <w:i/>
          <w:iCs/>
          <w:noProof/>
          <w:szCs w:val="22"/>
        </w:rPr>
        <w:t>in utero</w:t>
      </w:r>
      <w:r w:rsidRPr="00D97E23">
        <w:rPr>
          <w:noProof/>
          <w:szCs w:val="22"/>
        </w:rPr>
        <w:t xml:space="preserve"> ukazujú nepresvedčivé výsledky. Ak je to klinicky potrebné, môže byť paracetamol použitý počas tehotenstva, ale mal by byť používaný v najnižšej účinnej dávke počas čo najkratš</w:t>
      </w:r>
      <w:r w:rsidR="0009376E" w:rsidRPr="00D97E23">
        <w:rPr>
          <w:noProof/>
          <w:szCs w:val="22"/>
        </w:rPr>
        <w:t>ej</w:t>
      </w:r>
      <w:r w:rsidRPr="00D97E23">
        <w:rPr>
          <w:noProof/>
          <w:szCs w:val="22"/>
        </w:rPr>
        <w:t xml:space="preserve"> možn</w:t>
      </w:r>
      <w:r w:rsidR="0009376E" w:rsidRPr="00D97E23">
        <w:rPr>
          <w:noProof/>
          <w:szCs w:val="22"/>
        </w:rPr>
        <w:t>ej</w:t>
      </w:r>
      <w:r w:rsidRPr="00D97E23">
        <w:rPr>
          <w:noProof/>
          <w:szCs w:val="22"/>
        </w:rPr>
        <w:t xml:space="preserve"> dob</w:t>
      </w:r>
      <w:r w:rsidR="0009376E" w:rsidRPr="00D97E23">
        <w:rPr>
          <w:noProof/>
          <w:szCs w:val="22"/>
        </w:rPr>
        <w:t>y</w:t>
      </w:r>
      <w:r w:rsidRPr="00D97E23">
        <w:rPr>
          <w:noProof/>
          <w:szCs w:val="22"/>
        </w:rPr>
        <w:t xml:space="preserve"> a </w:t>
      </w:r>
      <w:r w:rsidR="0009376E" w:rsidRPr="00D97E23">
        <w:rPr>
          <w:noProof/>
          <w:szCs w:val="22"/>
        </w:rPr>
        <w:t>v</w:t>
      </w:r>
      <w:r w:rsidRPr="00D97E23">
        <w:rPr>
          <w:noProof/>
          <w:szCs w:val="22"/>
        </w:rPr>
        <w:t xml:space="preserve"> najnižš</w:t>
      </w:r>
      <w:r w:rsidR="0009376E" w:rsidRPr="00D97E23">
        <w:rPr>
          <w:noProof/>
          <w:szCs w:val="22"/>
        </w:rPr>
        <w:t>ej</w:t>
      </w:r>
      <w:r w:rsidRPr="00D97E23">
        <w:rPr>
          <w:noProof/>
          <w:szCs w:val="22"/>
        </w:rPr>
        <w:t xml:space="preserve"> možn</w:t>
      </w:r>
      <w:r w:rsidR="0009376E" w:rsidRPr="00D97E23">
        <w:rPr>
          <w:noProof/>
          <w:szCs w:val="22"/>
        </w:rPr>
        <w:t>ej</w:t>
      </w:r>
      <w:r w:rsidRPr="00D97E23">
        <w:rPr>
          <w:noProof/>
          <w:szCs w:val="22"/>
        </w:rPr>
        <w:t xml:space="preserve"> frekvenci</w:t>
      </w:r>
      <w:r w:rsidR="0009376E" w:rsidRPr="00D97E23">
        <w:rPr>
          <w:noProof/>
          <w:szCs w:val="22"/>
        </w:rPr>
        <w:t>i</w:t>
      </w:r>
      <w:r w:rsidRPr="00D97E23">
        <w:rPr>
          <w:noProof/>
          <w:szCs w:val="22"/>
        </w:rPr>
        <w:t>.</w:t>
      </w:r>
    </w:p>
    <w:p w14:paraId="6FA2C3A7" w14:textId="77777777" w:rsidR="008002EE" w:rsidRPr="00D97E23" w:rsidRDefault="008002EE" w:rsidP="00EA5F6E">
      <w:pPr>
        <w:ind w:left="0" w:firstLine="0"/>
        <w:rPr>
          <w:noProof/>
          <w:szCs w:val="22"/>
        </w:rPr>
      </w:pPr>
    </w:p>
    <w:p w14:paraId="5238C43E" w14:textId="77777777" w:rsidR="00FD4DD8" w:rsidRPr="00D97E23" w:rsidRDefault="00FD4DD8" w:rsidP="00FD4DD8">
      <w:pPr>
        <w:rPr>
          <w:noProof/>
          <w:szCs w:val="22"/>
        </w:rPr>
      </w:pPr>
      <w:r w:rsidRPr="00D97E23">
        <w:rPr>
          <w:noProof/>
          <w:szCs w:val="22"/>
          <w:u w:val="single"/>
        </w:rPr>
        <w:t>Dojčenie</w:t>
      </w:r>
    </w:p>
    <w:p w14:paraId="66CD71FC" w14:textId="7B26A799" w:rsidR="008002EE" w:rsidRPr="00D97E23" w:rsidRDefault="008002EE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 xml:space="preserve">Paracetamol sa v klinicky </w:t>
      </w:r>
      <w:r w:rsidR="0009376E" w:rsidRPr="00D97E23">
        <w:rPr>
          <w:noProof/>
          <w:szCs w:val="22"/>
        </w:rPr>
        <w:t>ne</w:t>
      </w:r>
      <w:r w:rsidRPr="00D97E23">
        <w:rPr>
          <w:noProof/>
          <w:szCs w:val="22"/>
        </w:rPr>
        <w:t xml:space="preserve">významnom množstve vylučuje do materského mlieka, a na základe informácií dostupných z publikovaných </w:t>
      </w:r>
      <w:r w:rsidR="0009376E" w:rsidRPr="00D97E23">
        <w:rPr>
          <w:noProof/>
          <w:szCs w:val="22"/>
        </w:rPr>
        <w:t>údajov</w:t>
      </w:r>
      <w:r w:rsidRPr="00D97E23">
        <w:rPr>
          <w:noProof/>
          <w:szCs w:val="22"/>
        </w:rPr>
        <w:t xml:space="preserve"> nie je dojčenie kontraindikované, pokiaľ nie je prekročené odporúčané dávkovanie.</w:t>
      </w:r>
    </w:p>
    <w:p w14:paraId="729ACD3A" w14:textId="77777777" w:rsidR="008002EE" w:rsidRPr="00D97E23" w:rsidRDefault="008002EE" w:rsidP="008002EE">
      <w:pPr>
        <w:rPr>
          <w:noProof/>
          <w:szCs w:val="22"/>
        </w:rPr>
      </w:pPr>
    </w:p>
    <w:p w14:paraId="37C00D80" w14:textId="20F01E6C" w:rsidR="008002EE" w:rsidRPr="00D97E23" w:rsidRDefault="008002EE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 xml:space="preserve">Ibuprofén a jeho metabolity môžu prechádzať vo veľmi malom množstve do materského mlieka. </w:t>
      </w:r>
      <w:r w:rsidR="0009376E" w:rsidRPr="00D97E23">
        <w:rPr>
          <w:noProof/>
          <w:szCs w:val="22"/>
        </w:rPr>
        <w:t>Pri</w:t>
      </w:r>
      <w:r w:rsidRPr="00D97E23">
        <w:rPr>
          <w:noProof/>
          <w:szCs w:val="22"/>
        </w:rPr>
        <w:t xml:space="preserve"> terapeutických dáv</w:t>
      </w:r>
      <w:r w:rsidR="0009376E" w:rsidRPr="00D97E23">
        <w:rPr>
          <w:noProof/>
          <w:szCs w:val="22"/>
        </w:rPr>
        <w:t>kach</w:t>
      </w:r>
      <w:r w:rsidRPr="00D97E23">
        <w:rPr>
          <w:noProof/>
          <w:szCs w:val="22"/>
        </w:rPr>
        <w:t xml:space="preserve"> počas krátkodobej liečby sa riziko vplyvu na dojča zdá nepravdepodobné.</w:t>
      </w:r>
    </w:p>
    <w:p w14:paraId="5DD2C2D6" w14:textId="77777777" w:rsidR="008002EE" w:rsidRPr="00D97E23" w:rsidRDefault="008002EE" w:rsidP="008002EE">
      <w:pPr>
        <w:rPr>
          <w:noProof/>
          <w:szCs w:val="22"/>
        </w:rPr>
      </w:pPr>
    </w:p>
    <w:p w14:paraId="798975B0" w14:textId="77777777" w:rsidR="008002EE" w:rsidRPr="00D97E23" w:rsidRDefault="008002EE" w:rsidP="008002EE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Na základe vyššie uvedených dôkazov nie je nutné prerušiť dojčenie počas krátkodobej liečby odporúčanou dávkou lieku.</w:t>
      </w:r>
    </w:p>
    <w:p w14:paraId="2974DAFF" w14:textId="77777777" w:rsidR="008002EE" w:rsidRPr="00D97E23" w:rsidRDefault="008002EE" w:rsidP="00EA5F6E">
      <w:pPr>
        <w:ind w:left="0" w:firstLine="0"/>
        <w:rPr>
          <w:noProof/>
          <w:szCs w:val="22"/>
        </w:rPr>
      </w:pPr>
    </w:p>
    <w:p w14:paraId="03023E6F" w14:textId="77777777" w:rsidR="00FD4DD8" w:rsidRPr="00D97E23" w:rsidRDefault="00FD4DD8" w:rsidP="008002EE">
      <w:pPr>
        <w:rPr>
          <w:noProof/>
          <w:szCs w:val="22"/>
        </w:rPr>
      </w:pPr>
      <w:r w:rsidRPr="00D97E23">
        <w:rPr>
          <w:noProof/>
          <w:szCs w:val="22"/>
          <w:u w:val="single"/>
        </w:rPr>
        <w:t>Fertilita</w:t>
      </w:r>
    </w:p>
    <w:p w14:paraId="0821DAFB" w14:textId="1BA6AFDC" w:rsidR="008002EE" w:rsidRPr="00D97E23" w:rsidRDefault="008002EE" w:rsidP="008002EE">
      <w:pPr>
        <w:ind w:left="0" w:firstLine="0"/>
        <w:rPr>
          <w:szCs w:val="22"/>
        </w:rPr>
      </w:pPr>
      <w:r w:rsidRPr="00D97E23">
        <w:rPr>
          <w:szCs w:val="22"/>
        </w:rPr>
        <w:t>Použitie lieku môže narušiť plodnosť žien a neodporúča sa ženám, ktoré sa pokúšajú otehotnieť. U žien, ktoré majú problémy s otehotnením alebo ktoré podstupujú vyšetrenia v súvislosti s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>neplodnosťou, by sa malo zvážiť vysadenie lieku.</w:t>
      </w:r>
    </w:p>
    <w:p w14:paraId="15DA7A93" w14:textId="77777777" w:rsidR="008002EE" w:rsidRPr="00D97E23" w:rsidRDefault="008002EE" w:rsidP="00FD4DD8">
      <w:pPr>
        <w:rPr>
          <w:szCs w:val="22"/>
        </w:rPr>
      </w:pPr>
    </w:p>
    <w:p w14:paraId="799D0406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4.7</w:t>
      </w:r>
      <w:r w:rsidRPr="00D97E23">
        <w:rPr>
          <w:b/>
          <w:szCs w:val="22"/>
        </w:rPr>
        <w:tab/>
        <w:t>Ovplyvnenie schopnosti viesť vozidlá a obsluhovať stroje</w:t>
      </w:r>
    </w:p>
    <w:p w14:paraId="17B058B3" w14:textId="77777777" w:rsidR="00FD4DD8" w:rsidRPr="00D97E23" w:rsidRDefault="00FD4DD8" w:rsidP="00FD4DD8">
      <w:pPr>
        <w:rPr>
          <w:szCs w:val="22"/>
        </w:rPr>
      </w:pPr>
    </w:p>
    <w:p w14:paraId="6347864B" w14:textId="2FF18785" w:rsidR="00FD4DD8" w:rsidRPr="00D97E23" w:rsidRDefault="008002EE" w:rsidP="008002EE">
      <w:pPr>
        <w:ind w:left="0" w:firstLine="0"/>
        <w:rPr>
          <w:szCs w:val="22"/>
        </w:rPr>
      </w:pPr>
      <w:r w:rsidRPr="00D97E23">
        <w:rPr>
          <w:szCs w:val="22"/>
        </w:rPr>
        <w:lastRenderedPageBreak/>
        <w:t xml:space="preserve">Po použití NSAID je možný výskyt nežiaducich účinkov, ako sú závraty, ospalosť, únava a poruchy zraku. Ak sa tieto účinky objavia u pacienta, nemal by viesť vozidlo ani obsluhovať stroje. </w:t>
      </w:r>
    </w:p>
    <w:p w14:paraId="49F7DF16" w14:textId="77777777" w:rsidR="008002EE" w:rsidRPr="00D97E23" w:rsidRDefault="008002EE" w:rsidP="008002EE">
      <w:pPr>
        <w:ind w:left="0" w:firstLine="0"/>
        <w:rPr>
          <w:szCs w:val="22"/>
        </w:rPr>
      </w:pPr>
    </w:p>
    <w:p w14:paraId="453621CA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4.8</w:t>
      </w:r>
      <w:r w:rsidRPr="00D97E23">
        <w:rPr>
          <w:b/>
          <w:szCs w:val="22"/>
        </w:rPr>
        <w:tab/>
        <w:t>Nežiaduce účinky</w:t>
      </w:r>
    </w:p>
    <w:p w14:paraId="48BB1135" w14:textId="77777777" w:rsidR="00FD4DD8" w:rsidRPr="00D97E23" w:rsidRDefault="00FD4DD8" w:rsidP="00FD4DD8"/>
    <w:p w14:paraId="6DABFCB3" w14:textId="3E99C7AB" w:rsidR="00584ACB" w:rsidRPr="00D97E23" w:rsidRDefault="00584ACB" w:rsidP="00584ACB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 xml:space="preserve">Klinické štúdie s </w:t>
      </w:r>
      <w:r w:rsidR="00492F2E" w:rsidRPr="00D97E23">
        <w:rPr>
          <w:noProof/>
          <w:szCs w:val="22"/>
        </w:rPr>
        <w:t>Paracetamol</w:t>
      </w:r>
      <w:r w:rsidR="00C0444C" w:rsidRPr="00D97E23">
        <w:rPr>
          <w:noProof/>
          <w:szCs w:val="22"/>
        </w:rPr>
        <w:t>om</w:t>
      </w:r>
      <w:r w:rsidR="00492F2E" w:rsidRPr="00D97E23">
        <w:rPr>
          <w:noProof/>
          <w:szCs w:val="22"/>
        </w:rPr>
        <w:t>/Ibuprofen</w:t>
      </w:r>
      <w:r w:rsidR="00C0444C" w:rsidRPr="00D97E23">
        <w:rPr>
          <w:noProof/>
          <w:szCs w:val="22"/>
        </w:rPr>
        <w:t>om</w:t>
      </w:r>
      <w:r w:rsidR="00492F2E" w:rsidRPr="00D97E23">
        <w:rPr>
          <w:noProof/>
          <w:szCs w:val="22"/>
        </w:rPr>
        <w:t xml:space="preserve"> Vale </w:t>
      </w:r>
      <w:r w:rsidRPr="00D97E23">
        <w:rPr>
          <w:noProof/>
          <w:szCs w:val="22"/>
        </w:rPr>
        <w:t xml:space="preserve">a paracetamolom 500 mg/ibuprofénom 150 mg </w:t>
      </w:r>
      <w:r w:rsidR="00C0444C" w:rsidRPr="00D97E23">
        <w:rPr>
          <w:noProof/>
          <w:szCs w:val="22"/>
        </w:rPr>
        <w:t xml:space="preserve">vo forme </w:t>
      </w:r>
      <w:r w:rsidRPr="00D97E23">
        <w:rPr>
          <w:noProof/>
          <w:szCs w:val="22"/>
        </w:rPr>
        <w:t>filmom obalen</w:t>
      </w:r>
      <w:r w:rsidR="00C0444C" w:rsidRPr="00D97E23">
        <w:rPr>
          <w:noProof/>
          <w:szCs w:val="22"/>
        </w:rPr>
        <w:t>ých</w:t>
      </w:r>
      <w:r w:rsidRPr="00D97E23">
        <w:rPr>
          <w:noProof/>
          <w:szCs w:val="22"/>
        </w:rPr>
        <w:t xml:space="preserve"> tabl</w:t>
      </w:r>
      <w:r w:rsidR="00C0444C" w:rsidRPr="00D97E23">
        <w:rPr>
          <w:noProof/>
          <w:szCs w:val="22"/>
        </w:rPr>
        <w:t>iet</w:t>
      </w:r>
      <w:r w:rsidRPr="00D97E23">
        <w:rPr>
          <w:noProof/>
          <w:szCs w:val="22"/>
        </w:rPr>
        <w:t xml:space="preserve"> nepreukázali žiadne ďalšie nežiaduce účinky </w:t>
      </w:r>
      <w:r w:rsidR="00C0444C" w:rsidRPr="00D97E23">
        <w:rPr>
          <w:noProof/>
          <w:szCs w:val="22"/>
        </w:rPr>
        <w:t>ako už</w:t>
      </w:r>
      <w:r w:rsidRPr="00D97E23">
        <w:rPr>
          <w:noProof/>
          <w:szCs w:val="22"/>
        </w:rPr>
        <w:t xml:space="preserve"> preukázan</w:t>
      </w:r>
      <w:r w:rsidR="00C0444C" w:rsidRPr="00D97E23">
        <w:rPr>
          <w:noProof/>
          <w:szCs w:val="22"/>
        </w:rPr>
        <w:t>é</w:t>
      </w:r>
      <w:r w:rsidRPr="00D97E23">
        <w:rPr>
          <w:noProof/>
          <w:szCs w:val="22"/>
        </w:rPr>
        <w:t xml:space="preserve"> pre samotný paracetamol alebo ibuprof</w:t>
      </w:r>
      <w:r w:rsidR="00C0444C" w:rsidRPr="00D97E23">
        <w:rPr>
          <w:noProof/>
          <w:szCs w:val="22"/>
        </w:rPr>
        <w:t>é</w:t>
      </w:r>
      <w:r w:rsidRPr="00D97E23">
        <w:rPr>
          <w:noProof/>
          <w:szCs w:val="22"/>
        </w:rPr>
        <w:t>n.</w:t>
      </w:r>
    </w:p>
    <w:p w14:paraId="7A0A42E7" w14:textId="77777777" w:rsidR="00584ACB" w:rsidRPr="00D97E23" w:rsidRDefault="00584ACB" w:rsidP="00584ACB">
      <w:pPr>
        <w:rPr>
          <w:noProof/>
          <w:szCs w:val="22"/>
        </w:rPr>
      </w:pPr>
    </w:p>
    <w:p w14:paraId="76B59D10" w14:textId="2C8DAF3C" w:rsidR="00584ACB" w:rsidRPr="00D97E23" w:rsidRDefault="00584ACB" w:rsidP="00584ACB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 xml:space="preserve">Nežiaduce účinky sú uvedené nižšie ako preferovaný termín </w:t>
      </w:r>
      <w:r w:rsidR="00FE4571" w:rsidRPr="00D97E23">
        <w:rPr>
          <w:noProof/>
          <w:szCs w:val="22"/>
        </w:rPr>
        <w:t xml:space="preserve">podľa databázy </w:t>
      </w:r>
      <w:r w:rsidRPr="00D97E23">
        <w:rPr>
          <w:noProof/>
          <w:szCs w:val="22"/>
        </w:rPr>
        <w:t xml:space="preserve">MedDRA </w:t>
      </w:r>
      <w:r w:rsidR="00FE4571" w:rsidRPr="00D97E23">
        <w:rPr>
          <w:noProof/>
          <w:szCs w:val="22"/>
        </w:rPr>
        <w:t>na základe</w:t>
      </w:r>
      <w:r w:rsidRPr="00D97E23">
        <w:rPr>
          <w:noProof/>
          <w:szCs w:val="22"/>
        </w:rPr>
        <w:t xml:space="preserve"> tried orgánových systémov a absolútnej frekvencie:</w:t>
      </w:r>
    </w:p>
    <w:p w14:paraId="30576679" w14:textId="43143A54" w:rsidR="00584ACB" w:rsidRPr="00D97E23" w:rsidRDefault="00584ACB" w:rsidP="00584ACB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Veľmi časté (≥1</w:t>
      </w:r>
      <w:r w:rsidR="002E2667" w:rsidRPr="00D97E23">
        <w:rPr>
          <w:noProof/>
          <w:szCs w:val="22"/>
        </w:rPr>
        <w:t>/</w:t>
      </w:r>
      <w:r w:rsidRPr="00D97E23">
        <w:rPr>
          <w:noProof/>
          <w:szCs w:val="22"/>
        </w:rPr>
        <w:t xml:space="preserve">10); časté (≥1/100 až &lt;1/10); menej časté (≥1/1 000 až &lt;1/100); </w:t>
      </w:r>
    </w:p>
    <w:p w14:paraId="24030CF2" w14:textId="174B659C" w:rsidR="00FD4DD8" w:rsidRPr="00D97E23" w:rsidRDefault="00584ACB" w:rsidP="00584ACB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zriedkavé (≥ 1/10 000 až &lt;1/1 000); veľmi zriedkavé (&lt;1/10 000); neznáme (</w:t>
      </w:r>
      <w:r w:rsidR="00FE4571" w:rsidRPr="00D97E23">
        <w:rPr>
          <w:noProof/>
          <w:szCs w:val="22"/>
        </w:rPr>
        <w:t>frekve</w:t>
      </w:r>
      <w:r w:rsidR="002E2667" w:rsidRPr="00D97E23">
        <w:rPr>
          <w:noProof/>
          <w:szCs w:val="22"/>
        </w:rPr>
        <w:t>n</w:t>
      </w:r>
      <w:r w:rsidR="00FE4571" w:rsidRPr="00D97E23">
        <w:rPr>
          <w:noProof/>
          <w:szCs w:val="22"/>
        </w:rPr>
        <w:t xml:space="preserve">cia sa nedá odhadnúť </w:t>
      </w:r>
      <w:r w:rsidRPr="00D97E23">
        <w:rPr>
          <w:noProof/>
          <w:szCs w:val="22"/>
        </w:rPr>
        <w:t>z dostupných údajov).</w:t>
      </w:r>
    </w:p>
    <w:p w14:paraId="2414635A" w14:textId="77777777" w:rsidR="00584ACB" w:rsidRPr="00D97E23" w:rsidRDefault="00584ACB" w:rsidP="00584ACB">
      <w:pPr>
        <w:rPr>
          <w:noProof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594"/>
      </w:tblGrid>
      <w:tr w:rsidR="00584ACB" w:rsidRPr="00D97E23" w14:paraId="44CCD0EF" w14:textId="77777777" w:rsidTr="005A7E71">
        <w:tc>
          <w:tcPr>
            <w:tcW w:w="2478" w:type="dxa"/>
          </w:tcPr>
          <w:p w14:paraId="3D343974" w14:textId="77777777" w:rsidR="00584ACB" w:rsidRPr="00D97E23" w:rsidRDefault="00584ACB" w:rsidP="005A7E71">
            <w:pPr>
              <w:spacing w:before="40" w:after="40"/>
              <w:rPr>
                <w:b/>
              </w:rPr>
            </w:pPr>
            <w:r w:rsidRPr="00D97E23">
              <w:rPr>
                <w:b/>
              </w:rPr>
              <w:t>Infekcie a nákazy</w:t>
            </w:r>
          </w:p>
          <w:p w14:paraId="178CF51A" w14:textId="77777777" w:rsidR="00584ACB" w:rsidRPr="00D97E23" w:rsidRDefault="00584ACB" w:rsidP="005A7E71">
            <w:pPr>
              <w:spacing w:before="40" w:after="40"/>
              <w:rPr>
                <w:b/>
              </w:rPr>
            </w:pPr>
          </w:p>
        </w:tc>
        <w:tc>
          <w:tcPr>
            <w:tcW w:w="6594" w:type="dxa"/>
          </w:tcPr>
          <w:p w14:paraId="75362870" w14:textId="77777777" w:rsidR="00112A1B" w:rsidRPr="00D97E23" w:rsidRDefault="00584ACB" w:rsidP="00C24BC0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 xml:space="preserve">Veľmi </w:t>
            </w:r>
            <w:r w:rsidR="00C97E5B" w:rsidRPr="00D97E23">
              <w:rPr>
                <w:b/>
              </w:rPr>
              <w:t>zriedkavé</w:t>
            </w:r>
            <w:r w:rsidRPr="00D97E23">
              <w:rPr>
                <w:b/>
              </w:rPr>
              <w:t xml:space="preserve">: </w:t>
            </w:r>
            <w:r w:rsidRPr="00D97E23">
              <w:rPr>
                <w:bCs/>
              </w:rPr>
              <w:t xml:space="preserve">Zaznamenalo sa </w:t>
            </w:r>
            <w:r w:rsidR="00112A1B" w:rsidRPr="00D97E23">
              <w:rPr>
                <w:bCs/>
              </w:rPr>
              <w:t>zhoršenie zápalov súvisiacich s</w:t>
            </w:r>
          </w:p>
          <w:p w14:paraId="249AA7DA" w14:textId="1A49C861" w:rsidR="00112A1B" w:rsidRPr="00D97E23" w:rsidRDefault="00584ACB" w:rsidP="003444F6">
            <w:pPr>
              <w:spacing w:before="40" w:after="40"/>
              <w:ind w:left="0" w:firstLine="0"/>
              <w:rPr>
                <w:bCs/>
              </w:rPr>
            </w:pPr>
            <w:r w:rsidRPr="00D97E23">
              <w:rPr>
                <w:bCs/>
              </w:rPr>
              <w:t xml:space="preserve">infekciou (napr. nekrotizujúca fasciitída), </w:t>
            </w:r>
            <w:r w:rsidR="00C24BC0" w:rsidRPr="00D97E23">
              <w:rPr>
                <w:bCs/>
              </w:rPr>
              <w:t>v koincidencii s</w:t>
            </w:r>
            <w:r w:rsidR="00112A1B" w:rsidRPr="00D97E23">
              <w:rPr>
                <w:bCs/>
              </w:rPr>
              <w:t> použitím</w:t>
            </w:r>
          </w:p>
          <w:p w14:paraId="15A3B7BF" w14:textId="3AE95625" w:rsidR="00584ACB" w:rsidRPr="00D97E23" w:rsidRDefault="00584ACB" w:rsidP="00C24BC0">
            <w:pPr>
              <w:spacing w:before="40" w:after="40"/>
              <w:rPr>
                <w:b/>
              </w:rPr>
            </w:pPr>
            <w:r w:rsidRPr="00D97E23">
              <w:rPr>
                <w:bCs/>
              </w:rPr>
              <w:t>NSAID.</w:t>
            </w:r>
          </w:p>
        </w:tc>
      </w:tr>
      <w:tr w:rsidR="00584ACB" w:rsidRPr="00D97E23" w14:paraId="243ED4C2" w14:textId="77777777" w:rsidTr="005A7E71">
        <w:tc>
          <w:tcPr>
            <w:tcW w:w="2478" w:type="dxa"/>
          </w:tcPr>
          <w:p w14:paraId="007843A9" w14:textId="5C262AF0" w:rsidR="00584ACB" w:rsidRPr="00D97E23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D97E23">
              <w:rPr>
                <w:b/>
              </w:rPr>
              <w:t>Poruchy krvi a lymfatického systému</w:t>
            </w:r>
          </w:p>
        </w:tc>
        <w:tc>
          <w:tcPr>
            <w:tcW w:w="6594" w:type="dxa"/>
          </w:tcPr>
          <w:p w14:paraId="53BBEFF4" w14:textId="77777777" w:rsidR="00112A1B" w:rsidRPr="00D97E23" w:rsidRDefault="00584ACB" w:rsidP="00584ACB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 xml:space="preserve">Menej časté: </w:t>
            </w:r>
            <w:r w:rsidRPr="00D97E23">
              <w:rPr>
                <w:bCs/>
              </w:rPr>
              <w:t xml:space="preserve">Zníženie hemoglobínu a hematokritu. Hoci </w:t>
            </w:r>
            <w:r w:rsidR="00112A1B" w:rsidRPr="00D97E23">
              <w:rPr>
                <w:bCs/>
              </w:rPr>
              <w:t>kauzálny</w:t>
            </w:r>
          </w:p>
          <w:p w14:paraId="373AF673" w14:textId="77777777" w:rsidR="00112A1B" w:rsidRPr="00D97E23" w:rsidRDefault="00584ACB" w:rsidP="00584AC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vzťah nebol stanovený, počas liečby</w:t>
            </w:r>
            <w:r w:rsidR="00112A1B" w:rsidRPr="00D97E23">
              <w:rPr>
                <w:bCs/>
              </w:rPr>
              <w:t xml:space="preserve"> boli hlásené epizódy krvácania</w:t>
            </w:r>
          </w:p>
          <w:p w14:paraId="20C84DEA" w14:textId="21BEFEA0" w:rsidR="00584ACB" w:rsidRPr="00D97E23" w:rsidRDefault="00584ACB" w:rsidP="00584AC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(napr. epistaxa, menorágia).</w:t>
            </w:r>
          </w:p>
          <w:p w14:paraId="75E63563" w14:textId="77777777" w:rsidR="00112A1B" w:rsidRPr="00D97E23" w:rsidRDefault="00584ACB" w:rsidP="00C97E5B">
            <w:pPr>
              <w:spacing w:before="40" w:after="40"/>
            </w:pPr>
            <w:r w:rsidRPr="00D97E23">
              <w:rPr>
                <w:b/>
                <w:bCs/>
              </w:rPr>
              <w:t>Veľmi</w:t>
            </w:r>
            <w:r w:rsidR="00C97E5B" w:rsidRPr="00D97E23">
              <w:rPr>
                <w:b/>
                <w:bCs/>
              </w:rPr>
              <w:t xml:space="preserve"> zriedkavé</w:t>
            </w:r>
            <w:r w:rsidRPr="00D97E23">
              <w:rPr>
                <w:b/>
                <w:bCs/>
              </w:rPr>
              <w:t>:</w:t>
            </w:r>
            <w:r w:rsidRPr="00D97E23">
              <w:t xml:space="preserve"> Po užívaní ibuprof</w:t>
            </w:r>
            <w:r w:rsidR="00112A1B" w:rsidRPr="00D97E23">
              <w:t>énu boli hlásené hematopoetické</w:t>
            </w:r>
          </w:p>
          <w:p w14:paraId="05EA881A" w14:textId="77777777" w:rsidR="00112A1B" w:rsidRPr="00D97E23" w:rsidRDefault="00584ACB" w:rsidP="00C97E5B">
            <w:pPr>
              <w:spacing w:before="40" w:after="40"/>
            </w:pPr>
            <w:r w:rsidRPr="00D97E23">
              <w:t>poruchy</w:t>
            </w:r>
            <w:r w:rsidR="00C24BC0" w:rsidRPr="00D97E23">
              <w:t>, ktoré ale neboli kauzálne spojené s liečivom</w:t>
            </w:r>
            <w:r w:rsidR="00112A1B" w:rsidRPr="00D97E23">
              <w:t xml:space="preserve"> (agranulocytóza,</w:t>
            </w:r>
          </w:p>
          <w:p w14:paraId="769F7FD3" w14:textId="77777777" w:rsidR="00112A1B" w:rsidRPr="00D97E23" w:rsidRDefault="00584ACB" w:rsidP="00C97E5B">
            <w:pPr>
              <w:spacing w:before="40" w:after="40"/>
            </w:pPr>
            <w:r w:rsidRPr="00D97E23">
              <w:t>anémia, aplastická anémia, hemolytická anémia</w:t>
            </w:r>
            <w:r w:rsidR="00C24BC0" w:rsidRPr="00D97E23">
              <w:t>,</w:t>
            </w:r>
            <w:r w:rsidR="00112A1B" w:rsidRPr="00D97E23">
              <w:t xml:space="preserve"> leukopénia,</w:t>
            </w:r>
          </w:p>
          <w:p w14:paraId="3F61C13B" w14:textId="2AFAE7E8" w:rsidR="00584ACB" w:rsidRPr="00D97E23" w:rsidRDefault="00584ACB" w:rsidP="00C97E5B">
            <w:pPr>
              <w:spacing w:before="40" w:after="40"/>
            </w:pPr>
            <w:r w:rsidRPr="00D97E23">
              <w:t>neutropénia, pancytopénia a trombocytopénia s purpurou alebo bez nej).</w:t>
            </w:r>
          </w:p>
        </w:tc>
      </w:tr>
      <w:tr w:rsidR="00584ACB" w:rsidRPr="00D97E23" w14:paraId="740B7D29" w14:textId="77777777" w:rsidTr="005A7E71">
        <w:tc>
          <w:tcPr>
            <w:tcW w:w="2478" w:type="dxa"/>
          </w:tcPr>
          <w:p w14:paraId="1974C9E1" w14:textId="5FF7CBF8" w:rsidR="00584ACB" w:rsidRPr="00D97E23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D97E23">
              <w:rPr>
                <w:b/>
              </w:rPr>
              <w:t>Poruchy imunitného systému</w:t>
            </w:r>
          </w:p>
        </w:tc>
        <w:tc>
          <w:tcPr>
            <w:tcW w:w="6594" w:type="dxa"/>
          </w:tcPr>
          <w:p w14:paraId="2A0707CE" w14:textId="77777777" w:rsidR="00112A1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 xml:space="preserve">Veľmi </w:t>
            </w:r>
            <w:r w:rsidR="00C97E5B" w:rsidRPr="00D97E23">
              <w:rPr>
                <w:b/>
              </w:rPr>
              <w:t>zriedkavé</w:t>
            </w:r>
            <w:r w:rsidRPr="00D97E23">
              <w:rPr>
                <w:b/>
              </w:rPr>
              <w:t xml:space="preserve">: </w:t>
            </w:r>
            <w:r w:rsidR="00BF1C5D" w:rsidRPr="00D97E23">
              <w:rPr>
                <w:bCs/>
              </w:rPr>
              <w:t>Boli hlásené reakcie precitlivenosti vrátane kožn</w:t>
            </w:r>
            <w:r w:rsidR="00C24BC0" w:rsidRPr="00D97E23">
              <w:rPr>
                <w:bCs/>
              </w:rPr>
              <w:t>ej</w:t>
            </w:r>
          </w:p>
          <w:p w14:paraId="30718771" w14:textId="6AC33C08" w:rsidR="00584AC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vyrážky a </w:t>
            </w:r>
            <w:r w:rsidR="00C24BC0" w:rsidRPr="00D97E23">
              <w:rPr>
                <w:bCs/>
              </w:rPr>
              <w:t>skríženej</w:t>
            </w:r>
            <w:r w:rsidRPr="00D97E23">
              <w:rPr>
                <w:bCs/>
              </w:rPr>
              <w:t xml:space="preserve"> citlivosti s</w:t>
            </w:r>
            <w:r w:rsidR="00C24BC0" w:rsidRPr="00D97E23">
              <w:rPr>
                <w:bCs/>
              </w:rPr>
              <w:t>o</w:t>
            </w:r>
            <w:r w:rsidRPr="00D97E23">
              <w:rPr>
                <w:bCs/>
              </w:rPr>
              <w:t xml:space="preserve"> sympatomimetikami.</w:t>
            </w:r>
          </w:p>
          <w:p w14:paraId="412037DC" w14:textId="77777777" w:rsidR="00112A1B" w:rsidRPr="00D97E23" w:rsidRDefault="00584ACB" w:rsidP="0083060A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 xml:space="preserve">Menej časté: </w:t>
            </w:r>
            <w:r w:rsidR="00BF1C5D" w:rsidRPr="00D97E23">
              <w:rPr>
                <w:bCs/>
              </w:rPr>
              <w:t>Boli hlásené ďalšie ale</w:t>
            </w:r>
            <w:r w:rsidR="00112A1B" w:rsidRPr="00D97E23">
              <w:rPr>
                <w:bCs/>
              </w:rPr>
              <w:t>rgické reakcie, bez preukázanej</w:t>
            </w:r>
          </w:p>
          <w:p w14:paraId="2DABFFB6" w14:textId="77777777" w:rsidR="00112A1B" w:rsidRPr="00D97E23" w:rsidRDefault="00C24BC0" w:rsidP="0083060A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kauzálnej </w:t>
            </w:r>
            <w:r w:rsidR="00BF1C5D" w:rsidRPr="00D97E23">
              <w:rPr>
                <w:bCs/>
              </w:rPr>
              <w:t xml:space="preserve">súvislosti: sérová choroba, </w:t>
            </w:r>
            <w:r w:rsidR="0083060A" w:rsidRPr="00D97E23">
              <w:rPr>
                <w:bCs/>
              </w:rPr>
              <w:t xml:space="preserve">systémový </w:t>
            </w:r>
            <w:r w:rsidR="00BF1C5D" w:rsidRPr="00D97E23">
              <w:rPr>
                <w:bCs/>
                <w:i/>
              </w:rPr>
              <w:t>lupus erythematosus</w:t>
            </w:r>
            <w:r w:rsidR="00BF1C5D" w:rsidRPr="00D97E23">
              <w:rPr>
                <w:bCs/>
              </w:rPr>
              <w:t>,</w:t>
            </w:r>
          </w:p>
          <w:p w14:paraId="0E65D791" w14:textId="3A7DA463" w:rsidR="00584ACB" w:rsidRPr="00D97E23" w:rsidRDefault="00BF1C5D" w:rsidP="0083060A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Henochova-Schönleinova vaskulitída, angioedém.</w:t>
            </w:r>
          </w:p>
        </w:tc>
      </w:tr>
      <w:tr w:rsidR="00584ACB" w:rsidRPr="00D97E23" w14:paraId="5941C306" w14:textId="77777777" w:rsidTr="005A7E71">
        <w:tc>
          <w:tcPr>
            <w:tcW w:w="2478" w:type="dxa"/>
          </w:tcPr>
          <w:p w14:paraId="77CD8387" w14:textId="64B55C71" w:rsidR="00584ACB" w:rsidRPr="00D97E23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D97E23">
              <w:rPr>
                <w:b/>
              </w:rPr>
              <w:t>Poruchy metabolizmu a</w:t>
            </w:r>
            <w:r w:rsidR="00D97E23" w:rsidRPr="00D97E23">
              <w:rPr>
                <w:b/>
              </w:rPr>
              <w:t xml:space="preserve"> </w:t>
            </w:r>
            <w:r w:rsidRPr="00D97E23">
              <w:rPr>
                <w:b/>
              </w:rPr>
              <w:t>výživy</w:t>
            </w:r>
          </w:p>
          <w:p w14:paraId="223BD924" w14:textId="77777777" w:rsidR="00584ACB" w:rsidRPr="00D97E23" w:rsidRDefault="00584ACB" w:rsidP="005A7E71">
            <w:pPr>
              <w:spacing w:before="40" w:after="40"/>
              <w:rPr>
                <w:b/>
              </w:rPr>
            </w:pPr>
          </w:p>
        </w:tc>
        <w:tc>
          <w:tcPr>
            <w:tcW w:w="6594" w:type="dxa"/>
          </w:tcPr>
          <w:p w14:paraId="1913BCD9" w14:textId="1CA84CDF" w:rsidR="00112A1B" w:rsidRPr="00D97E23" w:rsidRDefault="00D97E23" w:rsidP="00BF1C5D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="00BF1C5D" w:rsidRPr="00D97E23">
              <w:rPr>
                <w:bCs/>
              </w:rPr>
              <w:t xml:space="preserve">V prípade metabolickej acidózy </w:t>
            </w:r>
            <w:r w:rsidR="00C24BC0" w:rsidRPr="00D97E23">
              <w:rPr>
                <w:bCs/>
              </w:rPr>
              <w:t>bola</w:t>
            </w:r>
            <w:r w:rsidR="00112A1B" w:rsidRPr="00D97E23">
              <w:rPr>
                <w:bCs/>
              </w:rPr>
              <w:t xml:space="preserve"> kauzalita</w:t>
            </w:r>
          </w:p>
          <w:p w14:paraId="3539F825" w14:textId="340DC930" w:rsidR="00112A1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ne</w:t>
            </w:r>
            <w:r w:rsidR="00C24BC0" w:rsidRPr="00D97E23">
              <w:rPr>
                <w:bCs/>
              </w:rPr>
              <w:t>jasná</w:t>
            </w:r>
            <w:r w:rsidRPr="00D97E23">
              <w:rPr>
                <w:bCs/>
              </w:rPr>
              <w:t>, pretože došlo k po</w:t>
            </w:r>
            <w:r w:rsidR="00C24BC0" w:rsidRPr="00D97E23">
              <w:rPr>
                <w:bCs/>
              </w:rPr>
              <w:t>daniu</w:t>
            </w:r>
            <w:r w:rsidRPr="00D97E23">
              <w:rPr>
                <w:bCs/>
              </w:rPr>
              <w:t xml:space="preserve"> viac ako jedného lie</w:t>
            </w:r>
            <w:r w:rsidR="00C24BC0" w:rsidRPr="00D97E23">
              <w:rPr>
                <w:bCs/>
              </w:rPr>
              <w:t>čiva</w:t>
            </w:r>
            <w:r w:rsidR="00112A1B" w:rsidRPr="00D97E23">
              <w:rPr>
                <w:bCs/>
              </w:rPr>
              <w:t>. V prípade</w:t>
            </w:r>
          </w:p>
          <w:p w14:paraId="6E89C1D7" w14:textId="77777777" w:rsidR="00112A1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metabolickej acidózy </w:t>
            </w:r>
            <w:r w:rsidR="00C24BC0" w:rsidRPr="00D97E23">
              <w:rPr>
                <w:bCs/>
              </w:rPr>
              <w:t xml:space="preserve">po </w:t>
            </w:r>
            <w:r w:rsidRPr="00D97E23">
              <w:rPr>
                <w:bCs/>
              </w:rPr>
              <w:t>užit</w:t>
            </w:r>
            <w:r w:rsidR="00C24BC0" w:rsidRPr="00D97E23">
              <w:rPr>
                <w:bCs/>
              </w:rPr>
              <w:t>í</w:t>
            </w:r>
            <w:r w:rsidRPr="00D97E23">
              <w:rPr>
                <w:bCs/>
              </w:rPr>
              <w:t xml:space="preserve"> 75 g paracetamolu</w:t>
            </w:r>
            <w:r w:rsidR="00C24BC0" w:rsidRPr="00D97E23">
              <w:rPr>
                <w:bCs/>
              </w:rPr>
              <w:t>;</w:t>
            </w:r>
            <w:r w:rsidR="00112A1B" w:rsidRPr="00D97E23">
              <w:rPr>
                <w:bCs/>
              </w:rPr>
              <w:t xml:space="preserve"> 1,95 g kyseliny</w:t>
            </w:r>
          </w:p>
          <w:p w14:paraId="289497DE" w14:textId="77777777" w:rsidR="00112A1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acetylsalicylovej a malého množstva teku</w:t>
            </w:r>
            <w:r w:rsidR="00112A1B" w:rsidRPr="00D97E23">
              <w:rPr>
                <w:bCs/>
              </w:rPr>
              <w:t>tého čistiaceho prostriedku pre</w:t>
            </w:r>
          </w:p>
          <w:p w14:paraId="402B2D72" w14:textId="77777777" w:rsidR="00112A1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domácnosť. Pacient mal tiež anamn</w:t>
            </w:r>
            <w:r w:rsidR="00112A1B" w:rsidRPr="00D97E23">
              <w:rPr>
                <w:bCs/>
              </w:rPr>
              <w:t>ézu záchvatov, o ktorých autori</w:t>
            </w:r>
          </w:p>
          <w:p w14:paraId="77BEC60D" w14:textId="77777777" w:rsidR="00112A1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uvádzali, že môže prispieť k zvýše</w:t>
            </w:r>
            <w:r w:rsidR="00112A1B" w:rsidRPr="00D97E23">
              <w:rPr>
                <w:bCs/>
              </w:rPr>
              <w:t>nej hladine laktátu svedčiace o</w:t>
            </w:r>
          </w:p>
          <w:p w14:paraId="5E00A835" w14:textId="77777777" w:rsidR="00112A1B" w:rsidRPr="00D97E23" w:rsidRDefault="00BF1C5D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metabolickej acidóze.</w:t>
            </w:r>
            <w:r w:rsidR="00112A1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Medzi met</w:t>
            </w:r>
            <w:r w:rsidR="00112A1B" w:rsidRPr="00D97E23">
              <w:rPr>
                <w:bCs/>
              </w:rPr>
              <w:t>abolické vedľajšie účinky patrí</w:t>
            </w:r>
          </w:p>
          <w:p w14:paraId="68BD301B" w14:textId="77777777" w:rsidR="00112A1B" w:rsidRPr="00D97E23" w:rsidRDefault="00BF1C5D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hypokaliémi</w:t>
            </w:r>
            <w:r w:rsidR="00C24BC0" w:rsidRPr="00D97E23">
              <w:rPr>
                <w:bCs/>
              </w:rPr>
              <w:t>a</w:t>
            </w:r>
            <w:r w:rsidRPr="00D97E23">
              <w:rPr>
                <w:bCs/>
              </w:rPr>
              <w:t>. Po masívnom predávko</w:t>
            </w:r>
            <w:r w:rsidR="00112A1B" w:rsidRPr="00D97E23">
              <w:rPr>
                <w:bCs/>
              </w:rPr>
              <w:t>vaní paracetamolom boli hlásené</w:t>
            </w:r>
          </w:p>
          <w:p w14:paraId="1A571127" w14:textId="29F2F567" w:rsidR="00BF1C5D" w:rsidRPr="00D97E23" w:rsidRDefault="00BF1C5D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metabolické vedľajšie účinky vrátane metabolickej acidózy.</w:t>
            </w:r>
          </w:p>
          <w:p w14:paraId="1939CB87" w14:textId="77777777" w:rsidR="00584AC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</w:t>
            </w:r>
            <w:r w:rsidR="00584ACB" w:rsidRPr="00D97E23">
              <w:rPr>
                <w:bCs/>
              </w:rPr>
              <w:t xml:space="preserve"> gynekomasti</w:t>
            </w:r>
            <w:r w:rsidRPr="00D97E23">
              <w:rPr>
                <w:bCs/>
              </w:rPr>
              <w:t>a</w:t>
            </w:r>
            <w:r w:rsidR="00584ACB" w:rsidRPr="00D97E23">
              <w:rPr>
                <w:bCs/>
              </w:rPr>
              <w:t>, hypoglykemická reakc</w:t>
            </w:r>
            <w:r w:rsidRPr="00D97E23">
              <w:rPr>
                <w:bCs/>
              </w:rPr>
              <w:t>ia</w:t>
            </w:r>
            <w:r w:rsidR="00584ACB" w:rsidRPr="00D97E23">
              <w:rPr>
                <w:bCs/>
              </w:rPr>
              <w:t>.</w:t>
            </w:r>
          </w:p>
        </w:tc>
      </w:tr>
      <w:tr w:rsidR="00584ACB" w:rsidRPr="00D97E23" w14:paraId="5E957690" w14:textId="77777777" w:rsidTr="005A7E71">
        <w:tc>
          <w:tcPr>
            <w:tcW w:w="2478" w:type="dxa"/>
          </w:tcPr>
          <w:p w14:paraId="4AE393DF" w14:textId="3CEB64C9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</w:rPr>
              <w:t>Poruchy nervového systému</w:t>
            </w:r>
          </w:p>
        </w:tc>
        <w:tc>
          <w:tcPr>
            <w:tcW w:w="6594" w:type="dxa"/>
          </w:tcPr>
          <w:p w14:paraId="17ACB1EC" w14:textId="4EC09664" w:rsidR="00584AC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Časté</w:t>
            </w:r>
            <w:r w:rsidRPr="00D97E23">
              <w:rPr>
                <w:bCs/>
              </w:rPr>
              <w:t xml:space="preserve">: </w:t>
            </w:r>
            <w:r w:rsidR="00BF1C5D" w:rsidRPr="00D97E23">
              <w:rPr>
                <w:bCs/>
              </w:rPr>
              <w:t>závraty</w:t>
            </w:r>
            <w:r w:rsidRPr="00D97E23">
              <w:rPr>
                <w:bCs/>
              </w:rPr>
              <w:t>, boles</w:t>
            </w:r>
            <w:r w:rsidR="00C24BC0" w:rsidRPr="00D97E23">
              <w:rPr>
                <w:bCs/>
              </w:rPr>
              <w:t>ť</w:t>
            </w:r>
            <w:r w:rsidRPr="00D97E23">
              <w:rPr>
                <w:bCs/>
              </w:rPr>
              <w:t xml:space="preserve"> hlavy, nervozita.</w:t>
            </w:r>
          </w:p>
          <w:p w14:paraId="113FE820" w14:textId="77777777" w:rsidR="00112A1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depresi</w:t>
            </w:r>
            <w:r w:rsidR="00C24BC0" w:rsidRPr="00D97E23">
              <w:rPr>
                <w:bCs/>
              </w:rPr>
              <w:t>a</w:t>
            </w:r>
            <w:r w:rsidR="00584ACB" w:rsidRPr="00D97E23">
              <w:rPr>
                <w:bCs/>
              </w:rPr>
              <w:t xml:space="preserve">, </w:t>
            </w:r>
            <w:r w:rsidRPr="00D97E23">
              <w:rPr>
                <w:bCs/>
              </w:rPr>
              <w:t>nespavosť</w:t>
            </w:r>
            <w:r w:rsidR="00584ACB" w:rsidRPr="00D97E23">
              <w:rPr>
                <w:bCs/>
              </w:rPr>
              <w:t xml:space="preserve">, </w:t>
            </w:r>
            <w:r w:rsidRPr="00D97E23">
              <w:rPr>
                <w:bCs/>
              </w:rPr>
              <w:t>zmätenosť</w:t>
            </w:r>
            <w:r w:rsidR="00584ACB" w:rsidRPr="00D97E23">
              <w:rPr>
                <w:bCs/>
              </w:rPr>
              <w:t>, emočn</w:t>
            </w:r>
            <w:r w:rsidRPr="00D97E23">
              <w:rPr>
                <w:bCs/>
              </w:rPr>
              <w:t>á</w:t>
            </w:r>
            <w:r w:rsidR="00112A1B" w:rsidRPr="00D97E23">
              <w:rPr>
                <w:bCs/>
              </w:rPr>
              <w:t xml:space="preserve"> labilita,</w:t>
            </w:r>
          </w:p>
          <w:p w14:paraId="57327164" w14:textId="2D8638DB" w:rsidR="00584AC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somnolenc</w:t>
            </w:r>
            <w:r w:rsidR="00BF1C5D" w:rsidRPr="00D97E23">
              <w:rPr>
                <w:bCs/>
              </w:rPr>
              <w:t>i</w:t>
            </w:r>
            <w:r w:rsidR="00C24BC0" w:rsidRPr="00D97E23">
              <w:rPr>
                <w:bCs/>
              </w:rPr>
              <w:t>a</w:t>
            </w:r>
            <w:r w:rsidRPr="00D97E23">
              <w:rPr>
                <w:bCs/>
              </w:rPr>
              <w:t xml:space="preserve">, aseptická </w:t>
            </w:r>
            <w:r w:rsidR="00BF1C5D" w:rsidRPr="00D97E23">
              <w:rPr>
                <w:bCs/>
              </w:rPr>
              <w:t>meningitída</w:t>
            </w:r>
            <w:r w:rsidRPr="00D97E23">
              <w:rPr>
                <w:bCs/>
              </w:rPr>
              <w:t xml:space="preserve"> s hor</w:t>
            </w:r>
            <w:r w:rsidR="00BF1C5D" w:rsidRPr="00D97E23">
              <w:rPr>
                <w:bCs/>
              </w:rPr>
              <w:t>ú</w:t>
            </w:r>
            <w:r w:rsidRPr="00D97E23">
              <w:rPr>
                <w:bCs/>
              </w:rPr>
              <w:t>čkou a</w:t>
            </w:r>
            <w:r w:rsidR="00BF1C5D" w:rsidRPr="00D97E23">
              <w:rPr>
                <w:bCs/>
              </w:rPr>
              <w:t> </w:t>
            </w:r>
            <w:r w:rsidR="00C24BC0" w:rsidRPr="00D97E23">
              <w:rPr>
                <w:bCs/>
              </w:rPr>
              <w:t>kóma</w:t>
            </w:r>
            <w:r w:rsidR="00BF1C5D" w:rsidRPr="00D97E23">
              <w:rPr>
                <w:bCs/>
              </w:rPr>
              <w:t>.</w:t>
            </w:r>
          </w:p>
          <w:p w14:paraId="4534EE2E" w14:textId="06DA8825" w:rsidR="00584ACB" w:rsidRPr="00D97E23" w:rsidRDefault="00297888" w:rsidP="00BF1C5D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parestézi</w:t>
            </w:r>
            <w:r w:rsidR="00C24BC0" w:rsidRPr="00D97E23">
              <w:rPr>
                <w:bCs/>
              </w:rPr>
              <w:t>e</w:t>
            </w:r>
            <w:r w:rsidR="00584ACB" w:rsidRPr="00D97E23">
              <w:rPr>
                <w:bCs/>
              </w:rPr>
              <w:t xml:space="preserve">, </w:t>
            </w:r>
            <w:r w:rsidR="00BF1C5D" w:rsidRPr="00D97E23">
              <w:rPr>
                <w:bCs/>
              </w:rPr>
              <w:t>halucinácie</w:t>
            </w:r>
            <w:r w:rsidR="00584ACB" w:rsidRPr="00D97E23">
              <w:rPr>
                <w:bCs/>
              </w:rPr>
              <w:t>, snové abnormality.</w:t>
            </w:r>
          </w:p>
          <w:p w14:paraId="13A4F2CA" w14:textId="77777777" w:rsidR="00112A1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paradox</w:t>
            </w:r>
            <w:r w:rsidRPr="00D97E23">
              <w:rPr>
                <w:bCs/>
              </w:rPr>
              <w:t>ná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stimulácia</w:t>
            </w:r>
            <w:r w:rsidR="00584ACB" w:rsidRPr="00D97E23">
              <w:rPr>
                <w:bCs/>
              </w:rPr>
              <w:t xml:space="preserve">, optická </w:t>
            </w:r>
            <w:r w:rsidRPr="00D97E23">
              <w:rPr>
                <w:bCs/>
              </w:rPr>
              <w:t>neuritída</w:t>
            </w:r>
            <w:r w:rsidR="00112A1B" w:rsidRPr="00D97E23">
              <w:rPr>
                <w:bCs/>
              </w:rPr>
              <w:t>,</w:t>
            </w:r>
          </w:p>
          <w:p w14:paraId="1AA24749" w14:textId="5E94F5C2" w:rsidR="00584AC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psychomotorická porucha, extrapyramidové účinky, t</w:t>
            </w:r>
            <w:r w:rsidR="00BF1C5D" w:rsidRPr="00D97E23">
              <w:rPr>
                <w:bCs/>
              </w:rPr>
              <w:t>r</w:t>
            </w:r>
            <w:r w:rsidR="00C24BC0" w:rsidRPr="00D97E23">
              <w:rPr>
                <w:bCs/>
              </w:rPr>
              <w:t>emor</w:t>
            </w:r>
            <w:r w:rsidRPr="00D97E23">
              <w:rPr>
                <w:bCs/>
              </w:rPr>
              <w:t xml:space="preserve"> a k</w:t>
            </w:r>
            <w:r w:rsidR="00C24BC0" w:rsidRPr="00D97E23">
              <w:rPr>
                <w:bCs/>
              </w:rPr>
              <w:t>onvulzie</w:t>
            </w:r>
            <w:r w:rsidRPr="00D97E23">
              <w:rPr>
                <w:bCs/>
              </w:rPr>
              <w:t>.</w:t>
            </w:r>
          </w:p>
        </w:tc>
      </w:tr>
      <w:tr w:rsidR="00584ACB" w:rsidRPr="00D97E23" w14:paraId="2B184310" w14:textId="77777777" w:rsidTr="005A7E71">
        <w:tc>
          <w:tcPr>
            <w:tcW w:w="2478" w:type="dxa"/>
          </w:tcPr>
          <w:p w14:paraId="26F25140" w14:textId="3A02E4A8" w:rsidR="00584ACB" w:rsidRPr="00D97E23" w:rsidRDefault="00584ACB" w:rsidP="005A7E71">
            <w:pPr>
              <w:spacing w:before="40" w:after="40"/>
              <w:rPr>
                <w:b/>
              </w:rPr>
            </w:pPr>
            <w:r w:rsidRPr="00D97E23">
              <w:rPr>
                <w:b/>
              </w:rPr>
              <w:t>Poruchy oka</w:t>
            </w:r>
          </w:p>
        </w:tc>
        <w:tc>
          <w:tcPr>
            <w:tcW w:w="6594" w:type="dxa"/>
          </w:tcPr>
          <w:p w14:paraId="685304FB" w14:textId="77777777" w:rsidR="00112A1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 </w:t>
            </w:r>
            <w:r w:rsidR="00584ACB" w:rsidRPr="00D97E23">
              <w:rPr>
                <w:bCs/>
              </w:rPr>
              <w:t>Vyskytla s</w:t>
            </w:r>
            <w:r w:rsidRPr="00D97E23">
              <w:rPr>
                <w:bCs/>
              </w:rPr>
              <w:t>a</w:t>
            </w:r>
            <w:r w:rsidR="00584ACB" w:rsidRPr="00D97E23">
              <w:rPr>
                <w:bCs/>
              </w:rPr>
              <w:t xml:space="preserve"> amblyopi</w:t>
            </w:r>
            <w:r w:rsidRPr="00D97E23">
              <w:rPr>
                <w:bCs/>
              </w:rPr>
              <w:t>a</w:t>
            </w:r>
            <w:r w:rsidR="00584ACB" w:rsidRPr="00D97E23">
              <w:rPr>
                <w:bCs/>
              </w:rPr>
              <w:t xml:space="preserve"> (rozmazané a/</w:t>
            </w:r>
            <w:r w:rsidRPr="00D97E23">
              <w:rPr>
                <w:bCs/>
              </w:rPr>
              <w:t>al</w:t>
            </w:r>
            <w:r w:rsidR="00584ACB" w:rsidRPr="00D97E23">
              <w:rPr>
                <w:bCs/>
              </w:rPr>
              <w:t xml:space="preserve">ebo </w:t>
            </w:r>
            <w:r w:rsidRPr="00D97E23">
              <w:rPr>
                <w:bCs/>
              </w:rPr>
              <w:t>znížené</w:t>
            </w:r>
          </w:p>
          <w:p w14:paraId="07BFD06F" w14:textId="77777777" w:rsidR="00112A1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videnie</w:t>
            </w:r>
            <w:r w:rsidR="00584ACB" w:rsidRPr="00D97E23">
              <w:rPr>
                <w:bCs/>
              </w:rPr>
              <w:t>, skot</w:t>
            </w:r>
            <w:r w:rsidRPr="00D97E23">
              <w:rPr>
                <w:bCs/>
              </w:rPr>
              <w:t>ó</w:t>
            </w:r>
            <w:r w:rsidR="00584ACB" w:rsidRPr="00D97E23">
              <w:rPr>
                <w:bCs/>
              </w:rPr>
              <w:t>m a/</w:t>
            </w:r>
            <w:r w:rsidR="00C24BC0" w:rsidRPr="00D97E23">
              <w:rPr>
                <w:bCs/>
              </w:rPr>
              <w:t>alebo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zmeny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farebného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videnia</w:t>
            </w:r>
            <w:r w:rsidR="00584ACB" w:rsidRPr="00D97E23">
              <w:rPr>
                <w:bCs/>
              </w:rPr>
              <w:t xml:space="preserve">, </w:t>
            </w:r>
            <w:r w:rsidRPr="00D97E23">
              <w:rPr>
                <w:bCs/>
              </w:rPr>
              <w:t>ktoré</w:t>
            </w:r>
            <w:r w:rsidR="00584ACB" w:rsidRPr="00D97E23">
              <w:rPr>
                <w:bCs/>
              </w:rPr>
              <w:t xml:space="preserve"> s</w:t>
            </w:r>
            <w:r w:rsidRPr="00D97E23">
              <w:rPr>
                <w:bCs/>
              </w:rPr>
              <w:t>a</w:t>
            </w:r>
            <w:r w:rsidR="00112A1B" w:rsidRPr="00D97E23">
              <w:rPr>
                <w:bCs/>
              </w:rPr>
              <w:t xml:space="preserve"> po ukončení</w:t>
            </w:r>
          </w:p>
          <w:p w14:paraId="24769BEF" w14:textId="77777777" w:rsidR="00112A1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liečby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vrátili</w:t>
            </w:r>
            <w:r w:rsidR="00584ACB" w:rsidRPr="00D97E23">
              <w:rPr>
                <w:bCs/>
              </w:rPr>
              <w:t xml:space="preserve"> do normálu. Každý pacient s </w:t>
            </w:r>
            <w:r w:rsidRPr="00D97E23">
              <w:rPr>
                <w:bCs/>
              </w:rPr>
              <w:t>očnými</w:t>
            </w:r>
            <w:r w:rsidR="00584ACB" w:rsidRPr="00D97E23">
              <w:rPr>
                <w:bCs/>
              </w:rPr>
              <w:t xml:space="preserve"> poruchami by </w:t>
            </w:r>
            <w:r w:rsidRPr="00D97E23">
              <w:rPr>
                <w:bCs/>
              </w:rPr>
              <w:t>mal</w:t>
            </w:r>
            <w:r w:rsidR="00584ACB" w:rsidRPr="00D97E23">
              <w:rPr>
                <w:bCs/>
              </w:rPr>
              <w:t xml:space="preserve"> </w:t>
            </w:r>
          </w:p>
          <w:p w14:paraId="47CADB3E" w14:textId="77777777" w:rsidR="00112A1B" w:rsidRPr="00D97E23" w:rsidRDefault="00BF1C5D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podstúpiť</w:t>
            </w:r>
            <w:r w:rsidR="00584ACB" w:rsidRPr="00D97E23">
              <w:rPr>
                <w:bCs/>
              </w:rPr>
              <w:t xml:space="preserve"> oftalmologické </w:t>
            </w:r>
            <w:r w:rsidRPr="00D97E23">
              <w:rPr>
                <w:bCs/>
              </w:rPr>
              <w:t>vyšetrenie</w:t>
            </w:r>
            <w:r w:rsidR="00584ACB" w:rsidRPr="00D97E23">
              <w:rPr>
                <w:bCs/>
              </w:rPr>
              <w:t xml:space="preserve">, </w:t>
            </w:r>
            <w:r w:rsidRPr="00D97E23">
              <w:rPr>
                <w:bCs/>
              </w:rPr>
              <w:t>ktoré</w:t>
            </w:r>
            <w:r w:rsidR="00584ACB" w:rsidRPr="00D97E23">
              <w:rPr>
                <w:bCs/>
              </w:rPr>
              <w:t xml:space="preserve"> zahr</w:t>
            </w:r>
            <w:r w:rsidRPr="00D97E23">
              <w:rPr>
                <w:bCs/>
              </w:rPr>
              <w:t>ň</w:t>
            </w:r>
            <w:r w:rsidR="00112A1B" w:rsidRPr="00D97E23">
              <w:rPr>
                <w:bCs/>
              </w:rPr>
              <w:t xml:space="preserve">uje </w:t>
            </w:r>
            <w:r w:rsidRPr="00D97E23">
              <w:rPr>
                <w:bCs/>
              </w:rPr>
              <w:t>vyšetrenie</w:t>
            </w:r>
          </w:p>
          <w:p w14:paraId="3923BD0C" w14:textId="4C49AAF8" w:rsidR="00584ACB" w:rsidRPr="00D97E23" w:rsidRDefault="00BF1C5D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lastRenderedPageBreak/>
              <w:t>centrálneho</w:t>
            </w:r>
            <w:r w:rsidR="00584ACB" w:rsidRPr="00D97E23">
              <w:rPr>
                <w:bCs/>
              </w:rPr>
              <w:t xml:space="preserve"> </w:t>
            </w:r>
            <w:r w:rsidR="00C24BC0" w:rsidRPr="00D97E23">
              <w:rPr>
                <w:bCs/>
              </w:rPr>
              <w:t xml:space="preserve">zrakového </w:t>
            </w:r>
            <w:r w:rsidR="00584ACB" w:rsidRPr="00D97E23">
              <w:rPr>
                <w:bCs/>
              </w:rPr>
              <w:t>po</w:t>
            </w:r>
            <w:r w:rsidRPr="00D97E23">
              <w:rPr>
                <w:bCs/>
              </w:rPr>
              <w:t>ľa</w:t>
            </w:r>
            <w:r w:rsidR="00584ACB" w:rsidRPr="00D97E23">
              <w:rPr>
                <w:bCs/>
              </w:rPr>
              <w:t>.</w:t>
            </w:r>
          </w:p>
        </w:tc>
      </w:tr>
      <w:tr w:rsidR="00584ACB" w:rsidRPr="00D97E23" w14:paraId="2D2232B5" w14:textId="77777777" w:rsidTr="005A7E71">
        <w:tc>
          <w:tcPr>
            <w:tcW w:w="2478" w:type="dxa"/>
          </w:tcPr>
          <w:p w14:paraId="5CD17E26" w14:textId="7F99B71D" w:rsidR="00584ACB" w:rsidRPr="00D97E23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D97E23">
              <w:rPr>
                <w:b/>
              </w:rPr>
              <w:lastRenderedPageBreak/>
              <w:t>Poruchy ucha a</w:t>
            </w:r>
            <w:r w:rsidR="00D97E23" w:rsidRPr="00D97E23">
              <w:rPr>
                <w:b/>
              </w:rPr>
              <w:t xml:space="preserve"> </w:t>
            </w:r>
            <w:r w:rsidRPr="00D97E23">
              <w:rPr>
                <w:b/>
              </w:rPr>
              <w:t>labyrintu</w:t>
            </w:r>
          </w:p>
        </w:tc>
        <w:tc>
          <w:tcPr>
            <w:tcW w:w="6594" w:type="dxa"/>
          </w:tcPr>
          <w:p w14:paraId="6BE160A1" w14:textId="7D093118" w:rsidR="00584AC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297888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="00C24BC0" w:rsidRPr="00D97E23">
              <w:rPr>
                <w:bCs/>
              </w:rPr>
              <w:t>v</w:t>
            </w:r>
            <w:r w:rsidR="00584ACB" w:rsidRPr="00D97E23">
              <w:rPr>
                <w:bCs/>
              </w:rPr>
              <w:t>ertigo.</w:t>
            </w:r>
          </w:p>
          <w:p w14:paraId="4044DEC0" w14:textId="67CAA77B" w:rsidR="00584AC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Časté</w:t>
            </w:r>
            <w:r w:rsidRPr="00D97E23">
              <w:rPr>
                <w:bCs/>
              </w:rPr>
              <w:t xml:space="preserve">: </w:t>
            </w:r>
            <w:r w:rsidR="00C24BC0" w:rsidRPr="00D97E23">
              <w:rPr>
                <w:bCs/>
              </w:rPr>
              <w:t>t</w:t>
            </w:r>
            <w:r w:rsidRPr="00D97E23">
              <w:rPr>
                <w:bCs/>
              </w:rPr>
              <w:t>initus (p</w:t>
            </w:r>
            <w:r w:rsidR="00BF1C5D" w:rsidRPr="00D97E23">
              <w:rPr>
                <w:bCs/>
              </w:rPr>
              <w:t>re lieky</w:t>
            </w:r>
            <w:r w:rsidRPr="00D97E23">
              <w:rPr>
                <w:bCs/>
              </w:rPr>
              <w:t xml:space="preserve"> obsahuj</w:t>
            </w:r>
            <w:r w:rsidR="00BF1C5D" w:rsidRPr="00D97E23">
              <w:rPr>
                <w:bCs/>
              </w:rPr>
              <w:t>ú</w:t>
            </w:r>
            <w:r w:rsidRPr="00D97E23">
              <w:rPr>
                <w:bCs/>
              </w:rPr>
              <w:t>c</w:t>
            </w:r>
            <w:r w:rsidR="00BF1C5D" w:rsidRPr="00D97E23">
              <w:rPr>
                <w:bCs/>
              </w:rPr>
              <w:t>e</w:t>
            </w:r>
            <w:r w:rsidRPr="00D97E23">
              <w:rPr>
                <w:bCs/>
              </w:rPr>
              <w:t xml:space="preserve"> ibuprof</w:t>
            </w:r>
            <w:r w:rsidR="00BF1C5D" w:rsidRPr="00D97E23">
              <w:rPr>
                <w:bCs/>
              </w:rPr>
              <w:t>é</w:t>
            </w:r>
            <w:r w:rsidRPr="00D97E23">
              <w:rPr>
                <w:bCs/>
              </w:rPr>
              <w:t>n).</w:t>
            </w:r>
          </w:p>
        </w:tc>
      </w:tr>
      <w:tr w:rsidR="00584ACB" w:rsidRPr="00D97E23" w14:paraId="635ADEFD" w14:textId="77777777" w:rsidTr="005A7E71">
        <w:tc>
          <w:tcPr>
            <w:tcW w:w="2478" w:type="dxa"/>
          </w:tcPr>
          <w:p w14:paraId="1400241F" w14:textId="77777777" w:rsidR="00584ACB" w:rsidRPr="00D97E23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D97E23">
              <w:rPr>
                <w:b/>
                <w:bCs/>
              </w:rPr>
              <w:t>Poruchy srdca a srdcovej činnosti</w:t>
            </w:r>
          </w:p>
        </w:tc>
        <w:tc>
          <w:tcPr>
            <w:tcW w:w="6594" w:type="dxa"/>
          </w:tcPr>
          <w:p w14:paraId="09B2B625" w14:textId="77777777" w:rsidR="00112A1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Časté:</w:t>
            </w:r>
            <w:r w:rsidRPr="00D97E23">
              <w:rPr>
                <w:bCs/>
              </w:rPr>
              <w:t xml:space="preserve"> </w:t>
            </w:r>
            <w:r w:rsidR="00C24BC0" w:rsidRPr="00D97E23">
              <w:rPr>
                <w:bCs/>
              </w:rPr>
              <w:t>e</w:t>
            </w:r>
            <w:r w:rsidRPr="00D97E23">
              <w:rPr>
                <w:bCs/>
              </w:rPr>
              <w:t xml:space="preserve">dém, </w:t>
            </w:r>
            <w:r w:rsidR="00BF1C5D" w:rsidRPr="00D97E23">
              <w:rPr>
                <w:bCs/>
              </w:rPr>
              <w:t>zadrž</w:t>
            </w:r>
            <w:r w:rsidR="00C24BC0" w:rsidRPr="00D97E23">
              <w:rPr>
                <w:bCs/>
              </w:rPr>
              <w:t>ia</w:t>
            </w:r>
            <w:r w:rsidR="00BF1C5D" w:rsidRPr="00D97E23">
              <w:rPr>
                <w:bCs/>
              </w:rPr>
              <w:t>vanie</w:t>
            </w:r>
            <w:r w:rsidRPr="00D97E23">
              <w:rPr>
                <w:bCs/>
              </w:rPr>
              <w:t xml:space="preserve"> </w:t>
            </w:r>
            <w:r w:rsidR="00BF1C5D" w:rsidRPr="00D97E23">
              <w:rPr>
                <w:bCs/>
              </w:rPr>
              <w:t>tekutín</w:t>
            </w:r>
            <w:r w:rsidRPr="00D97E23">
              <w:rPr>
                <w:bCs/>
              </w:rPr>
              <w:t xml:space="preserve">; </w:t>
            </w:r>
            <w:r w:rsidR="00C24BC0" w:rsidRPr="00D97E23">
              <w:rPr>
                <w:bCs/>
              </w:rPr>
              <w:t>zadr</w:t>
            </w:r>
            <w:r w:rsidR="00112A1B" w:rsidRPr="00D97E23">
              <w:rPr>
                <w:bCs/>
              </w:rPr>
              <w:t>žiavanie tekutín rýchlo vymizne</w:t>
            </w:r>
          </w:p>
          <w:p w14:paraId="64766EFC" w14:textId="4130D6F1" w:rsidR="00584ACB" w:rsidRPr="00D97E23" w:rsidRDefault="00C24BC0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po</w:t>
            </w:r>
            <w:r w:rsidR="00023637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ukončení liečby</w:t>
            </w:r>
          </w:p>
          <w:p w14:paraId="76C80894" w14:textId="77777777" w:rsidR="00112A1B" w:rsidRPr="00D97E23" w:rsidRDefault="00BF1C5D" w:rsidP="00C97E5B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="00023637" w:rsidRPr="00D97E23">
              <w:rPr>
                <w:bCs/>
              </w:rPr>
              <w:t xml:space="preserve">Boli hlásené </w:t>
            </w:r>
            <w:r w:rsidR="00584ACB" w:rsidRPr="00D97E23">
              <w:rPr>
                <w:bCs/>
              </w:rPr>
              <w:t>palpit</w:t>
            </w:r>
            <w:r w:rsidRPr="00D97E23">
              <w:rPr>
                <w:bCs/>
              </w:rPr>
              <w:t>ácie</w:t>
            </w:r>
            <w:r w:rsidR="00584ACB" w:rsidRPr="00D97E23">
              <w:rPr>
                <w:bCs/>
              </w:rPr>
              <w:t>; tachykardi</w:t>
            </w:r>
            <w:r w:rsidR="00023637" w:rsidRPr="00D97E23">
              <w:rPr>
                <w:bCs/>
              </w:rPr>
              <w:t>a</w:t>
            </w:r>
            <w:r w:rsidR="00112A1B" w:rsidRPr="00D97E23">
              <w:rPr>
                <w:bCs/>
              </w:rPr>
              <w:t>; arytmie a</w:t>
            </w:r>
          </w:p>
          <w:p w14:paraId="69FB3448" w14:textId="77777777" w:rsidR="00112A1B" w:rsidRPr="00D97E23" w:rsidRDefault="00023637" w:rsidP="00C97E5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ď</w:t>
            </w:r>
            <w:r w:rsidR="00584ACB" w:rsidRPr="00D97E23">
              <w:rPr>
                <w:bCs/>
              </w:rPr>
              <w:t>alš</w:t>
            </w:r>
            <w:r w:rsidR="00BF1C5D" w:rsidRPr="00D97E23">
              <w:rPr>
                <w:bCs/>
              </w:rPr>
              <w:t>ie</w:t>
            </w:r>
            <w:r w:rsidR="00584ACB" w:rsidRPr="00D97E23">
              <w:rPr>
                <w:bCs/>
              </w:rPr>
              <w:t xml:space="preserve"> srd</w:t>
            </w:r>
            <w:r w:rsidR="00BF1C5D" w:rsidRPr="00D97E23">
              <w:rPr>
                <w:bCs/>
              </w:rPr>
              <w:t>cové</w:t>
            </w:r>
            <w:r w:rsidR="00584ACB" w:rsidRPr="00D97E23">
              <w:rPr>
                <w:bCs/>
              </w:rPr>
              <w:t xml:space="preserve"> dysrytmie. </w:t>
            </w:r>
            <w:r w:rsidR="00BF1C5D" w:rsidRPr="00D97E23">
              <w:rPr>
                <w:bCs/>
              </w:rPr>
              <w:t>Hypertenzia</w:t>
            </w:r>
            <w:r w:rsidR="00584ACB" w:rsidRPr="00D97E23">
              <w:rPr>
                <w:bCs/>
              </w:rPr>
              <w:t xml:space="preserve"> a</w:t>
            </w:r>
            <w:r w:rsidR="00BF1C5D" w:rsidRPr="00D97E23">
              <w:rPr>
                <w:bCs/>
              </w:rPr>
              <w:t> zlyhanie srdca</w:t>
            </w:r>
            <w:r w:rsidR="00584ACB" w:rsidRPr="00D97E23">
              <w:rPr>
                <w:bCs/>
              </w:rPr>
              <w:t xml:space="preserve"> </w:t>
            </w:r>
            <w:r w:rsidR="00BF1C5D" w:rsidRPr="00D97E23">
              <w:rPr>
                <w:bCs/>
              </w:rPr>
              <w:t>boli hlásené</w:t>
            </w:r>
            <w:r w:rsidR="00112A1B" w:rsidRPr="00D97E23">
              <w:rPr>
                <w:bCs/>
              </w:rPr>
              <w:t xml:space="preserve"> v</w:t>
            </w:r>
          </w:p>
          <w:p w14:paraId="2E8C9C74" w14:textId="16FFAF77" w:rsidR="00584ACB" w:rsidRPr="00D97E23" w:rsidRDefault="00BF1C5D" w:rsidP="00C97E5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súvislosti</w:t>
            </w:r>
            <w:r w:rsidR="00584ACB" w:rsidRPr="00D97E23">
              <w:rPr>
                <w:bCs/>
              </w:rPr>
              <w:t xml:space="preserve"> s </w:t>
            </w:r>
            <w:r w:rsidRPr="00D97E23">
              <w:rPr>
                <w:bCs/>
              </w:rPr>
              <w:t>liečbou</w:t>
            </w:r>
            <w:r w:rsidR="00584ACB" w:rsidRPr="00D97E23">
              <w:rPr>
                <w:bCs/>
              </w:rPr>
              <w:t xml:space="preserve"> NSAID.</w:t>
            </w:r>
          </w:p>
        </w:tc>
      </w:tr>
      <w:tr w:rsidR="00584ACB" w:rsidRPr="00D97E23" w14:paraId="3A5CBB56" w14:textId="77777777" w:rsidTr="005A7E71">
        <w:tc>
          <w:tcPr>
            <w:tcW w:w="2478" w:type="dxa"/>
          </w:tcPr>
          <w:p w14:paraId="30296960" w14:textId="65119601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t xml:space="preserve">Poruchy dýchacej sústavy, hrudníka a mediastína </w:t>
            </w:r>
          </w:p>
        </w:tc>
        <w:tc>
          <w:tcPr>
            <w:tcW w:w="6594" w:type="dxa"/>
          </w:tcPr>
          <w:p w14:paraId="21AFF0A5" w14:textId="77777777" w:rsidR="00112A1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</w:t>
            </w:r>
            <w:r w:rsidR="00584ACB" w:rsidRPr="00D97E23">
              <w:rPr>
                <w:bCs/>
              </w:rPr>
              <w:t xml:space="preserve"> </w:t>
            </w:r>
            <w:r w:rsidR="00023637" w:rsidRPr="00D97E23">
              <w:rPr>
                <w:bCs/>
              </w:rPr>
              <w:t xml:space="preserve">hustý </w:t>
            </w:r>
            <w:r w:rsidRPr="00D97E23">
              <w:rPr>
                <w:bCs/>
              </w:rPr>
              <w:t>sekré</w:t>
            </w:r>
            <w:r w:rsidR="00023637" w:rsidRPr="00D97E23">
              <w:rPr>
                <w:bCs/>
              </w:rPr>
              <w:t>t v</w:t>
            </w:r>
            <w:r w:rsidRPr="00D97E23">
              <w:rPr>
                <w:bCs/>
              </w:rPr>
              <w:t xml:space="preserve"> dýchacích c</w:t>
            </w:r>
            <w:r w:rsidR="00023637" w:rsidRPr="00D97E23">
              <w:rPr>
                <w:bCs/>
              </w:rPr>
              <w:t>estách</w:t>
            </w:r>
            <w:r w:rsidRPr="00D97E23">
              <w:rPr>
                <w:bCs/>
              </w:rPr>
              <w:t xml:space="preserve">. U </w:t>
            </w:r>
            <w:r w:rsidR="00112A1B" w:rsidRPr="00D97E23">
              <w:rPr>
                <w:bCs/>
              </w:rPr>
              <w:t>detí podstupujúcich</w:t>
            </w:r>
          </w:p>
          <w:p w14:paraId="3FBC5D12" w14:textId="6EB49B1F" w:rsidR="00584ACB" w:rsidRPr="00D97E23" w:rsidRDefault="00BF1C5D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tonzilekt</w:t>
            </w:r>
            <w:r w:rsidR="00023637" w:rsidRPr="00D97E23">
              <w:rPr>
                <w:bCs/>
              </w:rPr>
              <w:t>ó</w:t>
            </w:r>
            <w:r w:rsidRPr="00D97E23">
              <w:rPr>
                <w:bCs/>
              </w:rPr>
              <w:t>mi</w:t>
            </w:r>
            <w:r w:rsidR="00023637" w:rsidRPr="00D97E23">
              <w:rPr>
                <w:bCs/>
              </w:rPr>
              <w:t>u</w:t>
            </w:r>
            <w:r w:rsidRPr="00D97E23">
              <w:rPr>
                <w:bCs/>
              </w:rPr>
              <w:t xml:space="preserve"> bol hlásený stridor. Bola hlásená hypoxémi</w:t>
            </w:r>
            <w:r w:rsidR="00023637" w:rsidRPr="00D97E23">
              <w:rPr>
                <w:bCs/>
              </w:rPr>
              <w:t>a</w:t>
            </w:r>
            <w:r w:rsidRPr="00D97E23">
              <w:rPr>
                <w:bCs/>
              </w:rPr>
              <w:t>.</w:t>
            </w:r>
          </w:p>
          <w:p w14:paraId="5F7AFFBB" w14:textId="77777777" w:rsidR="00112A1B" w:rsidRPr="00D97E23" w:rsidRDefault="00BF1C5D" w:rsidP="00C97E5B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Respiračn</w:t>
            </w:r>
            <w:r w:rsidR="00023637" w:rsidRPr="00D97E23">
              <w:rPr>
                <w:bCs/>
              </w:rPr>
              <w:t>á</w:t>
            </w:r>
            <w:r w:rsidRPr="00D97E23">
              <w:rPr>
                <w:bCs/>
              </w:rPr>
              <w:t xml:space="preserve"> reaktiv</w:t>
            </w:r>
            <w:r w:rsidR="00112A1B" w:rsidRPr="00D97E23">
              <w:rPr>
                <w:bCs/>
              </w:rPr>
              <w:t>ita vrátane: astmy, exacerbácie</w:t>
            </w:r>
          </w:p>
          <w:p w14:paraId="384B432C" w14:textId="703940E2" w:rsidR="00584ACB" w:rsidRPr="00D97E23" w:rsidRDefault="00BF1C5D" w:rsidP="00C97E5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astmy, bronchospazmu a dýchavičnosti.</w:t>
            </w:r>
          </w:p>
        </w:tc>
      </w:tr>
      <w:tr w:rsidR="00584ACB" w:rsidRPr="00D97E23" w14:paraId="333FC930" w14:textId="77777777" w:rsidTr="00DE0512">
        <w:tc>
          <w:tcPr>
            <w:tcW w:w="2478" w:type="dxa"/>
            <w:shd w:val="clear" w:color="auto" w:fill="auto"/>
          </w:tcPr>
          <w:p w14:paraId="128BAF9B" w14:textId="0CB19CDA" w:rsidR="00584ACB" w:rsidRPr="00D97E23" w:rsidRDefault="00584ACB" w:rsidP="005A7E71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t>Poruchy gastrointestinálneho traktu</w:t>
            </w:r>
          </w:p>
        </w:tc>
        <w:tc>
          <w:tcPr>
            <w:tcW w:w="6594" w:type="dxa"/>
            <w:shd w:val="clear" w:color="auto" w:fill="auto"/>
          </w:tcPr>
          <w:p w14:paraId="32325A49" w14:textId="77777777" w:rsidR="00112A1B" w:rsidRPr="00D97E23" w:rsidRDefault="00584ACB" w:rsidP="00BF1C5D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Časté:</w:t>
            </w:r>
            <w:r w:rsidRPr="00D97E23">
              <w:rPr>
                <w:bCs/>
              </w:rPr>
              <w:t xml:space="preserve"> </w:t>
            </w:r>
            <w:r w:rsidR="00BF1C5D" w:rsidRPr="00D97E23">
              <w:rPr>
                <w:bCs/>
              </w:rPr>
              <w:t xml:space="preserve">Bolesti brucha, hnačka, </w:t>
            </w:r>
            <w:r w:rsidR="00112A1B" w:rsidRPr="00D97E23">
              <w:rPr>
                <w:bCs/>
              </w:rPr>
              <w:t>dyspepsia, nevoľnosť, žalúdočná</w:t>
            </w:r>
          </w:p>
          <w:p w14:paraId="0D5261C1" w14:textId="77777777" w:rsidR="00112A1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nevoľnosť a vracanie, plynatosť, zápcha, mierna strata krvi</w:t>
            </w:r>
          </w:p>
          <w:p w14:paraId="3F237498" w14:textId="77777777" w:rsidR="00112A1B" w:rsidRPr="00D97E23" w:rsidRDefault="00023637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v gastrointestinálnom trakte</w:t>
            </w:r>
            <w:r w:rsidR="00BF1C5D" w:rsidRPr="00D97E23">
              <w:rPr>
                <w:bCs/>
              </w:rPr>
              <w:t>, ktor</w:t>
            </w:r>
            <w:r w:rsidR="00112A1B" w:rsidRPr="00D97E23">
              <w:rPr>
                <w:bCs/>
              </w:rPr>
              <w:t>á môže vo výnimočných prípadoch</w:t>
            </w:r>
          </w:p>
          <w:p w14:paraId="13DC8D3A" w14:textId="4E2A12E3" w:rsidR="00584ACB" w:rsidRPr="00D97E23" w:rsidRDefault="00BF1C5D" w:rsidP="00BF1C5D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spôsobiť anémiu.</w:t>
            </w:r>
          </w:p>
          <w:p w14:paraId="78889660" w14:textId="77777777" w:rsidR="00112A1B" w:rsidRPr="00D97E23" w:rsidRDefault="00BF1C5D" w:rsidP="000E22B7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</w:t>
            </w:r>
            <w:r w:rsidR="00584ACB" w:rsidRPr="00D97E23">
              <w:rPr>
                <w:bCs/>
              </w:rPr>
              <w:t xml:space="preserve"> </w:t>
            </w:r>
            <w:r w:rsidR="003F2672" w:rsidRPr="00D97E23">
              <w:rPr>
                <w:bCs/>
              </w:rPr>
              <w:t>Peptický/gastrointestináln</w:t>
            </w:r>
            <w:r w:rsidR="003A175C" w:rsidRPr="00D97E23">
              <w:rPr>
                <w:bCs/>
              </w:rPr>
              <w:t>y</w:t>
            </w:r>
            <w:r w:rsidR="00112A1B" w:rsidRPr="00D97E23">
              <w:rPr>
                <w:bCs/>
              </w:rPr>
              <w:t xml:space="preserve"> vred, perforácia alebo</w:t>
            </w:r>
          </w:p>
          <w:p w14:paraId="4CDB9110" w14:textId="77777777" w:rsidR="00112A1B" w:rsidRPr="00D97E23" w:rsidRDefault="003F2672" w:rsidP="000E22B7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gastrointestinálne krvácanie, s</w:t>
            </w:r>
            <w:r w:rsidR="000E22B7" w:rsidRPr="00D97E23">
              <w:rPr>
                <w:bCs/>
              </w:rPr>
              <w:t>o</w:t>
            </w:r>
            <w:r w:rsidRPr="00D97E23">
              <w:rPr>
                <w:bCs/>
              </w:rPr>
              <w:t xml:space="preserve"> symptóm</w:t>
            </w:r>
            <w:r w:rsidR="000E22B7" w:rsidRPr="00D97E23">
              <w:rPr>
                <w:bCs/>
              </w:rPr>
              <w:t>ami</w:t>
            </w:r>
            <w:r w:rsidRPr="00D97E23">
              <w:rPr>
                <w:bCs/>
              </w:rPr>
              <w:t xml:space="preserve"> </w:t>
            </w:r>
            <w:r w:rsidR="000E22B7" w:rsidRPr="00D97E23">
              <w:rPr>
                <w:bCs/>
              </w:rPr>
              <w:t xml:space="preserve">melény </w:t>
            </w:r>
            <w:r w:rsidRPr="00D97E23">
              <w:rPr>
                <w:bCs/>
              </w:rPr>
              <w:t>a</w:t>
            </w:r>
            <w:r w:rsidR="000E22B7" w:rsidRPr="00D97E23">
              <w:rPr>
                <w:bCs/>
              </w:rPr>
              <w:t> </w:t>
            </w:r>
            <w:r w:rsidRPr="00D97E23">
              <w:rPr>
                <w:bCs/>
              </w:rPr>
              <w:t>hemateméz</w:t>
            </w:r>
            <w:r w:rsidR="000E22B7" w:rsidRPr="00D97E23">
              <w:rPr>
                <w:bCs/>
              </w:rPr>
              <w:t>y,</w:t>
            </w:r>
          </w:p>
          <w:p w14:paraId="1BA0681A" w14:textId="77777777" w:rsidR="00112A1B" w:rsidRPr="00D97E23" w:rsidRDefault="003F2672" w:rsidP="000E22B7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niekedy fatálne, najmä u starších osôb. </w:t>
            </w:r>
            <w:r w:rsidR="003A175C" w:rsidRPr="00D97E23">
              <w:rPr>
                <w:bCs/>
              </w:rPr>
              <w:t>B</w:t>
            </w:r>
            <w:r w:rsidR="00112A1B" w:rsidRPr="00D97E23">
              <w:rPr>
                <w:bCs/>
              </w:rPr>
              <w:t>ola hlásená ulcerózna</w:t>
            </w:r>
          </w:p>
          <w:p w14:paraId="163FFAAC" w14:textId="77777777" w:rsidR="00112A1B" w:rsidRPr="00D97E23" w:rsidRDefault="003F2672" w:rsidP="000E22B7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stomatitída a exacerbácia kolitídy a Crohnov</w:t>
            </w:r>
            <w:r w:rsidR="003A175C" w:rsidRPr="00D97E23">
              <w:rPr>
                <w:bCs/>
              </w:rPr>
              <w:t>ej</w:t>
            </w:r>
            <w:r w:rsidRPr="00D97E23">
              <w:rPr>
                <w:bCs/>
              </w:rPr>
              <w:t xml:space="preserve"> chorob</w:t>
            </w:r>
            <w:r w:rsidR="003A175C" w:rsidRPr="00D97E23">
              <w:rPr>
                <w:bCs/>
              </w:rPr>
              <w:t>y</w:t>
            </w:r>
            <w:r w:rsidR="00112A1B" w:rsidRPr="00D97E23">
              <w:rPr>
                <w:bCs/>
              </w:rPr>
              <w:t>. Menej často</w:t>
            </w:r>
          </w:p>
          <w:p w14:paraId="7744A3EB" w14:textId="77777777" w:rsidR="00112A1B" w:rsidRPr="00D97E23" w:rsidRDefault="003F2672" w:rsidP="000E22B7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bola </w:t>
            </w:r>
            <w:r w:rsidR="00C047B2" w:rsidRPr="00D97E23">
              <w:rPr>
                <w:bCs/>
              </w:rPr>
              <w:t xml:space="preserve">hlásená </w:t>
            </w:r>
            <w:r w:rsidRPr="00D97E23">
              <w:rPr>
                <w:bCs/>
              </w:rPr>
              <w:t xml:space="preserve">gastritída a bola hlásená pankreatitída. </w:t>
            </w:r>
            <w:r w:rsidR="000E22B7" w:rsidRPr="00D97E23">
              <w:rPr>
                <w:bCs/>
              </w:rPr>
              <w:t>Bol</w:t>
            </w:r>
            <w:r w:rsidR="007F0A5A" w:rsidRPr="00D97E23">
              <w:rPr>
                <w:bCs/>
              </w:rPr>
              <w:t>a</w:t>
            </w:r>
            <w:r w:rsidR="000E22B7" w:rsidRPr="00D97E23">
              <w:rPr>
                <w:bCs/>
              </w:rPr>
              <w:t xml:space="preserve"> hlásen</w:t>
            </w:r>
            <w:r w:rsidR="007F0A5A" w:rsidRPr="00D97E23">
              <w:rPr>
                <w:bCs/>
              </w:rPr>
              <w:t>á</w:t>
            </w:r>
          </w:p>
          <w:p w14:paraId="0CFA4FC1" w14:textId="1F515E8B" w:rsidR="000E22B7" w:rsidRPr="00D97E23" w:rsidRDefault="003F2672" w:rsidP="000E22B7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peptick</w:t>
            </w:r>
            <w:r w:rsidR="007F0A5A" w:rsidRPr="00D97E23">
              <w:rPr>
                <w:bCs/>
              </w:rPr>
              <w:t>á</w:t>
            </w:r>
            <w:r w:rsidRPr="00D97E23">
              <w:rPr>
                <w:bCs/>
              </w:rPr>
              <w:t xml:space="preserve"> </w:t>
            </w:r>
            <w:r w:rsidR="00C047B2" w:rsidRPr="00D97E23">
              <w:rPr>
                <w:bCs/>
              </w:rPr>
              <w:t xml:space="preserve">vredová </w:t>
            </w:r>
            <w:r w:rsidRPr="00D97E23">
              <w:rPr>
                <w:bCs/>
              </w:rPr>
              <w:t>chorob</w:t>
            </w:r>
            <w:r w:rsidR="007F0A5A" w:rsidRPr="00D97E23">
              <w:rPr>
                <w:bCs/>
              </w:rPr>
              <w:t>a</w:t>
            </w:r>
            <w:r w:rsidRPr="00D97E23">
              <w:rPr>
                <w:bCs/>
              </w:rPr>
              <w:t>.</w:t>
            </w:r>
          </w:p>
          <w:p w14:paraId="3B3A4090" w14:textId="77777777" w:rsidR="00112A1B" w:rsidRPr="00D97E23" w:rsidRDefault="00244C1B" w:rsidP="00C97E5B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ezofagit</w:t>
            </w:r>
            <w:r w:rsidRPr="00D97E23">
              <w:rPr>
                <w:bCs/>
              </w:rPr>
              <w:t>í</w:t>
            </w:r>
            <w:r w:rsidR="00584ACB" w:rsidRPr="00D97E23">
              <w:rPr>
                <w:bCs/>
              </w:rPr>
              <w:t xml:space="preserve">da, tvorba </w:t>
            </w:r>
            <w:r w:rsidRPr="00D97E23">
              <w:rPr>
                <w:bCs/>
              </w:rPr>
              <w:t xml:space="preserve">črevných </w:t>
            </w:r>
            <w:r w:rsidR="005E61FE" w:rsidRPr="00D97E23">
              <w:rPr>
                <w:bCs/>
              </w:rPr>
              <w:t>membránozných</w:t>
            </w:r>
          </w:p>
          <w:p w14:paraId="3DA9B98A" w14:textId="44CB9AF8" w:rsidR="00584ACB" w:rsidRPr="00D97E23" w:rsidRDefault="005E61FE" w:rsidP="00C97E5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striktúr</w:t>
            </w:r>
          </w:p>
        </w:tc>
      </w:tr>
      <w:tr w:rsidR="00584ACB" w:rsidRPr="00D97E23" w14:paraId="28E08584" w14:textId="77777777" w:rsidTr="005A7E71">
        <w:tc>
          <w:tcPr>
            <w:tcW w:w="2478" w:type="dxa"/>
          </w:tcPr>
          <w:p w14:paraId="3115F90D" w14:textId="2F805A6C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t>Poruchy pečene a žlčových ciest</w:t>
            </w:r>
          </w:p>
        </w:tc>
        <w:tc>
          <w:tcPr>
            <w:tcW w:w="6594" w:type="dxa"/>
          </w:tcPr>
          <w:p w14:paraId="2502307D" w14:textId="77777777" w:rsidR="00112A1B" w:rsidRPr="00D97E23" w:rsidRDefault="00244C1B" w:rsidP="00C97E5B">
            <w:pPr>
              <w:tabs>
                <w:tab w:val="left" w:pos="2415"/>
              </w:tabs>
              <w:spacing w:before="40" w:after="40"/>
            </w:pPr>
            <w:r w:rsidRPr="00D97E23">
              <w:rPr>
                <w:b/>
                <w:bCs/>
              </w:rPr>
              <w:t>Veľmi</w:t>
            </w:r>
            <w:r w:rsidR="00584ACB" w:rsidRPr="00D97E23">
              <w:rPr>
                <w:b/>
                <w:bCs/>
              </w:rPr>
              <w:t xml:space="preserve"> </w:t>
            </w:r>
            <w:r w:rsidR="00C97E5B" w:rsidRPr="00D97E23">
              <w:rPr>
                <w:b/>
                <w:bCs/>
              </w:rPr>
              <w:t>zriedkavé</w:t>
            </w:r>
            <w:r w:rsidR="00584ACB" w:rsidRPr="00D97E23">
              <w:rPr>
                <w:b/>
                <w:bCs/>
              </w:rPr>
              <w:t>:</w:t>
            </w:r>
            <w:r w:rsidR="00584ACB" w:rsidRPr="00D97E23">
              <w:t xml:space="preserve"> </w:t>
            </w:r>
            <w:r w:rsidR="006749DA" w:rsidRPr="00D97E23">
              <w:t>p</w:t>
            </w:r>
            <w:r w:rsidRPr="00D97E23">
              <w:t>oškodenie peče</w:t>
            </w:r>
            <w:r w:rsidR="00112A1B" w:rsidRPr="00D97E23">
              <w:t>ne, najmä pri dlhodobej liečbe,</w:t>
            </w:r>
          </w:p>
          <w:p w14:paraId="010FEB11" w14:textId="77777777" w:rsidR="00112A1B" w:rsidRPr="00D97E23" w:rsidRDefault="00244C1B" w:rsidP="00C97E5B">
            <w:pPr>
              <w:tabs>
                <w:tab w:val="left" w:pos="2415"/>
              </w:tabs>
              <w:spacing w:before="40" w:after="40"/>
            </w:pPr>
            <w:r w:rsidRPr="00D97E23">
              <w:t xml:space="preserve">zlyhanie pečene. </w:t>
            </w:r>
            <w:r w:rsidR="006749DA" w:rsidRPr="00D97E23">
              <w:t>Porucha f</w:t>
            </w:r>
            <w:r w:rsidRPr="00D97E23">
              <w:t>unkcie pe</w:t>
            </w:r>
            <w:r w:rsidR="00112A1B" w:rsidRPr="00D97E23">
              <w:t>čene, hepatitída a žltačka. Pri</w:t>
            </w:r>
          </w:p>
          <w:p w14:paraId="74BD722B" w14:textId="77777777" w:rsidR="00112A1B" w:rsidRPr="00D97E23" w:rsidRDefault="00244C1B" w:rsidP="00C97E5B">
            <w:pPr>
              <w:tabs>
                <w:tab w:val="left" w:pos="2415"/>
              </w:tabs>
              <w:spacing w:before="40" w:after="40"/>
            </w:pPr>
            <w:r w:rsidRPr="00D97E23">
              <w:t>predávkovaní môže paracetamol s</w:t>
            </w:r>
            <w:r w:rsidR="00112A1B" w:rsidRPr="00D97E23">
              <w:t>pôsobiť akútne zlyhanie pečene,</w:t>
            </w:r>
          </w:p>
          <w:p w14:paraId="33002D8F" w14:textId="1C36934B" w:rsidR="00584ACB" w:rsidRPr="00D97E23" w:rsidRDefault="00244C1B" w:rsidP="00C97E5B">
            <w:pPr>
              <w:tabs>
                <w:tab w:val="left" w:pos="2415"/>
              </w:tabs>
              <w:spacing w:before="40" w:after="40"/>
            </w:pPr>
            <w:r w:rsidRPr="00D97E23">
              <w:t>pečeňové nekrózu a poškodenie pečene.</w:t>
            </w:r>
          </w:p>
        </w:tc>
      </w:tr>
      <w:tr w:rsidR="00584ACB" w:rsidRPr="00D97E23" w14:paraId="4D4A0624" w14:textId="77777777" w:rsidTr="005A7E71">
        <w:tc>
          <w:tcPr>
            <w:tcW w:w="2478" w:type="dxa"/>
          </w:tcPr>
          <w:p w14:paraId="486EE621" w14:textId="22D1D83B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t>Poruchy kože a podkožného tkaniva</w:t>
            </w:r>
          </w:p>
        </w:tc>
        <w:tc>
          <w:tcPr>
            <w:tcW w:w="6594" w:type="dxa"/>
          </w:tcPr>
          <w:p w14:paraId="617F5D46" w14:textId="38B1151D" w:rsidR="00584AC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Časté:</w:t>
            </w:r>
            <w:r w:rsidRPr="00D97E23">
              <w:rPr>
                <w:bCs/>
              </w:rPr>
              <w:t xml:space="preserve"> </w:t>
            </w:r>
            <w:r w:rsidR="006749DA" w:rsidRPr="00D97E23">
              <w:rPr>
                <w:bCs/>
              </w:rPr>
              <w:t>v</w:t>
            </w:r>
            <w:r w:rsidRPr="00D97E23">
              <w:rPr>
                <w:bCs/>
              </w:rPr>
              <w:t>yrážka (v</w:t>
            </w:r>
            <w:r w:rsidR="00244C1B" w:rsidRPr="00D97E23">
              <w:rPr>
                <w:bCs/>
              </w:rPr>
              <w:t>rátane</w:t>
            </w:r>
            <w:r w:rsidRPr="00D97E23">
              <w:rPr>
                <w:bCs/>
              </w:rPr>
              <w:t xml:space="preserve"> makulopapulárn</w:t>
            </w:r>
            <w:r w:rsidR="00244C1B" w:rsidRPr="00D97E23">
              <w:rPr>
                <w:bCs/>
              </w:rPr>
              <w:t>e</w:t>
            </w:r>
            <w:r w:rsidRPr="00D97E23">
              <w:rPr>
                <w:bCs/>
              </w:rPr>
              <w:t>ho typu), sv</w:t>
            </w:r>
            <w:r w:rsidR="00244C1B" w:rsidRPr="00D97E23">
              <w:rPr>
                <w:bCs/>
              </w:rPr>
              <w:t>rbenie</w:t>
            </w:r>
            <w:r w:rsidRPr="00D97E23">
              <w:rPr>
                <w:bCs/>
              </w:rPr>
              <w:t>.</w:t>
            </w:r>
          </w:p>
          <w:p w14:paraId="1020F1AA" w14:textId="77777777" w:rsidR="00112A1B" w:rsidRPr="00D97E23" w:rsidRDefault="00244C1B" w:rsidP="00244C1B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alopécia</w:t>
            </w:r>
            <w:r w:rsidR="006749DA" w:rsidRPr="00D97E23">
              <w:rPr>
                <w:bCs/>
              </w:rPr>
              <w:t>,</w:t>
            </w:r>
            <w:r w:rsidRPr="00D97E23">
              <w:rPr>
                <w:bCs/>
              </w:rPr>
              <w:t xml:space="preserve"> </w:t>
            </w:r>
            <w:r w:rsidR="006749DA" w:rsidRPr="00D97E23">
              <w:rPr>
                <w:bCs/>
              </w:rPr>
              <w:t>h</w:t>
            </w:r>
            <w:r w:rsidRPr="00D97E23">
              <w:rPr>
                <w:bCs/>
              </w:rPr>
              <w:t>yperhidróza, purpura a</w:t>
            </w:r>
            <w:r w:rsidR="0055014F" w:rsidRPr="00D97E23">
              <w:rPr>
                <w:bCs/>
              </w:rPr>
              <w:t> </w:t>
            </w:r>
            <w:r w:rsidRPr="00D97E23">
              <w:rPr>
                <w:bCs/>
              </w:rPr>
              <w:t>foto</w:t>
            </w:r>
            <w:r w:rsidR="0055014F" w:rsidRPr="00D97E23">
              <w:rPr>
                <w:bCs/>
              </w:rPr>
              <w:t>senzitivita,</w:t>
            </w:r>
          </w:p>
          <w:p w14:paraId="26F1B735" w14:textId="77777777" w:rsidR="00112A1B" w:rsidRPr="00D97E23" w:rsidRDefault="006749DA" w:rsidP="00244C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e</w:t>
            </w:r>
            <w:r w:rsidR="00244C1B" w:rsidRPr="00D97E23">
              <w:rPr>
                <w:bCs/>
              </w:rPr>
              <w:t>xfoliatívna dermatóza</w:t>
            </w:r>
            <w:r w:rsidRPr="00D97E23">
              <w:rPr>
                <w:bCs/>
              </w:rPr>
              <w:t>, b</w:t>
            </w:r>
            <w:r w:rsidR="00244C1B" w:rsidRPr="00D97E23">
              <w:rPr>
                <w:bCs/>
              </w:rPr>
              <w:t>ulózn</w:t>
            </w:r>
            <w:r w:rsidR="00112A1B" w:rsidRPr="00D97E23">
              <w:rPr>
                <w:bCs/>
              </w:rPr>
              <w:t>e reakcie vrátane multiformného</w:t>
            </w:r>
          </w:p>
          <w:p w14:paraId="06C60CA5" w14:textId="77777777" w:rsidR="00112A1B" w:rsidRPr="00D97E23" w:rsidRDefault="00244C1B" w:rsidP="00244C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erytému, Stevens</w:t>
            </w:r>
            <w:r w:rsidR="006749DA" w:rsidRPr="00D97E23">
              <w:rPr>
                <w:bCs/>
              </w:rPr>
              <w:t>ovho-</w:t>
            </w:r>
            <w:r w:rsidRPr="00D97E23">
              <w:rPr>
                <w:bCs/>
              </w:rPr>
              <w:t>Johnsonovho s</w:t>
            </w:r>
            <w:r w:rsidR="00112A1B" w:rsidRPr="00D97E23">
              <w:rPr>
                <w:bCs/>
              </w:rPr>
              <w:t>yndrómu a toxickej epidermálnej</w:t>
            </w:r>
          </w:p>
          <w:p w14:paraId="6E276E9A" w14:textId="77777777" w:rsidR="00112A1B" w:rsidRPr="00D97E23" w:rsidRDefault="00244C1B" w:rsidP="00244C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nekrolýzy. Boli hlásené veľmi zrie</w:t>
            </w:r>
            <w:r w:rsidR="00112A1B" w:rsidRPr="00D97E23">
              <w:rPr>
                <w:bCs/>
              </w:rPr>
              <w:t>dkavé prípady závažných kožných</w:t>
            </w:r>
          </w:p>
          <w:p w14:paraId="4CA39982" w14:textId="77777777" w:rsidR="00112A1B" w:rsidRPr="00D97E23" w:rsidRDefault="00244C1B" w:rsidP="00244C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reakcií. Vo výnimočných prípado</w:t>
            </w:r>
            <w:r w:rsidR="00112A1B" w:rsidRPr="00D97E23">
              <w:rPr>
                <w:bCs/>
              </w:rPr>
              <w:t>ch môže dôjsť k závažným kožným</w:t>
            </w:r>
          </w:p>
          <w:p w14:paraId="38D850DC" w14:textId="77777777" w:rsidR="00112A1B" w:rsidRPr="00D97E23" w:rsidRDefault="00244C1B" w:rsidP="00244C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infekciám a komplikáciám mäkký</w:t>
            </w:r>
            <w:r w:rsidR="00112A1B" w:rsidRPr="00D97E23">
              <w:rPr>
                <w:bCs/>
              </w:rPr>
              <w:t>ch tkanív počas infekcie ovčích</w:t>
            </w:r>
          </w:p>
          <w:p w14:paraId="6E2A25BC" w14:textId="61273991" w:rsidR="00584ACB" w:rsidRPr="00D97E23" w:rsidRDefault="00244C1B" w:rsidP="00244C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kiahní.</w:t>
            </w:r>
          </w:p>
          <w:p w14:paraId="76D87F0C" w14:textId="77777777" w:rsidR="00112A1B" w:rsidRPr="00D97E23" w:rsidRDefault="00244C1B" w:rsidP="006749DA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Neznáme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="006749DA" w:rsidRPr="00D97E23">
              <w:rPr>
                <w:bCs/>
              </w:rPr>
              <w:t>Lieková vyrážka</w:t>
            </w:r>
            <w:r w:rsidRPr="00D97E23">
              <w:rPr>
                <w:bCs/>
              </w:rPr>
              <w:t xml:space="preserve"> s eozin</w:t>
            </w:r>
            <w:r w:rsidR="00112A1B" w:rsidRPr="00D97E23">
              <w:rPr>
                <w:bCs/>
              </w:rPr>
              <w:t>ofíliou a systémovými príznakmi</w:t>
            </w:r>
          </w:p>
          <w:p w14:paraId="7435E524" w14:textId="77777777" w:rsidR="00112A1B" w:rsidRPr="00D97E23" w:rsidRDefault="00244C1B" w:rsidP="006749DA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(DRESS syndróm), akútna generalizovaná exantematózn</w:t>
            </w:r>
            <w:r w:rsidR="006749DA" w:rsidRPr="00D97E23">
              <w:rPr>
                <w:bCs/>
              </w:rPr>
              <w:t>a</w:t>
            </w:r>
            <w:r w:rsidRPr="00D97E23">
              <w:rPr>
                <w:bCs/>
              </w:rPr>
              <w:t xml:space="preserve"> pustul</w:t>
            </w:r>
            <w:r w:rsidR="006749DA" w:rsidRPr="00D97E23">
              <w:rPr>
                <w:bCs/>
              </w:rPr>
              <w:t>óza</w:t>
            </w:r>
          </w:p>
          <w:p w14:paraId="61F69F4C" w14:textId="52A48D97" w:rsidR="00584ACB" w:rsidRPr="00D97E23" w:rsidRDefault="00244C1B" w:rsidP="006749DA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(AGEP).</w:t>
            </w:r>
          </w:p>
        </w:tc>
      </w:tr>
      <w:tr w:rsidR="00584ACB" w:rsidRPr="00D97E23" w14:paraId="76F68908" w14:textId="77777777" w:rsidTr="005A7E71">
        <w:tc>
          <w:tcPr>
            <w:tcW w:w="2478" w:type="dxa"/>
          </w:tcPr>
          <w:p w14:paraId="2BDA839F" w14:textId="6A8EE19F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t>Poruchy obličiek a močových ciest</w:t>
            </w:r>
          </w:p>
        </w:tc>
        <w:tc>
          <w:tcPr>
            <w:tcW w:w="6594" w:type="dxa"/>
          </w:tcPr>
          <w:p w14:paraId="78F83DDB" w14:textId="45EAFC86" w:rsidR="00584ACB" w:rsidRPr="00D97E23" w:rsidRDefault="00244C1B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</w:t>
            </w:r>
            <w:r w:rsidR="00584ACB" w:rsidRPr="00D97E23">
              <w:rPr>
                <w:bCs/>
              </w:rPr>
              <w:t xml:space="preserve"> retenc</w:t>
            </w:r>
            <w:r w:rsidRPr="00D97E23">
              <w:rPr>
                <w:bCs/>
              </w:rPr>
              <w:t>ia</w:t>
            </w:r>
            <w:r w:rsidR="00584ACB" w:rsidRPr="00D97E23">
              <w:rPr>
                <w:bCs/>
              </w:rPr>
              <w:t xml:space="preserve"> moč</w:t>
            </w:r>
            <w:r w:rsidRPr="00D97E23">
              <w:rPr>
                <w:bCs/>
              </w:rPr>
              <w:t>u</w:t>
            </w:r>
          </w:p>
          <w:p w14:paraId="4BD497F5" w14:textId="77777777" w:rsidR="00112A1B" w:rsidRPr="00D97E23" w:rsidRDefault="00297888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="00244C1B" w:rsidRPr="00D97E23">
              <w:rPr>
                <w:bCs/>
              </w:rPr>
              <w:t>Poškodenie tkaniva obličiek</w:t>
            </w:r>
            <w:r w:rsidR="00112A1B" w:rsidRPr="00D97E23">
              <w:rPr>
                <w:bCs/>
              </w:rPr>
              <w:t xml:space="preserve"> (papilárna nekróza), najmä pri</w:t>
            </w:r>
          </w:p>
          <w:p w14:paraId="6669E541" w14:textId="0DD8A8E9" w:rsidR="00584ACB" w:rsidRPr="00D97E23" w:rsidRDefault="00244C1B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dlhodobej liečbe</w:t>
            </w:r>
          </w:p>
          <w:p w14:paraId="35ADBD7F" w14:textId="77777777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Nefrotoxi</w:t>
            </w:r>
            <w:r w:rsidR="00112A1B" w:rsidRPr="00D97E23">
              <w:rPr>
                <w:bCs/>
              </w:rPr>
              <w:t>cita v rôznych formách, vrátane</w:t>
            </w:r>
          </w:p>
          <w:p w14:paraId="7F74F846" w14:textId="77777777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intersticiálnej nefritídy, nefrotického</w:t>
            </w:r>
            <w:r w:rsidR="00112A1B" w:rsidRPr="00D97E23">
              <w:rPr>
                <w:bCs/>
              </w:rPr>
              <w:t xml:space="preserve"> syndrómu a akútneho a</w:t>
            </w:r>
          </w:p>
          <w:p w14:paraId="7AC34951" w14:textId="77777777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chronického zlyhani</w:t>
            </w:r>
            <w:r w:rsidR="006749DA" w:rsidRPr="00D97E23">
              <w:rPr>
                <w:bCs/>
              </w:rPr>
              <w:t>a</w:t>
            </w:r>
            <w:r w:rsidRPr="00D97E23">
              <w:rPr>
                <w:bCs/>
              </w:rPr>
              <w:t xml:space="preserve"> obličiek.</w:t>
            </w:r>
            <w:r w:rsidR="00112A1B" w:rsidRPr="00D97E23">
              <w:rPr>
                <w:bCs/>
              </w:rPr>
              <w:t xml:space="preserve"> Nežiaduce účinky obličiek sú</w:t>
            </w:r>
          </w:p>
          <w:p w14:paraId="60F8F2FF" w14:textId="77777777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najčastejšie pozorované po predávkovaní, po chronickom zneužívan</w:t>
            </w:r>
            <w:r w:rsidR="006749DA" w:rsidRPr="00D97E23">
              <w:rPr>
                <w:bCs/>
              </w:rPr>
              <w:t>í</w:t>
            </w:r>
          </w:p>
          <w:p w14:paraId="3302BA96" w14:textId="368B231A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(často užitím viac</w:t>
            </w:r>
            <w:r w:rsidR="006749DA" w:rsidRPr="00D97E23">
              <w:rPr>
                <w:bCs/>
              </w:rPr>
              <w:t>erých</w:t>
            </w:r>
            <w:r w:rsidRPr="00D97E23">
              <w:rPr>
                <w:bCs/>
              </w:rPr>
              <w:t xml:space="preserve"> analgetík) al</w:t>
            </w:r>
            <w:r w:rsidR="00112A1B" w:rsidRPr="00D97E23">
              <w:rPr>
                <w:bCs/>
              </w:rPr>
              <w:t>ebo v spojení s hepatotoxicitou</w:t>
            </w:r>
          </w:p>
          <w:p w14:paraId="42528F37" w14:textId="125070C4" w:rsidR="00244C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súvisiace s paracetamolom.</w:t>
            </w:r>
          </w:p>
          <w:p w14:paraId="077BF766" w14:textId="77777777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lastRenderedPageBreak/>
              <w:t xml:space="preserve">Akútna tubulárna nekróza sa zvyčajne </w:t>
            </w:r>
            <w:r w:rsidR="00112A1B" w:rsidRPr="00D97E23">
              <w:rPr>
                <w:bCs/>
              </w:rPr>
              <w:t>vyskytuje v spojení so zlyhaním</w:t>
            </w:r>
          </w:p>
          <w:p w14:paraId="5F6C7AE3" w14:textId="77777777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pečene, ale v zriedkavých prípadoch sa </w:t>
            </w:r>
            <w:r w:rsidR="00112A1B" w:rsidRPr="00D97E23">
              <w:rPr>
                <w:bCs/>
              </w:rPr>
              <w:t>pozorovala ako ojedinelý nález.</w:t>
            </w:r>
          </w:p>
          <w:p w14:paraId="582ED83E" w14:textId="77777777" w:rsidR="00112A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S chronickým užívaním paracetamolu</w:t>
            </w:r>
            <w:r w:rsidR="00112A1B" w:rsidRPr="00D97E23">
              <w:rPr>
                <w:bCs/>
              </w:rPr>
              <w:t xml:space="preserve"> je tiež spojené možné zvýšenie</w:t>
            </w:r>
          </w:p>
          <w:p w14:paraId="744D09FE" w14:textId="791FE8B1" w:rsidR="00244C1B" w:rsidRPr="00D97E23" w:rsidRDefault="00244C1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rizika karcinómu obličky.</w:t>
            </w:r>
          </w:p>
          <w:p w14:paraId="4A854D62" w14:textId="669B30CC" w:rsidR="00584ACB" w:rsidRPr="00D97E23" w:rsidRDefault="00244C1B" w:rsidP="00112A1B">
            <w:pPr>
              <w:spacing w:before="40" w:after="40"/>
              <w:ind w:left="0" w:firstLine="0"/>
              <w:rPr>
                <w:bCs/>
              </w:rPr>
            </w:pPr>
            <w:r w:rsidRPr="00D97E23">
              <w:rPr>
                <w:bCs/>
              </w:rPr>
              <w:t>Jedna prípadová kontrol</w:t>
            </w:r>
            <w:r w:rsidR="006749DA" w:rsidRPr="00D97E23">
              <w:rPr>
                <w:bCs/>
              </w:rPr>
              <w:t>ovaná</w:t>
            </w:r>
            <w:r w:rsidRPr="00D97E23">
              <w:rPr>
                <w:bCs/>
              </w:rPr>
              <w:t xml:space="preserve"> štúdia u pacientov s terminálnym štádiom zlyh</w:t>
            </w:r>
            <w:r w:rsidR="006749DA" w:rsidRPr="00D97E23">
              <w:rPr>
                <w:bCs/>
              </w:rPr>
              <w:t>ávania</w:t>
            </w:r>
            <w:r w:rsidRPr="00D97E23">
              <w:rPr>
                <w:bCs/>
              </w:rPr>
              <w:t xml:space="preserve"> obličiek naznačila, že dlhodob</w:t>
            </w:r>
            <w:r w:rsidR="006749DA" w:rsidRPr="00D97E23">
              <w:rPr>
                <w:bCs/>
              </w:rPr>
              <w:t>é</w:t>
            </w:r>
            <w:r w:rsidRPr="00D97E23">
              <w:rPr>
                <w:bCs/>
              </w:rPr>
              <w:t xml:space="preserve"> </w:t>
            </w:r>
            <w:r w:rsidR="006749DA" w:rsidRPr="00D97E23">
              <w:rPr>
                <w:bCs/>
              </w:rPr>
              <w:t>užívanie</w:t>
            </w:r>
            <w:r w:rsidRPr="00D97E23">
              <w:rPr>
                <w:bCs/>
              </w:rPr>
              <w:t xml:space="preserve"> paracetamolu môže významne zvýšiť riziko </w:t>
            </w:r>
            <w:r w:rsidR="006749DA" w:rsidRPr="00D97E23">
              <w:rPr>
                <w:bCs/>
              </w:rPr>
              <w:t>posledného štádia</w:t>
            </w:r>
            <w:r w:rsidRPr="00D97E23">
              <w:rPr>
                <w:bCs/>
              </w:rPr>
              <w:t xml:space="preserve"> renálneho ochorenia, najmä u pacientov, ktorí užívajú viac ako 1000 mg denne.</w:t>
            </w:r>
          </w:p>
        </w:tc>
      </w:tr>
      <w:tr w:rsidR="00584ACB" w:rsidRPr="00D97E23" w14:paraId="308A0014" w14:textId="77777777" w:rsidTr="005A7E71">
        <w:tc>
          <w:tcPr>
            <w:tcW w:w="2478" w:type="dxa"/>
          </w:tcPr>
          <w:p w14:paraId="6AF3EF57" w14:textId="7D3A7B2F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lastRenderedPageBreak/>
              <w:t>Celkové poruchy a reakcie v mieste podania</w:t>
            </w:r>
          </w:p>
        </w:tc>
        <w:tc>
          <w:tcPr>
            <w:tcW w:w="6594" w:type="dxa"/>
          </w:tcPr>
          <w:p w14:paraId="2B31CB20" w14:textId="0785A0CC" w:rsidR="00584ACB" w:rsidRPr="00D97E23" w:rsidRDefault="00244C1B" w:rsidP="005A7E71">
            <w:pPr>
              <w:spacing w:before="40" w:after="40"/>
              <w:rPr>
                <w:b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 </w:t>
            </w:r>
            <w:r w:rsidR="006749DA" w:rsidRPr="00D97E23">
              <w:rPr>
                <w:bCs/>
              </w:rPr>
              <w:t>p</w:t>
            </w:r>
            <w:r w:rsidR="00584ACB" w:rsidRPr="00D97E23">
              <w:rPr>
                <w:bCs/>
              </w:rPr>
              <w:t>yrexi</w:t>
            </w:r>
            <w:r w:rsidRPr="00D97E23">
              <w:rPr>
                <w:bCs/>
              </w:rPr>
              <w:t>a</w:t>
            </w:r>
          </w:p>
          <w:p w14:paraId="304A6178" w14:textId="12CF39AB" w:rsidR="00584ACB" w:rsidRPr="00D97E23" w:rsidRDefault="00244C1B" w:rsidP="00C97E5B">
            <w:pPr>
              <w:spacing w:before="40" w:after="40"/>
              <w:rPr>
                <w:b/>
              </w:rPr>
            </w:pPr>
            <w:r w:rsidRPr="00D97E23">
              <w:rPr>
                <w:b/>
              </w:rPr>
              <w:t>Veľmi</w:t>
            </w:r>
            <w:r w:rsidR="00584ACB" w:rsidRPr="00D97E23">
              <w:rPr>
                <w:b/>
              </w:rPr>
              <w:t xml:space="preserve"> </w:t>
            </w:r>
            <w:r w:rsidR="00C97E5B" w:rsidRPr="00D97E23">
              <w:rPr>
                <w:b/>
              </w:rPr>
              <w:t>zriedkavé</w:t>
            </w:r>
            <w:r w:rsidR="00584ACB" w:rsidRPr="00D97E23">
              <w:rPr>
                <w:b/>
              </w:rPr>
              <w:t xml:space="preserve">: </w:t>
            </w:r>
            <w:r w:rsidR="006749DA" w:rsidRPr="00D97E23">
              <w:rPr>
                <w:bCs/>
              </w:rPr>
              <w:t>ú</w:t>
            </w:r>
            <w:r w:rsidR="00584ACB" w:rsidRPr="00D97E23">
              <w:rPr>
                <w:bCs/>
              </w:rPr>
              <w:t>nava a</w:t>
            </w:r>
            <w:r w:rsidR="006749DA" w:rsidRPr="00D97E23">
              <w:rPr>
                <w:bCs/>
              </w:rPr>
              <w:t> celkový pocit choroby</w:t>
            </w:r>
          </w:p>
        </w:tc>
      </w:tr>
      <w:tr w:rsidR="00584ACB" w:rsidRPr="00D97E23" w14:paraId="64BA8E17" w14:textId="77777777" w:rsidTr="005A7E71">
        <w:tc>
          <w:tcPr>
            <w:tcW w:w="2478" w:type="dxa"/>
          </w:tcPr>
          <w:p w14:paraId="3931BDAE" w14:textId="77777777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t>Úrazy, otravy a komplikácie liečebného postupu</w:t>
            </w:r>
          </w:p>
        </w:tc>
        <w:tc>
          <w:tcPr>
            <w:tcW w:w="6594" w:type="dxa"/>
          </w:tcPr>
          <w:p w14:paraId="4446A1D0" w14:textId="32E40826" w:rsidR="00584ACB" w:rsidRPr="00D97E23" w:rsidRDefault="008A3851" w:rsidP="005A7E71">
            <w:pPr>
              <w:spacing w:before="40" w:after="40"/>
            </w:pPr>
            <w:r w:rsidRPr="00D97E23">
              <w:rPr>
                <w:b/>
                <w:bCs/>
              </w:rPr>
              <w:t>Menej</w:t>
            </w:r>
            <w:r w:rsidR="00584ACB" w:rsidRPr="00D97E23">
              <w:rPr>
                <w:b/>
                <w:bCs/>
              </w:rPr>
              <w:t xml:space="preserve"> časté:</w:t>
            </w:r>
            <w:r w:rsidR="00584ACB" w:rsidRPr="00D97E23">
              <w:t xml:space="preserve"> B</w:t>
            </w:r>
            <w:r w:rsidRPr="00D97E23">
              <w:t>o</w:t>
            </w:r>
            <w:r w:rsidR="00584ACB" w:rsidRPr="00D97E23">
              <w:t>l</w:t>
            </w:r>
            <w:r w:rsidRPr="00D97E23">
              <w:t>o</w:t>
            </w:r>
            <w:r w:rsidR="00584ACB" w:rsidRPr="00D97E23">
              <w:t xml:space="preserve"> hlá</w:t>
            </w:r>
            <w:r w:rsidRPr="00D97E23">
              <w:t>sené</w:t>
            </w:r>
            <w:r w:rsidR="00584ACB" w:rsidRPr="00D97E23">
              <w:t xml:space="preserve"> pooperačn</w:t>
            </w:r>
            <w:r w:rsidRPr="00D97E23">
              <w:t>é</w:t>
            </w:r>
            <w:r w:rsidR="00584ACB" w:rsidRPr="00D97E23">
              <w:t xml:space="preserve"> krvác</w:t>
            </w:r>
            <w:r w:rsidR="00341629" w:rsidRPr="00D97E23">
              <w:t>a</w:t>
            </w:r>
            <w:r w:rsidR="00584ACB" w:rsidRPr="00D97E23">
              <w:t>n</w:t>
            </w:r>
            <w:r w:rsidRPr="00D97E23">
              <w:t>ie</w:t>
            </w:r>
            <w:r w:rsidR="00584ACB" w:rsidRPr="00D97E23">
              <w:t xml:space="preserve"> po tonzilekt</w:t>
            </w:r>
            <w:r w:rsidRPr="00D97E23">
              <w:t>ó</w:t>
            </w:r>
            <w:r w:rsidR="00584ACB" w:rsidRPr="00D97E23">
              <w:t>mii.</w:t>
            </w:r>
          </w:p>
        </w:tc>
      </w:tr>
      <w:tr w:rsidR="00584ACB" w:rsidRPr="00D97E23" w14:paraId="60258C66" w14:textId="77777777" w:rsidTr="005A7E71">
        <w:tc>
          <w:tcPr>
            <w:tcW w:w="2478" w:type="dxa"/>
          </w:tcPr>
          <w:p w14:paraId="63E9E6EA" w14:textId="77777777" w:rsidR="00584ACB" w:rsidRPr="00D97E23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D97E23">
              <w:rPr>
                <w:b/>
                <w:bCs/>
              </w:rPr>
              <w:t>Laboratórne a funkčné vyšetrenia</w:t>
            </w:r>
          </w:p>
        </w:tc>
        <w:tc>
          <w:tcPr>
            <w:tcW w:w="6594" w:type="dxa"/>
          </w:tcPr>
          <w:p w14:paraId="5F697C34" w14:textId="77777777" w:rsidR="00112A1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Časté:</w:t>
            </w:r>
            <w:r w:rsidRPr="00D97E23">
              <w:rPr>
                <w:bCs/>
              </w:rPr>
              <w:t xml:space="preserve"> Zvýšen</w:t>
            </w:r>
            <w:r w:rsidR="008A3851" w:rsidRPr="00D97E23">
              <w:rPr>
                <w:bCs/>
              </w:rPr>
              <w:t>á hladina</w:t>
            </w:r>
            <w:r w:rsidRPr="00D97E23">
              <w:rPr>
                <w:bCs/>
              </w:rPr>
              <w:t xml:space="preserve"> alan</w:t>
            </w:r>
            <w:r w:rsidR="00341629" w:rsidRPr="00D97E23">
              <w:rPr>
                <w:bCs/>
              </w:rPr>
              <w:t>í</w:t>
            </w:r>
            <w:r w:rsidRPr="00D97E23">
              <w:rPr>
                <w:bCs/>
              </w:rPr>
              <w:t>naminotransferáz</w:t>
            </w:r>
            <w:r w:rsidR="008A3851" w:rsidRPr="00D97E23">
              <w:rPr>
                <w:bCs/>
              </w:rPr>
              <w:t>y</w:t>
            </w:r>
            <w:r w:rsidR="00112A1B" w:rsidRPr="00D97E23">
              <w:rPr>
                <w:bCs/>
              </w:rPr>
              <w:t>, zvýšená gama</w:t>
            </w:r>
          </w:p>
          <w:p w14:paraId="1F4C81B1" w14:textId="6AABE47D" w:rsidR="00584AC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glutamyltransferáza a</w:t>
            </w:r>
            <w:r w:rsidR="008A3851" w:rsidRPr="00D97E23">
              <w:rPr>
                <w:bCs/>
              </w:rPr>
              <w:t> pečeňové</w:t>
            </w:r>
            <w:r w:rsidRPr="00D97E23">
              <w:rPr>
                <w:bCs/>
              </w:rPr>
              <w:t xml:space="preserve"> testy</w:t>
            </w:r>
            <w:r w:rsidR="00341629" w:rsidRPr="00D97E23">
              <w:rPr>
                <w:bCs/>
              </w:rPr>
              <w:t xml:space="preserve"> mimo normy</w:t>
            </w:r>
            <w:r w:rsidRPr="00D97E23">
              <w:rPr>
                <w:bCs/>
              </w:rPr>
              <w:t xml:space="preserve"> </w:t>
            </w:r>
            <w:r w:rsidR="00341629" w:rsidRPr="00D97E23">
              <w:rPr>
                <w:bCs/>
              </w:rPr>
              <w:t>pri</w:t>
            </w:r>
            <w:r w:rsidRPr="00D97E23">
              <w:rPr>
                <w:bCs/>
              </w:rPr>
              <w:t xml:space="preserve"> paracetamol</w:t>
            </w:r>
            <w:r w:rsidR="00341629" w:rsidRPr="00D97E23">
              <w:rPr>
                <w:bCs/>
              </w:rPr>
              <w:t>e</w:t>
            </w:r>
            <w:r w:rsidRPr="00D97E23">
              <w:rPr>
                <w:bCs/>
              </w:rPr>
              <w:t>.</w:t>
            </w:r>
          </w:p>
          <w:p w14:paraId="55181F3E" w14:textId="3618A504" w:rsidR="00584ACB" w:rsidRPr="00D97E23" w:rsidRDefault="00584ACB" w:rsidP="00112A1B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Zvýšená hodnota </w:t>
            </w:r>
            <w:r w:rsidR="008A3851" w:rsidRPr="00D97E23">
              <w:rPr>
                <w:bCs/>
              </w:rPr>
              <w:t>kreatinínu</w:t>
            </w:r>
            <w:r w:rsidRPr="00D97E23">
              <w:rPr>
                <w:bCs/>
              </w:rPr>
              <w:t xml:space="preserve"> a</w:t>
            </w:r>
            <w:r w:rsidR="00D97E23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močoviny</w:t>
            </w:r>
            <w:r w:rsidR="00F7544A" w:rsidRPr="00D97E23">
              <w:rPr>
                <w:bCs/>
              </w:rPr>
              <w:t xml:space="preserve"> v krvi</w:t>
            </w:r>
            <w:r w:rsidRPr="00D97E23">
              <w:rPr>
                <w:bCs/>
              </w:rPr>
              <w:t>.</w:t>
            </w:r>
          </w:p>
          <w:p w14:paraId="773A2D62" w14:textId="77777777" w:rsidR="00112A1B" w:rsidRPr="00D97E23" w:rsidRDefault="008A3851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</w:rPr>
              <w:t>Menej</w:t>
            </w:r>
            <w:r w:rsidR="00584ACB" w:rsidRPr="00D97E23">
              <w:rPr>
                <w:b/>
              </w:rPr>
              <w:t xml:space="preserve"> časté:</w:t>
            </w:r>
            <w:r w:rsidR="00584ACB" w:rsidRPr="00D97E23">
              <w:rPr>
                <w:bCs/>
              </w:rPr>
              <w:t xml:space="preserve"> Zvýšená aspartátamin</w:t>
            </w:r>
            <w:r w:rsidR="00112A1B" w:rsidRPr="00D97E23">
              <w:rPr>
                <w:bCs/>
              </w:rPr>
              <w:t>otransferáza, zvýšená alkalická</w:t>
            </w:r>
          </w:p>
          <w:p w14:paraId="30B19422" w14:textId="77777777" w:rsidR="00112A1B" w:rsidRPr="00D97E23" w:rsidRDefault="00584ACB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 xml:space="preserve">fosfatáza v krvi, zvýšená </w:t>
            </w:r>
            <w:r w:rsidR="008A3851" w:rsidRPr="00D97E23">
              <w:rPr>
                <w:bCs/>
              </w:rPr>
              <w:t>kreatinín</w:t>
            </w:r>
            <w:r w:rsidRPr="00D97E23">
              <w:rPr>
                <w:bCs/>
              </w:rPr>
              <w:t xml:space="preserve">fosfokináza v krvi, </w:t>
            </w:r>
            <w:r w:rsidR="008A3851" w:rsidRPr="00D97E23">
              <w:rPr>
                <w:bCs/>
              </w:rPr>
              <w:t>znížená</w:t>
            </w:r>
            <w:r w:rsidR="00112A1B" w:rsidRPr="00D97E23">
              <w:rPr>
                <w:bCs/>
              </w:rPr>
              <w:t xml:space="preserve"> hladina</w:t>
            </w:r>
          </w:p>
          <w:p w14:paraId="1973735B" w14:textId="2F7182BF" w:rsidR="00584ACB" w:rsidRPr="00D97E23" w:rsidRDefault="008A3851" w:rsidP="005A7E71">
            <w:pPr>
              <w:spacing w:before="40" w:after="40"/>
              <w:rPr>
                <w:bCs/>
              </w:rPr>
            </w:pPr>
            <w:r w:rsidRPr="00D97E23">
              <w:rPr>
                <w:bCs/>
              </w:rPr>
              <w:t>hemoglobínu</w:t>
            </w:r>
            <w:r w:rsidR="00584ACB" w:rsidRPr="00D97E23">
              <w:rPr>
                <w:bCs/>
              </w:rPr>
              <w:t xml:space="preserve"> a zvýšený počet </w:t>
            </w:r>
            <w:r w:rsidRPr="00D97E23">
              <w:rPr>
                <w:bCs/>
              </w:rPr>
              <w:t>krvných</w:t>
            </w:r>
            <w:r w:rsidR="00584ACB" w:rsidRPr="00D97E23">
              <w:rPr>
                <w:bCs/>
              </w:rPr>
              <w:t xml:space="preserve"> </w:t>
            </w:r>
            <w:r w:rsidRPr="00D97E23">
              <w:rPr>
                <w:bCs/>
              </w:rPr>
              <w:t>doštičiek</w:t>
            </w:r>
            <w:r w:rsidR="00584ACB" w:rsidRPr="00D97E23">
              <w:rPr>
                <w:bCs/>
              </w:rPr>
              <w:t>.</w:t>
            </w:r>
          </w:p>
          <w:p w14:paraId="7D1D17C3" w14:textId="11E2BF36" w:rsidR="00584ACB" w:rsidRPr="00D97E23" w:rsidRDefault="00297888" w:rsidP="005A7E71">
            <w:pPr>
              <w:spacing w:before="40" w:after="40"/>
              <w:rPr>
                <w:bCs/>
              </w:rPr>
            </w:pPr>
            <w:r w:rsidRPr="00D97E23">
              <w:rPr>
                <w:b/>
                <w:bCs/>
              </w:rPr>
              <w:t>Zriedkavé</w:t>
            </w:r>
            <w:r w:rsidR="00584ACB" w:rsidRPr="00D97E23">
              <w:rPr>
                <w:b/>
              </w:rPr>
              <w:t>:</w:t>
            </w:r>
            <w:r w:rsidR="00584ACB" w:rsidRPr="00D97E23">
              <w:rPr>
                <w:bCs/>
              </w:rPr>
              <w:t xml:space="preserve"> zvýšené </w:t>
            </w:r>
            <w:r w:rsidR="008A3851" w:rsidRPr="00D97E23">
              <w:rPr>
                <w:bCs/>
              </w:rPr>
              <w:t>koncentrácie</w:t>
            </w:r>
            <w:r w:rsidR="00584ACB" w:rsidRPr="00D97E23">
              <w:rPr>
                <w:bCs/>
              </w:rPr>
              <w:t xml:space="preserve"> kyseliny močov</w:t>
            </w:r>
            <w:r w:rsidR="008A3851" w:rsidRPr="00D97E23">
              <w:rPr>
                <w:bCs/>
              </w:rPr>
              <w:t>ej</w:t>
            </w:r>
            <w:r w:rsidR="00584ACB" w:rsidRPr="00D97E23">
              <w:rPr>
                <w:bCs/>
              </w:rPr>
              <w:t xml:space="preserve"> v krvi.</w:t>
            </w:r>
          </w:p>
        </w:tc>
      </w:tr>
    </w:tbl>
    <w:p w14:paraId="39812D06" w14:textId="77777777" w:rsidR="00584ACB" w:rsidRPr="00D97E23" w:rsidRDefault="00584ACB" w:rsidP="006D66C4">
      <w:pPr>
        <w:ind w:left="0" w:firstLine="0"/>
        <w:rPr>
          <w:szCs w:val="22"/>
        </w:rPr>
      </w:pPr>
    </w:p>
    <w:p w14:paraId="2BA9193F" w14:textId="77777777" w:rsidR="00956C33" w:rsidRPr="00D97E23" w:rsidRDefault="00956C33" w:rsidP="00956C33">
      <w:pPr>
        <w:rPr>
          <w:noProof/>
          <w:szCs w:val="22"/>
          <w:u w:val="single"/>
        </w:rPr>
      </w:pPr>
      <w:r w:rsidRPr="00D97E23">
        <w:rPr>
          <w:noProof/>
          <w:szCs w:val="22"/>
          <w:u w:val="single"/>
        </w:rPr>
        <w:t>Hlásenie podozrení na nežiaduce reakcie</w:t>
      </w:r>
    </w:p>
    <w:p w14:paraId="03A0207A" w14:textId="42CE4386" w:rsidR="00956C33" w:rsidRPr="00D97E23" w:rsidRDefault="00956C33" w:rsidP="00956C33">
      <w:pPr>
        <w:ind w:left="0" w:firstLine="0"/>
        <w:rPr>
          <w:szCs w:val="22"/>
        </w:rPr>
      </w:pPr>
      <w:r w:rsidRPr="00D97E23">
        <w:rPr>
          <w:szCs w:val="22"/>
        </w:rPr>
        <w:t xml:space="preserve">Hlásenie podozrení na nežiaduce reakcie po registrácii lieku je dôležité. Umožňuje priebežné monitorovanie pomeru prínosu a rizika lieku. </w:t>
      </w:r>
      <w:r w:rsidR="007F0A5A" w:rsidRPr="00D97E23">
        <w:rPr>
          <w:szCs w:val="22"/>
        </w:rPr>
        <w:t xml:space="preserve">Od zdravotníckych pracovníkov sa vyžaduje, aby hlásili akékoľvek podozrenia na nežiaduce reakcie na </w:t>
      </w:r>
      <w:r w:rsidR="007F0A5A" w:rsidRPr="00D97E23">
        <w:rPr>
          <w:szCs w:val="22"/>
          <w:highlight w:val="lightGray"/>
        </w:rPr>
        <w:t>národné centrum hlásenia uvedené v </w:t>
      </w:r>
      <w:hyperlink r:id="rId11" w:history="1">
        <w:r w:rsidR="007F0A5A" w:rsidRPr="00D97E23">
          <w:rPr>
            <w:rStyle w:val="Hypertextovprepojenie"/>
            <w:szCs w:val="22"/>
            <w:highlight w:val="lightGray"/>
          </w:rPr>
          <w:t>Prílohe V.</w:t>
        </w:r>
      </w:hyperlink>
    </w:p>
    <w:p w14:paraId="427274E2" w14:textId="77777777" w:rsidR="00FD4DD8" w:rsidRPr="00D97E23" w:rsidRDefault="00FD4DD8" w:rsidP="00FD4DD8">
      <w:pPr>
        <w:rPr>
          <w:szCs w:val="22"/>
        </w:rPr>
      </w:pPr>
    </w:p>
    <w:p w14:paraId="3BFAD592" w14:textId="77777777" w:rsidR="00FD4DD8" w:rsidRPr="00D97E23" w:rsidRDefault="00FD4DD8" w:rsidP="00FD4DD8">
      <w:pPr>
        <w:keepNext/>
        <w:rPr>
          <w:szCs w:val="22"/>
        </w:rPr>
      </w:pPr>
      <w:r w:rsidRPr="00D97E23">
        <w:rPr>
          <w:b/>
          <w:szCs w:val="22"/>
        </w:rPr>
        <w:t>4.9</w:t>
      </w:r>
      <w:r w:rsidRPr="00D97E23">
        <w:rPr>
          <w:b/>
          <w:szCs w:val="22"/>
        </w:rPr>
        <w:tab/>
        <w:t>Predávkovanie</w:t>
      </w:r>
    </w:p>
    <w:p w14:paraId="20E02938" w14:textId="77777777" w:rsidR="00FD4DD8" w:rsidRPr="00D97E23" w:rsidRDefault="00FD4DD8" w:rsidP="00FD4DD8">
      <w:pPr>
        <w:keepNext/>
        <w:rPr>
          <w:szCs w:val="22"/>
        </w:rPr>
      </w:pPr>
    </w:p>
    <w:p w14:paraId="529A0164" w14:textId="77777777" w:rsidR="008A3851" w:rsidRPr="00D97E23" w:rsidRDefault="008A3851" w:rsidP="008A3851">
      <w:pPr>
        <w:rPr>
          <w:szCs w:val="22"/>
          <w:u w:val="single"/>
          <w:lang w:eastAsia="en-US"/>
        </w:rPr>
      </w:pPr>
      <w:r w:rsidRPr="00D97E23">
        <w:rPr>
          <w:szCs w:val="22"/>
          <w:u w:val="single"/>
          <w:lang w:eastAsia="en-US"/>
        </w:rPr>
        <w:t>Príznaky</w:t>
      </w:r>
    </w:p>
    <w:p w14:paraId="61D85316" w14:textId="77777777" w:rsidR="008A3851" w:rsidRPr="00D97E23" w:rsidRDefault="008A3851" w:rsidP="00835A92">
      <w:pPr>
        <w:ind w:left="0" w:firstLine="0"/>
        <w:rPr>
          <w:b/>
          <w:bCs/>
          <w:i/>
          <w:iCs/>
          <w:szCs w:val="22"/>
          <w:lang w:eastAsia="en-US"/>
        </w:rPr>
      </w:pPr>
      <w:r w:rsidRPr="00D97E23">
        <w:rPr>
          <w:b/>
          <w:bCs/>
          <w:i/>
          <w:iCs/>
          <w:szCs w:val="22"/>
          <w:lang w:eastAsia="en-US"/>
        </w:rPr>
        <w:t>Paracetamol</w:t>
      </w:r>
    </w:p>
    <w:p w14:paraId="42F85838" w14:textId="7D2252AB" w:rsidR="008A3851" w:rsidRPr="00D97E23" w:rsidRDefault="008A3851" w:rsidP="008A3851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 xml:space="preserve">Po predávkovaní paracetamolom môže dôjsť k poškodeniu pečene a dokonca k jej zlyhaniu. Počas prvých 24 hodín sú príznaky predávkovania paracetamolom nasledovné: bledosť, nevoľnosť, vracanie, anorexia a bolesť brucha. Poškodenie pečene sa môže prejaviť 12 až 48 hodín po požití. Môžu sa vyskytnúť </w:t>
      </w:r>
      <w:r w:rsidR="00A61299" w:rsidRPr="00D97E23">
        <w:rPr>
          <w:noProof/>
          <w:szCs w:val="22"/>
        </w:rPr>
        <w:t xml:space="preserve">poruchy </w:t>
      </w:r>
      <w:r w:rsidRPr="00D97E23">
        <w:rPr>
          <w:noProof/>
          <w:szCs w:val="22"/>
        </w:rPr>
        <w:t>metabolizmu glukózy a metabolick</w:t>
      </w:r>
      <w:r w:rsidR="00A61299" w:rsidRPr="00D97E23">
        <w:rPr>
          <w:noProof/>
          <w:szCs w:val="22"/>
        </w:rPr>
        <w:t>á</w:t>
      </w:r>
      <w:r w:rsidRPr="00D97E23">
        <w:rPr>
          <w:noProof/>
          <w:szCs w:val="22"/>
        </w:rPr>
        <w:t xml:space="preserve"> acidóz</w:t>
      </w:r>
      <w:r w:rsidR="00A61299" w:rsidRPr="00D97E23">
        <w:rPr>
          <w:noProof/>
          <w:szCs w:val="22"/>
        </w:rPr>
        <w:t>a</w:t>
      </w:r>
      <w:r w:rsidRPr="00D97E23">
        <w:rPr>
          <w:noProof/>
          <w:szCs w:val="22"/>
        </w:rPr>
        <w:t>. Pri ťažkej otrave môže zlyhanie pečene viesť k encefalopatii, kóme a smrti. Pri akútnej tubulárnej nekróze sa môže vyvinúť akútne zlyhanie obličiek bez závažného poškodenia pečene. Boli hlásené srdcové arytmie. Poškodenie pečene je možné u dospelých, ktorí užili 10 g alebo viac paracetamolu, v dôsledku nadmerného množstva toxického metabolitu.</w:t>
      </w:r>
    </w:p>
    <w:p w14:paraId="4C5D4565" w14:textId="77777777" w:rsidR="008A3851" w:rsidRPr="00D97E23" w:rsidRDefault="008A3851" w:rsidP="008A3851">
      <w:pPr>
        <w:rPr>
          <w:noProof/>
          <w:szCs w:val="22"/>
        </w:rPr>
      </w:pPr>
    </w:p>
    <w:p w14:paraId="313C007E" w14:textId="28CA6E4C" w:rsidR="008A3851" w:rsidRPr="00D97E23" w:rsidRDefault="008A3851" w:rsidP="008A3851">
      <w:pPr>
        <w:rPr>
          <w:b/>
          <w:bCs/>
          <w:i/>
          <w:iCs/>
          <w:szCs w:val="22"/>
          <w:lang w:eastAsia="en-US"/>
        </w:rPr>
      </w:pPr>
      <w:r w:rsidRPr="00D97E23">
        <w:rPr>
          <w:b/>
          <w:bCs/>
          <w:i/>
          <w:iCs/>
          <w:szCs w:val="22"/>
          <w:lang w:eastAsia="en-US"/>
        </w:rPr>
        <w:t>Ibuprof</w:t>
      </w:r>
      <w:r w:rsidR="00A61299" w:rsidRPr="00D97E23">
        <w:rPr>
          <w:b/>
          <w:bCs/>
          <w:i/>
          <w:iCs/>
          <w:szCs w:val="22"/>
          <w:lang w:eastAsia="en-US"/>
        </w:rPr>
        <w:t>é</w:t>
      </w:r>
      <w:r w:rsidRPr="00D97E23">
        <w:rPr>
          <w:b/>
          <w:bCs/>
          <w:i/>
          <w:iCs/>
          <w:szCs w:val="22"/>
          <w:lang w:eastAsia="en-US"/>
        </w:rPr>
        <w:t>n</w:t>
      </w:r>
    </w:p>
    <w:p w14:paraId="65EBC294" w14:textId="7A67C21D" w:rsidR="008A3851" w:rsidRPr="00D97E23" w:rsidRDefault="008A3851" w:rsidP="008A3851">
      <w:pPr>
        <w:ind w:left="0" w:firstLine="0"/>
        <w:rPr>
          <w:noProof/>
          <w:szCs w:val="22"/>
        </w:rPr>
      </w:pPr>
      <w:r w:rsidRPr="00D97E23">
        <w:rPr>
          <w:noProof/>
          <w:szCs w:val="22"/>
        </w:rPr>
        <w:t>Medzi príznaky patrí nevoľnosť, bolesť brucha a vracanie, závraty, k</w:t>
      </w:r>
      <w:r w:rsidR="00A61299" w:rsidRPr="00D97E23">
        <w:rPr>
          <w:noProof/>
          <w:szCs w:val="22"/>
        </w:rPr>
        <w:t>onvulzie</w:t>
      </w:r>
      <w:r w:rsidRPr="00D97E23">
        <w:rPr>
          <w:noProof/>
          <w:szCs w:val="22"/>
        </w:rPr>
        <w:t xml:space="preserve"> a zriedka strata vedomia. Klinické príznaky predávkovania ibuprofénom, ktoré </w:t>
      </w:r>
      <w:r w:rsidR="00A61299" w:rsidRPr="00D97E23">
        <w:rPr>
          <w:noProof/>
          <w:szCs w:val="22"/>
        </w:rPr>
        <w:t xml:space="preserve">sa </w:t>
      </w:r>
      <w:r w:rsidRPr="00D97E23">
        <w:rPr>
          <w:noProof/>
          <w:szCs w:val="22"/>
        </w:rPr>
        <w:t xml:space="preserve">môžu </w:t>
      </w:r>
      <w:r w:rsidR="00A61299" w:rsidRPr="00D97E23">
        <w:rPr>
          <w:noProof/>
          <w:szCs w:val="22"/>
        </w:rPr>
        <w:t>prejaviť</w:t>
      </w:r>
      <w:r w:rsidRPr="00D97E23">
        <w:rPr>
          <w:noProof/>
          <w:szCs w:val="22"/>
        </w:rPr>
        <w:t xml:space="preserve">, sú </w:t>
      </w:r>
      <w:r w:rsidR="00A61299" w:rsidRPr="00D97E23">
        <w:rPr>
          <w:noProof/>
          <w:szCs w:val="22"/>
        </w:rPr>
        <w:t xml:space="preserve">útlm </w:t>
      </w:r>
      <w:r w:rsidRPr="00D97E23">
        <w:rPr>
          <w:noProof/>
          <w:szCs w:val="22"/>
        </w:rPr>
        <w:t>centrálneho nervového systému a respiračného systému.</w:t>
      </w:r>
    </w:p>
    <w:p w14:paraId="20949BAF" w14:textId="77777777" w:rsidR="008A3851" w:rsidRPr="00D97E23" w:rsidRDefault="008A3851" w:rsidP="008A3851">
      <w:pPr>
        <w:rPr>
          <w:noProof/>
          <w:szCs w:val="22"/>
        </w:rPr>
      </w:pPr>
    </w:p>
    <w:p w14:paraId="00253BFB" w14:textId="77777777" w:rsidR="00FD4DD8" w:rsidRPr="00D97E23" w:rsidRDefault="008A3851" w:rsidP="008A3851">
      <w:pPr>
        <w:rPr>
          <w:noProof/>
          <w:szCs w:val="22"/>
        </w:rPr>
      </w:pPr>
      <w:r w:rsidRPr="00D97E23">
        <w:rPr>
          <w:noProof/>
          <w:szCs w:val="22"/>
        </w:rPr>
        <w:t>Pri závažnej otrave môže dôjsť k metabolickej acidóze.</w:t>
      </w:r>
    </w:p>
    <w:p w14:paraId="2F7AB086" w14:textId="77777777" w:rsidR="008A3851" w:rsidRPr="00D97E23" w:rsidRDefault="008A3851" w:rsidP="008A3851">
      <w:pPr>
        <w:rPr>
          <w:noProof/>
          <w:szCs w:val="22"/>
        </w:rPr>
      </w:pPr>
    </w:p>
    <w:p w14:paraId="10D2E232" w14:textId="77777777" w:rsidR="008A3851" w:rsidRPr="00D97E23" w:rsidRDefault="008A3851" w:rsidP="008A3851">
      <w:pPr>
        <w:rPr>
          <w:szCs w:val="22"/>
          <w:u w:val="single"/>
          <w:lang w:eastAsia="en-US"/>
        </w:rPr>
      </w:pPr>
      <w:r w:rsidRPr="00D97E23">
        <w:rPr>
          <w:szCs w:val="22"/>
          <w:u w:val="single"/>
          <w:lang w:eastAsia="en-US"/>
        </w:rPr>
        <w:t>Liečba</w:t>
      </w:r>
    </w:p>
    <w:p w14:paraId="053C4E0B" w14:textId="77777777" w:rsidR="008A3851" w:rsidRPr="00D97E23" w:rsidRDefault="008A3851" w:rsidP="008A3851">
      <w:pPr>
        <w:rPr>
          <w:b/>
          <w:bCs/>
          <w:i/>
          <w:iCs/>
          <w:szCs w:val="22"/>
          <w:lang w:eastAsia="en-US"/>
        </w:rPr>
      </w:pPr>
      <w:r w:rsidRPr="00D97E23">
        <w:rPr>
          <w:b/>
          <w:bCs/>
          <w:i/>
          <w:iCs/>
          <w:szCs w:val="22"/>
          <w:lang w:eastAsia="en-US"/>
        </w:rPr>
        <w:t>Paracetamol</w:t>
      </w:r>
    </w:p>
    <w:p w14:paraId="758AA01C" w14:textId="38927834" w:rsidR="008A3851" w:rsidRPr="00D97E23" w:rsidRDefault="008A3851" w:rsidP="008A3851">
      <w:pPr>
        <w:ind w:left="0" w:firstLine="0"/>
        <w:rPr>
          <w:szCs w:val="22"/>
        </w:rPr>
      </w:pPr>
      <w:r w:rsidRPr="00D97E23">
        <w:rPr>
          <w:szCs w:val="22"/>
        </w:rPr>
        <w:t xml:space="preserve">Liečba predávkovania paracetamolom musí byť rýchla, aj keď neexistujú zjavné príznaky, pretože existuje riziko poškodenia pečene, ktoré sa prejavuje po niekoľkých hodinách alebo </w:t>
      </w:r>
      <w:r w:rsidR="00A61299" w:rsidRPr="00D97E23">
        <w:rPr>
          <w:szCs w:val="22"/>
        </w:rPr>
        <w:t>dokonca</w:t>
      </w:r>
      <w:r w:rsidR="00256651" w:rsidRPr="00D97E23">
        <w:rPr>
          <w:szCs w:val="22"/>
        </w:rPr>
        <w:t xml:space="preserve"> </w:t>
      </w:r>
      <w:r w:rsidR="00A61299" w:rsidRPr="00D97E23">
        <w:rPr>
          <w:szCs w:val="22"/>
        </w:rPr>
        <w:t>dňoch</w:t>
      </w:r>
      <w:r w:rsidRPr="00D97E23">
        <w:rPr>
          <w:szCs w:val="22"/>
        </w:rPr>
        <w:t xml:space="preserve">. Liečba sa odporúča bezodkladne u každého pacienta, ktorý užil viac ako 7,5 g paracetamolu </w:t>
      </w:r>
      <w:r w:rsidR="00A61299" w:rsidRPr="00D97E23">
        <w:rPr>
          <w:szCs w:val="22"/>
        </w:rPr>
        <w:t>v predošlých 4 hodinách</w:t>
      </w:r>
      <w:r w:rsidRPr="00D97E23">
        <w:rPr>
          <w:szCs w:val="22"/>
        </w:rPr>
        <w:t xml:space="preserve">. Je potrebné zvážiť </w:t>
      </w:r>
      <w:r w:rsidR="00A61299" w:rsidRPr="00D97E23">
        <w:rPr>
          <w:szCs w:val="22"/>
        </w:rPr>
        <w:t>gastrickú laváž</w:t>
      </w:r>
      <w:r w:rsidRPr="00D97E23">
        <w:rPr>
          <w:szCs w:val="22"/>
        </w:rPr>
        <w:t xml:space="preserve">. Čo najskôr by sa mala začať špecifická </w:t>
      </w:r>
      <w:r w:rsidR="00A61299" w:rsidRPr="00D97E23">
        <w:rPr>
          <w:szCs w:val="22"/>
        </w:rPr>
        <w:lastRenderedPageBreak/>
        <w:t>liečba antidotom ako je acetylcysteín (intravenózne) alebo metionín (perorálne)</w:t>
      </w:r>
      <w:r w:rsidRPr="00D97E23">
        <w:rPr>
          <w:szCs w:val="22"/>
        </w:rPr>
        <w:t>, ktorá by zvrátila poškodenie pečene</w:t>
      </w:r>
      <w:r w:rsidR="00A61299" w:rsidRPr="00D97E23">
        <w:rPr>
          <w:szCs w:val="22"/>
        </w:rPr>
        <w:t>.</w:t>
      </w:r>
      <w:r w:rsidRPr="00D97E23">
        <w:rPr>
          <w:szCs w:val="22"/>
        </w:rPr>
        <w:t xml:space="preserve"> </w:t>
      </w:r>
    </w:p>
    <w:p w14:paraId="622D4124" w14:textId="77777777" w:rsidR="008A3851" w:rsidRPr="00D97E23" w:rsidRDefault="008A3851" w:rsidP="008A3851">
      <w:pPr>
        <w:rPr>
          <w:szCs w:val="22"/>
        </w:rPr>
      </w:pPr>
    </w:p>
    <w:p w14:paraId="7D28DC5D" w14:textId="30FE6809" w:rsidR="008A3851" w:rsidRPr="00D97E23" w:rsidRDefault="008A3851" w:rsidP="008A3851">
      <w:pPr>
        <w:ind w:left="0" w:firstLine="0"/>
        <w:rPr>
          <w:szCs w:val="22"/>
        </w:rPr>
      </w:pPr>
      <w:r w:rsidRPr="00D97E23">
        <w:rPr>
          <w:szCs w:val="22"/>
        </w:rPr>
        <w:t xml:space="preserve">Acetylcysteín je najúčinnejší, ak </w:t>
      </w:r>
      <w:r w:rsidR="00B06EE5" w:rsidRPr="00D97E23">
        <w:rPr>
          <w:szCs w:val="22"/>
        </w:rPr>
        <w:t>sa</w:t>
      </w:r>
      <w:r w:rsidRPr="00D97E23">
        <w:rPr>
          <w:szCs w:val="22"/>
        </w:rPr>
        <w:t xml:space="preserve"> podá počas prvých 8 hodín po predávkovaní a účinok sa postupne znižuje medzi 8 a 16 hodinami. </w:t>
      </w:r>
      <w:r w:rsidR="00B06EE5" w:rsidRPr="00D97E23">
        <w:rPr>
          <w:szCs w:val="22"/>
        </w:rPr>
        <w:t xml:space="preserve">V minulosti </w:t>
      </w:r>
      <w:r w:rsidRPr="00D97E23">
        <w:rPr>
          <w:szCs w:val="22"/>
        </w:rPr>
        <w:t xml:space="preserve">sa uvádzalo, že začatie liečby po viac ako 15 hodinách po predávkovaní nemalo žiadny prínos a mohlo by zvýšiť riziko hepatálnej encefalopatie. </w:t>
      </w:r>
      <w:r w:rsidR="00B06EE5" w:rsidRPr="00D97E23">
        <w:rPr>
          <w:szCs w:val="22"/>
        </w:rPr>
        <w:t>Ukazuje sa však, že neskoršie podanie je bezpečné a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 xml:space="preserve">štúdie pacientov liečených až </w:t>
      </w:r>
      <w:r w:rsidR="00B06EE5" w:rsidRPr="00D97E23">
        <w:rPr>
          <w:szCs w:val="22"/>
        </w:rPr>
        <w:t xml:space="preserve">do </w:t>
      </w:r>
      <w:r w:rsidRPr="00D97E23">
        <w:rPr>
          <w:szCs w:val="22"/>
        </w:rPr>
        <w:t xml:space="preserve">36 hodín po požití naznačujú, že </w:t>
      </w:r>
      <w:r w:rsidR="00B06EE5" w:rsidRPr="00D97E23">
        <w:rPr>
          <w:szCs w:val="22"/>
        </w:rPr>
        <w:t>prospešné</w:t>
      </w:r>
      <w:r w:rsidRPr="00D97E23">
        <w:rPr>
          <w:szCs w:val="22"/>
        </w:rPr>
        <w:t xml:space="preserve"> výsled</w:t>
      </w:r>
      <w:r w:rsidR="00B06EE5" w:rsidRPr="00D97E23">
        <w:rPr>
          <w:szCs w:val="22"/>
        </w:rPr>
        <w:t>ky možno dosiahnuť</w:t>
      </w:r>
      <w:r w:rsidRPr="00D97E23">
        <w:rPr>
          <w:szCs w:val="22"/>
        </w:rPr>
        <w:t xml:space="preserve"> aj po 15 hodinách. Okrem toho sa ukázalo, že </w:t>
      </w:r>
      <w:r w:rsidR="00B06EE5" w:rsidRPr="00D97E23">
        <w:rPr>
          <w:szCs w:val="22"/>
        </w:rPr>
        <w:t xml:space="preserve">intravenózne </w:t>
      </w:r>
      <w:r w:rsidRPr="00D97E23">
        <w:rPr>
          <w:szCs w:val="22"/>
        </w:rPr>
        <w:t>pod</w:t>
      </w:r>
      <w:r w:rsidR="00B06EE5" w:rsidRPr="00D97E23">
        <w:rPr>
          <w:szCs w:val="22"/>
        </w:rPr>
        <w:t>anie</w:t>
      </w:r>
      <w:r w:rsidRPr="00D97E23">
        <w:rPr>
          <w:szCs w:val="22"/>
        </w:rPr>
        <w:t xml:space="preserve"> acetylcysteínu pacientom, u ktorých sa už vyvinulo fulminantné zlyhanie pečene, znižuje morbiditu a mortalitu.</w:t>
      </w:r>
    </w:p>
    <w:p w14:paraId="460537F6" w14:textId="77777777" w:rsidR="00B06EE5" w:rsidRPr="00D97E23" w:rsidRDefault="00B06EE5" w:rsidP="008A3851">
      <w:pPr>
        <w:ind w:left="0" w:firstLine="0"/>
        <w:rPr>
          <w:szCs w:val="22"/>
        </w:rPr>
      </w:pPr>
    </w:p>
    <w:p w14:paraId="239AD745" w14:textId="720CB011" w:rsidR="008A3851" w:rsidRPr="00D97E23" w:rsidRDefault="00B06EE5" w:rsidP="008A3851">
      <w:pPr>
        <w:ind w:left="0" w:firstLine="0"/>
        <w:rPr>
          <w:szCs w:val="22"/>
        </w:rPr>
      </w:pPr>
      <w:r w:rsidRPr="00D97E23">
        <w:rPr>
          <w:szCs w:val="22"/>
        </w:rPr>
        <w:t>Za</w:t>
      </w:r>
      <w:r w:rsidR="008A3851" w:rsidRPr="00D97E23">
        <w:rPr>
          <w:szCs w:val="22"/>
        </w:rPr>
        <w:t xml:space="preserve">čiatočná dávka 150 mg/kg acetylcysteínu v 200 ml 5% </w:t>
      </w:r>
      <w:r w:rsidRPr="00D97E23">
        <w:rPr>
          <w:szCs w:val="22"/>
        </w:rPr>
        <w:t xml:space="preserve">roztoku </w:t>
      </w:r>
      <w:r w:rsidR="008A3851" w:rsidRPr="00D97E23">
        <w:rPr>
          <w:szCs w:val="22"/>
        </w:rPr>
        <w:t>glukózy sa podáva intravenózne po</w:t>
      </w:r>
      <w:r w:rsidRPr="00D97E23">
        <w:rPr>
          <w:szCs w:val="22"/>
        </w:rPr>
        <w:t>čas</w:t>
      </w:r>
      <w:r w:rsidR="008A3851" w:rsidRPr="00D97E23">
        <w:rPr>
          <w:szCs w:val="22"/>
        </w:rPr>
        <w:t xml:space="preserve"> 15 minút, nasleduje i.v. infúzi</w:t>
      </w:r>
      <w:r w:rsidRPr="00D97E23">
        <w:rPr>
          <w:szCs w:val="22"/>
        </w:rPr>
        <w:t>a</w:t>
      </w:r>
      <w:r w:rsidR="008A3851" w:rsidRPr="00D97E23">
        <w:rPr>
          <w:szCs w:val="22"/>
        </w:rPr>
        <w:t xml:space="preserve"> 50 mg/kg v 500 ml 5% </w:t>
      </w:r>
      <w:r w:rsidRPr="00D97E23">
        <w:rPr>
          <w:szCs w:val="22"/>
        </w:rPr>
        <w:t xml:space="preserve">roztoku </w:t>
      </w:r>
      <w:r w:rsidR="008A3851" w:rsidRPr="00D97E23">
        <w:rPr>
          <w:szCs w:val="22"/>
        </w:rPr>
        <w:t xml:space="preserve">glukózy počas 4 hodín a potom 100 mg/kg v 1 litri 5% </w:t>
      </w:r>
      <w:r w:rsidRPr="00D97E23">
        <w:rPr>
          <w:szCs w:val="22"/>
        </w:rPr>
        <w:t xml:space="preserve">roztoku </w:t>
      </w:r>
      <w:r w:rsidR="008A3851" w:rsidRPr="00D97E23">
        <w:rPr>
          <w:szCs w:val="22"/>
        </w:rPr>
        <w:t>glukózy počas 16 hodín. Objem i.v. tekutiny pre deti by mal byť upravený.</w:t>
      </w:r>
    </w:p>
    <w:p w14:paraId="064132BC" w14:textId="77777777" w:rsidR="008A3851" w:rsidRPr="00D97E23" w:rsidRDefault="008A3851" w:rsidP="008A3851">
      <w:pPr>
        <w:rPr>
          <w:szCs w:val="22"/>
        </w:rPr>
      </w:pPr>
    </w:p>
    <w:p w14:paraId="0E440069" w14:textId="6BCB7F60" w:rsidR="008A3851" w:rsidRPr="00D97E23" w:rsidRDefault="008A3851" w:rsidP="008A3851">
      <w:pPr>
        <w:ind w:left="0" w:firstLine="0"/>
        <w:rPr>
          <w:szCs w:val="22"/>
        </w:rPr>
      </w:pPr>
      <w:r w:rsidRPr="00D97E23">
        <w:rPr>
          <w:szCs w:val="22"/>
        </w:rPr>
        <w:t xml:space="preserve">Metionín sa podáva perorálne </w:t>
      </w:r>
      <w:r w:rsidR="00B06EE5" w:rsidRPr="00D97E23">
        <w:rPr>
          <w:szCs w:val="22"/>
        </w:rPr>
        <w:t xml:space="preserve">v dávke 2,5 g </w:t>
      </w:r>
      <w:r w:rsidRPr="00D97E23">
        <w:rPr>
          <w:szCs w:val="22"/>
        </w:rPr>
        <w:t>každé 4 hodiny až do 10 g. Liečba metionínom sa musí začať do 10 hodín po požití paracetamolu; inak bude neúčinná a môže zhoršiť poškodenie pečene.</w:t>
      </w:r>
    </w:p>
    <w:p w14:paraId="61D072C4" w14:textId="77777777" w:rsidR="008A3851" w:rsidRPr="00D97E23" w:rsidRDefault="008A3851" w:rsidP="008A3851">
      <w:pPr>
        <w:rPr>
          <w:szCs w:val="22"/>
        </w:rPr>
      </w:pPr>
    </w:p>
    <w:p w14:paraId="14CFB301" w14:textId="2189E9B1" w:rsidR="008A3851" w:rsidRPr="00D97E23" w:rsidRDefault="008A3851" w:rsidP="008A3851">
      <w:pPr>
        <w:ind w:left="0" w:firstLine="0"/>
        <w:rPr>
          <w:szCs w:val="22"/>
        </w:rPr>
      </w:pPr>
      <w:r w:rsidRPr="00D97E23">
        <w:rPr>
          <w:szCs w:val="22"/>
        </w:rPr>
        <w:t>Závažné príznaky sa nemusia prejaviť počas 4 alebo 5 dní od predávkovania a pacienti by mali byť pozorne sledovaní po</w:t>
      </w:r>
      <w:r w:rsidR="00B06EE5" w:rsidRPr="00D97E23">
        <w:rPr>
          <w:szCs w:val="22"/>
        </w:rPr>
        <w:t>čas</w:t>
      </w:r>
      <w:r w:rsidRPr="00D97E23">
        <w:rPr>
          <w:szCs w:val="22"/>
        </w:rPr>
        <w:t xml:space="preserve"> dlhš</w:t>
      </w:r>
      <w:r w:rsidR="00B06EE5" w:rsidRPr="00D97E23">
        <w:rPr>
          <w:szCs w:val="22"/>
        </w:rPr>
        <w:t>ej</w:t>
      </w:r>
      <w:r w:rsidRPr="00D97E23">
        <w:rPr>
          <w:szCs w:val="22"/>
        </w:rPr>
        <w:t xml:space="preserve"> dob</w:t>
      </w:r>
      <w:r w:rsidR="00B06EE5" w:rsidRPr="00D97E23">
        <w:rPr>
          <w:szCs w:val="22"/>
        </w:rPr>
        <w:t>y</w:t>
      </w:r>
      <w:r w:rsidRPr="00D97E23">
        <w:rPr>
          <w:szCs w:val="22"/>
        </w:rPr>
        <w:t>.</w:t>
      </w:r>
    </w:p>
    <w:p w14:paraId="7F12F31E" w14:textId="77777777" w:rsidR="008A3851" w:rsidRPr="00D97E23" w:rsidRDefault="008A3851" w:rsidP="008A3851">
      <w:pPr>
        <w:ind w:left="0" w:firstLine="0"/>
        <w:rPr>
          <w:szCs w:val="22"/>
        </w:rPr>
      </w:pPr>
    </w:p>
    <w:p w14:paraId="1505CA3A" w14:textId="77777777" w:rsidR="008A3851" w:rsidRPr="00D97E23" w:rsidRDefault="008A3851" w:rsidP="00FD3494">
      <w:pPr>
        <w:rPr>
          <w:b/>
          <w:bCs/>
          <w:i/>
          <w:iCs/>
          <w:lang w:eastAsia="en-GB"/>
        </w:rPr>
      </w:pPr>
      <w:r w:rsidRPr="00D97E23">
        <w:rPr>
          <w:b/>
          <w:bCs/>
          <w:i/>
          <w:iCs/>
          <w:lang w:eastAsia="en-GB"/>
        </w:rPr>
        <w:t>Ibuprofén</w:t>
      </w:r>
    </w:p>
    <w:p w14:paraId="77D13D45" w14:textId="6C47DEDE" w:rsidR="002F3E5F" w:rsidRPr="00D97E23" w:rsidRDefault="008A3851" w:rsidP="008A3851">
      <w:pPr>
        <w:ind w:left="0" w:firstLine="0"/>
        <w:rPr>
          <w:szCs w:val="22"/>
        </w:rPr>
      </w:pPr>
      <w:r w:rsidRPr="00D97E23">
        <w:rPr>
          <w:szCs w:val="22"/>
        </w:rPr>
        <w:t xml:space="preserve">Liečba má byť symptomatická a podporná a mala by zahŕňať udržiavanie priechodnosti dýchacích ciest a sledovanie srdcových a životných funkcií, kým nie je pacient stabilný. </w:t>
      </w:r>
      <w:r w:rsidR="002F3E5F" w:rsidRPr="00D97E23">
        <w:rPr>
          <w:szCs w:val="22"/>
        </w:rPr>
        <w:t>Gastrická laváž</w:t>
      </w:r>
      <w:r w:rsidRPr="00D97E23">
        <w:rPr>
          <w:szCs w:val="22"/>
        </w:rPr>
        <w:t xml:space="preserve"> sa odporúča iba do 60 minút po požití život ohrozujúce dávky.</w:t>
      </w:r>
      <w:r w:rsidR="002F3E5F" w:rsidRPr="00D97E23">
        <w:rPr>
          <w:szCs w:val="22"/>
        </w:rPr>
        <w:t xml:space="preserve"> Keďže sa ako liečivo kyslého charakteru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 xml:space="preserve">vylučuje močom, </w:t>
      </w:r>
      <w:r w:rsidR="002F3E5F" w:rsidRPr="00D97E23">
        <w:rPr>
          <w:szCs w:val="22"/>
        </w:rPr>
        <w:t>môže byť</w:t>
      </w:r>
      <w:r w:rsidRPr="00D97E23">
        <w:rPr>
          <w:szCs w:val="22"/>
        </w:rPr>
        <w:t xml:space="preserve"> teoreticky </w:t>
      </w:r>
      <w:r w:rsidR="002F3E5F" w:rsidRPr="00D97E23">
        <w:rPr>
          <w:szCs w:val="22"/>
        </w:rPr>
        <w:t xml:space="preserve">prospešné </w:t>
      </w:r>
      <w:r w:rsidRPr="00D97E23">
        <w:rPr>
          <w:szCs w:val="22"/>
        </w:rPr>
        <w:t>podávať látky zásadit</w:t>
      </w:r>
      <w:r w:rsidR="00FD3494" w:rsidRPr="00D97E23">
        <w:rPr>
          <w:szCs w:val="22"/>
        </w:rPr>
        <w:t xml:space="preserve">ého charakteru </w:t>
      </w:r>
      <w:r w:rsidRPr="00D97E23">
        <w:rPr>
          <w:szCs w:val="22"/>
        </w:rPr>
        <w:t xml:space="preserve">a vyvolať tak diurézu. Okrem podporných opatrení môže </w:t>
      </w:r>
      <w:r w:rsidR="00B579C4" w:rsidRPr="00D97E23">
        <w:rPr>
          <w:szCs w:val="22"/>
        </w:rPr>
        <w:t>perorálne podanie</w:t>
      </w:r>
      <w:r w:rsidRPr="00D97E23">
        <w:rPr>
          <w:szCs w:val="22"/>
        </w:rPr>
        <w:t xml:space="preserve"> aktívneho uhlia pomôcť znížiť absorpciu a reabsorpciu tabliet </w:t>
      </w:r>
      <w:r w:rsidR="00B579C4" w:rsidRPr="00D97E23">
        <w:rPr>
          <w:szCs w:val="22"/>
        </w:rPr>
        <w:t xml:space="preserve">s </w:t>
      </w:r>
      <w:r w:rsidRPr="00D97E23">
        <w:rPr>
          <w:szCs w:val="22"/>
        </w:rPr>
        <w:t>ibuprofén</w:t>
      </w:r>
      <w:r w:rsidR="00B579C4" w:rsidRPr="00D97E23">
        <w:rPr>
          <w:szCs w:val="22"/>
        </w:rPr>
        <w:t>om</w:t>
      </w:r>
      <w:r w:rsidRPr="00D97E23">
        <w:rPr>
          <w:szCs w:val="22"/>
        </w:rPr>
        <w:t>.</w:t>
      </w:r>
    </w:p>
    <w:p w14:paraId="1B2AC905" w14:textId="77777777" w:rsidR="00FD4DD8" w:rsidRPr="00D97E23" w:rsidRDefault="00FD4DD8" w:rsidP="00FD4DD8">
      <w:pPr>
        <w:rPr>
          <w:szCs w:val="22"/>
        </w:rPr>
      </w:pPr>
    </w:p>
    <w:p w14:paraId="536E790A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5.</w:t>
      </w:r>
      <w:r w:rsidRPr="00D97E23">
        <w:rPr>
          <w:b/>
          <w:szCs w:val="22"/>
        </w:rPr>
        <w:tab/>
        <w:t>FARMAKOLOGICKÉ VLASTNOSTI</w:t>
      </w:r>
    </w:p>
    <w:p w14:paraId="502665A0" w14:textId="77777777" w:rsidR="00FD4DD8" w:rsidRPr="00D97E23" w:rsidRDefault="00FD4DD8" w:rsidP="00FD4DD8">
      <w:pPr>
        <w:rPr>
          <w:bCs/>
          <w:szCs w:val="22"/>
        </w:rPr>
      </w:pPr>
    </w:p>
    <w:p w14:paraId="6C1581AA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5.1</w:t>
      </w:r>
      <w:r w:rsidRPr="00D97E23">
        <w:rPr>
          <w:b/>
          <w:szCs w:val="22"/>
        </w:rPr>
        <w:tab/>
        <w:t>Farmakodynamické vlastnosti</w:t>
      </w:r>
    </w:p>
    <w:p w14:paraId="101C4F19" w14:textId="77777777" w:rsidR="00FD4DD8" w:rsidRPr="00D97E23" w:rsidRDefault="00FD4DD8" w:rsidP="00FD4DD8">
      <w:pPr>
        <w:rPr>
          <w:szCs w:val="22"/>
        </w:rPr>
      </w:pPr>
    </w:p>
    <w:p w14:paraId="29131AC5" w14:textId="556D8CC9" w:rsidR="00FD4DD8" w:rsidRPr="00D97E23" w:rsidRDefault="00FD4DD8" w:rsidP="00FD3494">
      <w:pPr>
        <w:outlineLvl w:val="0"/>
      </w:pPr>
      <w:r w:rsidRPr="00D97E23">
        <w:rPr>
          <w:szCs w:val="22"/>
        </w:rPr>
        <w:t xml:space="preserve">Farmakoterapeutická skupina: </w:t>
      </w:r>
      <w:r w:rsidR="00082B1E" w:rsidRPr="00D97E23">
        <w:rPr>
          <w:szCs w:val="22"/>
        </w:rPr>
        <w:t>iné analgetiká a antipyretiká, anilidy</w:t>
      </w:r>
      <w:r w:rsidRPr="00D97E23">
        <w:rPr>
          <w:szCs w:val="22"/>
        </w:rPr>
        <w:t xml:space="preserve">, ATC kód: </w:t>
      </w:r>
      <w:r w:rsidR="00FD3494" w:rsidRPr="00D97E23">
        <w:t>N02BE51.</w:t>
      </w:r>
    </w:p>
    <w:p w14:paraId="5CF6C33E" w14:textId="77777777" w:rsidR="00FD4DD8" w:rsidRPr="00D97E23" w:rsidRDefault="00FD4DD8" w:rsidP="00FD4DD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1AD0CE6" w14:textId="77777777" w:rsidR="00FD4DD8" w:rsidRPr="00D97E23" w:rsidRDefault="00FD4DD8" w:rsidP="00FD4DD8">
      <w:pPr>
        <w:autoSpaceDE w:val="0"/>
        <w:autoSpaceDN w:val="0"/>
        <w:adjustRightInd w:val="0"/>
        <w:rPr>
          <w:szCs w:val="22"/>
        </w:rPr>
      </w:pPr>
      <w:r w:rsidRPr="00D97E23">
        <w:rPr>
          <w:szCs w:val="22"/>
          <w:u w:val="single"/>
        </w:rPr>
        <w:t>Mechanizmus účinku</w:t>
      </w:r>
    </w:p>
    <w:p w14:paraId="03F95C51" w14:textId="76A57D77" w:rsidR="00FD3494" w:rsidRPr="00D97E23" w:rsidRDefault="00FD3494" w:rsidP="00FD3494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 xml:space="preserve">Hoci presné miesto a mechanizmus analgetického účinku paracetamolu nie </w:t>
      </w:r>
      <w:r w:rsidR="00C97B40" w:rsidRPr="00D97E23">
        <w:rPr>
          <w:szCs w:val="22"/>
        </w:rPr>
        <w:t>je</w:t>
      </w:r>
      <w:r w:rsidRPr="00D97E23">
        <w:rPr>
          <w:szCs w:val="22"/>
        </w:rPr>
        <w:t xml:space="preserve"> jasne definované, </w:t>
      </w:r>
      <w:r w:rsidR="00E46F0A" w:rsidRPr="00D97E23">
        <w:rPr>
          <w:szCs w:val="22"/>
        </w:rPr>
        <w:t>predpokladá sa</w:t>
      </w:r>
      <w:r w:rsidRPr="00D97E23">
        <w:rPr>
          <w:szCs w:val="22"/>
        </w:rPr>
        <w:t xml:space="preserve">, že vyvoláva analgéziu zvýšením prahu bolesti. Potenciálny mechanizmus môže zahŕňať inhibíciu dráhy oxidu dusnatého sprostredkovanú radom neurotransmiterových receptorov vrátane N-metyl-D-aspartátu a </w:t>
      </w:r>
      <w:r w:rsidR="00E46F0A" w:rsidRPr="00D97E23">
        <w:rPr>
          <w:szCs w:val="22"/>
        </w:rPr>
        <w:t>substancie</w:t>
      </w:r>
      <w:r w:rsidRPr="00D97E23">
        <w:rPr>
          <w:szCs w:val="22"/>
        </w:rPr>
        <w:t xml:space="preserve"> P.</w:t>
      </w:r>
    </w:p>
    <w:p w14:paraId="105732DF" w14:textId="77777777" w:rsidR="00FD3494" w:rsidRPr="00D97E23" w:rsidRDefault="00FD3494" w:rsidP="00FD3494">
      <w:pPr>
        <w:autoSpaceDE w:val="0"/>
        <w:autoSpaceDN w:val="0"/>
        <w:adjustRightInd w:val="0"/>
        <w:rPr>
          <w:szCs w:val="22"/>
        </w:rPr>
      </w:pPr>
    </w:p>
    <w:p w14:paraId="7C474543" w14:textId="7C02B077" w:rsidR="00FD3494" w:rsidRPr="00D97E23" w:rsidRDefault="00FD3494" w:rsidP="00FD3494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>Ibuprofén je derivát kyseliny propiónovej s analgetick</w:t>
      </w:r>
      <w:r w:rsidR="00C97B40" w:rsidRPr="00D97E23">
        <w:rPr>
          <w:szCs w:val="22"/>
        </w:rPr>
        <w:t>ou</w:t>
      </w:r>
      <w:r w:rsidRPr="00D97E23">
        <w:rPr>
          <w:szCs w:val="22"/>
        </w:rPr>
        <w:t>, protizápalov</w:t>
      </w:r>
      <w:r w:rsidR="00C97B40" w:rsidRPr="00D97E23">
        <w:rPr>
          <w:szCs w:val="22"/>
        </w:rPr>
        <w:t>ou</w:t>
      </w:r>
      <w:r w:rsidRPr="00D97E23">
        <w:rPr>
          <w:szCs w:val="22"/>
        </w:rPr>
        <w:t xml:space="preserve"> a antipyretick</w:t>
      </w:r>
      <w:r w:rsidR="00C97B40" w:rsidRPr="00D97E23">
        <w:rPr>
          <w:szCs w:val="22"/>
        </w:rPr>
        <w:t>ou</w:t>
      </w:r>
      <w:r w:rsidRPr="00D97E23">
        <w:rPr>
          <w:szCs w:val="22"/>
        </w:rPr>
        <w:t xml:space="preserve"> aktivitou. Terapeutické účinky liečiv</w:t>
      </w:r>
      <w:r w:rsidR="00E46F0A" w:rsidRPr="00D97E23">
        <w:rPr>
          <w:szCs w:val="22"/>
        </w:rPr>
        <w:t>a</w:t>
      </w:r>
      <w:r w:rsidRPr="00D97E23">
        <w:rPr>
          <w:szCs w:val="22"/>
        </w:rPr>
        <w:t xml:space="preserve"> </w:t>
      </w:r>
      <w:r w:rsidR="00E46F0A" w:rsidRPr="00D97E23">
        <w:rPr>
          <w:szCs w:val="22"/>
        </w:rPr>
        <w:t>zo skupiny</w:t>
      </w:r>
      <w:r w:rsidRPr="00D97E23">
        <w:rPr>
          <w:szCs w:val="22"/>
        </w:rPr>
        <w:t xml:space="preserve"> NSAID vyplývajú z jeho inhibičného účinku na enzým cyklooxygenázu, čo vedie k zníženiu syntézy prostaglandínov.</w:t>
      </w:r>
    </w:p>
    <w:p w14:paraId="55391AA4" w14:textId="77777777" w:rsidR="00FD3494" w:rsidRPr="00D97E23" w:rsidRDefault="00FD3494" w:rsidP="00FD3494">
      <w:pPr>
        <w:autoSpaceDE w:val="0"/>
        <w:autoSpaceDN w:val="0"/>
        <w:adjustRightInd w:val="0"/>
        <w:rPr>
          <w:szCs w:val="22"/>
        </w:rPr>
      </w:pPr>
    </w:p>
    <w:p w14:paraId="0ABFF6CC" w14:textId="7159D293" w:rsidR="00192B94" w:rsidRPr="00D97E23" w:rsidRDefault="00FD3494" w:rsidP="00FD3494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 xml:space="preserve">Experimentálne údaje naznačujú, že ibuprofén môže kompetitívne inhibovať účinok nízkej dávky kyseliny acetylsalicylovej na agregáciu trombocytov, </w:t>
      </w:r>
      <w:r w:rsidR="00E46F0A" w:rsidRPr="00D97E23">
        <w:rPr>
          <w:szCs w:val="22"/>
        </w:rPr>
        <w:t xml:space="preserve">ak </w:t>
      </w:r>
      <w:r w:rsidRPr="00D97E23">
        <w:rPr>
          <w:szCs w:val="22"/>
        </w:rPr>
        <w:t>sú podávané sú</w:t>
      </w:r>
      <w:r w:rsidR="00E46F0A" w:rsidRPr="00D97E23">
        <w:rPr>
          <w:szCs w:val="22"/>
        </w:rPr>
        <w:t>bežne</w:t>
      </w:r>
      <w:r w:rsidRPr="00D97E23">
        <w:rPr>
          <w:szCs w:val="22"/>
        </w:rPr>
        <w:t>. Niektoré farmakodynamické štúdie ukazujú, že keď boli jedno</w:t>
      </w:r>
      <w:r w:rsidR="00E46F0A" w:rsidRPr="00D97E23">
        <w:rPr>
          <w:szCs w:val="22"/>
        </w:rPr>
        <w:t>razové</w:t>
      </w:r>
      <w:r w:rsidRPr="00D97E23">
        <w:rPr>
          <w:szCs w:val="22"/>
        </w:rPr>
        <w:t xml:space="preserve"> dávky 400 mg</w:t>
      </w:r>
      <w:r w:rsidR="00E46F0A" w:rsidRPr="00D97E23">
        <w:rPr>
          <w:szCs w:val="22"/>
        </w:rPr>
        <w:t xml:space="preserve"> ibuprofénu</w:t>
      </w:r>
      <w:r w:rsidRPr="00D97E23">
        <w:rPr>
          <w:szCs w:val="22"/>
        </w:rPr>
        <w:t xml:space="preserve"> podávané počas 8 hodín pred alebo do 30 minút po podaní kyseliny acetylsalicylovej s okamžitým uvoľňovaním </w:t>
      </w:r>
    </w:p>
    <w:p w14:paraId="1C1304C6" w14:textId="0BC5F5F3" w:rsidR="00FD3494" w:rsidRPr="00D97E23" w:rsidRDefault="00FD3494" w:rsidP="00112A1B">
      <w:pPr>
        <w:autoSpaceDE w:val="0"/>
        <w:autoSpaceDN w:val="0"/>
        <w:adjustRightInd w:val="0"/>
        <w:ind w:left="0" w:firstLine="0"/>
        <w:rPr>
          <w:szCs w:val="22"/>
        </w:rPr>
      </w:pPr>
      <w:r w:rsidRPr="00D97E23">
        <w:rPr>
          <w:szCs w:val="22"/>
        </w:rPr>
        <w:t>(81</w:t>
      </w:r>
      <w:r w:rsidR="00192B94" w:rsidRPr="00D97E23">
        <w:rPr>
          <w:szCs w:val="22"/>
        </w:rPr>
        <w:t xml:space="preserve"> </w:t>
      </w:r>
      <w:r w:rsidRPr="00D97E23">
        <w:rPr>
          <w:szCs w:val="22"/>
        </w:rPr>
        <w:t xml:space="preserve">mg), došlo k zníženiu účinku kyseliny acetylsalicylovej na tvorbu tromboxánu alebo agregáciu </w:t>
      </w:r>
      <w:r w:rsidR="00E46F0A" w:rsidRPr="00D97E23">
        <w:rPr>
          <w:szCs w:val="22"/>
        </w:rPr>
        <w:t xml:space="preserve">krvných </w:t>
      </w:r>
      <w:r w:rsidRPr="00D97E23">
        <w:rPr>
          <w:szCs w:val="22"/>
        </w:rPr>
        <w:t xml:space="preserve">doštičiek. Hoci existuje nejasnosť ohľadom extrapolácie týchto údajov </w:t>
      </w:r>
      <w:r w:rsidR="00E46F0A" w:rsidRPr="00D97E23">
        <w:rPr>
          <w:szCs w:val="22"/>
        </w:rPr>
        <w:t>do</w:t>
      </w:r>
      <w:r w:rsidRPr="00D97E23">
        <w:rPr>
          <w:szCs w:val="22"/>
        </w:rPr>
        <w:t xml:space="preserve"> klinick</w:t>
      </w:r>
      <w:r w:rsidR="00E46F0A" w:rsidRPr="00D97E23">
        <w:rPr>
          <w:szCs w:val="22"/>
        </w:rPr>
        <w:t>ej</w:t>
      </w:r>
      <w:r w:rsidRPr="00D97E23">
        <w:rPr>
          <w:szCs w:val="22"/>
        </w:rPr>
        <w:t xml:space="preserve"> </w:t>
      </w:r>
      <w:r w:rsidR="00E46F0A" w:rsidRPr="00D97E23">
        <w:rPr>
          <w:szCs w:val="22"/>
        </w:rPr>
        <w:t>praxe</w:t>
      </w:r>
      <w:r w:rsidRPr="00D97E23">
        <w:rPr>
          <w:szCs w:val="22"/>
        </w:rPr>
        <w:t>, nemožno vylúčiť možnosť, že pravidelné a dlhodobé užívanie ibuprof</w:t>
      </w:r>
      <w:r w:rsidR="00C97B40" w:rsidRPr="00D97E23">
        <w:rPr>
          <w:szCs w:val="22"/>
        </w:rPr>
        <w:t>é</w:t>
      </w:r>
      <w:r w:rsidRPr="00D97E23">
        <w:rPr>
          <w:szCs w:val="22"/>
        </w:rPr>
        <w:t>nu môže znížiť kardioprotektívn</w:t>
      </w:r>
      <w:r w:rsidR="00C97B40" w:rsidRPr="00D97E23">
        <w:rPr>
          <w:szCs w:val="22"/>
        </w:rPr>
        <w:t>y</w:t>
      </w:r>
      <w:r w:rsidRPr="00D97E23">
        <w:rPr>
          <w:szCs w:val="22"/>
        </w:rPr>
        <w:t xml:space="preserve"> účinok nízkej dávky kyseliny acetylsalicylovej. </w:t>
      </w:r>
      <w:r w:rsidR="00E46F0A" w:rsidRPr="00D97E23">
        <w:rPr>
          <w:szCs w:val="22"/>
        </w:rPr>
        <w:t>Pri</w:t>
      </w:r>
      <w:r w:rsidRPr="00D97E23">
        <w:rPr>
          <w:szCs w:val="22"/>
        </w:rPr>
        <w:t xml:space="preserve"> príležitostn</w:t>
      </w:r>
      <w:r w:rsidR="00E46F0A" w:rsidRPr="00D97E23">
        <w:rPr>
          <w:szCs w:val="22"/>
        </w:rPr>
        <w:t>om</w:t>
      </w:r>
      <w:r w:rsidRPr="00D97E23">
        <w:rPr>
          <w:szCs w:val="22"/>
        </w:rPr>
        <w:t xml:space="preserve"> užívan</w:t>
      </w:r>
      <w:r w:rsidR="00E46F0A" w:rsidRPr="00D97E23">
        <w:rPr>
          <w:szCs w:val="22"/>
        </w:rPr>
        <w:t>í</w:t>
      </w:r>
      <w:r w:rsidRPr="00D97E23">
        <w:rPr>
          <w:szCs w:val="22"/>
        </w:rPr>
        <w:t xml:space="preserve"> ibuprof</w:t>
      </w:r>
      <w:r w:rsidR="00C97B40" w:rsidRPr="00D97E23">
        <w:rPr>
          <w:szCs w:val="22"/>
        </w:rPr>
        <w:t>é</w:t>
      </w:r>
      <w:r w:rsidRPr="00D97E23">
        <w:rPr>
          <w:szCs w:val="22"/>
        </w:rPr>
        <w:t>nu sa nepredpokladá žiadny klinicky relevantný účinok (pozri časť 4.5).</w:t>
      </w:r>
    </w:p>
    <w:p w14:paraId="20AAEFF5" w14:textId="77777777" w:rsidR="00C97B40" w:rsidRPr="00D97E23" w:rsidRDefault="00C97B40" w:rsidP="00FD4DD8">
      <w:pPr>
        <w:autoSpaceDE w:val="0"/>
        <w:autoSpaceDN w:val="0"/>
        <w:adjustRightInd w:val="0"/>
        <w:rPr>
          <w:szCs w:val="22"/>
        </w:rPr>
      </w:pPr>
    </w:p>
    <w:p w14:paraId="58C448AE" w14:textId="63C8561C" w:rsidR="00C97B40" w:rsidRPr="00D97E23" w:rsidRDefault="00C97B40" w:rsidP="00C97B40">
      <w:pPr>
        <w:rPr>
          <w:i/>
          <w:iCs/>
          <w:szCs w:val="22"/>
          <w:u w:val="single"/>
        </w:rPr>
      </w:pPr>
      <w:r w:rsidRPr="00D97E23">
        <w:rPr>
          <w:i/>
          <w:iCs/>
          <w:szCs w:val="22"/>
          <w:u w:val="single"/>
        </w:rPr>
        <w:t xml:space="preserve">Klinické </w:t>
      </w:r>
      <w:r w:rsidR="00D110F4" w:rsidRPr="00D97E23">
        <w:rPr>
          <w:i/>
          <w:iCs/>
          <w:szCs w:val="22"/>
          <w:u w:val="single"/>
        </w:rPr>
        <w:t>skúšania</w:t>
      </w:r>
    </w:p>
    <w:p w14:paraId="15307811" w14:textId="57AF8EB5" w:rsidR="00C97B40" w:rsidRPr="00D97E23" w:rsidRDefault="00C97B40" w:rsidP="00C97B40">
      <w:pPr>
        <w:ind w:left="0" w:firstLine="0"/>
        <w:rPr>
          <w:szCs w:val="22"/>
        </w:rPr>
      </w:pPr>
      <w:r w:rsidRPr="00D97E23">
        <w:rPr>
          <w:szCs w:val="22"/>
        </w:rPr>
        <w:lastRenderedPageBreak/>
        <w:t xml:space="preserve">Klinické </w:t>
      </w:r>
      <w:r w:rsidR="00D110F4" w:rsidRPr="00D97E23">
        <w:rPr>
          <w:szCs w:val="22"/>
        </w:rPr>
        <w:t>skúšania</w:t>
      </w:r>
      <w:r w:rsidRPr="00D97E23">
        <w:rPr>
          <w:szCs w:val="22"/>
        </w:rPr>
        <w:t xml:space="preserve"> s </w:t>
      </w:r>
      <w:r w:rsidR="007671DC" w:rsidRPr="00D97E23">
        <w:rPr>
          <w:szCs w:val="22"/>
        </w:rPr>
        <w:t>Paracetamol</w:t>
      </w:r>
      <w:r w:rsidR="00D110F4" w:rsidRPr="00D97E23">
        <w:rPr>
          <w:szCs w:val="22"/>
        </w:rPr>
        <w:t>om</w:t>
      </w:r>
      <w:r w:rsidR="007671DC" w:rsidRPr="00D97E23">
        <w:rPr>
          <w:szCs w:val="22"/>
        </w:rPr>
        <w:t>/Ibuprofen</w:t>
      </w:r>
      <w:r w:rsidR="00D110F4" w:rsidRPr="00D97E23">
        <w:rPr>
          <w:szCs w:val="22"/>
        </w:rPr>
        <w:t>om</w:t>
      </w:r>
      <w:r w:rsidR="007671DC" w:rsidRPr="00D97E23">
        <w:rPr>
          <w:szCs w:val="22"/>
        </w:rPr>
        <w:t xml:space="preserve"> Vale</w:t>
      </w:r>
      <w:r w:rsidR="00D110F4" w:rsidRPr="00D97E23">
        <w:rPr>
          <w:szCs w:val="22"/>
        </w:rPr>
        <w:t xml:space="preserve"> </w:t>
      </w:r>
      <w:r w:rsidRPr="00D97E23">
        <w:rPr>
          <w:szCs w:val="22"/>
        </w:rPr>
        <w:t xml:space="preserve">nezahŕňali </w:t>
      </w:r>
      <w:r w:rsidR="00D110F4" w:rsidRPr="00D97E23">
        <w:rPr>
          <w:szCs w:val="22"/>
        </w:rPr>
        <w:t>osoby</w:t>
      </w:r>
      <w:r w:rsidRPr="00D97E23">
        <w:rPr>
          <w:szCs w:val="22"/>
        </w:rPr>
        <w:t xml:space="preserve"> vo veku 65 rokov a starších, aby sa určilo, či reagujú odlišne </w:t>
      </w:r>
      <w:r w:rsidR="00D110F4" w:rsidRPr="00D97E23">
        <w:rPr>
          <w:szCs w:val="22"/>
        </w:rPr>
        <w:t>ako mladší.</w:t>
      </w:r>
    </w:p>
    <w:p w14:paraId="7F7AED87" w14:textId="77777777" w:rsidR="00C97B40" w:rsidRPr="00D97E23" w:rsidRDefault="00C97B40" w:rsidP="00C97B40">
      <w:pPr>
        <w:rPr>
          <w:szCs w:val="22"/>
        </w:rPr>
      </w:pPr>
    </w:p>
    <w:p w14:paraId="29F74D94" w14:textId="24CF9254" w:rsidR="00C97B40" w:rsidRPr="00D97E23" w:rsidRDefault="00C97B40" w:rsidP="00C97B40">
      <w:pPr>
        <w:ind w:left="0" w:firstLine="0"/>
        <w:rPr>
          <w:szCs w:val="22"/>
        </w:rPr>
      </w:pPr>
      <w:r w:rsidRPr="00D97E23">
        <w:rPr>
          <w:szCs w:val="22"/>
        </w:rPr>
        <w:t>V štúdii účinnosti fázy III u 276 pacientov s miernou až stredn</w:t>
      </w:r>
      <w:r w:rsidR="00C04505" w:rsidRPr="00D97E23">
        <w:rPr>
          <w:szCs w:val="22"/>
        </w:rPr>
        <w:t>e silnou</w:t>
      </w:r>
      <w:r w:rsidRPr="00D97E23">
        <w:rPr>
          <w:szCs w:val="22"/>
        </w:rPr>
        <w:t xml:space="preserve"> bolesťou po bunionekt</w:t>
      </w:r>
      <w:r w:rsidR="000D3093" w:rsidRPr="00D97E23">
        <w:rPr>
          <w:szCs w:val="22"/>
        </w:rPr>
        <w:t>ó</w:t>
      </w:r>
      <w:r w:rsidR="0097513B" w:rsidRPr="00D97E23">
        <w:rPr>
          <w:szCs w:val="22"/>
        </w:rPr>
        <w:t>mii</w:t>
      </w:r>
      <w:r w:rsidRPr="00D97E23">
        <w:rPr>
          <w:szCs w:val="22"/>
        </w:rPr>
        <w:t xml:space="preserve"> poskytol </w:t>
      </w:r>
      <w:r w:rsidR="007671DC" w:rsidRPr="00D97E23">
        <w:rPr>
          <w:szCs w:val="22"/>
        </w:rPr>
        <w:t>Paracetamol/Ibuprofen Vale</w:t>
      </w:r>
      <w:r w:rsidR="00C04505" w:rsidRPr="00D97E23">
        <w:rPr>
          <w:szCs w:val="22"/>
        </w:rPr>
        <w:t xml:space="preserve"> </w:t>
      </w:r>
      <w:r w:rsidRPr="00D97E23">
        <w:rPr>
          <w:szCs w:val="22"/>
        </w:rPr>
        <w:t>väčšiu úľavu od bolesti ako placebo alebo porovnateľné dávky</w:t>
      </w:r>
      <w:r w:rsidR="00C04505" w:rsidRPr="00D97E23">
        <w:rPr>
          <w:szCs w:val="22"/>
        </w:rPr>
        <w:t xml:space="preserve"> samostatného</w:t>
      </w:r>
      <w:r w:rsidRPr="00D97E23">
        <w:rPr>
          <w:szCs w:val="22"/>
        </w:rPr>
        <w:t xml:space="preserve"> paracetamolu alebo ibuprofénu.</w:t>
      </w:r>
    </w:p>
    <w:p w14:paraId="0F67F239" w14:textId="77777777" w:rsidR="00C97B40" w:rsidRPr="00D97E23" w:rsidRDefault="00C97B40" w:rsidP="00C97B40">
      <w:pPr>
        <w:rPr>
          <w:szCs w:val="22"/>
        </w:rPr>
      </w:pPr>
    </w:p>
    <w:p w14:paraId="21C424D0" w14:textId="1C3DEA07" w:rsidR="00FD4DD8" w:rsidRPr="00D97E23" w:rsidRDefault="00C97B40" w:rsidP="00C97B40">
      <w:pPr>
        <w:ind w:left="0" w:firstLine="0"/>
        <w:rPr>
          <w:szCs w:val="22"/>
        </w:rPr>
      </w:pPr>
      <w:r w:rsidRPr="00D97E23">
        <w:rPr>
          <w:szCs w:val="22"/>
        </w:rPr>
        <w:t>Analýza sú</w:t>
      </w:r>
      <w:r w:rsidR="00C95CB8" w:rsidRPr="00D97E23">
        <w:rPr>
          <w:szCs w:val="22"/>
        </w:rPr>
        <w:t>hrnu</w:t>
      </w:r>
      <w:r w:rsidRPr="00D97E23">
        <w:rPr>
          <w:szCs w:val="22"/>
        </w:rPr>
        <w:t xml:space="preserve"> rozdiel</w:t>
      </w:r>
      <w:r w:rsidR="00C95CB8" w:rsidRPr="00D97E23">
        <w:rPr>
          <w:szCs w:val="22"/>
        </w:rPr>
        <w:t>ov</w:t>
      </w:r>
      <w:r w:rsidRPr="00D97E23">
        <w:rPr>
          <w:szCs w:val="22"/>
        </w:rPr>
        <w:t xml:space="preserve"> intenzity bolesti</w:t>
      </w:r>
      <w:r w:rsidR="00C95CB8" w:rsidRPr="00D97E23">
        <w:rPr>
          <w:szCs w:val="22"/>
        </w:rPr>
        <w:t xml:space="preserve"> upraven</w:t>
      </w:r>
      <w:r w:rsidR="005F3DA0" w:rsidRPr="00D97E23">
        <w:rPr>
          <w:szCs w:val="22"/>
        </w:rPr>
        <w:t>ej</w:t>
      </w:r>
      <w:r w:rsidR="00C95CB8" w:rsidRPr="00D97E23">
        <w:rPr>
          <w:szCs w:val="22"/>
        </w:rPr>
        <w:t xml:space="preserve"> podľa času</w:t>
      </w:r>
      <w:r w:rsidRPr="00D97E23">
        <w:rPr>
          <w:szCs w:val="22"/>
        </w:rPr>
        <w:t xml:space="preserve"> (SPID) 0-48 hodín ukázala, že </w:t>
      </w:r>
      <w:r w:rsidR="007671DC" w:rsidRPr="00D97E23">
        <w:rPr>
          <w:szCs w:val="22"/>
        </w:rPr>
        <w:t>Paracetamol/Ibuprofen Vale</w:t>
      </w:r>
      <w:r w:rsidR="007671DC" w:rsidRPr="00D97E23" w:rsidDel="007671DC">
        <w:rPr>
          <w:szCs w:val="22"/>
        </w:rPr>
        <w:t xml:space="preserve"> </w:t>
      </w:r>
      <w:r w:rsidRPr="00D97E23">
        <w:rPr>
          <w:szCs w:val="22"/>
        </w:rPr>
        <w:t>(priemer = 23,41, SE = 2,50) poskytoval účinnejšiu úľavu od bolesti ako placebo (priemer = -1,30, SE = 3,07), paracetamol (priemer = 10,42, SE = 2,50) alebo ibuprofén (priemer = 9,51, SE = 2,49), s vysokou úrovňou štatistickej významnosti (p &lt;0,001).</w:t>
      </w:r>
    </w:p>
    <w:p w14:paraId="7CC50A90" w14:textId="77777777" w:rsidR="00C97B40" w:rsidRPr="00D97E23" w:rsidRDefault="00C97B40" w:rsidP="00C97B40">
      <w:pPr>
        <w:tabs>
          <w:tab w:val="left" w:pos="567"/>
        </w:tabs>
        <w:autoSpaceDE w:val="0"/>
        <w:autoSpaceDN w:val="0"/>
        <w:adjustRightInd w:val="0"/>
        <w:spacing w:line="271" w:lineRule="auto"/>
        <w:ind w:left="0" w:firstLine="0"/>
        <w:jc w:val="both"/>
        <w:rPr>
          <w:b/>
          <w:bCs/>
          <w:szCs w:val="22"/>
          <w:lang w:eastAsia="en-US"/>
        </w:rPr>
      </w:pPr>
    </w:p>
    <w:p w14:paraId="2E332FB3" w14:textId="510701F5" w:rsidR="00C97B40" w:rsidRPr="00D97E23" w:rsidRDefault="00C97B40" w:rsidP="00C97B40">
      <w:pPr>
        <w:tabs>
          <w:tab w:val="left" w:pos="567"/>
        </w:tabs>
        <w:autoSpaceDE w:val="0"/>
        <w:autoSpaceDN w:val="0"/>
        <w:adjustRightInd w:val="0"/>
        <w:spacing w:line="271" w:lineRule="auto"/>
        <w:ind w:left="0" w:firstLine="0"/>
        <w:jc w:val="both"/>
        <w:rPr>
          <w:b/>
          <w:bCs/>
          <w:szCs w:val="22"/>
          <w:lang w:eastAsia="en-US"/>
        </w:rPr>
      </w:pPr>
      <w:r w:rsidRPr="00D97E23">
        <w:rPr>
          <w:b/>
          <w:bCs/>
          <w:szCs w:val="22"/>
          <w:lang w:eastAsia="en-US"/>
        </w:rPr>
        <w:t xml:space="preserve">Tabuľka </w:t>
      </w:r>
      <w:r w:rsidR="00C95CB8" w:rsidRPr="00D97E23">
        <w:rPr>
          <w:b/>
          <w:bCs/>
          <w:szCs w:val="22"/>
          <w:lang w:eastAsia="en-US"/>
        </w:rPr>
        <w:t>1</w:t>
      </w:r>
      <w:r w:rsidRPr="00D97E23">
        <w:rPr>
          <w:b/>
          <w:bCs/>
          <w:szCs w:val="22"/>
          <w:lang w:eastAsia="en-US"/>
        </w:rPr>
        <w:t xml:space="preserve">: Súhrn </w:t>
      </w:r>
      <w:r w:rsidR="00F4553A" w:rsidRPr="00D97E23">
        <w:rPr>
          <w:b/>
          <w:bCs/>
          <w:szCs w:val="22"/>
          <w:lang w:eastAsia="en-US"/>
        </w:rPr>
        <w:t xml:space="preserve">časovo upraveného </w:t>
      </w:r>
      <w:r w:rsidRPr="00D97E23">
        <w:rPr>
          <w:b/>
          <w:bCs/>
          <w:szCs w:val="22"/>
          <w:lang w:eastAsia="en-US"/>
        </w:rPr>
        <w:t>SPID</w:t>
      </w:r>
      <w:r w:rsidR="00C95CB8" w:rsidRPr="00D97E23">
        <w:rPr>
          <w:b/>
          <w:bCs/>
          <w:szCs w:val="22"/>
          <w:lang w:eastAsia="en-US"/>
        </w:rPr>
        <w:t xml:space="preserve"> </w:t>
      </w:r>
      <w:r w:rsidR="00F144AE" w:rsidRPr="00D97E23">
        <w:rPr>
          <w:b/>
          <w:bCs/>
          <w:szCs w:val="22"/>
          <w:lang w:eastAsia="en-US"/>
        </w:rPr>
        <w:t>(0-48 hodín) podľa lieče</w:t>
      </w:r>
      <w:r w:rsidRPr="00D97E23">
        <w:rPr>
          <w:b/>
          <w:bCs/>
          <w:szCs w:val="22"/>
          <w:lang w:eastAsia="en-US"/>
        </w:rPr>
        <w:t>nej skupiny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9"/>
        <w:gridCol w:w="1608"/>
        <w:gridCol w:w="1608"/>
        <w:gridCol w:w="1608"/>
        <w:gridCol w:w="1608"/>
      </w:tblGrid>
      <w:tr w:rsidR="00C97B40" w:rsidRPr="00D97E23" w14:paraId="02315762" w14:textId="77777777" w:rsidTr="005A7E71">
        <w:trPr>
          <w:trHeight w:val="278"/>
          <w:tblHeader/>
        </w:trPr>
        <w:tc>
          <w:tcPr>
            <w:tcW w:w="2689" w:type="dxa"/>
            <w:vMerge w:val="restart"/>
            <w:shd w:val="clear" w:color="auto" w:fill="EEEEEE"/>
            <w:hideMark/>
          </w:tcPr>
          <w:p w14:paraId="7CB9A364" w14:textId="77777777" w:rsidR="00C97B40" w:rsidRPr="00D97E23" w:rsidRDefault="00C97B40" w:rsidP="005A7E71">
            <w:pPr>
              <w:spacing w:before="40" w:after="40"/>
              <w:rPr>
                <w:b/>
                <w:sz w:val="20"/>
                <w:szCs w:val="20"/>
                <w:lang w:eastAsia="en-NZ"/>
              </w:rPr>
            </w:pPr>
          </w:p>
        </w:tc>
        <w:tc>
          <w:tcPr>
            <w:tcW w:w="1608" w:type="dxa"/>
            <w:shd w:val="clear" w:color="auto" w:fill="EEEEEE"/>
            <w:hideMark/>
          </w:tcPr>
          <w:p w14:paraId="0AABD642" w14:textId="77777777" w:rsidR="007671DC" w:rsidRPr="00D97E23" w:rsidRDefault="007671DC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Paracetamol/</w:t>
            </w:r>
          </w:p>
          <w:p w14:paraId="78BE2A76" w14:textId="25638AF0" w:rsidR="00C97B40" w:rsidRPr="00D97E23" w:rsidRDefault="007671DC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Ibuprofen Vale</w:t>
            </w:r>
          </w:p>
        </w:tc>
        <w:tc>
          <w:tcPr>
            <w:tcW w:w="1608" w:type="dxa"/>
            <w:shd w:val="clear" w:color="auto" w:fill="EEEEEE"/>
            <w:hideMark/>
          </w:tcPr>
          <w:p w14:paraId="326FE9E1" w14:textId="77777777" w:rsidR="00C97B40" w:rsidRPr="00D97E23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Ibuprofén</w:t>
            </w:r>
          </w:p>
        </w:tc>
        <w:tc>
          <w:tcPr>
            <w:tcW w:w="1608" w:type="dxa"/>
            <w:shd w:val="clear" w:color="auto" w:fill="EEEEEE"/>
            <w:hideMark/>
          </w:tcPr>
          <w:p w14:paraId="0A6C1DB4" w14:textId="77777777" w:rsidR="00C97B40" w:rsidRPr="00D97E23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Paracetamol</w:t>
            </w:r>
          </w:p>
        </w:tc>
        <w:tc>
          <w:tcPr>
            <w:tcW w:w="1608" w:type="dxa"/>
            <w:shd w:val="clear" w:color="auto" w:fill="EEEEEE"/>
            <w:hideMark/>
          </w:tcPr>
          <w:p w14:paraId="70BC485F" w14:textId="77777777" w:rsidR="00C97B40" w:rsidRPr="00D97E23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Placebo</w:t>
            </w:r>
          </w:p>
        </w:tc>
      </w:tr>
      <w:tr w:rsidR="00C97B40" w:rsidRPr="00D97E23" w14:paraId="540A63C7" w14:textId="77777777" w:rsidTr="005A7E71">
        <w:trPr>
          <w:trHeight w:val="293"/>
          <w:tblHeader/>
        </w:trPr>
        <w:tc>
          <w:tcPr>
            <w:tcW w:w="2689" w:type="dxa"/>
            <w:vMerge/>
            <w:vAlign w:val="center"/>
            <w:hideMark/>
          </w:tcPr>
          <w:p w14:paraId="39F1E93F" w14:textId="77777777" w:rsidR="00C97B40" w:rsidRPr="00D97E23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</w:p>
        </w:tc>
        <w:tc>
          <w:tcPr>
            <w:tcW w:w="1608" w:type="dxa"/>
            <w:shd w:val="clear" w:color="auto" w:fill="EEEEEE"/>
            <w:hideMark/>
          </w:tcPr>
          <w:p w14:paraId="108DFAE5" w14:textId="77777777" w:rsidR="00C97B40" w:rsidRPr="00D97E23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N=75</w:t>
            </w:r>
          </w:p>
        </w:tc>
        <w:tc>
          <w:tcPr>
            <w:tcW w:w="1608" w:type="dxa"/>
            <w:shd w:val="clear" w:color="auto" w:fill="EEEEEE"/>
            <w:hideMark/>
          </w:tcPr>
          <w:p w14:paraId="31DEE7FA" w14:textId="77777777" w:rsidR="00C97B40" w:rsidRPr="00D97E23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N=76</w:t>
            </w:r>
          </w:p>
        </w:tc>
        <w:tc>
          <w:tcPr>
            <w:tcW w:w="1608" w:type="dxa"/>
            <w:shd w:val="clear" w:color="auto" w:fill="EEEEEE"/>
            <w:hideMark/>
          </w:tcPr>
          <w:p w14:paraId="4F7631EB" w14:textId="77777777" w:rsidR="00C97B40" w:rsidRPr="00D97E23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N=75</w:t>
            </w:r>
          </w:p>
        </w:tc>
        <w:tc>
          <w:tcPr>
            <w:tcW w:w="1608" w:type="dxa"/>
            <w:shd w:val="clear" w:color="auto" w:fill="EEEEEE"/>
            <w:hideMark/>
          </w:tcPr>
          <w:p w14:paraId="0465E4E2" w14:textId="77777777" w:rsidR="00C97B40" w:rsidRPr="00D97E23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D97E23">
              <w:rPr>
                <w:b/>
                <w:sz w:val="20"/>
                <w:szCs w:val="20"/>
                <w:lang w:eastAsia="en-NZ"/>
              </w:rPr>
              <w:t>N=50</w:t>
            </w:r>
          </w:p>
        </w:tc>
      </w:tr>
      <w:tr w:rsidR="00C97B40" w:rsidRPr="00D97E23" w14:paraId="7F540FDC" w14:textId="77777777" w:rsidTr="005A7E71">
        <w:trPr>
          <w:trHeight w:val="278"/>
        </w:trPr>
        <w:tc>
          <w:tcPr>
            <w:tcW w:w="2689" w:type="dxa"/>
            <w:hideMark/>
          </w:tcPr>
          <w:p w14:paraId="2DA2B38B" w14:textId="77777777" w:rsidR="00C97B40" w:rsidRPr="00D97E23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D97E23">
              <w:t>N</w:t>
            </w:r>
          </w:p>
        </w:tc>
        <w:tc>
          <w:tcPr>
            <w:tcW w:w="1608" w:type="dxa"/>
            <w:hideMark/>
          </w:tcPr>
          <w:p w14:paraId="55CEA4B3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608" w:type="dxa"/>
            <w:hideMark/>
          </w:tcPr>
          <w:p w14:paraId="7391529F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76</w:t>
            </w:r>
          </w:p>
        </w:tc>
        <w:tc>
          <w:tcPr>
            <w:tcW w:w="1608" w:type="dxa"/>
            <w:hideMark/>
          </w:tcPr>
          <w:p w14:paraId="291B97AC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608" w:type="dxa"/>
            <w:hideMark/>
          </w:tcPr>
          <w:p w14:paraId="22966958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50</w:t>
            </w:r>
          </w:p>
        </w:tc>
      </w:tr>
      <w:tr w:rsidR="00C97B40" w:rsidRPr="00D97E23" w14:paraId="3CC5A20A" w14:textId="77777777" w:rsidTr="005A7E71">
        <w:trPr>
          <w:trHeight w:val="278"/>
        </w:trPr>
        <w:tc>
          <w:tcPr>
            <w:tcW w:w="2689" w:type="dxa"/>
            <w:hideMark/>
          </w:tcPr>
          <w:p w14:paraId="56F16248" w14:textId="05A6F3FE" w:rsidR="00C97B40" w:rsidRPr="00D97E23" w:rsidRDefault="00B3076D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D97E23">
              <w:t xml:space="preserve">Priemer </w:t>
            </w:r>
            <w:r w:rsidR="00C97B40" w:rsidRPr="00D97E23">
              <w:t>(SE)</w:t>
            </w:r>
          </w:p>
        </w:tc>
        <w:tc>
          <w:tcPr>
            <w:tcW w:w="1608" w:type="dxa"/>
            <w:hideMark/>
          </w:tcPr>
          <w:p w14:paraId="05544BA3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23,41 (2,89)</w:t>
            </w:r>
          </w:p>
        </w:tc>
        <w:tc>
          <w:tcPr>
            <w:tcW w:w="1608" w:type="dxa"/>
            <w:hideMark/>
          </w:tcPr>
          <w:p w14:paraId="0DE659C6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9,51 (2,53)</w:t>
            </w:r>
          </w:p>
        </w:tc>
        <w:tc>
          <w:tcPr>
            <w:tcW w:w="1608" w:type="dxa"/>
            <w:hideMark/>
          </w:tcPr>
          <w:p w14:paraId="590EC530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10,42 (2,49)</w:t>
            </w:r>
          </w:p>
        </w:tc>
        <w:tc>
          <w:tcPr>
            <w:tcW w:w="1608" w:type="dxa"/>
            <w:hideMark/>
          </w:tcPr>
          <w:p w14:paraId="26AFAE7C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-1,30 (2,08)</w:t>
            </w:r>
          </w:p>
        </w:tc>
      </w:tr>
      <w:tr w:rsidR="00C97B40" w:rsidRPr="00D97E23" w14:paraId="79F5EC69" w14:textId="77777777" w:rsidTr="005A7E71">
        <w:trPr>
          <w:trHeight w:val="278"/>
        </w:trPr>
        <w:tc>
          <w:tcPr>
            <w:tcW w:w="2689" w:type="dxa"/>
            <w:hideMark/>
          </w:tcPr>
          <w:p w14:paraId="04E62F0E" w14:textId="77777777" w:rsidR="00C97B40" w:rsidRPr="00D97E23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D97E23">
              <w:t>Medián</w:t>
            </w:r>
          </w:p>
        </w:tc>
        <w:tc>
          <w:tcPr>
            <w:tcW w:w="1608" w:type="dxa"/>
            <w:hideMark/>
          </w:tcPr>
          <w:p w14:paraId="0DA7E243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23,10</w:t>
            </w:r>
          </w:p>
        </w:tc>
        <w:tc>
          <w:tcPr>
            <w:tcW w:w="1608" w:type="dxa"/>
            <w:hideMark/>
          </w:tcPr>
          <w:p w14:paraId="7C9FE453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5,40</w:t>
            </w:r>
          </w:p>
        </w:tc>
        <w:tc>
          <w:tcPr>
            <w:tcW w:w="1608" w:type="dxa"/>
            <w:hideMark/>
          </w:tcPr>
          <w:p w14:paraId="1D074901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3,45</w:t>
            </w:r>
          </w:p>
        </w:tc>
        <w:tc>
          <w:tcPr>
            <w:tcW w:w="1608" w:type="dxa"/>
            <w:hideMark/>
          </w:tcPr>
          <w:p w14:paraId="3B8860CA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-4,00</w:t>
            </w:r>
          </w:p>
        </w:tc>
      </w:tr>
      <w:tr w:rsidR="00C97B40" w:rsidRPr="00D97E23" w14:paraId="521CB569" w14:textId="77777777" w:rsidTr="005A7E71">
        <w:trPr>
          <w:trHeight w:val="262"/>
        </w:trPr>
        <w:tc>
          <w:tcPr>
            <w:tcW w:w="2689" w:type="dxa"/>
            <w:hideMark/>
          </w:tcPr>
          <w:p w14:paraId="6A7B7FD6" w14:textId="77777777" w:rsidR="00C97B40" w:rsidRPr="00D97E23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D97E23">
              <w:t>Min; Max</w:t>
            </w:r>
          </w:p>
        </w:tc>
        <w:tc>
          <w:tcPr>
            <w:tcW w:w="1608" w:type="dxa"/>
            <w:hideMark/>
          </w:tcPr>
          <w:p w14:paraId="1EE43326" w14:textId="70EAFC96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-34,08; 74,17</w:t>
            </w:r>
          </w:p>
        </w:tc>
        <w:tc>
          <w:tcPr>
            <w:tcW w:w="1608" w:type="dxa"/>
            <w:hideMark/>
          </w:tcPr>
          <w:p w14:paraId="338AFCB1" w14:textId="01E8F1DE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-30,68; 79,98</w:t>
            </w:r>
          </w:p>
        </w:tc>
        <w:tc>
          <w:tcPr>
            <w:tcW w:w="1608" w:type="dxa"/>
            <w:hideMark/>
          </w:tcPr>
          <w:p w14:paraId="760CDB81" w14:textId="6093905D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-26,78; 65,43</w:t>
            </w:r>
          </w:p>
        </w:tc>
        <w:tc>
          <w:tcPr>
            <w:tcW w:w="1608" w:type="dxa"/>
            <w:hideMark/>
          </w:tcPr>
          <w:p w14:paraId="664DCF75" w14:textId="18161AE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-22,42; 47,50</w:t>
            </w:r>
          </w:p>
        </w:tc>
      </w:tr>
      <w:tr w:rsidR="00C97B40" w:rsidRPr="00D97E23" w14:paraId="675E6B69" w14:textId="77777777" w:rsidTr="005A7E71">
        <w:trPr>
          <w:trHeight w:val="278"/>
        </w:trPr>
        <w:tc>
          <w:tcPr>
            <w:tcW w:w="2689" w:type="dxa"/>
            <w:hideMark/>
          </w:tcPr>
          <w:p w14:paraId="32686B4A" w14:textId="63DE7907" w:rsidR="00C97B40" w:rsidRPr="00D97E23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D97E23">
              <w:t>Stredný odhad (SE)</w:t>
            </w:r>
          </w:p>
        </w:tc>
        <w:tc>
          <w:tcPr>
            <w:tcW w:w="1608" w:type="dxa"/>
            <w:hideMark/>
          </w:tcPr>
          <w:p w14:paraId="6AE8D02B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23,41 (2,50)</w:t>
            </w:r>
          </w:p>
        </w:tc>
        <w:tc>
          <w:tcPr>
            <w:tcW w:w="1608" w:type="dxa"/>
            <w:hideMark/>
          </w:tcPr>
          <w:p w14:paraId="0086FD1B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9,51 (2,49)</w:t>
            </w:r>
          </w:p>
        </w:tc>
        <w:tc>
          <w:tcPr>
            <w:tcW w:w="1608" w:type="dxa"/>
            <w:hideMark/>
          </w:tcPr>
          <w:p w14:paraId="55A8B579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10,42 (2,50)</w:t>
            </w:r>
          </w:p>
        </w:tc>
        <w:tc>
          <w:tcPr>
            <w:tcW w:w="1608" w:type="dxa"/>
            <w:hideMark/>
          </w:tcPr>
          <w:p w14:paraId="4446B36E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-1,30 (3,07)</w:t>
            </w:r>
          </w:p>
        </w:tc>
      </w:tr>
      <w:tr w:rsidR="00C97B40" w:rsidRPr="00D97E23" w14:paraId="42C00662" w14:textId="77777777" w:rsidTr="005A7E71">
        <w:trPr>
          <w:trHeight w:val="278"/>
        </w:trPr>
        <w:tc>
          <w:tcPr>
            <w:tcW w:w="2689" w:type="dxa"/>
            <w:hideMark/>
          </w:tcPr>
          <w:p w14:paraId="2C4B7CED" w14:textId="0E47E04B" w:rsidR="00C97B40" w:rsidRPr="00D97E23" w:rsidRDefault="00C97B40" w:rsidP="005A7E71">
            <w:pPr>
              <w:spacing w:before="40" w:after="40"/>
              <w:ind w:left="180"/>
              <w:rPr>
                <w:sz w:val="20"/>
                <w:szCs w:val="20"/>
                <w:lang w:eastAsia="en-NZ"/>
              </w:rPr>
            </w:pPr>
            <w:r w:rsidRPr="00D97E23">
              <w:t>95</w:t>
            </w:r>
            <w:r w:rsidR="00D97E23" w:rsidRPr="00D97E23">
              <w:t xml:space="preserve"> </w:t>
            </w:r>
            <w:r w:rsidRPr="00D97E23">
              <w:t xml:space="preserve"> 95% interval spoľahlivosti</w:t>
            </w:r>
          </w:p>
        </w:tc>
        <w:tc>
          <w:tcPr>
            <w:tcW w:w="1608" w:type="dxa"/>
            <w:hideMark/>
          </w:tcPr>
          <w:p w14:paraId="67046B82" w14:textId="2312D59A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18,48; 28,34</w:t>
            </w:r>
          </w:p>
        </w:tc>
        <w:tc>
          <w:tcPr>
            <w:tcW w:w="1608" w:type="dxa"/>
            <w:hideMark/>
          </w:tcPr>
          <w:p w14:paraId="2F9D4B25" w14:textId="24994BF0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4,61; 14,40</w:t>
            </w:r>
          </w:p>
        </w:tc>
        <w:tc>
          <w:tcPr>
            <w:tcW w:w="1608" w:type="dxa"/>
            <w:hideMark/>
          </w:tcPr>
          <w:p w14:paraId="40589A04" w14:textId="28030B9C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5,49; 15,35</w:t>
            </w:r>
          </w:p>
        </w:tc>
        <w:tc>
          <w:tcPr>
            <w:tcW w:w="1608" w:type="dxa"/>
            <w:hideMark/>
          </w:tcPr>
          <w:p w14:paraId="2219618C" w14:textId="17E115D9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-7,33; 4,74</w:t>
            </w:r>
          </w:p>
        </w:tc>
      </w:tr>
      <w:tr w:rsidR="00C97B40" w:rsidRPr="00D97E23" w14:paraId="7BB7DB66" w14:textId="77777777" w:rsidTr="005A7E71">
        <w:trPr>
          <w:trHeight w:val="278"/>
        </w:trPr>
        <w:tc>
          <w:tcPr>
            <w:tcW w:w="2689" w:type="dxa"/>
            <w:hideMark/>
          </w:tcPr>
          <w:p w14:paraId="5BC1C53A" w14:textId="77777777" w:rsidR="00C97B40" w:rsidRPr="00D97E23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D97E23">
              <w:t>Odhad rozdielu (SE)</w:t>
            </w:r>
          </w:p>
        </w:tc>
        <w:tc>
          <w:tcPr>
            <w:tcW w:w="1608" w:type="dxa"/>
            <w:hideMark/>
          </w:tcPr>
          <w:p w14:paraId="33B823EE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1608" w:type="dxa"/>
            <w:hideMark/>
          </w:tcPr>
          <w:p w14:paraId="3A471D7B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13,90 (3,53)</w:t>
            </w:r>
          </w:p>
        </w:tc>
        <w:tc>
          <w:tcPr>
            <w:tcW w:w="1608" w:type="dxa"/>
            <w:hideMark/>
          </w:tcPr>
          <w:p w14:paraId="5542BE1D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12,99 (3,54)</w:t>
            </w:r>
          </w:p>
        </w:tc>
        <w:tc>
          <w:tcPr>
            <w:tcW w:w="1608" w:type="dxa"/>
            <w:hideMark/>
          </w:tcPr>
          <w:p w14:paraId="7C8454D8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24,71 (3,96)</w:t>
            </w:r>
          </w:p>
        </w:tc>
      </w:tr>
      <w:tr w:rsidR="00C97B40" w:rsidRPr="00D97E23" w14:paraId="4D6D4D06" w14:textId="77777777" w:rsidTr="005A7E71">
        <w:trPr>
          <w:trHeight w:val="278"/>
        </w:trPr>
        <w:tc>
          <w:tcPr>
            <w:tcW w:w="2689" w:type="dxa"/>
            <w:hideMark/>
          </w:tcPr>
          <w:p w14:paraId="5768DED9" w14:textId="7674573D" w:rsidR="00C97B40" w:rsidRPr="00D97E23" w:rsidRDefault="00C97B40" w:rsidP="005A7E71">
            <w:pPr>
              <w:spacing w:before="40" w:after="40"/>
              <w:ind w:left="180"/>
              <w:rPr>
                <w:sz w:val="20"/>
                <w:szCs w:val="20"/>
                <w:lang w:eastAsia="en-NZ"/>
              </w:rPr>
            </w:pPr>
            <w:r w:rsidRPr="00D97E23">
              <w:t>95</w:t>
            </w:r>
            <w:r w:rsidR="00D97E23" w:rsidRPr="00D97E23">
              <w:t xml:space="preserve"> </w:t>
            </w:r>
            <w:r w:rsidRPr="00D97E23">
              <w:t xml:space="preserve"> 95% interval spoľahlivosti</w:t>
            </w:r>
          </w:p>
        </w:tc>
        <w:tc>
          <w:tcPr>
            <w:tcW w:w="1608" w:type="dxa"/>
            <w:hideMark/>
          </w:tcPr>
          <w:p w14:paraId="6D3A2257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1608" w:type="dxa"/>
            <w:hideMark/>
          </w:tcPr>
          <w:p w14:paraId="6A4458F1" w14:textId="310FE5D2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6,95; 20,85</w:t>
            </w:r>
          </w:p>
        </w:tc>
        <w:tc>
          <w:tcPr>
            <w:tcW w:w="1608" w:type="dxa"/>
            <w:hideMark/>
          </w:tcPr>
          <w:p w14:paraId="5B1500C6" w14:textId="49F087C6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6,02; 19,96</w:t>
            </w:r>
          </w:p>
        </w:tc>
        <w:tc>
          <w:tcPr>
            <w:tcW w:w="1608" w:type="dxa"/>
            <w:hideMark/>
          </w:tcPr>
          <w:p w14:paraId="4FCB82FF" w14:textId="2B9592A5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16,92; 32,50</w:t>
            </w:r>
          </w:p>
        </w:tc>
      </w:tr>
      <w:tr w:rsidR="00C97B40" w:rsidRPr="00D97E23" w14:paraId="4D72439D" w14:textId="77777777" w:rsidTr="005A7E71">
        <w:trPr>
          <w:trHeight w:val="262"/>
        </w:trPr>
        <w:tc>
          <w:tcPr>
            <w:tcW w:w="2689" w:type="dxa"/>
            <w:hideMark/>
          </w:tcPr>
          <w:p w14:paraId="7530B798" w14:textId="58F078B9" w:rsidR="00C97B40" w:rsidRPr="00D97E23" w:rsidRDefault="00C97B40" w:rsidP="005A7E71">
            <w:pPr>
              <w:spacing w:before="40" w:after="40"/>
              <w:ind w:left="180"/>
              <w:rPr>
                <w:sz w:val="20"/>
                <w:szCs w:val="20"/>
                <w:lang w:eastAsia="en-NZ"/>
              </w:rPr>
            </w:pPr>
            <w:r w:rsidRPr="00D97E23">
              <w:t>p--</w:t>
            </w:r>
            <w:r w:rsidR="00D97E23" w:rsidRPr="00D97E23">
              <w:t xml:space="preserve">   </w:t>
            </w:r>
            <w:r w:rsidRPr="00D97E23">
              <w:t>p-hodnota</w:t>
            </w:r>
          </w:p>
        </w:tc>
        <w:tc>
          <w:tcPr>
            <w:tcW w:w="1608" w:type="dxa"/>
            <w:hideMark/>
          </w:tcPr>
          <w:p w14:paraId="690028F1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1608" w:type="dxa"/>
            <w:hideMark/>
          </w:tcPr>
          <w:p w14:paraId="462FA6F4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&lt;0,001</w:t>
            </w:r>
          </w:p>
        </w:tc>
        <w:tc>
          <w:tcPr>
            <w:tcW w:w="1608" w:type="dxa"/>
            <w:hideMark/>
          </w:tcPr>
          <w:p w14:paraId="2D24ACB8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&lt;0,001</w:t>
            </w:r>
          </w:p>
        </w:tc>
        <w:tc>
          <w:tcPr>
            <w:tcW w:w="1608" w:type="dxa"/>
            <w:hideMark/>
          </w:tcPr>
          <w:p w14:paraId="7302CCA8" w14:textId="77777777" w:rsidR="00C97B40" w:rsidRPr="00D97E23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D97E23">
              <w:rPr>
                <w:sz w:val="20"/>
                <w:szCs w:val="20"/>
                <w:lang w:eastAsia="en-NZ"/>
              </w:rPr>
              <w:t>&lt;0,001</w:t>
            </w:r>
          </w:p>
        </w:tc>
      </w:tr>
    </w:tbl>
    <w:p w14:paraId="3398BE2B" w14:textId="77777777" w:rsidR="00C97B40" w:rsidRPr="00D97E23" w:rsidRDefault="00C97B40" w:rsidP="00C97B40">
      <w:pPr>
        <w:rPr>
          <w:szCs w:val="22"/>
        </w:rPr>
      </w:pPr>
    </w:p>
    <w:p w14:paraId="40D4A27E" w14:textId="77777777" w:rsidR="00F144AE" w:rsidRPr="00D97E23" w:rsidRDefault="00F144AE" w:rsidP="00F144AE">
      <w:pPr>
        <w:rPr>
          <w:b/>
          <w:bCs/>
          <w:szCs w:val="22"/>
          <w:lang w:eastAsia="en-US"/>
        </w:rPr>
      </w:pPr>
    </w:p>
    <w:p w14:paraId="1D42EDC5" w14:textId="7993FE4D" w:rsidR="00021669" w:rsidRPr="00D97E23" w:rsidRDefault="00C97B40" w:rsidP="00F4553A">
      <w:pPr>
        <w:rPr>
          <w:b/>
          <w:bCs/>
          <w:szCs w:val="22"/>
          <w:lang w:eastAsia="en-US"/>
        </w:rPr>
      </w:pPr>
      <w:r w:rsidRPr="00D97E23">
        <w:rPr>
          <w:b/>
          <w:bCs/>
          <w:szCs w:val="22"/>
          <w:lang w:eastAsia="en-US"/>
        </w:rPr>
        <w:t xml:space="preserve">Obrázok 1: </w:t>
      </w:r>
      <w:r w:rsidR="00F4553A" w:rsidRPr="00D97E23">
        <w:rPr>
          <w:b/>
          <w:bCs/>
          <w:szCs w:val="22"/>
          <w:lang w:eastAsia="en-US"/>
        </w:rPr>
        <w:t>Časovo upravený S</w:t>
      </w:r>
      <w:r w:rsidRPr="00D97E23">
        <w:rPr>
          <w:b/>
          <w:bCs/>
          <w:szCs w:val="22"/>
          <w:lang w:eastAsia="en-US"/>
        </w:rPr>
        <w:t>PID</w:t>
      </w:r>
      <w:r w:rsidRPr="00D97E23">
        <w:rPr>
          <w:b/>
          <w:bCs/>
          <w:szCs w:val="22"/>
          <w:vertAlign w:val="subscript"/>
          <w:lang w:eastAsia="en-US"/>
        </w:rPr>
        <w:t>48</w:t>
      </w:r>
      <w:r w:rsidR="00B3076D" w:rsidRPr="00D97E23">
        <w:rPr>
          <w:b/>
          <w:bCs/>
          <w:szCs w:val="22"/>
          <w:lang w:eastAsia="en-US"/>
        </w:rPr>
        <w:t xml:space="preserve"> </w:t>
      </w:r>
      <w:r w:rsidR="00F144AE" w:rsidRPr="00D97E23">
        <w:rPr>
          <w:b/>
          <w:bCs/>
          <w:szCs w:val="22"/>
          <w:lang w:eastAsia="en-US"/>
        </w:rPr>
        <w:t xml:space="preserve">až do prvej dávky </w:t>
      </w:r>
      <w:r w:rsidR="00F4553A" w:rsidRPr="00D97E23">
        <w:rPr>
          <w:b/>
          <w:bCs/>
          <w:szCs w:val="22"/>
          <w:lang w:eastAsia="en-US"/>
        </w:rPr>
        <w:t>záchranného lieku</w:t>
      </w:r>
    </w:p>
    <w:p w14:paraId="2BA85E2B" w14:textId="10D6289C" w:rsidR="00021669" w:rsidRPr="00D97E23" w:rsidRDefault="00021669" w:rsidP="00C97B40">
      <w:pPr>
        <w:rPr>
          <w:b/>
          <w:bCs/>
          <w:szCs w:val="22"/>
          <w:lang w:eastAsia="en-US"/>
        </w:rPr>
      </w:pPr>
      <w:r w:rsidRPr="00D97E2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0A538" wp14:editId="1634300A">
                <wp:simplePos x="0" y="0"/>
                <wp:positionH relativeFrom="column">
                  <wp:posOffset>-4445</wp:posOffset>
                </wp:positionH>
                <wp:positionV relativeFrom="paragraph">
                  <wp:posOffset>163195</wp:posOffset>
                </wp:positionV>
                <wp:extent cx="5788025" cy="4324350"/>
                <wp:effectExtent l="0" t="0" r="3175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4324350"/>
                          <a:chOff x="0" y="0"/>
                          <a:chExt cx="5788025" cy="43243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4076700"/>
                            <a:ext cx="5740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BF187" w14:textId="6BE6DD49" w:rsidR="0011764F" w:rsidRPr="00B76265" w:rsidRDefault="0011764F" w:rsidP="00021669">
                              <w:pPr>
                                <w:tabs>
                                  <w:tab w:val="left" w:pos="3402"/>
                                  <w:tab w:val="left" w:pos="5103"/>
                                  <w:tab w:val="left" w:pos="7371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ab/>
                              </w:r>
                              <w:r w:rsidR="00D97E23"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DE0512">
                                <w:rPr>
                                  <w:sz w:val="18"/>
                                </w:rPr>
                                <w:t>Paracetamol/Ibuprofén Vale</w:t>
                              </w:r>
                              <w:r w:rsidRPr="00B76265">
                                <w:rPr>
                                  <w:sz w:val="18"/>
                                </w:rPr>
                                <w:tab/>
                              </w:r>
                              <w:r w:rsidRPr="00B76265">
                                <w:rPr>
                                  <w:sz w:val="18"/>
                                  <w:lang w:val="cs-CZ"/>
                                </w:rPr>
                                <w:t>Ibuprofén</w:t>
                              </w:r>
                              <w:r w:rsidRPr="00B76265">
                                <w:rPr>
                                  <w:sz w:val="18"/>
                                </w:rPr>
                                <w:tab/>
                                <w:t>Acetamino</w:t>
                              </w:r>
                              <w:r>
                                <w:rPr>
                                  <w:sz w:val="18"/>
                                </w:rPr>
                                <w:t>fén</w:t>
                              </w:r>
                              <w:r w:rsidRPr="00B76265">
                                <w:rPr>
                                  <w:sz w:val="18"/>
                                </w:rPr>
                                <w:tab/>
                                <w:t>Placebo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47625"/>
                            <a:ext cx="314959" cy="402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CC370F" w14:textId="7DA26E96" w:rsidR="0011764F" w:rsidRPr="00021669" w:rsidRDefault="0011764F" w:rsidP="00021669">
                              <w:pPr>
                                <w:tabs>
                                  <w:tab w:val="left" w:pos="3402"/>
                                  <w:tab w:val="left" w:pos="5103"/>
                                  <w:tab w:val="left" w:pos="7371"/>
                                </w:tabs>
                                <w:ind w:firstLine="1418"/>
                                <w:rPr>
                                  <w:rFonts w:asciiTheme="minorHAnsi" w:hAnsiTheme="minorHAnsi" w:cstheme="minorHAnsi"/>
                                  <w:sz w:val="19"/>
                                  <w:szCs w:val="19"/>
                                </w:rPr>
                              </w:pPr>
                              <w:r w:rsidRPr="00B76265">
                                <w:rPr>
                                  <w:sz w:val="19"/>
                                  <w:szCs w:val="19"/>
                                  <w:lang w:val="cs-CZ"/>
                                </w:rPr>
                                <w:t>Časovo upravený SPID (mm)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L:\Maxigesic\Maxigesic IV\AFT-MXIV-07\Data Management\AdClin\AdClin Reporting\15. AFT-MXIV-7 Reporting 2018-10-05-Final update\2018-10-05-AFT-MXIV-7\2018-10-05-AFT-MXIV-7\HTML Output\Figure 3.1.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5" t="5973" b="6417"/>
                          <a:stretch/>
                        </pic:blipFill>
                        <pic:spPr bwMode="auto">
                          <a:xfrm>
                            <a:off x="342900" y="333375"/>
                            <a:ext cx="542607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40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582DC" w14:textId="5B7959C4" w:rsidR="0011764F" w:rsidRPr="00B76265" w:rsidRDefault="0011764F" w:rsidP="00021669">
                              <w:pPr>
                                <w:tabs>
                                  <w:tab w:val="left" w:pos="2977"/>
                                </w:tabs>
                                <w:ind w:firstLine="141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  <w:r w:rsidRPr="00B76265">
                                <w:rPr>
                                  <w:sz w:val="20"/>
                                  <w:szCs w:val="20"/>
                                  <w:lang w:val="cs-CZ"/>
                                </w:rPr>
                                <w:t>Stredný odhad a 95% interval spoľahlivosti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-.35pt;margin-top:12.85pt;width:455.75pt;height:340.5pt;z-index:251659264" coordsize="57880,4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PkT0AQAAFsPAAAOAAAAZHJzL2Uyb0RvYy54bWzkV11v2zYUfR+w/0Do&#10;XbEkS5YtRCkc2+kCJEvQZt0e/EJLtERUEjmSjpwO+++7l5I/6nRo0GJrsTmIzc+ry3Mvz7k6f7Wt&#10;K/LIlOaiSR3/zHMIazKR86ZInV8ertyxQ7ShTU4r0bDUeWLaeXXx4w/nrUxYIEpR5UwRMNLopJWp&#10;Uxojk8FAZyWrqT4TkjUwuRaqpga6qhjkirZgva4GgeeNBq1QuVQiY1rD6LybdC6s/fWaZeZuvdbM&#10;kCp1wDdjv5X9XuH34OKcJoWisuRZ7wb9Ai9qyht46N7UnBpKNoo/M1XzTAkt1uYsE/VArNc8Y/YM&#10;cBrfOznNayU20p6lSNpC7mECaE9w+mKz2c+P94rwPHUihzS0hhDZp5IIoWllkcCK10q+lfeqHyi6&#10;Hp52u1Y1/sI5yNaC+rQHlW0NyWAwisdjLwDrGcyFwyAcRj3sWQmxebYvKxef2TnYPXiA/u3daSWk&#10;kD6gpL8OpbcllcyCrxGDHqXAj3c4PeAJL8WWBB1UdhniRMwWhuE22IzQ8kZk7zVpxKykTcGmSom2&#10;ZDQH/3zcCafYb0XIdaLRyKq9FTmEg26MsIZOwA7jEaKKoHrxKPZ6UA+wh14Igxb2ABZ3qO+xo4lU&#10;2rxmoibYSB0Fd8U+hz7eaIN+HZZgjLWoeH7Fq8p2VLGaVYo8UrhXV/Zjj3KyrGpImzqTCBzFXY3A&#10;/WCaJjU3cO8rXqfO2MMPbqcJ4rJocts2lFddGzypmh4oxKZDyWxXW1iIgK1E/gSQKdHdb+AjaJRC&#10;fXBIC3c7dfTvG6qYQ6rrBmCf+GGIZGA7YRQH0FHHM6vjGdpkYCp1jEO65sxYAulONIXwrLnF6+BJ&#10;7ytkY+ffP56Ww+8vKW162kDuUnLoh5No0hOBF0y82JLMfywlLZnai33Ih5PMxPwMYki6b56ckmcJ&#10;/PfKAq1nnPl5BYZdZoOXq1Px+kU2aqreb6QLIiip4StecfNkBR2IAp1qHu95hjcdO0f0u8tzmMWH&#10;AveSnOkMLuRNsrylW14wzbNDi1y/W06vHtzb367fuV68tMJ8SxtasJo1ZjnNZxVv+h/yhkmhDNQR&#10;Sz86I/t98WGCgEyPXd9zvci94g2tyEbm1LDl0fhh39+M/vRwe0PuNkZuzPKKF3iO4ZkPf7IpkAd3&#10;Z+4QABrm2YmGaAlsvdOPj5cPsPsRfKuKSyRezMJfuSmtsu3kCSf7yAGIJ2XFJ4LflSxzkW0Qv64G&#10;U6yCIIpGl1xqoNKE1SuWg6Rc550GAgOApiBhIhfYuuiPYDz1vElw6c4ib+aChi3c6SSM3dhbxCBd&#10;Y3/mz/5E2fDDZKMZAECrueS9rzD6zNtPFkF9udiVV7ZM60TLCg5QDzhkpW7nIgwhJOirVtkbgBlL&#10;xygErsLqMZrEwLWr1BmFUAlYetNGMZOV0LbQ79DuwvgiKR+GQIZAB6DlQ/h0tNhhZSuoMBghV1op&#10;H8axj4vxcbs66CDUL9TyIyFGYT1SZrDZjezwOA5ZNByFELKRO53OYzcM52P38hJas9liEg79URgt&#10;9iHTJc1Fe7fSGaR3/vVR6877LFqY7F1JYMGH7r+kuOGOib5xGdilzf+y+LNKuy++v+ca0L6owBuc&#10;vbP92yYq0XEf2sfvxBd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CLlGt8A&#10;AAAIAQAADwAAAGRycy9kb3ducmV2LnhtbEyPQUvDQBCF74L/YRnBW7ubShuNmZRS1FMRbAXxts1O&#10;k9Dsbshuk/TfO570NDze48338vVkWzFQHxrvEJK5AkGu9KZxFcLn4XX2CCJE7YxuvSOEKwVYF7c3&#10;uc6MH90HDftYCS5xIdMIdYxdJmUoa7I6zH1Hjr2T762OLPtKml6PXG5buVBqJa1uHH+odUfbmsrz&#10;/mIR3kY9bh6Sl2F3Pm2v34fl+9cuIcT7u2nzDCLSFP/C8IvP6FAw09FfnAmiRZilHERYLPmy/ZQo&#10;XnJESNUqBVnk8v+A4gcAAP//AwBQSwMECgAAAAAAAAAhAOm9dRuPbAAAj2wAABQAAABkcnMvbWVk&#10;aWEvaW1hZ2UxLnBuZ4lQTkcNChoKAAAADUlIRFIAAAUAAAADwAgCAAAA5b5DLgAAAAlwSFlzAAAd&#10;hwAAHYcBj+XxZQAAIABJREFUeJzs3XmAVNWdN/zTezerrbKKiqBEjUYJDq6jhmAUCbg9RsAlwRgy&#10;gGKMqInhQVyCGkdJ3FAfxzCDIpEhxCUSxfHNEGQIwiCiQTQi+6rptM3S0Eu9f9zHenp6oxq6qpH7&#10;+fzj4dxT9/7qVlXb3z63zs1atGhRAAAAgANddksXAAAAAJmQG/2nT58+LVsHAAAApMnixYuDGWAA&#10;AABiQgAGAAAgFgRgAAAAYkEABgAAIBYEYAAAAGJBAAYAACAWBGAAAABiQQAGAAAgFgRgAAAAYkEA&#10;BgAAIBYEYAAAAGJBAAYAACAWBGAAAABiQQAGAAAgFgRgAAAAYkEABgAAIBYEYAAAAGJBAAYAACAW&#10;BGAAAABiQQAGAAAgFgRgAAAAYkEABgAAIBYEYAAAAGJBAAYAACAWBGAASLvKyspf/vKXZ555ZqtW&#10;rfLz89u1a3fppZe+9dZbLV3Xgew3v/nNySefnJ+f36ZNm+uvv76pDz/ooIMOPvjgdBRGBnj5gIYI&#10;wABNc8opp2RlZRUWFt566617HPz4448XFhZmZWWdcsopGahtX3zta1/LakCnTp2a6yiDBw/Oz8+/&#10;8MILm2uHXwrl5eXnnHPOTTfdNH/+/J07d1ZUVJSVlc2aNeuss856/vnnm7Sr9evXjx079oQTToiC&#10;dM+ePX/84x9v3ry51rCjjjoqxZfy7bff/uY3v9mqVavCwsLTTz/99ddfr3vQrVu3Hn744ccee2zq&#10;db711lvf/e53Dz/88Pz8/FatWp166ql33333Z5991qQnuy9ef/31IUOGLF26tKKiYvv27U899VTU&#10;n/o7sLS0tKSkJM1lZkiHDh3ilgYPpJcPaGaLFi1atGhRAoDU1PwR+tFHHzUycteuXa1bt04OzliF&#10;e6eR/1N07ty5uY6Sl5cXQsjLy2uuHX4p3HXXXSGEnJycxx57rKKiIpFIzJs374gjjgghdO3aNfX9&#10;vPbaa23btq37AnXs2PH999+vObKhl7Jbt241hy1durSoqKjWmLlz59Y67mWXXRZCmDVrVipFlpWV&#10;XX755fUevbi4ePbs2ak/331x0UUXhRBGjx5dUVFRUVHx8ssvR/2pvwO/FB/bFB1IzyVFMXzKwB5F&#10;ydcMMMDeOPvss0MITzzxRCNjnnnmme3bt5977rkZqqk51Ps/jI0bNzZ1Pw1df9i/f/+8vLwLLrig&#10;OYptspa6KvLNN98MIVxxxRWjRo3Kzc0NIZx55pn33XdfCGHDhg2VlZWp7GTlypUXX3xxWVnZ9773&#10;vRUrViQSiaqqqjfffLN3795btmz5zne+U/chdV/KtWvX1hxw77337ty5M5kSR48eHUK4//77a46Z&#10;MWPGzJkzhw0bdvHFF++xyN27d5933nkzZsw44ogjJk+e/OmnnyYSiV27dr322muDBg0qKSkZMmRI&#10;Kk9230Xn/O67787Nzc3Nzf32t78d9bfsO/BLzUXFwIEha9GiRSGEPn36tHQlAF8OWVlZIYR/+7d/&#10;u+aaa4qLizdt2pSfn1/vyK997WvLli2bOXNmNIGWaHSWtcVFz6u5imzevTWXlqqqS5cumzZtGjly&#10;5OOPP57s/O1vf3vZZZfl5OTs3r07O3vPf4++/vrrH3vssWuvvfZf/uVfavaXlJR87WtfW7du3csv&#10;v5yMeSk+04MOOmjbtm3l5eVRLK+srCwsLGzVqtXnn38eDdi6devxxx+fnZ39l7/85ZBDDtljkT/5&#10;yU/uv//+Pn36zJkzp7i4uNbWl1566aabbvr444/3uJ99t++v9f75Ht47zfJcvlwn5MtVLZAZixcv&#10;Dr4DDLB3hg4deuihh5aUlEydOrXeAX/605+WLVvWtWvXVObNOLCdeeaZIYQFCxYke3bv3j1x4sQQ&#10;wsUXX5xK+g0h/P73vw8h3HbbbbX6i4uLb7zxxhDCrFmzmlpYaWlpq1atovQbQsjNzW3VqlV5eXly&#10;wMiRIz/99NMnn3wylfS7cePGhx56KC8v74UXXqibfkMIgwcPzkz6BYCGCMAAeyM3N/e73/1uCGHy&#10;5Mn1Dojm+q677rpG4s369et/9KMfHXXUUdFCQd/85jdnzJhRd9jnn3/+0EMPnXfeee3atUsuIPzO&#10;O+/UGtauXbvBgweHEBYvXjx06NB27doVFhYeeeSRY8eObd7FYN59992rr776oIMOior5zne+U7OY&#10;gw46KJp7CSHUXXup7lWUybJfeeWVb3zjG9EM5Le//e3kPl9//fVzzjkn6r/00kv/+te/1qonlfPT&#10;eFUh5dei8efekBEjRoQQlixZ8tvf/jY61nnnnbd48eKuXbs+9thje3x4ssIQQq9evepu+sY3vhFC&#10;eO+991LcVVLr1q137NiRvAa7srJyx44dhYWF0T+bdPFzCOH555+vqKj47ne/26NHjxQLqK6ufuKJ&#10;Jy644ILotYuWy7rzzjvrLpeV+tu77mvdoUOHmlvrXsf75z//efDgwdE+v/71rzf0V61Iim+Vpn4e&#10;N2/efOuttx5//PH5+fmFhYU9e/YcPnz422+/vReHTtG+nNK9+/gkj/jQQw916dIlPz//vPPOCyFE&#10;z/qhhx6q+5A777wzPz//yiuvTPak+POwrr378AIHIItgATRJ9MMzkUgsX748+YO01ph169bl5OTk&#10;5OSsWbMm0cByLPPnz693luzGG2+sNbJ79+51h+Xl5c2fP79WYf3797/99tvrDu7Ro8ff/va3FJ9X&#10;4958881oGaGa2rZtmxzQvn37ugV07NixoaNEZUdzmDUVFRUtXbq0bn9xcXF0Vpt0fhqvKsXXYo/P&#10;vRGDBg2KjnjfffdFS6OddtppGzZsSOWxkWi1qrKysrqbdu3aFUJo3759zbMaUng1Bw4cGL5YKaqq&#10;quqWW24JIVx++eWJRGLLli2HHnpox44do+/xpuKSSy4JISSXm9qjDRs2nHTSSXVPe3SiFixYUHNw&#10;SPntXfe1PvTQQ2vup9aZmT59et19Jr+rXKvm1D+2qRfcyG5rvqapH7quep/LvpzS0PSPT/KI0d+D&#10;ItFqZNGXz0888cS6lUd/THnwwQeTPan/PKz5lPflwwscMKLkKwADNE3N36vOOuusEMJ1111Xa8yE&#10;CRNCCAMHDqz7kEhZWVnHjh1DCOPGjVu3bl0ikdi1a9eUKVOizlor5Xbt2vXGG2+cO3duVVVVIpFY&#10;s2ZNlDSS+08eJScnJ/rlddq0aVGkmTlzZvS76e23357682pE7969o7K3b9+eSCQ2bNjw4IMPfuUr&#10;X0lxb3X7k2WfdtppS5cuTSQSS5YsiVZILigoiPqXLFkS9Ue/DY8ePXovzk9DVaX+WqT43Ou1adOm&#10;5JLgbdu2rfkLfYpOO+20EMIjjzxS79bodNV6pkVFRXl5eXl5eZ07dx4yZEjd5Z1nz55dKxIUFRUt&#10;W7YskUhEKzmnuPJzJDpjKQbmqqqqKP0ed9xx06dP37VrVyKR2LVr1+zZs6N1SWpl76a+vVN8B27Y&#10;sCH6y8INN9wQHW7BggXREnf7+LFNveCysrLOnTuHEK666qpoYfmqqqq5c+eOHDmye/fue3HoPT7r&#10;ZjylTT0n0afgkksu2bJlS0VFxWuvvZZIJObNmxftPHrvJS1cuDAqMtpzJPWfhzWr3ZcPL3DAEIAB&#10;9kbN36umTJkSQsjLyystLU0OqKqq6tatWwhhzpw5dR8SiVYAnjhxYq2dv/jii+GLKbhG/O1vfwt1&#10;pi+io5x//vk1i0kkEk8++WQUM1J5XnUl53ki0SxK9KvnHveWSn/Uc8kll0T3B4rMnDkz6r/oooui&#10;aBSJAlsyFTSk3vPTUFWpvxYpPve6Nm3a1K9fv+Qpveyyy2oNuOiii/Ly8hqfO33wwQdDCEVFRffd&#10;d9+mTZsSiURVVdXy5csnT54cZeOat/aJ/nZQV91JuRdffLFv3755eXkFBQX9+/eP/tbwwgsvhBCG&#10;DRvWpKcZHTTFwc8880z0tqw7p11RURHFlQkTJiQ7m/r2TvEdOH78+OhtVmvYDTfcsI8f29QLjr4N&#10;PmDAgLrV7t2h66r3bDTLKd2Lc3LuuefWrTD621at1H3zzTeHEPr379/4s2vk52Hyn3v94QUOJAIw&#10;wN6o+XtVRUVFNFtSc0IvuqKyR48e9T4kEt0bqdbvnYlEoqqqqt7kVm8ZOTk5dQvbuXNnrZHR9bFF&#10;RUWpPK+6al4+mkgkolm7kSNH1sylDe0tlf6op2b6TdYcQqh1lKg/xZu41jo/DVWV+muR4nOvZc2a&#10;NV27dg0hnHbaacnLTW+66aaaY6K/mLz44ouN7KeqqmrAgAENvUy1XuItW7aUlZVFv+5XVFTMmzcv&#10;meimTZvWeMFbtmzp2LFjcgJ24cKF/fr1KyoqKigoOO2006Ipu3pF04mpnJPEF1dfT58+vd6tUXw6&#10;44wzkj1NfXun+A6MLuJI/q2q8T006WObesHRbhs5sU09dCrPpUkVNrKTvTgn0Z9vaomumqn1t63o&#10;czFlypRGn9z/3XO9Pw+T/9y7Dy9wgBGAAfZGrd+rbrrpphDCMccck+yJfqW+7777GnpI4ovvczak&#10;1m9yVVVVU6ZMueyyyzp37lxrZq+RwlLc1KQxiURi7ty50UWMHTt2vOmmmxYuXNikvaVedur9KZ6f&#10;hvaZ+muR4nOvJbqg96yzzoqSRvJbzQ888ECy/mh6Kpp9bdyUKVMGDBjQunXrnJycoqKi3r1733zz&#10;zcuXL4+uc278sXfddVcI4eyzz258WHTx88yZMxOJxNKlS+uen7qXUkeikSkGjLZt2zYyuG4Ga+rb&#10;O8X3T1Rzrb+/NLSHJn1sUy84elM1ft6adOhUnkuTKmyks7nOyUcffRRtTX6souuiCwoKakX0vft5&#10;uHcfXuAAIwAD7I1av1cll8KKJpGWLl0aQsjLy9uyZUtDD0l8MVfWkK9+9avJkX/729/69u3b0MhG&#10;CktxU5PGRD7++ONrr702uaLMiSeeWPebog3tLfWyU+xP/fw0tM/UX4sUn3tNb775ZjRy+fLlyc5h&#10;w4ZFnZMmTUp8cV33vqzHs2XLlhDCJZdc0viw0tLSsKdrAaKLn4cMGRL9M1oLKlolq6KiIlqsqO6X&#10;qyPRC/Hmm2+mUvMep4tDfd9qbmhkiq913f5Gyqi7hya9VVIvOJWZ8yYdOpXn0qQKG+lsrnOSSCTO&#10;OOOMUOPiiOjNds0119Qcsy8/D5v64QUOPAIwwN6o+3tV9HvboEGDEonEyJEjQwhXXXVV4w+Jpk1S&#10;OVy0Yupxxx33wgsvRMu3NLTPpv46uxdjatq+ffuzzz4bXQAZQpg8eXIqe0u97BT7Uz8/DXWm/lok&#10;Nf7ca5o0aVIIoXXr1rX6k4sMT5gwIbpkoNZF0U0ybdq0EMJdd921x5Gh0QvIa138nEgk2rdvn5OT&#10;k5wgraioyMnJaSirR6/FHpdbizQ+XRzNANc8UFPf3im+f6I4VG8Z+/KxbVLB0W4b/3rqXrxL91hM&#10;s5zS5joniUTikUceCSFEFzJUVVVFy2jVujJ8338epv7hBQ48AjDA3qj7e1W0nE9OTs77778fXZI3&#10;b968xh8STWLUWvK0XtFlezUXQW1on039dXYvxtTr2WefTf7ause9pV52iv2pn5+GOlN/Leqq97nX&#10;9MADD4QQCgoK6sab6667LnyhdevWdZ9C6qJFsFasWNH4sOgq05qX69dS8+LnSKgzNd22bduGIvSc&#10;OXNCCMXFxXu851ay5oa+9hytglZzbapmSWt1+0888cTQwEXd+/KxbVLB0Ypfjc+c78u7tKFimuWU&#10;Ntc5SSQSn376aTSf/Mc//jF6L3Xt2rXWmGb5eRjZ44cXOPBEyTc7ALBvrr766vbt21dVVQ0aNGjX&#10;rl0nnnjimWee2fhDvvWtb4UQounBxu3evTuEcMghh9TsfOutt/ah3mY2dOjQEEJJSUnNzmhi7fPP&#10;P0/30Zt0fuqtKvXXoq56n3tNxx57bAhh165dTz/9dK1N/+f//J/kxZw9evTIz8/fiwJCCD//+c8X&#10;LFgwcODAXr16NT7y7rvvDiFcfPHF9W6dMWPGjBkzhgwZcumllyY7W7duvWPHjsrKyuiflZWVO3bs&#10;KCwsrHcP/fv37927d0lJydChQ8vLy+sOeP3115NFRqd9/PjxdUdu27YtWhIpur1NWp1++ukhhOhv&#10;WDVdffXVdQfvy1ulEdFsZDT/WdPixYuPP/74tB66SZr941PLIYcccuGFF4YQpk2b9pvf/CZ88fmq&#10;qRl/Hu7xwwscsMwAAzRJ9MOzVmdyZaMQwmOPPbbHh2zYsCFaBOjyyy9fuHBhND24a9eul19+efTo&#10;0TUnJaLrYy+//PINGzYkEol169aNGzcu+b27PRa2x01NGpNIJLp163bzzTfPnz8/qnnVqlXXXntt&#10;qLO00nHHHRdCuPHGG6uqqioqKpK3A0297BT7Uz8/DVWV+muR4nOvqaqq6phjjgkh5OXlTZw4MVr/&#10;dufOnS+88EJ05Xz44nbHHTt2bHwV6EQiMXr06JkzZ0ZfL6+qqpo/f340Z1tcXLxq1arksCOOOOKW&#10;W26ZM2dOdGVvVVXVvHnzLrvsslDn5rpJn376aa2LnyPRWs3Rd4CrqqpuueWW0OhNd5YvXx6dzOOO&#10;O27KlCnR4sBVVVVz5sy56KKLQgjt27dPHvHQQw8NIfTu3Xv27NlRqTt37pw+ffpXv/rVEELfvn1r&#10;7rmpb+8U3z9LliyJesaNGxfdkGn+/PnJ20rt9ce2SQV/9NFH0Xvge9/7XjSNX1paet9997Vu3Tr5&#10;LegmHXofT1FDm/bx49P4ESPREvrFxcXt27cP9S0Lt9c/D/fiwwsceFwCDbA36v0d7v3334/6i4qK&#10;6t7XtN6HzJkzJ/rFsa6at9794x//mFy1Jalz587RpZt7PMoeN9Uas8d6oksQaykuLl66dGnNvUW3&#10;Nk1KXjS7x99Tm9qf+vlppKoUX4sUn3stK1asOOKII+rdebdu3WbPnr18+fIoJIc6N52qpe4zDSF0&#10;7dq11pK2UXio93ANLTRd9+LnSLRAV01FRUWNX++6aNGihp5vx44da36lc968eVEGrqtv3741l5FL&#10;pC0AJxKJ2267rW4B48ePj8J/rYen+FZpasHTp0+vdzWpmt/rTv3Q+3iKGtq0jx+fxo8YqaioSH7K&#10;TjzxxLoD9vrn4d59eIEDjAAMsDfat2+fnMWqacCAATk5OTfffHPqD1mzZs0tt9xy0kknFRUVRWsL&#10;DRw4cOLEidHkRtKSJUsuueSS6M43PXr0uPnmm7ds2XLVVVfV2mfbtm3rPUrjm5Kiabc9/ha7cOHC&#10;a6+9tkePHnl5eTk5Occcc8zo0aPr/f7qxIkTjzjiiJycnPbt299www0NVdJQbQ311z2ZKZ6fRqpK&#10;pPZapP7caykrK5s4ceJZZ52V3PmgQYOefPLJ5NpLO3fuvP3229u2bXvcccc1sp9Zs2YNHDiwbdu2&#10;0T2Qzj777AceeKDuH1xWrFgxbty45OGKior69+8/adKkmosG1RR94Ta58nMtL774Yt++ffPy8goK&#10;Cvr375/KvZp27tz5yCOPDBgwIFlqv379Jk2aVLfUTz/9dPz48X369Kl5Zp5++um6X5lu6tu7oQ9d&#10;vYOnTZtW8zlGXwm+/PLL613uK8WPbVMLXrp06TXXXHPooYdGb84hQ4bMnz9/7w5dV71nYy9+YuzL&#10;x6fxIybdcsstOTk5eXl5DS1PtXc/D/f6wwscSKLkm7Vo0aIQQnSXQgAgbo4//vjt27f/93//d62v&#10;VgLAgWTx4sUhhNyWLgMAaEl/+ctfWroEAMgQq0ADAAAQCwIwAAAAsSAAAwAAEAsCMAAAALEgAAMA&#10;ABALAjAAAACxIAADAAAQCwIwAAAAsSAAAwAAEAsCMAAAALEgAAMAABALAjAAAACxIAADAAAQCwIw&#10;AAAAsSAAAwAAEAsCMAAAALEgAAMAABALAjAAAACxIAADAAAQCwIwAAAAsSAAAwAAEAsCMAAAALEg&#10;AAMAABALAjAAAACxIAADAAAQCwJwPaqrq5944okLLrigXbt2+fn57dq1u/LKK9999916B69evXrU&#10;qFFdunQpLCxs06bNhRde+MYbb2S4YAAAAPYoa9GiRSGEPn36tHQl+5FTTz114cKFtTqLior+4z/+&#10;4/TTT6/Z+c477/Tr16+kpKTW4GeeeWb48OHprRIAAIDULF68OJgBrteaNWtuu+22+fPnV1VVJRKJ&#10;RYsW9e3bd+fOnbfeemvNYdXV1cOGDSspKRk2bNiqVasSicSmTZtGjx4dQhg5cuTmzZtbqHwAAADq&#10;YQY4JatXr+7evXtBQUF5eXmy86WXXrrooov69u375z//uebgf/zHf5w3b94DDzwwduzYjFcKAABA&#10;bdEMcG5Ll/HlcPjhh4cQsrP/x4T5jBkzQghjxoypNXjUqFHz5s1bsGBBijtfs2ZNaWlpQUFBmzZt&#10;mqNYAACAA8ru3bsTicRRRx21j/sRgFPy+uuvhxDOPPPMmp3Lly8PIdT6VnAIoXfv3iGEt99+O8Wd&#10;l5aW7t69e/fu3WVlZc1QKwAAwIFIAE67ysrK559/fuzYsQUFBRMnTqy56YMPPgghdO/evdZDjj76&#10;6BDCZ599luIhcnJyQggFBQWHHHLIvhcMAABwgCkrK2uW+UIBuEEdOnT49NNPo/ZXvvKV11577eST&#10;T645YPfu3aHOddEhhNzc3OTWVEQBOD8/v0uXLvtYMwAAwIEnkUg0SwC2CnSDohwbWbFixcCBA//1&#10;X/+15oCKiop9P0p1dXVVVVWynXxRtbW1tbW1tbW1tbW1tUMIycS07wTgBm3cuDGRSCQSiXXr1j34&#10;4IPbt2//3ve+9+tf/zo5oKioKIRQWVlZ64HV1dUhhPz8/FSOUlZWlrxhUllZ2XPPPaetra2tra2t&#10;ra2tra0dtSsrKydNmhSaiQC8Z4cddtiPf/zjF154IYRw7733Jvs7dOgQQvjwww9rjV+1alX44pvA&#10;e5SdnZ2cas7Ozm7btq22tra2tra2tra2trZ21M7Nzc3NzY1mGfed+wA3QVZWVl5eXvLLvZdeeums&#10;WbOmTZs2dOjQmsOmTp16zTXXXHXVVVOnTk1ltytWrNi2bVvbtm179erV/EUDAAB8yW3YsGHjxo37&#10;kluj+wCbAU5VdL5qrvl8xhlnhBCeeOKJWiMfffTREMLgwYMzVxwAAAB7IgDXI7rm+Y033ogme3fv&#10;3v3cc89Fgfbqq69ODrv66qsLCgrmzp07ZsyYjRs3hhBWrlx55ZVXLly48Jhjjrnssstaqn4AAADq&#10;cgl0PQ477LANGzbU7R8wYMBLL71Uc3XoX//619dee22tYcXFxXPmzEn9lLoEGgAAoBEugU6jd955&#10;56677jr33HOLiopycnLatm07cODAZ5999tVXX62ZfkMIw4cPnzNnzoABA6KRnTt3HjFixJIlS/xB&#10;AQAAYH9jBrjlmQEGAABohBlgAAAAaAIBGAAAgFgQgAEAAIgFARgAAIBYEIABAACIBQEYAACAWBCA&#10;AQAAiAUBGAAAgFgQgAEAAIgFARgAAIBYEIABAACIBQEYAACAWBCAAQAAiAUBGAAAgFgQgAEAAIgF&#10;ARgAAIBYEIABAACIBQEYAACAWBCAAQAAiAUBGAAAgFgQgAEAAIgFARgAAIBYEIABAACIBQEYAACA&#10;WBCAAQAAiIXcli4A9msff/zxzTffvHeP7dWr1y9+8YvmrQcAANhrAjA0prS09MUXX9y7x5566qnN&#10;WwwAALAvBGBoTM+ePX/3u9/Vu+mvf/3r2LFjjz766H/+53+ud0BxcXE6SwMAAJpGAIbGtG/f/qKL&#10;Lqp306JFi0IIBx10UEMDAACA/YpFsAAAAIgFARgAAIBYEIABAACIBQEYAACAWBCAAQAAiAUBGAAA&#10;gFgQgAEAAIgFARgAAIBYEIABAACIBQEYAACAWBCAAQAAiAUBGAAAgFgQgAEAAIgFARgAAIBYEIAB&#10;AACIBQEYAACAWBCAAQAAiAUBGAAAgFgQgAEAAIgFARgAAIBYEIABAACIBQEYAACAWBCAAQAAiAUB&#10;GAAAgFgQgAEAAIgFARgAAIBYEIABAACIBQEYAACAWBCAAQAAiAUBGAAAgFgQgAEAAIgFARgAAIBY&#10;EIABAACIBQEYAACAWBCAAQAAiAUBGAAAgFgQgAEAAIgFARgAAIBYEIABAACIBQEYAACAWBCAAQAA&#10;iAUBGAAAgFgQgAEAAIgFARgAAIBYEIABAACIBQEYAACAWBCAAQAAiAUBGAAAgFgQgAEAAIgFARgA&#10;AIBYEIABAACIBQEYAACAWBCAAQAAiAUBGAAAgFgQgAEAAIgFARgAAIBYEIABAACIBQEYAACAWBCA&#10;AQAAiAUBGAAAgFgQgAEAAIgFARgAAIBYEIABAACIBQEYAACAWBCAAQAAiAUBGAAAgFgQgAEAAIgF&#10;ARgAAIBYEIABAACIBQEYAACAWBCAAQAAiAUBGAAAgFgQgAEAAIgFARgAAIBYEIABAACIBQEYAACA&#10;WBCAAQAAiAUBGAAAgFgQgAEAAIgFARgAAIBYEIABAACIBQEYAACAWBCAAQAAiAUBGAAAgFgQgAEA&#10;AIgFARgAAIBYEIABAACIBQEYAACAWBCAAQAAiAUBGAAAgFgQgAEAAIgFARgAAIBYEIABAACIBQEY&#10;AACAWBCAAQAAiIXcli4A6jF5xv/32zf/u6Wr2IPPt64NIXy4evN5Ix9s6Vr27Nd3XtutY3FLVwEA&#10;AC1JAGZ/VLpt5/otJS1dxR6U/70sr6hdVXbe/l9qCGF7eUVLlwAAAC1MAGb/9a1zTj2191dbuooG&#10;rfxg2bg3nzn8yCP/94+ubelaGvP4lH//7O+fJxItXQcAALQ0AZj9V6uiwoMPatfSVTTo07atQwi5&#10;OTn7c5EhhOxsX/UHAIAQLIIFAABATAjAAAAAxIIADAAAQCwIwAAAAMSCAAwAAEAsCMAAAADEggAM&#10;AAC+Ai1jAAAgAElEQVRALAjAAAAAxIIADAAAQCwIwAAAAMSCAAwAAEAsCMAAAADEggAMAABALAjA&#10;AAAAxIIADAAAQCwIwAAAAMSCAAwAAEAsCMAAAADEggAMAABALAjAAAAAxIIADAAAQCwIwAAAAMSC&#10;AAwAAEAsCMAAAADEggAMAABALAjAAAAAxIIADAAAQCwIwAAAAMSCAAwAAEAsCMAAAADEggAMAABA&#10;LAjAAAAAxIIADAAAQCwIwAAAAMSCAAwAAEAsCMAAAADEggAMAABALAjAAAAAxIIADAAAQCwIwAAA&#10;AMSCAAwAAEAsCMAAAADEggAMAABALAjAAAAAxIIADAAAQCwIwAAAAMSCAAwAAEAsCMAAAADEggAM&#10;AABALAjAAAAAxIIADAAAQCwIwAAAAMSCAAwAAEAsCMAAAADEggAMAABALAjAAAAAxIIAXI/q6uqn&#10;nnpq8ODB7dq1y8/P79Chww9+8IPVq1fXO3j16tWjRo3q0qVLYWFhmzZtLrzwwjfeeCPDBQMAALBH&#10;uS1dwP7o61//+tKlS5P//PTTT59++umZM2cuWLCgV69eNUe+8847/fr1Kykpif65a9eu2bNnz549&#10;+5lnnhk+fHhGiwYAAKBRZoDrsXXr1ptvvnnBggVVVVWJRGLBggXHHXdcSUnJrbfeWnNYdXX1sGHD&#10;SkpKhg0btmrVqkQisWnTptGjR4cQRo4cuXnz5hYqHwAAgHqYAa7H+vXra/7z1FNPfeGFF0488cTX&#10;X3+9Zv8rr7yyfPnyvn37Pvfcc1FPp06dHn300aVLl86bN2/q1Kljx47NXNEAAAA0ygxwSk444YQQ&#10;QmVlZc3OGTNmhBDGjBlTa/CoUaNCCAsWLMhUdQAAAOyZAJySrVu3hhC6dOlSs3P58uUhhNNPP73W&#10;4N69e4cQ3n777UxVBwAAwJ4JwCl5/vnnQwgDBw6s2fnBBx+EELp3715r8NFHHx1C+OyzzzJUHAAA&#10;ACkQgPespKTk/vvvz8nJqXW18+7du0MI2dm1z2Fubm5yKwAAAPsJAXjPhg8fvmHDhh/96EfHHnts&#10;zf6Kiop93/muXbvKysqS7UWLFmnv2rXLGtppsp+8vtra2tra2tra2tqpt1955ZUdO3aE5iAA78HY&#10;sWNffPHFk0466Z577qm1qaioKNRZGSuEUF1dHULIz89PZf/l5eXJAFxeXp58sWPeFoDTZD95fbW1&#10;tbW1tbW1tbVTbG/YsOGvf/1rQUFBaA45I0aMCCF07dq1WXZ3gLnjjjvuu+++jh07zp079+CDD661&#10;9amnniotLR0yZEiHDh1q9n/yyScPP/zw8ccf/0//9E97PERWVtbf//73rKysgoKCQw89NDc3N3ot&#10;srKy4txesOyTjzeUHHt09+7d/sfCY/uVz7Zumj1z6iEdOw/4X9e0dC2N+dOf39mxs/yK80899KDW&#10;+8nrq62tra2tra2trZ1iu1evXsccc0wikdi2bVvUv3c2btwYQsiK4nWfPn32ekcHqp///Ofjxo1r&#10;3br1f/7nf9Z7fi699NJZs2ZNmzZt6NChNfunTp16zTXXXHXVVVOnTk3lQCtWrNi2bVvbtm179erV&#10;PKV/+d3361f/7ZX5F19wzjmn9W7pWhr04fvvjBl6Xq+vnvzw83NaupbGTHx4yta//f23D4059siO&#10;LV0LAADsjQ0bNmzcuHFfcuvixYuDS6Abcv/9948bNy6E8O///u8NneUzzjgjhPDEE0/U6n/00UdD&#10;CIMHD05zjQAAADSBAFyPxx9//Cc/+UkI4cknn7zgggsaGnb11VcXFBTMnTt3zJgx0Xz6ypUrr7zy&#10;yoULFx5zzDGXXXZZ5ioGAABgTwTgeowdOzZq/PCHP8z6nzp16pQc1qlTp8mTJ4cQHnnkka5du2Zl&#10;ZfXs2XPatGnFxcXPP/983dsjAQAA0IKEtHoUFxenOHL48OFz5swZMGBAUVFRTk5O586dR4wYsWTJ&#10;Et+pBgAA2N/ktnQB+6P169enPrh///79+/dPXzEAAAA0CzPAAAAAxIIADAAAQCwIwAAAAMSCAAwA&#10;AEAsCMAAAADEggAMAABALAjAAAAAxIIADAAAQCwIwAAAAMSCAAwAAEAsCMAAAADEggAMAABALAjA&#10;AAAAxIIADAAAQCwIwAAAAMSCAAwAAEAsCMAAAADEggAMAABALAjAAAAAxIIADAAAQCwIwAAAAMRC&#10;bksXAPu1RHX1jh3b6t20c8f2EEJ1VdX2bZ/XOyAnJ7ewqFUaiwMAAJpCAIbGfLziveuv+GYjA/76&#10;wbLLzuhZ76ZjT+zzy+f+kJ66AACAJhOAoTHZ2Tmt27Tbu8ea/gUAgP2KAAyN6fGVr86c/3FLVwEA&#10;ADQDi2ABAAAQCwIwAAAAsSAAAwAAEAsCMAAAALEgAAMAABALAjAAAACxIAADAAAQCwIwAAAAsSAA&#10;AwAAEAsCMAAAALEgAAMAABALAjAAAACxIAADAAAQCwIwAAAAsSAAAwAAEAsCMAAAALEgAAMAABAL&#10;AjAAAACxIAADAAAQCwIwAAAAsSAAAwAAEAsCMAAAALEgAAMAABALAjAAAACxkKEAXFlZ+cEHHwwe&#10;PLhXr16dOnUqLCzMzc3Nzc0tLCzs0KFDz549L7jggvfee2/btm2ZqQcAAIC4yU33AX73u9/ddNNN&#10;q1atqndrVVXVrl27Pv3005UrV7722mshhG7duv30pz8dMWJEbm7aawMAACA+0jUD/Pnnn1955ZVZ&#10;WVmXXHJJlH5bt27do0ePvn37Pvvss0uWLFm6dOnSpUsXLVr09NNP9+nTp3v37kVFRSGEdevWjR49&#10;Oi8v7+qrrzYhDAAAQHNJ1yzroYceWlFREULo3r37Pffc861vfatDhw71juzTp8/3v//9qL158+aZ&#10;M2c+8MADq1atevbZZ2fMmFFeXp6mCgEAAIiVdM0A5+fnjx8/vrS09JNPPrnyyisbSr+1dOrUadSo&#10;UZ988klpaem4ceNatWqVpvIAAACIm3TNAO/j1cvt2rW7++6777777uaqBwAAgJhzGyQAAABiQQAG&#10;AAAgFgRgAAAAYiGjAbi8vHzw4MEdOnTIz8/Pqk9+fn4m6wEAACA+0rUIVl0lJSUHH3xw8p85OTn1&#10;VJObuXoAAACIlczNAJ9zzjkhhJycnGXLllVUVFTWZ8eOHRmrBwAAgFjJ3Izrhx9+GEJYu3Ztly5d&#10;MnZQAAAAiGRuBriysjKEIP0CAADQIjIXgA877LAQwsaNGzN2RAAAAEjKXACePn16COGss87K2BEB&#10;AAAgKXMB+PTTTx8xYsTKlSvPO++8jB0UAAAAIhm9D/CECRNCCG+88Ua9NwHOysoqLCzMZD0AAADE&#10;R+ZWgV69enX37t2T/6z3PsDZ2RkN5AAAAMRH5gJnv379osaSJUvcBxgAAIAMy+gMcAhh3bp10XLQ&#10;AAAAkEmZvuRY+gUAAKBFuA8wAAAAsZC5ADxt2rQQwje+8Y2MHREAAACSMheAzzzzzBEjRqxYscJ9&#10;gAEAAMi8zC2CdeSRR+7evTt8cR/gesfk5eVFYwAAAKB5ZS4Ab9y4sbq6ut7b//6/anIzVw8AAACx&#10;krnAaWoXAACAFpTp2yABAABAixCAAQAAiAUBGAAAgFjIaAAuLy8fPHhwhw4d8vPzs+qTn5+fyXoA&#10;AACIj8wtglVSUnLwwQcn/1nvctBWgQYAACBNMjcDfM4554QQcnJyli1bVlFRUVmfHTt2ZKweAAAA&#10;YiVzM64ffvhhCGHt2rVdunTJ2EEBAAAgkrkAXFlZGUKQfgEAGvfee+9t2rRp7x574okndurUqXnr&#10;AThgZC4AH3bYYWvWrNm4caMMDADQiHvvvXfatGl799jf/OY33/nOd5q3HoADRuYC8PTp088444yz&#10;zjrr448/zthBAQC+dE444YT+/fvXu2nZsmWbN29uZJrX9C9AIzIXgE8//fQRI0Y89dRT55133pw5&#10;czJ2XACAL5ef/vSnP/3pT+vdNHTo0OnTp99+++1DhgzJcFUAB4CM3gd4woQJIYQ33nij3psAZ2Vl&#10;FRYWZrIeAAAA4iNzM8CrV6/u3r178p/13gc4OzujgRwAAID4yFzg7NevX9RYsmSJ+wADAACQYRmd&#10;AQ4hrFu37rDDDsvYQQEAACCS6UuOpV8AAABaROYCcBR9N27cmLEjAgAAQFLmAnB0P/dvfOMbGTsi&#10;AAAAJGUuAJ955pkjRoxYsWLFeeedl7GDAgAAQCRzi2AdeeSRu3fvDl/cB7jeMXl5edEYAAAAaF6Z&#10;C8AbN26srq6u9/a//6+a3MzVAwAAQKxkLnCa2gUAAKAFZfo2SAAAANAiBGAAAABiIV0BuFWrVj/+&#10;8Y9LSkr27uFbt279wQ9+0KZNm+atCgAAgNhKVwCurq6eNGnSwQcffNRRRz3++OMbN25M5VFr1679&#10;yU9+0qVLl44dOz799NPV1dVpKg8AAIC4SdciWH//+99vvPHGp556atWqVaNHjx49enReXl6XLl0O&#10;OeSQk0466Z/+6Z+iBZ/Ly8t/8pOflJaWlpSUrFu3ruYeRowYMWnSpDSVB0C6rVq1atmyZXv32B49&#10;enz1q19t3noAANIVgAsLC5988sknn3zyjTfe+OEPf7hy5cqKioo1a9asWbNmyZIlU6ZMaeiBRxxx&#10;xD//8z9ffvnlaSoMgMx45ZVXbrjhhr177I9+9CN/AwUAml3ab4PUv3//jz/+uLq6euXKlY8//vir&#10;r75aWlpaWlpaWVlZXV2dnZ3dvn374uLiU0899Wc/+1n37t0LCwvTXRIAGXDUUUcNGjSo3k2ffPLJ&#10;e++9d9RRR51wwgn1DmioHwBgX2ToPsDZ2dlHH330Qw899NBDD2XmiAC0rIEDBw4cOLDeTQ8//PCN&#10;N944aNCgX/3qVxmuCgCIM7dBAgAAIBYEYAAAAGJBAAYAACAWBGAAAABiQQAGAAAgFgRgAAAAYkEA&#10;BgAAIBYEYAAAAGIhQwF4/fr1Q4cOPfzwwwsLC7OysnJzc9u1a9ezZ88777zz888/z0wNAAAAxFkm&#10;AvC3v/3tbt26TZ8+fd26dbt27QohVFVVlZWVrVy5csKECe3bt//+97+fgTIAAACIs7QH4C5duvz+&#10;978PIZx11lkrVqzYuXNnIpFIJBJlZWUfffTR+eefH0J45plnTj755HRXAgAAQJylNwBfcMEFmzZt&#10;CiEsWrToT3/6U69evQoLC6NNbdq0Ofroo//whz989NFHIYSlS5cOHz48rcUAAAAQZ2kMwOvXr3/t&#10;tddCCAsXLuzTp09Dw44++ug1a9aEEKZMmeL7wAAAAKRJGgPw2LFjQwh9+vT5h3/4h8ZHHn744f36&#10;9QshTJo0KX31AAAAEGdpDMDz5s0LIUyfPj2VwZMnTw4hTJkyJX31AAAAEGdpDMCfffZZCKFz586p&#10;DO7WrVvyIQAAANDs0hiAd+7cGUJo06ZNKoOjxbHKy8vTVw8AAABxlt5VoHNyclKtIzs7hFBdXZ3O&#10;cgAAAIivtN8HGAAAAPYHAjAAAACxkJvWvVdVVWVlZaX1EAAAAJCKNAbgrl27bt68uUkP6dKlS5qK&#10;AQAAIObSGIDXr1+fvp0DAABAk/gOMAAAALEgAAMAABALAjAAAACxIAADAAAQC2lcBCs/P7+ioqJJ&#10;DykoKCgvL09TPQAAAMRZGgNwdnZ2Tk5OUx+SpmIAAACIuTQGYHO5AAAA7D/MuAIAABALAjAAAACx&#10;kPYA/Kc//emoo47Kz8/Pzc09+OCDf/CDH6T7iAAAAFBXegPwnXfeefbZZ69ataqioqKqqqqkpOTp&#10;p5/Oyspav359Wo8LAAAAtaQxAK9du3bChAkhhHHjxpWVlSUSiS1btlx00UUhhK985SvpOy4AAADU&#10;lcYAPGjQoBDCtddee/fdd7dp0yaE0KFDh9/97nfdu3ffvn37b37zm/QdGgAAAGpJYwBes2ZNCOGe&#10;e+6p1f8f//EfIYTbb789fYcGAACAWtIYgLdt2xZCOOSQQ2r1d+vWLYSwefPm9B0aAAAAakljAK6o&#10;qMjJycnPz6/VH/WUl5en79AAAABQi/sAAwAAEAsCMAAAALGQm9a9V1VVZWVlpb6poKDApdEAAACk&#10;QxoDcPfu3deuXdukh2Rnm5EGAAAgLdIYgD/55JP07RwAAACaxIwrAAAAsSAAAwAAEAstFoDffvvt&#10;I488Mj8/v1WrVr169frggw9aqhIAAADiII0BeP369fn5+YWFhXU3Pf/883379l2zZk1FRcXOnTs/&#10;+uij44477l/+5V/SVwwAAAAxl8YA/P3vf7+iouJb3/pWrf7du3cPGzYshDBs2LCdO3dWVVU9++yz&#10;IYTrrrvus88+S189AAAAxFkaA/CyZctCCL/85S9r9f/oRz8KIXTs2PG5554rLCzMzs6+8sorJ06c&#10;GEK49dZb01cPAAAAcZbGABxN53bt2rVmZ2Vl5eTJk0MIL730Us3+0aNHhxBeffXV9NUDAABAnKUx&#10;AFdWVoYQan0H+PHHHw8htG3b9tRTT63Z365duxBCSUlJ+uoBAAAgztIYgFu1ahVC2L17d83O8ePH&#10;hxB+9rOf1RpcXV0dvsjMAAAA0OzSGIA7d+4cQvjLX/6S7Jk6dWppaWkI4bbbbqs1OJr7rXfJaAAA&#10;ANh3aQzAU6dODSGccsopW7dura6u/sMf/nDNNdeEECZMmFB38IcffhhC6NChQ/rqAQAAIM7SGIBP&#10;PfXUiy66qKqqqmPHjjk5OQMGDAghnHbaaXfccUfdwd///vdDCGeffXb66gEAACDO0hiAQwi/+93v&#10;7rvvvuLi4pycnLZt295yyy3/9V//Ve/IlStX5uXl/eIXv0hrPQAAAMRWbroPcNttt9X9xm9d5eXl&#10;6a4EAACAOEvvDDAAAADsJwRgAAAAYkEABgAAIBYEYAAAAGJBAAYAACAWBGAAAABiQQAGAAAgFgRg&#10;AAAAYkEABgAAIBZy07Tf/Pz8ioqKpj4qLy9v9+7d6agHAACAmEtXAM7Ozs7JyanbX1VVFUKotSnq&#10;7N69e9u2bdNUDwAAADGXrkugy8vLK+sYPHhwCGH06NG1+ocMGRJCuOKKK95999001QMAAEDMZe47&#10;wL/97W9nzZrVp0+fRx99tNam559/vnv37vfff/+HH36YsXoAAACIlcwF4BtuuCGE8PLLL9e7de7c&#10;uSGE888/P2P1AAAAECuZC8CbN28OIXTp0qXerYcddlgIYf369RmrBwAAgFjJXAAuLCwMIZSXl9e7&#10;taF+AAAAaBaZC8DdunULIYwdO7berffee28IoVOnThmrBwAAgFjJXAB+9dVXQwiPPfbYKaecsnLl&#10;yuh+v+Xl5atXrx48ePA999wTQvjVr36VsXoAAACIlXTdB7iuHj16TJ8+fciQIYsXL+7Zs2fdAePH&#10;j7/00kszVk+KHn300fHjx+/evXvbtm31Dli9evX9998/a9askpKS3Nzcs88++8c//nH//v0zXCcA&#10;sC8SicSUl99q6Sr27JP1W0MIf1y8YmereS1dyx4c3ung/qce39JVAPwPmQvAIYQrrrhi0KBBDzzw&#10;wJQpU7Zu3VpeXp6bm3vIIYece+65Dz300P52/fPbb7/9gx/8YOnSpY2Meeedd/r161dSUhL9c9eu&#10;XbNnz549e/YzzzwzfPjwjJQJADSDRAgP/OsfWrqKPdu8aXurQ4/4/Vvvz11Z0dK17MHpJx8jAAP7&#10;m4wG4BBCq1at7rjjjjvuuCPDx22qUaNGTZ48uUePHr///e8HDhxY75jq6uphw4aVlJQMGzZs4sSJ&#10;Rx555ObNm+++++7HHnts5MiRF1544f4W6QGAxmVlZZ17+tdbuorGzFn5nx99tObMC/7XMSf3aela&#10;GvRpSemy5X8t313d0oUA1JbpAPxl8fTTT992220TJkyIFq+u1yuvvLJ8+fK+ffs+99xzUU+nTp0e&#10;ffTRpUuXzps3b+rUqQ2t+AUA7LcGf+sfW7qExrz/xtSPQjjla8eesx/X+f6KT5Yt/2tLVwFQDwG4&#10;ftu2bcvPz298zIwZM0IIY8aMqdU/atSoefPmLViwIF3FAQAA0HSZWwU68u677x577LHt2rXLysqq&#10;eYVwbm5uYWHh/nM34D2m3xDC8uXLQwinn356rf7evXuHEN5+++10FAYAAMDeyWgAHjVq1EknnbRi&#10;xYqysrIQwmeffZbcdMEFF+zatevBBx/MZD376IMPPgghdO/evVb/0UcfHf7nswMAAKDFZS4Av/HG&#10;G5MnTw4hzJ07N5FI1Nr68MMPhxCefvrpjNWz76JbGWdn1z6Hubm5ya0AAADsJzIXgH/4wx+GEF57&#10;7bV//Md61mzo3LlzCGHr1q0Zq2ffVVTs77cfAAAAIClzAXjjxo0hhLPPPrvera1atQoh7D/fAU5F&#10;UVFRCKGysrJWf3V1dUjtW8QhhNLS0g0bNiTbTzzxhHZpaem7776bytmjqfaT11db+6233mrxGrS1&#10;623TvPaH11RbW/sAaN9///2hmWQuAEeXBDd0V6EoRqYYGvcTHTp0CCF8+OGHtfpXrVoVvvgmMAAA&#10;APuJrEWLFoUQ+vRJ+73UDzrooNLS0tLS0nbt2oUQsrKycnJyktOna9euPeKII7p27bp+/fp0V9JU&#10;WVlZIYS631u+9NJLZ82aNW3atKFDh9bsnzp16jXXXHPVVVdNnTo1lf2vWLFi27Ztbdu27dWrV3PV&#10;/GV3369f/bdX5l98wTnnnNa7pWv50pv48JStf/v7bx8ac+yRHVu6Fvi/Hn744RtvvHHMmDG/+tWv&#10;WroW+L+qE4kT/tf/zsrKeuiOG1u6lsbce+uI//zDrJ/+4qlzLrikpWtp0PsrPnn6+Rd7H9/zubuH&#10;t3QtwAFiw4YNGzdu3Jfcunjx4pDJGeCBAweGECZNmlTv1muuuSaEcMUVV2Ssnn13xhlnhBDqXjT1&#10;6KOPhhAGDx7cAjUBAADQgMwF4F//+tchhAkTJvz85z/fsWNH1FlZWblx48bvfOc7f/zjH0MI99xz&#10;T8bq2XdXX311QUHB3Llzx4wZE33DeeXKlVdeeeXChQuPOeaYyy67rKULBAAA4P/JXADOz89fsmRJ&#10;CGHcuHGtW7cOIVRVVeXl5XXt2nXGjBkhhPnz50dLYe0POnXqlPWFqCdqR9/7TY6Jbuz0yCOPdO3a&#10;NSsrq2fPntOmTSsuLn7++efr3h4JAACAFpTRkHbyyScnEolHHnmke/furVu3zsnJKSoq6tat2/jx&#10;4ysqKk4//fRMFtO4aCXnumrF2uHDh8+ZM2fAgAFFRUU5OTmdO3ceMWLEkiVLMvCdagAAAJokN/OH&#10;vP7666+//vrMH7dJUr8jcf/+/fv375/WYgAAANh3Gb0EuqF7IIUQ/vKXv2RlZV188cUZqwcAAIBY&#10;ydwMcEVFRU5OTkNbo7vmvvHGGxmrB+CAtPmzz3dXVLZ0FXvw9893hBDKdpSv3fS3lq5lD7Kys7p1&#10;LG7pKgCA5tECl0DXKzc3N4RQXl7e0oUAfLmNeWDaso/WtXQVe1DyyX/nFbV/6U/vLRj9UEvXsgft&#10;27b6rym3t3QVAEDz2C8C8I4dO+66664QQnGxv7IDNIP27drk5jZ40U2L27Uxb9PO0oLc7EMObt/S&#10;tTSsOvHZ3z+vrEq0dB0AQLNJewDOzc2tqqqK2lVVVcm7CtVr1KhR6a4HIA6uveLbRxzWuaWraNCL&#10;z1VO/q+X/uHk40aOGd7StTRo+46d437xZEtXAQA0p0wE4KgRxeB6vwacnZ1dXFw8ZsyYn/3sZ+mu&#10;BwAAgHhKewBOfq03KysrJyensnJ/X5oFAACAA1LmvgNcUFCQnZ25uy4BAABATZkLwFZ4BgAAoAWZ&#10;kgUAACAWWjgAP/zww23atMnPzz/qqKM+++yzli0GAACAA1jmAvDq1avz8/NbtWqV7PnDH/5w4403&#10;bt++vaKiYtWqVYceeuiOHTsyVg8AAACxkrkAfP7551dUVDzyyCPJnu9+97shhJkzZyYSieuuuy6E&#10;cMMNN2SsHgAAAGIlcwF43bp1IYQrrrgi+ufatWu3bNnSo0ePSy/9/9u78zgpyjt/4M/Qc3EfcshA&#10;BDGeUcEfHhGNUVbjFXETX6JBJeoaEtHFdd0EVlmCiRpd12iCxsTgES+IrPrKT7wiG9Goy09xBaOi&#10;eASUcCmQ4Zx7fn/UZjKZo6c5unuY5/3+h+qqp6q+9NTT1Z+u6+shhH//938PIcydOzdn9QAAABCV&#10;3AXgLVu2hBC6deuWvJwyZUoIYfbs2cnL3r17hxA2bNiQs3oAAACISu4CcOfOnUOjhyE9+uijIYQj&#10;jjgieVlXV5ezSgAAAIhQ7gLwQQcdFEL4yU9+EkK4/PLLKysrzzjjjIapn3zySQihZ8+eOasHAACA&#10;qOQuAD/99NMhhClTphQUFNxxxx0hhIcffrhhanJG9KGHHpqzegAAAIhK7gJwv379Xn311bKyslQq&#10;teeee7799tsN1wOHEB5//PGioqL77rsvZ/UAAAAQlcJcruyII47405/+1OKkhmuDAQAAIBtydwQY&#10;AAAA8kgABgAAIAq5OwW6uLi4uro6fZuioqKqqqrc1AMAAEBUcheAO3XqlEqlWpxUW1sbQhg8eHDX&#10;rl1zVg8AAABRyd0p0BUVFTWtGD9+fAjh7LPPfvfdd3NWDwAAAFFpF9cA/+pXv+rbt++tt966fPny&#10;fNcCAABAx9QuAnAIYe7cuSGEU089Nd+FAAAA0DG1lwA8cuTIEMLHH3+c70IAAADomNpLAE64BTQA&#10;AABZ0l4C8DPPPBNC6NKlS74LAQAAoGPK3WOQWrN169Ynn3xy7NixIYRx48bluxwAAAA6ptwF4OLi&#10;4urq6jQNunfv/rOf/Sxn9QAAABCV3J0C3alTp1RLSkpKysrKrr766o0bN+asGAAAAGKTuyPAFRUV&#10;OVsXAAAANNFeboIFAAAAWSUAAwAAEAUBGAAAgChkMQCPGDGioKDgqKOOyt4qAAAAIENZDMCLFz54&#10;UxIAACAASURBVC8OIbz++uvJy+Li4oLMdOnS5XOf+9ycOXOyVxsAAACxyWIAHjlyZCqVOvjgg/93&#10;Ta08Bqm5bdu2rVixYuzYsT/96U+zVx4AAABRyWIAXrhwYU1NzaJFi5KXFRUVNZmprKy88cYbQwjT&#10;p0/PXnkAAABEpT3eBKu4uPiqq64KIWzcuDHftQAAANBBFOa7gJbV1NSUlJQMGjQo34UAAADQQbTT&#10;AFxaWlpRUZHvKgAAAOg42uMp0AAAALDLZesIcHFxcXV19fbOVVRUVFVVlY16AAAAiFy2AnDy0KPm&#10;42tra0MITSYlI4cOHdq9e/cs1QMAAEDksnUKdIsPPRozZkwI4bLLLmsy/txzzw0hnHPOOW+++WaW&#10;6gEAACByubsG+LHHHnv88cdHjhx5++23N5k0a9asoUOH3nTTTUuXLs1ZPQAAAEQldwH4H//xH0MI&#10;TzzxRItTX3zxxRDCySefnLN6AAAAiEruAvCaNWtCCAMHDmxxavLI3z/96U85qwcAAICo5C4Al5aW&#10;hhBae7qvp/4CAACQVbkLwIMHDw4h/Mu//EuLU3/0ox+FEAYMGJCzegAAAIhK7gLwU089FUK44447&#10;Dj/88I8++ih53m9FRcXy5cvHjBlz3XXXhRB+8pOf5KweAAAAopKt5wA3N2zYsNmzZ5977rmvv/76&#10;Pvvs07zBtGnTvv71r+esHgAAAKKSuyPAIYRzzjlny5Yt06dPHzp0aNeuXVOpVElJSVlZ2bhx41av&#10;Xn3ttdfmshgAAACikrsjwIkuXbp8//vf//73v5/j9QIAABC5nB4BTqOmpuaxxx4bMWJEvgsBAACg&#10;Y8r1EeDm3nrrrbFjxy5ZsiSEkEql8l0OAAAAHVPejgAvX778pJNOKiwsPOSQQ5L0G0LYb7/98lUP&#10;AAAAHVuuA/CaNWsmTpzYo0ePoUOHzps3r7a2NoRQVlZ2yy23fPbZZ++8806O6wEAACASOToFeuPG&#10;jXfeeedtt922evXqxuNTqdSnn37au3fv3JQBAABAtLJ7BDi5tdXee+/ds2fPKVOmJOl3r732uv/+&#10;+7ds2ZK0kX4BAADIgSweAT7ppJPmzZvX8LKsrGzy5MkXXnhhjx49srdSAAAAaFEWA3CSfvv373/5&#10;5ZdPnDhxjz32yN66AAAAIL0sngKdPNOouLi4Z8+eRUVF2VsRAAAAtCmLAfjaa6/t27fvihUrrrji&#10;ip49ew4ZMuTuu+/eunVr9tYIAAAArcliAL7mmms+/fTTFStWXHzxxV27dv34448vueSSrl277r33&#10;3rNmzaqoqMjeqgEAAKCJrD8HeNCgQXfffffmzZs//PDD448/PoSwbNmycePGde7cOWmwbt26bNcA&#10;AAAAWQ/ADYYNG/b888/X19e/+uqr++67bzKytra2b9++AwYMmDJlyqpVq3JWDAAAALHJXQBucMQR&#10;RyxdunTbtm2PPPLIXnvtFUJYu3btTTfdVFZWtvfee+e+HgAAAGKQhwCcKC0tPfvss5cvX75+/frr&#10;rruub9++IYRPPvkkX/UAAADQseUtADfo3bt3w+2ynn/++XyXAwAAQMdUmO8C/mrQoEGDBg3KdxUA&#10;AAB0THk7AlxcXFxaWpqvtQMAABCbvB0Brq6uTqVS+Vo7AAAAscn/NcAAAACQAwIwAAAAURCAAQAA&#10;iIIADAAAQBTydhOskpKSTp3EbwAAAHIkbwG4oqIiX6sGAAAgQnkLwAAAtGjuI/cuWbywxUnvvvl6&#10;COGJ2fe8+vt5LTYY841/2P/g/5PF4gB2ZwIwAED78vb//L/nn3o0TYO3/mfBW/+zoMVJRx33FQEY&#10;oDW5DsBvvvnm2LFjV65cuWnTpv79+69Zs+Z/6ygsLCws/POf/1xaWprjkgAA2pWvnnPR4ceM3rF5&#10;DzhE+gVoVU4D8MSJE++8886Gl+vWrWsYPuWUU5588slbbrnlmmuuyWVJAADtzRcOO+oLhx2V7yoA&#10;OqDc3Yd53rx5Sfp98cUX6+vrm0z96U9/GkKYOXNmzuoBAAAgKrkLwN/+9rdDCM8+++yXvvSl5lP3&#10;3HPPEMKnn36as3oAAACISu4C8KpVq0IIxx13XItTu3TpEjwbCQAAgKzJXQCuqqoKIbR2j6uampoQ&#10;QnFxcc7qAQAAICq5C8DdunULIWzcuLHFqcnx4d69e+esHgAAAKKSuwB8+umnhxBuvfXWFqeOHz8+&#10;hHDOOefkrB4AAACikrsAfO+994YQpk+ffv3112/dujUZWVNTs2rVqrFjx86fPz+EcN111+WsHgAA&#10;AKKSuwBcXFz8xhtvhBCmTp3atWvXEEJtbW1RUVFZWdmcOXNCCK+88kpyKywAAADY5XIXgEMII0aM&#10;qK+vnzFjxtChQ7t27ZpKpTp37jx48OBp06ZVV1cfffTRuSwGAACAqBTmfpWXX3755Zdfnvv1AgAA&#10;ELOcHgEGAACAfMnDEWAAAIBsuPvuu8vLy3ds3gkTJiSPbqUDy2kArqioGDt27H//93+Xl5dXV1c3&#10;b1BUVFRVVZXLkgAAgA7j+uuv/+Mf/7hj844dO1YA7vByF4A3bNjQp0+fhpepVKqFagodkQYAAHbQ&#10;P/zDP6xfv77FSTNnzty4ceMll1zSo0ePFhtIvzHIXeD88pe/HEJIpVKLFi064IADZF2Ajm3uI/f+&#10;/MZrWpxUV1cXQnhi1t1P/vq+Fhuced63vnXVtdmrDYCO6pprWt71hBAeffTRjRs3Tp06dciQIbks&#10;iXYldyl06dKlIYRPPvlk4MCBOVspAPlSV1tbU9PC1S5/bVBXlyThFufNTlEAQNRyF4BrampCCNIv&#10;QCTOOOfi087+5o7N26mThxQAALte7gLwoEGDPv7441WrVsnAADEo6NSpUI4FANqT3H01mT17dgjh&#10;2GOPzdkaAQAAoEHuAvDRRx89YcKEjz766KSTTsrZSgEAACCR05PTpk+fHkKYN29eQStKS0tzWQ8A&#10;AADxyN01wMuXLx86dGjDyxafA+yuJwAAAGRJ7gLn6NGjk4E33nijurq6piVbt27NWT0AAABEJadH&#10;gEMIK1asGDRoUM5WCgAAAIlcn3Is/QIAAJAXuQvASfRdtWpVztYIAAAADXIXgB9++OEQwgknnJCz&#10;NQIAAECD3AXgY445ZsKECe+9957nAAMAAJB7ubsJ1pAhQ6qqqsJfngPcYpuioqKkDQAAAOxauQvA&#10;q1atqqura/Hxv3+tpjB39QAAABCV3AVOh3YBAADIo1w/BgkAAADyQgAGAAAgClkMwCNGjCgoKDj8&#10;8MOztwoAAADIUBavAV68eHEIYdGiRf+7psLC2tra9LO4CzQAAABZksUjwCNHjkylUgcffHDysrCw&#10;MNUWd4EGAAAgS7IYOBcuXNj4ZUVFRfbWBQAAAOm5CRYAAABREIABAACIQhYDcHFxcWlpafaWDwAA&#10;AJnL4jXA1dXVqVQqe8sHAACAzDkFGgAAgCgIwAAAAERBAAYAACAKWbwGOIRQW1tbUFCQefuSkhKP&#10;CwYAACAbshuAQwjbdR+sTp0ckQYAACArshuAU6lUTU1NVlcBAAAAmXDEFQAAgCgIwAAAAERBAAYA&#10;ACAKWbwGuKSkxE2tAAAAaCeyGIA90AgAAID2wxFaAAAAoiAAAwAAEAUBGAAAgCgIwAAAAERBAAYA&#10;ACAKAjAAAABREIABAACIggAMAABAFARgAAAAoiAAAwAAEAUBGAAAgCgIwAAAAERBAAYAACAKAjAA&#10;AABREIABAACIggAMAABAFARgAAAAoiAAAwAAEAUBGAAAgCgIwAAAAERBAAYAACAKAjAAAABREIAB&#10;AACIggAMAABAFARgAAAAoiAAAwAAEAUBGAAAgCgIwAAAAERBAAYAACAKAjAAAABREIABAACIggAM&#10;AABAFARgAAAAoiAAAwAAEAUBGAAAgCgIwAAAAERBAAYAACAKAjAAAABREIABAACIggAMAABAFARg&#10;AAAAoiAAAwAAEAUBGAAAgCgIwAAAAERBAAYAACAKAjAAAABREIB31vLlyydOnDhw4MDS0tJu3bqd&#10;dtpp8+bNy3dRAAAANFWY7wJ2b4sWLRo9evSGDRuSl5WVlU8//fTTTz99zz33XHTRRfmtDQAAgMYc&#10;Ad5xdXV148aN27Bhw7hx45YtW1ZfX7969erLLrsshHDppZeuWbMm3wUCAADwVwLwjps7d+6SJUuO&#10;PPLIhx56aMiQISGEAQMG3H777ccee2xlZeUDDzyQ7wIBAAD4KwF4x82ZMyeEMGnSpCbjJ06cGEJY&#10;sGBBHmoCAACgFQLwjluyZEkI4eijj24y/rDDDgshvPbaa3moCQAAgFYIwDvu3XffDSEMHTq0yfjP&#10;f/7zIYR169blviQAAABaIwDvuKqqqhBCp05N38PCwsKGqQAAALQTHoO046qrq3d+IZWVlZs3bw4h&#10;VFVVrVixYs2aNYMGDQoh1NTUxDzcr0v9mFH79y2uXPnh2zv/JkfuuEMGVVcPqN62cfXqunby9zWc&#10;1eEvHjhw735da/68amWF81B2Sm1d3ZhR+xcVFa5evbr9/H0NZ2+4rKxszKj9Q0Gw69l5RVUVY0bt&#10;P7B/H99tIhnevLXyrQ9XbN68uUePHiGEurq69jm8raIyhPD4sy8O2+fz7aGeNMNlfXsW1GxrJ3/f&#10;vA+XlZVt3bq1trY208+gtAoWLlwYQhg5cuQuWVxUunTpsm3bturq6uSQb4O6urpUKtW1a9ck2aZX&#10;Xl7+wQcfZK1GAAAghBDOOOOMVatWPfHEEwMHDsx3Leygncmtr7/+enAEeGf069fv448/Xrp06UEH&#10;HdR4/LJly8JfrgRuU2lpaX19fUFBQXFxcc+ePdeuXZt0yNra2piH33rvj1tqOtXU1Yf6+urq6qLi&#10;4hCC4Z0ZPvrQz3cpLWonf1/DWR3esK1+/aZtdXXtZdvb3Yc7dy4ddcje7efvazirw6+9/cdtVbXt&#10;ZNvrAMO9u3U5aO/+7efvazh7w6vXlf/fFxaVlhQP7N83tGNVNXUhhPdWbfmsZlO+a2nVhvJNf964&#10;6eB999q7b2k7+fu2h+EPPvhgjz32qKys3Pl32BHgHff1r3/98ccff/jhh7/xjW80Hv/AAw+MHz/+&#10;/PPPz/BRwO+9997mzZu7d+++3377ZadSAADIlv95d/n51/xy2F5l/3jx2HzXks74U/7P2pWf3P/M&#10;//Qv+1y+a2nVk//1yrzfvzr+74+fcsGJ+a6lfVm5cuWqVat2/giwm2DtuFGjRoUQfv7znzcZf/vt&#10;t4cQxowZk4eaAAAAaIUAvOMuuOCCkpKSF198cdKkSatWrQohfPTRR+edd96rr7667777nnXWWfku&#10;EAAAgL8SgHfcgAED7rzzzhDCjBkzysrKCgoK9tlnn4cffrh3796zZs1q/ngkAAAA8khI2ykXXXTR&#10;c889d+qpp3bu3DmVSu25554TJkx44403XFMNAADQ3rgL9M468cQTTzzRFeoAAADtnSPAAAAAREEA&#10;BgAAIAoCMAAAAFEQgAEAAIiCAAwAAEAUBGAAAACiIAADAAAQBQEYAACAKAjAAAAAREEABgAAIAoC&#10;MAAAAFEQgAEAAIiCAAwAAEAUBGAAAACiIAADAAAQBQEYAACAKAjAAAAARKEw3wUAAAC7vY2btvz+&#10;1UX5riKdysqqEMKri9/puWJdvmtp1YqVa/JdQgcnAAMAADvrsw3ljz01P99VpFNX0rNL35Jn5v+/&#10;os498l0LeSMAAwAAO65f7+7nfOWoTRU1+S6kDb+cf9fW9Z+ecMTBPfr0y3ctbRi+7+B8l9BhCcAA&#10;AMCO+9yAPt//9hn5rqJt/3nrlRvXh2suPnnIkCH5roW8cRMsAAAAoiAAAwAAEAUBGAAAgCgIwAAA&#10;AERBAAYAACAKAjAAAABREIABAACIggAMAABAFARgAAAAoiAAAwAAEAUBGAAAgCgIwAAAAERBAAYA&#10;ACAKAjAAAABREIABAACIggAMAABAFARgAAAAoiAAAwAAEAUBGAAAgCgIwAAAAERBAAYAACAKAjAA&#10;AABREIABAACIggAMAABAFARgAAAAoiAAAwAAEAUBGAAAgCgIwAAAAERBAAYAACAKAjAAAABREIAB&#10;AACIggAMAABAFARgAAAAoiAAAwAAEAUBGAAAgCgIwAAAAERBAAYAACAKAjAAAABREIABAACIggAM&#10;AABAFARgAAAAoiAAAwAAEAUBGAAAgCgIwAAAAERBAAYAACAKAjAAAABREIABAACIggAMAABAFARg&#10;AAAAoiAAAwAAEAUBGAAAgCgIwAAAAERBAAYAACAKAjAAAABREIABAACIggAMAABAFARgAAAAoiAA&#10;AwAAEAUBGAAAgCgIwAAAAERBAAYAACAKAjAAAABREIABAACIggAMAABAFARgAAAAoiAAAwAAEAUB&#10;GAAAgCgIwAAAAERBAAYAACAKAjAAAABREIABAACIggAMAABAFARgAAAAoiAAAwAAEAUBGAAAgCgI&#10;wAAAAERBAAYAACAKAjAAAABREIABAACIggAMAABAFARgAAAAoiAAAwAAEAUBGAAAgCgIwAAAAERB&#10;AAYAACAKAjAAAABREIABAACIggAMAABAFARgAAAAoiAAAwAAEAUBGAAAgCgIwAAAAERBAAYAACAK&#10;AjAAAABREIABAACIggAMAABAFARgAAAAoiAAAwAAEAUBGAAAgCgIwAAAAERBAAYAACAKAjAAAABR&#10;EIABAACIggAMAABAFARgAAAAoiAAAwAAEAUBGAAAgCgIwAAAAERBAAYAACAKAjAAAABREIABAACI&#10;ggAMAABAFARgAAAAoiAAAwAAEAUBGAAAgCgIwAAAAERBAAYAACAKhfkuAAAAYNeYPXv2pk2bWpy0&#10;efPmEMKsWbP22GOPFhuMGzeua9euWSyOdkAABgAAOoirr776j3/8Y5oG//qv/9rapFNPPVUA7vAE&#10;YAAAoIM499xzP/vssx2bV/qNgQAMAAB0EDfccEO+S6BdcxMsAAAAoiAAAwAAEAUBGAAAgCgIwAAA&#10;AERBAAYAACAKAjAAAABREIABAACIggAMAABAFARgAAAAoiAAAwAAEAUBGAAAgCgIwAAAAERBAAYA&#10;ACAKAjAAAABREIABAACIggAMAABAFARgAAAAoiAAAwAAEAUBGAAAgCgIwAAAAERBAAYAACAKAjAA&#10;AABREIABAACIggAMAABAFARgAAAAoiAAAwAAEAUBGAAAgCgIwAAAAERBAAYAACAKAjAAAABREIAB&#10;AACIggAMAABAFARgAAAAoiAAAwAAEAUBGAAAgCgIwAAAAERBAAYAACAKAjAAAABREIABAACIggAM&#10;AABAFARgAAAAoiAAAwAAEAUBuA233357nz59unXr1lqD5cuXT5w4ceDAgaWlpd26dTvttNPmzZuX&#10;ywoBAADIRGG+C2i/XnvttW9961uLFy9O02bRokWjR4/esGFD8rKysvLpp59++umn77nnnosuuign&#10;ZQIAAJARR4BbNnHixCOPPHLTpk1PPvlka23q6urGjRu3YcOGcePGLVu2rL6+fvXq1ZdddlkI4dJL&#10;L12zZk0O6wUAAKANAnDLZs6cOXny5Lfffvu0005rrc3cuXOXLFly5JFHPvTQQ0OGDAkhDBgw4Pbb&#10;bz/22GMrKysfeOCBHNYLAABAG5wC3bLNmzcXFxenbzNnzpwQwqRJk5qMnzhx4ksvvbRgwYJsFQcA&#10;AMD2cwS4ZW2m3xDCkiVLQghHH310k/GHHXZYCOG1117LRmEAAADsGAF4x7377rshhKFDhzYZ//nP&#10;fz6EsG7dutyXBAAAQGsE4B1XVVUVQujUqel7WFhY2DAVAACAdkIA3nHV1dU7v5Dy8vKVK1c2DP/8&#10;5z83bNiwYcOGDRs2bNiwYcMNw7fddlt9fX3YFaIOwL169SpopE+fPts1e+fOnUMINTU1TcbX1dWF&#10;zK4iBgAAII3a2tqampqCgoJdsrSChQsXhhBGjhy5Sxa3e+nVq1d5eXnDy759+3766afNmyXvdfOf&#10;HIYMGfLxxx+//fbbBx10UOPxH3300T777DN8+PBFixZlUsZ77723efPm7t2777ffftv9fwAAAOjQ&#10;amtr16xZs2rVqp3Jra+//nqI/Ajwn//85/pGWky/aSTv/uLFi5uMf/nll0MIhxxyyK6qEwAAIFqp&#10;VGpXLSrqALyTRo0aFUJoOEO9we233x5CGDNmTB5qAgAAoBUC8I674IILSkpKXnzxxUmTJq1atSqE&#10;8NFHH5133nmvvvrqvvvue9ZZZ+W7QAAAAP4q6muA0xgwYMDatWubj29ynfC999578cUXN2nTu3fv&#10;5557LvO39K233qqsrEylUsldtQAAAGisqqqqqqpq568BLtx1JXUoyZ2cm2vy1N+LLrroc5/73I9/&#10;/OP58+dXVVX169dvzJgxV1999ZAhQzJfV3J7rdra2s2bN+9MzQAAAKQhALcs8xtinXjiiSeeeOLO&#10;rKt///6Nb0YNAABANgjA+TdgwIABAwbkuwoAAIAOzk2wAAAAiIIADAAAQBQEYAAAAKIgAAMAABAF&#10;ARgAAIAoCMAAAABEQQAGAAAgCgIwAAAAURCAAQAAiIIADAAAQBQEYAAAAKIgAAMAABAFARgAAIAo&#10;CMAAAABEQQCGjmPNmjUTJ07s169faWnpfvvt98Mf/rCqqirfRdGu9erVq1evXvmuYrtVVVVNmjSp&#10;R48epaWl5513Xr7LgRjtpp8e7KbyuL3Z1DseAZj264ADDigoKCgtLf3Zz36WptncuXO7detWUFBw&#10;0EEH7fIa9ttvvwMOOGCXLzYb6/3ggw8OPfTQgQMHLl26tKKiYu7cuYsXLz7hhBMqKiqyVCS7nT59&#10;+jTZi5eXl5eXl+ernh02bdq0GTNmbNq0qbKycs6cOfkuh3bnrbfe6tatW3Fx8aRJk/Jdy66Xrx1T&#10;E7vppwftTfJlL1FYWNijR4+TTjrprrvuatIsj9ubTb3jEYBpv957770QQk1Nzfe+9700RzKnTJmS&#10;TF2yZMkur6G2traurm6XLzYb6z3vvPOuvfbaLVu29OnTp7i4+J/+6Z8efPDBnj17Xn/99Vkqkt3O&#10;hg0bOsZe/LHHHgshzJ49u76+/ve//32+y6Hdue+++7Zs2VJdXX3XXXdl70SYXr169enTJ0sLTyNf&#10;OybIhuTLXqK2tnbTpk3z5s379re/fcopp9TU1OSxMDowAZj27qtf/eqWLVseeuihFqe+/PLLb7/9&#10;9t///d9nae0ffvjh0qVLs7TwXbje1157bfXq1d/5znfWrVs3fvz4NWvW/Pa3v33mmWf+7d/+rfnP&#10;qLC7++ijj0IIZ599dgjhqKOOync5tDuzZs3q37//mWeemdVzBMrLyzds2JClhaeRrx0TZE/9X3z2&#10;2Wd33HFH9+7dn3322R/96Ef5rouOSQCmvfvOd74TQmgtxc2cOTOEcNlll+W0pvZn6dKljWNA8qNp&#10;7969jzrqqLVr1/oNlQ6mtrY2hNCpk10YLZg3b97KlSvPOeecc845J4TQ2u+nQDu0xx57TJw48e67&#10;7w46L1nj2wPt3SmnnDJ48OAFCxa89dZbTSatW7fuoYceGjZs2Je//OXmM3766afXXnvtiBEjSktL&#10;u3Tpcvjhhzf+JL3++uuLi4tPOeWUxrP86le/Ki4u/uY3v9kwpsUz3F5++eUTTjihS5cuBY00afbC&#10;Cy989atf7dKlS3Fx8T777PO9732vyYGCOXPmHHPMMV26dOnSpcvf/d3fvfzyy42ntrje559/fsyY&#10;McmNf/r06fONb3yjyVyJ+++/v3///t/85jdbfFugRffee++hhx5aXFw8YMCA733ve5s3b248tcVb&#10;gDTfSnv06DF27NgQwl133XXooYeWlpYOGDBg0qRJTZbWo0ePMWPGbNiwYcyYMcXFxU0O4b755psX&#10;XHBBr169iouLu3XrdsoppzQ+gterV6+CgoJkOOl6/fr1azx7m10vWXtdXd0Pf/jDIUOGlJaWjhgx&#10;4qmnntqut4v2bNasWSGEs88+++yzzy4pKfntb3/76aefNm/W5idqmm2p+XbYuIOk3/skku0whHD9&#10;9dcn2+HBBx/861//Opn6ox/9aO+9925t42yx62W4VafvXw1Ly6QjN/jxj3+cptr07+T21k8kzjrr&#10;rBDCsmXL0rTJpKOFnevpTaTfUYbM+hftwsKFCxcuXFgP7U+yidbX10+dOjWEcMUVVzRpcPPNN4cQ&#10;brzxxsaNGwwePLj5Bv/ggw8mU8vLy8vKykIIDz/8cDJm/fr1ffv2LSoqev/995vX0GDBggVFRUXN&#10;l9y7d++GNjNmzGje4Atf+EJ5eXnS4M4772wytWvXri3+3xvccsstzZfZvXv3ZOpLL72011571dfX&#10;X3LJJePHj//d736XSqU+/PDDBQsWDBs2bHvedTqy5ttVMubcc89tsmkde+yx6WdsbWmnnnpqcmZy&#10;+qWNHj161KhRydRUKtUw6cEHH0ylUs039auuuipp0LNnzyaT+vbt2zB7m10vWfuoUaNGjx7dpNlL&#10;L720I+8p7Ux1dXXXrl3LysqSl+eff34IYcaMGU2apf9ErW9rW2q+HTbeBaTf+yRa2w4feeSR448/&#10;Pv3GmYzMZGlNZmyzfzUsLcOOHP4SVNKsVK8kvebbc319fWVlZfjbLtm8WSYdbSd7euNVt7mjzLB/&#10;kV9J8hWAab8aPuySnwB79+5dXV3duMG+++6bSqVWr15d39In47Bhw37wgx8sW7asvr6+vLz84osv&#10;DiEceeSRDQ0efvjhEEJZWdmmTZvq6+svvfTSEMK0adNarKHBiSeeGEK48MILKysrKysrk7kuueSS&#10;hgZ/+MMfQgjDhw//3e9+V1tbW19fv2TJktNPPz2EcPXVVydtGrJ3bW1tdXX17Nmzhw8fnma9yTJD&#10;CDfffPO2bdvq6+vff//96dOn77///g1tvvCFL/ziF7+49NJLL7744vr6+r322uvGG28cPYMwIgAA&#10;DB1JREFUPXr0LbfckvFbTgfXfHtu2EN/97vfXbt2bW1t7eOPP969e/cQwsyZM9PMmH5pV1xxRdIx&#10;n3jiidaWlkql7r///vr6+oZ90HvvvZf8ujR58uSVK1fW19eXl5dfd911Sfv58+enryeTrte4yGnT&#10;plVWVq5du/bYY48NIZx55pnb+37SDs2ePTuEcOWVVyYvn3jiiRDCF7/4xcZt2vxE3a5tqXkNbe59&#10;6htth5MnT96yZcvatWuPO+645iOTMNxk40zT9dJs1dvbvzLsyOlXqlfSphb70a233hpCOP3009M0&#10;a7Oj7dqeHtLuKDPvX+SXAEx71/jDLvlh+J577mmYOn/+/MZ7x9a+iDRIbn7buXPnxiOTxV511VVv&#10;vPFGCGHYsGHJR2SLNSRKSkpCCA0/DSY/UjY+fjthwoQQwscff9x4rk2bNoUQ9t133+Rl8hvh+vXr&#10;M/m/Nyxz6tSpaf6Db7zxRv/+/W+88cZksX/4wx/OOOOMxjsPaO178yOPPNJ4ZPLN46yzzkozY5ql&#10;NZxV0XhpZ5xxRpNmybkbjV1xxRUhhEsvvbTJ+MmTJ4cQzj333PT1ZNL1Gua9+eabG8a88sor4W+P&#10;CbD7OvPMM0MICxYsSF7W1tYm31Mbn9rT5ifqdm1LbZbU4t4nmfeGG25oGJNshyGE6dOnN4xcuHBh&#10;842zta6Xfqve3v6VYUdOv1K9kjY12Z6XLVs2ffr05GtS41MAduBr3q7t6el3lJn3L/JLAKa9a/xh&#10;d99994W/PdskORflueeea944kwUm3n///aKiolQqtf/++4cQnn322TZnSX7hq6ysTF4mH5SNP3CH&#10;Dh0aWlFUVJS0Sb6ijRw58tVXX82k1GHDhoUQlixZkv4/uGzZsosvvrh3796pVOqQQw75yU9+kr49&#10;sWnte3OTZitWrAgh9OzZM32z7Vpa+jPZEgceeGAI4e23324yPnnCWf/+/dMvIZOu1+K8yS21Grdh&#10;N7V+/fpUKpVcD9IgOS70gx/8oGFMm5+oO7wttSaTzpJshy2ObHyZwHYtrXG1O9m/MunIzVeqV9Km&#10;1raQJlcuZNLdmrTJak9vsqPMvH+RXwIw7V3jT5zq6urkmqvkg2zt2rWpVGro0KEtNk4sW7bsyiuv&#10;HD58eOfOnRtfldFkLdOnT0/GNz7elWaxyQlpEyZMqKys3LZtW/LV6vjjj29o0OIVwonBgwcnbRqf&#10;7XbggQfeeOONja82ab7eZJkZv3PQsubbc2tfKTLZ/e/apdWn3c4zWUImXS/z/wu7o+T2CpMnT248&#10;8rnnngt/ezynzU/UndmW6jPb+2S+HWYybyYz7mT/yrBZiyvVK0mj8VZRVFQ0bNiwCRMmLF68uMVm&#10;jce02dGy3dMb94jM+xf5lSTfwtb+8NCuFBYWjh8/fsaMGTNnzvyP//iPu+66q7a2NgmfLXr55ZdP&#10;PvnkLVu2tLnkDz74IBl455136urq2nywyoknnjh//vy77rqr4clMRUVFDZd5NKhv/UfNEEK/fv1e&#10;eOGFF1544a677pozZ86UKVN+/OMfP/XUUyNHjmyzYMiNXfuQoZ1fWmFhRjus9F2Pji25B+xNN910&#10;0003NZn0/vvvv/baa0cccUTmS9uxbSnzvU+7kmH/2rGOrFfSpu3dSHZhR9uZ7TPDHpFh/yJnPAaJ&#10;3UYSd++5556ampqZM2emUqlLLrmktcb//M//vGXLlgsvvHDJkiXJjQ1a/IB7/vnnH3zwweHDhx92&#10;2GFLlixJbiudxm233TZ16tTTTz89ebpGSUnJ6NGjX3jhhWOOOaahzYABA0II7777bpv/oy9/+csP&#10;PfTQqlWrzj///LVr137rW99qrWW3bt1CCMuXL29zmbDzli5dGkLYY489GsYkP67X1dXtwNKSvtDk&#10;YUUtStaYrL2xd955J4SQ5ly1ROZdjw5p+fLlL730UpoGDzzwQDLQ5ifqzmxLGe59cm8n+1fmHbkx&#10;vZIsyaSjZbWnN9lR7mT/IscEYHYbI0aMOOywwzZs2HDBBRcsW7bslFNOGThwYGuNX3/99RDC3Xff&#10;fcABByS/z9XU1DRpU1VVlUToX/7yl7/85S9DCD/84Q//9Kc/palhypQpIYT//M//fOSRRyoqKioq&#10;Kv7rv/7r6KOPbtwmObf5nnvuyfD/tccee/zqV78KITR/0HGD5NbTyYXQsMs988wzjV8mh9Ea35O2&#10;S5cuIYTXXnutYczzzz+f4dKSh7Im93RN70tf+lJoqe/MnDkzhPCVr3wl/ezb2/XoYB588MEQwte+&#10;9rXm57wlH56//vWvkx9x2vxEzXBbavGHoUz2Pnmxvf1rhztyY3olWZJJR9tVPT2Rfke5k/svcs01&#10;wLRbySbaeEzjx7U9/fTTaRonzxm64YYbqqura2trn3322eHDhzdpM23atBDChRdemLxMwnD6p00k&#10;Dzx89NFH05TdcCfPyZMnJ7cWrK2tXbhw4dSpUxtuzTJs2LCbb745mbpt27bkDOoDDzywtfU+++yz&#10;IYRUKnXrrbcm96letmzZdddd5xm/bJfmfaqhQ02fPn39+vW1tbX33Xdfci1T48c2fO1rXwshHHfc&#10;catXr66urr711luT26G3trRp06YlS7vnnnuaL635jInf/e53jWevr69fuXJl8hjwkpKS9A/ors+s&#10;67U2b2slsRtJbkLz+OOPN59UXV3duXPn8Jc7Hbb5iZrhttS7d+8Qwp133llfX99w3+lM9j71+bgG&#10;eHv714515CYj9UralOEfukmzTDrarurpDT0izY4y8/5FfrkJFu1d88/ETZs2JZ84jW9O0GLj5Pb0&#10;jXXu3HmvvfZqaLNkyZJUKtW9e/fkIYf19fVr165Nnpbxm9/8Jk0No0aNSj5PO3fu3L179759+55+&#10;+ulN7lWYROvmGm4DmHwVa6Lx97bm623xgueSkpLteUeJXfPtKoQwatSoZKtu7Pzzz2/crPmZpccd&#10;d1wyV/PlJzeKa6zhZ6bWymiQPEmiiVQqNXv27EyW0GbXa23eNCWxW0geZde7d++GkyGbSH7ibNiw&#10;2/xEzWRbSp4Dn2i4yU2be59E5tth85GZjGlx5Hb1rx3ryM1H6pWkl+EfukmzDDvaLunpIbMdZYb9&#10;i/wSgGnvunfv3vhBLInkC0fjZye21viOO+445JBDkqR61llnLV68eNy4cQ2PcBg3blwqlWryoKAZ&#10;M2akUqnhw4e3ttgbbrihxQ/KEMIll1zSeFHz588/++yze/bsmRQwatSoqVOnNjxr7pVXXjn33HOT&#10;5xV17dr1a1/7WsPRgzT/95kzZ37xi18sKSkpKiraa6+9xo0b9+KLL6Z9C+FvNN+uunfvftZZZ1VW&#10;Vl599dV77rlnKpU68MADGz+Ns8FvfvOb4cOHp1KpwYMH/+AHP6itrT399NNbfDxpdXX1tGnTGpZ2&#10;6623tllGY4888sjJJ5+c3NWzb9++48eP/8Mf/tB8Ca09IDR912tt3jQLZLeQnEdzxRVXtNbglVde&#10;SaVSjTe8Nj9R29yWPvvss4b7QTQOh+n3PonMt8PmI1vsyBkuLZP+lXlHznCleiVppN8jNG7WZHvI&#10;pKPV74qenvmOMpP+RX4lybcgeca6e89CJgYOHLh69epf/OIXycPTQwhVVVXPPPPMmWee2blz561b&#10;t+a3PMivgoKC4I6vsJvTkYGOKrl63E2wYDuUl5eHELp27VpVVZWM2bBhQ3LTv8GDB+ezMgAAoC0C&#10;MGyHK6+8MoRw/vnnl5SUFBQUFBQU7Lnnnt/97ndLSkpuu+22fFcHAACk47nMsB2uv/76Aw44YNas&#10;WS+99FJVVVWnTp0GDx58wgknXHHFFQcddFC+q4M869mzZ75LAHaWjgx0bK4BBgAAoINzDTAAAAAR&#10;EYABAACIggAMAABAFARgAAAAoiAAAwAAEAUBGAAAgCgIwAAAAERBAAYAACAKAjAAAABREIABAACI&#10;ggAMAABAFARgAAAAoiAAAwAAEAUBGAAAgCgIwAAAAERBAAYAACAKAjAAAABREIABAACIggAMAABA&#10;FARgAAAAoiAAAwAAEAUBGAAAgCgIwAAAAERBAAYAACAKAjAAAABREIABAACIggAMAABAFARgAAAA&#10;olCY/PP666/ntw4AAADIKkeAAQAAiML/B4HwWhFuSdN8AAAAAElFTkSuQmCCUEsBAi0AFAAGAAgA&#10;AAAhALGCZ7YKAQAAEwIAABMAAAAAAAAAAAAAAAAAAAAAAFtDb250ZW50X1R5cGVzXS54bWxQSwEC&#10;LQAUAAYACAAAACEAOP0h/9YAAACUAQAACwAAAAAAAAAAAAAAAAA7AQAAX3JlbHMvLnJlbHNQSwEC&#10;LQAUAAYACAAAACEAVJz5E9AEAABbDwAADgAAAAAAAAAAAAAAAAA6AgAAZHJzL2Uyb0RvYy54bWxQ&#10;SwECLQAUAAYACAAAACEAqiYOvrwAAAAhAQAAGQAAAAAAAAAAAAAAAAA2BwAAZHJzL19yZWxzL2Uy&#10;b0RvYy54bWwucmVsc1BLAQItABQABgAIAAAAIQAMIuUa3wAAAAgBAAAPAAAAAAAAAAAAAAAAACkI&#10;AABkcnMvZG93bnJldi54bWxQSwECLQAKAAAAAAAAACEA6b11G49sAACPbAAAFAAAAAAAAAAAAAAA&#10;AAA1CQAAZHJzL21lZGlhL2ltYWdlMS5wbmdQSwUGAAAAAAYABgB8AQAA9n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76;top:40767;width:5740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14:paraId="230BF187" w14:textId="6BE6DD49" w:rsidR="0011764F" w:rsidRPr="00B76265" w:rsidRDefault="0011764F" w:rsidP="00021669">
                        <w:pPr>
                          <w:tabs>
                            <w:tab w:val="left" w:pos="3402"/>
                            <w:tab w:val="left" w:pos="5103"/>
                            <w:tab w:val="left" w:pos="7371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</w:rPr>
                          <w:tab/>
                        </w:r>
                        <w:r w:rsidR="00D97E23"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Pr="00DE0512">
                          <w:rPr>
                            <w:sz w:val="18"/>
                          </w:rPr>
                          <w:t>Paracetamol/Ibuprofén Vale</w:t>
                        </w:r>
                        <w:r w:rsidRPr="00B76265">
                          <w:rPr>
                            <w:sz w:val="18"/>
                          </w:rPr>
                          <w:tab/>
                        </w:r>
                        <w:r w:rsidRPr="00B76265">
                          <w:rPr>
                            <w:sz w:val="18"/>
                            <w:lang w:val="cs-CZ"/>
                          </w:rPr>
                          <w:t>Ibuprofén</w:t>
                        </w:r>
                        <w:r w:rsidRPr="00B76265">
                          <w:rPr>
                            <w:sz w:val="18"/>
                          </w:rPr>
                          <w:tab/>
                          <w:t>Acetamino</w:t>
                        </w:r>
                        <w:r>
                          <w:rPr>
                            <w:sz w:val="18"/>
                          </w:rPr>
                          <w:t>fén</w:t>
                        </w:r>
                        <w:r w:rsidRPr="00B76265">
                          <w:rPr>
                            <w:sz w:val="18"/>
                          </w:rPr>
                          <w:tab/>
                          <w:t>Placebo</w:t>
                        </w:r>
                      </w:p>
                    </w:txbxContent>
                  </v:textbox>
                </v:shape>
                <v:shape id="Text Box 2" o:spid="_x0000_s1028" type="#_x0000_t202" style="position:absolute;left:476;top:476;width:3149;height:4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7kVsIA&#10;AADaAAAADwAAAGRycy9kb3ducmV2LnhtbESPUWvCMBSF3wf+h3CFvc3UCjKqUaowGAyEueLzJbk2&#10;1eamNFnt9uuXgeDj4ZzzHc56O7pWDNSHxrOC+SwDQay9abhWUH29vbyCCBHZYOuZFPxQgO1m8rTG&#10;wvgbf9JwjLVIEA4FKrAxdoWUQVtyGGa+I07e2fcOY5J9LU2PtwR3rcyzbCkdNpwWLHa0t6Svx2+n&#10;YMh+K71ALz8Ol2V1LW2+Gw4npZ6nY7kCEWmMj/C9/W4ULOD/Sr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uRWwgAAANoAAAAPAAAAAAAAAAAAAAAAAJgCAABkcnMvZG93&#10;bnJldi54bWxQSwUGAAAAAAQABAD1AAAAhwMAAAAA&#10;" stroked="f">
                  <v:textbox style="layout-flow:vertical;mso-layout-flow-alt:bottom-to-top">
                    <w:txbxContent>
                      <w:p w14:paraId="7FCC370F" w14:textId="7DA26E96" w:rsidR="0011764F" w:rsidRPr="00021669" w:rsidRDefault="0011764F" w:rsidP="00021669">
                        <w:pPr>
                          <w:tabs>
                            <w:tab w:val="left" w:pos="3402"/>
                            <w:tab w:val="left" w:pos="5103"/>
                            <w:tab w:val="left" w:pos="7371"/>
                          </w:tabs>
                          <w:ind w:firstLine="1418"/>
                          <w:rPr>
                            <w:rFonts w:asciiTheme="minorHAnsi" w:hAnsiTheme="minorHAnsi" w:cstheme="minorHAnsi"/>
                            <w:sz w:val="19"/>
                            <w:szCs w:val="19"/>
                          </w:rPr>
                        </w:pPr>
                        <w:r w:rsidRPr="00B76265">
                          <w:rPr>
                            <w:sz w:val="19"/>
                            <w:szCs w:val="19"/>
                            <w:lang w:val="cs-CZ"/>
                          </w:rPr>
                          <w:t>Časovo upravený SPID (mm)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429;top:3333;width:54260;height:37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/6JjDAAAA2gAAAA8AAABkcnMvZG93bnJldi54bWxEj0uLwkAQhO8L/oehBW/rZAUfZJ3IIihC&#10;ZMHHxVuT6U1CMj0xM8b4750FwWNRVV9Ry1VvatFR60rLCr7GEQjizOqScwXn0+ZzAcJ5ZI21ZVLw&#10;IAerZPCxxFjbOx+oO/pcBAi7GBUU3jexlC4ryKAb24Y4eH+2NeiDbHOpW7wHuKnlJIpm0mDJYaHA&#10;htYFZdXxZhRsm3T/K+fzylxPs647bKZpihelRsP+5xuEp96/w6/2TiuYwP+VcANk8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T/omMMAAADaAAAADwAAAAAAAAAAAAAAAACf&#10;AgAAZHJzL2Rvd25yZXYueG1sUEsFBgAAAAAEAAQA9wAAAI8DAAAAAA==&#10;">
                  <v:imagedata r:id="rId13" o:title="Figure 3.1.1" croptop="3914f" cropbottom="4205f" cropleft="3588f"/>
                  <v:path arrowok="t"/>
                </v:shape>
                <v:shape id="Text Box 2" o:spid="_x0000_s1030" type="#_x0000_t202" style="position:absolute;width:5740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58A582DC" w14:textId="5B7959C4" w:rsidR="0011764F" w:rsidRPr="00B76265" w:rsidRDefault="0011764F" w:rsidP="00021669">
                        <w:pPr>
                          <w:tabs>
                            <w:tab w:val="left" w:pos="2977"/>
                          </w:tabs>
                          <w:ind w:firstLine="14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ab/>
                        </w:r>
                        <w:r w:rsidRPr="00B76265">
                          <w:rPr>
                            <w:sz w:val="20"/>
                            <w:szCs w:val="20"/>
                            <w:lang w:val="cs-CZ"/>
                          </w:rPr>
                          <w:t>Stredný odhad a 95% interval spoľahlivosti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199F2D6" w14:textId="77777777" w:rsidR="00F544CD" w:rsidRPr="00D97E23" w:rsidRDefault="00F544CD" w:rsidP="00C97B40">
      <w:pPr>
        <w:rPr>
          <w:b/>
          <w:bCs/>
          <w:szCs w:val="22"/>
          <w:lang w:eastAsia="en-US"/>
        </w:rPr>
      </w:pPr>
    </w:p>
    <w:p w14:paraId="57B80A90" w14:textId="11CFD9C4" w:rsidR="00C97B40" w:rsidRPr="00D97E23" w:rsidRDefault="00F544CD" w:rsidP="00F544CD">
      <w:pPr>
        <w:tabs>
          <w:tab w:val="left" w:pos="888"/>
        </w:tabs>
        <w:rPr>
          <w:szCs w:val="22"/>
        </w:rPr>
      </w:pPr>
      <w:r w:rsidRPr="00D97E23">
        <w:rPr>
          <w:szCs w:val="22"/>
        </w:rPr>
        <w:tab/>
      </w:r>
    </w:p>
    <w:p w14:paraId="4A7A2402" w14:textId="2A6DFF6C" w:rsidR="00C97B40" w:rsidRPr="00D97E23" w:rsidRDefault="00C97B40" w:rsidP="00C97B40">
      <w:pPr>
        <w:rPr>
          <w:sz w:val="20"/>
          <w:szCs w:val="20"/>
        </w:rPr>
      </w:pPr>
      <w:r w:rsidRPr="00D97E23">
        <w:rPr>
          <w:sz w:val="20"/>
          <w:szCs w:val="20"/>
        </w:rPr>
        <w:t>Poznámka: Acetamino</w:t>
      </w:r>
      <w:r w:rsidR="0007186C" w:rsidRPr="00D97E23">
        <w:rPr>
          <w:sz w:val="20"/>
          <w:szCs w:val="20"/>
        </w:rPr>
        <w:t>fén</w:t>
      </w:r>
      <w:r w:rsidRPr="00D97E23">
        <w:rPr>
          <w:sz w:val="20"/>
          <w:szCs w:val="20"/>
        </w:rPr>
        <w:t xml:space="preserve"> = paracetamol.</w:t>
      </w:r>
    </w:p>
    <w:p w14:paraId="388D9839" w14:textId="77777777" w:rsidR="00F544CD" w:rsidRPr="00D97E23" w:rsidRDefault="00F544CD" w:rsidP="00FD4DD8">
      <w:pPr>
        <w:rPr>
          <w:b/>
          <w:szCs w:val="22"/>
        </w:rPr>
      </w:pPr>
    </w:p>
    <w:p w14:paraId="4AC43791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5.2</w:t>
      </w:r>
      <w:r w:rsidRPr="00D97E23">
        <w:rPr>
          <w:b/>
          <w:szCs w:val="22"/>
        </w:rPr>
        <w:tab/>
        <w:t>Farmakokinetické vlastnosti</w:t>
      </w:r>
    </w:p>
    <w:p w14:paraId="6494A385" w14:textId="77777777" w:rsidR="00FD4DD8" w:rsidRPr="00D97E23" w:rsidRDefault="00FD4DD8" w:rsidP="00FD4DD8">
      <w:pPr>
        <w:rPr>
          <w:szCs w:val="22"/>
        </w:rPr>
      </w:pPr>
    </w:p>
    <w:p w14:paraId="35520A19" w14:textId="77777777" w:rsidR="00FD4DD8" w:rsidRPr="00D97E23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D97E23">
        <w:rPr>
          <w:noProof/>
          <w:u w:val="single"/>
        </w:rPr>
        <w:t>Absorpcia</w:t>
      </w:r>
    </w:p>
    <w:p w14:paraId="275A2053" w14:textId="58033329" w:rsidR="00D53B9C" w:rsidRPr="00D97E23" w:rsidRDefault="007671D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>Paracetamol/Ibuprofen Vale</w:t>
      </w:r>
      <w:r w:rsidR="00D53B9C" w:rsidRPr="00D97E23">
        <w:rPr>
          <w:noProof/>
        </w:rPr>
        <w:t xml:space="preserve"> </w:t>
      </w:r>
      <w:r w:rsidR="00D743A5" w:rsidRPr="00D97E23">
        <w:rPr>
          <w:noProof/>
        </w:rPr>
        <w:t>sa podáva</w:t>
      </w:r>
      <w:r w:rsidR="00D53B9C" w:rsidRPr="00D97E23">
        <w:rPr>
          <w:noProof/>
        </w:rPr>
        <w:t xml:space="preserve"> ako 15-minútová infúzia s maximálnou </w:t>
      </w:r>
      <w:r w:rsidR="00D743A5" w:rsidRPr="00D97E23">
        <w:rPr>
          <w:noProof/>
        </w:rPr>
        <w:t xml:space="preserve">plazmatickou </w:t>
      </w:r>
      <w:r w:rsidR="00D53B9C" w:rsidRPr="00D97E23">
        <w:rPr>
          <w:noProof/>
        </w:rPr>
        <w:t>koncentráciou</w:t>
      </w:r>
      <w:r w:rsidR="00D743A5" w:rsidRPr="00D97E23">
        <w:rPr>
          <w:noProof/>
        </w:rPr>
        <w:t xml:space="preserve"> liečiv</w:t>
      </w:r>
      <w:r w:rsidR="00D53B9C" w:rsidRPr="00D97E23">
        <w:rPr>
          <w:noProof/>
        </w:rPr>
        <w:t xml:space="preserve"> dosiahnut</w:t>
      </w:r>
      <w:r w:rsidR="008F54A7" w:rsidRPr="00D97E23">
        <w:rPr>
          <w:noProof/>
        </w:rPr>
        <w:t>ou</w:t>
      </w:r>
      <w:r w:rsidR="00D53B9C" w:rsidRPr="00D97E23">
        <w:rPr>
          <w:noProof/>
        </w:rPr>
        <w:t xml:space="preserve"> na konci infúzie. Dve </w:t>
      </w:r>
      <w:r w:rsidR="00D743A5" w:rsidRPr="00D97E23">
        <w:rPr>
          <w:noProof/>
        </w:rPr>
        <w:t>liečivá</w:t>
      </w:r>
      <w:r w:rsidR="00D53B9C" w:rsidRPr="00D97E23">
        <w:rPr>
          <w:noProof/>
        </w:rPr>
        <w:t xml:space="preserve"> v </w:t>
      </w:r>
      <w:r w:rsidR="0003758D" w:rsidRPr="00D97E23">
        <w:t>Paracetamol</w:t>
      </w:r>
      <w:r w:rsidR="00D743A5" w:rsidRPr="00D97E23">
        <w:t>e</w:t>
      </w:r>
      <w:r w:rsidR="0003758D" w:rsidRPr="00D97E23">
        <w:t>/Ibuprofen</w:t>
      </w:r>
      <w:r w:rsidR="00D743A5" w:rsidRPr="00D97E23">
        <w:t>e</w:t>
      </w:r>
      <w:r w:rsidR="0003758D" w:rsidRPr="00D97E23">
        <w:t xml:space="preserve"> Vale</w:t>
      </w:r>
      <w:r w:rsidR="00D53B9C" w:rsidRPr="00D97E23">
        <w:rPr>
          <w:noProof/>
        </w:rPr>
        <w:t xml:space="preserve"> dosahujú maximálne plazmatické </w:t>
      </w:r>
      <w:r w:rsidR="00D743A5" w:rsidRPr="00D97E23">
        <w:rPr>
          <w:noProof/>
        </w:rPr>
        <w:t>koncentrácie</w:t>
      </w:r>
      <w:r w:rsidR="00D53B9C" w:rsidRPr="00D97E23">
        <w:rPr>
          <w:noProof/>
        </w:rPr>
        <w:t xml:space="preserve"> v rovnakom časovom rámci a majú podobné plazmatické polčasy (paracetamol 2,39 ± 0,27 hodiny, ibuprofén 1,88 ± 0,28 hodiny).</w:t>
      </w:r>
    </w:p>
    <w:p w14:paraId="4796CF51" w14:textId="77777777" w:rsidR="00D53B9C" w:rsidRPr="00D97E23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7F9C34FB" w14:textId="5DFACDDB" w:rsidR="00D53B9C" w:rsidRPr="00D97E23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 xml:space="preserve">Farmakokinetické parametre </w:t>
      </w:r>
      <w:r w:rsidR="0003758D" w:rsidRPr="00D97E23">
        <w:t>Paracetamol</w:t>
      </w:r>
      <w:r w:rsidR="00D743A5" w:rsidRPr="00D97E23">
        <w:t>u</w:t>
      </w:r>
      <w:r w:rsidR="0003758D" w:rsidRPr="00D97E23">
        <w:t>/Ibuprofen</w:t>
      </w:r>
      <w:r w:rsidR="00D743A5" w:rsidRPr="00D97E23">
        <w:t>u</w:t>
      </w:r>
      <w:r w:rsidR="0003758D" w:rsidRPr="00D97E23">
        <w:t xml:space="preserve"> Vale</w:t>
      </w:r>
      <w:r w:rsidRPr="00D97E23">
        <w:rPr>
          <w:noProof/>
        </w:rPr>
        <w:t>, boli stanovené</w:t>
      </w:r>
      <w:r w:rsidR="00525EE1" w:rsidRPr="00D97E23">
        <w:rPr>
          <w:noProof/>
        </w:rPr>
        <w:t xml:space="preserve"> v</w:t>
      </w:r>
      <w:r w:rsidRPr="00D97E23">
        <w:rPr>
          <w:noProof/>
        </w:rPr>
        <w:t xml:space="preserve"> štúdií na 29 zdravých dobrovoľníkoch a sú uvedené v tabuľke </w:t>
      </w:r>
      <w:r w:rsidR="00B02360" w:rsidRPr="00D97E23">
        <w:rPr>
          <w:noProof/>
        </w:rPr>
        <w:t>2</w:t>
      </w:r>
      <w:r w:rsidRPr="00D97E23">
        <w:rPr>
          <w:noProof/>
        </w:rPr>
        <w:t>.</w:t>
      </w:r>
    </w:p>
    <w:p w14:paraId="26A98A3B" w14:textId="77777777" w:rsidR="00525EE1" w:rsidRPr="00D97E23" w:rsidRDefault="00525EE1" w:rsidP="00D53B9C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5128B573" w14:textId="1C543FBB" w:rsidR="00525EE1" w:rsidRPr="00D97E23" w:rsidRDefault="00525EE1" w:rsidP="00D53B9C">
      <w:pPr>
        <w:numPr>
          <w:ilvl w:val="12"/>
          <w:numId w:val="0"/>
        </w:numPr>
        <w:suppressLineNumbers/>
        <w:ind w:right="-2"/>
        <w:rPr>
          <w:b/>
          <w:bCs/>
          <w:noProof/>
        </w:rPr>
      </w:pPr>
      <w:r w:rsidRPr="00D97E23">
        <w:rPr>
          <w:b/>
          <w:bCs/>
          <w:noProof/>
        </w:rPr>
        <w:t xml:space="preserve">Tabuľka </w:t>
      </w:r>
      <w:r w:rsidR="00B02360" w:rsidRPr="00D97E23">
        <w:rPr>
          <w:b/>
          <w:bCs/>
          <w:noProof/>
        </w:rPr>
        <w:t>2</w:t>
      </w:r>
      <w:r w:rsidRPr="00D97E23">
        <w:rPr>
          <w:b/>
          <w:bCs/>
          <w:noProof/>
        </w:rPr>
        <w:t>: Priemerné (SD) farmakokinetické parametre paracetamolu a ibuprof</w:t>
      </w:r>
      <w:r w:rsidR="00B02360" w:rsidRPr="00D97E23">
        <w:rPr>
          <w:b/>
          <w:bCs/>
          <w:noProof/>
        </w:rPr>
        <w:t>é</w:t>
      </w:r>
      <w:r w:rsidRPr="00D97E23">
        <w:rPr>
          <w:b/>
          <w:bCs/>
          <w:noProof/>
        </w:rPr>
        <w:t>nu v každej z</w:t>
      </w:r>
      <w:r w:rsidR="00D97E23" w:rsidRPr="00D97E23">
        <w:rPr>
          <w:b/>
          <w:bCs/>
          <w:noProof/>
        </w:rPr>
        <w:t xml:space="preserve"> </w:t>
      </w:r>
      <w:r w:rsidRPr="00D97E23">
        <w:rPr>
          <w:b/>
          <w:bCs/>
          <w:noProof/>
        </w:rPr>
        <w:t>liečených skupín</w:t>
      </w:r>
    </w:p>
    <w:p w14:paraId="21C5E993" w14:textId="77777777" w:rsidR="00525EE1" w:rsidRPr="00D97E23" w:rsidRDefault="00525EE1" w:rsidP="00D53B9C">
      <w:pPr>
        <w:numPr>
          <w:ilvl w:val="12"/>
          <w:numId w:val="0"/>
        </w:numPr>
        <w:suppressLineNumbers/>
        <w:ind w:right="-2"/>
        <w:rPr>
          <w:b/>
          <w:bCs/>
          <w:noProof/>
        </w:rPr>
      </w:pPr>
    </w:p>
    <w:tbl>
      <w:tblPr>
        <w:tblW w:w="9067" w:type="dxa"/>
        <w:tblBorders>
          <w:top w:val="single" w:sz="12" w:space="0" w:color="BFBFBF" w:themeColor="background1" w:themeShade="BF"/>
          <w:left w:val="dotted" w:sz="4" w:space="0" w:color="auto"/>
          <w:bottom w:val="single" w:sz="12" w:space="0" w:color="BFBFBF" w:themeColor="background1" w:themeShade="BF"/>
          <w:right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37"/>
        <w:gridCol w:w="1937"/>
        <w:gridCol w:w="1938"/>
        <w:gridCol w:w="1417"/>
      </w:tblGrid>
      <w:tr w:rsidR="00525EE1" w:rsidRPr="00D97E23" w14:paraId="1D5B1FFD" w14:textId="77777777" w:rsidTr="00F66FA8">
        <w:trPr>
          <w:trHeight w:val="358"/>
        </w:trPr>
        <w:tc>
          <w:tcPr>
            <w:tcW w:w="1838" w:type="dxa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09E7C5A" w14:textId="7777777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</w:p>
        </w:tc>
        <w:tc>
          <w:tcPr>
            <w:tcW w:w="7229" w:type="dxa"/>
            <w:gridSpan w:val="4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B155B45" w14:textId="77777777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Liečba (priemer </w:t>
            </w: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GB"/>
              </w:rPr>
              <w:t>± SD)</w:t>
            </w:r>
          </w:p>
        </w:tc>
      </w:tr>
      <w:tr w:rsidR="00525EE1" w:rsidRPr="00D97E23" w14:paraId="637D9CC7" w14:textId="77777777" w:rsidTr="00F66FA8">
        <w:trPr>
          <w:trHeight w:val="759"/>
        </w:trPr>
        <w:tc>
          <w:tcPr>
            <w:tcW w:w="18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E6F00C" w14:textId="7777777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Paracetamol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9861CC" w14:textId="77777777" w:rsidR="007671DC" w:rsidRPr="00D97E23" w:rsidRDefault="007671DC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Paracetamol/</w:t>
            </w:r>
          </w:p>
          <w:p w14:paraId="421D44C1" w14:textId="6117B14C" w:rsidR="00525EE1" w:rsidRPr="00D97E23" w:rsidRDefault="007671DC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 Vale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r w:rsidR="00E3557E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i.v.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7E3700F" w14:textId="64F98ECB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Paracetamol </w:t>
            </w:r>
          </w:p>
          <w:p w14:paraId="6B4EE862" w14:textId="54E7E7F3" w:rsidR="00525EE1" w:rsidRPr="00D97E23" w:rsidRDefault="00E3557E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i.v.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464DF0" w14:textId="77777777" w:rsidR="007671DC" w:rsidRPr="00D97E23" w:rsidRDefault="007671DC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Paracetamol/</w:t>
            </w:r>
          </w:p>
          <w:p w14:paraId="25ADA26B" w14:textId="5FBA25D3" w:rsidR="00525EE1" w:rsidRPr="00D97E23" w:rsidRDefault="007671DC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 Vale</w:t>
            </w:r>
            <w:r w:rsidR="00E3557E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polovičná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dávka</w:t>
            </w:r>
          </w:p>
          <w:p w14:paraId="113CB1D9" w14:textId="0349F39C" w:rsidR="00525EE1" w:rsidRPr="00D97E23" w:rsidRDefault="00E3557E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i.v.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E1B3F51" w14:textId="77777777" w:rsidR="00021CA1" w:rsidRPr="00D97E23" w:rsidRDefault="00021CA1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Paracetamol/</w:t>
            </w:r>
          </w:p>
          <w:p w14:paraId="19BF1BA1" w14:textId="471366FC" w:rsidR="00525EE1" w:rsidRPr="00D97E23" w:rsidRDefault="00021CA1" w:rsidP="00F66FA8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Ibuprofén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r w:rsidR="00E3557E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t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ablety</w:t>
            </w:r>
          </w:p>
          <w:p w14:paraId="5393ADC1" w14:textId="4DA1ABAD" w:rsidR="00525EE1" w:rsidRPr="00D97E23" w:rsidRDefault="00E3557E" w:rsidP="00F66FA8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eroráln</w:t>
            </w: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tablet</w:t>
            </w: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</w:p>
        </w:tc>
      </w:tr>
      <w:tr w:rsidR="00525EE1" w:rsidRPr="00D97E23" w14:paraId="55E6898C" w14:textId="77777777" w:rsidTr="00F66FA8">
        <w:trPr>
          <w:trHeight w:val="483"/>
        </w:trPr>
        <w:tc>
          <w:tcPr>
            <w:tcW w:w="18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F46C10" w14:textId="4E43EB75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C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max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(ng/m</w:t>
            </w:r>
            <w:r w:rsidR="00E3557E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E27FA0" w14:textId="7D43E618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709,57</w:t>
            </w:r>
          </w:p>
          <w:p w14:paraId="7F46E07B" w14:textId="30DF2D4B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5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814,74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D1EDA33" w14:textId="74D628B4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236,06</w:t>
            </w:r>
          </w:p>
          <w:p w14:paraId="03A5B8C3" w14:textId="56E47CCC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5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430,52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7ADC957" w14:textId="7A1E2CA8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12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880,39</w:t>
            </w:r>
          </w:p>
          <w:p w14:paraId="3111C06F" w14:textId="72A413CD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2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553,15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103426" w14:textId="4F2F35CE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907,16</w:t>
            </w:r>
          </w:p>
          <w:p w14:paraId="35AD56C5" w14:textId="6130018A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6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255,10</w:t>
            </w:r>
          </w:p>
        </w:tc>
      </w:tr>
      <w:tr w:rsidR="00525EE1" w:rsidRPr="00D97E23" w14:paraId="393C6FDE" w14:textId="77777777" w:rsidTr="00F66FA8">
        <w:trPr>
          <w:trHeight w:val="54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37B2BA" w14:textId="1EACB8A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0-t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(ng.h/m</w:t>
            </w:r>
            <w:r w:rsidR="00E3557E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BD04E81" w14:textId="7CD95269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37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553,97</w:t>
            </w:r>
          </w:p>
          <w:p w14:paraId="616088E6" w14:textId="383B80E1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816,96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F70B7D2" w14:textId="16947E3F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35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846,20</w:t>
            </w:r>
          </w:p>
          <w:p w14:paraId="3248CC15" w14:textId="59BBEC16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8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734,15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2DC9FE79" w14:textId="1B98A513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18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327,40</w:t>
            </w:r>
          </w:p>
          <w:p w14:paraId="39342E51" w14:textId="4A017848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4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758,34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1A268" w14:textId="500D2A91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980,80</w:t>
            </w:r>
          </w:p>
          <w:p w14:paraId="68204679" w14:textId="2426EE58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430,21</w:t>
            </w:r>
          </w:p>
        </w:tc>
      </w:tr>
      <w:tr w:rsidR="00525EE1" w:rsidRPr="00D97E23" w14:paraId="33D28308" w14:textId="77777777" w:rsidTr="00F66FA8">
        <w:trPr>
          <w:trHeight w:val="56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E9C5E4E" w14:textId="6334ADA4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0-∞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(ng.h/m</w:t>
            </w:r>
            <w:r w:rsidR="00E3557E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FDABB31" w14:textId="5DCBFF98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419,95</w:t>
            </w:r>
          </w:p>
          <w:p w14:paraId="754C0D01" w14:textId="76194B79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1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0630,63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019BE723" w14:textId="195CE07C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37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651,43</w:t>
            </w:r>
          </w:p>
          <w:p w14:paraId="54FEE249" w14:textId="77777777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9454,60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513BE9AE" w14:textId="35704CB5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337,01</w:t>
            </w:r>
          </w:p>
          <w:p w14:paraId="02809161" w14:textId="303B7A78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5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146,46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55EF90" w14:textId="04926E81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37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023,82</w:t>
            </w:r>
          </w:p>
          <w:p w14:paraId="10D41912" w14:textId="00A5F7C0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10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388,31</w:t>
            </w:r>
          </w:p>
        </w:tc>
      </w:tr>
      <w:tr w:rsidR="00525EE1" w:rsidRPr="00D97E23" w14:paraId="4A149C2A" w14:textId="77777777" w:rsidTr="00F66FA8">
        <w:trPr>
          <w:trHeight w:val="55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DF9AC4A" w14:textId="7777777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max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(h)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E535950" w14:textId="738D1BC3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BE3000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E964860" w14:textId="076EF34A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BE3000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26635D73" w14:textId="467823A4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BE3000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04BEB2" w14:textId="77777777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0,73 ± 0,42</w:t>
            </w:r>
          </w:p>
        </w:tc>
      </w:tr>
      <w:tr w:rsidR="00525EE1" w:rsidRPr="00D97E23" w14:paraId="60F37120" w14:textId="77777777" w:rsidTr="00F66FA8">
        <w:trPr>
          <w:trHeight w:val="552"/>
        </w:trPr>
        <w:tc>
          <w:tcPr>
            <w:tcW w:w="1838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B7C782" w14:textId="7777777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1/2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(h)</w:t>
            </w:r>
          </w:p>
        </w:tc>
        <w:tc>
          <w:tcPr>
            <w:tcW w:w="1937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C6D8E50" w14:textId="77777777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2,39 ± 0,27</w:t>
            </w:r>
          </w:p>
        </w:tc>
        <w:tc>
          <w:tcPr>
            <w:tcW w:w="1937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1F93C7F" w14:textId="77777777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2,38 ± 0,25</w:t>
            </w:r>
          </w:p>
        </w:tc>
        <w:tc>
          <w:tcPr>
            <w:tcW w:w="1938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192BF23" w14:textId="77777777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2,44 ± 0,25</w:t>
            </w:r>
          </w:p>
        </w:tc>
        <w:tc>
          <w:tcPr>
            <w:tcW w:w="1417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5BB63E0" w14:textId="77777777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2,51 ± 0,33</w:t>
            </w:r>
          </w:p>
        </w:tc>
      </w:tr>
      <w:tr w:rsidR="00525EE1" w:rsidRPr="00D97E23" w14:paraId="36FFE7FB" w14:textId="77777777" w:rsidTr="00F66FA8">
        <w:trPr>
          <w:trHeight w:val="540"/>
        </w:trPr>
        <w:tc>
          <w:tcPr>
            <w:tcW w:w="18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47AFEA" w14:textId="76F657A6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Ibuprof</w:t>
            </w:r>
            <w:r w:rsidR="00E3557E" w:rsidRPr="00D97E23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é</w:t>
            </w:r>
            <w:r w:rsidRPr="00D97E23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n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FB76E6" w14:textId="77777777" w:rsidR="007671DC" w:rsidRPr="00D97E23" w:rsidRDefault="007671DC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Paracetamol/</w:t>
            </w:r>
          </w:p>
          <w:p w14:paraId="77507706" w14:textId="638D6ACC" w:rsidR="00525EE1" w:rsidRPr="00D97E23" w:rsidRDefault="007671DC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 Vale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r w:rsidR="00E3557E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i.v.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4F30907" w14:textId="14C14254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</w:t>
            </w:r>
            <w:r w:rsidR="00E3557E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é</w:t>
            </w: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n </w:t>
            </w:r>
          </w:p>
          <w:p w14:paraId="5AAE4874" w14:textId="6EABD68B" w:rsidR="00525EE1" w:rsidRPr="00D97E23" w:rsidRDefault="00E3557E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i.v.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</w:t>
            </w: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úzia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, 15 min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904B310" w14:textId="77777777" w:rsidR="007671DC" w:rsidRPr="003444F6" w:rsidRDefault="007671DC" w:rsidP="00A12ECE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3444F6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Paracetamol/</w:t>
            </w:r>
          </w:p>
          <w:p w14:paraId="09727466" w14:textId="51527C38" w:rsidR="00525EE1" w:rsidRPr="00D97E23" w:rsidRDefault="007671DC" w:rsidP="00A12ECE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 Vale</w:t>
            </w:r>
            <w:r w:rsidR="00E3557E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polovičná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dávka</w:t>
            </w:r>
          </w:p>
          <w:p w14:paraId="06E83344" w14:textId="64745592" w:rsidR="00525EE1" w:rsidRPr="00D97E23" w:rsidRDefault="00E3557E" w:rsidP="00A12ECE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i.v.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8FB6860" w14:textId="77777777" w:rsidR="00021CA1" w:rsidRPr="00D97E23" w:rsidRDefault="00021CA1" w:rsidP="00021CA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Paracetamol/</w:t>
            </w:r>
          </w:p>
          <w:p w14:paraId="4055E852" w14:textId="5E03AB16" w:rsidR="00525EE1" w:rsidRPr="00D97E23" w:rsidRDefault="00021CA1" w:rsidP="00525EE1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Ibuprofén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r w:rsidR="00E3557E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t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ablety</w:t>
            </w:r>
          </w:p>
          <w:p w14:paraId="3ABE70F3" w14:textId="21FDA829" w:rsidR="00525EE1" w:rsidRPr="00D97E23" w:rsidRDefault="00E3557E" w:rsidP="00525EE1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eroráln</w:t>
            </w: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  <w:r w:rsidR="00525EE1"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tablet</w:t>
            </w:r>
            <w:r w:rsidRPr="00D97E23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</w:p>
        </w:tc>
      </w:tr>
      <w:tr w:rsidR="00525EE1" w:rsidRPr="00D97E23" w14:paraId="6F1E62A8" w14:textId="77777777" w:rsidTr="00F66FA8">
        <w:trPr>
          <w:trHeight w:val="558"/>
        </w:trPr>
        <w:tc>
          <w:tcPr>
            <w:tcW w:w="18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2734986" w14:textId="1B28E05F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C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max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(ng/m</w:t>
            </w:r>
            <w:r w:rsidR="00E3557E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BD85C24" w14:textId="43715851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506,69</w:t>
            </w:r>
          </w:p>
          <w:p w14:paraId="6653AF56" w14:textId="74BA2BD6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6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874,06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37A6390" w14:textId="023FEFD3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40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292,97</w:t>
            </w:r>
          </w:p>
          <w:p w14:paraId="794A65AC" w14:textId="69E02833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7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460,04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2B79EF" w14:textId="277575F8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20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352,05</w:t>
            </w:r>
          </w:p>
          <w:p w14:paraId="3CF1A8CE" w14:textId="603B8515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3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090,87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E5BEA8" w14:textId="44541015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637,38</w:t>
            </w:r>
          </w:p>
          <w:p w14:paraId="11CFE204" w14:textId="67F9CAE5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5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178,29</w:t>
            </w:r>
          </w:p>
        </w:tc>
      </w:tr>
      <w:tr w:rsidR="00525EE1" w:rsidRPr="00D97E23" w14:paraId="226397B8" w14:textId="77777777" w:rsidTr="00F66FA8">
        <w:trPr>
          <w:trHeight w:val="54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BBBB180" w14:textId="0A346E30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0-t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(ng.h/m</w:t>
            </w:r>
            <w:r w:rsidR="00E3557E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A95800C" w14:textId="6E5602E6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73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492,69</w:t>
            </w:r>
          </w:p>
          <w:p w14:paraId="045E32A4" w14:textId="25309B5E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16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509,61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CC96EBC" w14:textId="57730F5C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72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169,59</w:t>
            </w:r>
          </w:p>
          <w:p w14:paraId="46A9DBC4" w14:textId="74211D4D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15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608,70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7D60D441" w14:textId="666D563C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642,48</w:t>
            </w:r>
          </w:p>
          <w:p w14:paraId="06BBAA97" w14:textId="0B923350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9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679,16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8C28C3" w14:textId="74E9A827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70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417,75</w:t>
            </w:r>
          </w:p>
          <w:p w14:paraId="6404ACBC" w14:textId="42E4CEC3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16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260,16</w:t>
            </w:r>
          </w:p>
        </w:tc>
      </w:tr>
      <w:tr w:rsidR="00525EE1" w:rsidRPr="00D97E23" w14:paraId="4F89E5D5" w14:textId="77777777" w:rsidTr="00F66FA8">
        <w:trPr>
          <w:trHeight w:val="556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1C02524" w14:textId="1873DA7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0-∞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(ng.h/m</w:t>
            </w:r>
            <w:r w:rsidR="00E3557E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35DB1DE" w14:textId="54C52AE8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74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743,31</w:t>
            </w:r>
          </w:p>
          <w:p w14:paraId="5C7D58AE" w14:textId="2B0BE43E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17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388,69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FBFEC8B" w14:textId="356E0DDB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73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410,65</w:t>
            </w:r>
          </w:p>
          <w:p w14:paraId="10E26877" w14:textId="5A166033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16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500,76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58CE5A25" w14:textId="02C72CAD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40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333,88</w:t>
            </w:r>
          </w:p>
          <w:p w14:paraId="7F653121" w14:textId="2E09AD8F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10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240,30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1AAA35" w14:textId="5EDCEC93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72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202,48</w:t>
            </w:r>
          </w:p>
          <w:p w14:paraId="6200B0C2" w14:textId="5C6CA628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17</w:t>
            </w:r>
            <w:r w:rsidR="0000560D"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445,46</w:t>
            </w:r>
          </w:p>
        </w:tc>
      </w:tr>
      <w:tr w:rsidR="00525EE1" w:rsidRPr="00D97E23" w14:paraId="04ABAFC7" w14:textId="77777777" w:rsidTr="00F66FA8">
        <w:trPr>
          <w:trHeight w:val="55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842F0AC" w14:textId="7777777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max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(h)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B17DD96" w14:textId="09FC288B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C611C0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1D9C9AF0" w14:textId="29AC076F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C611C0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1BF09BB1" w14:textId="47A5E3DF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C611C0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91991C" w14:textId="77777777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1,49 ± 0,89</w:t>
            </w:r>
          </w:p>
        </w:tc>
      </w:tr>
      <w:tr w:rsidR="00525EE1" w:rsidRPr="00D97E23" w14:paraId="54EF0FF8" w14:textId="77777777" w:rsidTr="00F66FA8">
        <w:trPr>
          <w:trHeight w:val="55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9830849" w14:textId="77777777" w:rsidR="00525EE1" w:rsidRPr="00D97E23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1/2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(h)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2E1ABB1" w14:textId="77777777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1,88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0,28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684709A" w14:textId="77777777" w:rsidR="00525EE1" w:rsidRPr="00D97E23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1,87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0,27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01E0B2D8" w14:textId="77777777" w:rsidR="00525EE1" w:rsidRPr="00D97E23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1,88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39B55A" w14:textId="77777777" w:rsidR="00525EE1" w:rsidRPr="00D97E23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1,99 </w:t>
            </w:r>
            <w:r w:rsidRPr="00D97E23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0,36</w:t>
            </w:r>
          </w:p>
        </w:tc>
      </w:tr>
    </w:tbl>
    <w:p w14:paraId="72447881" w14:textId="671D9956" w:rsidR="00525EE1" w:rsidRPr="00D97E23" w:rsidRDefault="00525EE1" w:rsidP="007C383E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 xml:space="preserve">Poznámka: </w:t>
      </w:r>
      <w:r w:rsidR="007C383E" w:rsidRPr="00D97E23">
        <w:rPr>
          <w:noProof/>
        </w:rPr>
        <w:t>Paracetamol/Ibuprofén</w:t>
      </w:r>
      <w:r w:rsidRPr="00D97E23">
        <w:rPr>
          <w:noProof/>
        </w:rPr>
        <w:t xml:space="preserve"> tablety =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>paracetamol 500 mg/ibuprofén 150 mg filmom obalené tablety.</w:t>
      </w:r>
    </w:p>
    <w:p w14:paraId="47CFDDC8" w14:textId="77777777" w:rsidR="00525EE1" w:rsidRPr="00D97E23" w:rsidRDefault="00525EE1" w:rsidP="00D53B9C">
      <w:pPr>
        <w:numPr>
          <w:ilvl w:val="12"/>
          <w:numId w:val="0"/>
        </w:numPr>
        <w:suppressLineNumbers/>
        <w:ind w:right="-2"/>
        <w:rPr>
          <w:b/>
          <w:bCs/>
          <w:noProof/>
        </w:rPr>
      </w:pPr>
    </w:p>
    <w:p w14:paraId="0C7C114F" w14:textId="71435C58" w:rsidR="00525EE1" w:rsidRPr="00D97E23" w:rsidRDefault="00525EE1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>Farmakokinetické parametre jednoraz</w:t>
      </w:r>
      <w:r w:rsidR="00E3557E" w:rsidRPr="00D97E23">
        <w:rPr>
          <w:noProof/>
        </w:rPr>
        <w:t>ových</w:t>
      </w:r>
      <w:r w:rsidR="0097091B" w:rsidRPr="00D97E23">
        <w:rPr>
          <w:noProof/>
        </w:rPr>
        <w:t xml:space="preserve"> </w:t>
      </w:r>
      <w:r w:rsidRPr="00D97E23">
        <w:rPr>
          <w:noProof/>
        </w:rPr>
        <w:t>dáv</w:t>
      </w:r>
      <w:r w:rsidR="00E3557E" w:rsidRPr="00D97E23">
        <w:rPr>
          <w:noProof/>
        </w:rPr>
        <w:t>ok</w:t>
      </w:r>
      <w:r w:rsidRPr="00D97E23">
        <w:rPr>
          <w:noProof/>
        </w:rPr>
        <w:t xml:space="preserve"> </w:t>
      </w:r>
      <w:r w:rsidR="00186547" w:rsidRPr="00D97E23">
        <w:rPr>
          <w:noProof/>
        </w:rPr>
        <w:t>Paracetamol</w:t>
      </w:r>
      <w:r w:rsidR="00E3557E" w:rsidRPr="00D97E23">
        <w:rPr>
          <w:noProof/>
        </w:rPr>
        <w:t>u</w:t>
      </w:r>
      <w:r w:rsidR="00186547" w:rsidRPr="00D97E23">
        <w:rPr>
          <w:noProof/>
        </w:rPr>
        <w:t>/Ibuprofen</w:t>
      </w:r>
      <w:r w:rsidR="00E3557E" w:rsidRPr="00D97E23">
        <w:rPr>
          <w:noProof/>
        </w:rPr>
        <w:t>u</w:t>
      </w:r>
      <w:r w:rsidR="00186547" w:rsidRPr="00D97E23">
        <w:rPr>
          <w:noProof/>
        </w:rPr>
        <w:t xml:space="preserve"> Vale</w:t>
      </w:r>
      <w:r w:rsidRPr="00D97E23">
        <w:rPr>
          <w:noProof/>
        </w:rPr>
        <w:t xml:space="preserve"> podan</w:t>
      </w:r>
      <w:r w:rsidR="00E3557E" w:rsidRPr="00D97E23">
        <w:rPr>
          <w:noProof/>
        </w:rPr>
        <w:t>ých</w:t>
      </w:r>
      <w:r w:rsidRPr="00D97E23">
        <w:rPr>
          <w:noProof/>
        </w:rPr>
        <w:t xml:space="preserve"> intravenózne alebo </w:t>
      </w:r>
      <w:r w:rsidR="00E3557E" w:rsidRPr="00D97E23">
        <w:rPr>
          <w:noProof/>
        </w:rPr>
        <w:t>per</w:t>
      </w:r>
      <w:r w:rsidRPr="00D97E23">
        <w:rPr>
          <w:noProof/>
        </w:rPr>
        <w:t xml:space="preserve">orálne boli podobné, </w:t>
      </w:r>
      <w:r w:rsidR="00E3557E" w:rsidRPr="00D97E23">
        <w:rPr>
          <w:noProof/>
        </w:rPr>
        <w:t>okrem</w:t>
      </w:r>
      <w:r w:rsidRPr="00D97E23">
        <w:rPr>
          <w:noProof/>
        </w:rPr>
        <w:t xml:space="preserve"> </w:t>
      </w:r>
      <w:r w:rsidR="00E3557E" w:rsidRPr="00D97E23">
        <w:rPr>
          <w:noProof/>
        </w:rPr>
        <w:t>C</w:t>
      </w:r>
      <w:r w:rsidRPr="00D97E23">
        <w:rPr>
          <w:noProof/>
          <w:vertAlign w:val="subscript"/>
        </w:rPr>
        <w:t>max</w:t>
      </w:r>
      <w:r w:rsidR="007849A1" w:rsidRPr="00D97E23">
        <w:rPr>
          <w:noProof/>
          <w:vertAlign w:val="subscript"/>
        </w:rPr>
        <w:t xml:space="preserve"> </w:t>
      </w:r>
      <w:r w:rsidR="007849A1" w:rsidRPr="00D97E23">
        <w:rPr>
          <w:noProof/>
        </w:rPr>
        <w:t xml:space="preserve">po </w:t>
      </w:r>
      <w:r w:rsidRPr="00D97E23">
        <w:rPr>
          <w:noProof/>
        </w:rPr>
        <w:t>intravenózn</w:t>
      </w:r>
      <w:r w:rsidR="00E3557E" w:rsidRPr="00D97E23">
        <w:rPr>
          <w:noProof/>
        </w:rPr>
        <w:t>om podaní, ktorá bola</w:t>
      </w:r>
      <w:r w:rsidRPr="00D97E23">
        <w:rPr>
          <w:noProof/>
        </w:rPr>
        <w:t xml:space="preserve"> </w:t>
      </w:r>
      <w:r w:rsidRPr="00D97E23">
        <w:rPr>
          <w:noProof/>
        </w:rPr>
        <w:lastRenderedPageBreak/>
        <w:t xml:space="preserve">dvojnásobná oproti </w:t>
      </w:r>
      <w:r w:rsidR="00E3557E" w:rsidRPr="00D97E23">
        <w:rPr>
          <w:noProof/>
        </w:rPr>
        <w:t>per</w:t>
      </w:r>
      <w:r w:rsidR="007849A1" w:rsidRPr="00D97E23">
        <w:rPr>
          <w:noProof/>
        </w:rPr>
        <w:t>orálne</w:t>
      </w:r>
      <w:r w:rsidR="00E3557E" w:rsidRPr="00D97E23">
        <w:rPr>
          <w:noProof/>
        </w:rPr>
        <w:t>mu podaniu</w:t>
      </w:r>
      <w:r w:rsidRPr="00D97E23">
        <w:rPr>
          <w:noProof/>
        </w:rPr>
        <w:t>,</w:t>
      </w:r>
      <w:r w:rsidR="00E3557E" w:rsidRPr="00D97E23">
        <w:rPr>
          <w:noProof/>
        </w:rPr>
        <w:t xml:space="preserve"> ako sa očakávalo</w:t>
      </w:r>
      <w:r w:rsidR="0097091B" w:rsidRPr="00D97E23">
        <w:rPr>
          <w:noProof/>
        </w:rPr>
        <w:t>;</w:t>
      </w:r>
      <w:r w:rsidRPr="00D97E23">
        <w:rPr>
          <w:noProof/>
        </w:rPr>
        <w:t xml:space="preserve"> T</w:t>
      </w:r>
      <w:r w:rsidRPr="00D97E23">
        <w:rPr>
          <w:noProof/>
          <w:vertAlign w:val="subscript"/>
        </w:rPr>
        <w:t>max</w:t>
      </w:r>
      <w:r w:rsidRPr="00D97E23">
        <w:rPr>
          <w:noProof/>
        </w:rPr>
        <w:t xml:space="preserve"> po intravenózn</w:t>
      </w:r>
      <w:r w:rsidR="00E3557E" w:rsidRPr="00D97E23">
        <w:rPr>
          <w:noProof/>
        </w:rPr>
        <w:t>om podaní</w:t>
      </w:r>
      <w:r w:rsidRPr="00D97E23">
        <w:rPr>
          <w:noProof/>
        </w:rPr>
        <w:t xml:space="preserve"> </w:t>
      </w:r>
      <w:r w:rsidR="007849A1" w:rsidRPr="00D97E23">
        <w:rPr>
          <w:noProof/>
        </w:rPr>
        <w:t>bol dosiahnutý</w:t>
      </w:r>
      <w:r w:rsidRPr="00D97E23">
        <w:rPr>
          <w:noProof/>
        </w:rPr>
        <w:t xml:space="preserve"> oveľa rýchlejšie (v </w:t>
      </w:r>
      <w:r w:rsidR="007849A1" w:rsidRPr="00D97E23">
        <w:rPr>
          <w:noProof/>
        </w:rPr>
        <w:t xml:space="preserve">priebehu </w:t>
      </w:r>
      <w:r w:rsidRPr="00D97E23">
        <w:rPr>
          <w:noProof/>
        </w:rPr>
        <w:t xml:space="preserve">15 minút) </w:t>
      </w:r>
      <w:r w:rsidR="00E3557E" w:rsidRPr="00D97E23">
        <w:rPr>
          <w:noProof/>
        </w:rPr>
        <w:t>ako po perorálnom podaní.</w:t>
      </w:r>
    </w:p>
    <w:p w14:paraId="0EB0BA66" w14:textId="77777777" w:rsidR="00D53B9C" w:rsidRPr="00D97E23" w:rsidRDefault="00D53B9C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2CEBA576" w14:textId="77777777" w:rsidR="00FD4DD8" w:rsidRPr="00D97E23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D97E23">
        <w:rPr>
          <w:noProof/>
          <w:u w:val="single"/>
        </w:rPr>
        <w:t>Distribúcia</w:t>
      </w:r>
    </w:p>
    <w:p w14:paraId="67376181" w14:textId="77777777" w:rsidR="00D53B9C" w:rsidRPr="00D97E23" w:rsidRDefault="00D53B9C" w:rsidP="00FD4DD8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>Paracetamol je distribuovaný do väčšiny telesných tkanív. Ibuprof</w:t>
      </w:r>
      <w:r w:rsidR="008F54A7" w:rsidRPr="00D97E23">
        <w:rPr>
          <w:noProof/>
        </w:rPr>
        <w:t>é</w:t>
      </w:r>
      <w:r w:rsidRPr="00D97E23">
        <w:rPr>
          <w:noProof/>
        </w:rPr>
        <w:t>n je vysoko viazaný (90-99%) na plazmatické proteíny.</w:t>
      </w:r>
    </w:p>
    <w:p w14:paraId="52A47032" w14:textId="77777777" w:rsidR="00D53B9C" w:rsidRPr="00D97E23" w:rsidRDefault="00D53B9C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0971224E" w14:textId="77777777" w:rsidR="00FD4DD8" w:rsidRPr="00D97E23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D97E23">
        <w:rPr>
          <w:noProof/>
          <w:u w:val="single"/>
        </w:rPr>
        <w:t>Biotransformácia</w:t>
      </w:r>
    </w:p>
    <w:p w14:paraId="62C6C248" w14:textId="3C8941F7" w:rsidR="00D53B9C" w:rsidRPr="00D97E23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 xml:space="preserve">Paracetamol sa </w:t>
      </w:r>
      <w:r w:rsidR="00E3557E" w:rsidRPr="00D97E23">
        <w:rPr>
          <w:noProof/>
        </w:rPr>
        <w:t>extenzívne</w:t>
      </w:r>
      <w:r w:rsidR="005F3DA0" w:rsidRPr="00D97E23">
        <w:rPr>
          <w:noProof/>
        </w:rPr>
        <w:t xml:space="preserve"> </w:t>
      </w:r>
      <w:r w:rsidRPr="00D97E23">
        <w:rPr>
          <w:noProof/>
        </w:rPr>
        <w:t xml:space="preserve">metabolizuje v pečeni a vylučuje močom, najmä </w:t>
      </w:r>
      <w:r w:rsidR="00E3557E" w:rsidRPr="00D97E23">
        <w:rPr>
          <w:noProof/>
        </w:rPr>
        <w:t>vo forme</w:t>
      </w:r>
      <w:r w:rsidRPr="00D97E23">
        <w:rPr>
          <w:noProof/>
        </w:rPr>
        <w:t xml:space="preserve"> neaktívn</w:t>
      </w:r>
      <w:r w:rsidR="00E3557E" w:rsidRPr="00D97E23">
        <w:rPr>
          <w:noProof/>
        </w:rPr>
        <w:t>ych</w:t>
      </w:r>
      <w:r w:rsidRPr="00D97E23">
        <w:rPr>
          <w:noProof/>
        </w:rPr>
        <w:t xml:space="preserve"> glukoronidov</w:t>
      </w:r>
      <w:r w:rsidR="00E3557E" w:rsidRPr="00D97E23">
        <w:rPr>
          <w:noProof/>
        </w:rPr>
        <w:t>ých</w:t>
      </w:r>
      <w:r w:rsidRPr="00D97E23">
        <w:rPr>
          <w:noProof/>
        </w:rPr>
        <w:t xml:space="preserve"> a sulfátov</w:t>
      </w:r>
      <w:r w:rsidR="00E3557E" w:rsidRPr="00D97E23">
        <w:rPr>
          <w:noProof/>
        </w:rPr>
        <w:t>ých</w:t>
      </w:r>
      <w:r w:rsidRPr="00D97E23">
        <w:rPr>
          <w:noProof/>
        </w:rPr>
        <w:t xml:space="preserve"> konjugát</w:t>
      </w:r>
      <w:r w:rsidR="00E3557E" w:rsidRPr="00D97E23">
        <w:rPr>
          <w:noProof/>
        </w:rPr>
        <w:t>ov</w:t>
      </w:r>
      <w:r w:rsidRPr="00D97E23">
        <w:rPr>
          <w:noProof/>
        </w:rPr>
        <w:t>. Menej ako 5% sa vylučuje v nezmenenej podobe. Metabolity paracetamolu zahŕňajú minoritný hydroxylovaný medziprodukt, ktorý má hepatotoxickú aktivitu. Tento aktívny medziprodukt je detoxikovaný konjugáciou s glutatiónom, môže sa však hromadiť po predávkovaní paracetamolom</w:t>
      </w:r>
      <w:r w:rsidR="00E3557E" w:rsidRPr="00D97E23">
        <w:rPr>
          <w:noProof/>
        </w:rPr>
        <w:t>,</w:t>
      </w:r>
      <w:r w:rsidRPr="00D97E23">
        <w:rPr>
          <w:noProof/>
        </w:rPr>
        <w:t xml:space="preserve"> a ak sa nelieči, má potenciál spôsobiť vážne až nevratné poškodenie pečene.</w:t>
      </w:r>
    </w:p>
    <w:p w14:paraId="7E1822CA" w14:textId="77777777" w:rsidR="00D53B9C" w:rsidRPr="00D97E23" w:rsidRDefault="00D53B9C" w:rsidP="00FD4DD8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7EFB8907" w14:textId="7C497842" w:rsidR="00D53B9C" w:rsidRPr="00D97E23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>Ibuprof</w:t>
      </w:r>
      <w:r w:rsidR="00E3557E" w:rsidRPr="00D97E23">
        <w:rPr>
          <w:noProof/>
        </w:rPr>
        <w:t>é</w:t>
      </w:r>
      <w:r w:rsidRPr="00D97E23">
        <w:rPr>
          <w:noProof/>
        </w:rPr>
        <w:t>n sa extenzívne metabolizuje na neaktívne zlúčeniny v pečeni, hlavne glukuronidáciou.</w:t>
      </w:r>
    </w:p>
    <w:p w14:paraId="12C4D63E" w14:textId="77777777" w:rsidR="00D53B9C" w:rsidRPr="00D97E23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ab/>
      </w:r>
    </w:p>
    <w:p w14:paraId="245BD660" w14:textId="3E9DEACC" w:rsidR="00D53B9C" w:rsidRPr="00D97E23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D97E23">
        <w:rPr>
          <w:noProof/>
        </w:rPr>
        <w:t>V</w:t>
      </w:r>
      <w:r w:rsidR="00D97E23" w:rsidRPr="00D97E23">
        <w:rPr>
          <w:noProof/>
        </w:rPr>
        <w:t xml:space="preserve"> </w:t>
      </w:r>
      <w:r w:rsidRPr="00D97E23">
        <w:rPr>
          <w:noProof/>
        </w:rPr>
        <w:t xml:space="preserve">klinickej štúdii </w:t>
      </w:r>
      <w:r w:rsidR="00F33C6A" w:rsidRPr="00D97E23">
        <w:rPr>
          <w:noProof/>
        </w:rPr>
        <w:t xml:space="preserve">po jednorazovom podaní </w:t>
      </w:r>
      <w:r w:rsidRPr="00D97E23">
        <w:rPr>
          <w:noProof/>
        </w:rPr>
        <w:t>bol účinok ibuprofénu na oxida</w:t>
      </w:r>
      <w:r w:rsidR="00F33C6A" w:rsidRPr="00D97E23">
        <w:rPr>
          <w:noProof/>
        </w:rPr>
        <w:t>čný</w:t>
      </w:r>
      <w:r w:rsidRPr="00D97E23">
        <w:rPr>
          <w:noProof/>
        </w:rPr>
        <w:t xml:space="preserve"> metabolizmus paracetamolu hodnotený u zdravých dobrovoľníkov nalačno. Výsledky štúdie naznačili, že ibuprofén nezmenil množstvo paracetamolu prichádzajúceho do oxida</w:t>
      </w:r>
      <w:r w:rsidR="00F33C6A" w:rsidRPr="00D97E23">
        <w:rPr>
          <w:noProof/>
        </w:rPr>
        <w:t>čného</w:t>
      </w:r>
      <w:r w:rsidRPr="00D97E23">
        <w:rPr>
          <w:noProof/>
        </w:rPr>
        <w:t xml:space="preserve"> metabolizmu, pretože množstvo paracetamolu a jeho metabolitov (</w:t>
      </w:r>
      <w:r w:rsidR="00F33C6A" w:rsidRPr="00D97E23">
        <w:rPr>
          <w:noProof/>
        </w:rPr>
        <w:t xml:space="preserve">paracetamol vo forme </w:t>
      </w:r>
      <w:r w:rsidR="00AB242C" w:rsidRPr="00D97E23">
        <w:rPr>
          <w:noProof/>
        </w:rPr>
        <w:t>tio-</w:t>
      </w:r>
      <w:r w:rsidRPr="00D97E23">
        <w:rPr>
          <w:noProof/>
        </w:rPr>
        <w:t>, cysteín</w:t>
      </w:r>
      <w:r w:rsidR="00AB242C" w:rsidRPr="00D97E23">
        <w:rPr>
          <w:noProof/>
        </w:rPr>
        <w:t>ových</w:t>
      </w:r>
      <w:r w:rsidRPr="00D97E23">
        <w:rPr>
          <w:noProof/>
        </w:rPr>
        <w:t>, glukuronid</w:t>
      </w:r>
      <w:r w:rsidR="00AB242C" w:rsidRPr="00D97E23">
        <w:rPr>
          <w:noProof/>
        </w:rPr>
        <w:t>ových</w:t>
      </w:r>
      <w:r w:rsidRPr="00D97E23">
        <w:rPr>
          <w:noProof/>
        </w:rPr>
        <w:t xml:space="preserve"> a</w:t>
      </w:r>
      <w:r w:rsidR="00AB242C" w:rsidRPr="00D97E23">
        <w:rPr>
          <w:noProof/>
        </w:rPr>
        <w:t> </w:t>
      </w:r>
      <w:r w:rsidRPr="00D97E23">
        <w:rPr>
          <w:noProof/>
        </w:rPr>
        <w:t>s</w:t>
      </w:r>
      <w:r w:rsidR="00F33C6A" w:rsidRPr="00D97E23">
        <w:rPr>
          <w:noProof/>
        </w:rPr>
        <w:t>íran</w:t>
      </w:r>
      <w:r w:rsidR="00AB242C" w:rsidRPr="00D97E23">
        <w:rPr>
          <w:noProof/>
        </w:rPr>
        <w:t>ových metabolitov</w:t>
      </w:r>
      <w:r w:rsidRPr="00D97E23">
        <w:rPr>
          <w:noProof/>
        </w:rPr>
        <w:t>) zostalo podobné, ako v prípade samostatného podávania paracetamolu, tak i pri sú</w:t>
      </w:r>
      <w:r w:rsidR="00F33C6A" w:rsidRPr="00D97E23">
        <w:rPr>
          <w:noProof/>
        </w:rPr>
        <w:t>bežnom</w:t>
      </w:r>
      <w:r w:rsidRPr="00D97E23">
        <w:rPr>
          <w:noProof/>
        </w:rPr>
        <w:t xml:space="preserve"> podávaní s ibuprofénom (ako fixná kombinácia).</w:t>
      </w:r>
    </w:p>
    <w:p w14:paraId="723BF025" w14:textId="77777777" w:rsidR="00D53B9C" w:rsidRPr="00D97E23" w:rsidRDefault="00D53B9C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33C62F0D" w14:textId="7A6E10D6" w:rsidR="00D53B9C" w:rsidRPr="00D97E23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D97E23">
        <w:rPr>
          <w:noProof/>
          <w:u w:val="single"/>
        </w:rPr>
        <w:t>Eliminácia</w:t>
      </w:r>
    </w:p>
    <w:p w14:paraId="5507CC75" w14:textId="434CC14B" w:rsidR="00D53B9C" w:rsidRPr="00D97E23" w:rsidRDefault="000446FE" w:rsidP="00D53B9C">
      <w:pPr>
        <w:rPr>
          <w:noProof/>
        </w:rPr>
      </w:pPr>
      <w:r w:rsidRPr="00D97E23">
        <w:rPr>
          <w:noProof/>
        </w:rPr>
        <w:t>Eliminačný p</w:t>
      </w:r>
      <w:r w:rsidR="00D53B9C" w:rsidRPr="00D97E23">
        <w:rPr>
          <w:noProof/>
        </w:rPr>
        <w:t>olčas paracetamolu sa pohybuje od</w:t>
      </w:r>
      <w:r w:rsidR="00D97E23" w:rsidRPr="00D97E23">
        <w:rPr>
          <w:noProof/>
        </w:rPr>
        <w:t xml:space="preserve"> </w:t>
      </w:r>
      <w:r w:rsidR="00D53B9C" w:rsidRPr="00D97E23">
        <w:rPr>
          <w:noProof/>
        </w:rPr>
        <w:t>1 do 3 hodín.</w:t>
      </w:r>
    </w:p>
    <w:p w14:paraId="273B7577" w14:textId="77777777" w:rsidR="00D53B9C" w:rsidRPr="00D97E23" w:rsidRDefault="00D53B9C" w:rsidP="00D53B9C">
      <w:pPr>
        <w:rPr>
          <w:noProof/>
        </w:rPr>
      </w:pPr>
    </w:p>
    <w:p w14:paraId="2F162701" w14:textId="63395A88" w:rsidR="00FD4DD8" w:rsidRPr="00D97E23" w:rsidRDefault="00D53B9C" w:rsidP="00D53B9C">
      <w:pPr>
        <w:ind w:left="0" w:firstLine="0"/>
        <w:rPr>
          <w:noProof/>
        </w:rPr>
      </w:pPr>
      <w:r w:rsidRPr="00D97E23">
        <w:rPr>
          <w:noProof/>
        </w:rPr>
        <w:t>Neaktívne metabolity, aj malé množstvo nezmeneného ibuprofénu sú úplne a okamžite vylučované obličkami, pričom 95% podanej dávky sa vylúči močom do štyroch hodín po požití. Eliminačný polčas ibuprofénu je v rozmedzí 1,9 až 2,2 hodiny.</w:t>
      </w:r>
    </w:p>
    <w:p w14:paraId="7FE323DB" w14:textId="77777777" w:rsidR="00D53B9C" w:rsidRPr="00D97E23" w:rsidRDefault="00D53B9C" w:rsidP="00D53B9C">
      <w:pPr>
        <w:rPr>
          <w:szCs w:val="22"/>
        </w:rPr>
      </w:pPr>
    </w:p>
    <w:p w14:paraId="47E3883C" w14:textId="77777777" w:rsidR="00FD4DD8" w:rsidRPr="00D97E23" w:rsidRDefault="00FD4DD8" w:rsidP="00FD4DD8">
      <w:pPr>
        <w:keepNext/>
        <w:rPr>
          <w:szCs w:val="22"/>
        </w:rPr>
      </w:pPr>
      <w:r w:rsidRPr="00D97E23">
        <w:rPr>
          <w:b/>
          <w:szCs w:val="22"/>
        </w:rPr>
        <w:t>5.3</w:t>
      </w:r>
      <w:r w:rsidRPr="00D97E23">
        <w:rPr>
          <w:b/>
          <w:szCs w:val="22"/>
        </w:rPr>
        <w:tab/>
        <w:t>Predklinické údaje o bezpečnosti</w:t>
      </w:r>
    </w:p>
    <w:p w14:paraId="7EEE536A" w14:textId="77777777" w:rsidR="00FD4DD8" w:rsidRPr="00D97E23" w:rsidRDefault="00FD4DD8" w:rsidP="00FD4DD8">
      <w:pPr>
        <w:keepNext/>
        <w:rPr>
          <w:szCs w:val="22"/>
        </w:rPr>
      </w:pPr>
    </w:p>
    <w:p w14:paraId="1802FFBF" w14:textId="585A9568" w:rsidR="00C97B40" w:rsidRPr="00D97E23" w:rsidRDefault="00EA6A7E" w:rsidP="00EA6A7E">
      <w:pPr>
        <w:ind w:left="0" w:firstLine="0"/>
        <w:rPr>
          <w:szCs w:val="22"/>
        </w:rPr>
      </w:pPr>
      <w:r w:rsidRPr="00D97E23">
        <w:rPr>
          <w:szCs w:val="22"/>
        </w:rPr>
        <w:t xml:space="preserve">V štúdiách toxicity po jednorazovom a opakovanom podaní </w:t>
      </w:r>
      <w:r w:rsidR="00EB33A9" w:rsidRPr="00D97E23">
        <w:rPr>
          <w:szCs w:val="22"/>
        </w:rPr>
        <w:t>na</w:t>
      </w:r>
      <w:r w:rsidRPr="00D97E23">
        <w:rPr>
          <w:szCs w:val="22"/>
        </w:rPr>
        <w:t xml:space="preserve"> potkano</w:t>
      </w:r>
      <w:r w:rsidR="00EB33A9" w:rsidRPr="00D97E23">
        <w:rPr>
          <w:szCs w:val="22"/>
        </w:rPr>
        <w:t>ch</w:t>
      </w:r>
      <w:r w:rsidRPr="00D97E23">
        <w:rPr>
          <w:szCs w:val="22"/>
        </w:rPr>
        <w:t xml:space="preserve"> sú</w:t>
      </w:r>
      <w:r w:rsidR="00EB33A9" w:rsidRPr="00D97E23">
        <w:rPr>
          <w:szCs w:val="22"/>
        </w:rPr>
        <w:t>bežné</w:t>
      </w:r>
      <w:r w:rsidRPr="00D97E23">
        <w:rPr>
          <w:szCs w:val="22"/>
        </w:rPr>
        <w:t xml:space="preserve"> pod</w:t>
      </w:r>
      <w:r w:rsidR="00EB33A9" w:rsidRPr="00D97E23">
        <w:rPr>
          <w:szCs w:val="22"/>
        </w:rPr>
        <w:t>anie</w:t>
      </w:r>
      <w:r w:rsidRPr="00D97E23">
        <w:rPr>
          <w:szCs w:val="22"/>
        </w:rPr>
        <w:t xml:space="preserve"> paracetamolu a ibuprofénu v pomere zodpovedajúcom pomeru v </w:t>
      </w:r>
      <w:r w:rsidR="00A1367A" w:rsidRPr="00D97E23">
        <w:rPr>
          <w:szCs w:val="22"/>
        </w:rPr>
        <w:t>Paracetamol</w:t>
      </w:r>
      <w:r w:rsidR="00EB33A9" w:rsidRPr="00D97E23">
        <w:rPr>
          <w:szCs w:val="22"/>
        </w:rPr>
        <w:t>e</w:t>
      </w:r>
      <w:r w:rsidR="00A1367A" w:rsidRPr="00D97E23">
        <w:rPr>
          <w:szCs w:val="22"/>
        </w:rPr>
        <w:t>/Ibuprofen</w:t>
      </w:r>
      <w:r w:rsidR="00EB33A9" w:rsidRPr="00D97E23">
        <w:rPr>
          <w:szCs w:val="22"/>
        </w:rPr>
        <w:t>e</w:t>
      </w:r>
      <w:r w:rsidR="00A1367A" w:rsidRPr="00D97E23">
        <w:rPr>
          <w:szCs w:val="22"/>
        </w:rPr>
        <w:t xml:space="preserve"> Vale</w:t>
      </w:r>
      <w:r w:rsidRPr="00D97E23">
        <w:rPr>
          <w:szCs w:val="22"/>
        </w:rPr>
        <w:t xml:space="preserve"> (pri pomere paracetamolu k ibuprofénu 3,3</w:t>
      </w:r>
      <w:r w:rsidR="00EB33A9" w:rsidRPr="00D97E23">
        <w:rPr>
          <w:szCs w:val="22"/>
        </w:rPr>
        <w:t>:</w:t>
      </w:r>
      <w:r w:rsidRPr="00D97E23">
        <w:rPr>
          <w:szCs w:val="22"/>
        </w:rPr>
        <w:t>1) a pri hladin</w:t>
      </w:r>
      <w:r w:rsidR="008F54A7" w:rsidRPr="00D97E23">
        <w:rPr>
          <w:szCs w:val="22"/>
        </w:rPr>
        <w:t>e</w:t>
      </w:r>
      <w:r w:rsidRPr="00D97E23">
        <w:rPr>
          <w:szCs w:val="22"/>
        </w:rPr>
        <w:t xml:space="preserve"> dávok približne rovnak</w:t>
      </w:r>
      <w:r w:rsidR="008F54A7" w:rsidRPr="00D97E23">
        <w:rPr>
          <w:szCs w:val="22"/>
        </w:rPr>
        <w:t>ej</w:t>
      </w:r>
      <w:r w:rsidRPr="00D97E23">
        <w:rPr>
          <w:szCs w:val="22"/>
        </w:rPr>
        <w:t xml:space="preserve"> ako tie, ktoré by pacienti dostávali pri použití </w:t>
      </w:r>
      <w:r w:rsidR="00A1367A" w:rsidRPr="00D97E23">
        <w:rPr>
          <w:szCs w:val="22"/>
        </w:rPr>
        <w:t>Paracetamol/Ibuprofen Vale</w:t>
      </w:r>
      <w:r w:rsidRPr="00D97E23">
        <w:rPr>
          <w:szCs w:val="22"/>
        </w:rPr>
        <w:t xml:space="preserve"> pri maximálnej odporúčanej dávke nezvyšovali riziko gastrointestinálnej toxicity alebo renálnej toxicity.</w:t>
      </w:r>
    </w:p>
    <w:p w14:paraId="461A0E24" w14:textId="77777777" w:rsidR="00EA6A7E" w:rsidRPr="00D97E23" w:rsidRDefault="00EA6A7E" w:rsidP="00C97B40">
      <w:pPr>
        <w:rPr>
          <w:szCs w:val="22"/>
        </w:rPr>
      </w:pPr>
    </w:p>
    <w:p w14:paraId="709D470E" w14:textId="729FB72B" w:rsidR="00FD4DD8" w:rsidRPr="00D97E23" w:rsidRDefault="00C97B40" w:rsidP="00C97B40">
      <w:pPr>
        <w:ind w:left="0" w:firstLine="0"/>
        <w:rPr>
          <w:szCs w:val="22"/>
        </w:rPr>
      </w:pPr>
      <w:r w:rsidRPr="00D97E23">
        <w:rPr>
          <w:szCs w:val="22"/>
        </w:rPr>
        <w:t xml:space="preserve">Účinok </w:t>
      </w:r>
      <w:r w:rsidR="00EB33A9" w:rsidRPr="00D97E23">
        <w:rPr>
          <w:szCs w:val="22"/>
        </w:rPr>
        <w:t>jednorazových</w:t>
      </w:r>
      <w:r w:rsidRPr="00D97E23">
        <w:rPr>
          <w:szCs w:val="22"/>
        </w:rPr>
        <w:t xml:space="preserve"> intravenóznych alebo perivenóznych dávok </w:t>
      </w:r>
      <w:r w:rsidR="00A1367A" w:rsidRPr="00D97E23">
        <w:rPr>
          <w:szCs w:val="22"/>
        </w:rPr>
        <w:t>Paracetamol</w:t>
      </w:r>
      <w:r w:rsidR="00EB33A9" w:rsidRPr="00D97E23">
        <w:rPr>
          <w:szCs w:val="22"/>
        </w:rPr>
        <w:t>u</w:t>
      </w:r>
      <w:r w:rsidR="00A1367A" w:rsidRPr="00D97E23">
        <w:rPr>
          <w:szCs w:val="22"/>
        </w:rPr>
        <w:t>/Ibuprofen</w:t>
      </w:r>
      <w:r w:rsidR="00EB33A9" w:rsidRPr="00D97E23">
        <w:rPr>
          <w:szCs w:val="22"/>
        </w:rPr>
        <w:t>u</w:t>
      </w:r>
      <w:r w:rsidR="00A1367A" w:rsidRPr="00D97E23">
        <w:rPr>
          <w:szCs w:val="22"/>
        </w:rPr>
        <w:t xml:space="preserve"> Vale</w:t>
      </w:r>
      <w:r w:rsidR="00EB33A9" w:rsidRPr="00D97E23">
        <w:rPr>
          <w:szCs w:val="22"/>
        </w:rPr>
        <w:t xml:space="preserve"> </w:t>
      </w:r>
      <w:r w:rsidRPr="00D97E23">
        <w:rPr>
          <w:szCs w:val="22"/>
        </w:rPr>
        <w:t>v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>štúdii akútne</w:t>
      </w:r>
      <w:r w:rsidR="00E07E10" w:rsidRPr="00D97E23">
        <w:rPr>
          <w:szCs w:val="22"/>
        </w:rPr>
        <w:t>j</w:t>
      </w:r>
      <w:r w:rsidRPr="00D97E23">
        <w:rPr>
          <w:szCs w:val="22"/>
        </w:rPr>
        <w:t xml:space="preserve"> lokálne</w:t>
      </w:r>
      <w:r w:rsidR="00E07E10" w:rsidRPr="00D97E23">
        <w:rPr>
          <w:szCs w:val="22"/>
        </w:rPr>
        <w:t>j</w:t>
      </w:r>
      <w:r w:rsidRPr="00D97E23">
        <w:rPr>
          <w:szCs w:val="22"/>
        </w:rPr>
        <w:t xml:space="preserve"> </w:t>
      </w:r>
      <w:r w:rsidR="00E07E10" w:rsidRPr="00D97E23">
        <w:rPr>
          <w:szCs w:val="22"/>
        </w:rPr>
        <w:t xml:space="preserve">dráždivosti </w:t>
      </w:r>
      <w:r w:rsidR="00180881" w:rsidRPr="00D97E23">
        <w:rPr>
          <w:szCs w:val="22"/>
        </w:rPr>
        <w:t>na</w:t>
      </w:r>
      <w:r w:rsidR="00BA7F7E" w:rsidRPr="00D97E23">
        <w:rPr>
          <w:szCs w:val="22"/>
        </w:rPr>
        <w:t xml:space="preserve"> </w:t>
      </w:r>
      <w:r w:rsidRPr="00D97E23">
        <w:rPr>
          <w:szCs w:val="22"/>
        </w:rPr>
        <w:t>samco</w:t>
      </w:r>
      <w:r w:rsidR="00180881" w:rsidRPr="00D97E23">
        <w:rPr>
          <w:szCs w:val="22"/>
        </w:rPr>
        <w:t>ch</w:t>
      </w:r>
      <w:r w:rsidRPr="00D97E23">
        <w:rPr>
          <w:szCs w:val="22"/>
        </w:rPr>
        <w:t xml:space="preserve"> králikov ukázal, že </w:t>
      </w:r>
      <w:r w:rsidR="00504319" w:rsidRPr="00D97E23">
        <w:rPr>
          <w:szCs w:val="22"/>
        </w:rPr>
        <w:t xml:space="preserve">Paracetamol/Ibuprofen Vale </w:t>
      </w:r>
      <w:r w:rsidRPr="00D97E23">
        <w:rPr>
          <w:szCs w:val="22"/>
        </w:rPr>
        <w:t xml:space="preserve">má nízky potenciál vyvolať lokálne podráždenie, keď sa podáva intravenózne v odporúčanej dávke. </w:t>
      </w:r>
      <w:r w:rsidR="00E07E10" w:rsidRPr="00D97E23">
        <w:rPr>
          <w:szCs w:val="22"/>
        </w:rPr>
        <w:t>P</w:t>
      </w:r>
      <w:r w:rsidRPr="00D97E23">
        <w:rPr>
          <w:szCs w:val="22"/>
        </w:rPr>
        <w:t xml:space="preserve">ri vykonávaní </w:t>
      </w:r>
      <w:r w:rsidRPr="00D97E23">
        <w:rPr>
          <w:i/>
          <w:iCs/>
          <w:szCs w:val="22"/>
        </w:rPr>
        <w:t>in vitro</w:t>
      </w:r>
      <w:r w:rsidRPr="00D97E23">
        <w:rPr>
          <w:szCs w:val="22"/>
        </w:rPr>
        <w:t xml:space="preserve"> hodnotenia kompatibility s krvou nebola </w:t>
      </w:r>
      <w:r w:rsidR="00E07E10" w:rsidRPr="00D97E23">
        <w:rPr>
          <w:szCs w:val="22"/>
        </w:rPr>
        <w:t xml:space="preserve">okrem toho </w:t>
      </w:r>
      <w:r w:rsidRPr="00D97E23">
        <w:rPr>
          <w:szCs w:val="22"/>
        </w:rPr>
        <w:t xml:space="preserve">pozorovaná žiadna ďalšia hemolýza, flokulácia/zrážanie plazmatických bielkovín alebo agregácia </w:t>
      </w:r>
      <w:r w:rsidR="00E07E10" w:rsidRPr="00D97E23">
        <w:rPr>
          <w:szCs w:val="22"/>
        </w:rPr>
        <w:t xml:space="preserve">krvných </w:t>
      </w:r>
      <w:r w:rsidRPr="00D97E23">
        <w:rPr>
          <w:szCs w:val="22"/>
        </w:rPr>
        <w:t>doštičiek</w:t>
      </w:r>
      <w:r w:rsidR="00D97E23" w:rsidRPr="00D97E23">
        <w:rPr>
          <w:szCs w:val="22"/>
        </w:rPr>
        <w:t xml:space="preserve"> </w:t>
      </w:r>
      <w:r w:rsidR="00A1367A" w:rsidRPr="00D97E23">
        <w:rPr>
          <w:szCs w:val="22"/>
        </w:rPr>
        <w:t>Paracetamol</w:t>
      </w:r>
      <w:r w:rsidR="00E07E10" w:rsidRPr="00D97E23">
        <w:rPr>
          <w:szCs w:val="22"/>
        </w:rPr>
        <w:t>om</w:t>
      </w:r>
      <w:r w:rsidR="00A1367A" w:rsidRPr="00D97E23">
        <w:rPr>
          <w:szCs w:val="22"/>
        </w:rPr>
        <w:t>/Ibuprofen</w:t>
      </w:r>
      <w:r w:rsidR="00E07E10" w:rsidRPr="00D97E23">
        <w:rPr>
          <w:szCs w:val="22"/>
        </w:rPr>
        <w:t xml:space="preserve">om </w:t>
      </w:r>
      <w:r w:rsidR="00A1367A" w:rsidRPr="00D97E23">
        <w:rPr>
          <w:szCs w:val="22"/>
        </w:rPr>
        <w:t>Vale</w:t>
      </w:r>
      <w:r w:rsidR="00E07E10" w:rsidRPr="00D97E23">
        <w:rPr>
          <w:szCs w:val="22"/>
        </w:rPr>
        <w:t xml:space="preserve"> </w:t>
      </w:r>
      <w:r w:rsidRPr="00D97E23">
        <w:rPr>
          <w:szCs w:val="22"/>
        </w:rPr>
        <w:t>než s paracetamolom IV alebo ibuprofénom IV samotným.</w:t>
      </w:r>
    </w:p>
    <w:p w14:paraId="5CBBC4F8" w14:textId="77777777" w:rsidR="00C97B40" w:rsidRPr="00D97E23" w:rsidRDefault="00C97B40" w:rsidP="00C97B40">
      <w:pPr>
        <w:rPr>
          <w:szCs w:val="22"/>
        </w:rPr>
      </w:pPr>
    </w:p>
    <w:p w14:paraId="2A8032B0" w14:textId="77777777" w:rsidR="00C97B40" w:rsidRPr="00D97E23" w:rsidRDefault="00C97B40" w:rsidP="004F2F0B">
      <w:pPr>
        <w:pStyle w:val="Nadpis3"/>
        <w:rPr>
          <w:lang w:val="sk-SK"/>
        </w:rPr>
      </w:pPr>
      <w:r w:rsidRPr="00D97E23">
        <w:rPr>
          <w:lang w:val="sk-SK"/>
        </w:rPr>
        <w:t>Ibuprofén</w:t>
      </w:r>
    </w:p>
    <w:p w14:paraId="1325668D" w14:textId="77777777" w:rsidR="00C97B40" w:rsidRPr="00D97E23" w:rsidRDefault="00C97B40" w:rsidP="00C97B40">
      <w:pPr>
        <w:ind w:left="0" w:firstLine="0"/>
        <w:rPr>
          <w:szCs w:val="22"/>
        </w:rPr>
      </w:pPr>
      <w:r w:rsidRPr="00D97E23">
        <w:rPr>
          <w:szCs w:val="22"/>
        </w:rPr>
        <w:t xml:space="preserve">Subchronická a chronická toxicita ibuprofénu sa pri pokusoch na zvieratách pozorovala hlavne ako lézie a ulcerácie v gastrointestinálnom trakte. Štúdie </w:t>
      </w:r>
      <w:r w:rsidRPr="00D97E23">
        <w:rPr>
          <w:i/>
          <w:iCs/>
          <w:szCs w:val="22"/>
        </w:rPr>
        <w:t>in vitro</w:t>
      </w:r>
      <w:r w:rsidRPr="00D97E23">
        <w:rPr>
          <w:szCs w:val="22"/>
        </w:rPr>
        <w:t xml:space="preserve"> a </w:t>
      </w:r>
      <w:r w:rsidRPr="00D97E23">
        <w:rPr>
          <w:i/>
          <w:iCs/>
          <w:szCs w:val="22"/>
        </w:rPr>
        <w:t>in vivo</w:t>
      </w:r>
      <w:r w:rsidRPr="00D97E23">
        <w:rPr>
          <w:szCs w:val="22"/>
        </w:rPr>
        <w:t xml:space="preserve"> neposkytli žiadne klinicky relevantné dôkazy o mutagénnom potenciáli ibuprofénu. V štúdiách na potkanoch a myšiach nebol preukázaný karcinogénny účinok ibuprofénu. Ibuprof</w:t>
      </w:r>
      <w:r w:rsidR="004F2F0B" w:rsidRPr="00D97E23">
        <w:rPr>
          <w:szCs w:val="22"/>
        </w:rPr>
        <w:t>é</w:t>
      </w:r>
      <w:r w:rsidRPr="00D97E23">
        <w:rPr>
          <w:szCs w:val="22"/>
        </w:rPr>
        <w:t>n viedol ako k inhibíci</w:t>
      </w:r>
      <w:r w:rsidR="008F54A7" w:rsidRPr="00D97E23">
        <w:rPr>
          <w:szCs w:val="22"/>
        </w:rPr>
        <w:t>i</w:t>
      </w:r>
      <w:r w:rsidRPr="00D97E23">
        <w:rPr>
          <w:szCs w:val="22"/>
        </w:rPr>
        <w:t xml:space="preserve"> ovulácie u králikov, tak aj k narušeniu implantácie u rôznych živočíšnych druhov (králik, potkan, myš). Experimentálne štúdie preukázali, že ibuprof</w:t>
      </w:r>
      <w:r w:rsidR="004F2F0B" w:rsidRPr="00D97E23">
        <w:rPr>
          <w:szCs w:val="22"/>
        </w:rPr>
        <w:t>é</w:t>
      </w:r>
      <w:r w:rsidRPr="00D97E23">
        <w:rPr>
          <w:szCs w:val="22"/>
        </w:rPr>
        <w:t>n prechádza placentou. U dávok toxických pre matku sa pozoroval zvýšený výskyt malformácií (defekty komorového septa).</w:t>
      </w:r>
    </w:p>
    <w:p w14:paraId="1CDBF62F" w14:textId="77777777" w:rsidR="004F2F0B" w:rsidRPr="00D97E23" w:rsidRDefault="004F2F0B" w:rsidP="00C97B40">
      <w:pPr>
        <w:rPr>
          <w:szCs w:val="22"/>
        </w:rPr>
      </w:pPr>
    </w:p>
    <w:p w14:paraId="3D801D13" w14:textId="73E9F837" w:rsidR="004F2F0B" w:rsidRPr="00D97E23" w:rsidRDefault="004F2F0B" w:rsidP="00021CA1">
      <w:pPr>
        <w:pStyle w:val="Nadpis3"/>
        <w:rPr>
          <w:lang w:val="sk-SK"/>
        </w:rPr>
      </w:pPr>
      <w:r w:rsidRPr="00D97E23">
        <w:rPr>
          <w:lang w:val="sk-SK"/>
        </w:rPr>
        <w:t>Paracetamol</w:t>
      </w:r>
    </w:p>
    <w:p w14:paraId="76E83DFC" w14:textId="7442ECBF" w:rsidR="004F2F0B" w:rsidRPr="00D97E23" w:rsidRDefault="004F2F0B" w:rsidP="004F2F0B">
      <w:pPr>
        <w:ind w:left="0" w:firstLine="0"/>
        <w:rPr>
          <w:szCs w:val="22"/>
        </w:rPr>
      </w:pPr>
      <w:r w:rsidRPr="00D97E23">
        <w:rPr>
          <w:szCs w:val="22"/>
        </w:rPr>
        <w:lastRenderedPageBreak/>
        <w:t xml:space="preserve">Paracetamol v hepatotoxických dávkach vykazoval u myší a potkanov genotoxický a karcinogénny potenciál (nádory pečene a močového mechúra). </w:t>
      </w:r>
      <w:r w:rsidR="00702C87" w:rsidRPr="00D97E23">
        <w:rPr>
          <w:szCs w:val="22"/>
        </w:rPr>
        <w:t>Predpokladá sa</w:t>
      </w:r>
      <w:r w:rsidRPr="00D97E23">
        <w:rPr>
          <w:szCs w:val="22"/>
        </w:rPr>
        <w:t>, že táto genotoxická a karcinogénna aktivita je spojená so zmenami metabolizmu paracetamolu vo vysokých dávkach/koncentráciách a</w:t>
      </w:r>
      <w:r w:rsidR="00D97E23" w:rsidRPr="00D97E23">
        <w:rPr>
          <w:szCs w:val="22"/>
        </w:rPr>
        <w:t xml:space="preserve"> </w:t>
      </w:r>
      <w:r w:rsidRPr="00D97E23">
        <w:rPr>
          <w:szCs w:val="22"/>
        </w:rPr>
        <w:t>nepredstavuje riziko pr</w:t>
      </w:r>
      <w:r w:rsidR="00702C87" w:rsidRPr="00D97E23">
        <w:rPr>
          <w:szCs w:val="22"/>
        </w:rPr>
        <w:t>i</w:t>
      </w:r>
      <w:r w:rsidRPr="00D97E23">
        <w:rPr>
          <w:szCs w:val="22"/>
        </w:rPr>
        <w:t xml:space="preserve"> klinick</w:t>
      </w:r>
      <w:r w:rsidR="00702C87" w:rsidRPr="00D97E23">
        <w:rPr>
          <w:szCs w:val="22"/>
        </w:rPr>
        <w:t>om</w:t>
      </w:r>
      <w:r w:rsidRPr="00D97E23">
        <w:rPr>
          <w:szCs w:val="22"/>
        </w:rPr>
        <w:t xml:space="preserve"> použit</w:t>
      </w:r>
      <w:r w:rsidR="00702C87" w:rsidRPr="00D97E23">
        <w:rPr>
          <w:szCs w:val="22"/>
        </w:rPr>
        <w:t>í</w:t>
      </w:r>
      <w:r w:rsidRPr="00D97E23">
        <w:rPr>
          <w:szCs w:val="22"/>
        </w:rPr>
        <w:t>.</w:t>
      </w:r>
    </w:p>
    <w:p w14:paraId="469EF5D1" w14:textId="77777777" w:rsidR="004F2F0B" w:rsidRPr="00D97E23" w:rsidRDefault="004F2F0B" w:rsidP="004F2F0B">
      <w:pPr>
        <w:rPr>
          <w:szCs w:val="22"/>
        </w:rPr>
      </w:pPr>
    </w:p>
    <w:p w14:paraId="5B4923C6" w14:textId="46814C74" w:rsidR="00FD4DD8" w:rsidRPr="00D97E23" w:rsidRDefault="004F2F0B" w:rsidP="004F2F0B">
      <w:pPr>
        <w:ind w:left="0" w:firstLine="0"/>
        <w:rPr>
          <w:szCs w:val="22"/>
        </w:rPr>
      </w:pPr>
      <w:r w:rsidRPr="00D97E23">
        <w:rPr>
          <w:szCs w:val="22"/>
        </w:rPr>
        <w:t xml:space="preserve">Konvenčné štúdie využívajúce </w:t>
      </w:r>
      <w:r w:rsidR="00702C87" w:rsidRPr="00D97E23">
        <w:rPr>
          <w:szCs w:val="22"/>
        </w:rPr>
        <w:t xml:space="preserve">súčasne akceptované </w:t>
      </w:r>
      <w:r w:rsidRPr="00D97E23">
        <w:rPr>
          <w:szCs w:val="22"/>
        </w:rPr>
        <w:t xml:space="preserve">štandardy </w:t>
      </w:r>
      <w:r w:rsidR="00702C87" w:rsidRPr="00D97E23">
        <w:rPr>
          <w:szCs w:val="22"/>
        </w:rPr>
        <w:t>na</w:t>
      </w:r>
      <w:r w:rsidRPr="00D97E23">
        <w:rPr>
          <w:szCs w:val="22"/>
        </w:rPr>
        <w:t xml:space="preserve"> hodnotenie</w:t>
      </w:r>
      <w:r w:rsidR="00702C87" w:rsidRPr="00D97E23">
        <w:rPr>
          <w:szCs w:val="22"/>
        </w:rPr>
        <w:t xml:space="preserve"> reprodukčnej a</w:t>
      </w:r>
      <w:r w:rsidR="00D97E23" w:rsidRPr="00D97E23">
        <w:rPr>
          <w:szCs w:val="22"/>
        </w:rPr>
        <w:t xml:space="preserve"> </w:t>
      </w:r>
      <w:r w:rsidR="00702C87" w:rsidRPr="00D97E23">
        <w:rPr>
          <w:szCs w:val="22"/>
        </w:rPr>
        <w:t>vývinovej</w:t>
      </w:r>
      <w:r w:rsidRPr="00D97E23">
        <w:rPr>
          <w:szCs w:val="22"/>
        </w:rPr>
        <w:t xml:space="preserve"> toxicity nie sú k dispozícii.</w:t>
      </w:r>
    </w:p>
    <w:p w14:paraId="1FEE3C65" w14:textId="77777777" w:rsidR="004F2F0B" w:rsidRPr="00D97E23" w:rsidRDefault="004F2F0B" w:rsidP="004F2F0B">
      <w:pPr>
        <w:ind w:left="0" w:firstLine="0"/>
        <w:rPr>
          <w:szCs w:val="22"/>
        </w:rPr>
      </w:pPr>
    </w:p>
    <w:p w14:paraId="118FC3E3" w14:textId="77777777" w:rsidR="004F2F0B" w:rsidRPr="00D97E23" w:rsidRDefault="004F2F0B" w:rsidP="004F2F0B">
      <w:pPr>
        <w:ind w:left="0" w:firstLine="0"/>
        <w:rPr>
          <w:szCs w:val="22"/>
        </w:rPr>
      </w:pPr>
    </w:p>
    <w:p w14:paraId="535AA318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6.</w:t>
      </w:r>
      <w:r w:rsidRPr="00D97E23">
        <w:rPr>
          <w:b/>
          <w:szCs w:val="22"/>
        </w:rPr>
        <w:tab/>
        <w:t>FARMACEUTICKÉ INFORMÁCIE</w:t>
      </w:r>
    </w:p>
    <w:p w14:paraId="572FC26F" w14:textId="77777777" w:rsidR="00FD4DD8" w:rsidRPr="00D97E23" w:rsidRDefault="00FD4DD8" w:rsidP="00FD4DD8">
      <w:pPr>
        <w:rPr>
          <w:szCs w:val="22"/>
        </w:rPr>
      </w:pPr>
    </w:p>
    <w:p w14:paraId="5E42F9AF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6.1</w:t>
      </w:r>
      <w:r w:rsidRPr="00D97E23">
        <w:rPr>
          <w:b/>
          <w:szCs w:val="22"/>
        </w:rPr>
        <w:tab/>
        <w:t>Zoznam pomocných látok</w:t>
      </w:r>
    </w:p>
    <w:p w14:paraId="4A7194DA" w14:textId="77777777" w:rsidR="00FD4DD8" w:rsidRPr="00D97E23" w:rsidRDefault="00FD4DD8" w:rsidP="00FD4DD8"/>
    <w:p w14:paraId="026846B7" w14:textId="798118D4" w:rsidR="002C7104" w:rsidRPr="00D97E23" w:rsidRDefault="00D62F3D" w:rsidP="00FD4DD8">
      <w:pPr>
        <w:rPr>
          <w:szCs w:val="22"/>
        </w:rPr>
      </w:pPr>
      <w:r w:rsidRPr="00D97E23">
        <w:rPr>
          <w:szCs w:val="22"/>
        </w:rPr>
        <w:t xml:space="preserve">monohydrát </w:t>
      </w:r>
      <w:r w:rsidR="002C7104" w:rsidRPr="00D97E23">
        <w:rPr>
          <w:szCs w:val="22"/>
        </w:rPr>
        <w:t>cysteínium-chlori</w:t>
      </w:r>
      <w:r w:rsidRPr="00D97E23">
        <w:rPr>
          <w:szCs w:val="22"/>
        </w:rPr>
        <w:t>du</w:t>
      </w:r>
    </w:p>
    <w:p w14:paraId="756D93F3" w14:textId="68A273B3" w:rsidR="002C7104" w:rsidRPr="00D97E23" w:rsidRDefault="00D62F3D" w:rsidP="002C7104">
      <w:pPr>
        <w:rPr>
          <w:szCs w:val="22"/>
        </w:rPr>
      </w:pPr>
      <w:r w:rsidRPr="00D97E23">
        <w:t xml:space="preserve">dihydrát </w:t>
      </w:r>
      <w:r w:rsidR="002C7104" w:rsidRPr="00D97E23">
        <w:t>hydrogenfosforečnan</w:t>
      </w:r>
      <w:r w:rsidRPr="00D97E23">
        <w:t>u</w:t>
      </w:r>
      <w:r w:rsidR="002C7104" w:rsidRPr="00D97E23">
        <w:t xml:space="preserve"> sodn</w:t>
      </w:r>
      <w:r w:rsidRPr="00D97E23">
        <w:t>ého</w:t>
      </w:r>
    </w:p>
    <w:p w14:paraId="07D1B756" w14:textId="77777777" w:rsidR="002C7104" w:rsidRPr="00D97E23" w:rsidRDefault="002C7104" w:rsidP="002C7104">
      <w:pPr>
        <w:rPr>
          <w:szCs w:val="22"/>
        </w:rPr>
      </w:pPr>
      <w:r w:rsidRPr="00D97E23">
        <w:rPr>
          <w:szCs w:val="22"/>
        </w:rPr>
        <w:t xml:space="preserve">manitol </w:t>
      </w:r>
    </w:p>
    <w:p w14:paraId="13731192" w14:textId="77777777" w:rsidR="002C7104" w:rsidRPr="00D97E23" w:rsidRDefault="002C7104" w:rsidP="002C7104">
      <w:pPr>
        <w:rPr>
          <w:szCs w:val="22"/>
        </w:rPr>
      </w:pPr>
      <w:r w:rsidRPr="00D97E23">
        <w:rPr>
          <w:szCs w:val="22"/>
        </w:rPr>
        <w:t>kyselina chlorovodíková (na úpravu pH)</w:t>
      </w:r>
    </w:p>
    <w:p w14:paraId="4075D1C6" w14:textId="77777777" w:rsidR="002C7104" w:rsidRPr="00D97E23" w:rsidRDefault="002C7104" w:rsidP="002C7104">
      <w:pPr>
        <w:rPr>
          <w:szCs w:val="22"/>
        </w:rPr>
      </w:pPr>
      <w:r w:rsidRPr="00D97E23">
        <w:rPr>
          <w:szCs w:val="22"/>
        </w:rPr>
        <w:t>hydroxid sodný (na úpravu pH)</w:t>
      </w:r>
    </w:p>
    <w:p w14:paraId="5153B3CA" w14:textId="60082855" w:rsidR="002C7104" w:rsidRPr="00D97E23" w:rsidRDefault="002C7104" w:rsidP="001D0BAB">
      <w:r w:rsidRPr="00D97E23">
        <w:rPr>
          <w:szCs w:val="22"/>
        </w:rPr>
        <w:t>voda na injekcie</w:t>
      </w:r>
    </w:p>
    <w:p w14:paraId="13251F2F" w14:textId="77777777" w:rsidR="002C7104" w:rsidRPr="00D97E23" w:rsidRDefault="002C7104" w:rsidP="00173815">
      <w:pPr>
        <w:ind w:left="0" w:firstLine="0"/>
        <w:rPr>
          <w:szCs w:val="22"/>
        </w:rPr>
      </w:pPr>
    </w:p>
    <w:p w14:paraId="122A0D8B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6.2</w:t>
      </w:r>
      <w:r w:rsidRPr="00D97E23">
        <w:rPr>
          <w:b/>
          <w:szCs w:val="22"/>
        </w:rPr>
        <w:tab/>
        <w:t>Inkompatibility</w:t>
      </w:r>
    </w:p>
    <w:p w14:paraId="72563B33" w14:textId="77777777" w:rsidR="00FD4DD8" w:rsidRPr="00D97E23" w:rsidRDefault="00FD4DD8" w:rsidP="00FD4DD8">
      <w:pPr>
        <w:rPr>
          <w:szCs w:val="22"/>
        </w:rPr>
      </w:pPr>
    </w:p>
    <w:p w14:paraId="751E8BDE" w14:textId="27DCE349" w:rsidR="00FD4DD8" w:rsidRPr="00D97E23" w:rsidRDefault="00FD4DD8" w:rsidP="001D0BAB">
      <w:pPr>
        <w:rPr>
          <w:szCs w:val="22"/>
        </w:rPr>
      </w:pPr>
      <w:r w:rsidRPr="00D97E23">
        <w:rPr>
          <w:szCs w:val="22"/>
        </w:rPr>
        <w:t xml:space="preserve">Nevykonali sa </w:t>
      </w:r>
      <w:r w:rsidRPr="00D97E23">
        <w:t xml:space="preserve">žiadne </w:t>
      </w:r>
      <w:r w:rsidRPr="00D97E23">
        <w:rPr>
          <w:szCs w:val="22"/>
        </w:rPr>
        <w:t>štúdie kompatibility, preto sa tento liek nesmie miešať s</w:t>
      </w:r>
      <w:r w:rsidRPr="00D97E23">
        <w:rPr>
          <w:rFonts w:eastAsia="SimSun"/>
          <w:szCs w:val="22"/>
          <w:lang w:eastAsia="zh-CN"/>
        </w:rPr>
        <w:t> </w:t>
      </w:r>
      <w:r w:rsidRPr="00D97E23">
        <w:rPr>
          <w:szCs w:val="22"/>
        </w:rPr>
        <w:t>inými liekmi.</w:t>
      </w:r>
    </w:p>
    <w:p w14:paraId="2FE8C8CC" w14:textId="77777777" w:rsidR="00FD4DD8" w:rsidRPr="00D97E23" w:rsidRDefault="00FD4DD8" w:rsidP="00FD4DD8">
      <w:pPr>
        <w:rPr>
          <w:szCs w:val="22"/>
        </w:rPr>
      </w:pPr>
    </w:p>
    <w:p w14:paraId="106C0B69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6.3</w:t>
      </w:r>
      <w:r w:rsidRPr="00D97E23">
        <w:rPr>
          <w:b/>
          <w:szCs w:val="22"/>
        </w:rPr>
        <w:tab/>
        <w:t>Čas použiteľnosti</w:t>
      </w:r>
    </w:p>
    <w:p w14:paraId="1BFE71B2" w14:textId="77777777" w:rsidR="00FD4DD8" w:rsidRPr="00D97E23" w:rsidRDefault="00FD4DD8" w:rsidP="00FD4DD8">
      <w:pPr>
        <w:rPr>
          <w:szCs w:val="22"/>
        </w:rPr>
      </w:pPr>
    </w:p>
    <w:p w14:paraId="0B5C7622" w14:textId="77777777" w:rsidR="002C7104" w:rsidRPr="00D97E23" w:rsidRDefault="002C7104" w:rsidP="002C7104">
      <w:r w:rsidRPr="00D97E23">
        <w:t>2 roky</w:t>
      </w:r>
    </w:p>
    <w:p w14:paraId="752CC03A" w14:textId="77777777" w:rsidR="00FD4DD8" w:rsidRPr="00D97E23" w:rsidRDefault="00FD4DD8" w:rsidP="00FD4DD8"/>
    <w:p w14:paraId="50D77505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6.4</w:t>
      </w:r>
      <w:r w:rsidRPr="00D97E23">
        <w:rPr>
          <w:b/>
          <w:szCs w:val="22"/>
        </w:rPr>
        <w:tab/>
        <w:t>Špeciálne upozornenia na uchovávanie</w:t>
      </w:r>
    </w:p>
    <w:p w14:paraId="74B115B5" w14:textId="77777777" w:rsidR="00435007" w:rsidRPr="00D97E23" w:rsidRDefault="00435007" w:rsidP="00435007">
      <w:pPr>
        <w:ind w:left="0" w:firstLine="0"/>
        <w:rPr>
          <w:noProof/>
        </w:rPr>
      </w:pPr>
    </w:p>
    <w:p w14:paraId="489AB93D" w14:textId="2CCDB5E8" w:rsidR="00FD4DD8" w:rsidRPr="00D97E23" w:rsidRDefault="00765F36" w:rsidP="00435007">
      <w:pPr>
        <w:ind w:left="0" w:firstLine="0"/>
        <w:rPr>
          <w:noProof/>
        </w:rPr>
      </w:pPr>
      <w:r w:rsidRPr="00D97E23">
        <w:rPr>
          <w:noProof/>
        </w:rPr>
        <w:t>Uchovávajte pri teplote do 25 °</w:t>
      </w:r>
      <w:r w:rsidR="00435007" w:rsidRPr="00D97E23">
        <w:rPr>
          <w:noProof/>
        </w:rPr>
        <w:t xml:space="preserve">C. </w:t>
      </w:r>
      <w:r w:rsidR="004A6CDB" w:rsidRPr="00D97E23">
        <w:rPr>
          <w:noProof/>
        </w:rPr>
        <w:t>Neuchovávajte v chladničke alebo mrazničke</w:t>
      </w:r>
      <w:r w:rsidR="00435007" w:rsidRPr="00D97E23">
        <w:rPr>
          <w:noProof/>
        </w:rPr>
        <w:t>. Uchovávajte v pôvodnom obale</w:t>
      </w:r>
      <w:r w:rsidR="004A6CDB" w:rsidRPr="00D97E23">
        <w:rPr>
          <w:noProof/>
        </w:rPr>
        <w:t xml:space="preserve"> na ochranu</w:t>
      </w:r>
      <w:r w:rsidR="006134C1" w:rsidRPr="00D97E23">
        <w:rPr>
          <w:noProof/>
        </w:rPr>
        <w:t xml:space="preserve"> </w:t>
      </w:r>
      <w:r w:rsidR="00435007" w:rsidRPr="00D97E23">
        <w:rPr>
          <w:noProof/>
        </w:rPr>
        <w:t>pred svetlom.</w:t>
      </w:r>
    </w:p>
    <w:p w14:paraId="72C135FE" w14:textId="77777777" w:rsidR="00435007" w:rsidRPr="00D97E23" w:rsidRDefault="00435007" w:rsidP="00435007"/>
    <w:p w14:paraId="7941537F" w14:textId="77777777" w:rsidR="00FD4DD8" w:rsidRPr="00D97E23" w:rsidRDefault="00FD4DD8" w:rsidP="00FD4DD8">
      <w:pPr>
        <w:rPr>
          <w:szCs w:val="22"/>
        </w:rPr>
      </w:pPr>
      <w:r w:rsidRPr="00D97E23">
        <w:rPr>
          <w:b/>
          <w:szCs w:val="22"/>
        </w:rPr>
        <w:t>6.5</w:t>
      </w:r>
      <w:r w:rsidRPr="00D97E23">
        <w:rPr>
          <w:b/>
          <w:szCs w:val="22"/>
        </w:rPr>
        <w:tab/>
        <w:t>Druh obalu a obsah balenia</w:t>
      </w:r>
      <w:r w:rsidRPr="00D97E23">
        <w:rPr>
          <w:b/>
          <w:color w:val="0000FF"/>
          <w:szCs w:val="22"/>
        </w:rPr>
        <w:t xml:space="preserve"> </w:t>
      </w:r>
    </w:p>
    <w:p w14:paraId="5A2D23A6" w14:textId="77777777" w:rsidR="00FD4DD8" w:rsidRPr="00D97E23" w:rsidRDefault="00FD4DD8" w:rsidP="00FD4DD8">
      <w:pPr>
        <w:rPr>
          <w:szCs w:val="22"/>
        </w:rPr>
      </w:pPr>
    </w:p>
    <w:p w14:paraId="10BD8288" w14:textId="2415CF44" w:rsidR="00FD4DD8" w:rsidRPr="00D97E23" w:rsidRDefault="000D4AED" w:rsidP="00435007">
      <w:pPr>
        <w:ind w:left="0" w:firstLine="0"/>
      </w:pPr>
      <w:r w:rsidRPr="00D97E23">
        <w:t>Paracetamol/Ibuprofen Vale</w:t>
      </w:r>
      <w:r w:rsidR="00435007" w:rsidRPr="00D97E23">
        <w:t xml:space="preserve"> je dodávaný v 100 ml čírych </w:t>
      </w:r>
      <w:r w:rsidR="004A6CDB" w:rsidRPr="00D97E23">
        <w:t>injekčných liekovkách zo skla</w:t>
      </w:r>
      <w:r w:rsidR="00CA7CAA" w:rsidRPr="00D97E23">
        <w:t xml:space="preserve"> </w:t>
      </w:r>
      <w:r w:rsidR="00435007" w:rsidRPr="00D97E23">
        <w:t>typu II, uzavretých šedou br</w:t>
      </w:r>
      <w:r w:rsidR="004A6CDB" w:rsidRPr="00D97E23">
        <w:t>ó</w:t>
      </w:r>
      <w:r w:rsidR="00435007" w:rsidRPr="00D97E23">
        <w:t xml:space="preserve">mobutylovou gumenou zátkou a hliníkovým vyklápacím viečkom v balení po 10 </w:t>
      </w:r>
      <w:r w:rsidR="004A6CDB" w:rsidRPr="00D97E23">
        <w:t>injekčných liekovkách</w:t>
      </w:r>
      <w:r w:rsidR="00435007" w:rsidRPr="00D97E23">
        <w:t>.</w:t>
      </w:r>
    </w:p>
    <w:p w14:paraId="51454C1C" w14:textId="77777777" w:rsidR="00435007" w:rsidRPr="00D97E23" w:rsidRDefault="00435007" w:rsidP="00435007"/>
    <w:p w14:paraId="6A85AA8E" w14:textId="695EDBB9" w:rsidR="00FD4DD8" w:rsidRPr="00D97E23" w:rsidRDefault="00FD4DD8" w:rsidP="00FD4DD8">
      <w:pPr>
        <w:rPr>
          <w:b/>
          <w:bCs/>
          <w:noProof/>
        </w:rPr>
      </w:pPr>
      <w:r w:rsidRPr="00D97E23">
        <w:rPr>
          <w:b/>
          <w:szCs w:val="22"/>
        </w:rPr>
        <w:t>6.6</w:t>
      </w:r>
      <w:r w:rsidRPr="00D97E23">
        <w:rPr>
          <w:b/>
          <w:szCs w:val="22"/>
        </w:rPr>
        <w:tab/>
      </w:r>
      <w:r w:rsidRPr="00D97E23">
        <w:rPr>
          <w:b/>
          <w:bCs/>
          <w:noProof/>
        </w:rPr>
        <w:t>Špeciálne opatrenia na likvidáciu</w:t>
      </w:r>
      <w:r w:rsidRPr="00D97E23">
        <w:rPr>
          <w:b/>
          <w:szCs w:val="22"/>
        </w:rPr>
        <w:t xml:space="preserve"> </w:t>
      </w:r>
      <w:r w:rsidRPr="00D97E23">
        <w:rPr>
          <w:b/>
          <w:bCs/>
          <w:noProof/>
        </w:rPr>
        <w:t>a iné zaobchádzanie s liekom</w:t>
      </w:r>
    </w:p>
    <w:p w14:paraId="24ED085E" w14:textId="77777777" w:rsidR="00435007" w:rsidRPr="00D97E23" w:rsidRDefault="00435007" w:rsidP="00435007">
      <w:pPr>
        <w:rPr>
          <w:bCs/>
          <w:noProof/>
        </w:rPr>
      </w:pPr>
    </w:p>
    <w:p w14:paraId="3466BE83" w14:textId="73BD35D2" w:rsidR="00435007" w:rsidRPr="00D97E23" w:rsidRDefault="00435007" w:rsidP="00435007">
      <w:pPr>
        <w:ind w:left="0" w:firstLine="0"/>
        <w:rPr>
          <w:bCs/>
          <w:noProof/>
        </w:rPr>
      </w:pPr>
      <w:r w:rsidRPr="00D97E23">
        <w:rPr>
          <w:bCs/>
          <w:noProof/>
        </w:rPr>
        <w:t xml:space="preserve">Kedykoľvek máte možnosť, vždy pred podaním vizuálne skontrolujte </w:t>
      </w:r>
      <w:r w:rsidR="006C513E" w:rsidRPr="00D97E23">
        <w:rPr>
          <w:bCs/>
          <w:noProof/>
        </w:rPr>
        <w:t xml:space="preserve">obal </w:t>
      </w:r>
      <w:r w:rsidRPr="00D97E23">
        <w:rPr>
          <w:bCs/>
          <w:noProof/>
        </w:rPr>
        <w:t xml:space="preserve">a roztok </w:t>
      </w:r>
      <w:r w:rsidR="00A619DD" w:rsidRPr="00D97E23">
        <w:rPr>
          <w:bCs/>
          <w:noProof/>
        </w:rPr>
        <w:t>Paracetamol/Ibuprofen Vale</w:t>
      </w:r>
      <w:r w:rsidRPr="00D97E23">
        <w:rPr>
          <w:bCs/>
          <w:noProof/>
        </w:rPr>
        <w:t>, či neobsahuje častice a či nedošlo k zmene farby. Ak sú pozorované viditeľn</w:t>
      </w:r>
      <w:r w:rsidR="006C513E" w:rsidRPr="00D97E23">
        <w:rPr>
          <w:bCs/>
          <w:noProof/>
        </w:rPr>
        <w:t>é</w:t>
      </w:r>
      <w:r w:rsidRPr="00D97E23">
        <w:rPr>
          <w:bCs/>
          <w:noProof/>
        </w:rPr>
        <w:t xml:space="preserve"> nepriehľadné častice, zmena farby alebo iné cudzie častice, roztok nepouž</w:t>
      </w:r>
      <w:r w:rsidR="003530EA" w:rsidRPr="00D97E23">
        <w:rPr>
          <w:bCs/>
          <w:noProof/>
        </w:rPr>
        <w:t>ite</w:t>
      </w:r>
      <w:r w:rsidRPr="00D97E23">
        <w:rPr>
          <w:bCs/>
          <w:noProof/>
        </w:rPr>
        <w:t>.</w:t>
      </w:r>
    </w:p>
    <w:p w14:paraId="64A7828D" w14:textId="77777777" w:rsidR="00435007" w:rsidRPr="00D97E23" w:rsidRDefault="00435007" w:rsidP="00435007">
      <w:pPr>
        <w:rPr>
          <w:bCs/>
          <w:noProof/>
        </w:rPr>
      </w:pPr>
    </w:p>
    <w:p w14:paraId="094848B2" w14:textId="38569CFE" w:rsidR="00435007" w:rsidRPr="00D97E23" w:rsidRDefault="00435007" w:rsidP="00435007">
      <w:pPr>
        <w:ind w:left="0" w:firstLine="0"/>
        <w:rPr>
          <w:bCs/>
          <w:noProof/>
        </w:rPr>
      </w:pPr>
      <w:r w:rsidRPr="00D97E23">
        <w:rPr>
          <w:bCs/>
          <w:noProof/>
        </w:rPr>
        <w:t xml:space="preserve">Vzhľadom na to, že štúdie kompatibility neboli vykonané, tento liek by nemal byť riedený. Ak je </w:t>
      </w:r>
      <w:r w:rsidR="006C513E" w:rsidRPr="00D97E23">
        <w:rPr>
          <w:bCs/>
          <w:noProof/>
        </w:rPr>
        <w:t>na</w:t>
      </w:r>
      <w:r w:rsidRPr="00D97E23">
        <w:rPr>
          <w:bCs/>
          <w:noProof/>
        </w:rPr>
        <w:t xml:space="preserve"> jedn</w:t>
      </w:r>
      <w:r w:rsidR="006C513E" w:rsidRPr="00D97E23">
        <w:rPr>
          <w:bCs/>
          <w:noProof/>
        </w:rPr>
        <w:t>orazovú</w:t>
      </w:r>
      <w:r w:rsidRPr="00D97E23">
        <w:rPr>
          <w:bCs/>
          <w:noProof/>
        </w:rPr>
        <w:t xml:space="preserve"> dávku potrebn</w:t>
      </w:r>
      <w:r w:rsidR="006C513E" w:rsidRPr="00D97E23">
        <w:rPr>
          <w:bCs/>
          <w:noProof/>
        </w:rPr>
        <w:t xml:space="preserve">é </w:t>
      </w:r>
      <w:r w:rsidR="003530EA" w:rsidRPr="00D97E23">
        <w:rPr>
          <w:bCs/>
          <w:noProof/>
        </w:rPr>
        <w:t>menšie množstvo</w:t>
      </w:r>
      <w:r w:rsidR="006C513E" w:rsidRPr="00D97E23">
        <w:rPr>
          <w:bCs/>
          <w:noProof/>
        </w:rPr>
        <w:t xml:space="preserve"> ako celý obsah injekčnej liekovky</w:t>
      </w:r>
      <w:r w:rsidRPr="00D97E23">
        <w:rPr>
          <w:bCs/>
          <w:noProof/>
        </w:rPr>
        <w:t xml:space="preserve">, </w:t>
      </w:r>
      <w:r w:rsidRPr="00D97E23">
        <w:t xml:space="preserve">správne množstvo </w:t>
      </w:r>
      <w:r w:rsidR="003530EA" w:rsidRPr="00D97E23">
        <w:t>sa má podať vo forme</w:t>
      </w:r>
      <w:r w:rsidR="008B6931" w:rsidRPr="00D97E23">
        <w:t xml:space="preserve"> </w:t>
      </w:r>
      <w:r w:rsidRPr="00D97E23">
        <w:t>infúzi</w:t>
      </w:r>
      <w:r w:rsidR="003530EA" w:rsidRPr="00D97E23">
        <w:t>e</w:t>
      </w:r>
      <w:r w:rsidRPr="00D97E23">
        <w:t xml:space="preserve"> a </w:t>
      </w:r>
      <w:r w:rsidR="006C513E" w:rsidRPr="00D97E23">
        <w:t>nepoužitý</w:t>
      </w:r>
      <w:r w:rsidRPr="00D97E23">
        <w:t xml:space="preserve"> roztok </w:t>
      </w:r>
      <w:r w:rsidR="006C513E" w:rsidRPr="00D97E23">
        <w:t>sa</w:t>
      </w:r>
      <w:r w:rsidRPr="00D97E23">
        <w:t xml:space="preserve"> </w:t>
      </w:r>
      <w:r w:rsidR="006C513E" w:rsidRPr="00D97E23">
        <w:t>má</w:t>
      </w:r>
      <w:r w:rsidRPr="00D97E23">
        <w:t xml:space="preserve"> zlikvidovať </w:t>
      </w:r>
      <w:r w:rsidRPr="00D97E23">
        <w:rPr>
          <w:bCs/>
          <w:noProof/>
        </w:rPr>
        <w:t>(pozri tiež časť 4.2).</w:t>
      </w:r>
    </w:p>
    <w:p w14:paraId="3519969A" w14:textId="77777777" w:rsidR="00435007" w:rsidRPr="00D97E23" w:rsidRDefault="00435007" w:rsidP="00435007">
      <w:pPr>
        <w:rPr>
          <w:bCs/>
          <w:noProof/>
        </w:rPr>
      </w:pPr>
    </w:p>
    <w:p w14:paraId="31B365CB" w14:textId="6DDE708D" w:rsidR="00FD4DD8" w:rsidRPr="00D97E23" w:rsidRDefault="002B5394" w:rsidP="00435007">
      <w:pPr>
        <w:ind w:left="0" w:firstLine="0"/>
        <w:rPr>
          <w:szCs w:val="22"/>
        </w:rPr>
      </w:pPr>
      <w:r w:rsidRPr="00D97E23">
        <w:t>Paracetamol/Ibuprofen Vale</w:t>
      </w:r>
      <w:r w:rsidR="00435007" w:rsidRPr="00D97E23">
        <w:t xml:space="preserve"> </w:t>
      </w:r>
      <w:r w:rsidR="00435007" w:rsidRPr="00D97E23">
        <w:rPr>
          <w:bCs/>
          <w:noProof/>
        </w:rPr>
        <w:t xml:space="preserve">má byť použitý u jedného pacienta iba raz. Neobsahuje žiadne antimikrobiálne konzervačné látky. </w:t>
      </w:r>
      <w:r w:rsidR="006C513E" w:rsidRPr="00D97E23">
        <w:t>Všetok nepoužitý roztok sa má zlikvidovať.</w:t>
      </w:r>
    </w:p>
    <w:p w14:paraId="4A54DA0A" w14:textId="77777777" w:rsidR="00FD4DD8" w:rsidRPr="00D97E23" w:rsidRDefault="00FD4DD8" w:rsidP="00FD4DD8">
      <w:pPr>
        <w:rPr>
          <w:szCs w:val="22"/>
        </w:rPr>
      </w:pPr>
    </w:p>
    <w:p w14:paraId="343D7B70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7.</w:t>
      </w:r>
      <w:r w:rsidRPr="00D97E23">
        <w:rPr>
          <w:b/>
          <w:szCs w:val="22"/>
        </w:rPr>
        <w:tab/>
        <w:t>DRŽITEĽ ROZHODNUTIA O REGISTRÁCII</w:t>
      </w:r>
    </w:p>
    <w:p w14:paraId="35B54E4E" w14:textId="77777777" w:rsidR="00FD4DD8" w:rsidRPr="00D97E23" w:rsidRDefault="00FD4DD8" w:rsidP="00FD4DD8">
      <w:pPr>
        <w:rPr>
          <w:szCs w:val="22"/>
        </w:rPr>
      </w:pPr>
    </w:p>
    <w:p w14:paraId="46520E27" w14:textId="77777777" w:rsidR="00A95688" w:rsidRPr="00D97E23" w:rsidRDefault="00A95688" w:rsidP="00A95688">
      <w:pPr>
        <w:pStyle w:val="Normlndobloku"/>
      </w:pPr>
      <w:r w:rsidRPr="00D97E23">
        <w:t>MEDOCHEMIE Ltd., 1-10 Constantinoupoleos Street, 3011 Limassol, Cyprus</w:t>
      </w:r>
    </w:p>
    <w:p w14:paraId="7F6C7EC9" w14:textId="77777777" w:rsidR="00FD4DD8" w:rsidRPr="00D97E23" w:rsidRDefault="00FD4DD8" w:rsidP="00FD4DD8">
      <w:pPr>
        <w:rPr>
          <w:szCs w:val="22"/>
        </w:rPr>
      </w:pPr>
    </w:p>
    <w:p w14:paraId="0048F316" w14:textId="77777777" w:rsidR="00FD4DD8" w:rsidRPr="00D97E23" w:rsidRDefault="00FD4DD8" w:rsidP="00FD4DD8">
      <w:pPr>
        <w:rPr>
          <w:szCs w:val="22"/>
        </w:rPr>
      </w:pPr>
    </w:p>
    <w:p w14:paraId="09A25575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lastRenderedPageBreak/>
        <w:t>8.</w:t>
      </w:r>
      <w:r w:rsidRPr="00D97E23">
        <w:rPr>
          <w:b/>
          <w:szCs w:val="22"/>
        </w:rPr>
        <w:tab/>
        <w:t>REGISTRAČNÉ ČÍSLO</w:t>
      </w:r>
    </w:p>
    <w:p w14:paraId="33B52167" w14:textId="77777777" w:rsidR="00FD4DD8" w:rsidRPr="00D97E23" w:rsidRDefault="00FD4DD8" w:rsidP="00FD4DD8"/>
    <w:p w14:paraId="18148FB2" w14:textId="0FDF6D94" w:rsidR="00FD4DD8" w:rsidRPr="00D97E23" w:rsidRDefault="00161A29" w:rsidP="00FD4DD8">
      <w:pPr>
        <w:rPr>
          <w:szCs w:val="22"/>
        </w:rPr>
      </w:pPr>
      <w:r w:rsidRPr="00D97E23">
        <w:rPr>
          <w:szCs w:val="22"/>
        </w:rPr>
        <w:t>07/0193/20-S</w:t>
      </w:r>
    </w:p>
    <w:p w14:paraId="097B8483" w14:textId="77777777" w:rsidR="00161A29" w:rsidRPr="00D97E23" w:rsidRDefault="00161A29" w:rsidP="00FD4DD8">
      <w:pPr>
        <w:rPr>
          <w:szCs w:val="22"/>
        </w:rPr>
      </w:pPr>
    </w:p>
    <w:p w14:paraId="67D95A42" w14:textId="77777777" w:rsidR="00FD4DD8" w:rsidRPr="00D97E23" w:rsidRDefault="00FD4DD8" w:rsidP="00FD4DD8">
      <w:pPr>
        <w:rPr>
          <w:szCs w:val="22"/>
        </w:rPr>
      </w:pPr>
    </w:p>
    <w:p w14:paraId="18687177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9.</w:t>
      </w:r>
      <w:r w:rsidRPr="00D97E23">
        <w:rPr>
          <w:b/>
          <w:szCs w:val="22"/>
        </w:rPr>
        <w:tab/>
        <w:t>DÁTUM PRVEJ REGISTRÁCIE/PREDĹŽENIA REGISTRÁCIE</w:t>
      </w:r>
    </w:p>
    <w:p w14:paraId="79D5B3C0" w14:textId="77777777" w:rsidR="00FD4DD8" w:rsidRPr="00D97E23" w:rsidRDefault="00FD4DD8" w:rsidP="00FD4DD8">
      <w:pPr>
        <w:rPr>
          <w:szCs w:val="22"/>
        </w:rPr>
      </w:pPr>
    </w:p>
    <w:p w14:paraId="165DBE92" w14:textId="77EDFE53" w:rsidR="00FD4DD8" w:rsidRPr="00D97E23" w:rsidRDefault="00FD4DD8" w:rsidP="00FD4DD8">
      <w:pPr>
        <w:rPr>
          <w:szCs w:val="22"/>
        </w:rPr>
      </w:pPr>
      <w:r w:rsidRPr="00D97E23">
        <w:rPr>
          <w:noProof/>
        </w:rPr>
        <w:t xml:space="preserve">Dátum prvej registrácie: </w:t>
      </w:r>
      <w:r w:rsidR="00540435" w:rsidRPr="00D97E23">
        <w:rPr>
          <w:noProof/>
        </w:rPr>
        <w:t>03. septembra 2020</w:t>
      </w:r>
    </w:p>
    <w:p w14:paraId="25649738" w14:textId="77777777" w:rsidR="00FD4DD8" w:rsidRPr="00D97E23" w:rsidRDefault="00FD4DD8" w:rsidP="002C7104">
      <w:pPr>
        <w:ind w:left="0" w:firstLine="0"/>
        <w:rPr>
          <w:szCs w:val="22"/>
        </w:rPr>
      </w:pPr>
    </w:p>
    <w:p w14:paraId="1F0A1151" w14:textId="77777777" w:rsidR="00FD4DD8" w:rsidRPr="00D97E23" w:rsidRDefault="00FD4DD8" w:rsidP="00FD4DD8">
      <w:pPr>
        <w:rPr>
          <w:szCs w:val="22"/>
        </w:rPr>
      </w:pPr>
    </w:p>
    <w:p w14:paraId="60471F53" w14:textId="77777777" w:rsidR="00FD4DD8" w:rsidRPr="00D97E23" w:rsidRDefault="00FD4DD8" w:rsidP="00FD4DD8">
      <w:pPr>
        <w:rPr>
          <w:b/>
          <w:szCs w:val="22"/>
        </w:rPr>
      </w:pPr>
      <w:r w:rsidRPr="00D97E23">
        <w:rPr>
          <w:b/>
          <w:szCs w:val="22"/>
        </w:rPr>
        <w:t>10.</w:t>
      </w:r>
      <w:r w:rsidRPr="00D97E23">
        <w:rPr>
          <w:b/>
          <w:szCs w:val="22"/>
        </w:rPr>
        <w:tab/>
        <w:t>DÁTUM REVÍZIE TEXTU</w:t>
      </w:r>
    </w:p>
    <w:p w14:paraId="23899742" w14:textId="77777777" w:rsidR="00FD4DD8" w:rsidRPr="00D97E23" w:rsidRDefault="00FD4DD8" w:rsidP="00FD4DD8">
      <w:pPr>
        <w:rPr>
          <w:szCs w:val="22"/>
        </w:rPr>
      </w:pPr>
    </w:p>
    <w:p w14:paraId="5F34587D" w14:textId="34A06C28" w:rsidR="00FD4DD8" w:rsidRPr="00D97E23" w:rsidRDefault="00540435" w:rsidP="00FD4DD8">
      <w:pPr>
        <w:rPr>
          <w:iCs/>
        </w:rPr>
      </w:pPr>
      <w:r w:rsidRPr="00D97E23">
        <w:rPr>
          <w:noProof/>
        </w:rPr>
        <w:t>10/2020</w:t>
      </w:r>
    </w:p>
    <w:p w14:paraId="76339D6E" w14:textId="77777777" w:rsidR="00FD4DD8" w:rsidRPr="00D97E23" w:rsidRDefault="00FD4DD8" w:rsidP="00FD4DD8">
      <w:pPr>
        <w:rPr>
          <w:b/>
          <w:szCs w:val="22"/>
        </w:rPr>
      </w:pPr>
    </w:p>
    <w:p w14:paraId="61C00CA8" w14:textId="271FE065" w:rsidR="0015466B" w:rsidRPr="00D97E23" w:rsidRDefault="0015466B" w:rsidP="00A36127">
      <w:pPr>
        <w:ind w:left="0" w:firstLine="0"/>
        <w:rPr>
          <w:noProof/>
          <w:szCs w:val="22"/>
        </w:rPr>
      </w:pPr>
    </w:p>
    <w:sectPr w:rsidR="0015466B" w:rsidRPr="00D97E23" w:rsidSect="003444F6">
      <w:headerReference w:type="default" r:id="rId14"/>
      <w:footerReference w:type="default" r:id="rId15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D9B36" w14:textId="77777777" w:rsidR="00516904" w:rsidRDefault="00516904" w:rsidP="00B76265">
      <w:r>
        <w:separator/>
      </w:r>
    </w:p>
  </w:endnote>
  <w:endnote w:type="continuationSeparator" w:id="0">
    <w:p w14:paraId="441E22DB" w14:textId="77777777" w:rsidR="00516904" w:rsidRDefault="00516904" w:rsidP="00B7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17633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049456" w14:textId="3AB2B861" w:rsidR="0011764F" w:rsidRPr="003444F6" w:rsidRDefault="0011764F" w:rsidP="003444F6">
        <w:pPr>
          <w:pStyle w:val="Pta"/>
          <w:jc w:val="center"/>
          <w:rPr>
            <w:sz w:val="18"/>
            <w:szCs w:val="18"/>
          </w:rPr>
        </w:pPr>
        <w:r w:rsidRPr="003444F6">
          <w:rPr>
            <w:sz w:val="18"/>
            <w:szCs w:val="18"/>
          </w:rPr>
          <w:fldChar w:fldCharType="begin"/>
        </w:r>
        <w:r w:rsidRPr="003444F6">
          <w:rPr>
            <w:sz w:val="18"/>
            <w:szCs w:val="18"/>
          </w:rPr>
          <w:instrText>PAGE   \* MERGEFORMAT</w:instrText>
        </w:r>
        <w:r w:rsidRPr="003444F6">
          <w:rPr>
            <w:sz w:val="18"/>
            <w:szCs w:val="18"/>
          </w:rPr>
          <w:fldChar w:fldCharType="separate"/>
        </w:r>
        <w:r w:rsidR="003444F6">
          <w:rPr>
            <w:noProof/>
            <w:sz w:val="18"/>
            <w:szCs w:val="18"/>
          </w:rPr>
          <w:t>18</w:t>
        </w:r>
        <w:r w:rsidRPr="003444F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726CB" w14:textId="77777777" w:rsidR="00516904" w:rsidRDefault="00516904" w:rsidP="00B76265">
      <w:r>
        <w:separator/>
      </w:r>
    </w:p>
  </w:footnote>
  <w:footnote w:type="continuationSeparator" w:id="0">
    <w:p w14:paraId="3F7527AC" w14:textId="77777777" w:rsidR="00516904" w:rsidRDefault="00516904" w:rsidP="00B7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9A6C6" w14:textId="3D1CF263" w:rsidR="0011764F" w:rsidRPr="00105498" w:rsidRDefault="0011764F" w:rsidP="001E775C">
    <w:pPr>
      <w:pStyle w:val="Hlavika"/>
      <w:rPr>
        <w:sz w:val="18"/>
      </w:rPr>
    </w:pPr>
    <w:r w:rsidRPr="00506A9B">
      <w:rPr>
        <w:sz w:val="18"/>
      </w:rPr>
      <w:t>Schválený text k rozhodnutiu o </w:t>
    </w:r>
    <w:r>
      <w:rPr>
        <w:sz w:val="18"/>
      </w:rPr>
      <w:t>prevode</w:t>
    </w:r>
    <w:r w:rsidRPr="00506A9B">
      <w:rPr>
        <w:sz w:val="18"/>
      </w:rPr>
      <w:t xml:space="preserve"> ev.</w:t>
    </w:r>
    <w:r>
      <w:rPr>
        <w:sz w:val="18"/>
      </w:rPr>
      <w:t xml:space="preserve"> </w:t>
    </w:r>
    <w:r w:rsidRPr="00506A9B">
      <w:rPr>
        <w:sz w:val="18"/>
      </w:rPr>
      <w:t xml:space="preserve">č.: </w:t>
    </w:r>
    <w:r>
      <w:rPr>
        <w:sz w:val="18"/>
      </w:rPr>
      <w:t>2020/05597-TR</w:t>
    </w:r>
  </w:p>
  <w:p w14:paraId="20B898B0" w14:textId="77777777" w:rsidR="0011764F" w:rsidRDefault="001176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28A"/>
    <w:multiLevelType w:val="hybridMultilevel"/>
    <w:tmpl w:val="6A1413B8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6F04"/>
    <w:multiLevelType w:val="hybridMultilevel"/>
    <w:tmpl w:val="1D1E5846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16D64"/>
    <w:multiLevelType w:val="hybridMultilevel"/>
    <w:tmpl w:val="E68C25B0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C223B"/>
    <w:multiLevelType w:val="hybridMultilevel"/>
    <w:tmpl w:val="5B7636D8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E15AF"/>
    <w:multiLevelType w:val="hybridMultilevel"/>
    <w:tmpl w:val="86EED3E0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73336"/>
    <w:multiLevelType w:val="hybridMultilevel"/>
    <w:tmpl w:val="EBBAD86C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842D0"/>
    <w:multiLevelType w:val="hybridMultilevel"/>
    <w:tmpl w:val="50A6749E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8"/>
    <w:rsid w:val="00002E50"/>
    <w:rsid w:val="0000305F"/>
    <w:rsid w:val="0000560D"/>
    <w:rsid w:val="000058A3"/>
    <w:rsid w:val="00006977"/>
    <w:rsid w:val="00014DAF"/>
    <w:rsid w:val="00021669"/>
    <w:rsid w:val="00021CA1"/>
    <w:rsid w:val="000224B1"/>
    <w:rsid w:val="00023637"/>
    <w:rsid w:val="0003758D"/>
    <w:rsid w:val="000446FE"/>
    <w:rsid w:val="0005347C"/>
    <w:rsid w:val="00056D36"/>
    <w:rsid w:val="0007186C"/>
    <w:rsid w:val="00081993"/>
    <w:rsid w:val="00082B1E"/>
    <w:rsid w:val="0009376E"/>
    <w:rsid w:val="000A39F2"/>
    <w:rsid w:val="000C1E6D"/>
    <w:rsid w:val="000D3093"/>
    <w:rsid w:val="000D4AED"/>
    <w:rsid w:val="000E22B7"/>
    <w:rsid w:val="001121F2"/>
    <w:rsid w:val="00112A1B"/>
    <w:rsid w:val="0011764F"/>
    <w:rsid w:val="00147B67"/>
    <w:rsid w:val="0015466B"/>
    <w:rsid w:val="00161A29"/>
    <w:rsid w:val="00163AAE"/>
    <w:rsid w:val="00173815"/>
    <w:rsid w:val="00180881"/>
    <w:rsid w:val="001850E1"/>
    <w:rsid w:val="00186547"/>
    <w:rsid w:val="00192B94"/>
    <w:rsid w:val="001C029E"/>
    <w:rsid w:val="001D0BAB"/>
    <w:rsid w:val="001D605D"/>
    <w:rsid w:val="001E775C"/>
    <w:rsid w:val="00232578"/>
    <w:rsid w:val="00244C1B"/>
    <w:rsid w:val="002470B6"/>
    <w:rsid w:val="00256651"/>
    <w:rsid w:val="00265144"/>
    <w:rsid w:val="00266001"/>
    <w:rsid w:val="00273B53"/>
    <w:rsid w:val="002926C5"/>
    <w:rsid w:val="00297888"/>
    <w:rsid w:val="002A3DD2"/>
    <w:rsid w:val="002A4B03"/>
    <w:rsid w:val="002A54C5"/>
    <w:rsid w:val="002B34CC"/>
    <w:rsid w:val="002B5394"/>
    <w:rsid w:val="002C7104"/>
    <w:rsid w:val="002D7020"/>
    <w:rsid w:val="002E2667"/>
    <w:rsid w:val="002F3E5F"/>
    <w:rsid w:val="00332F14"/>
    <w:rsid w:val="003361C7"/>
    <w:rsid w:val="00341629"/>
    <w:rsid w:val="003444F6"/>
    <w:rsid w:val="003530EA"/>
    <w:rsid w:val="003942CB"/>
    <w:rsid w:val="003A175C"/>
    <w:rsid w:val="003B2F2A"/>
    <w:rsid w:val="003E2CDC"/>
    <w:rsid w:val="003E5035"/>
    <w:rsid w:val="003F2672"/>
    <w:rsid w:val="00411E67"/>
    <w:rsid w:val="00435007"/>
    <w:rsid w:val="0047323A"/>
    <w:rsid w:val="00473DFA"/>
    <w:rsid w:val="0048487A"/>
    <w:rsid w:val="00485D71"/>
    <w:rsid w:val="00490E2A"/>
    <w:rsid w:val="00492908"/>
    <w:rsid w:val="00492F2E"/>
    <w:rsid w:val="004977E0"/>
    <w:rsid w:val="004A6768"/>
    <w:rsid w:val="004A6CDB"/>
    <w:rsid w:val="004B4490"/>
    <w:rsid w:val="004E3484"/>
    <w:rsid w:val="004F2F0B"/>
    <w:rsid w:val="00504319"/>
    <w:rsid w:val="00506236"/>
    <w:rsid w:val="00516904"/>
    <w:rsid w:val="00525EE1"/>
    <w:rsid w:val="0053452C"/>
    <w:rsid w:val="00540435"/>
    <w:rsid w:val="00545E28"/>
    <w:rsid w:val="005470AF"/>
    <w:rsid w:val="0055014F"/>
    <w:rsid w:val="00550E1D"/>
    <w:rsid w:val="00563BF6"/>
    <w:rsid w:val="0057301F"/>
    <w:rsid w:val="00583790"/>
    <w:rsid w:val="00584ACB"/>
    <w:rsid w:val="005874F6"/>
    <w:rsid w:val="005A7E71"/>
    <w:rsid w:val="005E017D"/>
    <w:rsid w:val="005E61FE"/>
    <w:rsid w:val="005F3DA0"/>
    <w:rsid w:val="00601B3F"/>
    <w:rsid w:val="00612F28"/>
    <w:rsid w:val="006134C1"/>
    <w:rsid w:val="006247B1"/>
    <w:rsid w:val="00645020"/>
    <w:rsid w:val="0065474F"/>
    <w:rsid w:val="00673A90"/>
    <w:rsid w:val="006749DA"/>
    <w:rsid w:val="006753E1"/>
    <w:rsid w:val="006A10F6"/>
    <w:rsid w:val="006A52B0"/>
    <w:rsid w:val="006A7BBB"/>
    <w:rsid w:val="006C513E"/>
    <w:rsid w:val="006D5470"/>
    <w:rsid w:val="006D66C4"/>
    <w:rsid w:val="006F3A55"/>
    <w:rsid w:val="006F4199"/>
    <w:rsid w:val="00702C87"/>
    <w:rsid w:val="00765F36"/>
    <w:rsid w:val="007671DC"/>
    <w:rsid w:val="007709CC"/>
    <w:rsid w:val="00780257"/>
    <w:rsid w:val="007849A1"/>
    <w:rsid w:val="00790623"/>
    <w:rsid w:val="00790A74"/>
    <w:rsid w:val="007A6482"/>
    <w:rsid w:val="007B4582"/>
    <w:rsid w:val="007C0154"/>
    <w:rsid w:val="007C383E"/>
    <w:rsid w:val="007D212C"/>
    <w:rsid w:val="007F0A5A"/>
    <w:rsid w:val="008002EE"/>
    <w:rsid w:val="008048F8"/>
    <w:rsid w:val="00805C4E"/>
    <w:rsid w:val="00820D8D"/>
    <w:rsid w:val="00822B05"/>
    <w:rsid w:val="0083060A"/>
    <w:rsid w:val="00835A92"/>
    <w:rsid w:val="00846049"/>
    <w:rsid w:val="00851A25"/>
    <w:rsid w:val="00860578"/>
    <w:rsid w:val="00870DB2"/>
    <w:rsid w:val="00885A9E"/>
    <w:rsid w:val="0089394D"/>
    <w:rsid w:val="008A3851"/>
    <w:rsid w:val="008B0D02"/>
    <w:rsid w:val="008B5FCD"/>
    <w:rsid w:val="008B6931"/>
    <w:rsid w:val="008B7544"/>
    <w:rsid w:val="008C2C5F"/>
    <w:rsid w:val="008D6DB6"/>
    <w:rsid w:val="008F54A7"/>
    <w:rsid w:val="00925AB9"/>
    <w:rsid w:val="009411D7"/>
    <w:rsid w:val="00956C33"/>
    <w:rsid w:val="0097091B"/>
    <w:rsid w:val="0097513B"/>
    <w:rsid w:val="0098081E"/>
    <w:rsid w:val="009A0A0E"/>
    <w:rsid w:val="009B3B0B"/>
    <w:rsid w:val="009F0F50"/>
    <w:rsid w:val="00A12ECE"/>
    <w:rsid w:val="00A1367A"/>
    <w:rsid w:val="00A14BF0"/>
    <w:rsid w:val="00A2114B"/>
    <w:rsid w:val="00A30EB6"/>
    <w:rsid w:val="00A36127"/>
    <w:rsid w:val="00A372F0"/>
    <w:rsid w:val="00A61299"/>
    <w:rsid w:val="00A619DD"/>
    <w:rsid w:val="00A95688"/>
    <w:rsid w:val="00A959DF"/>
    <w:rsid w:val="00AB242C"/>
    <w:rsid w:val="00AC4D35"/>
    <w:rsid w:val="00AE2A10"/>
    <w:rsid w:val="00B02360"/>
    <w:rsid w:val="00B06EE5"/>
    <w:rsid w:val="00B21A81"/>
    <w:rsid w:val="00B24AF7"/>
    <w:rsid w:val="00B3076D"/>
    <w:rsid w:val="00B579C4"/>
    <w:rsid w:val="00B76265"/>
    <w:rsid w:val="00B81687"/>
    <w:rsid w:val="00BA7F7E"/>
    <w:rsid w:val="00BE3000"/>
    <w:rsid w:val="00BE7276"/>
    <w:rsid w:val="00BF1C5D"/>
    <w:rsid w:val="00C0444C"/>
    <w:rsid w:val="00C04505"/>
    <w:rsid w:val="00C047B2"/>
    <w:rsid w:val="00C1428E"/>
    <w:rsid w:val="00C24894"/>
    <w:rsid w:val="00C24BC0"/>
    <w:rsid w:val="00C460C4"/>
    <w:rsid w:val="00C46BCD"/>
    <w:rsid w:val="00C611C0"/>
    <w:rsid w:val="00C6159E"/>
    <w:rsid w:val="00C83A6D"/>
    <w:rsid w:val="00C95CB8"/>
    <w:rsid w:val="00C97B40"/>
    <w:rsid w:val="00C97E5B"/>
    <w:rsid w:val="00CA5899"/>
    <w:rsid w:val="00CA7CAA"/>
    <w:rsid w:val="00CD5542"/>
    <w:rsid w:val="00D07DFA"/>
    <w:rsid w:val="00D110F4"/>
    <w:rsid w:val="00D23E34"/>
    <w:rsid w:val="00D26277"/>
    <w:rsid w:val="00D42A3B"/>
    <w:rsid w:val="00D53B9C"/>
    <w:rsid w:val="00D62F3D"/>
    <w:rsid w:val="00D6340D"/>
    <w:rsid w:val="00D743A5"/>
    <w:rsid w:val="00D9459B"/>
    <w:rsid w:val="00D97E23"/>
    <w:rsid w:val="00DA33B6"/>
    <w:rsid w:val="00DD1F3E"/>
    <w:rsid w:val="00DE0512"/>
    <w:rsid w:val="00DF06F8"/>
    <w:rsid w:val="00DF5FF5"/>
    <w:rsid w:val="00E07E10"/>
    <w:rsid w:val="00E14C1A"/>
    <w:rsid w:val="00E3557E"/>
    <w:rsid w:val="00E46F0A"/>
    <w:rsid w:val="00E54517"/>
    <w:rsid w:val="00E81149"/>
    <w:rsid w:val="00E8603A"/>
    <w:rsid w:val="00EA5F6E"/>
    <w:rsid w:val="00EA6A7E"/>
    <w:rsid w:val="00EA79F1"/>
    <w:rsid w:val="00EB33A9"/>
    <w:rsid w:val="00EC023C"/>
    <w:rsid w:val="00EC3573"/>
    <w:rsid w:val="00EC3E5F"/>
    <w:rsid w:val="00EE14C9"/>
    <w:rsid w:val="00EE42AF"/>
    <w:rsid w:val="00EF39EE"/>
    <w:rsid w:val="00F06AC1"/>
    <w:rsid w:val="00F144AE"/>
    <w:rsid w:val="00F2572F"/>
    <w:rsid w:val="00F33C6A"/>
    <w:rsid w:val="00F34F21"/>
    <w:rsid w:val="00F36C9D"/>
    <w:rsid w:val="00F44E22"/>
    <w:rsid w:val="00F4553A"/>
    <w:rsid w:val="00F544CD"/>
    <w:rsid w:val="00F56124"/>
    <w:rsid w:val="00F66FA8"/>
    <w:rsid w:val="00F73F67"/>
    <w:rsid w:val="00F748E8"/>
    <w:rsid w:val="00F7544A"/>
    <w:rsid w:val="00F9211C"/>
    <w:rsid w:val="00F928DE"/>
    <w:rsid w:val="00FC3BA8"/>
    <w:rsid w:val="00FC4CCF"/>
    <w:rsid w:val="00FD3494"/>
    <w:rsid w:val="00FD4DD8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435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DD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3">
    <w:name w:val="heading 3"/>
    <w:basedOn w:val="Normlny"/>
    <w:link w:val="Nadpis3Char"/>
    <w:uiPriority w:val="9"/>
    <w:qFormat/>
    <w:rsid w:val="004F2F0B"/>
    <w:pPr>
      <w:tabs>
        <w:tab w:val="left" w:pos="567"/>
      </w:tabs>
      <w:autoSpaceDE w:val="0"/>
      <w:autoSpaceDN w:val="0"/>
      <w:adjustRightInd w:val="0"/>
      <w:spacing w:line="271" w:lineRule="auto"/>
      <w:ind w:left="0" w:firstLine="0"/>
      <w:jc w:val="both"/>
      <w:outlineLvl w:val="2"/>
    </w:pPr>
    <w:rPr>
      <w:szCs w:val="22"/>
      <w:u w:val="single"/>
      <w:lang w:val="en-NZ" w:eastAsia="en-US"/>
    </w:rPr>
  </w:style>
  <w:style w:type="paragraph" w:styleId="Nadpis4">
    <w:name w:val="heading 4"/>
    <w:basedOn w:val="Normlny"/>
    <w:next w:val="Normlny"/>
    <w:link w:val="Nadpis4Char"/>
    <w:qFormat/>
    <w:rsid w:val="008002EE"/>
    <w:pPr>
      <w:tabs>
        <w:tab w:val="left" w:pos="567"/>
      </w:tabs>
      <w:autoSpaceDE w:val="0"/>
      <w:autoSpaceDN w:val="0"/>
      <w:adjustRightInd w:val="0"/>
      <w:spacing w:line="271" w:lineRule="auto"/>
      <w:ind w:left="0" w:firstLine="0"/>
      <w:jc w:val="both"/>
      <w:outlineLvl w:val="3"/>
    </w:pPr>
    <w:rPr>
      <w:b/>
      <w:i/>
      <w:szCs w:val="22"/>
      <w:lang w:val="en-N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D4DD8"/>
    <w:rPr>
      <w:color w:val="0000FF"/>
      <w:u w:val="single"/>
    </w:rPr>
  </w:style>
  <w:style w:type="paragraph" w:customStyle="1" w:styleId="EMEAEnBodyText">
    <w:name w:val="EMEA En Body Text"/>
    <w:basedOn w:val="Normlny"/>
    <w:rsid w:val="00FD4DD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FD4DD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FD4DD8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tlid-translation">
    <w:name w:val="tlid-translation"/>
    <w:rsid w:val="00FD4DD8"/>
  </w:style>
  <w:style w:type="paragraph" w:styleId="Textbubliny">
    <w:name w:val="Balloon Text"/>
    <w:basedOn w:val="Normlny"/>
    <w:link w:val="TextbublinyChar"/>
    <w:uiPriority w:val="99"/>
    <w:semiHidden/>
    <w:unhideWhenUsed/>
    <w:rsid w:val="002C71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7104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Bezriadkovania">
    <w:name w:val="No Spacing"/>
    <w:uiPriority w:val="1"/>
    <w:qFormat/>
    <w:rsid w:val="00525EE1"/>
    <w:pPr>
      <w:widowControl w:val="0"/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2470B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8002EE"/>
    <w:rPr>
      <w:rFonts w:ascii="Times New Roman" w:eastAsia="Times New Roman" w:hAnsi="Times New Roman" w:cs="Times New Roman"/>
      <w:b/>
      <w:i/>
      <w:lang w:val="en-NZ"/>
    </w:rPr>
  </w:style>
  <w:style w:type="character" w:styleId="Odkaznakomentr">
    <w:name w:val="annotation reference"/>
    <w:basedOn w:val="Predvolenpsmoodseku"/>
    <w:uiPriority w:val="99"/>
    <w:unhideWhenUsed/>
    <w:rsid w:val="00584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ACB"/>
    <w:pPr>
      <w:tabs>
        <w:tab w:val="left" w:pos="567"/>
      </w:tabs>
      <w:autoSpaceDE w:val="0"/>
      <w:autoSpaceDN w:val="0"/>
      <w:adjustRightInd w:val="0"/>
      <w:ind w:left="0" w:firstLine="0"/>
      <w:jc w:val="both"/>
    </w:pPr>
    <w:rPr>
      <w:sz w:val="20"/>
      <w:szCs w:val="22"/>
      <w:lang w:val="en-NZ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ACB"/>
    <w:rPr>
      <w:rFonts w:ascii="Times New Roman" w:eastAsia="Times New Roman" w:hAnsi="Times New Roman" w:cs="Times New Roman"/>
      <w:sz w:val="20"/>
      <w:lang w:val="en-NZ"/>
    </w:rPr>
  </w:style>
  <w:style w:type="character" w:customStyle="1" w:styleId="Nadpis3Char">
    <w:name w:val="Nadpis 3 Char"/>
    <w:basedOn w:val="Predvolenpsmoodseku"/>
    <w:link w:val="Nadpis3"/>
    <w:uiPriority w:val="9"/>
    <w:rsid w:val="004F2F0B"/>
    <w:rPr>
      <w:rFonts w:ascii="Times New Roman" w:eastAsia="Times New Roman" w:hAnsi="Times New Roman" w:cs="Times New Roman"/>
      <w:u w:val="single"/>
      <w:lang w:val="en-NZ"/>
    </w:rPr>
  </w:style>
  <w:style w:type="paragraph" w:styleId="Hlavika">
    <w:name w:val="header"/>
    <w:basedOn w:val="Normlny"/>
    <w:link w:val="HlavikaChar"/>
    <w:uiPriority w:val="99"/>
    <w:unhideWhenUsed/>
    <w:rsid w:val="00B7626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6265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B7626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76265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1993"/>
    <w:pPr>
      <w:tabs>
        <w:tab w:val="clear" w:pos="567"/>
      </w:tabs>
      <w:autoSpaceDE/>
      <w:autoSpaceDN/>
      <w:adjustRightInd/>
      <w:ind w:left="567" w:hanging="567"/>
      <w:jc w:val="left"/>
    </w:pPr>
    <w:rPr>
      <w:b/>
      <w:bCs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1993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3F2672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customStyle="1" w:styleId="Normlndobloku">
    <w:name w:val="Normální do bloku"/>
    <w:basedOn w:val="Normlny"/>
    <w:link w:val="NormlndoblokuChar"/>
    <w:autoRedefine/>
    <w:rsid w:val="00A95688"/>
    <w:pPr>
      <w:suppressAutoHyphens/>
      <w:ind w:left="0" w:firstLine="0"/>
    </w:pPr>
    <w:rPr>
      <w:rFonts w:eastAsia="Calibri"/>
      <w:lang w:eastAsia="cs-CZ"/>
    </w:rPr>
  </w:style>
  <w:style w:type="character" w:customStyle="1" w:styleId="NormlndoblokuChar">
    <w:name w:val="Normální do bloku Char"/>
    <w:link w:val="Normlndobloku"/>
    <w:rsid w:val="00A95688"/>
    <w:rPr>
      <w:rFonts w:ascii="Times New Roman" w:eastAsia="Calibri" w:hAnsi="Times New Roman" w:cs="Times New Roman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DD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3">
    <w:name w:val="heading 3"/>
    <w:basedOn w:val="Normlny"/>
    <w:link w:val="Nadpis3Char"/>
    <w:uiPriority w:val="9"/>
    <w:qFormat/>
    <w:rsid w:val="004F2F0B"/>
    <w:pPr>
      <w:tabs>
        <w:tab w:val="left" w:pos="567"/>
      </w:tabs>
      <w:autoSpaceDE w:val="0"/>
      <w:autoSpaceDN w:val="0"/>
      <w:adjustRightInd w:val="0"/>
      <w:spacing w:line="271" w:lineRule="auto"/>
      <w:ind w:left="0" w:firstLine="0"/>
      <w:jc w:val="both"/>
      <w:outlineLvl w:val="2"/>
    </w:pPr>
    <w:rPr>
      <w:szCs w:val="22"/>
      <w:u w:val="single"/>
      <w:lang w:val="en-NZ" w:eastAsia="en-US"/>
    </w:rPr>
  </w:style>
  <w:style w:type="paragraph" w:styleId="Nadpis4">
    <w:name w:val="heading 4"/>
    <w:basedOn w:val="Normlny"/>
    <w:next w:val="Normlny"/>
    <w:link w:val="Nadpis4Char"/>
    <w:qFormat/>
    <w:rsid w:val="008002EE"/>
    <w:pPr>
      <w:tabs>
        <w:tab w:val="left" w:pos="567"/>
      </w:tabs>
      <w:autoSpaceDE w:val="0"/>
      <w:autoSpaceDN w:val="0"/>
      <w:adjustRightInd w:val="0"/>
      <w:spacing w:line="271" w:lineRule="auto"/>
      <w:ind w:left="0" w:firstLine="0"/>
      <w:jc w:val="both"/>
      <w:outlineLvl w:val="3"/>
    </w:pPr>
    <w:rPr>
      <w:b/>
      <w:i/>
      <w:szCs w:val="22"/>
      <w:lang w:val="en-N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D4DD8"/>
    <w:rPr>
      <w:color w:val="0000FF"/>
      <w:u w:val="single"/>
    </w:rPr>
  </w:style>
  <w:style w:type="paragraph" w:customStyle="1" w:styleId="EMEAEnBodyText">
    <w:name w:val="EMEA En Body Text"/>
    <w:basedOn w:val="Normlny"/>
    <w:rsid w:val="00FD4DD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FD4DD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FD4DD8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tlid-translation">
    <w:name w:val="tlid-translation"/>
    <w:rsid w:val="00FD4DD8"/>
  </w:style>
  <w:style w:type="paragraph" w:styleId="Textbubliny">
    <w:name w:val="Balloon Text"/>
    <w:basedOn w:val="Normlny"/>
    <w:link w:val="TextbublinyChar"/>
    <w:uiPriority w:val="99"/>
    <w:semiHidden/>
    <w:unhideWhenUsed/>
    <w:rsid w:val="002C71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7104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Bezriadkovania">
    <w:name w:val="No Spacing"/>
    <w:uiPriority w:val="1"/>
    <w:qFormat/>
    <w:rsid w:val="00525EE1"/>
    <w:pPr>
      <w:widowControl w:val="0"/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2470B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8002EE"/>
    <w:rPr>
      <w:rFonts w:ascii="Times New Roman" w:eastAsia="Times New Roman" w:hAnsi="Times New Roman" w:cs="Times New Roman"/>
      <w:b/>
      <w:i/>
      <w:lang w:val="en-NZ"/>
    </w:rPr>
  </w:style>
  <w:style w:type="character" w:styleId="Odkaznakomentr">
    <w:name w:val="annotation reference"/>
    <w:basedOn w:val="Predvolenpsmoodseku"/>
    <w:uiPriority w:val="99"/>
    <w:unhideWhenUsed/>
    <w:rsid w:val="00584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ACB"/>
    <w:pPr>
      <w:tabs>
        <w:tab w:val="left" w:pos="567"/>
      </w:tabs>
      <w:autoSpaceDE w:val="0"/>
      <w:autoSpaceDN w:val="0"/>
      <w:adjustRightInd w:val="0"/>
      <w:ind w:left="0" w:firstLine="0"/>
      <w:jc w:val="both"/>
    </w:pPr>
    <w:rPr>
      <w:sz w:val="20"/>
      <w:szCs w:val="22"/>
      <w:lang w:val="en-NZ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ACB"/>
    <w:rPr>
      <w:rFonts w:ascii="Times New Roman" w:eastAsia="Times New Roman" w:hAnsi="Times New Roman" w:cs="Times New Roman"/>
      <w:sz w:val="20"/>
      <w:lang w:val="en-NZ"/>
    </w:rPr>
  </w:style>
  <w:style w:type="character" w:customStyle="1" w:styleId="Nadpis3Char">
    <w:name w:val="Nadpis 3 Char"/>
    <w:basedOn w:val="Predvolenpsmoodseku"/>
    <w:link w:val="Nadpis3"/>
    <w:uiPriority w:val="9"/>
    <w:rsid w:val="004F2F0B"/>
    <w:rPr>
      <w:rFonts w:ascii="Times New Roman" w:eastAsia="Times New Roman" w:hAnsi="Times New Roman" w:cs="Times New Roman"/>
      <w:u w:val="single"/>
      <w:lang w:val="en-NZ"/>
    </w:rPr>
  </w:style>
  <w:style w:type="paragraph" w:styleId="Hlavika">
    <w:name w:val="header"/>
    <w:basedOn w:val="Normlny"/>
    <w:link w:val="HlavikaChar"/>
    <w:uiPriority w:val="99"/>
    <w:unhideWhenUsed/>
    <w:rsid w:val="00B7626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6265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B7626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76265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1993"/>
    <w:pPr>
      <w:tabs>
        <w:tab w:val="clear" w:pos="567"/>
      </w:tabs>
      <w:autoSpaceDE/>
      <w:autoSpaceDN/>
      <w:adjustRightInd/>
      <w:ind w:left="567" w:hanging="567"/>
      <w:jc w:val="left"/>
    </w:pPr>
    <w:rPr>
      <w:b/>
      <w:bCs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1993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3F2672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customStyle="1" w:styleId="Normlndobloku">
    <w:name w:val="Normální do bloku"/>
    <w:basedOn w:val="Normlny"/>
    <w:link w:val="NormlndoblokuChar"/>
    <w:autoRedefine/>
    <w:rsid w:val="00A95688"/>
    <w:pPr>
      <w:suppressAutoHyphens/>
      <w:ind w:left="0" w:firstLine="0"/>
    </w:pPr>
    <w:rPr>
      <w:rFonts w:eastAsia="Calibri"/>
      <w:lang w:eastAsia="cs-CZ"/>
    </w:rPr>
  </w:style>
  <w:style w:type="character" w:customStyle="1" w:styleId="NormlndoblokuChar">
    <w:name w:val="Normální do bloku Char"/>
    <w:link w:val="Normlndobloku"/>
    <w:rsid w:val="00A95688"/>
    <w:rPr>
      <w:rFonts w:ascii="Times New Roman" w:eastAsia="Calibri" w:hAnsi="Times New Roman" w:cs="Times New Roman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1f2668f6-bf66-4d36-920b-caa84d62691f">Návrh</Stav>
    <_Flow_SignoffStatus xmlns="1f2668f6-bf66-4d36-920b-caa84d62691f" xsi:nil="true"/>
    <Revize xmlns="1f2668f6-bf66-4d36-920b-caa84d62691f">2020-05-07T16:28:19+00:00</Reviz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E022970303F44FBEB8F4C57C5C38E2" ma:contentTypeVersion="16" ma:contentTypeDescription="Vytvoří nový dokument" ma:contentTypeScope="" ma:versionID="ab92b51bb015e653ff5ef36adac7ef15">
  <xsd:schema xmlns:xsd="http://www.w3.org/2001/XMLSchema" xmlns:xs="http://www.w3.org/2001/XMLSchema" xmlns:p="http://schemas.microsoft.com/office/2006/metadata/properties" xmlns:ns2="1f2668f6-bf66-4d36-920b-caa84d62691f" xmlns:ns3="615a200b-3476-408b-a702-b6306c5d6439" targetNamespace="http://schemas.microsoft.com/office/2006/metadata/properties" ma:root="true" ma:fieldsID="331d5d2c180e0487d8740ccf777f9d6e" ns2:_="" ns3:_="">
    <xsd:import namespace="1f2668f6-bf66-4d36-920b-caa84d62691f"/>
    <xsd:import namespace="615a200b-3476-408b-a702-b6306c5d6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v" minOccurs="0"/>
                <xsd:element ref="ns2:Reviz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68f6-bf66-4d36-920b-caa84d62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v" ma:index="10" nillable="true" ma:displayName="Stav" ma:default="Návrh" ma:description="Stav schválení dokumentu" ma:format="Dropdown" ma:indexed="true" ma:internalName="Stav">
      <xsd:simpleType>
        <xsd:restriction base="dms:Choice">
          <xsd:enumeration value="Návrh"/>
          <xsd:enumeration value="Schváleno INT"/>
          <xsd:enumeration value="Schváleno FIN"/>
          <xsd:enumeration value="Zamítnuto"/>
          <xsd:enumeration value="Zastaralé"/>
        </xsd:restriction>
      </xsd:simpleType>
    </xsd:element>
    <xsd:element name="Revize" ma:index="11" nillable="true" ma:displayName="Revize" ma:default="[today]" ma:description="Datum poslední revize dokumentu" ma:format="DateOnly" ma:internalName="Revize">
      <xsd:simpleType>
        <xsd:restriction base="dms:DateTim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a200b-3476-408b-a702-b6306c5d6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1D40C-2009-4D3D-B2BA-C216EDCB487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5a200b-3476-408b-a702-b6306c5d6439"/>
    <ds:schemaRef ds:uri="1f2668f6-bf66-4d36-920b-caa84d6269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E52934-3E33-4738-9F23-720F7F28D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06BDA-64AD-4C56-9D9A-4AE4A04E6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668f6-bf66-4d36-920b-caa84d62691f"/>
    <ds:schemaRef ds:uri="615a200b-3476-408b-a702-b6306c5d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7727</Words>
  <Characters>44047</Characters>
  <Application>Microsoft Office Word</Application>
  <DocSecurity>0</DocSecurity>
  <Lines>367</Lines>
  <Paragraphs>103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Luláková, Milota (Uhnakova)</dc:creator>
  <cp:lastModifiedBy>Uhnáková Milota</cp:lastModifiedBy>
  <cp:revision>2</cp:revision>
  <cp:lastPrinted>2020-08-17T14:22:00Z</cp:lastPrinted>
  <dcterms:created xsi:type="dcterms:W3CDTF">2020-10-27T08:31:00Z</dcterms:created>
  <dcterms:modified xsi:type="dcterms:W3CDTF">2020-10-27T08:31:00Z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0x01010018E022970303F44FBEB8F4C57C5C38E2</vt:lpwstr>
  </property>
</Properties>
</file>