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9D572" w14:textId="77777777" w:rsidR="00A06CFA" w:rsidRPr="00A06CFA" w:rsidRDefault="00A06CFA" w:rsidP="0012553A">
      <w:pPr>
        <w:pStyle w:val="SPCaPILhlavika"/>
        <w:spacing w:line="240" w:lineRule="auto"/>
        <w:jc w:val="left"/>
        <w:rPr>
          <w:lang w:val="sk-SK"/>
        </w:rPr>
      </w:pPr>
    </w:p>
    <w:p w14:paraId="1EAE9FC6" w14:textId="77777777" w:rsidR="00EE1BB5" w:rsidRDefault="00EE1BB5" w:rsidP="0012553A">
      <w:pPr>
        <w:pStyle w:val="SPCaPILhlavika"/>
        <w:spacing w:line="240" w:lineRule="auto"/>
        <w:rPr>
          <w:lang w:val="sk-SK"/>
        </w:rPr>
      </w:pPr>
      <w:r w:rsidRPr="00A06CFA">
        <w:rPr>
          <w:lang w:val="sk-SK"/>
        </w:rPr>
        <w:t>SÚHRN CHARAKTERISTICKÝCH VLASTNOSTÍ LIEKU</w:t>
      </w:r>
    </w:p>
    <w:p w14:paraId="50F01E1D" w14:textId="77777777" w:rsidR="00A06CFA" w:rsidRDefault="00A06CFA" w:rsidP="0012553A">
      <w:pPr>
        <w:pStyle w:val="SPCaPILhlavika"/>
        <w:spacing w:line="240" w:lineRule="auto"/>
        <w:jc w:val="left"/>
        <w:rPr>
          <w:lang w:val="sk-SK"/>
        </w:rPr>
      </w:pPr>
    </w:p>
    <w:p w14:paraId="26C02F74" w14:textId="77777777" w:rsidR="00A06CFA" w:rsidRPr="00A06CFA" w:rsidRDefault="00A06CFA" w:rsidP="0012553A">
      <w:pPr>
        <w:pStyle w:val="SPCaPILhlavika"/>
        <w:spacing w:line="240" w:lineRule="auto"/>
        <w:jc w:val="left"/>
        <w:rPr>
          <w:lang w:val="sk-SK"/>
        </w:rPr>
      </w:pPr>
    </w:p>
    <w:p w14:paraId="2C343464" w14:textId="77777777" w:rsidR="00EE1BB5" w:rsidRPr="00A06CFA" w:rsidRDefault="00EE1BB5" w:rsidP="0012553A">
      <w:pPr>
        <w:pStyle w:val="Styl1"/>
        <w:spacing w:before="0" w:after="0"/>
        <w:rPr>
          <w:szCs w:val="22"/>
          <w:lang w:val="sk-SK"/>
        </w:rPr>
      </w:pPr>
      <w:r w:rsidRPr="00A06CFA">
        <w:rPr>
          <w:szCs w:val="22"/>
          <w:lang w:val="sk-SK"/>
        </w:rPr>
        <w:t>Názov lieku</w:t>
      </w:r>
    </w:p>
    <w:p w14:paraId="35E944B7" w14:textId="77777777" w:rsidR="00A06CFA" w:rsidRDefault="00A06CFA" w:rsidP="0012553A">
      <w:pPr>
        <w:pStyle w:val="Normlndobloku"/>
        <w:spacing w:after="0"/>
        <w:jc w:val="left"/>
        <w:rPr>
          <w:szCs w:val="22"/>
        </w:rPr>
      </w:pPr>
    </w:p>
    <w:p w14:paraId="69CAA26A" w14:textId="77777777" w:rsidR="00EE1BB5" w:rsidRPr="00A06CFA" w:rsidRDefault="00EE1BB5" w:rsidP="0012553A">
      <w:pPr>
        <w:pStyle w:val="Normlndobloku"/>
        <w:spacing w:after="0"/>
        <w:jc w:val="left"/>
        <w:rPr>
          <w:szCs w:val="22"/>
        </w:rPr>
      </w:pPr>
      <w:r w:rsidRPr="00A06CFA">
        <w:rPr>
          <w:szCs w:val="22"/>
        </w:rPr>
        <w:t>MEDOSTATIN 20 mg</w:t>
      </w:r>
    </w:p>
    <w:p w14:paraId="1DC59E4B" w14:textId="77777777" w:rsidR="00EE1BB5" w:rsidRPr="00A06CFA" w:rsidRDefault="00EE1BB5" w:rsidP="0012553A">
      <w:pPr>
        <w:pStyle w:val="Normlndobloku"/>
        <w:spacing w:after="0"/>
        <w:jc w:val="left"/>
        <w:rPr>
          <w:szCs w:val="22"/>
        </w:rPr>
      </w:pPr>
      <w:r w:rsidRPr="00A06CFA">
        <w:rPr>
          <w:szCs w:val="22"/>
        </w:rPr>
        <w:t>MEDOSTATIN 40 mg</w:t>
      </w:r>
    </w:p>
    <w:p w14:paraId="4156584C" w14:textId="324893E9" w:rsidR="00EE1BB5" w:rsidRDefault="00A06CFA" w:rsidP="0012553A">
      <w:pPr>
        <w:pStyle w:val="Normlndobloku"/>
        <w:spacing w:after="0"/>
        <w:jc w:val="left"/>
        <w:rPr>
          <w:szCs w:val="22"/>
        </w:rPr>
      </w:pPr>
      <w:r>
        <w:rPr>
          <w:szCs w:val="22"/>
        </w:rPr>
        <w:t>t</w:t>
      </w:r>
      <w:r w:rsidR="00EE1BB5" w:rsidRPr="00A06CFA">
        <w:rPr>
          <w:szCs w:val="22"/>
        </w:rPr>
        <w:t>ablety</w:t>
      </w:r>
    </w:p>
    <w:p w14:paraId="612ABAAC" w14:textId="77777777" w:rsidR="00A06CFA" w:rsidRDefault="00A06CFA" w:rsidP="0012553A">
      <w:pPr>
        <w:pStyle w:val="Normlndobloku"/>
        <w:spacing w:after="0"/>
        <w:jc w:val="left"/>
        <w:rPr>
          <w:szCs w:val="22"/>
        </w:rPr>
      </w:pPr>
    </w:p>
    <w:p w14:paraId="3F483A44" w14:textId="77777777" w:rsidR="00A06CFA" w:rsidRPr="00A06CFA" w:rsidRDefault="00A06CFA" w:rsidP="0012553A">
      <w:pPr>
        <w:pStyle w:val="Normlndobloku"/>
        <w:spacing w:after="0"/>
        <w:jc w:val="left"/>
        <w:rPr>
          <w:szCs w:val="22"/>
        </w:rPr>
      </w:pPr>
    </w:p>
    <w:p w14:paraId="2886262A" w14:textId="77777777" w:rsidR="00EE1BB5" w:rsidRPr="00A06CFA" w:rsidRDefault="00EE1BB5" w:rsidP="0012553A">
      <w:pPr>
        <w:pStyle w:val="Styl1"/>
        <w:spacing w:before="0" w:after="0"/>
        <w:rPr>
          <w:szCs w:val="22"/>
          <w:lang w:val="sk-SK"/>
        </w:rPr>
      </w:pPr>
      <w:r w:rsidRPr="00A06CFA">
        <w:rPr>
          <w:szCs w:val="22"/>
          <w:lang w:val="sk-SK"/>
        </w:rPr>
        <w:t>Kvalitatívne a kvantitatívne zloženie</w:t>
      </w:r>
    </w:p>
    <w:p w14:paraId="50FDF693" w14:textId="77777777" w:rsidR="00A06CFA" w:rsidRDefault="00A06CFA" w:rsidP="0012553A">
      <w:pPr>
        <w:pStyle w:val="Normlndobloku"/>
        <w:spacing w:after="0"/>
        <w:jc w:val="left"/>
        <w:rPr>
          <w:szCs w:val="22"/>
        </w:rPr>
      </w:pPr>
    </w:p>
    <w:p w14:paraId="3D72E8D5" w14:textId="4E05D1E0" w:rsidR="00EE1BB5" w:rsidRPr="00A06CFA" w:rsidRDefault="00EE1BB5" w:rsidP="0012553A">
      <w:pPr>
        <w:pStyle w:val="Normlndobloku"/>
        <w:spacing w:after="0"/>
        <w:jc w:val="left"/>
        <w:rPr>
          <w:szCs w:val="22"/>
        </w:rPr>
      </w:pPr>
      <w:r w:rsidRPr="00A06CFA">
        <w:rPr>
          <w:szCs w:val="22"/>
        </w:rPr>
        <w:t>MEDOSTATIN 20 mg: Jedna tableta obsahuje 20 mg lovastatínu.</w:t>
      </w:r>
    </w:p>
    <w:p w14:paraId="7C5B0978" w14:textId="5C3081F6" w:rsidR="00EE1BB5" w:rsidRPr="00A06CFA" w:rsidRDefault="00EE1BB5" w:rsidP="0012553A">
      <w:pPr>
        <w:pStyle w:val="Normlndobloku"/>
        <w:spacing w:after="0"/>
        <w:jc w:val="left"/>
        <w:rPr>
          <w:szCs w:val="22"/>
        </w:rPr>
      </w:pPr>
      <w:r w:rsidRPr="00A06CFA">
        <w:rPr>
          <w:szCs w:val="22"/>
        </w:rPr>
        <w:t>MEDOSTATIN 40 mg: Jedna tableta obsahuje 40 mg lovastatínu.</w:t>
      </w:r>
    </w:p>
    <w:p w14:paraId="5B618510" w14:textId="77777777" w:rsidR="00A06CFA" w:rsidRDefault="00A06CFA" w:rsidP="0012553A">
      <w:pPr>
        <w:pStyle w:val="Normlndobloku"/>
        <w:spacing w:after="0"/>
        <w:jc w:val="left"/>
        <w:rPr>
          <w:szCs w:val="22"/>
        </w:rPr>
      </w:pPr>
    </w:p>
    <w:p w14:paraId="221CD9C0" w14:textId="66017201" w:rsidR="00A06CFA" w:rsidRDefault="00EE1BB5" w:rsidP="0012553A">
      <w:pPr>
        <w:pStyle w:val="Normlndobloku"/>
        <w:spacing w:after="0"/>
        <w:jc w:val="left"/>
        <w:rPr>
          <w:szCs w:val="22"/>
        </w:rPr>
      </w:pPr>
      <w:r w:rsidRPr="0012553A">
        <w:rPr>
          <w:szCs w:val="22"/>
          <w:u w:val="single"/>
        </w:rPr>
        <w:t>Pomocn</w:t>
      </w:r>
      <w:r w:rsidR="00112E30" w:rsidRPr="0012553A">
        <w:rPr>
          <w:szCs w:val="22"/>
          <w:u w:val="single"/>
        </w:rPr>
        <w:t>á</w:t>
      </w:r>
      <w:r w:rsidRPr="0012553A">
        <w:rPr>
          <w:szCs w:val="22"/>
          <w:u w:val="single"/>
        </w:rPr>
        <w:t xml:space="preserve"> látk</w:t>
      </w:r>
      <w:r w:rsidR="00112E30" w:rsidRPr="0012553A">
        <w:rPr>
          <w:szCs w:val="22"/>
          <w:u w:val="single"/>
        </w:rPr>
        <w:t>a</w:t>
      </w:r>
      <w:r w:rsidR="00A06CFA" w:rsidRPr="0012553A">
        <w:rPr>
          <w:szCs w:val="22"/>
          <w:u w:val="single"/>
        </w:rPr>
        <w:t xml:space="preserve"> so známym účinkom</w:t>
      </w:r>
      <w:r w:rsidRPr="0012553A">
        <w:rPr>
          <w:szCs w:val="22"/>
          <w:u w:val="single"/>
        </w:rPr>
        <w:t>:</w:t>
      </w:r>
      <w:r w:rsidRPr="00A06CFA">
        <w:rPr>
          <w:szCs w:val="22"/>
        </w:rPr>
        <w:t xml:space="preserve"> </w:t>
      </w:r>
      <w:r w:rsidR="00A06CFA" w:rsidRPr="00A06CFA">
        <w:rPr>
          <w:szCs w:val="22"/>
        </w:rPr>
        <w:t>laktóz</w:t>
      </w:r>
      <w:r w:rsidR="00112E30">
        <w:rPr>
          <w:szCs w:val="22"/>
        </w:rPr>
        <w:t>a</w:t>
      </w:r>
      <w:r w:rsidR="00A06CFA">
        <w:rPr>
          <w:szCs w:val="22"/>
        </w:rPr>
        <w:t>,</w:t>
      </w:r>
      <w:r w:rsidR="00A06CFA" w:rsidRPr="00A06CFA">
        <w:rPr>
          <w:szCs w:val="22"/>
        </w:rPr>
        <w:t xml:space="preserve"> </w:t>
      </w:r>
      <w:r w:rsidR="00A06CFA">
        <w:rPr>
          <w:szCs w:val="22"/>
        </w:rPr>
        <w:t xml:space="preserve">disperzne </w:t>
      </w:r>
      <w:r w:rsidR="00A06CFA" w:rsidRPr="00A06CFA">
        <w:rPr>
          <w:szCs w:val="22"/>
        </w:rPr>
        <w:t>sušen</w:t>
      </w:r>
      <w:r w:rsidR="00112E30">
        <w:rPr>
          <w:szCs w:val="22"/>
        </w:rPr>
        <w:t>á</w:t>
      </w:r>
    </w:p>
    <w:p w14:paraId="4B87357B" w14:textId="70B59409" w:rsidR="00EE1BB5" w:rsidRDefault="00112E30" w:rsidP="0012553A">
      <w:pPr>
        <w:pStyle w:val="Normlndobloku"/>
        <w:spacing w:after="0"/>
        <w:jc w:val="left"/>
        <w:rPr>
          <w:szCs w:val="22"/>
        </w:rPr>
      </w:pPr>
      <w:r w:rsidRPr="00A06CFA">
        <w:rPr>
          <w:szCs w:val="22"/>
        </w:rPr>
        <w:t>Jedna tableta MEDOSTATIN</w:t>
      </w:r>
      <w:r>
        <w:rPr>
          <w:szCs w:val="22"/>
        </w:rPr>
        <w:t>U</w:t>
      </w:r>
      <w:r w:rsidRPr="00A06CFA">
        <w:rPr>
          <w:szCs w:val="22"/>
        </w:rPr>
        <w:t xml:space="preserve"> 20 mg</w:t>
      </w:r>
      <w:r>
        <w:rPr>
          <w:szCs w:val="22"/>
        </w:rPr>
        <w:t xml:space="preserve"> </w:t>
      </w:r>
      <w:r w:rsidRPr="00A06CFA">
        <w:rPr>
          <w:szCs w:val="22"/>
        </w:rPr>
        <w:t xml:space="preserve">obsahuje </w:t>
      </w:r>
      <w:r>
        <w:rPr>
          <w:szCs w:val="22"/>
        </w:rPr>
        <w:t>146</w:t>
      </w:r>
      <w:r w:rsidRPr="00A06CFA">
        <w:rPr>
          <w:szCs w:val="22"/>
        </w:rPr>
        <w:t xml:space="preserve"> mg </w:t>
      </w:r>
      <w:r>
        <w:rPr>
          <w:szCs w:val="22"/>
        </w:rPr>
        <w:t xml:space="preserve">disperzne </w:t>
      </w:r>
      <w:r w:rsidRPr="00A06CFA">
        <w:rPr>
          <w:szCs w:val="22"/>
        </w:rPr>
        <w:t>sušen</w:t>
      </w:r>
      <w:r>
        <w:rPr>
          <w:szCs w:val="22"/>
        </w:rPr>
        <w:t>ej laktózy.</w:t>
      </w:r>
    </w:p>
    <w:p w14:paraId="0E6CC275" w14:textId="399EDC3C" w:rsidR="00112E30" w:rsidRDefault="00112E30" w:rsidP="00112E30">
      <w:pPr>
        <w:pStyle w:val="Normlndobloku"/>
        <w:spacing w:after="0"/>
        <w:jc w:val="left"/>
        <w:rPr>
          <w:szCs w:val="22"/>
        </w:rPr>
      </w:pPr>
      <w:r w:rsidRPr="00A06CFA">
        <w:rPr>
          <w:szCs w:val="22"/>
        </w:rPr>
        <w:t>Jedna tableta MEDOSTATIN</w:t>
      </w:r>
      <w:r>
        <w:rPr>
          <w:szCs w:val="22"/>
        </w:rPr>
        <w:t>U 4</w:t>
      </w:r>
      <w:r w:rsidRPr="00A06CFA">
        <w:rPr>
          <w:szCs w:val="22"/>
        </w:rPr>
        <w:t>0 mg</w:t>
      </w:r>
      <w:r>
        <w:rPr>
          <w:szCs w:val="22"/>
        </w:rPr>
        <w:t xml:space="preserve"> </w:t>
      </w:r>
      <w:r w:rsidRPr="00A06CFA">
        <w:rPr>
          <w:szCs w:val="22"/>
        </w:rPr>
        <w:t xml:space="preserve">obsahuje </w:t>
      </w:r>
      <w:r>
        <w:rPr>
          <w:szCs w:val="22"/>
        </w:rPr>
        <w:t>126</w:t>
      </w:r>
      <w:r w:rsidRPr="00A06CFA">
        <w:rPr>
          <w:szCs w:val="22"/>
        </w:rPr>
        <w:t xml:space="preserve"> mg </w:t>
      </w:r>
      <w:r>
        <w:rPr>
          <w:szCs w:val="22"/>
        </w:rPr>
        <w:t xml:space="preserve">disperzne </w:t>
      </w:r>
      <w:r w:rsidRPr="00A06CFA">
        <w:rPr>
          <w:szCs w:val="22"/>
        </w:rPr>
        <w:t>sušen</w:t>
      </w:r>
      <w:r>
        <w:rPr>
          <w:szCs w:val="22"/>
        </w:rPr>
        <w:t>ej laktózy.</w:t>
      </w:r>
    </w:p>
    <w:p w14:paraId="219E1523" w14:textId="77777777" w:rsidR="00112E30" w:rsidRPr="00A06CFA" w:rsidRDefault="00112E30" w:rsidP="0012553A">
      <w:pPr>
        <w:pStyle w:val="Normlndobloku"/>
        <w:spacing w:after="0"/>
        <w:jc w:val="left"/>
        <w:rPr>
          <w:szCs w:val="22"/>
        </w:rPr>
      </w:pPr>
    </w:p>
    <w:p w14:paraId="4688938E" w14:textId="77777777" w:rsidR="00EE1BB5" w:rsidRDefault="00EE1BB5" w:rsidP="0012553A">
      <w:pPr>
        <w:pStyle w:val="Normlndobloku"/>
        <w:spacing w:after="0"/>
        <w:jc w:val="left"/>
        <w:rPr>
          <w:szCs w:val="22"/>
        </w:rPr>
      </w:pPr>
      <w:r w:rsidRPr="00C456E3">
        <w:rPr>
          <w:szCs w:val="22"/>
        </w:rPr>
        <w:t>Úplný zoznam pomocných látok, pozri časť 6.1.</w:t>
      </w:r>
    </w:p>
    <w:p w14:paraId="39E933EE" w14:textId="77777777" w:rsidR="00A06CFA" w:rsidRDefault="00A06CFA" w:rsidP="0012553A">
      <w:pPr>
        <w:pStyle w:val="Normlndobloku"/>
        <w:spacing w:after="0"/>
        <w:jc w:val="left"/>
        <w:rPr>
          <w:szCs w:val="22"/>
        </w:rPr>
      </w:pPr>
    </w:p>
    <w:p w14:paraId="4279F2B9" w14:textId="77777777" w:rsidR="00A06CFA" w:rsidRPr="00A06CFA" w:rsidRDefault="00A06CFA" w:rsidP="0012553A">
      <w:pPr>
        <w:pStyle w:val="Normlndobloku"/>
        <w:spacing w:after="0"/>
        <w:jc w:val="left"/>
        <w:rPr>
          <w:szCs w:val="22"/>
        </w:rPr>
      </w:pPr>
    </w:p>
    <w:p w14:paraId="009190F9" w14:textId="77777777" w:rsidR="00EE1BB5" w:rsidRPr="00A06CFA" w:rsidRDefault="00EE1BB5" w:rsidP="0012553A">
      <w:pPr>
        <w:pStyle w:val="Styl1"/>
        <w:spacing w:before="0" w:after="0"/>
        <w:rPr>
          <w:szCs w:val="22"/>
          <w:lang w:val="sk-SK"/>
        </w:rPr>
      </w:pPr>
      <w:r w:rsidRPr="00A06CFA">
        <w:rPr>
          <w:szCs w:val="22"/>
          <w:lang w:val="sk-SK"/>
        </w:rPr>
        <w:t>Lieková forma</w:t>
      </w:r>
    </w:p>
    <w:p w14:paraId="4361AEBB" w14:textId="77777777" w:rsidR="00A06CFA" w:rsidRDefault="00A06CFA" w:rsidP="0012553A">
      <w:pPr>
        <w:pStyle w:val="Normlndobloku"/>
        <w:spacing w:after="0"/>
        <w:jc w:val="left"/>
        <w:rPr>
          <w:szCs w:val="22"/>
        </w:rPr>
      </w:pPr>
    </w:p>
    <w:p w14:paraId="6B734086" w14:textId="787DF897" w:rsidR="00EE1BB5" w:rsidRPr="00A06CFA" w:rsidRDefault="00EE1BB5" w:rsidP="0012553A">
      <w:pPr>
        <w:pStyle w:val="Normlndobloku"/>
        <w:spacing w:after="0"/>
        <w:jc w:val="left"/>
        <w:rPr>
          <w:szCs w:val="22"/>
        </w:rPr>
      </w:pPr>
      <w:r w:rsidRPr="00A06CFA">
        <w:rPr>
          <w:szCs w:val="22"/>
        </w:rPr>
        <w:t>Tableta</w:t>
      </w:r>
      <w:r w:rsidR="003B79D3">
        <w:rPr>
          <w:szCs w:val="22"/>
        </w:rPr>
        <w:t>.</w:t>
      </w:r>
    </w:p>
    <w:p w14:paraId="15790BF6" w14:textId="77777777" w:rsidR="00A06CFA" w:rsidRDefault="00A06CFA" w:rsidP="0012553A">
      <w:pPr>
        <w:pStyle w:val="Normlndobloku"/>
        <w:spacing w:after="0"/>
        <w:jc w:val="left"/>
        <w:rPr>
          <w:szCs w:val="22"/>
        </w:rPr>
      </w:pPr>
    </w:p>
    <w:p w14:paraId="3F7F4AFE" w14:textId="607F7CB5" w:rsidR="00EE1BB5" w:rsidRPr="00A06CFA" w:rsidRDefault="00EE1BB5" w:rsidP="0012553A">
      <w:pPr>
        <w:pStyle w:val="Normlndobloku"/>
        <w:spacing w:after="0"/>
        <w:jc w:val="left"/>
        <w:rPr>
          <w:szCs w:val="22"/>
        </w:rPr>
      </w:pPr>
      <w:r w:rsidRPr="00A06CFA">
        <w:rPr>
          <w:szCs w:val="22"/>
        </w:rPr>
        <w:t xml:space="preserve">MEDOSTATIN 20 mg: svetlomodré okrúhle ploché tablety s priemerom </w:t>
      </w:r>
      <w:smartTag w:uri="urn:schemas-microsoft-com:office:smarttags" w:element="metricconverter">
        <w:smartTagPr>
          <w:attr w:name="ProductID" w:val="8 mm"/>
        </w:smartTagPr>
        <w:r w:rsidRPr="00A06CFA">
          <w:rPr>
            <w:szCs w:val="22"/>
          </w:rPr>
          <w:t>8 mm</w:t>
        </w:r>
      </w:smartTag>
      <w:r w:rsidRPr="00A06CFA">
        <w:rPr>
          <w:szCs w:val="22"/>
        </w:rPr>
        <w:t>, s deliacou ryhou na jednej strane.</w:t>
      </w:r>
    </w:p>
    <w:p w14:paraId="116CD076" w14:textId="15E01E9F" w:rsidR="00EE1BB5" w:rsidRPr="00A06CFA" w:rsidRDefault="00EE1BB5" w:rsidP="0012553A">
      <w:pPr>
        <w:pStyle w:val="Normlndobloku"/>
        <w:spacing w:after="0"/>
        <w:jc w:val="left"/>
        <w:rPr>
          <w:szCs w:val="22"/>
        </w:rPr>
      </w:pPr>
      <w:r w:rsidRPr="00A06CFA">
        <w:rPr>
          <w:szCs w:val="22"/>
        </w:rPr>
        <w:t xml:space="preserve">MEDOSTATIN 40 mg: biele okrúhle ploché tablety s priemerom </w:t>
      </w:r>
      <w:smartTag w:uri="urn:schemas-microsoft-com:office:smarttags" w:element="metricconverter">
        <w:smartTagPr>
          <w:attr w:name="ProductID" w:val="8 mm"/>
        </w:smartTagPr>
        <w:r w:rsidRPr="00A06CFA">
          <w:rPr>
            <w:szCs w:val="22"/>
          </w:rPr>
          <w:t>8 mm</w:t>
        </w:r>
      </w:smartTag>
      <w:r w:rsidRPr="00A06CFA">
        <w:rPr>
          <w:szCs w:val="22"/>
        </w:rPr>
        <w:t>, s deliacou ryhou na jednej strane.</w:t>
      </w:r>
    </w:p>
    <w:p w14:paraId="5FCC8F8B" w14:textId="77777777" w:rsidR="00A06CFA" w:rsidRDefault="00A06CFA" w:rsidP="0012553A">
      <w:pPr>
        <w:pStyle w:val="Normlndobloku"/>
        <w:spacing w:after="0"/>
        <w:jc w:val="left"/>
        <w:rPr>
          <w:szCs w:val="22"/>
        </w:rPr>
      </w:pPr>
    </w:p>
    <w:p w14:paraId="1685FEB5" w14:textId="3E0447ED" w:rsidR="00EE1BB5" w:rsidRDefault="00EE1BB5" w:rsidP="0012553A">
      <w:pPr>
        <w:pStyle w:val="Normlndobloku"/>
        <w:spacing w:after="0"/>
        <w:jc w:val="left"/>
        <w:rPr>
          <w:szCs w:val="22"/>
        </w:rPr>
      </w:pPr>
      <w:r w:rsidRPr="00A06CFA">
        <w:rPr>
          <w:szCs w:val="22"/>
        </w:rPr>
        <w:t>Tableta sa môže rozdeliť na rovnaké dávky.</w:t>
      </w:r>
    </w:p>
    <w:p w14:paraId="597E2798" w14:textId="77777777" w:rsidR="00A06CFA" w:rsidRDefault="00A06CFA" w:rsidP="0012553A">
      <w:pPr>
        <w:pStyle w:val="Normlndobloku"/>
        <w:spacing w:after="0"/>
        <w:jc w:val="left"/>
        <w:rPr>
          <w:szCs w:val="22"/>
        </w:rPr>
      </w:pPr>
    </w:p>
    <w:p w14:paraId="57C1DDAA" w14:textId="77777777" w:rsidR="00A06CFA" w:rsidRPr="00A06CFA" w:rsidRDefault="00A06CFA" w:rsidP="0012553A">
      <w:pPr>
        <w:pStyle w:val="Normlndobloku"/>
        <w:spacing w:after="0"/>
        <w:jc w:val="left"/>
        <w:rPr>
          <w:szCs w:val="22"/>
        </w:rPr>
      </w:pPr>
    </w:p>
    <w:p w14:paraId="2D89364E" w14:textId="77777777" w:rsidR="00EE1BB5" w:rsidRDefault="00EE1BB5" w:rsidP="0012553A">
      <w:pPr>
        <w:pStyle w:val="Styl1"/>
        <w:spacing w:before="0" w:after="0"/>
        <w:rPr>
          <w:szCs w:val="22"/>
          <w:lang w:val="sk-SK"/>
        </w:rPr>
      </w:pPr>
      <w:r w:rsidRPr="00A06CFA">
        <w:rPr>
          <w:szCs w:val="22"/>
          <w:lang w:val="sk-SK"/>
        </w:rPr>
        <w:t>Klinické údaje</w:t>
      </w:r>
    </w:p>
    <w:p w14:paraId="3C8BC7D6" w14:textId="77777777" w:rsidR="00A06CFA" w:rsidRPr="00A06CFA" w:rsidRDefault="00A06CFA" w:rsidP="0012553A">
      <w:pPr>
        <w:pStyle w:val="Styl1"/>
        <w:numPr>
          <w:ilvl w:val="0"/>
          <w:numId w:val="0"/>
        </w:numPr>
        <w:spacing w:before="0" w:after="0"/>
        <w:rPr>
          <w:szCs w:val="22"/>
          <w:lang w:val="sk-SK"/>
        </w:rPr>
      </w:pPr>
    </w:p>
    <w:p w14:paraId="03F50BEE" w14:textId="77777777" w:rsidR="00EE1BB5" w:rsidRPr="00A06CFA" w:rsidRDefault="00EE1BB5" w:rsidP="0012553A">
      <w:pPr>
        <w:pStyle w:val="Styl2"/>
        <w:spacing w:before="0" w:after="0"/>
      </w:pPr>
      <w:r w:rsidRPr="00A06CFA">
        <w:t>Terapeutické indikácie</w:t>
      </w:r>
    </w:p>
    <w:p w14:paraId="7C254317" w14:textId="77777777" w:rsidR="00A06CFA" w:rsidRDefault="00A06CFA" w:rsidP="0012553A">
      <w:pPr>
        <w:pStyle w:val="Normlndobloku"/>
        <w:spacing w:after="0"/>
        <w:jc w:val="left"/>
        <w:rPr>
          <w:szCs w:val="22"/>
        </w:rPr>
      </w:pPr>
    </w:p>
    <w:p w14:paraId="6AD768C6" w14:textId="03520531" w:rsidR="00EE1BB5" w:rsidRDefault="00EE1BB5" w:rsidP="0012553A">
      <w:pPr>
        <w:pStyle w:val="Normlndobloku"/>
        <w:spacing w:after="0"/>
        <w:jc w:val="left"/>
        <w:rPr>
          <w:szCs w:val="22"/>
        </w:rPr>
      </w:pPr>
      <w:r w:rsidRPr="00A06CFA">
        <w:rPr>
          <w:szCs w:val="22"/>
        </w:rPr>
        <w:t>MEDOSTATIN sa používa na zníženie zvýšenej hladiny celkového a LDL cholesterolu u</w:t>
      </w:r>
      <w:r w:rsidR="0026442F" w:rsidRPr="00A06CFA">
        <w:rPr>
          <w:szCs w:val="22"/>
        </w:rPr>
        <w:t> </w:t>
      </w:r>
      <w:r w:rsidRPr="00A06CFA">
        <w:rPr>
          <w:szCs w:val="22"/>
        </w:rPr>
        <w:t>dospelých pacientov, ak je odpoveď organizmu na diétne obmedzenia v príjme saturovaných tukov a</w:t>
      </w:r>
      <w:r w:rsidR="0026442F" w:rsidRPr="00A06CFA">
        <w:rPr>
          <w:szCs w:val="22"/>
        </w:rPr>
        <w:t> </w:t>
      </w:r>
      <w:r w:rsidRPr="00A06CFA">
        <w:rPr>
          <w:szCs w:val="22"/>
        </w:rPr>
        <w:t xml:space="preserve">cholesterolu a na iné nefarmakologické postupy nedostatočná. Ako špecifický inhibítor </w:t>
      </w:r>
      <w:r w:rsidR="00042D68">
        <w:rPr>
          <w:szCs w:val="22"/>
        </w:rPr>
        <w:t>HMG-CoA-</w:t>
      </w:r>
      <w:r w:rsidRPr="00A06CFA">
        <w:rPr>
          <w:szCs w:val="22"/>
        </w:rPr>
        <w:t>reduktázy, má rozhodujúci význam pri syntéze cholesterolu a súčasne indukuje tvorbu receptorov vychytávajúcich cholesterol v bunkách.</w:t>
      </w:r>
    </w:p>
    <w:p w14:paraId="45DB3BA1" w14:textId="77777777" w:rsidR="00127348" w:rsidRPr="00C456E3" w:rsidRDefault="00127348" w:rsidP="0012553A">
      <w:pPr>
        <w:pStyle w:val="Normlndobloku"/>
        <w:spacing w:after="0"/>
        <w:jc w:val="left"/>
        <w:rPr>
          <w:szCs w:val="22"/>
        </w:rPr>
      </w:pPr>
    </w:p>
    <w:p w14:paraId="64DB606D" w14:textId="77777777" w:rsidR="00EE1BB5" w:rsidRPr="00B84238" w:rsidRDefault="00EE1BB5" w:rsidP="0012553A">
      <w:pPr>
        <w:pStyle w:val="Normlndobloku"/>
        <w:spacing w:after="0"/>
        <w:jc w:val="left"/>
        <w:rPr>
          <w:szCs w:val="22"/>
        </w:rPr>
      </w:pPr>
      <w:r w:rsidRPr="00B84238">
        <w:rPr>
          <w:szCs w:val="22"/>
        </w:rPr>
        <w:t>Je indikovaný:</w:t>
      </w:r>
    </w:p>
    <w:p w14:paraId="4F0F1009" w14:textId="77777777" w:rsidR="00EE1BB5" w:rsidRPr="0003345E" w:rsidRDefault="00EE1BB5" w:rsidP="0012553A">
      <w:pPr>
        <w:pStyle w:val="Normlndoblokusodrkami"/>
        <w:spacing w:after="0"/>
        <w:jc w:val="left"/>
        <w:rPr>
          <w:szCs w:val="22"/>
        </w:rPr>
      </w:pPr>
      <w:r w:rsidRPr="00941F56">
        <w:rPr>
          <w:szCs w:val="22"/>
        </w:rPr>
        <w:t>u pacie</w:t>
      </w:r>
      <w:r w:rsidRPr="0003345E">
        <w:rPr>
          <w:szCs w:val="22"/>
        </w:rPr>
        <w:t>ntov s primárnou hypercholesterolémiou (hyperlipoproteinémia typu IIa a IIb), vyvolanou zvýšenými hladinami celkového a LDL cholesterolu,</w:t>
      </w:r>
    </w:p>
    <w:p w14:paraId="0FE70C54" w14:textId="77777777" w:rsidR="00EE1BB5" w:rsidRPr="00A06CFA" w:rsidRDefault="00EE1BB5" w:rsidP="0012553A">
      <w:pPr>
        <w:pStyle w:val="Normlndoblokusodrkami"/>
        <w:spacing w:after="0"/>
        <w:jc w:val="left"/>
        <w:rPr>
          <w:szCs w:val="22"/>
        </w:rPr>
      </w:pPr>
      <w:r w:rsidRPr="007E7FEE">
        <w:rPr>
          <w:szCs w:val="22"/>
        </w:rPr>
        <w:t xml:space="preserve">u pacientov s ischemickou chorobou srdca a hypercholesterolémiou (hladiny cholesterolu v plazme </w:t>
      </w:r>
      <w:r w:rsidRPr="00A06CFA">
        <w:rPr>
          <w:szCs w:val="22"/>
        </w:rPr>
        <w:sym w:font="Symbol" w:char="F0B3"/>
      </w:r>
      <w:r w:rsidRPr="00A06CFA">
        <w:rPr>
          <w:szCs w:val="22"/>
        </w:rPr>
        <w:t xml:space="preserve"> 5,5 mmol/l),</w:t>
      </w:r>
    </w:p>
    <w:p w14:paraId="2DD0AAF0" w14:textId="77777777" w:rsidR="00EE1BB5" w:rsidRPr="00A06CFA" w:rsidRDefault="00EE1BB5" w:rsidP="0012553A">
      <w:pPr>
        <w:pStyle w:val="Normlndoblokusodrkami"/>
        <w:spacing w:after="0"/>
        <w:jc w:val="left"/>
        <w:rPr>
          <w:szCs w:val="22"/>
        </w:rPr>
      </w:pPr>
      <w:r w:rsidRPr="00A06CFA">
        <w:rPr>
          <w:szCs w:val="22"/>
        </w:rPr>
        <w:t>na zníženie rizika vzniku infarktu myokardu pri revaskularizačných výkonoch na srdci</w:t>
      </w:r>
    </w:p>
    <w:p w14:paraId="393A8A69" w14:textId="77777777" w:rsidR="00EE1BB5" w:rsidRDefault="00EE1BB5" w:rsidP="0012553A">
      <w:pPr>
        <w:pStyle w:val="Normlndoblokusodrkami"/>
        <w:spacing w:after="0"/>
        <w:jc w:val="left"/>
        <w:rPr>
          <w:szCs w:val="22"/>
        </w:rPr>
      </w:pPr>
      <w:r w:rsidRPr="00A06CFA">
        <w:rPr>
          <w:szCs w:val="22"/>
        </w:rPr>
        <w:t>na zníženie zvýšených hladín LDL cholesterolu u pacientov s kombinovanou hypercholesterolémiou a hypertriglyceridémiou.</w:t>
      </w:r>
    </w:p>
    <w:p w14:paraId="175A6209" w14:textId="77777777" w:rsidR="008F7751" w:rsidRPr="007E132A" w:rsidRDefault="008F7751" w:rsidP="0012553A">
      <w:pPr>
        <w:pStyle w:val="Normlndobloku"/>
        <w:spacing w:after="0"/>
      </w:pPr>
    </w:p>
    <w:p w14:paraId="15DCB417" w14:textId="7C9DCD36" w:rsidR="00EE1BB5" w:rsidRDefault="00EE1BB5" w:rsidP="0012553A">
      <w:pPr>
        <w:pStyle w:val="Normlndobloku"/>
        <w:spacing w:after="0"/>
        <w:jc w:val="left"/>
        <w:rPr>
          <w:szCs w:val="22"/>
        </w:rPr>
      </w:pPr>
      <w:r w:rsidRPr="00B84238">
        <w:rPr>
          <w:szCs w:val="22"/>
        </w:rPr>
        <w:lastRenderedPageBreak/>
        <w:t>Ďalej je indikovaný u pacientov s homozyg</w:t>
      </w:r>
      <w:r w:rsidR="00B87EFB">
        <w:rPr>
          <w:szCs w:val="22"/>
        </w:rPr>
        <w:t>o</w:t>
      </w:r>
      <w:r w:rsidRPr="00B84238">
        <w:rPr>
          <w:szCs w:val="22"/>
        </w:rPr>
        <w:t>tnou familiárnou hypercholesterolémiou, ako doplnkový prostriedok pri diétnych postupoch a ďalších problémoch týkajúcich sa diétneho režimu</w:t>
      </w:r>
      <w:r w:rsidR="00B87EFB">
        <w:rPr>
          <w:szCs w:val="22"/>
        </w:rPr>
        <w:t>,</w:t>
      </w:r>
      <w:r w:rsidRPr="00B84238">
        <w:rPr>
          <w:szCs w:val="22"/>
        </w:rPr>
        <w:t xml:space="preserve"> najmä v prípadoch, ak odpoveď organizmu nie je efektívna.</w:t>
      </w:r>
    </w:p>
    <w:p w14:paraId="6471C87D" w14:textId="77777777" w:rsidR="00A06CFA" w:rsidRPr="00A06CFA" w:rsidRDefault="00A06CFA" w:rsidP="0012553A">
      <w:pPr>
        <w:pStyle w:val="Normlndobloku"/>
        <w:spacing w:after="0"/>
        <w:jc w:val="left"/>
        <w:rPr>
          <w:szCs w:val="22"/>
        </w:rPr>
      </w:pPr>
    </w:p>
    <w:p w14:paraId="4EF596F1" w14:textId="77777777" w:rsidR="00EE1BB5" w:rsidRPr="00A06CFA" w:rsidRDefault="00EE1BB5" w:rsidP="0012553A">
      <w:pPr>
        <w:pStyle w:val="Styl2"/>
        <w:spacing w:before="0" w:after="0"/>
      </w:pPr>
      <w:r w:rsidRPr="00A06CFA">
        <w:t>Dávkovanie a spôsob podávania</w:t>
      </w:r>
    </w:p>
    <w:p w14:paraId="7DFCC07F" w14:textId="77777777" w:rsidR="00A06CFA" w:rsidRDefault="00A06CFA" w:rsidP="0012553A">
      <w:pPr>
        <w:pStyle w:val="Normlndobloku"/>
        <w:spacing w:after="0"/>
        <w:jc w:val="left"/>
        <w:rPr>
          <w:szCs w:val="22"/>
        </w:rPr>
      </w:pPr>
    </w:p>
    <w:p w14:paraId="5EBD543B" w14:textId="77777777" w:rsidR="007E7FEE" w:rsidRPr="00210F11" w:rsidRDefault="007E7FEE" w:rsidP="007E7FEE">
      <w:pPr>
        <w:pStyle w:val="Styl2"/>
        <w:numPr>
          <w:ilvl w:val="0"/>
          <w:numId w:val="0"/>
        </w:numPr>
        <w:spacing w:before="0" w:after="0"/>
        <w:rPr>
          <w:b w:val="0"/>
          <w:u w:val="single"/>
        </w:rPr>
      </w:pPr>
      <w:r w:rsidRPr="00210F11">
        <w:rPr>
          <w:b w:val="0"/>
          <w:u w:val="single"/>
        </w:rPr>
        <w:t>Dávkovanie</w:t>
      </w:r>
    </w:p>
    <w:p w14:paraId="030E82D2" w14:textId="77777777" w:rsidR="007E7FEE" w:rsidRDefault="007E7FEE" w:rsidP="0012553A">
      <w:pPr>
        <w:pStyle w:val="Normlndobloku"/>
        <w:spacing w:after="0"/>
        <w:jc w:val="left"/>
        <w:rPr>
          <w:szCs w:val="22"/>
        </w:rPr>
      </w:pPr>
    </w:p>
    <w:p w14:paraId="3EAC8B6B" w14:textId="6016DE99" w:rsidR="00EE1BB5" w:rsidRDefault="00EE1BB5" w:rsidP="0012553A">
      <w:pPr>
        <w:pStyle w:val="Normlndobloku"/>
        <w:spacing w:after="0"/>
        <w:jc w:val="left"/>
        <w:rPr>
          <w:szCs w:val="22"/>
        </w:rPr>
      </w:pPr>
      <w:r w:rsidRPr="00A06CFA">
        <w:rPr>
          <w:szCs w:val="22"/>
        </w:rPr>
        <w:t xml:space="preserve">Pacienti pred začatím liečby lovastatínom musia dodržiavať nízkocholesterolovú štandardnú diétu a počas liečby musia v diétnom režime pokračovať. MEDOSTATIN sa môže podávať spolu s </w:t>
      </w:r>
      <w:r w:rsidR="00347FA1">
        <w:rPr>
          <w:szCs w:val="22"/>
        </w:rPr>
        <w:t>jedlom</w:t>
      </w:r>
      <w:r w:rsidRPr="00A06CFA">
        <w:rPr>
          <w:szCs w:val="22"/>
        </w:rPr>
        <w:t>.</w:t>
      </w:r>
    </w:p>
    <w:p w14:paraId="585673A7" w14:textId="77777777" w:rsidR="00211477" w:rsidRPr="00A06CFA" w:rsidRDefault="00211477" w:rsidP="0012553A">
      <w:pPr>
        <w:pStyle w:val="Normlndobloku"/>
        <w:spacing w:after="0"/>
        <w:jc w:val="left"/>
        <w:rPr>
          <w:szCs w:val="22"/>
        </w:rPr>
      </w:pPr>
    </w:p>
    <w:p w14:paraId="7C6D68FA" w14:textId="77777777" w:rsidR="00EE1BB5" w:rsidRDefault="00EE1BB5" w:rsidP="0012553A">
      <w:pPr>
        <w:pStyle w:val="Normlndobloku"/>
        <w:spacing w:after="0"/>
        <w:jc w:val="left"/>
        <w:rPr>
          <w:szCs w:val="22"/>
        </w:rPr>
      </w:pPr>
      <w:r w:rsidRPr="00A06CFA">
        <w:rPr>
          <w:szCs w:val="22"/>
        </w:rPr>
        <w:t>Odporúčaná počiatočná dávka je 20 mg jedenkrát denne podávaná s večerným jedlom.</w:t>
      </w:r>
    </w:p>
    <w:p w14:paraId="079FA57D" w14:textId="77777777" w:rsidR="00211477" w:rsidRPr="00A06CFA" w:rsidRDefault="00211477" w:rsidP="0012553A">
      <w:pPr>
        <w:pStyle w:val="Normlndobloku"/>
        <w:spacing w:after="0"/>
        <w:jc w:val="left"/>
        <w:rPr>
          <w:szCs w:val="22"/>
        </w:rPr>
      </w:pPr>
    </w:p>
    <w:p w14:paraId="0C61283F" w14:textId="77777777" w:rsidR="00EE1BB5" w:rsidRPr="0003345E" w:rsidRDefault="00EE1BB5" w:rsidP="0012553A">
      <w:pPr>
        <w:pStyle w:val="Normlndobloku"/>
        <w:spacing w:after="0"/>
        <w:jc w:val="left"/>
        <w:rPr>
          <w:szCs w:val="22"/>
        </w:rPr>
      </w:pPr>
      <w:r w:rsidRPr="00C456E3">
        <w:rPr>
          <w:szCs w:val="22"/>
        </w:rPr>
        <w:t>U pacientov s veľmi vysokou hladinou cholesterolu (viac ako 300 mg/100 ml) počiatočná dávka môže byť 40 mg/denne. Odporúčané dávkovacie rozpätie je od 20 do 80 mg denne v jednej alebo rozdelených dávkach. Maximálna odporúčaná denná dávka je 80 mg. Dávka sa upravuje po</w:t>
      </w:r>
      <w:r w:rsidRPr="00B84238">
        <w:rPr>
          <w:szCs w:val="22"/>
        </w:rPr>
        <w:t>dľa odpovede pacienta. Zmeny dávkovania sa môžu upraviť v intervale 4 týždňov a viac.</w:t>
      </w:r>
    </w:p>
    <w:p w14:paraId="0651C23F" w14:textId="3F5D98EE" w:rsidR="00EE1BB5" w:rsidRDefault="00EE1BB5" w:rsidP="0012553A">
      <w:pPr>
        <w:pStyle w:val="Normlndobloku"/>
        <w:spacing w:after="0"/>
        <w:jc w:val="left"/>
        <w:rPr>
          <w:szCs w:val="22"/>
        </w:rPr>
      </w:pPr>
      <w:r w:rsidRPr="0003345E">
        <w:rPr>
          <w:szCs w:val="22"/>
        </w:rPr>
        <w:t>Imunosupresívne lieky môžu v kombinácii s</w:t>
      </w:r>
      <w:r w:rsidRPr="001745CB">
        <w:rPr>
          <w:szCs w:val="22"/>
        </w:rPr>
        <w:t> liekom MEDOSTATIN</w:t>
      </w:r>
      <w:r w:rsidRPr="008F7751">
        <w:rPr>
          <w:szCs w:val="22"/>
        </w:rPr>
        <w:t xml:space="preserve"> vyvolať myalgiu. Opatrnosť sa odporúča aj pri užívaní antikoagulancií kumarínového typu, aj keď i</w:t>
      </w:r>
      <w:r w:rsidRPr="007E7FEE">
        <w:rPr>
          <w:szCs w:val="22"/>
        </w:rPr>
        <w:t>nkompatibilita nebola preukázaná. V týchto prípadoch sa odporúča maximálna denná dávka 20 mg.</w:t>
      </w:r>
    </w:p>
    <w:p w14:paraId="627C8E2A" w14:textId="77777777" w:rsidR="00A06CFA" w:rsidRPr="00A06CFA" w:rsidRDefault="00A06CFA" w:rsidP="0012553A">
      <w:pPr>
        <w:pStyle w:val="Normlndobloku"/>
        <w:spacing w:after="0"/>
        <w:jc w:val="left"/>
        <w:rPr>
          <w:szCs w:val="22"/>
        </w:rPr>
      </w:pPr>
    </w:p>
    <w:p w14:paraId="099597B3" w14:textId="04C0ACCB" w:rsidR="00EE1BB5" w:rsidRPr="00A06CFA" w:rsidRDefault="00EE1BB5" w:rsidP="0012553A">
      <w:pPr>
        <w:pStyle w:val="Normlndobloku"/>
        <w:spacing w:after="0"/>
        <w:jc w:val="left"/>
        <w:rPr>
          <w:szCs w:val="22"/>
        </w:rPr>
      </w:pPr>
      <w:r w:rsidRPr="00A06CFA">
        <w:rPr>
          <w:szCs w:val="22"/>
        </w:rPr>
        <w:t>Počas liečby liekom MEDOSTATIN sa hladina cholesterolu musí periodicky monitorovať.</w:t>
      </w:r>
    </w:p>
    <w:p w14:paraId="4AE952F7" w14:textId="77777777" w:rsidR="00EE1BB5" w:rsidRPr="00B84238" w:rsidRDefault="00EE1BB5" w:rsidP="0012553A">
      <w:pPr>
        <w:pStyle w:val="Normlndobloku"/>
        <w:spacing w:after="0"/>
        <w:jc w:val="left"/>
        <w:rPr>
          <w:szCs w:val="22"/>
        </w:rPr>
      </w:pPr>
      <w:r w:rsidRPr="00C456E3">
        <w:rPr>
          <w:szCs w:val="22"/>
        </w:rPr>
        <w:t>Ak hladina cholesterolu poklesne pod cieľovú hodnotu, môže sa uvažovať o znížení dávky.</w:t>
      </w:r>
    </w:p>
    <w:p w14:paraId="74830C52" w14:textId="2FB09EF7" w:rsidR="00A06CFA" w:rsidRPr="00A06CFA" w:rsidRDefault="00EE1BB5" w:rsidP="0012553A">
      <w:pPr>
        <w:pStyle w:val="Normlndobloku"/>
        <w:spacing w:after="0"/>
        <w:jc w:val="left"/>
        <w:rPr>
          <w:szCs w:val="22"/>
        </w:rPr>
      </w:pPr>
      <w:r w:rsidRPr="00B84238">
        <w:rPr>
          <w:szCs w:val="22"/>
        </w:rPr>
        <w:t xml:space="preserve">Predbežné skúsenosti potvrdzujú, že účinnosť lovastatínu na pokles cholesterolu a </w:t>
      </w:r>
      <w:r w:rsidR="00987F07">
        <w:rPr>
          <w:szCs w:val="22"/>
        </w:rPr>
        <w:t>adsorbentov</w:t>
      </w:r>
      <w:r w:rsidRPr="00B84238">
        <w:rPr>
          <w:szCs w:val="22"/>
        </w:rPr>
        <w:t xml:space="preserve"> žlčových kyselín, cholestyramínu, sa pri súbežnej liečbe sčítavajú.</w:t>
      </w:r>
    </w:p>
    <w:p w14:paraId="28A013AD" w14:textId="77777777" w:rsidR="008511BB" w:rsidRDefault="008511BB" w:rsidP="0012553A">
      <w:pPr>
        <w:pStyle w:val="Normlndobloku"/>
        <w:spacing w:after="0"/>
        <w:jc w:val="left"/>
        <w:rPr>
          <w:szCs w:val="22"/>
        </w:rPr>
      </w:pPr>
    </w:p>
    <w:p w14:paraId="069A14EE" w14:textId="6B117875" w:rsidR="00B8198A" w:rsidRPr="0012553A" w:rsidRDefault="00B8198A" w:rsidP="0012553A">
      <w:pPr>
        <w:pStyle w:val="Normlndobloku"/>
        <w:spacing w:after="0"/>
        <w:jc w:val="left"/>
        <w:rPr>
          <w:i/>
          <w:szCs w:val="22"/>
        </w:rPr>
      </w:pPr>
      <w:r w:rsidRPr="0012553A">
        <w:rPr>
          <w:i/>
          <w:szCs w:val="22"/>
        </w:rPr>
        <w:t>Pediatrická populácia</w:t>
      </w:r>
    </w:p>
    <w:p w14:paraId="26F1195F" w14:textId="25CF3748" w:rsidR="00EE1BB5" w:rsidRDefault="00EE1BB5" w:rsidP="0012553A">
      <w:pPr>
        <w:pStyle w:val="Normlndobloku"/>
        <w:spacing w:after="0"/>
        <w:jc w:val="left"/>
        <w:rPr>
          <w:szCs w:val="22"/>
        </w:rPr>
      </w:pPr>
      <w:r w:rsidRPr="0012553A">
        <w:rPr>
          <w:szCs w:val="22"/>
        </w:rPr>
        <w:t xml:space="preserve">Bezpečnosť a účinnosť lovastatínu u detí nebola doteraz stanovená. Aktuálne dostupné údaje sú uvedené v časti 4.8 a 5.1, ale nie je možné </w:t>
      </w:r>
      <w:r w:rsidR="0026442F" w:rsidRPr="0012553A">
        <w:rPr>
          <w:szCs w:val="22"/>
        </w:rPr>
        <w:t>odporučiť</w:t>
      </w:r>
      <w:r w:rsidRPr="0012553A">
        <w:rPr>
          <w:szCs w:val="22"/>
        </w:rPr>
        <w:t xml:space="preserve"> dávkovanie.</w:t>
      </w:r>
    </w:p>
    <w:p w14:paraId="0571A992" w14:textId="77777777" w:rsidR="00A06CFA" w:rsidRPr="00A06CFA" w:rsidRDefault="00A06CFA" w:rsidP="0012553A">
      <w:pPr>
        <w:pStyle w:val="Normlndobloku"/>
        <w:spacing w:after="0"/>
        <w:jc w:val="left"/>
        <w:rPr>
          <w:szCs w:val="22"/>
        </w:rPr>
      </w:pPr>
    </w:p>
    <w:p w14:paraId="0A6723DD" w14:textId="19889EEC" w:rsidR="00EE1BB5" w:rsidRPr="00A06CFA" w:rsidRDefault="00EE1BB5" w:rsidP="0012553A">
      <w:pPr>
        <w:pStyle w:val="Styl3"/>
        <w:spacing w:after="0"/>
        <w:jc w:val="left"/>
        <w:rPr>
          <w:szCs w:val="22"/>
        </w:rPr>
      </w:pPr>
      <w:r w:rsidRPr="00A06CFA">
        <w:rPr>
          <w:szCs w:val="22"/>
        </w:rPr>
        <w:t>P</w:t>
      </w:r>
      <w:r w:rsidR="00B8198A">
        <w:rPr>
          <w:szCs w:val="22"/>
        </w:rPr>
        <w:t>orucha</w:t>
      </w:r>
      <w:r w:rsidRPr="00A06CFA">
        <w:rPr>
          <w:szCs w:val="22"/>
        </w:rPr>
        <w:t xml:space="preserve"> funkcie obličiek</w:t>
      </w:r>
    </w:p>
    <w:p w14:paraId="31D77A4D" w14:textId="5D89080B" w:rsidR="00EE1BB5" w:rsidRDefault="00EE1BB5" w:rsidP="0012553A">
      <w:pPr>
        <w:pStyle w:val="Normlndobloku"/>
        <w:spacing w:after="0"/>
        <w:jc w:val="left"/>
        <w:rPr>
          <w:szCs w:val="22"/>
        </w:rPr>
      </w:pPr>
      <w:r w:rsidRPr="00C456E3">
        <w:rPr>
          <w:szCs w:val="22"/>
        </w:rPr>
        <w:t>U pacientov s miern</w:t>
      </w:r>
      <w:r w:rsidR="0083405E">
        <w:rPr>
          <w:szCs w:val="22"/>
        </w:rPr>
        <w:t>ou</w:t>
      </w:r>
      <w:r w:rsidRPr="00C456E3">
        <w:rPr>
          <w:szCs w:val="22"/>
        </w:rPr>
        <w:t xml:space="preserve"> po</w:t>
      </w:r>
      <w:r w:rsidR="0083405E">
        <w:rPr>
          <w:szCs w:val="22"/>
        </w:rPr>
        <w:t>ruchou</w:t>
      </w:r>
      <w:r w:rsidRPr="00C456E3">
        <w:rPr>
          <w:szCs w:val="22"/>
        </w:rPr>
        <w:t xml:space="preserve"> funkcie obličiek nie je potrebná zmena dávkovania, pretože vylučovanie lovastatín</w:t>
      </w:r>
      <w:r w:rsidRPr="00B84238">
        <w:rPr>
          <w:szCs w:val="22"/>
        </w:rPr>
        <w:t>u obličkami je nízke. U pacientov s ťažk</w:t>
      </w:r>
      <w:r w:rsidR="0083405E">
        <w:rPr>
          <w:szCs w:val="22"/>
        </w:rPr>
        <w:t>ou</w:t>
      </w:r>
      <w:r w:rsidRPr="00B84238">
        <w:rPr>
          <w:szCs w:val="22"/>
        </w:rPr>
        <w:t xml:space="preserve"> po</w:t>
      </w:r>
      <w:r w:rsidR="0083405E">
        <w:rPr>
          <w:szCs w:val="22"/>
        </w:rPr>
        <w:t>ruchou</w:t>
      </w:r>
      <w:r w:rsidRPr="00B84238">
        <w:rPr>
          <w:szCs w:val="22"/>
        </w:rPr>
        <w:t xml:space="preserve"> funkcie obličiek</w:t>
      </w:r>
      <w:r w:rsidRPr="00B84238" w:rsidDel="00AE3499">
        <w:rPr>
          <w:szCs w:val="22"/>
        </w:rPr>
        <w:t xml:space="preserve"> </w:t>
      </w:r>
      <w:r w:rsidRPr="00B84238">
        <w:rPr>
          <w:szCs w:val="22"/>
        </w:rPr>
        <w:t>sa zvyšovanie dávky nad 20 mg/deň musí starostlivo zvažovať.</w:t>
      </w:r>
    </w:p>
    <w:p w14:paraId="2D432F13" w14:textId="77777777" w:rsidR="00A06CFA" w:rsidRPr="00A06CFA" w:rsidRDefault="00A06CFA" w:rsidP="0012553A">
      <w:pPr>
        <w:pStyle w:val="Normlndobloku"/>
        <w:spacing w:after="0"/>
        <w:jc w:val="left"/>
        <w:rPr>
          <w:szCs w:val="22"/>
        </w:rPr>
      </w:pPr>
    </w:p>
    <w:p w14:paraId="327BAB79" w14:textId="77777777" w:rsidR="00EE1BB5" w:rsidRPr="00A06CFA" w:rsidRDefault="00EE1BB5" w:rsidP="0012553A">
      <w:pPr>
        <w:pStyle w:val="Styl2"/>
        <w:spacing w:before="0" w:after="0"/>
      </w:pPr>
      <w:r w:rsidRPr="00A06CFA">
        <w:t>Kontraindikácie</w:t>
      </w:r>
    </w:p>
    <w:p w14:paraId="0692152E" w14:textId="77777777" w:rsidR="00A06CFA" w:rsidRDefault="00A06CFA" w:rsidP="0012553A">
      <w:pPr>
        <w:pStyle w:val="Normlndobloku"/>
        <w:spacing w:after="0"/>
        <w:jc w:val="left"/>
        <w:rPr>
          <w:szCs w:val="22"/>
        </w:rPr>
      </w:pPr>
    </w:p>
    <w:p w14:paraId="030D48DC" w14:textId="29F28C9B" w:rsidR="0026442F" w:rsidRPr="00C456E3" w:rsidRDefault="008D13C2" w:rsidP="0012553A">
      <w:pPr>
        <w:pStyle w:val="Normlndobloku"/>
        <w:spacing w:after="0"/>
        <w:jc w:val="left"/>
        <w:rPr>
          <w:szCs w:val="22"/>
        </w:rPr>
      </w:pPr>
      <w:r>
        <w:rPr>
          <w:szCs w:val="22"/>
        </w:rPr>
        <w:t>P</w:t>
      </w:r>
      <w:r w:rsidR="00EE1BB5" w:rsidRPr="00A06CFA">
        <w:rPr>
          <w:szCs w:val="22"/>
        </w:rPr>
        <w:t xml:space="preserve">recitlivenosť na liečivo alebo na ktorúkoľvek z pomocných látok uvedených v časti 6.1. </w:t>
      </w:r>
    </w:p>
    <w:p w14:paraId="4D6E1015" w14:textId="5908DC5E" w:rsidR="00EE1BB5" w:rsidRPr="0003345E" w:rsidRDefault="008D13C2" w:rsidP="0012553A">
      <w:pPr>
        <w:pStyle w:val="Normlndobloku"/>
        <w:spacing w:after="0"/>
        <w:jc w:val="left"/>
        <w:rPr>
          <w:szCs w:val="22"/>
        </w:rPr>
      </w:pPr>
      <w:r>
        <w:rPr>
          <w:szCs w:val="22"/>
        </w:rPr>
        <w:t>A</w:t>
      </w:r>
      <w:r w:rsidR="00EE1BB5" w:rsidRPr="00B84238">
        <w:rPr>
          <w:szCs w:val="22"/>
        </w:rPr>
        <w:t>kútne ochorenie pečene alebo nevysvetliteľné pretrvávanie zvýšenia sérových hladín transamináz.</w:t>
      </w:r>
    </w:p>
    <w:p w14:paraId="126BC847" w14:textId="3B218E4F" w:rsidR="00EE1BB5" w:rsidRDefault="008D13C2" w:rsidP="0012553A">
      <w:pPr>
        <w:pStyle w:val="Normlndobloku"/>
        <w:spacing w:after="0"/>
        <w:jc w:val="left"/>
        <w:rPr>
          <w:szCs w:val="22"/>
        </w:rPr>
      </w:pPr>
      <w:r>
        <w:rPr>
          <w:szCs w:val="22"/>
        </w:rPr>
        <w:t>G</w:t>
      </w:r>
      <w:r w:rsidR="00EE1BB5" w:rsidRPr="008D13C2">
        <w:rPr>
          <w:szCs w:val="22"/>
        </w:rPr>
        <w:t>ravidit</w:t>
      </w:r>
      <w:r>
        <w:rPr>
          <w:szCs w:val="22"/>
        </w:rPr>
        <w:t>a</w:t>
      </w:r>
      <w:r w:rsidR="00EE1BB5" w:rsidRPr="008D13C2">
        <w:rPr>
          <w:szCs w:val="22"/>
        </w:rPr>
        <w:t xml:space="preserve"> a dojčeni</w:t>
      </w:r>
      <w:r>
        <w:rPr>
          <w:szCs w:val="22"/>
        </w:rPr>
        <w:t>e</w:t>
      </w:r>
      <w:r w:rsidR="00EE1BB5" w:rsidRPr="008D13C2">
        <w:rPr>
          <w:szCs w:val="22"/>
        </w:rPr>
        <w:t>.</w:t>
      </w:r>
    </w:p>
    <w:p w14:paraId="610E8F08" w14:textId="77777777" w:rsidR="00A06CFA" w:rsidRPr="00A06CFA" w:rsidRDefault="00A06CFA" w:rsidP="0012553A">
      <w:pPr>
        <w:pStyle w:val="Normlndobloku"/>
        <w:spacing w:after="0"/>
        <w:jc w:val="left"/>
        <w:rPr>
          <w:szCs w:val="22"/>
        </w:rPr>
      </w:pPr>
    </w:p>
    <w:p w14:paraId="4BEF0CAE" w14:textId="77777777" w:rsidR="00EE1BB5" w:rsidRPr="00A06CFA" w:rsidRDefault="00EE1BB5" w:rsidP="0012553A">
      <w:pPr>
        <w:pStyle w:val="Styl2"/>
        <w:spacing w:before="0" w:after="0"/>
      </w:pPr>
      <w:r w:rsidRPr="00A06CFA">
        <w:t>Osobitné upozornenia a opatrenia pri používaní</w:t>
      </w:r>
    </w:p>
    <w:p w14:paraId="5DD575A1" w14:textId="77777777" w:rsidR="00A06CFA" w:rsidRDefault="00A06CFA" w:rsidP="0012553A">
      <w:pPr>
        <w:pStyle w:val="Styl3"/>
        <w:spacing w:after="0"/>
        <w:jc w:val="left"/>
        <w:rPr>
          <w:szCs w:val="22"/>
        </w:rPr>
      </w:pPr>
    </w:p>
    <w:p w14:paraId="2CC65497" w14:textId="77777777" w:rsidR="00EE1BB5" w:rsidRPr="00A06CFA" w:rsidRDefault="00EE1BB5" w:rsidP="0012553A">
      <w:pPr>
        <w:pStyle w:val="Styl3"/>
        <w:spacing w:after="0"/>
        <w:jc w:val="left"/>
        <w:rPr>
          <w:szCs w:val="22"/>
        </w:rPr>
      </w:pPr>
      <w:r w:rsidRPr="00A06CFA">
        <w:rPr>
          <w:szCs w:val="22"/>
        </w:rPr>
        <w:t>Všeobecne</w:t>
      </w:r>
    </w:p>
    <w:p w14:paraId="4FA7F57A" w14:textId="3F29332E" w:rsidR="00EE1BB5" w:rsidRDefault="00EE1BB5" w:rsidP="0012553A">
      <w:pPr>
        <w:pStyle w:val="Normlndobloku"/>
        <w:spacing w:after="0"/>
        <w:jc w:val="left"/>
        <w:rPr>
          <w:szCs w:val="22"/>
        </w:rPr>
      </w:pPr>
      <w:r w:rsidRPr="00A06CFA">
        <w:rPr>
          <w:szCs w:val="22"/>
        </w:rPr>
        <w:t>Pred začiatkom liečby liekom MEDOSTATIN je nevyhnutné pokúsiť sa u obéznych pacientov alebo pacientov liečených na iné sprievodné zdravotné problémy (napr. diabetes mellitus, hypotyreóza, a pod.), upraviť ich hypercholesterolémiu zodpovedajúcou diétou, cvičením za účelom redukcie telesnej hmotn</w:t>
      </w:r>
      <w:r w:rsidRPr="00C456E3">
        <w:rPr>
          <w:szCs w:val="22"/>
        </w:rPr>
        <w:t>osti.</w:t>
      </w:r>
    </w:p>
    <w:p w14:paraId="1BF69597" w14:textId="77777777" w:rsidR="00A06CFA" w:rsidRPr="00A06CFA" w:rsidRDefault="00A06CFA" w:rsidP="0012553A">
      <w:pPr>
        <w:pStyle w:val="Normlndobloku"/>
        <w:spacing w:after="0"/>
        <w:jc w:val="left"/>
        <w:rPr>
          <w:szCs w:val="22"/>
        </w:rPr>
      </w:pPr>
    </w:p>
    <w:p w14:paraId="7981343D" w14:textId="2A9D46D3" w:rsidR="00EE1BB5" w:rsidRPr="00C456E3" w:rsidRDefault="00EE1BB5" w:rsidP="0012553A">
      <w:pPr>
        <w:pStyle w:val="Styl3"/>
        <w:spacing w:after="0"/>
        <w:jc w:val="left"/>
        <w:rPr>
          <w:szCs w:val="22"/>
        </w:rPr>
      </w:pPr>
      <w:r w:rsidRPr="00C456E3">
        <w:rPr>
          <w:szCs w:val="22"/>
        </w:rPr>
        <w:t>Poruch</w:t>
      </w:r>
      <w:r w:rsidR="00987F07">
        <w:rPr>
          <w:szCs w:val="22"/>
        </w:rPr>
        <w:t>a</w:t>
      </w:r>
      <w:r w:rsidRPr="00C456E3">
        <w:rPr>
          <w:szCs w:val="22"/>
        </w:rPr>
        <w:t xml:space="preserve"> funkcie pečene</w:t>
      </w:r>
    </w:p>
    <w:p w14:paraId="6CBE1014" w14:textId="77777777" w:rsidR="00EE1BB5" w:rsidRDefault="00EE1BB5" w:rsidP="0012553A">
      <w:pPr>
        <w:pStyle w:val="Normlndobloku"/>
        <w:spacing w:after="0"/>
        <w:jc w:val="left"/>
        <w:rPr>
          <w:szCs w:val="22"/>
        </w:rPr>
      </w:pPr>
      <w:r w:rsidRPr="00B84238">
        <w:rPr>
          <w:szCs w:val="22"/>
        </w:rPr>
        <w:t>Počas liečby lovastatínom je potrebné vykonávať pečeňové testy napr. sérové transaminázy, vrátane ALT (SGPT) sa musia monitorovať pred začatím liečby a potom každých 6 týždňov počas prvých troch mesiacov, každých osem týždňov d</w:t>
      </w:r>
      <w:r w:rsidRPr="0003345E">
        <w:rPr>
          <w:szCs w:val="22"/>
        </w:rPr>
        <w:t>o konca prvého roka a potom v šesťmesačných intervaloch. Zvýšenú pozornosť treba venovať pacientom, u ktorých sa zvýšila aktivita sérových transamináz. U týchto pacientov merania opakujeme častejšie. Ak hladiny transamináz majú stúpajúcu tendenciu a ak vzr</w:t>
      </w:r>
      <w:r w:rsidRPr="007E7FEE">
        <w:rPr>
          <w:szCs w:val="22"/>
        </w:rPr>
        <w:t xml:space="preserve">ástli trojnásobne nad hornú hranicu normy a pretrvávajú, podávanie lieku sa musí prerušiť. Liek môžu s určitou opatrnosťou užívať pacienti, ktorí pijú väčšie množstvá alkoholu alebo pacienti, ktorí </w:t>
      </w:r>
      <w:r w:rsidRPr="007E7FEE">
        <w:rPr>
          <w:szCs w:val="22"/>
        </w:rPr>
        <w:lastRenderedPageBreak/>
        <w:t>mali v minulosti ochorenia pečene. Akútne ochorenie pečene</w:t>
      </w:r>
      <w:r w:rsidRPr="00B8198A">
        <w:rPr>
          <w:szCs w:val="22"/>
        </w:rPr>
        <w:t xml:space="preserve"> alebo nevysvetliteľné zvýšenie transamináz sú kontraindikáciou na použitie lovastatínu.</w:t>
      </w:r>
    </w:p>
    <w:p w14:paraId="78FCF958" w14:textId="77777777" w:rsidR="00A06CFA" w:rsidRPr="00A06CFA" w:rsidRDefault="00A06CFA" w:rsidP="0012553A">
      <w:pPr>
        <w:pStyle w:val="Normlndobloku"/>
        <w:spacing w:after="0"/>
        <w:jc w:val="left"/>
        <w:rPr>
          <w:szCs w:val="22"/>
        </w:rPr>
      </w:pPr>
    </w:p>
    <w:p w14:paraId="527BBC49" w14:textId="77777777" w:rsidR="00EE1BB5" w:rsidRPr="00C456E3" w:rsidRDefault="00EE1BB5" w:rsidP="0012553A">
      <w:pPr>
        <w:pStyle w:val="Styl3"/>
        <w:spacing w:after="0"/>
        <w:jc w:val="left"/>
        <w:rPr>
          <w:szCs w:val="22"/>
        </w:rPr>
      </w:pPr>
      <w:r w:rsidRPr="00C456E3">
        <w:rPr>
          <w:szCs w:val="22"/>
        </w:rPr>
        <w:t>Kostrové svalstvo</w:t>
      </w:r>
    </w:p>
    <w:p w14:paraId="6FF32172" w14:textId="6EB2E1B2" w:rsidR="00EE1BB5" w:rsidRPr="00B8198A" w:rsidRDefault="00EE1BB5" w:rsidP="0012553A">
      <w:pPr>
        <w:pStyle w:val="Normlndobloku"/>
        <w:spacing w:after="0"/>
        <w:jc w:val="left"/>
        <w:rPr>
          <w:szCs w:val="22"/>
        </w:rPr>
      </w:pPr>
      <w:r w:rsidRPr="00B84238">
        <w:rPr>
          <w:szCs w:val="22"/>
        </w:rPr>
        <w:t>Pri terapii lovastatínom sa môžu prejavovať bolesti svalov. U pacientov liečených lovastatínom bežne vidíme prechodné mierne zvýšenie hladiny kreatin</w:t>
      </w:r>
      <w:r w:rsidRPr="0003345E">
        <w:rPr>
          <w:szCs w:val="22"/>
        </w:rPr>
        <w:t>ínfosfokinázy. Len u 0,5 % pacientov sa prejaví myopatia (bolesti svalov alebo svalová slabosť spojená so zvýšenou hladinou kreatinínfosfokinázy (CPK)</w:t>
      </w:r>
      <w:r w:rsidR="00446BFF">
        <w:rPr>
          <w:szCs w:val="22"/>
        </w:rPr>
        <w:t>)</w:t>
      </w:r>
      <w:r w:rsidRPr="0003345E">
        <w:rPr>
          <w:szCs w:val="22"/>
        </w:rPr>
        <w:t xml:space="preserve">. O myopatii možno uvažovať u pacientov s difúznymi bolesťami svalov, svalovou citlivosťou a slabosťou alebo výrazne zvýšenou hladinou CPK. Pacientom sa musí odporúčať okamžité ohlásenie nevysvetliteľných bolestí svalov, svalovej citlivosti alebo slabosti, predovšetkým, ak sú sprevádzané malátnosťou alebo horúčkou. Terapia lovastatínom sa musí prerušiť ak sa </w:t>
      </w:r>
      <w:r w:rsidRPr="007E7FEE">
        <w:rPr>
          <w:szCs w:val="22"/>
        </w:rPr>
        <w:t>objaví výrazné zvýšenie hladiny kreatinínfosfokinázy, alebo ak sa diagnostikuje myopatia alebo je na ňu podozrenie.</w:t>
      </w:r>
    </w:p>
    <w:p w14:paraId="2FCEB53F" w14:textId="5D9F4279" w:rsidR="002034D3" w:rsidRDefault="00EE1BB5" w:rsidP="002034D3">
      <w:pPr>
        <w:pStyle w:val="Normlndobloku"/>
        <w:spacing w:after="0"/>
        <w:jc w:val="left"/>
        <w:rPr>
          <w:szCs w:val="22"/>
        </w:rPr>
      </w:pPr>
      <w:r w:rsidRPr="00B8198A">
        <w:rPr>
          <w:szCs w:val="22"/>
        </w:rPr>
        <w:t>Myopatia</w:t>
      </w:r>
      <w:r w:rsidR="0073156F">
        <w:rPr>
          <w:szCs w:val="22"/>
        </w:rPr>
        <w:t xml:space="preserve"> </w:t>
      </w:r>
      <w:r w:rsidR="0073156F" w:rsidRPr="00B8198A">
        <w:rPr>
          <w:szCs w:val="22"/>
        </w:rPr>
        <w:t>(vrátane rabdomyolýzy)</w:t>
      </w:r>
      <w:r w:rsidRPr="00B8198A">
        <w:rPr>
          <w:szCs w:val="22"/>
        </w:rPr>
        <w:t xml:space="preserve"> sa rozvinula väčšinou u tých pacientov, ktorí </w:t>
      </w:r>
      <w:r w:rsidR="006C36C4">
        <w:rPr>
          <w:szCs w:val="22"/>
        </w:rPr>
        <w:t xml:space="preserve">sa </w:t>
      </w:r>
      <w:r w:rsidRPr="00B8198A">
        <w:rPr>
          <w:szCs w:val="22"/>
        </w:rPr>
        <w:t xml:space="preserve">počas užívania lovastatínu </w:t>
      </w:r>
      <w:r w:rsidR="006C36C4" w:rsidRPr="00B8198A">
        <w:rPr>
          <w:szCs w:val="22"/>
        </w:rPr>
        <w:t>sú</w:t>
      </w:r>
      <w:r w:rsidR="006C36C4">
        <w:rPr>
          <w:szCs w:val="22"/>
        </w:rPr>
        <w:t>bež</w:t>
      </w:r>
      <w:r w:rsidR="006C36C4" w:rsidRPr="00B8198A">
        <w:rPr>
          <w:szCs w:val="22"/>
        </w:rPr>
        <w:t xml:space="preserve">ne </w:t>
      </w:r>
      <w:r w:rsidRPr="00B8198A">
        <w:rPr>
          <w:szCs w:val="22"/>
        </w:rPr>
        <w:t xml:space="preserve">liečili imunosupresívnymi liekmi, gemfibrozilom alebo niacínom. Kombinovanú liečbu lovastatínom spolu s fibrátmi alebo s niacínom </w:t>
      </w:r>
      <w:r w:rsidR="006C36C4">
        <w:rPr>
          <w:szCs w:val="22"/>
        </w:rPr>
        <w:t xml:space="preserve">nie </w:t>
      </w:r>
      <w:r w:rsidRPr="00B8198A">
        <w:rPr>
          <w:szCs w:val="22"/>
        </w:rPr>
        <w:t xml:space="preserve">je vhodné používať, v prípade používania treba zvážiť </w:t>
      </w:r>
      <w:r w:rsidR="008326C3">
        <w:rPr>
          <w:szCs w:val="22"/>
        </w:rPr>
        <w:t>prínos oproti</w:t>
      </w:r>
      <w:r w:rsidRPr="00B8198A">
        <w:rPr>
          <w:szCs w:val="22"/>
        </w:rPr>
        <w:t xml:space="preserve"> riziku. Kombinácia fibrátov alebo niacínu s nízkymi dávkami lovastatínu sa použila</w:t>
      </w:r>
      <w:r w:rsidRPr="00987F07">
        <w:rPr>
          <w:szCs w:val="22"/>
        </w:rPr>
        <w:t xml:space="preserve"> bez myopatie v malých, krátkodobých klinických štúdiách so zaisteným starostlivým monitorovaním pacienta. U pacientov po transplantácii srdca, ktorí užívali cyklosporín </w:t>
      </w:r>
      <w:r w:rsidR="00C430EA" w:rsidRPr="00987F07">
        <w:rPr>
          <w:szCs w:val="22"/>
        </w:rPr>
        <w:t>sú</w:t>
      </w:r>
      <w:r w:rsidR="00C430EA">
        <w:rPr>
          <w:szCs w:val="22"/>
        </w:rPr>
        <w:t>bež</w:t>
      </w:r>
      <w:r w:rsidR="00C430EA" w:rsidRPr="00987F07">
        <w:rPr>
          <w:szCs w:val="22"/>
        </w:rPr>
        <w:t xml:space="preserve">ne </w:t>
      </w:r>
      <w:r w:rsidRPr="00987F07">
        <w:rPr>
          <w:szCs w:val="22"/>
        </w:rPr>
        <w:t>s 20 mg lovastatínu denne, priemerná hladina aktívnych metabolitov lovastatínu</w:t>
      </w:r>
      <w:r w:rsidRPr="007E132A">
        <w:rPr>
          <w:szCs w:val="22"/>
        </w:rPr>
        <w:t xml:space="preserve"> stúpla približne štvornásobne od očakávanej hladiny.</w:t>
      </w:r>
      <w:r w:rsidRPr="00EF30B7">
        <w:rPr>
          <w:szCs w:val="22"/>
        </w:rPr>
        <w:t xml:space="preserve"> Vzhľadom na zrejmý vzťah medzi zvýšenou hladinou aktívnych metabolitov lovastatínu a myopatie, u pacientov užívajúcich imunosupresíva, fibráty alebo niacín nesmie denná dávka lovastatínu presiahnuť 20 mg.</w:t>
      </w:r>
      <w:r w:rsidR="002034D3" w:rsidRPr="002034D3">
        <w:rPr>
          <w:szCs w:val="22"/>
        </w:rPr>
        <w:t xml:space="preserve"> </w:t>
      </w:r>
    </w:p>
    <w:p w14:paraId="6E509117" w14:textId="77777777" w:rsidR="002034D3" w:rsidRDefault="002034D3" w:rsidP="002034D3">
      <w:pPr>
        <w:pStyle w:val="Normlndobloku"/>
        <w:spacing w:after="0"/>
        <w:jc w:val="left"/>
        <w:rPr>
          <w:szCs w:val="22"/>
        </w:rPr>
      </w:pPr>
    </w:p>
    <w:p w14:paraId="222BDB8C" w14:textId="6580F9B8" w:rsidR="002034D3" w:rsidRDefault="002034D3" w:rsidP="002034D3">
      <w:pPr>
        <w:pStyle w:val="Normlndobloku"/>
        <w:spacing w:after="0"/>
        <w:jc w:val="left"/>
        <w:rPr>
          <w:szCs w:val="22"/>
        </w:rPr>
      </w:pPr>
      <w:r w:rsidRPr="00C456E3">
        <w:rPr>
          <w:szCs w:val="22"/>
        </w:rPr>
        <w:t xml:space="preserve">Aj pri tomto dávkovaní sa musí u pacientov liečených imunosupresívami užívanie lovastatínu starostlivo zvážiť a monitorovať prínos </w:t>
      </w:r>
      <w:r>
        <w:rPr>
          <w:szCs w:val="22"/>
        </w:rPr>
        <w:t>oproti</w:t>
      </w:r>
      <w:r w:rsidRPr="00C456E3">
        <w:rPr>
          <w:szCs w:val="22"/>
        </w:rPr>
        <w:t xml:space="preserve"> rizik</w:t>
      </w:r>
      <w:r>
        <w:rPr>
          <w:szCs w:val="22"/>
        </w:rPr>
        <w:t>u</w:t>
      </w:r>
      <w:r w:rsidRPr="00C456E3">
        <w:rPr>
          <w:szCs w:val="22"/>
        </w:rPr>
        <w:t>.</w:t>
      </w:r>
    </w:p>
    <w:p w14:paraId="700B34FE" w14:textId="77777777" w:rsidR="00A06CFA" w:rsidRPr="00A06CFA" w:rsidRDefault="00A06CFA" w:rsidP="0012553A">
      <w:pPr>
        <w:pStyle w:val="Normlndobloku"/>
        <w:spacing w:after="0"/>
        <w:jc w:val="left"/>
        <w:rPr>
          <w:szCs w:val="22"/>
        </w:rPr>
      </w:pPr>
    </w:p>
    <w:p w14:paraId="6E8C3F13" w14:textId="3639C7EE" w:rsidR="00EE1BB5" w:rsidRDefault="00EE1BB5" w:rsidP="0012553A">
      <w:pPr>
        <w:pStyle w:val="Normlndobloku"/>
        <w:spacing w:after="0"/>
        <w:jc w:val="left"/>
        <w:rPr>
          <w:szCs w:val="22"/>
        </w:rPr>
      </w:pPr>
      <w:r w:rsidRPr="0012553A">
        <w:rPr>
          <w:szCs w:val="22"/>
        </w:rPr>
        <w:t>MEDOSTATIN sa nesmie podávať</w:t>
      </w:r>
      <w:r w:rsidR="00752E60" w:rsidRPr="0012553A">
        <w:rPr>
          <w:szCs w:val="22"/>
        </w:rPr>
        <w:t xml:space="preserve"> </w:t>
      </w:r>
      <w:r w:rsidRPr="0012553A">
        <w:rPr>
          <w:szCs w:val="22"/>
        </w:rPr>
        <w:t>sú</w:t>
      </w:r>
      <w:r w:rsidR="004A5880">
        <w:rPr>
          <w:szCs w:val="22"/>
        </w:rPr>
        <w:t>bež</w:t>
      </w:r>
      <w:r w:rsidRPr="0012553A">
        <w:rPr>
          <w:szCs w:val="22"/>
        </w:rPr>
        <w:t>ne so systémovou formou kyseliny fusidovej alebo počas 7</w:t>
      </w:r>
      <w:r w:rsidR="00CD2322">
        <w:rPr>
          <w:szCs w:val="22"/>
        </w:rPr>
        <w:t> </w:t>
      </w:r>
      <w:r w:rsidRPr="0012553A">
        <w:rPr>
          <w:szCs w:val="22"/>
        </w:rPr>
        <w:t>dní</w:t>
      </w:r>
      <w:r w:rsidR="0060583E">
        <w:rPr>
          <w:szCs w:val="22"/>
        </w:rPr>
        <w:t xml:space="preserve"> od</w:t>
      </w:r>
      <w:r w:rsidRPr="0012553A">
        <w:rPr>
          <w:szCs w:val="22"/>
        </w:rPr>
        <w:t xml:space="preserve"> ukončen</w:t>
      </w:r>
      <w:r w:rsidR="0060583E">
        <w:rPr>
          <w:szCs w:val="22"/>
        </w:rPr>
        <w:t>ia</w:t>
      </w:r>
      <w:r w:rsidRPr="0012553A">
        <w:rPr>
          <w:szCs w:val="22"/>
        </w:rPr>
        <w:t xml:space="preserve"> liečby kyselinou fusidovou. U pacientov, u ktorých je systémové pod</w:t>
      </w:r>
      <w:r w:rsidR="00186B2E">
        <w:rPr>
          <w:szCs w:val="22"/>
        </w:rPr>
        <w:t>áv</w:t>
      </w:r>
      <w:r w:rsidRPr="0012553A">
        <w:rPr>
          <w:szCs w:val="22"/>
        </w:rPr>
        <w:t xml:space="preserve">anie kyseliny fusidovej považované za nevyhnutné, má </w:t>
      </w:r>
      <w:r w:rsidR="00F12165">
        <w:rPr>
          <w:szCs w:val="22"/>
        </w:rPr>
        <w:t>sa</w:t>
      </w:r>
      <w:r w:rsidRPr="0012553A">
        <w:rPr>
          <w:szCs w:val="22"/>
        </w:rPr>
        <w:t xml:space="preserve"> liečba statínmi preruš</w:t>
      </w:r>
      <w:r w:rsidR="00F12165">
        <w:rPr>
          <w:szCs w:val="22"/>
        </w:rPr>
        <w:t>iť</w:t>
      </w:r>
      <w:r w:rsidRPr="0012553A">
        <w:rPr>
          <w:szCs w:val="22"/>
        </w:rPr>
        <w:t xml:space="preserve"> po</w:t>
      </w:r>
      <w:r w:rsidR="00F12165">
        <w:rPr>
          <w:szCs w:val="22"/>
        </w:rPr>
        <w:t>čas</w:t>
      </w:r>
      <w:r w:rsidRPr="0012553A">
        <w:rPr>
          <w:szCs w:val="22"/>
        </w:rPr>
        <w:t xml:space="preserve"> cel</w:t>
      </w:r>
      <w:r w:rsidR="00F12165">
        <w:rPr>
          <w:szCs w:val="22"/>
        </w:rPr>
        <w:t>ej</w:t>
      </w:r>
      <w:r w:rsidRPr="0012553A">
        <w:rPr>
          <w:szCs w:val="22"/>
        </w:rPr>
        <w:t xml:space="preserve"> </w:t>
      </w:r>
      <w:r w:rsidR="00F12165">
        <w:rPr>
          <w:szCs w:val="22"/>
        </w:rPr>
        <w:t>doby</w:t>
      </w:r>
      <w:r w:rsidRPr="0012553A">
        <w:rPr>
          <w:szCs w:val="22"/>
        </w:rPr>
        <w:t xml:space="preserve"> trvania liečby kyselinou fusidovou. Boli hlásené prípady rabdomyolýzy (vrátane fatálnych) u pacientov užívajúcich kyselinu fusidovú v kombinácii so statínmi (pozri časť 4.5). Pacient má byť poučený, aby ihneď vyhľadal lekársku pomoc, pokiaľ sa u neho objavia príznaky svalovej slabosti, bolesti alebo citlivosti.</w:t>
      </w:r>
    </w:p>
    <w:p w14:paraId="1FF79146" w14:textId="77777777" w:rsidR="007815AF" w:rsidRPr="0012553A" w:rsidRDefault="007815AF" w:rsidP="0012553A">
      <w:pPr>
        <w:pStyle w:val="Normlndobloku"/>
        <w:spacing w:after="0"/>
        <w:jc w:val="left"/>
        <w:rPr>
          <w:szCs w:val="22"/>
        </w:rPr>
      </w:pPr>
    </w:p>
    <w:p w14:paraId="155CA927" w14:textId="61B7B796" w:rsidR="00EE1BB5" w:rsidRDefault="00EE1BB5" w:rsidP="0012553A">
      <w:pPr>
        <w:pStyle w:val="Normlndobloku"/>
        <w:spacing w:after="0"/>
        <w:jc w:val="left"/>
        <w:rPr>
          <w:szCs w:val="22"/>
        </w:rPr>
      </w:pPr>
      <w:r w:rsidRPr="0012553A">
        <w:rPr>
          <w:szCs w:val="22"/>
        </w:rPr>
        <w:t xml:space="preserve">Liečba statínmi môže byť opäť </w:t>
      </w:r>
      <w:r w:rsidR="007815AF" w:rsidRPr="00527E85">
        <w:rPr>
          <w:snapToGrid w:val="0"/>
          <w:color w:val="000000"/>
          <w:szCs w:val="22"/>
        </w:rPr>
        <w:t>obnovená</w:t>
      </w:r>
      <w:r w:rsidRPr="0012553A">
        <w:rPr>
          <w:szCs w:val="22"/>
        </w:rPr>
        <w:t xml:space="preserve"> sedem dní po podaní poslednej dávky kyseliny fusidovej.</w:t>
      </w:r>
    </w:p>
    <w:p w14:paraId="778CFE92" w14:textId="77777777" w:rsidR="007815AF" w:rsidRPr="0012553A" w:rsidRDefault="007815AF" w:rsidP="0012553A">
      <w:pPr>
        <w:pStyle w:val="Normlndobloku"/>
        <w:spacing w:after="0"/>
        <w:jc w:val="left"/>
        <w:rPr>
          <w:szCs w:val="22"/>
        </w:rPr>
      </w:pPr>
    </w:p>
    <w:p w14:paraId="1ED1EA5A" w14:textId="04A40F6C" w:rsidR="00EE1BB5" w:rsidRDefault="00EE1BB5" w:rsidP="0012553A">
      <w:pPr>
        <w:pStyle w:val="Normlndobloku"/>
        <w:spacing w:after="0"/>
        <w:jc w:val="left"/>
        <w:rPr>
          <w:szCs w:val="22"/>
        </w:rPr>
      </w:pPr>
      <w:r w:rsidRPr="0012553A">
        <w:rPr>
          <w:szCs w:val="22"/>
        </w:rPr>
        <w:t>Vo výnimočných prípadoch, kedy je potrebné dlhodobé podávanie</w:t>
      </w:r>
      <w:r w:rsidR="007815AF">
        <w:rPr>
          <w:szCs w:val="22"/>
        </w:rPr>
        <w:t xml:space="preserve"> systémovej</w:t>
      </w:r>
      <w:r w:rsidRPr="0012553A">
        <w:rPr>
          <w:szCs w:val="22"/>
        </w:rPr>
        <w:t xml:space="preserve"> kyseliny fusidovej, napr. pri liečbe závažných infekcií, má </w:t>
      </w:r>
      <w:r w:rsidR="007815AF" w:rsidRPr="0037512F">
        <w:rPr>
          <w:szCs w:val="22"/>
        </w:rPr>
        <w:t xml:space="preserve">sa </w:t>
      </w:r>
      <w:r w:rsidRPr="0012553A">
        <w:rPr>
          <w:szCs w:val="22"/>
        </w:rPr>
        <w:t>sú</w:t>
      </w:r>
      <w:r w:rsidR="007815AF">
        <w:rPr>
          <w:szCs w:val="22"/>
        </w:rPr>
        <w:t>bež</w:t>
      </w:r>
      <w:r w:rsidRPr="0012553A">
        <w:rPr>
          <w:szCs w:val="22"/>
        </w:rPr>
        <w:t xml:space="preserve">né podávanie lieku MEDOSTATIN s kyselinou fusidovou </w:t>
      </w:r>
      <w:r w:rsidR="007815AF" w:rsidRPr="007815AF">
        <w:rPr>
          <w:szCs w:val="22"/>
        </w:rPr>
        <w:t>posúdiť individuálne</w:t>
      </w:r>
      <w:r w:rsidR="007815AF" w:rsidRPr="007815AF" w:rsidDel="007815AF">
        <w:rPr>
          <w:szCs w:val="22"/>
        </w:rPr>
        <w:t xml:space="preserve"> </w:t>
      </w:r>
      <w:r w:rsidRPr="0012553A">
        <w:rPr>
          <w:szCs w:val="22"/>
        </w:rPr>
        <w:t>a pod starostlivým lekárskym dohľadom.</w:t>
      </w:r>
    </w:p>
    <w:p w14:paraId="68C887B6" w14:textId="77777777" w:rsidR="00A06CFA" w:rsidRPr="00A06CFA" w:rsidRDefault="00A06CFA" w:rsidP="0012553A">
      <w:pPr>
        <w:pStyle w:val="Normlndobloku"/>
        <w:spacing w:after="0"/>
        <w:jc w:val="left"/>
        <w:rPr>
          <w:szCs w:val="22"/>
        </w:rPr>
      </w:pPr>
    </w:p>
    <w:p w14:paraId="0870C011" w14:textId="77777777" w:rsidR="00917932" w:rsidRPr="00A06CFA" w:rsidRDefault="00917932" w:rsidP="0012553A">
      <w:pPr>
        <w:autoSpaceDE w:val="0"/>
        <w:autoSpaceDN w:val="0"/>
        <w:adjustRightInd w:val="0"/>
        <w:spacing w:line="240" w:lineRule="auto"/>
        <w:rPr>
          <w:color w:val="000000"/>
          <w:u w:val="single"/>
          <w:lang w:eastAsia="sk-SK"/>
        </w:rPr>
      </w:pPr>
      <w:r w:rsidRPr="00A06CFA">
        <w:rPr>
          <w:color w:val="000000"/>
          <w:u w:val="single"/>
          <w:lang w:eastAsia="sk-SK"/>
        </w:rPr>
        <w:t>Imunitne sprostredkovaná nekrotizujúca myopatia (IMNM)</w:t>
      </w:r>
    </w:p>
    <w:p w14:paraId="76184679" w14:textId="1CD99B23" w:rsidR="00EE1BB5" w:rsidRPr="00A06CFA" w:rsidRDefault="00EE1BB5" w:rsidP="0012553A">
      <w:pPr>
        <w:pStyle w:val="Normlndobloku"/>
        <w:spacing w:after="0"/>
        <w:jc w:val="left"/>
        <w:rPr>
          <w:szCs w:val="22"/>
        </w:rPr>
      </w:pPr>
      <w:r w:rsidRPr="0012553A">
        <w:rPr>
          <w:szCs w:val="22"/>
        </w:rPr>
        <w:t>Počas liečby alebo po liečbe niektorými statínmi boli hlásené veľmi zriedkavé prípady nekrotizujúcej myopatie sprostredkovanej imunitným systémom (immune-mediated necrotizing myopathy, IMNM). IMNM je klinicky charakterizovaná pretrvávajúcou slabosťou proximálnych svalov a zvýšenou sérovou hladinou kreatínkinázy, ktoré pretrvávajú napriek ukončeniu liečby statínmi.</w:t>
      </w:r>
      <w:r w:rsidRPr="00A06CFA">
        <w:rPr>
          <w:szCs w:val="22"/>
        </w:rPr>
        <w:t xml:space="preserve"> </w:t>
      </w:r>
    </w:p>
    <w:p w14:paraId="68859C42" w14:textId="41C616EA" w:rsidR="00A06CFA" w:rsidRPr="00A06CFA" w:rsidRDefault="00A06CFA" w:rsidP="0012553A">
      <w:pPr>
        <w:pStyle w:val="Normlndobloku"/>
        <w:spacing w:after="0"/>
        <w:jc w:val="left"/>
        <w:rPr>
          <w:szCs w:val="22"/>
        </w:rPr>
      </w:pPr>
    </w:p>
    <w:p w14:paraId="733C85DD" w14:textId="77777777" w:rsidR="00EE1BB5" w:rsidRPr="00C456E3" w:rsidRDefault="00EE1BB5" w:rsidP="0012553A">
      <w:pPr>
        <w:pStyle w:val="Styl3"/>
        <w:spacing w:after="0"/>
        <w:jc w:val="left"/>
        <w:rPr>
          <w:szCs w:val="22"/>
        </w:rPr>
      </w:pPr>
      <w:r w:rsidRPr="00C456E3">
        <w:rPr>
          <w:szCs w:val="22"/>
        </w:rPr>
        <w:t>Diabetes mellitus</w:t>
      </w:r>
    </w:p>
    <w:p w14:paraId="73E85D47" w14:textId="217D60B5" w:rsidR="00EE1BB5" w:rsidRDefault="00EE1BB5" w:rsidP="0012553A">
      <w:pPr>
        <w:pStyle w:val="Normlndobloku"/>
        <w:spacing w:after="0"/>
        <w:jc w:val="left"/>
        <w:rPr>
          <w:szCs w:val="22"/>
        </w:rPr>
      </w:pPr>
      <w:r w:rsidRPr="00B84238">
        <w:rPr>
          <w:szCs w:val="22"/>
        </w:rPr>
        <w:t>Niektoré dôkazy naznačujú, že statíny ako skupina zvyšujú hladinu glukózy v krvi a u niektorých pacientov s vysokým rizikom vzniku diabetu môžu vyvolať hyperglykémiu, pri ktorej bude potrebná štandardná liečba diabetu. Nad týmto rizikom však prevažuje zníženie vask</w:t>
      </w:r>
      <w:r w:rsidRPr="00941F56">
        <w:rPr>
          <w:szCs w:val="22"/>
        </w:rPr>
        <w:t>ulárneho rizika statínmi</w:t>
      </w:r>
      <w:r w:rsidR="0018323F">
        <w:rPr>
          <w:szCs w:val="22"/>
        </w:rPr>
        <w:t>,</w:t>
      </w:r>
      <w:r w:rsidRPr="00941F56">
        <w:rPr>
          <w:szCs w:val="22"/>
        </w:rPr>
        <w:t xml:space="preserve"> a</w:t>
      </w:r>
      <w:r w:rsidR="001A7FA7" w:rsidRPr="00941F56">
        <w:rPr>
          <w:szCs w:val="22"/>
        </w:rPr>
        <w:t> </w:t>
      </w:r>
      <w:r w:rsidRPr="00941F56">
        <w:rPr>
          <w:szCs w:val="22"/>
        </w:rPr>
        <w:t xml:space="preserve">preto nemá byť dôvodom pre ukončenie liečby. U rizikových pacientov (glykémia nalačno 5,6 </w:t>
      </w:r>
      <w:r w:rsidR="0018323F">
        <w:rPr>
          <w:szCs w:val="22"/>
        </w:rPr>
        <w:t>–</w:t>
      </w:r>
      <w:r w:rsidRPr="00941F56">
        <w:rPr>
          <w:szCs w:val="22"/>
        </w:rPr>
        <w:t xml:space="preserve"> 6,9 mmol/l, BMI &gt; 30 kg/m</w:t>
      </w:r>
      <w:r w:rsidRPr="0012553A">
        <w:rPr>
          <w:szCs w:val="22"/>
          <w:vertAlign w:val="superscript"/>
        </w:rPr>
        <w:t>2</w:t>
      </w:r>
      <w:r w:rsidRPr="00941F56">
        <w:rPr>
          <w:szCs w:val="22"/>
        </w:rPr>
        <w:t xml:space="preserve">, zvýšená hladina triacylglycerolov, hypertenzia) je potrebné sledovať klinický stav aj biochemické parametre v súlade s miestnymi odporúčaniami. </w:t>
      </w:r>
    </w:p>
    <w:p w14:paraId="3CAD89A0" w14:textId="77777777" w:rsidR="00A06CFA" w:rsidRPr="00A06CFA" w:rsidRDefault="00A06CFA" w:rsidP="0012553A">
      <w:pPr>
        <w:pStyle w:val="Normlndobloku"/>
        <w:spacing w:after="0"/>
        <w:jc w:val="left"/>
        <w:rPr>
          <w:szCs w:val="22"/>
        </w:rPr>
      </w:pPr>
    </w:p>
    <w:p w14:paraId="344F5F82" w14:textId="77777777" w:rsidR="00EE1BB5" w:rsidRPr="00C456E3" w:rsidRDefault="00EE1BB5" w:rsidP="0012553A">
      <w:pPr>
        <w:pStyle w:val="Styl3"/>
        <w:spacing w:after="0"/>
        <w:jc w:val="left"/>
        <w:rPr>
          <w:szCs w:val="22"/>
        </w:rPr>
      </w:pPr>
      <w:r w:rsidRPr="00C456E3">
        <w:rPr>
          <w:szCs w:val="22"/>
        </w:rPr>
        <w:t>Intersticiálne ochorenie pľúc</w:t>
      </w:r>
    </w:p>
    <w:p w14:paraId="640FDBA9" w14:textId="75D0D201" w:rsidR="00EE1BB5" w:rsidRDefault="00EE1BB5" w:rsidP="0012553A">
      <w:pPr>
        <w:pStyle w:val="Normlndobloku"/>
        <w:spacing w:after="0"/>
        <w:jc w:val="left"/>
        <w:rPr>
          <w:szCs w:val="22"/>
        </w:rPr>
      </w:pPr>
      <w:r w:rsidRPr="00B84238">
        <w:rPr>
          <w:szCs w:val="22"/>
        </w:rPr>
        <w:t>Pri užívaní statínov, hlavne pri dlhodobej liečbe, boli hlásené výnimočné prípady výskytu intersticiálneho ochorenia pľúc (pozri časť 4.8). Medzi prejavy patrí dyspnoe, suchý (neproduktívny</w:t>
      </w:r>
      <w:r w:rsidRPr="00941F56">
        <w:rPr>
          <w:szCs w:val="22"/>
        </w:rPr>
        <w:t xml:space="preserve">) </w:t>
      </w:r>
      <w:r w:rsidRPr="00941F56">
        <w:rPr>
          <w:szCs w:val="22"/>
        </w:rPr>
        <w:lastRenderedPageBreak/>
        <w:t>kašeľ a celkové zhoršenie zdravotného stavu (únava, chudnutie, horúčka)</w:t>
      </w:r>
      <w:r w:rsidR="00C16188">
        <w:rPr>
          <w:szCs w:val="22"/>
        </w:rPr>
        <w:t>.</w:t>
      </w:r>
      <w:r w:rsidRPr="00941F56">
        <w:rPr>
          <w:szCs w:val="22"/>
        </w:rPr>
        <w:t xml:space="preserve"> Ak je podozrenie, že sa u pacienta prejavilo intersticiálne ochorenie pľúc, je nutné prerušiť terapiu statínmi.</w:t>
      </w:r>
    </w:p>
    <w:p w14:paraId="7218CE41" w14:textId="77777777" w:rsidR="00A06CFA" w:rsidRPr="00A06CFA" w:rsidRDefault="00A06CFA" w:rsidP="0012553A">
      <w:pPr>
        <w:pStyle w:val="Normlndobloku"/>
        <w:spacing w:after="0"/>
        <w:jc w:val="left"/>
        <w:rPr>
          <w:szCs w:val="22"/>
        </w:rPr>
      </w:pPr>
    </w:p>
    <w:p w14:paraId="4F6ACFA4" w14:textId="77777777" w:rsidR="00EE1BB5" w:rsidRPr="0012553A" w:rsidRDefault="00EE1BB5" w:rsidP="0012553A">
      <w:pPr>
        <w:pStyle w:val="Normlndobloku"/>
        <w:spacing w:after="0"/>
        <w:jc w:val="left"/>
        <w:rPr>
          <w:szCs w:val="22"/>
          <w:u w:val="single"/>
        </w:rPr>
      </w:pPr>
      <w:r w:rsidRPr="0012553A">
        <w:rPr>
          <w:szCs w:val="22"/>
          <w:u w:val="single"/>
        </w:rPr>
        <w:t>Pediatrická populácia</w:t>
      </w:r>
    </w:p>
    <w:p w14:paraId="2B9BC5AB" w14:textId="57B513B9" w:rsidR="00EE1BB5" w:rsidRDefault="00EE1BB5" w:rsidP="0012553A">
      <w:pPr>
        <w:pStyle w:val="Normlndobloku"/>
        <w:spacing w:after="0"/>
        <w:jc w:val="left"/>
        <w:rPr>
          <w:szCs w:val="22"/>
        </w:rPr>
      </w:pPr>
      <w:r w:rsidRPr="0012553A">
        <w:t>V obmedzenom množstve k</w:t>
      </w:r>
      <w:r w:rsidR="004A59F9">
        <w:rPr>
          <w:szCs w:val="22"/>
        </w:rPr>
        <w:t>ontrolovan</w:t>
      </w:r>
      <w:r w:rsidRPr="0012553A">
        <w:t>ých štúdií (pozri časť 4.8 a 5.1) nebol zistený akýkoľvek dete</w:t>
      </w:r>
      <w:r w:rsidR="009D18D0">
        <w:rPr>
          <w:szCs w:val="22"/>
        </w:rPr>
        <w:t>g</w:t>
      </w:r>
      <w:r w:rsidRPr="0012553A">
        <w:t>ovateľný účinok na rast a </w:t>
      </w:r>
      <w:r w:rsidR="00535EE1">
        <w:rPr>
          <w:szCs w:val="22"/>
        </w:rPr>
        <w:t>pohlavné</w:t>
      </w:r>
      <w:r w:rsidRPr="0012553A">
        <w:t xml:space="preserve"> dozrievanie </w:t>
      </w:r>
      <w:r w:rsidR="004C3BC1">
        <w:rPr>
          <w:szCs w:val="22"/>
        </w:rPr>
        <w:t>dospievajúc</w:t>
      </w:r>
      <w:r w:rsidR="004C3BC1">
        <w:rPr>
          <w:rStyle w:val="hps"/>
          <w:szCs w:val="22"/>
        </w:rPr>
        <w:t>i</w:t>
      </w:r>
      <w:r w:rsidRPr="0012553A">
        <w:rPr>
          <w:rStyle w:val="hps"/>
        </w:rPr>
        <w:t>ch</w:t>
      </w:r>
      <w:r w:rsidRPr="0012553A">
        <w:t xml:space="preserve"> </w:t>
      </w:r>
      <w:r w:rsidRPr="0012553A">
        <w:rPr>
          <w:rStyle w:val="hps"/>
        </w:rPr>
        <w:t>chlapcov</w:t>
      </w:r>
      <w:r w:rsidRPr="0012553A">
        <w:t xml:space="preserve"> </w:t>
      </w:r>
      <w:r w:rsidRPr="0012553A">
        <w:rPr>
          <w:rStyle w:val="hps"/>
        </w:rPr>
        <w:t>alebo</w:t>
      </w:r>
      <w:r w:rsidRPr="0012553A">
        <w:t xml:space="preserve"> </w:t>
      </w:r>
      <w:r w:rsidRPr="0012553A">
        <w:rPr>
          <w:rStyle w:val="hps"/>
        </w:rPr>
        <w:t>na</w:t>
      </w:r>
      <w:r w:rsidRPr="0012553A">
        <w:t xml:space="preserve"> </w:t>
      </w:r>
      <w:r w:rsidRPr="0012553A">
        <w:rPr>
          <w:rStyle w:val="hps"/>
        </w:rPr>
        <w:t>dĺžku</w:t>
      </w:r>
      <w:r w:rsidRPr="0012553A">
        <w:t xml:space="preserve"> </w:t>
      </w:r>
      <w:r w:rsidRPr="0012553A">
        <w:rPr>
          <w:rStyle w:val="hps"/>
        </w:rPr>
        <w:t>menštruačného</w:t>
      </w:r>
      <w:r w:rsidRPr="0012553A">
        <w:t xml:space="preserve"> </w:t>
      </w:r>
      <w:r w:rsidRPr="0012553A">
        <w:rPr>
          <w:rStyle w:val="hps"/>
        </w:rPr>
        <w:t>cyklu</w:t>
      </w:r>
      <w:r w:rsidRPr="0012553A">
        <w:t xml:space="preserve"> </w:t>
      </w:r>
      <w:r w:rsidRPr="0012553A">
        <w:rPr>
          <w:rStyle w:val="hps"/>
        </w:rPr>
        <w:t>u</w:t>
      </w:r>
      <w:r w:rsidRPr="0012553A">
        <w:t> </w:t>
      </w:r>
      <w:r w:rsidRPr="0012553A">
        <w:rPr>
          <w:rStyle w:val="hps"/>
        </w:rPr>
        <w:t>dievčat</w:t>
      </w:r>
      <w:r w:rsidRPr="0012553A">
        <w:t>.</w:t>
      </w:r>
      <w:r w:rsidRPr="0012553A">
        <w:rPr>
          <w:rStyle w:val="hps"/>
        </w:rPr>
        <w:t xml:space="preserve"> </w:t>
      </w:r>
      <w:r w:rsidR="00773077">
        <w:rPr>
          <w:rStyle w:val="hps"/>
          <w:szCs w:val="22"/>
        </w:rPr>
        <w:t>Dospievajúci</w:t>
      </w:r>
      <w:r w:rsidRPr="0012553A">
        <w:rPr>
          <w:rStyle w:val="hps"/>
          <w:szCs w:val="22"/>
        </w:rPr>
        <w:t>m</w:t>
      </w:r>
      <w:r w:rsidRPr="0012553A">
        <w:rPr>
          <w:szCs w:val="22"/>
        </w:rPr>
        <w:t xml:space="preserve"> </w:t>
      </w:r>
      <w:r w:rsidRPr="0012553A">
        <w:rPr>
          <w:rStyle w:val="hps"/>
          <w:szCs w:val="22"/>
        </w:rPr>
        <w:t>dievčatám</w:t>
      </w:r>
      <w:r w:rsidRPr="0012553A">
        <w:rPr>
          <w:szCs w:val="22"/>
        </w:rPr>
        <w:t xml:space="preserve"> </w:t>
      </w:r>
      <w:r w:rsidRPr="0012553A">
        <w:rPr>
          <w:rStyle w:val="hps"/>
          <w:szCs w:val="22"/>
        </w:rPr>
        <w:t>treba</w:t>
      </w:r>
      <w:r w:rsidRPr="0012553A">
        <w:rPr>
          <w:szCs w:val="22"/>
        </w:rPr>
        <w:t xml:space="preserve"> </w:t>
      </w:r>
      <w:r w:rsidRPr="0012553A">
        <w:rPr>
          <w:rStyle w:val="hps"/>
          <w:szCs w:val="22"/>
        </w:rPr>
        <w:t>počas</w:t>
      </w:r>
      <w:r w:rsidRPr="0012553A">
        <w:rPr>
          <w:szCs w:val="22"/>
        </w:rPr>
        <w:t xml:space="preserve"> </w:t>
      </w:r>
      <w:r w:rsidRPr="0012553A">
        <w:rPr>
          <w:rStyle w:val="hps"/>
          <w:szCs w:val="22"/>
        </w:rPr>
        <w:t>doby</w:t>
      </w:r>
      <w:r w:rsidRPr="0012553A">
        <w:rPr>
          <w:szCs w:val="22"/>
        </w:rPr>
        <w:t xml:space="preserve"> </w:t>
      </w:r>
      <w:r w:rsidRPr="0012553A">
        <w:rPr>
          <w:rStyle w:val="hps"/>
          <w:szCs w:val="22"/>
        </w:rPr>
        <w:t>liečby</w:t>
      </w:r>
      <w:r w:rsidRPr="0012553A">
        <w:rPr>
          <w:szCs w:val="22"/>
        </w:rPr>
        <w:t xml:space="preserve"> </w:t>
      </w:r>
      <w:r w:rsidRPr="0012553A">
        <w:rPr>
          <w:rStyle w:val="hps"/>
          <w:szCs w:val="22"/>
        </w:rPr>
        <w:t>lovastatínom</w:t>
      </w:r>
      <w:r w:rsidRPr="0012553A">
        <w:rPr>
          <w:szCs w:val="22"/>
        </w:rPr>
        <w:t xml:space="preserve"> </w:t>
      </w:r>
      <w:r w:rsidRPr="0012553A">
        <w:rPr>
          <w:rStyle w:val="hps"/>
          <w:szCs w:val="22"/>
        </w:rPr>
        <w:t>odporučiť vhodnú</w:t>
      </w:r>
      <w:r w:rsidRPr="0012553A">
        <w:rPr>
          <w:szCs w:val="22"/>
        </w:rPr>
        <w:t xml:space="preserve"> </w:t>
      </w:r>
      <w:r w:rsidRPr="0012553A">
        <w:rPr>
          <w:rStyle w:val="hps"/>
          <w:szCs w:val="22"/>
        </w:rPr>
        <w:t>metódu</w:t>
      </w:r>
      <w:r w:rsidRPr="0012553A">
        <w:rPr>
          <w:szCs w:val="22"/>
        </w:rPr>
        <w:t xml:space="preserve"> </w:t>
      </w:r>
      <w:r w:rsidRPr="0012553A">
        <w:rPr>
          <w:rStyle w:val="hps"/>
          <w:szCs w:val="22"/>
        </w:rPr>
        <w:t>antikoncepcie</w:t>
      </w:r>
      <w:r w:rsidRPr="0012553A">
        <w:rPr>
          <w:szCs w:val="22"/>
        </w:rPr>
        <w:t xml:space="preserve"> </w:t>
      </w:r>
      <w:r w:rsidRPr="0012553A">
        <w:rPr>
          <w:rStyle w:val="hps"/>
          <w:szCs w:val="22"/>
        </w:rPr>
        <w:t>(</w:t>
      </w:r>
      <w:r w:rsidRPr="0012553A">
        <w:rPr>
          <w:szCs w:val="22"/>
        </w:rPr>
        <w:t xml:space="preserve">pozri </w:t>
      </w:r>
      <w:r w:rsidRPr="0012553A">
        <w:rPr>
          <w:rStyle w:val="hps"/>
          <w:szCs w:val="22"/>
        </w:rPr>
        <w:t>čas</w:t>
      </w:r>
      <w:r w:rsidR="009D74D2">
        <w:rPr>
          <w:rStyle w:val="hps"/>
          <w:szCs w:val="22"/>
        </w:rPr>
        <w:t>ti</w:t>
      </w:r>
      <w:r w:rsidRPr="0012553A">
        <w:rPr>
          <w:rStyle w:val="hps"/>
          <w:szCs w:val="22"/>
        </w:rPr>
        <w:t xml:space="preserve"> 4.3</w:t>
      </w:r>
      <w:r w:rsidRPr="0012553A">
        <w:rPr>
          <w:szCs w:val="22"/>
        </w:rPr>
        <w:t xml:space="preserve"> </w:t>
      </w:r>
      <w:r w:rsidRPr="0012553A">
        <w:rPr>
          <w:rStyle w:val="hps"/>
          <w:szCs w:val="22"/>
        </w:rPr>
        <w:t>a</w:t>
      </w:r>
      <w:r w:rsidRPr="0012553A">
        <w:rPr>
          <w:szCs w:val="22"/>
        </w:rPr>
        <w:t> </w:t>
      </w:r>
      <w:r w:rsidRPr="0012553A">
        <w:rPr>
          <w:rStyle w:val="hps"/>
          <w:szCs w:val="22"/>
        </w:rPr>
        <w:t>4.6</w:t>
      </w:r>
      <w:r w:rsidRPr="0012553A">
        <w:rPr>
          <w:szCs w:val="22"/>
        </w:rPr>
        <w:t xml:space="preserve">). </w:t>
      </w:r>
      <w:r w:rsidRPr="0012553A">
        <w:rPr>
          <w:rStyle w:val="hps"/>
          <w:szCs w:val="22"/>
        </w:rPr>
        <w:t>Lovastatín</w:t>
      </w:r>
      <w:r w:rsidRPr="0012553A">
        <w:rPr>
          <w:szCs w:val="22"/>
        </w:rPr>
        <w:t xml:space="preserve"> </w:t>
      </w:r>
      <w:r w:rsidRPr="0012553A">
        <w:rPr>
          <w:rStyle w:val="hps"/>
          <w:szCs w:val="22"/>
        </w:rPr>
        <w:t>doteraz nebol</w:t>
      </w:r>
      <w:r w:rsidRPr="0012553A">
        <w:rPr>
          <w:szCs w:val="22"/>
        </w:rPr>
        <w:t xml:space="preserve"> </w:t>
      </w:r>
      <w:r w:rsidRPr="0012553A">
        <w:rPr>
          <w:rStyle w:val="hps"/>
          <w:szCs w:val="22"/>
        </w:rPr>
        <w:t>adekvátne</w:t>
      </w:r>
      <w:r w:rsidRPr="0012553A">
        <w:rPr>
          <w:szCs w:val="22"/>
        </w:rPr>
        <w:t xml:space="preserve"> </w:t>
      </w:r>
      <w:r w:rsidRPr="0012553A">
        <w:rPr>
          <w:rStyle w:val="hps"/>
          <w:szCs w:val="22"/>
        </w:rPr>
        <w:t>študovaný</w:t>
      </w:r>
      <w:r w:rsidRPr="0012553A">
        <w:rPr>
          <w:szCs w:val="22"/>
        </w:rPr>
        <w:t xml:space="preserve"> </w:t>
      </w:r>
      <w:r w:rsidRPr="0012553A">
        <w:rPr>
          <w:rStyle w:val="hps"/>
          <w:szCs w:val="22"/>
        </w:rPr>
        <w:t>u</w:t>
      </w:r>
      <w:r w:rsidRPr="0012553A">
        <w:rPr>
          <w:szCs w:val="22"/>
        </w:rPr>
        <w:t> </w:t>
      </w:r>
      <w:r w:rsidRPr="0012553A">
        <w:rPr>
          <w:rStyle w:val="hps"/>
          <w:szCs w:val="22"/>
        </w:rPr>
        <w:t>predpubertálnych</w:t>
      </w:r>
      <w:r w:rsidRPr="0012553A">
        <w:rPr>
          <w:szCs w:val="22"/>
        </w:rPr>
        <w:t xml:space="preserve"> </w:t>
      </w:r>
      <w:r w:rsidRPr="0012553A">
        <w:rPr>
          <w:rStyle w:val="hps"/>
          <w:szCs w:val="22"/>
        </w:rPr>
        <w:t>detí</w:t>
      </w:r>
      <w:r w:rsidRPr="0012553A">
        <w:rPr>
          <w:szCs w:val="22"/>
        </w:rPr>
        <w:t xml:space="preserve"> </w:t>
      </w:r>
      <w:r w:rsidRPr="0012553A">
        <w:rPr>
          <w:rStyle w:val="hps"/>
          <w:szCs w:val="22"/>
        </w:rPr>
        <w:t>a</w:t>
      </w:r>
      <w:r w:rsidRPr="0012553A">
        <w:rPr>
          <w:szCs w:val="22"/>
        </w:rPr>
        <w:t> </w:t>
      </w:r>
      <w:r w:rsidRPr="0012553A">
        <w:rPr>
          <w:rStyle w:val="hps"/>
          <w:szCs w:val="22"/>
        </w:rPr>
        <w:t>pre-</w:t>
      </w:r>
      <w:r w:rsidRPr="0012553A">
        <w:rPr>
          <w:szCs w:val="22"/>
        </w:rPr>
        <w:t xml:space="preserve">menarcheálnych </w:t>
      </w:r>
      <w:r w:rsidRPr="0012553A">
        <w:rPr>
          <w:rStyle w:val="hps"/>
          <w:szCs w:val="22"/>
        </w:rPr>
        <w:t>dievčat</w:t>
      </w:r>
      <w:r w:rsidRPr="0012553A">
        <w:rPr>
          <w:szCs w:val="22"/>
        </w:rPr>
        <w:t xml:space="preserve">, </w:t>
      </w:r>
      <w:r w:rsidRPr="0012553A">
        <w:rPr>
          <w:rStyle w:val="hps"/>
          <w:szCs w:val="22"/>
        </w:rPr>
        <w:t>a</w:t>
      </w:r>
      <w:r w:rsidRPr="0012553A">
        <w:rPr>
          <w:szCs w:val="22"/>
        </w:rPr>
        <w:t> </w:t>
      </w:r>
      <w:r w:rsidRPr="0012553A">
        <w:rPr>
          <w:rStyle w:val="hps"/>
          <w:szCs w:val="22"/>
        </w:rPr>
        <w:t>ani</w:t>
      </w:r>
      <w:r w:rsidRPr="0012553A">
        <w:rPr>
          <w:szCs w:val="22"/>
        </w:rPr>
        <w:t xml:space="preserve"> </w:t>
      </w:r>
      <w:r w:rsidRPr="0012553A">
        <w:rPr>
          <w:rStyle w:val="hps"/>
          <w:szCs w:val="22"/>
        </w:rPr>
        <w:t>u</w:t>
      </w:r>
      <w:r w:rsidRPr="0012553A">
        <w:rPr>
          <w:szCs w:val="22"/>
        </w:rPr>
        <w:t> </w:t>
      </w:r>
      <w:r w:rsidRPr="0012553A">
        <w:rPr>
          <w:rStyle w:val="hps"/>
          <w:szCs w:val="22"/>
        </w:rPr>
        <w:t>pacientov mladších ako 10</w:t>
      </w:r>
      <w:r w:rsidR="009D74D2">
        <w:rPr>
          <w:szCs w:val="22"/>
        </w:rPr>
        <w:t> </w:t>
      </w:r>
      <w:r w:rsidRPr="0012553A">
        <w:rPr>
          <w:rStyle w:val="hps"/>
          <w:szCs w:val="22"/>
        </w:rPr>
        <w:t>rokov</w:t>
      </w:r>
      <w:r w:rsidRPr="0012553A">
        <w:rPr>
          <w:szCs w:val="22"/>
        </w:rPr>
        <w:t>.</w:t>
      </w:r>
    </w:p>
    <w:p w14:paraId="18088B2C" w14:textId="77777777" w:rsidR="008D13C2" w:rsidRPr="008D13C2" w:rsidRDefault="008D13C2" w:rsidP="0012553A">
      <w:pPr>
        <w:pStyle w:val="Normlndobloku"/>
        <w:spacing w:after="0"/>
        <w:jc w:val="left"/>
        <w:rPr>
          <w:szCs w:val="22"/>
        </w:rPr>
      </w:pPr>
    </w:p>
    <w:p w14:paraId="7FC0111C" w14:textId="5BDFCD7D" w:rsidR="004C1B68" w:rsidRPr="007E7FEE" w:rsidRDefault="00AF11E2" w:rsidP="0012553A">
      <w:pPr>
        <w:pStyle w:val="Styl3"/>
        <w:spacing w:after="0"/>
        <w:jc w:val="left"/>
        <w:rPr>
          <w:szCs w:val="22"/>
        </w:rPr>
      </w:pPr>
      <w:r>
        <w:rPr>
          <w:szCs w:val="22"/>
        </w:rPr>
        <w:t>L</w:t>
      </w:r>
      <w:r w:rsidR="009E27E8" w:rsidRPr="008D13C2">
        <w:rPr>
          <w:szCs w:val="22"/>
        </w:rPr>
        <w:t>aktóz</w:t>
      </w:r>
      <w:r>
        <w:rPr>
          <w:szCs w:val="22"/>
        </w:rPr>
        <w:t>a</w:t>
      </w:r>
    </w:p>
    <w:p w14:paraId="79A86E1B" w14:textId="7C6DAF1D" w:rsidR="004C1B68" w:rsidRPr="00A06CFA" w:rsidRDefault="004C1B68" w:rsidP="0012553A">
      <w:pPr>
        <w:pStyle w:val="Styl3"/>
        <w:spacing w:after="0"/>
        <w:jc w:val="left"/>
        <w:rPr>
          <w:szCs w:val="22"/>
          <w:highlight w:val="yellow"/>
        </w:rPr>
      </w:pPr>
      <w:r w:rsidRPr="0012553A">
        <w:rPr>
          <w:rFonts w:eastAsia="Times New Roman"/>
          <w:szCs w:val="22"/>
          <w:u w:val="none"/>
          <w:lang w:eastAsia="cs-CZ"/>
        </w:rPr>
        <w:t>Pacienti so zriedkavými dedičnými problémami galaktózovej intolerancie, celkovým deficitom laktázy alebo glukózo-galaktózovou malabsorpciou nesmú užívať tento liek.</w:t>
      </w:r>
    </w:p>
    <w:p w14:paraId="62C8B09C" w14:textId="195DB2E7" w:rsidR="0051177B" w:rsidRPr="0012553A" w:rsidRDefault="0051177B" w:rsidP="0003345E">
      <w:pPr>
        <w:tabs>
          <w:tab w:val="clear" w:pos="567"/>
        </w:tabs>
        <w:autoSpaceDE w:val="0"/>
        <w:autoSpaceDN w:val="0"/>
        <w:adjustRightInd w:val="0"/>
        <w:spacing w:line="240" w:lineRule="auto"/>
      </w:pPr>
    </w:p>
    <w:p w14:paraId="475A921C" w14:textId="77777777" w:rsidR="00EE1BB5" w:rsidRPr="00A06CFA" w:rsidRDefault="00EE1BB5" w:rsidP="0012553A">
      <w:pPr>
        <w:pStyle w:val="Styl2"/>
        <w:spacing w:before="0" w:after="0"/>
      </w:pPr>
      <w:r w:rsidRPr="00A06CFA">
        <w:t>Liekové a iné interakcie</w:t>
      </w:r>
    </w:p>
    <w:p w14:paraId="68F3BE84" w14:textId="77777777" w:rsidR="00A06CFA" w:rsidRDefault="00A06CFA" w:rsidP="0012553A">
      <w:pPr>
        <w:pStyle w:val="Normlndobloku"/>
        <w:spacing w:after="0"/>
        <w:jc w:val="left"/>
        <w:rPr>
          <w:szCs w:val="22"/>
        </w:rPr>
      </w:pPr>
    </w:p>
    <w:p w14:paraId="78A41569" w14:textId="65F6E73E" w:rsidR="00EE1BB5" w:rsidRDefault="00EE1BB5" w:rsidP="0012553A">
      <w:pPr>
        <w:pStyle w:val="Normlndobloku"/>
        <w:spacing w:after="0"/>
        <w:jc w:val="left"/>
        <w:rPr>
          <w:szCs w:val="22"/>
        </w:rPr>
      </w:pPr>
      <w:r w:rsidRPr="00A06CFA">
        <w:rPr>
          <w:szCs w:val="22"/>
        </w:rPr>
        <w:t>Imunosupresívne lieky, gemfibrozil, niacín, erytromycín: pozri časť 4.4 „Osobitné upozornenia a</w:t>
      </w:r>
      <w:r w:rsidR="001A7FA7" w:rsidRPr="00A06CFA">
        <w:rPr>
          <w:szCs w:val="22"/>
        </w:rPr>
        <w:t> </w:t>
      </w:r>
      <w:r w:rsidRPr="00A06CFA">
        <w:rPr>
          <w:szCs w:val="22"/>
        </w:rPr>
        <w:t xml:space="preserve">opatrenia pri používaní </w:t>
      </w:r>
      <w:r w:rsidR="00E239A2">
        <w:rPr>
          <w:szCs w:val="22"/>
        </w:rPr>
        <w:t>–</w:t>
      </w:r>
      <w:r w:rsidRPr="00A06CFA">
        <w:rPr>
          <w:szCs w:val="22"/>
        </w:rPr>
        <w:t xml:space="preserve"> Kostrové svalstvo“.</w:t>
      </w:r>
    </w:p>
    <w:p w14:paraId="253E7AA4" w14:textId="77777777" w:rsidR="00A06CFA" w:rsidRPr="00A06CFA" w:rsidRDefault="00A06CFA" w:rsidP="0012553A">
      <w:pPr>
        <w:pStyle w:val="Normlndobloku"/>
        <w:spacing w:after="0"/>
        <w:jc w:val="left"/>
        <w:rPr>
          <w:szCs w:val="22"/>
        </w:rPr>
      </w:pPr>
    </w:p>
    <w:p w14:paraId="49D643CC" w14:textId="77777777" w:rsidR="00EE1BB5" w:rsidRPr="00A06CFA" w:rsidRDefault="00EE1BB5" w:rsidP="0012553A">
      <w:pPr>
        <w:pStyle w:val="Styl3"/>
        <w:spacing w:after="0"/>
        <w:jc w:val="left"/>
        <w:rPr>
          <w:szCs w:val="22"/>
        </w:rPr>
      </w:pPr>
      <w:r w:rsidRPr="00A06CFA">
        <w:rPr>
          <w:szCs w:val="22"/>
        </w:rPr>
        <w:t>Myopatie spôsobené liekovými interakciami</w:t>
      </w:r>
    </w:p>
    <w:p w14:paraId="3BF3BD41" w14:textId="58610664" w:rsidR="00EE1BB5" w:rsidRDefault="00EE1BB5" w:rsidP="0012553A">
      <w:pPr>
        <w:pStyle w:val="Normlndobloku"/>
        <w:spacing w:after="0"/>
        <w:jc w:val="left"/>
        <w:rPr>
          <w:szCs w:val="22"/>
        </w:rPr>
      </w:pPr>
      <w:r w:rsidRPr="00A06CFA">
        <w:rPr>
          <w:szCs w:val="22"/>
        </w:rPr>
        <w:t xml:space="preserve">Výskyt a závažnosť myopatie sa zvyšuje </w:t>
      </w:r>
      <w:r w:rsidR="009E6EE2" w:rsidRPr="00A06CFA">
        <w:rPr>
          <w:szCs w:val="22"/>
        </w:rPr>
        <w:t>sú</w:t>
      </w:r>
      <w:r w:rsidR="009E6EE2">
        <w:rPr>
          <w:szCs w:val="22"/>
        </w:rPr>
        <w:t>bež</w:t>
      </w:r>
      <w:r w:rsidR="009E6EE2" w:rsidRPr="00A06CFA">
        <w:rPr>
          <w:szCs w:val="22"/>
        </w:rPr>
        <w:t xml:space="preserve">ným </w:t>
      </w:r>
      <w:r w:rsidRPr="00A06CFA">
        <w:rPr>
          <w:szCs w:val="22"/>
        </w:rPr>
        <w:t>podávaním inhibítora HMG</w:t>
      </w:r>
      <w:r w:rsidR="00866CF3">
        <w:rPr>
          <w:szCs w:val="22"/>
        </w:rPr>
        <w:t>-</w:t>
      </w:r>
      <w:r w:rsidRPr="00A06CFA">
        <w:rPr>
          <w:szCs w:val="22"/>
        </w:rPr>
        <w:t>CoA</w:t>
      </w:r>
      <w:r w:rsidR="00866CF3">
        <w:rPr>
          <w:szCs w:val="22"/>
        </w:rPr>
        <w:t>-</w:t>
      </w:r>
      <w:r w:rsidRPr="00A06CFA">
        <w:rPr>
          <w:szCs w:val="22"/>
        </w:rPr>
        <w:t>reduktázy s</w:t>
      </w:r>
      <w:r w:rsidR="001A7FA7" w:rsidRPr="00A06CFA">
        <w:rPr>
          <w:szCs w:val="22"/>
        </w:rPr>
        <w:t> </w:t>
      </w:r>
      <w:r w:rsidRPr="00A06CFA">
        <w:rPr>
          <w:szCs w:val="22"/>
        </w:rPr>
        <w:t>liekmi, ktoré môžu spôsobovať myopatiu, ak sa podávajú samostatne ako napr. gemfibrozil a ďalšie fibráty, niacín v hypolipidemických dávkach.</w:t>
      </w:r>
    </w:p>
    <w:p w14:paraId="710D45DF" w14:textId="77777777" w:rsidR="00A06CFA" w:rsidRPr="00A06CFA" w:rsidRDefault="00A06CFA" w:rsidP="0012553A">
      <w:pPr>
        <w:pStyle w:val="Normlndobloku"/>
        <w:spacing w:after="0"/>
        <w:jc w:val="left"/>
        <w:rPr>
          <w:szCs w:val="22"/>
        </w:rPr>
      </w:pPr>
    </w:p>
    <w:p w14:paraId="10B03FC8" w14:textId="77777777" w:rsidR="00EE1BB5" w:rsidRPr="00A06CFA" w:rsidRDefault="00EE1BB5" w:rsidP="0012553A">
      <w:pPr>
        <w:pStyle w:val="Styl3"/>
        <w:spacing w:after="0"/>
        <w:jc w:val="left"/>
        <w:rPr>
          <w:szCs w:val="22"/>
        </w:rPr>
      </w:pPr>
      <w:r w:rsidRPr="00A06CFA">
        <w:rPr>
          <w:szCs w:val="22"/>
        </w:rPr>
        <w:t>Kumarínové antikoagulanciá</w:t>
      </w:r>
    </w:p>
    <w:p w14:paraId="548B94FA" w14:textId="77777777" w:rsidR="00EE1BB5" w:rsidRDefault="00EE1BB5" w:rsidP="0012553A">
      <w:pPr>
        <w:pStyle w:val="Normlndobloku"/>
        <w:spacing w:after="0"/>
        <w:jc w:val="left"/>
        <w:rPr>
          <w:szCs w:val="22"/>
        </w:rPr>
      </w:pPr>
      <w:r w:rsidRPr="00C456E3">
        <w:rPr>
          <w:szCs w:val="22"/>
        </w:rPr>
        <w:t xml:space="preserve">Lovastatín mierne predlžuje protrombínový čas u pacientov užívajúcich kumarínové antikoagulanciá. U týchto pacientov </w:t>
      </w:r>
      <w:r w:rsidRPr="00B84238">
        <w:rPr>
          <w:szCs w:val="22"/>
        </w:rPr>
        <w:t>sa musí stanoviť protrombínový čas pred liečbou a dostatočne často monitorovať počas liečby, aby sme sa uistili, že neprichádza k výraznému ovplyvneniu protrombínového času. Ak sa dávka lovastatínu zmení, znovu je potrebné urobiť rovnaké postupy.</w:t>
      </w:r>
    </w:p>
    <w:p w14:paraId="20FEFBC4" w14:textId="77777777" w:rsidR="00A06CFA" w:rsidRPr="00A06CFA" w:rsidRDefault="00A06CFA" w:rsidP="0012553A">
      <w:pPr>
        <w:pStyle w:val="Normlndobloku"/>
        <w:spacing w:after="0"/>
        <w:jc w:val="left"/>
        <w:rPr>
          <w:szCs w:val="22"/>
        </w:rPr>
      </w:pPr>
    </w:p>
    <w:p w14:paraId="09DF12F1" w14:textId="77777777" w:rsidR="00EE1BB5" w:rsidRPr="009D673B" w:rsidRDefault="00EE1BB5" w:rsidP="0012553A">
      <w:pPr>
        <w:pStyle w:val="Styl3"/>
        <w:spacing w:after="0"/>
        <w:jc w:val="left"/>
        <w:rPr>
          <w:szCs w:val="22"/>
        </w:rPr>
      </w:pPr>
      <w:r w:rsidRPr="0012553A">
        <w:rPr>
          <w:szCs w:val="22"/>
        </w:rPr>
        <w:t>Kyselina fusidová</w:t>
      </w:r>
    </w:p>
    <w:p w14:paraId="114FC481" w14:textId="6EE6EE19" w:rsidR="00D15E51" w:rsidRDefault="00993CD7" w:rsidP="0012553A">
      <w:pPr>
        <w:pStyle w:val="Normlndobloku"/>
        <w:spacing w:after="0"/>
        <w:jc w:val="left"/>
        <w:rPr>
          <w:szCs w:val="22"/>
        </w:rPr>
      </w:pPr>
      <w:r>
        <w:rPr>
          <w:szCs w:val="22"/>
        </w:rPr>
        <w:t>P</w:t>
      </w:r>
      <w:r w:rsidRPr="005E745D">
        <w:rPr>
          <w:szCs w:val="22"/>
        </w:rPr>
        <w:t>ri sú</w:t>
      </w:r>
      <w:r>
        <w:rPr>
          <w:szCs w:val="22"/>
        </w:rPr>
        <w:t>bež</w:t>
      </w:r>
      <w:r w:rsidRPr="005E745D">
        <w:rPr>
          <w:szCs w:val="22"/>
        </w:rPr>
        <w:t>nom podávaní kyseliny fusidovej (vo všetkých liekových formách) a statínov</w:t>
      </w:r>
      <w:r w:rsidRPr="00993CD7">
        <w:rPr>
          <w:szCs w:val="22"/>
        </w:rPr>
        <w:t xml:space="preserve"> </w:t>
      </w:r>
      <w:r w:rsidRPr="00FE5BEF">
        <w:rPr>
          <w:szCs w:val="22"/>
        </w:rPr>
        <w:t xml:space="preserve">môže </w:t>
      </w:r>
      <w:r>
        <w:rPr>
          <w:szCs w:val="22"/>
        </w:rPr>
        <w:t xml:space="preserve">byť </w:t>
      </w:r>
      <w:r w:rsidRPr="00FE5BEF">
        <w:rPr>
          <w:szCs w:val="22"/>
        </w:rPr>
        <w:t>zvýš</w:t>
      </w:r>
      <w:r>
        <w:rPr>
          <w:szCs w:val="22"/>
        </w:rPr>
        <w:t>ené</w:t>
      </w:r>
      <w:r w:rsidRPr="00993CD7">
        <w:rPr>
          <w:szCs w:val="22"/>
        </w:rPr>
        <w:t xml:space="preserve"> </w:t>
      </w:r>
      <w:r>
        <w:rPr>
          <w:szCs w:val="22"/>
        </w:rPr>
        <w:t>r</w:t>
      </w:r>
      <w:r w:rsidR="00EE1BB5" w:rsidRPr="0012553A">
        <w:rPr>
          <w:szCs w:val="22"/>
        </w:rPr>
        <w:t>iziko myopatie vrátane rabdomyolýzy. Mechanizmus tejto interakcie (či sa jedná o farmakodynamický alebo farmakokinetický, alebo oba) nie je doteraz známy. Boli hlásené prípady rabdomyolýzy (vrátane fatálnych) u pacientov užívajúcich túto kombináciu.</w:t>
      </w:r>
      <w:r w:rsidR="00752E60" w:rsidRPr="0012553A">
        <w:rPr>
          <w:szCs w:val="22"/>
        </w:rPr>
        <w:t xml:space="preserve"> </w:t>
      </w:r>
    </w:p>
    <w:p w14:paraId="4DE64C0A" w14:textId="030CCC4D" w:rsidR="00EE1BB5" w:rsidRDefault="00EE1BB5" w:rsidP="0012553A">
      <w:pPr>
        <w:pStyle w:val="Normlndobloku"/>
        <w:spacing w:after="0"/>
        <w:jc w:val="left"/>
        <w:rPr>
          <w:szCs w:val="22"/>
        </w:rPr>
      </w:pPr>
      <w:r w:rsidRPr="0012553A">
        <w:rPr>
          <w:szCs w:val="22"/>
        </w:rPr>
        <w:t xml:space="preserve">Ak je </w:t>
      </w:r>
      <w:r w:rsidR="00D15E51">
        <w:rPr>
          <w:szCs w:val="22"/>
        </w:rPr>
        <w:t xml:space="preserve">liečba </w:t>
      </w:r>
      <w:r w:rsidRPr="0012553A">
        <w:rPr>
          <w:szCs w:val="22"/>
        </w:rPr>
        <w:t>systémov</w:t>
      </w:r>
      <w:r w:rsidR="00D15E51">
        <w:rPr>
          <w:szCs w:val="22"/>
        </w:rPr>
        <w:t>ou</w:t>
      </w:r>
      <w:r w:rsidRPr="0012553A">
        <w:rPr>
          <w:szCs w:val="22"/>
        </w:rPr>
        <w:t xml:space="preserve"> kyselin</w:t>
      </w:r>
      <w:r w:rsidR="00D15E51">
        <w:rPr>
          <w:szCs w:val="22"/>
        </w:rPr>
        <w:t>ou</w:t>
      </w:r>
      <w:r w:rsidRPr="0012553A">
        <w:rPr>
          <w:szCs w:val="22"/>
        </w:rPr>
        <w:t xml:space="preserve"> fusidov</w:t>
      </w:r>
      <w:r w:rsidR="00D15E51">
        <w:rPr>
          <w:szCs w:val="22"/>
        </w:rPr>
        <w:t>ou</w:t>
      </w:r>
      <w:r w:rsidRPr="0012553A">
        <w:rPr>
          <w:szCs w:val="22"/>
        </w:rPr>
        <w:t xml:space="preserve"> nevyhnutn</w:t>
      </w:r>
      <w:r w:rsidR="00D15E51">
        <w:rPr>
          <w:szCs w:val="22"/>
        </w:rPr>
        <w:t>á</w:t>
      </w:r>
      <w:r w:rsidRPr="0012553A">
        <w:rPr>
          <w:szCs w:val="22"/>
        </w:rPr>
        <w:t xml:space="preserve">, má </w:t>
      </w:r>
      <w:r w:rsidR="00D15E51">
        <w:rPr>
          <w:szCs w:val="22"/>
        </w:rPr>
        <w:t xml:space="preserve">sa </w:t>
      </w:r>
      <w:r w:rsidRPr="0012553A">
        <w:rPr>
          <w:szCs w:val="22"/>
        </w:rPr>
        <w:t>liečba lovastatínom preruš</w:t>
      </w:r>
      <w:r w:rsidR="00D15E51">
        <w:rPr>
          <w:szCs w:val="22"/>
        </w:rPr>
        <w:t>iť</w:t>
      </w:r>
      <w:r w:rsidRPr="0012553A">
        <w:rPr>
          <w:szCs w:val="22"/>
        </w:rPr>
        <w:t xml:space="preserve"> po cel</w:t>
      </w:r>
      <w:r w:rsidR="00D15E51">
        <w:rPr>
          <w:szCs w:val="22"/>
        </w:rPr>
        <w:t>ú</w:t>
      </w:r>
      <w:r w:rsidRPr="0012553A">
        <w:rPr>
          <w:szCs w:val="22"/>
        </w:rPr>
        <w:t xml:space="preserve"> </w:t>
      </w:r>
      <w:r w:rsidR="00D15E51">
        <w:rPr>
          <w:szCs w:val="22"/>
        </w:rPr>
        <w:t>dobu</w:t>
      </w:r>
      <w:r w:rsidRPr="0012553A">
        <w:rPr>
          <w:szCs w:val="22"/>
        </w:rPr>
        <w:t xml:space="preserve"> trvania liečby kyselinou fusidovou. Pozri tiež časť 4.4.</w:t>
      </w:r>
    </w:p>
    <w:p w14:paraId="70239B05" w14:textId="77777777" w:rsidR="00A06CFA" w:rsidRPr="00A06CFA" w:rsidRDefault="00A06CFA" w:rsidP="0012553A">
      <w:pPr>
        <w:pStyle w:val="Normlndobloku"/>
        <w:spacing w:after="0"/>
        <w:jc w:val="left"/>
        <w:rPr>
          <w:szCs w:val="22"/>
        </w:rPr>
      </w:pPr>
    </w:p>
    <w:p w14:paraId="17000715" w14:textId="77777777" w:rsidR="00EE1BB5" w:rsidRPr="00A06CFA" w:rsidRDefault="00EE1BB5" w:rsidP="0012553A">
      <w:pPr>
        <w:pStyle w:val="Styl2"/>
        <w:spacing w:before="0" w:after="0"/>
      </w:pPr>
      <w:r w:rsidRPr="00A06CFA">
        <w:t>Fertilita, gravidita a laktácia</w:t>
      </w:r>
    </w:p>
    <w:p w14:paraId="073F5D00" w14:textId="77777777" w:rsidR="00A06CFA" w:rsidRDefault="00A06CFA" w:rsidP="0012553A">
      <w:pPr>
        <w:pStyle w:val="Styl3"/>
        <w:spacing w:after="0"/>
        <w:jc w:val="left"/>
        <w:rPr>
          <w:szCs w:val="22"/>
        </w:rPr>
      </w:pPr>
    </w:p>
    <w:p w14:paraId="771C763C" w14:textId="77777777" w:rsidR="00EE1BB5" w:rsidRPr="00A06CFA" w:rsidRDefault="00EE1BB5" w:rsidP="0012553A">
      <w:pPr>
        <w:pStyle w:val="Styl3"/>
        <w:spacing w:after="0"/>
        <w:jc w:val="left"/>
        <w:rPr>
          <w:szCs w:val="22"/>
        </w:rPr>
      </w:pPr>
      <w:r w:rsidRPr="00A06CFA">
        <w:rPr>
          <w:szCs w:val="22"/>
        </w:rPr>
        <w:t>Gravidita</w:t>
      </w:r>
    </w:p>
    <w:p w14:paraId="19F0D230" w14:textId="172F67A1" w:rsidR="00EE1BB5" w:rsidRPr="007E7FEE" w:rsidRDefault="00EE1BB5" w:rsidP="0012553A">
      <w:pPr>
        <w:pStyle w:val="Normlndobloku"/>
        <w:spacing w:after="0"/>
        <w:jc w:val="left"/>
        <w:rPr>
          <w:szCs w:val="22"/>
        </w:rPr>
      </w:pPr>
      <w:r w:rsidRPr="00C456E3">
        <w:rPr>
          <w:szCs w:val="22"/>
        </w:rPr>
        <w:t xml:space="preserve">Štúdie ukázali, že 40-krát vyššia plazmatická hladina ako je odporúčaná u ľudí, podávaná myšiam a potkanom vyvolala kostné malformácie. Ak sa liek podával myšiam, potkanom a králikom v nižšej dávke </w:t>
      </w:r>
      <w:r w:rsidRPr="00B84238">
        <w:rPr>
          <w:szCs w:val="22"/>
        </w:rPr>
        <w:t xml:space="preserve">(3-až 8-násobnej bežnej ľudskej dávky), žiadne malformácie plodov sa neobjavili. Zriedkavé sú prípady kongenitálnych abnormalít objavujúcich sa po intrauterinnom podaní </w:t>
      </w:r>
      <w:r w:rsidR="00D70FA9" w:rsidRPr="00B84238">
        <w:rPr>
          <w:szCs w:val="22"/>
        </w:rPr>
        <w:t xml:space="preserve">inhibítorov </w:t>
      </w:r>
      <w:r w:rsidRPr="00B84238">
        <w:rPr>
          <w:szCs w:val="22"/>
        </w:rPr>
        <w:t>HMG-CoA</w:t>
      </w:r>
      <w:r w:rsidR="00D70FA9">
        <w:rPr>
          <w:szCs w:val="22"/>
        </w:rPr>
        <w:t>-</w:t>
      </w:r>
      <w:r w:rsidRPr="00B84238">
        <w:rPr>
          <w:szCs w:val="22"/>
        </w:rPr>
        <w:t>reduktáz</w:t>
      </w:r>
      <w:r w:rsidR="00D70FA9">
        <w:rPr>
          <w:szCs w:val="22"/>
        </w:rPr>
        <w:t>y</w:t>
      </w:r>
      <w:r w:rsidRPr="00B84238">
        <w:rPr>
          <w:szCs w:val="22"/>
        </w:rPr>
        <w:t>. Je známy prípad závažných telesných kongenitálnych d</w:t>
      </w:r>
      <w:r w:rsidRPr="0003345E">
        <w:rPr>
          <w:szCs w:val="22"/>
        </w:rPr>
        <w:t>eformít, tracheoezofageálnej fistuly a análnej atrézie (Vaterova asociácia) u dieťaťa narodeného žene, ktorá užívala lovastatín a dextroamfetamín sulfát počas prvého trimestra gravidity.</w:t>
      </w:r>
    </w:p>
    <w:p w14:paraId="46BC2E9D" w14:textId="77777777" w:rsidR="00EE1BB5" w:rsidRDefault="00EE1BB5" w:rsidP="0012553A">
      <w:pPr>
        <w:pStyle w:val="Normlndobloku"/>
        <w:spacing w:after="0"/>
        <w:jc w:val="left"/>
        <w:rPr>
          <w:szCs w:val="22"/>
        </w:rPr>
      </w:pPr>
      <w:r w:rsidRPr="00B8198A">
        <w:rPr>
          <w:szCs w:val="22"/>
        </w:rPr>
        <w:t>Lovastatín sa môže podávať ženám v reprodukčnom veku, len ak je u týchto pacientok gravidita vysoko nepravdepodobná a sú informované o potenciálnom riziku. Ak žena počas liečby lovastatínom otehotnie, je nutné liek okamžite vysadiť a pacientka musí byť informovaná o možných rizikách účinku na plod.</w:t>
      </w:r>
    </w:p>
    <w:p w14:paraId="265ADF90" w14:textId="77777777" w:rsidR="00A06CFA" w:rsidRPr="00A06CFA" w:rsidRDefault="00A06CFA" w:rsidP="0012553A">
      <w:pPr>
        <w:pStyle w:val="Normlndobloku"/>
        <w:spacing w:after="0"/>
        <w:jc w:val="left"/>
        <w:rPr>
          <w:szCs w:val="22"/>
        </w:rPr>
      </w:pPr>
    </w:p>
    <w:p w14:paraId="3C551933" w14:textId="10A73A8C" w:rsidR="00EE1BB5" w:rsidRPr="00A06CFA" w:rsidRDefault="00A06CFA" w:rsidP="0012553A">
      <w:pPr>
        <w:pStyle w:val="Styl3"/>
        <w:spacing w:after="0"/>
        <w:jc w:val="left"/>
        <w:rPr>
          <w:szCs w:val="22"/>
        </w:rPr>
      </w:pPr>
      <w:r>
        <w:rPr>
          <w:szCs w:val="22"/>
        </w:rPr>
        <w:t>Dojčenie</w:t>
      </w:r>
    </w:p>
    <w:p w14:paraId="27B47D0A" w14:textId="09A0F29D" w:rsidR="00EE1BB5" w:rsidRDefault="00EE1BB5" w:rsidP="0012553A">
      <w:pPr>
        <w:pStyle w:val="Normlndobloku"/>
        <w:spacing w:after="0"/>
        <w:jc w:val="left"/>
        <w:rPr>
          <w:szCs w:val="22"/>
        </w:rPr>
      </w:pPr>
      <w:r w:rsidRPr="00A06CFA">
        <w:rPr>
          <w:szCs w:val="22"/>
        </w:rPr>
        <w:t xml:space="preserve">Nie je známe, či </w:t>
      </w:r>
      <w:r w:rsidR="00A06CFA" w:rsidRPr="008C27A5">
        <w:rPr>
          <w:szCs w:val="22"/>
        </w:rPr>
        <w:t>je</w:t>
      </w:r>
      <w:r w:rsidR="00A06CFA" w:rsidRPr="00A06CFA">
        <w:rPr>
          <w:szCs w:val="22"/>
        </w:rPr>
        <w:t xml:space="preserve"> </w:t>
      </w:r>
      <w:r w:rsidRPr="00A06CFA">
        <w:rPr>
          <w:szCs w:val="22"/>
        </w:rPr>
        <w:t xml:space="preserve">lovastatín vylučovaný </w:t>
      </w:r>
      <w:r w:rsidR="00A06CFA">
        <w:rPr>
          <w:szCs w:val="22"/>
        </w:rPr>
        <w:t xml:space="preserve">do </w:t>
      </w:r>
      <w:r w:rsidRPr="00A06CFA">
        <w:rPr>
          <w:szCs w:val="22"/>
        </w:rPr>
        <w:t>matersk</w:t>
      </w:r>
      <w:r w:rsidR="00A06CFA">
        <w:rPr>
          <w:szCs w:val="22"/>
        </w:rPr>
        <w:t>ého</w:t>
      </w:r>
      <w:r w:rsidRPr="00A06CFA">
        <w:rPr>
          <w:szCs w:val="22"/>
        </w:rPr>
        <w:t xml:space="preserve"> mliek</w:t>
      </w:r>
      <w:r w:rsidR="00A06CFA">
        <w:rPr>
          <w:szCs w:val="22"/>
        </w:rPr>
        <w:t>a</w:t>
      </w:r>
      <w:r w:rsidRPr="00A06CFA">
        <w:rPr>
          <w:szCs w:val="22"/>
        </w:rPr>
        <w:t>. Vzhľadom na možnosť závažných nežiaducich účinkov na dojčené deti, ženy užívajúce lovastatín musia prestať dojčiť.</w:t>
      </w:r>
    </w:p>
    <w:p w14:paraId="266B216F" w14:textId="77777777" w:rsidR="00A06CFA" w:rsidRPr="00A06CFA" w:rsidRDefault="00A06CFA" w:rsidP="0012553A">
      <w:pPr>
        <w:pStyle w:val="Normlndobloku"/>
        <w:spacing w:after="0"/>
        <w:jc w:val="left"/>
        <w:rPr>
          <w:szCs w:val="22"/>
        </w:rPr>
      </w:pPr>
    </w:p>
    <w:p w14:paraId="522DB55C" w14:textId="77777777" w:rsidR="00EE1BB5" w:rsidRPr="00A06CFA" w:rsidRDefault="00EE1BB5" w:rsidP="0012553A">
      <w:pPr>
        <w:pStyle w:val="Styl2"/>
        <w:spacing w:before="0" w:after="0"/>
      </w:pPr>
      <w:r w:rsidRPr="00A06CFA">
        <w:t>Ovplyvnenie schopnosti viesť vozidlá a obsluhovať stroje</w:t>
      </w:r>
    </w:p>
    <w:p w14:paraId="34FE99B1" w14:textId="77777777" w:rsidR="00A06CFA" w:rsidRDefault="00A06CFA" w:rsidP="0012553A">
      <w:pPr>
        <w:pStyle w:val="Normlndobloku"/>
        <w:spacing w:after="0"/>
        <w:jc w:val="left"/>
        <w:rPr>
          <w:szCs w:val="22"/>
        </w:rPr>
      </w:pPr>
    </w:p>
    <w:p w14:paraId="3E936443" w14:textId="1F3E44D1" w:rsidR="00EE1BB5" w:rsidRDefault="00112E30" w:rsidP="0012553A">
      <w:pPr>
        <w:pStyle w:val="Normlndobloku"/>
        <w:spacing w:after="0"/>
        <w:jc w:val="left"/>
        <w:rPr>
          <w:szCs w:val="22"/>
        </w:rPr>
      </w:pPr>
      <w:r>
        <w:rPr>
          <w:szCs w:val="22"/>
        </w:rPr>
        <w:t>MEDOSTATIN</w:t>
      </w:r>
      <w:r w:rsidRPr="00A06CFA">
        <w:rPr>
          <w:szCs w:val="22"/>
        </w:rPr>
        <w:t xml:space="preserve"> </w:t>
      </w:r>
      <w:r w:rsidR="00EE1BB5" w:rsidRPr="00A06CFA">
        <w:rPr>
          <w:szCs w:val="22"/>
        </w:rPr>
        <w:t>ne</w:t>
      </w:r>
      <w:r w:rsidR="00101087">
        <w:rPr>
          <w:szCs w:val="22"/>
        </w:rPr>
        <w:t>má žiadny</w:t>
      </w:r>
      <w:r>
        <w:rPr>
          <w:szCs w:val="22"/>
        </w:rPr>
        <w:t xml:space="preserve"> alebo má zanedbateľný</w:t>
      </w:r>
      <w:r w:rsidR="00101087">
        <w:rPr>
          <w:szCs w:val="22"/>
        </w:rPr>
        <w:t xml:space="preserve"> vplyv na</w:t>
      </w:r>
      <w:r w:rsidR="00EE1BB5" w:rsidRPr="00A06CFA">
        <w:rPr>
          <w:szCs w:val="22"/>
        </w:rPr>
        <w:t xml:space="preserve"> schopnosť viesť vozidlá a obsluhovať stroje</w:t>
      </w:r>
      <w:bookmarkStart w:id="0" w:name="_GoBack"/>
      <w:bookmarkEnd w:id="0"/>
      <w:r w:rsidR="00EE1BB5" w:rsidRPr="00A06CFA">
        <w:rPr>
          <w:szCs w:val="22"/>
        </w:rPr>
        <w:t>.</w:t>
      </w:r>
    </w:p>
    <w:p w14:paraId="34A7DA36" w14:textId="77777777" w:rsidR="00A06CFA" w:rsidRPr="00A06CFA" w:rsidRDefault="00A06CFA" w:rsidP="0012553A">
      <w:pPr>
        <w:pStyle w:val="Normlndobloku"/>
        <w:spacing w:after="0"/>
        <w:jc w:val="left"/>
        <w:rPr>
          <w:szCs w:val="22"/>
        </w:rPr>
      </w:pPr>
    </w:p>
    <w:p w14:paraId="377A3003" w14:textId="77777777" w:rsidR="00EE1BB5" w:rsidRPr="00A06CFA" w:rsidRDefault="00EE1BB5" w:rsidP="0012553A">
      <w:pPr>
        <w:pStyle w:val="Styl2"/>
        <w:spacing w:before="0" w:after="0"/>
      </w:pPr>
      <w:r w:rsidRPr="00A06CFA">
        <w:t>Nežiaduce účinky</w:t>
      </w:r>
    </w:p>
    <w:p w14:paraId="76EE74AA" w14:textId="77777777" w:rsidR="00A06CFA" w:rsidRDefault="00A06CFA" w:rsidP="0012553A">
      <w:pPr>
        <w:pStyle w:val="Normlndobloku"/>
        <w:spacing w:after="0"/>
        <w:jc w:val="left"/>
        <w:rPr>
          <w:szCs w:val="22"/>
        </w:rPr>
      </w:pPr>
    </w:p>
    <w:p w14:paraId="6590BC7A" w14:textId="77777777" w:rsidR="00EE1BB5" w:rsidRPr="00A06CFA" w:rsidRDefault="00EE1BB5" w:rsidP="0012553A">
      <w:pPr>
        <w:pStyle w:val="Normlndobloku"/>
        <w:spacing w:after="0"/>
        <w:jc w:val="left"/>
        <w:rPr>
          <w:szCs w:val="22"/>
        </w:rPr>
      </w:pPr>
      <w:r w:rsidRPr="00A06CFA">
        <w:rPr>
          <w:szCs w:val="22"/>
        </w:rPr>
        <w:t>Lovastatín sa všeobecne dobre toleruje. Nežiaduce reakcie sú zvyčajne mierne a prechodné.</w:t>
      </w:r>
    </w:p>
    <w:p w14:paraId="7C9B88E8" w14:textId="77777777" w:rsidR="00EE1BB5" w:rsidRDefault="00EE1BB5" w:rsidP="0012553A">
      <w:pPr>
        <w:pStyle w:val="Normlndobloku"/>
        <w:spacing w:after="0"/>
        <w:jc w:val="left"/>
        <w:rPr>
          <w:szCs w:val="22"/>
        </w:rPr>
      </w:pPr>
      <w:r w:rsidRPr="00C456E3">
        <w:rPr>
          <w:szCs w:val="22"/>
        </w:rPr>
        <w:t>Najčastejšie nežiaduce účinky, objavujúce sa s frekvenciou vyššou ako 1 % sú:</w:t>
      </w:r>
    </w:p>
    <w:p w14:paraId="4E331698" w14:textId="77777777" w:rsidR="00102457" w:rsidRPr="00B84238" w:rsidRDefault="00102457" w:rsidP="0012553A">
      <w:pPr>
        <w:pStyle w:val="Normlndobloku"/>
        <w:spacing w:after="0"/>
        <w:jc w:val="left"/>
        <w:rPr>
          <w:szCs w:val="22"/>
        </w:rPr>
      </w:pPr>
    </w:p>
    <w:p w14:paraId="75E01E65" w14:textId="77777777" w:rsidR="00EE1BB5" w:rsidRPr="00B84238" w:rsidRDefault="00EE1BB5" w:rsidP="0012553A">
      <w:pPr>
        <w:pStyle w:val="Styl3"/>
        <w:spacing w:after="0"/>
        <w:jc w:val="left"/>
        <w:rPr>
          <w:szCs w:val="22"/>
        </w:rPr>
      </w:pPr>
      <w:r w:rsidRPr="00B84238">
        <w:rPr>
          <w:szCs w:val="22"/>
        </w:rPr>
        <w:t>Poruchy gastrointestinálneho traktu</w:t>
      </w:r>
    </w:p>
    <w:p w14:paraId="31FAFB1C" w14:textId="32E2BF66" w:rsidR="00EE1BB5" w:rsidRDefault="00EE1BB5" w:rsidP="0012553A">
      <w:pPr>
        <w:pStyle w:val="Normlndobloku"/>
        <w:spacing w:after="0"/>
        <w:jc w:val="left"/>
        <w:rPr>
          <w:szCs w:val="22"/>
        </w:rPr>
      </w:pPr>
      <w:r w:rsidRPr="0003345E">
        <w:rPr>
          <w:szCs w:val="22"/>
        </w:rPr>
        <w:t>o</w:t>
      </w:r>
      <w:r w:rsidRPr="008D13C2">
        <w:rPr>
          <w:szCs w:val="22"/>
        </w:rPr>
        <w:t xml:space="preserve">bstipácia, dyspepsia, nadúvanie, bolesti/kŕče brucha, pálenie záhy, </w:t>
      </w:r>
      <w:r w:rsidR="00906D2E">
        <w:rPr>
          <w:szCs w:val="22"/>
        </w:rPr>
        <w:t>vraca</w:t>
      </w:r>
      <w:r w:rsidR="00906D2E" w:rsidRPr="008D13C2">
        <w:rPr>
          <w:szCs w:val="22"/>
        </w:rPr>
        <w:t>nie</w:t>
      </w:r>
    </w:p>
    <w:p w14:paraId="18F6A0B5" w14:textId="77777777" w:rsidR="00102457" w:rsidRPr="008D13C2" w:rsidRDefault="00102457" w:rsidP="0012553A">
      <w:pPr>
        <w:pStyle w:val="Normlndobloku"/>
        <w:spacing w:after="0"/>
        <w:jc w:val="left"/>
        <w:rPr>
          <w:szCs w:val="22"/>
        </w:rPr>
      </w:pPr>
    </w:p>
    <w:p w14:paraId="048022BD" w14:textId="77777777" w:rsidR="00EE1BB5" w:rsidRPr="007E7FEE" w:rsidRDefault="00EE1BB5" w:rsidP="0012553A">
      <w:pPr>
        <w:pStyle w:val="Styl3"/>
        <w:spacing w:after="0"/>
        <w:jc w:val="left"/>
        <w:rPr>
          <w:szCs w:val="22"/>
        </w:rPr>
      </w:pPr>
      <w:r w:rsidRPr="008D13C2">
        <w:rPr>
          <w:szCs w:val="22"/>
        </w:rPr>
        <w:t>Poruchy kostrovej a svalovej sústavy a spojivového tkaniva</w:t>
      </w:r>
    </w:p>
    <w:p w14:paraId="42C15DAA" w14:textId="77777777" w:rsidR="00EE1BB5" w:rsidRDefault="00EE1BB5" w:rsidP="0012553A">
      <w:pPr>
        <w:pStyle w:val="Normlndobloku"/>
        <w:spacing w:after="0"/>
        <w:jc w:val="left"/>
        <w:rPr>
          <w:szCs w:val="22"/>
        </w:rPr>
      </w:pPr>
      <w:r w:rsidRPr="00B8198A">
        <w:rPr>
          <w:szCs w:val="22"/>
        </w:rPr>
        <w:t>kŕče svalov, myalgia</w:t>
      </w:r>
    </w:p>
    <w:p w14:paraId="48801147" w14:textId="77777777" w:rsidR="00102457" w:rsidRPr="00B8198A" w:rsidRDefault="00102457" w:rsidP="0012553A">
      <w:pPr>
        <w:pStyle w:val="Normlndobloku"/>
        <w:spacing w:after="0"/>
        <w:jc w:val="left"/>
        <w:rPr>
          <w:szCs w:val="22"/>
        </w:rPr>
      </w:pPr>
    </w:p>
    <w:p w14:paraId="0F3314A8" w14:textId="77777777" w:rsidR="00EE1BB5" w:rsidRPr="00B8198A" w:rsidRDefault="00EE1BB5" w:rsidP="0012553A">
      <w:pPr>
        <w:pStyle w:val="Styl3"/>
        <w:spacing w:after="0"/>
        <w:jc w:val="left"/>
        <w:rPr>
          <w:szCs w:val="22"/>
        </w:rPr>
      </w:pPr>
      <w:r w:rsidRPr="00B8198A">
        <w:rPr>
          <w:szCs w:val="22"/>
        </w:rPr>
        <w:t>Poruchy nervového systému</w:t>
      </w:r>
    </w:p>
    <w:p w14:paraId="35AC38F7" w14:textId="77777777" w:rsidR="00EE1BB5" w:rsidRDefault="00EE1BB5" w:rsidP="0012553A">
      <w:pPr>
        <w:pStyle w:val="Normlndobloku"/>
        <w:spacing w:after="0"/>
        <w:jc w:val="left"/>
        <w:rPr>
          <w:szCs w:val="22"/>
        </w:rPr>
      </w:pPr>
      <w:r w:rsidRPr="00B8198A">
        <w:rPr>
          <w:szCs w:val="22"/>
        </w:rPr>
        <w:t>závraty, bolesti hlavy</w:t>
      </w:r>
    </w:p>
    <w:p w14:paraId="74239C3E" w14:textId="77777777" w:rsidR="00102457" w:rsidRPr="00B8198A" w:rsidRDefault="00102457" w:rsidP="0012553A">
      <w:pPr>
        <w:pStyle w:val="Normlndobloku"/>
        <w:spacing w:after="0"/>
        <w:jc w:val="left"/>
        <w:rPr>
          <w:szCs w:val="22"/>
        </w:rPr>
      </w:pPr>
    </w:p>
    <w:p w14:paraId="2B121D98" w14:textId="77777777" w:rsidR="00EE1BB5" w:rsidRPr="007E132A" w:rsidRDefault="00EE1BB5" w:rsidP="0012553A">
      <w:pPr>
        <w:pStyle w:val="Styl3"/>
        <w:spacing w:after="0"/>
        <w:jc w:val="left"/>
        <w:rPr>
          <w:szCs w:val="22"/>
        </w:rPr>
      </w:pPr>
      <w:r w:rsidRPr="00987F07">
        <w:rPr>
          <w:szCs w:val="22"/>
        </w:rPr>
        <w:t>P</w:t>
      </w:r>
      <w:r w:rsidRPr="00E239A2">
        <w:rPr>
          <w:szCs w:val="22"/>
        </w:rPr>
        <w:t>oruchy kože a podkožného tkaniva</w:t>
      </w:r>
    </w:p>
    <w:p w14:paraId="71061D18" w14:textId="77777777" w:rsidR="00EE1BB5" w:rsidRDefault="00EE1BB5" w:rsidP="0012553A">
      <w:pPr>
        <w:pStyle w:val="Normlndobloku"/>
        <w:spacing w:after="0"/>
        <w:jc w:val="left"/>
        <w:rPr>
          <w:szCs w:val="22"/>
        </w:rPr>
      </w:pPr>
      <w:r w:rsidRPr="004A5880">
        <w:rPr>
          <w:szCs w:val="22"/>
        </w:rPr>
        <w:t>sčervenanie, svrbenie</w:t>
      </w:r>
    </w:p>
    <w:p w14:paraId="152DF35B" w14:textId="77777777" w:rsidR="00102457" w:rsidRPr="004A5880" w:rsidRDefault="00102457" w:rsidP="0012553A">
      <w:pPr>
        <w:pStyle w:val="Normlndobloku"/>
        <w:spacing w:after="0"/>
        <w:jc w:val="left"/>
        <w:rPr>
          <w:szCs w:val="22"/>
        </w:rPr>
      </w:pPr>
    </w:p>
    <w:p w14:paraId="1297097F" w14:textId="77777777" w:rsidR="00EE1BB5" w:rsidRPr="007815AF" w:rsidRDefault="00EE1BB5" w:rsidP="0012553A">
      <w:pPr>
        <w:pStyle w:val="Styl3"/>
        <w:spacing w:after="0"/>
        <w:jc w:val="left"/>
        <w:rPr>
          <w:szCs w:val="22"/>
        </w:rPr>
      </w:pPr>
      <w:r w:rsidRPr="007815AF">
        <w:rPr>
          <w:szCs w:val="22"/>
        </w:rPr>
        <w:t>Poruchy oka</w:t>
      </w:r>
    </w:p>
    <w:p w14:paraId="475416A4" w14:textId="3FD56BBE" w:rsidR="00EE1BB5" w:rsidRDefault="00EE1BB5" w:rsidP="0012553A">
      <w:pPr>
        <w:pStyle w:val="Normlndobloku"/>
        <w:spacing w:after="0"/>
        <w:jc w:val="left"/>
        <w:rPr>
          <w:szCs w:val="22"/>
        </w:rPr>
      </w:pPr>
      <w:r w:rsidRPr="002034D3">
        <w:rPr>
          <w:szCs w:val="22"/>
        </w:rPr>
        <w:t>rozmazané videnie</w:t>
      </w:r>
    </w:p>
    <w:p w14:paraId="1EDDB537" w14:textId="77777777" w:rsidR="00102457" w:rsidRPr="002034D3" w:rsidRDefault="00102457" w:rsidP="0012553A">
      <w:pPr>
        <w:pStyle w:val="Normlndobloku"/>
        <w:spacing w:after="0"/>
        <w:jc w:val="left"/>
        <w:rPr>
          <w:szCs w:val="22"/>
        </w:rPr>
      </w:pPr>
    </w:p>
    <w:p w14:paraId="7FF572AE" w14:textId="77777777" w:rsidR="00EE1BB5" w:rsidRPr="004A59F9" w:rsidRDefault="00EE1BB5" w:rsidP="0012553A">
      <w:pPr>
        <w:pStyle w:val="Styl3"/>
        <w:spacing w:after="0"/>
        <w:jc w:val="left"/>
        <w:rPr>
          <w:szCs w:val="22"/>
        </w:rPr>
      </w:pPr>
      <w:r w:rsidRPr="004462EA">
        <w:rPr>
          <w:szCs w:val="22"/>
        </w:rPr>
        <w:t>Poruchy metabolizmu a výživy</w:t>
      </w:r>
    </w:p>
    <w:p w14:paraId="063D8D01" w14:textId="77777777" w:rsidR="00EE1BB5" w:rsidRDefault="00EE1BB5" w:rsidP="0012553A">
      <w:pPr>
        <w:pStyle w:val="Normlndobloku"/>
        <w:spacing w:after="0"/>
        <w:jc w:val="left"/>
        <w:rPr>
          <w:szCs w:val="22"/>
        </w:rPr>
      </w:pPr>
      <w:r w:rsidRPr="00B0080F">
        <w:rPr>
          <w:szCs w:val="22"/>
        </w:rPr>
        <w:t>poruchy chuti</w:t>
      </w:r>
    </w:p>
    <w:p w14:paraId="03AD90C5" w14:textId="77777777" w:rsidR="00A06CFA" w:rsidRPr="00A06CFA" w:rsidRDefault="00A06CFA" w:rsidP="0012553A">
      <w:pPr>
        <w:pStyle w:val="Normlndobloku"/>
        <w:spacing w:after="0"/>
        <w:jc w:val="left"/>
        <w:rPr>
          <w:szCs w:val="22"/>
        </w:rPr>
      </w:pPr>
    </w:p>
    <w:p w14:paraId="0257025C" w14:textId="520365F8" w:rsidR="00EE1BB5" w:rsidRDefault="00EE1BB5" w:rsidP="0012553A">
      <w:pPr>
        <w:pStyle w:val="Normlndobloku"/>
        <w:spacing w:after="0"/>
        <w:jc w:val="left"/>
        <w:rPr>
          <w:szCs w:val="22"/>
        </w:rPr>
      </w:pPr>
      <w:r w:rsidRPr="00C456E3">
        <w:rPr>
          <w:szCs w:val="22"/>
        </w:rPr>
        <w:t>Ostatné klinické nežiaduce účinky, ktoré sú asi alebo určite spôsobené liekom a vyskytujú sa veľmi zriedkavo (&lt;</w:t>
      </w:r>
      <w:r w:rsidR="00831368">
        <w:rPr>
          <w:szCs w:val="22"/>
        </w:rPr>
        <w:t> </w:t>
      </w:r>
      <w:r w:rsidRPr="00C456E3">
        <w:rPr>
          <w:szCs w:val="22"/>
        </w:rPr>
        <w:t>0,01 % prípadov) sú:</w:t>
      </w:r>
    </w:p>
    <w:p w14:paraId="11FF214F" w14:textId="77777777" w:rsidR="00A06CFA" w:rsidRPr="00A06CFA" w:rsidRDefault="00A06CFA" w:rsidP="0012553A">
      <w:pPr>
        <w:pStyle w:val="Normlndobloku"/>
        <w:spacing w:after="0"/>
        <w:jc w:val="left"/>
        <w:rPr>
          <w:szCs w:val="22"/>
        </w:rPr>
      </w:pPr>
    </w:p>
    <w:p w14:paraId="5F02303A" w14:textId="77777777" w:rsidR="00EE1BB5" w:rsidRPr="00C456E3" w:rsidRDefault="00EE1BB5" w:rsidP="0012553A">
      <w:pPr>
        <w:pStyle w:val="Styl3"/>
        <w:spacing w:after="0"/>
        <w:jc w:val="left"/>
        <w:rPr>
          <w:szCs w:val="22"/>
        </w:rPr>
      </w:pPr>
      <w:r w:rsidRPr="00A06CFA">
        <w:rPr>
          <w:szCs w:val="22"/>
        </w:rPr>
        <w:t>Celkové poruchy a reakcie v mieste podani</w:t>
      </w:r>
      <w:r w:rsidRPr="00C456E3">
        <w:rPr>
          <w:szCs w:val="22"/>
        </w:rPr>
        <w:t>a</w:t>
      </w:r>
    </w:p>
    <w:p w14:paraId="720112BC" w14:textId="77777777" w:rsidR="00EE1BB5" w:rsidRDefault="00EE1BB5" w:rsidP="0012553A">
      <w:pPr>
        <w:pStyle w:val="Normlndobloku"/>
        <w:spacing w:after="0"/>
        <w:jc w:val="left"/>
        <w:rPr>
          <w:szCs w:val="22"/>
        </w:rPr>
      </w:pPr>
      <w:r w:rsidRPr="00B84238">
        <w:rPr>
          <w:szCs w:val="22"/>
        </w:rPr>
        <w:t>bolesti hrudníka</w:t>
      </w:r>
    </w:p>
    <w:p w14:paraId="34978A78" w14:textId="77777777" w:rsidR="00A06CFA" w:rsidRPr="00A06CFA" w:rsidRDefault="00A06CFA" w:rsidP="0012553A">
      <w:pPr>
        <w:pStyle w:val="Normlndobloku"/>
        <w:spacing w:after="0"/>
        <w:jc w:val="left"/>
        <w:rPr>
          <w:szCs w:val="22"/>
        </w:rPr>
      </w:pPr>
    </w:p>
    <w:p w14:paraId="2E38BC32" w14:textId="77777777" w:rsidR="00EE1BB5" w:rsidRPr="00C456E3" w:rsidRDefault="00EE1BB5" w:rsidP="0012553A">
      <w:pPr>
        <w:pStyle w:val="Styl3"/>
        <w:spacing w:after="0"/>
        <w:jc w:val="left"/>
        <w:rPr>
          <w:szCs w:val="22"/>
        </w:rPr>
      </w:pPr>
      <w:r w:rsidRPr="00A06CFA">
        <w:rPr>
          <w:szCs w:val="22"/>
        </w:rPr>
        <w:t>Poruchy gastrointestinálneho traktu</w:t>
      </w:r>
    </w:p>
    <w:p w14:paraId="5198946B" w14:textId="77777777" w:rsidR="00EE1BB5" w:rsidRDefault="00EE1BB5" w:rsidP="0012553A">
      <w:pPr>
        <w:pStyle w:val="Normlndobloku"/>
        <w:spacing w:after="0"/>
        <w:jc w:val="left"/>
        <w:rPr>
          <w:szCs w:val="22"/>
        </w:rPr>
      </w:pPr>
      <w:r w:rsidRPr="00B84238">
        <w:rPr>
          <w:szCs w:val="22"/>
        </w:rPr>
        <w:t>regurgitácia kyseliny, sucho v ústach, vracanie</w:t>
      </w:r>
    </w:p>
    <w:p w14:paraId="6FFB2D20" w14:textId="77777777" w:rsidR="00A06CFA" w:rsidRPr="00A06CFA" w:rsidRDefault="00A06CFA" w:rsidP="0012553A">
      <w:pPr>
        <w:pStyle w:val="Normlndobloku"/>
        <w:spacing w:after="0"/>
        <w:jc w:val="left"/>
        <w:rPr>
          <w:szCs w:val="22"/>
        </w:rPr>
      </w:pPr>
    </w:p>
    <w:p w14:paraId="6582A6EF" w14:textId="77777777" w:rsidR="00EE1BB5" w:rsidRPr="00A06CFA" w:rsidRDefault="00EE1BB5" w:rsidP="0012553A">
      <w:pPr>
        <w:pStyle w:val="Styl3"/>
        <w:spacing w:after="0"/>
        <w:jc w:val="left"/>
        <w:rPr>
          <w:szCs w:val="22"/>
        </w:rPr>
      </w:pPr>
      <w:r w:rsidRPr="00A06CFA">
        <w:rPr>
          <w:szCs w:val="22"/>
        </w:rPr>
        <w:t>Poruchy kostrovej a svalovej sústavy a spojivového tkaniva</w:t>
      </w:r>
    </w:p>
    <w:p w14:paraId="604B0566" w14:textId="77777777" w:rsidR="00EE1BB5" w:rsidRPr="001B3E34" w:rsidRDefault="00EE1BB5" w:rsidP="0012553A">
      <w:pPr>
        <w:pStyle w:val="Normlndobloku"/>
        <w:spacing w:after="0"/>
        <w:jc w:val="left"/>
        <w:rPr>
          <w:szCs w:val="22"/>
        </w:rPr>
      </w:pPr>
      <w:r w:rsidRPr="00EC4A90">
        <w:rPr>
          <w:szCs w:val="22"/>
        </w:rPr>
        <w:t>b</w:t>
      </w:r>
      <w:r w:rsidRPr="001B3E34">
        <w:rPr>
          <w:szCs w:val="22"/>
        </w:rPr>
        <w:t>olesti nôh, bolesti ramena, bolesti kĺbov</w:t>
      </w:r>
    </w:p>
    <w:p w14:paraId="391B0D72" w14:textId="799340FF" w:rsidR="00EE1BB5" w:rsidRDefault="00EE1BB5" w:rsidP="0012553A">
      <w:pPr>
        <w:pStyle w:val="Default"/>
        <w:rPr>
          <w:sz w:val="22"/>
          <w:szCs w:val="22"/>
          <w:lang w:val="sk-SK"/>
        </w:rPr>
      </w:pPr>
      <w:r w:rsidRPr="0012553A">
        <w:rPr>
          <w:sz w:val="22"/>
          <w:szCs w:val="22"/>
          <w:lang w:val="sk-SK"/>
        </w:rPr>
        <w:t xml:space="preserve">Neznáma frekvencia: </w:t>
      </w:r>
      <w:r w:rsidR="001B3E34">
        <w:rPr>
          <w:sz w:val="22"/>
          <w:szCs w:val="22"/>
          <w:lang w:val="sk-SK"/>
        </w:rPr>
        <w:t>n</w:t>
      </w:r>
      <w:r w:rsidRPr="0012553A">
        <w:rPr>
          <w:sz w:val="22"/>
          <w:szCs w:val="22"/>
          <w:lang w:val="sk-SK"/>
        </w:rPr>
        <w:t>ekrotizujúca myopatia sprostredkovaná imunitným systémom (pozri časť 4.4)</w:t>
      </w:r>
      <w:r w:rsidRPr="00A06CFA">
        <w:rPr>
          <w:sz w:val="22"/>
          <w:szCs w:val="22"/>
          <w:lang w:val="sk-SK"/>
        </w:rPr>
        <w:t xml:space="preserve"> </w:t>
      </w:r>
    </w:p>
    <w:p w14:paraId="3C2EF1B3" w14:textId="77777777" w:rsidR="00A06CFA" w:rsidRPr="00A06CFA" w:rsidRDefault="00A06CFA" w:rsidP="0012553A">
      <w:pPr>
        <w:pStyle w:val="Default"/>
        <w:rPr>
          <w:sz w:val="22"/>
          <w:szCs w:val="22"/>
          <w:lang w:val="sk-SK"/>
        </w:rPr>
      </w:pPr>
    </w:p>
    <w:p w14:paraId="5DDF9DC3" w14:textId="77777777" w:rsidR="00EE1BB5" w:rsidRPr="00A06CFA" w:rsidRDefault="00EE1BB5" w:rsidP="0012553A">
      <w:pPr>
        <w:pStyle w:val="Styl3"/>
        <w:spacing w:after="0"/>
        <w:jc w:val="left"/>
        <w:rPr>
          <w:szCs w:val="22"/>
        </w:rPr>
      </w:pPr>
      <w:r w:rsidRPr="00A06CFA">
        <w:rPr>
          <w:szCs w:val="22"/>
        </w:rPr>
        <w:t>Poruchy nervového systému</w:t>
      </w:r>
    </w:p>
    <w:p w14:paraId="66B42964" w14:textId="77777777" w:rsidR="00EE1BB5" w:rsidRDefault="00EE1BB5" w:rsidP="0012553A">
      <w:pPr>
        <w:pStyle w:val="Normlndobloku"/>
        <w:spacing w:after="0"/>
        <w:jc w:val="left"/>
        <w:rPr>
          <w:szCs w:val="22"/>
        </w:rPr>
      </w:pPr>
      <w:r w:rsidRPr="00A06CFA">
        <w:rPr>
          <w:szCs w:val="22"/>
        </w:rPr>
        <w:t>nespavosť, parestézia</w:t>
      </w:r>
    </w:p>
    <w:p w14:paraId="0F97589B" w14:textId="77777777" w:rsidR="00A06CFA" w:rsidRPr="00A06CFA" w:rsidRDefault="00A06CFA" w:rsidP="0012553A">
      <w:pPr>
        <w:pStyle w:val="Normlndobloku"/>
        <w:spacing w:after="0"/>
        <w:jc w:val="left"/>
        <w:rPr>
          <w:szCs w:val="22"/>
        </w:rPr>
      </w:pPr>
    </w:p>
    <w:p w14:paraId="28A4BC38" w14:textId="77777777" w:rsidR="00EE1BB5" w:rsidRPr="00A06CFA" w:rsidRDefault="00EE1BB5" w:rsidP="0012553A">
      <w:pPr>
        <w:pStyle w:val="Styl3"/>
        <w:spacing w:after="0"/>
        <w:jc w:val="left"/>
        <w:rPr>
          <w:szCs w:val="22"/>
        </w:rPr>
      </w:pPr>
      <w:r w:rsidRPr="00A06CFA">
        <w:rPr>
          <w:szCs w:val="22"/>
        </w:rPr>
        <w:t>Poruchy kože a podkožného tkaniva</w:t>
      </w:r>
    </w:p>
    <w:p w14:paraId="52D5707B" w14:textId="77777777" w:rsidR="00EE1BB5" w:rsidRDefault="00EE1BB5" w:rsidP="0012553A">
      <w:pPr>
        <w:pStyle w:val="Normlndobloku"/>
        <w:spacing w:after="0"/>
        <w:jc w:val="left"/>
        <w:rPr>
          <w:szCs w:val="22"/>
        </w:rPr>
      </w:pPr>
      <w:r w:rsidRPr="00C456E3">
        <w:rPr>
          <w:szCs w:val="22"/>
        </w:rPr>
        <w:t>alopécia, svrbenie</w:t>
      </w:r>
    </w:p>
    <w:p w14:paraId="0A44E1CE" w14:textId="77777777" w:rsidR="00A06CFA" w:rsidRPr="00A06CFA" w:rsidRDefault="00A06CFA" w:rsidP="0012553A">
      <w:pPr>
        <w:pStyle w:val="Normlndobloku"/>
        <w:spacing w:after="0"/>
        <w:jc w:val="left"/>
        <w:rPr>
          <w:szCs w:val="22"/>
        </w:rPr>
      </w:pPr>
    </w:p>
    <w:p w14:paraId="61490B1A" w14:textId="77777777" w:rsidR="00EE1BB5" w:rsidRPr="00A06CFA" w:rsidRDefault="00EE1BB5" w:rsidP="0012553A">
      <w:pPr>
        <w:pStyle w:val="Styl3"/>
        <w:spacing w:after="0"/>
        <w:jc w:val="left"/>
        <w:rPr>
          <w:szCs w:val="22"/>
        </w:rPr>
      </w:pPr>
      <w:r w:rsidRPr="00A06CFA">
        <w:rPr>
          <w:szCs w:val="22"/>
        </w:rPr>
        <w:t>Poruchy oka</w:t>
      </w:r>
    </w:p>
    <w:p w14:paraId="4A3BDE47" w14:textId="77777777" w:rsidR="00EE1BB5" w:rsidRDefault="00EE1BB5" w:rsidP="0012553A">
      <w:pPr>
        <w:pStyle w:val="Normlndobloku"/>
        <w:spacing w:after="0"/>
        <w:jc w:val="left"/>
        <w:rPr>
          <w:szCs w:val="22"/>
        </w:rPr>
      </w:pPr>
      <w:r w:rsidRPr="00C456E3">
        <w:rPr>
          <w:szCs w:val="22"/>
        </w:rPr>
        <w:t>dráždenie očí</w:t>
      </w:r>
    </w:p>
    <w:p w14:paraId="11E145F1" w14:textId="77777777" w:rsidR="00A06CFA" w:rsidRPr="00A06CFA" w:rsidRDefault="00A06CFA" w:rsidP="0012553A">
      <w:pPr>
        <w:pStyle w:val="Normlndobloku"/>
        <w:spacing w:after="0"/>
        <w:jc w:val="left"/>
        <w:rPr>
          <w:szCs w:val="22"/>
        </w:rPr>
      </w:pPr>
    </w:p>
    <w:p w14:paraId="75CB30F7" w14:textId="77777777" w:rsidR="00EE1BB5" w:rsidRPr="00A06CFA" w:rsidRDefault="00EE1BB5" w:rsidP="0012553A">
      <w:pPr>
        <w:pStyle w:val="Styl3"/>
        <w:spacing w:after="0"/>
        <w:jc w:val="left"/>
        <w:rPr>
          <w:szCs w:val="22"/>
        </w:rPr>
      </w:pPr>
      <w:r w:rsidRPr="00A06CFA">
        <w:rPr>
          <w:szCs w:val="22"/>
        </w:rPr>
        <w:t>Súčasná liečba</w:t>
      </w:r>
    </w:p>
    <w:p w14:paraId="0F227882" w14:textId="213162D6" w:rsidR="00EE1BB5" w:rsidRPr="00B84238" w:rsidRDefault="00EE1BB5" w:rsidP="0012553A">
      <w:pPr>
        <w:pStyle w:val="Normlndobloku"/>
        <w:spacing w:after="0"/>
        <w:jc w:val="left"/>
        <w:rPr>
          <w:szCs w:val="22"/>
        </w:rPr>
      </w:pPr>
      <w:r w:rsidRPr="00C456E3">
        <w:rPr>
          <w:szCs w:val="22"/>
        </w:rPr>
        <w:t xml:space="preserve">Ak sa lovastatín podáva </w:t>
      </w:r>
      <w:r w:rsidR="00EC3D0D" w:rsidRPr="00C456E3">
        <w:rPr>
          <w:szCs w:val="22"/>
        </w:rPr>
        <w:t>sú</w:t>
      </w:r>
      <w:r w:rsidR="00EC3D0D">
        <w:rPr>
          <w:szCs w:val="22"/>
        </w:rPr>
        <w:t>bež</w:t>
      </w:r>
      <w:r w:rsidR="00EC3D0D" w:rsidRPr="00C456E3">
        <w:rPr>
          <w:szCs w:val="22"/>
        </w:rPr>
        <w:t xml:space="preserve">ne </w:t>
      </w:r>
      <w:r w:rsidRPr="00C456E3">
        <w:rPr>
          <w:szCs w:val="22"/>
        </w:rPr>
        <w:t>s inými hypolipidemikami (gemfibrozil, probucol a iné) alebo s imunosupresívami je zvýšené riziko vzniku myopatie (pozri časť 4.4).</w:t>
      </w:r>
    </w:p>
    <w:p w14:paraId="3875C19C" w14:textId="77777777" w:rsidR="00EE1BB5" w:rsidRDefault="00EE1BB5" w:rsidP="0012553A">
      <w:pPr>
        <w:pStyle w:val="Normlndobloku"/>
        <w:spacing w:after="0"/>
        <w:jc w:val="left"/>
        <w:rPr>
          <w:szCs w:val="22"/>
        </w:rPr>
      </w:pPr>
      <w:r w:rsidRPr="0003345E">
        <w:rPr>
          <w:szCs w:val="22"/>
        </w:rPr>
        <w:t>Uvedené nežiaduce účinky sú známe pri liečbe liekmi z tejto liekovej skupiny. Nie všetky nižšie uvedené nežiaduce úči</w:t>
      </w:r>
      <w:r w:rsidRPr="007E7FEE">
        <w:rPr>
          <w:szCs w:val="22"/>
        </w:rPr>
        <w:t>nky však súvisia s liečbou lovastatínom.</w:t>
      </w:r>
    </w:p>
    <w:p w14:paraId="46F3CBE1" w14:textId="77777777" w:rsidR="00A06CFA" w:rsidRPr="00A06CFA" w:rsidRDefault="00A06CFA" w:rsidP="0012553A">
      <w:pPr>
        <w:pStyle w:val="Normlndobloku"/>
        <w:spacing w:after="0"/>
        <w:jc w:val="left"/>
        <w:rPr>
          <w:szCs w:val="22"/>
        </w:rPr>
      </w:pPr>
    </w:p>
    <w:p w14:paraId="189141DC" w14:textId="77777777" w:rsidR="00EE1BB5" w:rsidRPr="00A06CFA" w:rsidRDefault="00EE1BB5" w:rsidP="0012553A">
      <w:pPr>
        <w:pStyle w:val="Styl3"/>
        <w:spacing w:after="0"/>
        <w:jc w:val="left"/>
        <w:rPr>
          <w:szCs w:val="22"/>
        </w:rPr>
      </w:pPr>
      <w:r w:rsidRPr="00A06CFA">
        <w:rPr>
          <w:szCs w:val="22"/>
        </w:rPr>
        <w:lastRenderedPageBreak/>
        <w:t>Poruchy kostrovej a svalovej sústavy a spojivového tkaniva</w:t>
      </w:r>
    </w:p>
    <w:p w14:paraId="3001E27A" w14:textId="77777777" w:rsidR="00A06CFA" w:rsidRDefault="00EE1BB5" w:rsidP="0012553A">
      <w:pPr>
        <w:pStyle w:val="Normlndobloku"/>
        <w:spacing w:after="0"/>
        <w:jc w:val="left"/>
        <w:rPr>
          <w:szCs w:val="22"/>
        </w:rPr>
      </w:pPr>
      <w:r w:rsidRPr="00C456E3">
        <w:rPr>
          <w:szCs w:val="22"/>
        </w:rPr>
        <w:t>svalové kŕče, bolesti svalov, myopatia, rabdomyolýza, bolesti kĺbov</w:t>
      </w:r>
    </w:p>
    <w:p w14:paraId="179853A4" w14:textId="7EA96A4E" w:rsidR="00EE1BB5" w:rsidRPr="00A06CFA" w:rsidRDefault="00EE1BB5" w:rsidP="0012553A">
      <w:pPr>
        <w:pStyle w:val="Normlndobloku"/>
        <w:spacing w:after="0"/>
        <w:jc w:val="left"/>
        <w:rPr>
          <w:szCs w:val="22"/>
        </w:rPr>
      </w:pPr>
    </w:p>
    <w:p w14:paraId="49CD6F54" w14:textId="77777777" w:rsidR="00EE1BB5" w:rsidRPr="00C456E3" w:rsidRDefault="00EE1BB5" w:rsidP="0012553A">
      <w:pPr>
        <w:pStyle w:val="Styl3"/>
        <w:spacing w:after="0"/>
        <w:jc w:val="left"/>
        <w:rPr>
          <w:szCs w:val="22"/>
        </w:rPr>
      </w:pPr>
      <w:r w:rsidRPr="00C456E3">
        <w:rPr>
          <w:szCs w:val="22"/>
        </w:rPr>
        <w:t>Poruchy nervového systému</w:t>
      </w:r>
    </w:p>
    <w:p w14:paraId="3A424B20" w14:textId="77777777" w:rsidR="00A06CFA" w:rsidRDefault="00EE1BB5" w:rsidP="0012553A">
      <w:pPr>
        <w:pStyle w:val="Normlndobloku"/>
        <w:spacing w:after="0"/>
        <w:jc w:val="left"/>
        <w:rPr>
          <w:szCs w:val="22"/>
        </w:rPr>
      </w:pPr>
      <w:r w:rsidRPr="00B84238">
        <w:rPr>
          <w:szCs w:val="22"/>
        </w:rPr>
        <w:t>dysfunkcie určitých kraniálnych nervov (zahŕňajú poruchy chuti, poškodenie extra-okulárnej pohyblivosti, tvárové parestézie), tras, závraty, vertigo, strata pamäte, periférne neuropatie, periférne nervové ochrnutie, strach, depresie, nespavosť</w:t>
      </w:r>
    </w:p>
    <w:p w14:paraId="6934BE8F" w14:textId="446025E0" w:rsidR="00EE1BB5" w:rsidRPr="00A06CFA" w:rsidRDefault="00EE1BB5" w:rsidP="0012553A">
      <w:pPr>
        <w:pStyle w:val="Normlndobloku"/>
        <w:spacing w:after="0"/>
        <w:jc w:val="left"/>
        <w:rPr>
          <w:szCs w:val="22"/>
        </w:rPr>
      </w:pPr>
    </w:p>
    <w:p w14:paraId="277F5402" w14:textId="77777777" w:rsidR="00EE1BB5" w:rsidRPr="00C456E3" w:rsidRDefault="00EE1BB5" w:rsidP="0012553A">
      <w:pPr>
        <w:pStyle w:val="Styl3"/>
        <w:spacing w:after="0"/>
        <w:jc w:val="left"/>
        <w:rPr>
          <w:szCs w:val="22"/>
        </w:rPr>
      </w:pPr>
      <w:r w:rsidRPr="00C456E3">
        <w:rPr>
          <w:szCs w:val="22"/>
        </w:rPr>
        <w:t>Hypersenzitívne reakcie</w:t>
      </w:r>
    </w:p>
    <w:p w14:paraId="5AC6A552" w14:textId="77777777" w:rsidR="00EE1BB5" w:rsidRDefault="00EE1BB5" w:rsidP="0012553A">
      <w:pPr>
        <w:pStyle w:val="Normlndobloku"/>
        <w:spacing w:after="0"/>
        <w:jc w:val="left"/>
        <w:rPr>
          <w:szCs w:val="22"/>
        </w:rPr>
      </w:pPr>
      <w:r w:rsidRPr="00B84238">
        <w:rPr>
          <w:szCs w:val="22"/>
        </w:rPr>
        <w:t>zrejmý hypersenzitívny syndróm sa vyskytuje zriedkavo a zahŕňa jednu alebo viac z nasledujúcich charakteristík: anafylaxia, angioedém, lupus erythematosus, reumatická bolesť svalov, vaskulitídy, purpura, trombocytopénia, leukopénia, hemolytická anémia, pozitivita ANA, zvýšenie ESR, eozinofília, artr</w:t>
      </w:r>
      <w:r w:rsidRPr="00941F56">
        <w:rPr>
          <w:szCs w:val="22"/>
        </w:rPr>
        <w:t>itída, artralgia, urtikária, asténia, fotosenzitivita, horúčka, prechladnutie, sčervenanie, malátnosť, dyspnoe, toxická epidermálna nekrolýza, multiformný erytém vrátane Stevensovho-Johnsonovho syndrómu.</w:t>
      </w:r>
    </w:p>
    <w:p w14:paraId="2DD407F7" w14:textId="77777777" w:rsidR="00A06CFA" w:rsidRPr="00A06CFA" w:rsidRDefault="00A06CFA" w:rsidP="0012553A">
      <w:pPr>
        <w:pStyle w:val="Normlndobloku"/>
        <w:spacing w:after="0"/>
        <w:jc w:val="left"/>
        <w:rPr>
          <w:szCs w:val="22"/>
        </w:rPr>
      </w:pPr>
    </w:p>
    <w:p w14:paraId="11C11767" w14:textId="77777777" w:rsidR="00EE1BB5" w:rsidRPr="00A06CFA" w:rsidRDefault="00EE1BB5" w:rsidP="0012553A">
      <w:pPr>
        <w:pStyle w:val="Styl3"/>
        <w:spacing w:after="0"/>
        <w:jc w:val="left"/>
        <w:rPr>
          <w:szCs w:val="22"/>
        </w:rPr>
      </w:pPr>
      <w:r w:rsidRPr="00A06CFA">
        <w:rPr>
          <w:szCs w:val="22"/>
        </w:rPr>
        <w:t>Poruchy gastrointestinálneho traktu</w:t>
      </w:r>
    </w:p>
    <w:p w14:paraId="4673A108" w14:textId="252BF572" w:rsidR="00A06CFA" w:rsidRDefault="00EE1BB5" w:rsidP="0012553A">
      <w:pPr>
        <w:pStyle w:val="Normlndobloku"/>
        <w:spacing w:after="0"/>
        <w:jc w:val="left"/>
        <w:rPr>
          <w:szCs w:val="22"/>
        </w:rPr>
      </w:pPr>
      <w:r w:rsidRPr="00C456E3">
        <w:rPr>
          <w:szCs w:val="22"/>
        </w:rPr>
        <w:t>pankreatitída, hepatitída vrátane chronickej a akútnej hepatitídy, cholestatická žltačka, tukové zmeny v pečeni, zriedkavo cirhóza, fulminantná pečeňová nekróza a hepatóm, nechutenstvo a</w:t>
      </w:r>
      <w:r w:rsidR="00A06CFA">
        <w:rPr>
          <w:szCs w:val="22"/>
        </w:rPr>
        <w:t> </w:t>
      </w:r>
      <w:r w:rsidR="004B72B8">
        <w:rPr>
          <w:szCs w:val="22"/>
        </w:rPr>
        <w:t>vracanie</w:t>
      </w:r>
    </w:p>
    <w:p w14:paraId="37AB9160" w14:textId="2273E9D0" w:rsidR="00EE1BB5" w:rsidRPr="00A06CFA" w:rsidRDefault="00EE1BB5" w:rsidP="0012553A">
      <w:pPr>
        <w:pStyle w:val="Normlndobloku"/>
        <w:spacing w:after="0"/>
        <w:jc w:val="left"/>
        <w:rPr>
          <w:szCs w:val="22"/>
        </w:rPr>
      </w:pPr>
    </w:p>
    <w:p w14:paraId="4BF4EA3D" w14:textId="77777777" w:rsidR="00EE1BB5" w:rsidRPr="00A06CFA" w:rsidRDefault="00EE1BB5" w:rsidP="0012553A">
      <w:pPr>
        <w:pStyle w:val="Styl3"/>
        <w:spacing w:after="0"/>
        <w:jc w:val="left"/>
        <w:rPr>
          <w:szCs w:val="22"/>
        </w:rPr>
      </w:pPr>
      <w:r w:rsidRPr="00A06CFA">
        <w:rPr>
          <w:szCs w:val="22"/>
        </w:rPr>
        <w:t>Poruchy kože a podkožného tkaniva</w:t>
      </w:r>
    </w:p>
    <w:p w14:paraId="7A635851" w14:textId="53DD8A68" w:rsidR="00A06CFA" w:rsidRDefault="00EE1BB5" w:rsidP="0012553A">
      <w:pPr>
        <w:pStyle w:val="Normlndobloku"/>
        <w:spacing w:after="0"/>
        <w:jc w:val="left"/>
        <w:rPr>
          <w:szCs w:val="22"/>
        </w:rPr>
      </w:pPr>
      <w:r w:rsidRPr="00C456E3">
        <w:rPr>
          <w:szCs w:val="22"/>
        </w:rPr>
        <w:t>alopécia, svrbenie. Sú známe rôzne kožné zmeny (napr. noduly, zmeny farby, suchosť kože/slizničných membrán, zmeny vlasov/nechtov)</w:t>
      </w:r>
    </w:p>
    <w:p w14:paraId="0DCB0240" w14:textId="75139A4F" w:rsidR="00EE1BB5" w:rsidRPr="00A06CFA" w:rsidRDefault="00EE1BB5" w:rsidP="0012553A">
      <w:pPr>
        <w:pStyle w:val="Normlndobloku"/>
        <w:spacing w:after="0"/>
        <w:jc w:val="left"/>
        <w:rPr>
          <w:szCs w:val="22"/>
        </w:rPr>
      </w:pPr>
    </w:p>
    <w:p w14:paraId="40220DCB" w14:textId="77777777" w:rsidR="00EE1BB5" w:rsidRPr="00A06CFA" w:rsidRDefault="00EE1BB5" w:rsidP="0012553A">
      <w:pPr>
        <w:pStyle w:val="Styl3"/>
        <w:spacing w:after="0"/>
        <w:jc w:val="left"/>
        <w:rPr>
          <w:szCs w:val="22"/>
        </w:rPr>
      </w:pPr>
      <w:r w:rsidRPr="00A06CFA">
        <w:rPr>
          <w:szCs w:val="22"/>
        </w:rPr>
        <w:t>Poruchy reprodukčného systému a prsníkov</w:t>
      </w:r>
    </w:p>
    <w:p w14:paraId="7577F597" w14:textId="77777777" w:rsidR="00EE1BB5" w:rsidRDefault="00EE1BB5" w:rsidP="0012553A">
      <w:pPr>
        <w:pStyle w:val="Normlndobloku"/>
        <w:spacing w:after="0"/>
        <w:jc w:val="left"/>
        <w:rPr>
          <w:szCs w:val="22"/>
        </w:rPr>
      </w:pPr>
      <w:r w:rsidRPr="00C456E3">
        <w:rPr>
          <w:szCs w:val="22"/>
        </w:rPr>
        <w:t>gynekomastia, strata libida, erektilná dysfunkcia</w:t>
      </w:r>
    </w:p>
    <w:p w14:paraId="1017C167" w14:textId="77777777" w:rsidR="00A06CFA" w:rsidRPr="00A06CFA" w:rsidRDefault="00A06CFA" w:rsidP="0012553A">
      <w:pPr>
        <w:pStyle w:val="Normlndobloku"/>
        <w:spacing w:after="0"/>
        <w:jc w:val="left"/>
        <w:rPr>
          <w:szCs w:val="22"/>
        </w:rPr>
      </w:pPr>
    </w:p>
    <w:p w14:paraId="1615A1B0" w14:textId="77777777" w:rsidR="00EE1BB5" w:rsidRPr="00A06CFA" w:rsidRDefault="00EE1BB5" w:rsidP="0012553A">
      <w:pPr>
        <w:pStyle w:val="Styl3"/>
        <w:spacing w:after="0"/>
        <w:jc w:val="left"/>
        <w:rPr>
          <w:szCs w:val="22"/>
        </w:rPr>
      </w:pPr>
      <w:r w:rsidRPr="00A06CFA">
        <w:rPr>
          <w:szCs w:val="22"/>
        </w:rPr>
        <w:t>Poruchy oka</w:t>
      </w:r>
    </w:p>
    <w:p w14:paraId="56E88BEB" w14:textId="77777777" w:rsidR="00EE1BB5" w:rsidRDefault="00EE1BB5" w:rsidP="0012553A">
      <w:pPr>
        <w:pStyle w:val="Normlndobloku"/>
        <w:spacing w:after="0"/>
        <w:jc w:val="left"/>
        <w:rPr>
          <w:szCs w:val="22"/>
        </w:rPr>
      </w:pPr>
      <w:r w:rsidRPr="00C456E3">
        <w:rPr>
          <w:szCs w:val="22"/>
        </w:rPr>
        <w:t>progresia katarakty (opacity šošovky), oftalmoplégia</w:t>
      </w:r>
    </w:p>
    <w:p w14:paraId="0F4974F0" w14:textId="77777777" w:rsidR="00A06CFA" w:rsidRPr="00A06CFA" w:rsidRDefault="00A06CFA" w:rsidP="0012553A">
      <w:pPr>
        <w:pStyle w:val="Normlndobloku"/>
        <w:spacing w:after="0"/>
        <w:jc w:val="left"/>
        <w:rPr>
          <w:szCs w:val="22"/>
        </w:rPr>
      </w:pPr>
    </w:p>
    <w:p w14:paraId="324C8BF1" w14:textId="77777777" w:rsidR="00EE1BB5" w:rsidRPr="00A06CFA" w:rsidRDefault="00EE1BB5" w:rsidP="0012553A">
      <w:pPr>
        <w:pStyle w:val="Styl3"/>
        <w:spacing w:after="0"/>
        <w:jc w:val="left"/>
        <w:rPr>
          <w:szCs w:val="22"/>
        </w:rPr>
      </w:pPr>
      <w:r w:rsidRPr="00A06CFA">
        <w:rPr>
          <w:szCs w:val="22"/>
        </w:rPr>
        <w:t>Laboratórne a funkčné vyšetrenia</w:t>
      </w:r>
    </w:p>
    <w:p w14:paraId="10275AEE" w14:textId="77777777" w:rsidR="00A06CFA" w:rsidRDefault="00EE1BB5" w:rsidP="0012553A">
      <w:pPr>
        <w:pStyle w:val="Normlndobloku"/>
        <w:spacing w:after="0"/>
        <w:jc w:val="left"/>
        <w:rPr>
          <w:szCs w:val="22"/>
        </w:rPr>
      </w:pPr>
      <w:r w:rsidRPr="00C456E3">
        <w:rPr>
          <w:szCs w:val="22"/>
        </w:rPr>
        <w:t>zvýšenie hladín transamináz, alkalickej fosfatázy, gama-glutaryl transpeptidázy a bilirubínu, poruchy funkcie štítnej žľazy</w:t>
      </w:r>
    </w:p>
    <w:p w14:paraId="3DA160A9" w14:textId="0C13C36F" w:rsidR="00EE1BB5" w:rsidRPr="00A06CFA" w:rsidRDefault="00EE1BB5" w:rsidP="0012553A">
      <w:pPr>
        <w:pStyle w:val="Normlndobloku"/>
        <w:spacing w:after="0"/>
        <w:jc w:val="left"/>
        <w:rPr>
          <w:szCs w:val="22"/>
        </w:rPr>
      </w:pPr>
    </w:p>
    <w:p w14:paraId="73061180" w14:textId="24EEDAE2" w:rsidR="00EE1BB5" w:rsidRPr="00A06CFA" w:rsidRDefault="00EE1BB5" w:rsidP="0012553A">
      <w:pPr>
        <w:pStyle w:val="Styl3"/>
        <w:spacing w:after="0"/>
        <w:jc w:val="left"/>
        <w:rPr>
          <w:szCs w:val="22"/>
        </w:rPr>
      </w:pPr>
      <w:r w:rsidRPr="00A06CFA">
        <w:rPr>
          <w:szCs w:val="22"/>
        </w:rPr>
        <w:t>Nasledujúce nežiaduce účinky boli hlásené v súvislosti s niektorými statínmi</w:t>
      </w:r>
      <w:r w:rsidR="00374300">
        <w:rPr>
          <w:szCs w:val="22"/>
        </w:rPr>
        <w:t>:</w:t>
      </w:r>
    </w:p>
    <w:p w14:paraId="4ADA6119" w14:textId="6D3D412E" w:rsidR="00EE1BB5" w:rsidRPr="00A06CFA" w:rsidRDefault="00553AE7" w:rsidP="0012553A">
      <w:pPr>
        <w:pStyle w:val="Normlndoblokusodrkami"/>
        <w:spacing w:after="0"/>
        <w:jc w:val="left"/>
        <w:rPr>
          <w:szCs w:val="22"/>
        </w:rPr>
      </w:pPr>
      <w:r w:rsidRPr="00A06CFA">
        <w:rPr>
          <w:szCs w:val="22"/>
        </w:rPr>
        <w:t>p</w:t>
      </w:r>
      <w:r w:rsidR="00EE1BB5" w:rsidRPr="00A06CFA">
        <w:rPr>
          <w:szCs w:val="22"/>
        </w:rPr>
        <w:t>oruchy spánku, vrátane insomnie a nočných môr</w:t>
      </w:r>
    </w:p>
    <w:p w14:paraId="36CBD0D4" w14:textId="61FA62F7" w:rsidR="00EE1BB5" w:rsidRPr="00FE1624" w:rsidRDefault="00553AE7" w:rsidP="0012553A">
      <w:pPr>
        <w:pStyle w:val="Normlndoblokusodrkami"/>
        <w:spacing w:after="0"/>
        <w:jc w:val="left"/>
        <w:rPr>
          <w:szCs w:val="22"/>
        </w:rPr>
      </w:pPr>
      <w:r w:rsidRPr="00A06CFA">
        <w:rPr>
          <w:szCs w:val="22"/>
        </w:rPr>
        <w:t>s</w:t>
      </w:r>
      <w:r w:rsidR="00EE1BB5" w:rsidRPr="00C456E3">
        <w:rPr>
          <w:szCs w:val="22"/>
        </w:rPr>
        <w:t>trata pamäti</w:t>
      </w:r>
    </w:p>
    <w:p w14:paraId="44171933" w14:textId="5DB3953D" w:rsidR="00EE1BB5" w:rsidRPr="00941F56" w:rsidRDefault="00553AE7" w:rsidP="0012553A">
      <w:pPr>
        <w:pStyle w:val="Normlndoblokusodrkami"/>
        <w:spacing w:after="0"/>
        <w:jc w:val="left"/>
        <w:rPr>
          <w:szCs w:val="22"/>
        </w:rPr>
      </w:pPr>
      <w:r w:rsidRPr="00B84238">
        <w:rPr>
          <w:szCs w:val="22"/>
        </w:rPr>
        <w:t>s</w:t>
      </w:r>
      <w:r w:rsidR="00EE1BB5" w:rsidRPr="00941F56">
        <w:rPr>
          <w:szCs w:val="22"/>
        </w:rPr>
        <w:t>exuálna dysfunkcia</w:t>
      </w:r>
    </w:p>
    <w:p w14:paraId="452E9E9B" w14:textId="4D713A7F" w:rsidR="00EE1BB5" w:rsidRPr="00941F56" w:rsidRDefault="00553AE7" w:rsidP="0012553A">
      <w:pPr>
        <w:pStyle w:val="Normlndoblokusodrkami"/>
        <w:spacing w:after="0"/>
        <w:jc w:val="left"/>
        <w:rPr>
          <w:szCs w:val="22"/>
        </w:rPr>
      </w:pPr>
      <w:r w:rsidRPr="00941F56">
        <w:rPr>
          <w:szCs w:val="22"/>
        </w:rPr>
        <w:t>d</w:t>
      </w:r>
      <w:r w:rsidR="00EE1BB5" w:rsidRPr="00941F56">
        <w:rPr>
          <w:szCs w:val="22"/>
        </w:rPr>
        <w:t>epresia</w:t>
      </w:r>
    </w:p>
    <w:p w14:paraId="28877B6C" w14:textId="0BDE0536" w:rsidR="00EE1BB5" w:rsidRPr="00941F56" w:rsidRDefault="00553AE7" w:rsidP="0012553A">
      <w:pPr>
        <w:pStyle w:val="Normlndoblokusodrkami"/>
        <w:spacing w:after="0"/>
        <w:jc w:val="left"/>
        <w:rPr>
          <w:szCs w:val="22"/>
          <w:lang w:eastAsia="zh-CN"/>
        </w:rPr>
      </w:pPr>
      <w:r w:rsidRPr="00941F56">
        <w:rPr>
          <w:szCs w:val="22"/>
        </w:rPr>
        <w:t>v</w:t>
      </w:r>
      <w:r w:rsidR="00EE1BB5" w:rsidRPr="00941F56">
        <w:rPr>
          <w:szCs w:val="22"/>
        </w:rPr>
        <w:t>ýnimočné prípady intersticiálneho ochorenia pľúc, najmä pri dlhodobej liečbe statínmi (pozri časť 4.4)</w:t>
      </w:r>
    </w:p>
    <w:p w14:paraId="7096B346" w14:textId="0101D105" w:rsidR="00EE1BB5" w:rsidRDefault="00553AE7" w:rsidP="0012553A">
      <w:pPr>
        <w:pStyle w:val="Normlndoblokusodrkami"/>
        <w:spacing w:after="0"/>
        <w:jc w:val="left"/>
        <w:rPr>
          <w:szCs w:val="22"/>
          <w:lang w:eastAsia="zh-CN"/>
        </w:rPr>
      </w:pPr>
      <w:r w:rsidRPr="00941F56">
        <w:rPr>
          <w:szCs w:val="22"/>
          <w:lang w:eastAsia="zh-CN"/>
        </w:rPr>
        <w:t>d</w:t>
      </w:r>
      <w:r w:rsidR="00EE1BB5" w:rsidRPr="00941F56">
        <w:rPr>
          <w:szCs w:val="22"/>
          <w:lang w:eastAsia="zh-CN"/>
        </w:rPr>
        <w:t>iabetes mellitus: Frekvencia závisí od prítomnosti alebo neprítomnosti rizikových faktorov (glykémia nalačno ≥ 5,6 mmol/l, BMI &gt; 30 kg/m</w:t>
      </w:r>
      <w:r w:rsidR="00EE1BB5" w:rsidRPr="0012553A">
        <w:rPr>
          <w:szCs w:val="22"/>
          <w:vertAlign w:val="superscript"/>
          <w:lang w:eastAsia="zh-CN"/>
        </w:rPr>
        <w:t>2</w:t>
      </w:r>
      <w:r w:rsidR="00EE1BB5" w:rsidRPr="00A06CFA">
        <w:rPr>
          <w:szCs w:val="22"/>
          <w:lang w:eastAsia="zh-CN"/>
        </w:rPr>
        <w:t xml:space="preserve">, zvýšená hladina triacylglycerolov, hypertenzia v anamnéze). </w:t>
      </w:r>
    </w:p>
    <w:p w14:paraId="5B4F66CB" w14:textId="77777777" w:rsidR="00A06CFA" w:rsidRPr="00A06CFA" w:rsidRDefault="00A06CFA" w:rsidP="0012553A">
      <w:pPr>
        <w:pStyle w:val="Normlndobloku"/>
        <w:spacing w:after="0"/>
        <w:jc w:val="left"/>
        <w:rPr>
          <w:lang w:eastAsia="zh-CN"/>
        </w:rPr>
      </w:pPr>
    </w:p>
    <w:p w14:paraId="60688AD9" w14:textId="77777777" w:rsidR="00EE1BB5" w:rsidRPr="0012553A" w:rsidRDefault="00EE1BB5" w:rsidP="0012553A">
      <w:pPr>
        <w:pStyle w:val="Normlndobloku"/>
        <w:spacing w:after="0"/>
        <w:jc w:val="left"/>
        <w:rPr>
          <w:szCs w:val="22"/>
          <w:u w:val="single"/>
        </w:rPr>
      </w:pPr>
      <w:r w:rsidRPr="0012553A">
        <w:rPr>
          <w:szCs w:val="22"/>
          <w:u w:val="single"/>
        </w:rPr>
        <w:t>Pediatrická populácia</w:t>
      </w:r>
    </w:p>
    <w:p w14:paraId="25A3A1F1" w14:textId="7E7392AB" w:rsidR="00EE1BB5" w:rsidRPr="0012553A" w:rsidRDefault="00EE1BB5" w:rsidP="0012553A">
      <w:pPr>
        <w:spacing w:line="240" w:lineRule="auto"/>
        <w:rPr>
          <w:lang w:eastAsia="sk-SK"/>
        </w:rPr>
      </w:pPr>
      <w:r w:rsidRPr="0012553A">
        <w:rPr>
          <w:lang w:eastAsia="sk-SK"/>
        </w:rPr>
        <w:t xml:space="preserve">Bezpečnosť a účinnosť lovastatínu (10, 20 a 40 mg denne) bola hodnotená v kontrolovaných klinických </w:t>
      </w:r>
      <w:r w:rsidR="00A43AD4">
        <w:rPr>
          <w:lang w:eastAsia="sk-SK"/>
        </w:rPr>
        <w:t>skúšania</w:t>
      </w:r>
      <w:r w:rsidRPr="0012553A">
        <w:rPr>
          <w:lang w:eastAsia="sk-SK"/>
        </w:rPr>
        <w:t>ch u 100 detí vo veku od 10 do</w:t>
      </w:r>
      <w:r w:rsidR="00073432">
        <w:rPr>
          <w:lang w:eastAsia="sk-SK"/>
        </w:rPr>
        <w:t xml:space="preserve"> </w:t>
      </w:r>
      <w:r w:rsidRPr="0012553A">
        <w:rPr>
          <w:lang w:eastAsia="sk-SK"/>
        </w:rPr>
        <w:t>17 rokov s heterozygotnou familiárnou hypercholesterolémiou počas 48 týždňov u </w:t>
      </w:r>
      <w:r w:rsidR="00371290">
        <w:rPr>
          <w:lang w:eastAsia="sk-SK"/>
        </w:rPr>
        <w:t>dospievajúci</w:t>
      </w:r>
      <w:r w:rsidRPr="0012553A">
        <w:rPr>
          <w:lang w:eastAsia="sk-SK"/>
        </w:rPr>
        <w:t xml:space="preserve">ch chlapcov a počas 24 týždňov u dievčat, u ktorých prebehlo menarche najmenej pred rokom. V tejto populácii sa neskúmali dávky vyššie ako 40 mg. </w:t>
      </w:r>
    </w:p>
    <w:p w14:paraId="11885EBD" w14:textId="32CE9365" w:rsidR="00EE1BB5" w:rsidRPr="0012553A" w:rsidRDefault="00EE1BB5" w:rsidP="0012553A">
      <w:pPr>
        <w:spacing w:line="240" w:lineRule="auto"/>
        <w:rPr>
          <w:lang w:eastAsia="sk-SK"/>
        </w:rPr>
      </w:pPr>
      <w:r w:rsidRPr="0012553A">
        <w:rPr>
          <w:lang w:eastAsia="sk-SK"/>
        </w:rPr>
        <w:t>Bezpečnostný profil lovastatínu zistený z týchto obmedzených kontrolovaných štúdií je vo všeobecnosti podobný bezpečnostnému profilu lovastatínu u dospelých; s výnimkou štatisticky významného zníženia hladín LH u </w:t>
      </w:r>
      <w:r w:rsidR="001739AC">
        <w:rPr>
          <w:lang w:eastAsia="sk-SK"/>
        </w:rPr>
        <w:t>dospievajúci</w:t>
      </w:r>
      <w:r w:rsidRPr="0012553A">
        <w:rPr>
          <w:lang w:eastAsia="sk-SK"/>
        </w:rPr>
        <w:t>ch dievčat liečených lovastatínom.</w:t>
      </w:r>
    </w:p>
    <w:p w14:paraId="463D6B79" w14:textId="0CBEF312" w:rsidR="00063283" w:rsidRDefault="00EE1BB5" w:rsidP="0012553A">
      <w:pPr>
        <w:spacing w:line="240" w:lineRule="auto"/>
        <w:rPr>
          <w:lang w:eastAsia="sk-SK"/>
        </w:rPr>
      </w:pPr>
      <w:r w:rsidRPr="0012553A">
        <w:rPr>
          <w:lang w:eastAsia="sk-SK"/>
        </w:rPr>
        <w:t xml:space="preserve">Nebol zistený účinok na </w:t>
      </w:r>
      <w:r w:rsidR="00535EE1" w:rsidRPr="00535EE1">
        <w:rPr>
          <w:lang w:eastAsia="sk-SK"/>
        </w:rPr>
        <w:t xml:space="preserve">pohlavné </w:t>
      </w:r>
      <w:r w:rsidR="00535EE1">
        <w:rPr>
          <w:lang w:eastAsia="sk-SK"/>
        </w:rPr>
        <w:t>do</w:t>
      </w:r>
      <w:r w:rsidRPr="0012553A">
        <w:rPr>
          <w:lang w:eastAsia="sk-SK"/>
        </w:rPr>
        <w:t>zr</w:t>
      </w:r>
      <w:r w:rsidR="00535EE1">
        <w:rPr>
          <w:lang w:eastAsia="sk-SK"/>
        </w:rPr>
        <w:t>i</w:t>
      </w:r>
      <w:r w:rsidRPr="0012553A">
        <w:rPr>
          <w:lang w:eastAsia="sk-SK"/>
        </w:rPr>
        <w:t>e</w:t>
      </w:r>
      <w:r w:rsidR="00535EE1">
        <w:rPr>
          <w:lang w:eastAsia="sk-SK"/>
        </w:rPr>
        <w:t>va</w:t>
      </w:r>
      <w:r w:rsidRPr="0012553A">
        <w:rPr>
          <w:lang w:eastAsia="sk-SK"/>
        </w:rPr>
        <w:t>nie u </w:t>
      </w:r>
      <w:r w:rsidR="00535EE1">
        <w:rPr>
          <w:lang w:eastAsia="sk-SK"/>
        </w:rPr>
        <w:t>dospievajúci</w:t>
      </w:r>
      <w:r w:rsidRPr="0012553A">
        <w:rPr>
          <w:lang w:eastAsia="sk-SK"/>
        </w:rPr>
        <w:t>ch chlapcov alebo na dĺžku menštruačného cyklu u dievčat (pozri čas</w:t>
      </w:r>
      <w:r w:rsidR="00053E9F">
        <w:rPr>
          <w:lang w:eastAsia="sk-SK"/>
        </w:rPr>
        <w:t>ti</w:t>
      </w:r>
      <w:r w:rsidRPr="0012553A">
        <w:rPr>
          <w:lang w:eastAsia="sk-SK"/>
        </w:rPr>
        <w:t xml:space="preserve"> 4.4 a 5.1).</w:t>
      </w:r>
    </w:p>
    <w:p w14:paraId="60BD5AC0" w14:textId="77777777" w:rsidR="00A06CFA" w:rsidRPr="00A06CFA" w:rsidRDefault="00A06CFA" w:rsidP="0012553A">
      <w:pPr>
        <w:spacing w:line="240" w:lineRule="auto"/>
        <w:rPr>
          <w:lang w:eastAsia="sk-SK"/>
        </w:rPr>
      </w:pPr>
    </w:p>
    <w:p w14:paraId="0221FABB" w14:textId="5C4B0CF8" w:rsidR="00063283" w:rsidRPr="0012553A" w:rsidRDefault="00063283" w:rsidP="0012553A">
      <w:pPr>
        <w:pStyle w:val="Normlndobloku"/>
        <w:spacing w:after="0"/>
        <w:jc w:val="left"/>
        <w:rPr>
          <w:szCs w:val="22"/>
          <w:u w:val="single"/>
        </w:rPr>
      </w:pPr>
      <w:r w:rsidRPr="0012553A">
        <w:rPr>
          <w:szCs w:val="22"/>
          <w:u w:val="single"/>
        </w:rPr>
        <w:t>Hlásenie podozrení na nežiaduce reakcie</w:t>
      </w:r>
    </w:p>
    <w:p w14:paraId="7BB8F87E" w14:textId="024BD0E7" w:rsidR="00063283" w:rsidRDefault="00063283" w:rsidP="0012553A">
      <w:pPr>
        <w:pStyle w:val="Normlndobloku"/>
        <w:spacing w:after="0"/>
        <w:jc w:val="left"/>
        <w:rPr>
          <w:szCs w:val="22"/>
        </w:rPr>
      </w:pPr>
      <w:r w:rsidRPr="00A06CFA">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616A26">
        <w:rPr>
          <w:szCs w:val="22"/>
        </w:rPr>
        <w:t>na</w:t>
      </w:r>
      <w:r w:rsidRPr="00A06CFA">
        <w:rPr>
          <w:szCs w:val="22"/>
        </w:rPr>
        <w:t xml:space="preserve"> </w:t>
      </w:r>
      <w:r w:rsidRPr="00A06CFA">
        <w:rPr>
          <w:szCs w:val="22"/>
          <w:highlight w:val="lightGray"/>
        </w:rPr>
        <w:t xml:space="preserve">národné </w:t>
      </w:r>
      <w:r w:rsidR="00616A26">
        <w:rPr>
          <w:szCs w:val="22"/>
          <w:highlight w:val="lightGray"/>
        </w:rPr>
        <w:t>centrum</w:t>
      </w:r>
      <w:r w:rsidRPr="00A06CFA">
        <w:rPr>
          <w:szCs w:val="22"/>
          <w:highlight w:val="lightGray"/>
        </w:rPr>
        <w:t xml:space="preserve"> hlásenia uvedené v </w:t>
      </w:r>
      <w:hyperlink r:id="rId7" w:history="1">
        <w:r w:rsidR="008511BB" w:rsidRPr="00A06CFA">
          <w:rPr>
            <w:rStyle w:val="Hypertextovprepojenie"/>
            <w:noProof/>
            <w:szCs w:val="22"/>
            <w:highlight w:val="lightGray"/>
          </w:rPr>
          <w:t>Prílohe V</w:t>
        </w:r>
      </w:hyperlink>
      <w:r w:rsidRPr="00A06CFA">
        <w:rPr>
          <w:szCs w:val="22"/>
        </w:rPr>
        <w:t>.</w:t>
      </w:r>
    </w:p>
    <w:p w14:paraId="08E7D72C" w14:textId="77777777" w:rsidR="00A06CFA" w:rsidRPr="00A06CFA" w:rsidRDefault="00A06CFA" w:rsidP="0012553A">
      <w:pPr>
        <w:pStyle w:val="Normlndobloku"/>
        <w:spacing w:after="0"/>
        <w:jc w:val="left"/>
        <w:rPr>
          <w:szCs w:val="22"/>
        </w:rPr>
      </w:pPr>
    </w:p>
    <w:p w14:paraId="250438FD" w14:textId="77777777" w:rsidR="00EE1BB5" w:rsidRPr="00A06CFA" w:rsidRDefault="00EE1BB5" w:rsidP="0012553A">
      <w:pPr>
        <w:pStyle w:val="Styl2"/>
        <w:spacing w:before="0" w:after="0"/>
      </w:pPr>
      <w:r w:rsidRPr="00A06CFA">
        <w:t>Predávkovanie</w:t>
      </w:r>
    </w:p>
    <w:p w14:paraId="413671ED" w14:textId="77777777" w:rsidR="00A06CFA" w:rsidRDefault="00A06CFA" w:rsidP="0012553A">
      <w:pPr>
        <w:pStyle w:val="Normlndobloku"/>
        <w:spacing w:after="0"/>
        <w:jc w:val="left"/>
        <w:rPr>
          <w:szCs w:val="22"/>
        </w:rPr>
      </w:pPr>
    </w:p>
    <w:p w14:paraId="2E0B16F5" w14:textId="73BFFC2C" w:rsidR="00EE1BB5" w:rsidRPr="00A06CFA" w:rsidRDefault="00EE1BB5" w:rsidP="0012553A">
      <w:pPr>
        <w:pStyle w:val="Normlndobloku"/>
        <w:spacing w:after="0"/>
        <w:jc w:val="left"/>
        <w:rPr>
          <w:szCs w:val="22"/>
        </w:rPr>
      </w:pPr>
      <w:r w:rsidRPr="00A06CFA">
        <w:rPr>
          <w:szCs w:val="22"/>
        </w:rPr>
        <w:t>Päť dobrovoľníkov (mužov) dostalo 200 mg lovastatínu v jednej dávke bez klinicky signifikantných nežiaducich vplyvov. Je známych niekoľko prípadov náhodného predávkovania. Pacienti nemali žiadne osobitné príznaky a všetci sa uzdravili bez následkov. Maximálna užitá dávka bola 5</w:t>
      </w:r>
      <w:r w:rsidR="001D0E34">
        <w:rPr>
          <w:szCs w:val="22"/>
        </w:rPr>
        <w:t xml:space="preserve"> </w:t>
      </w:r>
      <w:r w:rsidRPr="00A06CFA">
        <w:rPr>
          <w:szCs w:val="22"/>
        </w:rPr>
        <w:t>–</w:t>
      </w:r>
      <w:r w:rsidR="001D0E34">
        <w:rPr>
          <w:szCs w:val="22"/>
        </w:rPr>
        <w:t xml:space="preserve"> </w:t>
      </w:r>
      <w:r w:rsidRPr="00A06CFA">
        <w:rPr>
          <w:szCs w:val="22"/>
        </w:rPr>
        <w:t>6 g.</w:t>
      </w:r>
    </w:p>
    <w:p w14:paraId="7A7C6EB2" w14:textId="3199E96A" w:rsidR="00EE1BB5" w:rsidRDefault="00EE1BB5" w:rsidP="0012553A">
      <w:pPr>
        <w:pStyle w:val="Normlndobloku"/>
        <w:spacing w:after="0"/>
        <w:jc w:val="left"/>
        <w:rPr>
          <w:szCs w:val="22"/>
        </w:rPr>
      </w:pPr>
      <w:r w:rsidRPr="00A06CFA">
        <w:rPr>
          <w:szCs w:val="22"/>
        </w:rPr>
        <w:t xml:space="preserve">Nie je známe, či </w:t>
      </w:r>
      <w:r w:rsidR="001D0E34" w:rsidRPr="00A06CFA">
        <w:rPr>
          <w:szCs w:val="22"/>
        </w:rPr>
        <w:t xml:space="preserve">sa </w:t>
      </w:r>
      <w:r w:rsidRPr="00A06CFA">
        <w:rPr>
          <w:szCs w:val="22"/>
        </w:rPr>
        <w:t>lovastatín a jeho metabolity dajú odstrániť hemodialýzou.</w:t>
      </w:r>
    </w:p>
    <w:p w14:paraId="79D582C4" w14:textId="77777777" w:rsidR="00A06CFA" w:rsidRDefault="00A06CFA" w:rsidP="0012553A">
      <w:pPr>
        <w:pStyle w:val="Normlndobloku"/>
        <w:spacing w:after="0"/>
        <w:jc w:val="left"/>
        <w:rPr>
          <w:szCs w:val="22"/>
        </w:rPr>
      </w:pPr>
    </w:p>
    <w:p w14:paraId="0F0689F9" w14:textId="77777777" w:rsidR="00A06CFA" w:rsidRPr="00A06CFA" w:rsidRDefault="00A06CFA" w:rsidP="0012553A">
      <w:pPr>
        <w:pStyle w:val="Normlndobloku"/>
        <w:spacing w:after="0"/>
        <w:jc w:val="left"/>
        <w:rPr>
          <w:szCs w:val="22"/>
        </w:rPr>
      </w:pPr>
    </w:p>
    <w:p w14:paraId="12AF9DA0" w14:textId="77777777" w:rsidR="00EE1BB5" w:rsidRDefault="00EE1BB5" w:rsidP="0012553A">
      <w:pPr>
        <w:pStyle w:val="Styl1"/>
        <w:spacing w:before="0" w:after="0"/>
        <w:rPr>
          <w:szCs w:val="22"/>
          <w:lang w:val="sk-SK"/>
        </w:rPr>
      </w:pPr>
      <w:r w:rsidRPr="00A06CFA">
        <w:rPr>
          <w:szCs w:val="22"/>
          <w:lang w:val="sk-SK"/>
        </w:rPr>
        <w:t>Farmakologické vlastnosti</w:t>
      </w:r>
    </w:p>
    <w:p w14:paraId="6C289748" w14:textId="77777777" w:rsidR="00A06CFA" w:rsidRPr="00A06CFA" w:rsidRDefault="00A06CFA" w:rsidP="0012553A">
      <w:pPr>
        <w:pStyle w:val="Styl1"/>
        <w:numPr>
          <w:ilvl w:val="0"/>
          <w:numId w:val="0"/>
        </w:numPr>
        <w:spacing w:before="0" w:after="0"/>
        <w:rPr>
          <w:szCs w:val="22"/>
          <w:lang w:val="sk-SK"/>
        </w:rPr>
      </w:pPr>
    </w:p>
    <w:p w14:paraId="763EB972" w14:textId="77777777" w:rsidR="00EE1BB5" w:rsidRDefault="00EE1BB5" w:rsidP="0012553A">
      <w:pPr>
        <w:pStyle w:val="Styl2"/>
        <w:spacing w:before="0" w:after="0"/>
      </w:pPr>
      <w:r w:rsidRPr="00A06CFA">
        <w:t>Farmakodynamické vlastnosti</w:t>
      </w:r>
    </w:p>
    <w:p w14:paraId="6C40A894" w14:textId="77777777" w:rsidR="00A06CFA" w:rsidRPr="00A06CFA" w:rsidRDefault="00A06CFA" w:rsidP="0012553A">
      <w:pPr>
        <w:pStyle w:val="Styl2"/>
        <w:numPr>
          <w:ilvl w:val="0"/>
          <w:numId w:val="0"/>
        </w:numPr>
        <w:spacing w:before="0" w:after="0"/>
      </w:pPr>
    </w:p>
    <w:p w14:paraId="5F5D3EB4" w14:textId="789C4386" w:rsidR="00EE1BB5" w:rsidRPr="00A06CFA" w:rsidRDefault="00EE1BB5" w:rsidP="0012553A">
      <w:pPr>
        <w:pStyle w:val="Normlndobloku"/>
        <w:spacing w:after="0"/>
        <w:jc w:val="left"/>
        <w:rPr>
          <w:szCs w:val="22"/>
        </w:rPr>
      </w:pPr>
      <w:r w:rsidRPr="00A06CFA">
        <w:rPr>
          <w:szCs w:val="22"/>
        </w:rPr>
        <w:t xml:space="preserve">Farmakoterapeutická skupina: </w:t>
      </w:r>
      <w:r w:rsidR="004B2747" w:rsidRPr="00527E85">
        <w:rPr>
          <w:szCs w:val="22"/>
        </w:rPr>
        <w:t>hypolipidemiká, inhibítory HMG-CoA-reduktázy</w:t>
      </w:r>
    </w:p>
    <w:p w14:paraId="173B55A3" w14:textId="77777777" w:rsidR="00EE1BB5" w:rsidRDefault="00EE1BB5" w:rsidP="0012553A">
      <w:pPr>
        <w:pStyle w:val="Normlndobloku"/>
        <w:spacing w:after="0"/>
        <w:jc w:val="left"/>
        <w:rPr>
          <w:szCs w:val="22"/>
        </w:rPr>
      </w:pPr>
      <w:r w:rsidRPr="00A06CFA">
        <w:rPr>
          <w:szCs w:val="22"/>
        </w:rPr>
        <w:t>ATC kód: C10AA02</w:t>
      </w:r>
    </w:p>
    <w:p w14:paraId="079026B0" w14:textId="77777777" w:rsidR="00A06CFA" w:rsidRPr="00A06CFA" w:rsidRDefault="00A06CFA" w:rsidP="0012553A">
      <w:pPr>
        <w:pStyle w:val="Normlndobloku"/>
        <w:spacing w:after="0"/>
        <w:jc w:val="left"/>
        <w:rPr>
          <w:szCs w:val="22"/>
        </w:rPr>
      </w:pPr>
    </w:p>
    <w:p w14:paraId="5A510450" w14:textId="0898C8D5" w:rsidR="00EE1BB5" w:rsidRPr="00B84238" w:rsidRDefault="00EE1BB5" w:rsidP="0012553A">
      <w:pPr>
        <w:pStyle w:val="Normlndobloku"/>
        <w:spacing w:after="0"/>
        <w:jc w:val="left"/>
        <w:rPr>
          <w:szCs w:val="22"/>
        </w:rPr>
      </w:pPr>
      <w:r w:rsidRPr="00C456E3">
        <w:rPr>
          <w:szCs w:val="22"/>
        </w:rPr>
        <w:t>Lovastatín je liečivo znižujúce hladinu cholesterolu</w:t>
      </w:r>
      <w:r w:rsidR="000C4D70">
        <w:rPr>
          <w:szCs w:val="22"/>
        </w:rPr>
        <w:t>, je</w:t>
      </w:r>
      <w:r w:rsidRPr="00C456E3">
        <w:rPr>
          <w:szCs w:val="22"/>
        </w:rPr>
        <w:t xml:space="preserve"> izolovaný z druhu </w:t>
      </w:r>
      <w:r w:rsidRPr="0012553A">
        <w:rPr>
          <w:i/>
          <w:szCs w:val="22"/>
        </w:rPr>
        <w:t>Aspergillus terreus</w:t>
      </w:r>
      <w:r w:rsidRPr="00C456E3">
        <w:rPr>
          <w:szCs w:val="22"/>
        </w:rPr>
        <w:t>. Po perorálnom podaní, v podobe inaktívneho laktónu je hydrolyzovaný na odpovedajúcu beta-hydroxy kyslú formu. To je hlavný metabolit a inhibítor 3-hydroxy-3-metylglutaryl-koenzým A (HMG-CoA) reduktázy.</w:t>
      </w:r>
    </w:p>
    <w:p w14:paraId="711F5072" w14:textId="77777777" w:rsidR="00EE1BB5" w:rsidRPr="007E7FEE" w:rsidRDefault="00EE1BB5" w:rsidP="0012553A">
      <w:pPr>
        <w:pStyle w:val="Normlndobloku"/>
        <w:spacing w:after="0"/>
        <w:jc w:val="left"/>
        <w:rPr>
          <w:szCs w:val="22"/>
        </w:rPr>
      </w:pPr>
      <w:r w:rsidRPr="0003345E">
        <w:rPr>
          <w:szCs w:val="22"/>
        </w:rPr>
        <w:t xml:space="preserve">Tento enzým katalyzuje premenu HMG-CoA na </w:t>
      </w:r>
      <w:r w:rsidRPr="008D13C2">
        <w:rPr>
          <w:szCs w:val="22"/>
        </w:rPr>
        <w:t>mevalonát, ktorý ovplyvňuje rýchlosť biosyntézy cholesterolu.</w:t>
      </w:r>
    </w:p>
    <w:p w14:paraId="595E0805" w14:textId="6CDC88A3" w:rsidR="00EE1BB5" w:rsidRDefault="00EE1BB5" w:rsidP="0012553A">
      <w:pPr>
        <w:pStyle w:val="Normlndobloku"/>
        <w:spacing w:after="0"/>
        <w:jc w:val="left"/>
        <w:rPr>
          <w:szCs w:val="22"/>
        </w:rPr>
      </w:pPr>
      <w:r w:rsidRPr="00B8198A">
        <w:rPr>
          <w:szCs w:val="22"/>
        </w:rPr>
        <w:t>Ukázalo sa, že lovastatín redukuje aj normálnu aj zvýšenú hladinu LDL cholesterolu. LDL je tvorený z VLDL a je katabolizovaný predovšetkým vďaka vysokej afinite LDL receptorov. Mechanizmus znižovania hladiny LDL lovastatínom môže zah</w:t>
      </w:r>
      <w:r w:rsidR="000C4D70">
        <w:rPr>
          <w:szCs w:val="22"/>
        </w:rPr>
        <w:t>ŕ</w:t>
      </w:r>
      <w:r w:rsidRPr="00B8198A">
        <w:rPr>
          <w:szCs w:val="22"/>
        </w:rPr>
        <w:t xml:space="preserve">ňať obidva procesy: redukciu koncentrácie VLDL cholesterolu a indukciu LDL receptorov, čo vedie ku zníženiu produkcie alebo zvýšeniu katabolizmu LDL cholesterolu. Počas liečby lovastatínom tiež podstatne klesá apolipoproteín B. Pretože každá častica LDL obsahuje jednu molekulu apolipoproteínu B a malé množstvo apolipoproteínu B sa nachádza aj v iných lipoproteínoch, výsledkom je, že lovastatín nespôsobuje len stratu cholesterolu z LDL, ale tiež znižuje koncentráciu cirkulujúcich LDL častíc. Okrem toho lovastatín môže tiež zvýšiť kolísavé množstvo HDL cholesterolu a mierne redukovať VLDL cholesterol a plazmatické triglyceridy. Vplyv lovastatínu na Lp (A), fibrinogén a určité iné nezávislé biochemické rizikové markery </w:t>
      </w:r>
      <w:r w:rsidRPr="00987F07">
        <w:rPr>
          <w:szCs w:val="22"/>
        </w:rPr>
        <w:t>koronárneho srdcového ochorenia nie je známy.</w:t>
      </w:r>
    </w:p>
    <w:p w14:paraId="4028D739" w14:textId="77777777" w:rsidR="00A06CFA" w:rsidRPr="00A06CFA" w:rsidRDefault="00A06CFA" w:rsidP="0012553A">
      <w:pPr>
        <w:pStyle w:val="Normlndobloku"/>
        <w:spacing w:after="0"/>
        <w:jc w:val="left"/>
        <w:rPr>
          <w:szCs w:val="22"/>
        </w:rPr>
      </w:pPr>
    </w:p>
    <w:p w14:paraId="07668328" w14:textId="77777777" w:rsidR="00EE1BB5" w:rsidRPr="0012553A" w:rsidRDefault="00EE1BB5" w:rsidP="0012553A">
      <w:pPr>
        <w:pStyle w:val="Styl3"/>
        <w:spacing w:after="0"/>
        <w:jc w:val="left"/>
        <w:rPr>
          <w:szCs w:val="22"/>
        </w:rPr>
      </w:pPr>
      <w:r w:rsidRPr="0012553A">
        <w:rPr>
          <w:szCs w:val="22"/>
        </w:rPr>
        <w:t>Pediatrická populácia</w:t>
      </w:r>
    </w:p>
    <w:p w14:paraId="02C2591F" w14:textId="42659697" w:rsidR="00EE1BB5" w:rsidRPr="0012553A" w:rsidRDefault="00EE1BB5" w:rsidP="0012553A">
      <w:pPr>
        <w:pStyle w:val="Normlndobloku"/>
        <w:spacing w:after="0"/>
        <w:jc w:val="left"/>
        <w:rPr>
          <w:szCs w:val="22"/>
        </w:rPr>
      </w:pPr>
      <w:r w:rsidRPr="0012553A">
        <w:rPr>
          <w:szCs w:val="22"/>
        </w:rPr>
        <w:t>V randomizovanej, dvojito zaslepenej, placebom kontrolovanej štúdii bolo 132 chlapcov vo veku od 10 do 17 rokov s heterozygotnou familiárnou hypercholesterolémiou (</w:t>
      </w:r>
      <w:r w:rsidR="00B77B0A">
        <w:rPr>
          <w:szCs w:val="22"/>
        </w:rPr>
        <w:t>v</w:t>
      </w:r>
      <w:r w:rsidR="00C518B5">
        <w:rPr>
          <w:szCs w:val="22"/>
        </w:rPr>
        <w:t>ýc</w:t>
      </w:r>
      <w:r w:rsidR="00B77B0A">
        <w:rPr>
          <w:szCs w:val="22"/>
        </w:rPr>
        <w:t>hodiskov</w:t>
      </w:r>
      <w:r w:rsidRPr="0012553A">
        <w:rPr>
          <w:szCs w:val="22"/>
        </w:rPr>
        <w:t>é hladiny LDL-C 189</w:t>
      </w:r>
      <w:r w:rsidR="00B77B0A">
        <w:rPr>
          <w:szCs w:val="22"/>
        </w:rPr>
        <w:t xml:space="preserve"> – </w:t>
      </w:r>
      <w:r w:rsidRPr="0012553A">
        <w:rPr>
          <w:szCs w:val="22"/>
        </w:rPr>
        <w:t xml:space="preserve">500 mg/dl) randomizovaných do skupiny užívajúcej </w:t>
      </w:r>
      <w:r w:rsidR="00B77B0A" w:rsidRPr="000211CC">
        <w:rPr>
          <w:szCs w:val="22"/>
        </w:rPr>
        <w:t xml:space="preserve">počas 48 týždňov </w:t>
      </w:r>
      <w:r w:rsidRPr="0012553A">
        <w:rPr>
          <w:szCs w:val="22"/>
        </w:rPr>
        <w:t>lovastatín (n = 67) alebo placebo (n = 65). Lovastatín bol podávaný jedenkrát denne večer v dávke 10 mg počas prvých 8</w:t>
      </w:r>
      <w:r w:rsidR="00C518B5">
        <w:rPr>
          <w:szCs w:val="22"/>
        </w:rPr>
        <w:t> </w:t>
      </w:r>
      <w:r w:rsidRPr="0012553A">
        <w:rPr>
          <w:szCs w:val="22"/>
        </w:rPr>
        <w:t xml:space="preserve">týždňov, 20 mg počas nasledujúcich 8 týždňov a potom v dávke 40 mg. Lovastatín štatisticky významne znížil priemernú hodnotu </w:t>
      </w:r>
      <w:r w:rsidR="00C518B5">
        <w:rPr>
          <w:szCs w:val="22"/>
        </w:rPr>
        <w:t>východiskov</w:t>
      </w:r>
      <w:r w:rsidRPr="0012553A">
        <w:rPr>
          <w:szCs w:val="22"/>
        </w:rPr>
        <w:t>ého celkového cholesterolu o 19,3 %, priemernú hodnotu LDL-C o 24,2 % a priemernú hodnotu apolipoproteínu B o 21 %.</w:t>
      </w:r>
    </w:p>
    <w:p w14:paraId="74E1A797" w14:textId="6233B201" w:rsidR="00EE1BB5" w:rsidRPr="0012553A" w:rsidRDefault="00EE1BB5" w:rsidP="0012553A">
      <w:pPr>
        <w:pStyle w:val="Normlndobloku"/>
        <w:spacing w:after="0"/>
        <w:jc w:val="left"/>
        <w:rPr>
          <w:szCs w:val="22"/>
        </w:rPr>
      </w:pPr>
      <w:r w:rsidRPr="0012553A">
        <w:rPr>
          <w:szCs w:val="22"/>
        </w:rPr>
        <w:t>Podobné to bolo v ďalšej randomizovanej, dvojito zaslepenej, placebom kontrolovanej štúdii u</w:t>
      </w:r>
      <w:r w:rsidR="00261CD7">
        <w:rPr>
          <w:szCs w:val="22"/>
        </w:rPr>
        <w:t> </w:t>
      </w:r>
      <w:r w:rsidRPr="0012553A">
        <w:rPr>
          <w:szCs w:val="22"/>
        </w:rPr>
        <w:t>54</w:t>
      </w:r>
      <w:r w:rsidR="00261CD7">
        <w:rPr>
          <w:szCs w:val="22"/>
        </w:rPr>
        <w:t> </w:t>
      </w:r>
      <w:r w:rsidRPr="0012553A">
        <w:rPr>
          <w:szCs w:val="22"/>
        </w:rPr>
        <w:t>aspoň jeden rok post-menarcheálnych dievčat vo veku od 10 do 17 rokov s heterozygotnou familiárnou hypercholesterolémiou (</w:t>
      </w:r>
      <w:r w:rsidR="00261CD7">
        <w:rPr>
          <w:szCs w:val="22"/>
        </w:rPr>
        <w:t>východiskov</w:t>
      </w:r>
      <w:r w:rsidR="00261CD7" w:rsidRPr="009B38FB">
        <w:rPr>
          <w:szCs w:val="22"/>
        </w:rPr>
        <w:t>é</w:t>
      </w:r>
      <w:r w:rsidRPr="0012553A">
        <w:rPr>
          <w:szCs w:val="22"/>
        </w:rPr>
        <w:t xml:space="preserve"> hladiny LDL-C 160</w:t>
      </w:r>
      <w:r w:rsidR="00261CD7">
        <w:rPr>
          <w:szCs w:val="22"/>
        </w:rPr>
        <w:t xml:space="preserve"> – </w:t>
      </w:r>
      <w:r w:rsidRPr="0012553A">
        <w:rPr>
          <w:szCs w:val="22"/>
        </w:rPr>
        <w:t xml:space="preserve">400 mg/dl) randomizovaných do skupiny užívajúcej </w:t>
      </w:r>
      <w:r w:rsidR="00261CD7" w:rsidRPr="00E011BF">
        <w:rPr>
          <w:szCs w:val="22"/>
        </w:rPr>
        <w:t xml:space="preserve">počas 24 týždňov </w:t>
      </w:r>
      <w:r w:rsidRPr="0012553A">
        <w:rPr>
          <w:szCs w:val="22"/>
        </w:rPr>
        <w:t xml:space="preserve">lovastatín (n = 35) alebo placebo (n = 19). Lovastatín bol podávaný jedenkrát denne večer v dávke 20 mg počas prvých 4 týždňov a potom v dávke 40 mg. Lovastatín štatisticky významne znížil priemernú hodnotu </w:t>
      </w:r>
      <w:r w:rsidR="00AC380A">
        <w:rPr>
          <w:szCs w:val="22"/>
        </w:rPr>
        <w:t>východiskov</w:t>
      </w:r>
      <w:r w:rsidR="00AC380A" w:rsidRPr="009B38FB">
        <w:rPr>
          <w:szCs w:val="22"/>
        </w:rPr>
        <w:t>ého</w:t>
      </w:r>
      <w:r w:rsidRPr="0012553A">
        <w:rPr>
          <w:szCs w:val="22"/>
        </w:rPr>
        <w:t xml:space="preserve"> celkového cholesterolu o 22,4 %, priemernú hodnotu LDL-C o 29,2 %, priemernú hodnotu apolipoproteínu B o 24,4 % a priemernú hodnotu triglyceridov o 22,7 %.</w:t>
      </w:r>
    </w:p>
    <w:p w14:paraId="0FE747F1" w14:textId="77777777" w:rsidR="00EE1BB5" w:rsidRDefault="00EE1BB5" w:rsidP="0012553A">
      <w:pPr>
        <w:pStyle w:val="Normlndobloku"/>
        <w:spacing w:after="0"/>
        <w:jc w:val="left"/>
        <w:rPr>
          <w:szCs w:val="22"/>
        </w:rPr>
      </w:pPr>
      <w:r w:rsidRPr="0012553A">
        <w:rPr>
          <w:szCs w:val="22"/>
        </w:rPr>
        <w:t>Bezpečnosť a účinnosť dávok nad 40 mg denne nebola u detí sledovaná. Dlhodobá účinnosť liečby lovastatínom v detstve s cieľom znížiť morbiditu a mortalitu v dospelosti nebola stanovená.</w:t>
      </w:r>
    </w:p>
    <w:p w14:paraId="7B11A418" w14:textId="77777777" w:rsidR="00A06CFA" w:rsidRPr="00A06CFA" w:rsidRDefault="00A06CFA" w:rsidP="0012553A">
      <w:pPr>
        <w:pStyle w:val="Normlndobloku"/>
        <w:spacing w:after="0"/>
        <w:jc w:val="left"/>
        <w:rPr>
          <w:szCs w:val="22"/>
        </w:rPr>
      </w:pPr>
    </w:p>
    <w:p w14:paraId="36BFAB50" w14:textId="77777777" w:rsidR="00EE1BB5" w:rsidRPr="00A06CFA" w:rsidRDefault="00EE1BB5" w:rsidP="0012553A">
      <w:pPr>
        <w:pStyle w:val="Styl2"/>
        <w:spacing w:before="0" w:after="0"/>
      </w:pPr>
      <w:r w:rsidRPr="00A06CFA">
        <w:t>Farmakokinetické vlastnosti</w:t>
      </w:r>
    </w:p>
    <w:p w14:paraId="6ED13024" w14:textId="77777777" w:rsidR="00A06CFA" w:rsidRDefault="00A06CFA" w:rsidP="0012553A">
      <w:pPr>
        <w:pStyle w:val="Normlndobloku"/>
        <w:spacing w:after="0"/>
        <w:jc w:val="left"/>
        <w:rPr>
          <w:szCs w:val="22"/>
        </w:rPr>
      </w:pPr>
    </w:p>
    <w:p w14:paraId="721BEFD4" w14:textId="7440AAA6" w:rsidR="00EE1BB5" w:rsidRDefault="00EE1BB5" w:rsidP="0012553A">
      <w:pPr>
        <w:pStyle w:val="Normlndobloku"/>
        <w:spacing w:after="0"/>
        <w:jc w:val="left"/>
        <w:rPr>
          <w:szCs w:val="22"/>
        </w:rPr>
      </w:pPr>
      <w:r w:rsidRPr="00A06CFA">
        <w:rPr>
          <w:szCs w:val="22"/>
        </w:rPr>
        <w:t xml:space="preserve">Lovastatín je laktón, ktorý sa </w:t>
      </w:r>
      <w:r w:rsidRPr="0012553A">
        <w:rPr>
          <w:i/>
          <w:szCs w:val="22"/>
        </w:rPr>
        <w:t>in vivo</w:t>
      </w:r>
      <w:r w:rsidRPr="00A06CFA">
        <w:rPr>
          <w:szCs w:val="22"/>
        </w:rPr>
        <w:t xml:space="preserve"> rýchlo hydrolyzuje na odpovedajúcu beta-hydroxykyselinu, možný inhibítor HMG-CoA</w:t>
      </w:r>
      <w:r w:rsidR="00AF11E2">
        <w:rPr>
          <w:szCs w:val="22"/>
        </w:rPr>
        <w:t>-</w:t>
      </w:r>
      <w:r w:rsidRPr="00A06CFA">
        <w:rPr>
          <w:szCs w:val="22"/>
        </w:rPr>
        <w:t>reduktázy.</w:t>
      </w:r>
    </w:p>
    <w:p w14:paraId="6A30C5FE" w14:textId="77777777" w:rsidR="00A06CFA" w:rsidRPr="00A06CFA" w:rsidRDefault="00A06CFA" w:rsidP="0012553A">
      <w:pPr>
        <w:pStyle w:val="Normlndobloku"/>
        <w:spacing w:after="0"/>
        <w:jc w:val="left"/>
        <w:rPr>
          <w:szCs w:val="22"/>
        </w:rPr>
      </w:pPr>
    </w:p>
    <w:p w14:paraId="34CC9B11" w14:textId="77777777" w:rsidR="00EE1BB5" w:rsidRPr="00B8198A" w:rsidRDefault="00EE1BB5" w:rsidP="0012553A">
      <w:pPr>
        <w:pStyle w:val="Normlndobloku"/>
        <w:spacing w:after="0"/>
        <w:jc w:val="left"/>
        <w:rPr>
          <w:szCs w:val="22"/>
        </w:rPr>
      </w:pPr>
      <w:r w:rsidRPr="00A06CFA">
        <w:rPr>
          <w:szCs w:val="22"/>
        </w:rPr>
        <w:t xml:space="preserve">Pri sledovaní perorálne podaného označeného </w:t>
      </w:r>
      <w:smartTag w:uri="urn:schemas-microsoft-com:office:smarttags" w:element="metricconverter">
        <w:smartTagPr>
          <w:attr w:name="ProductID" w:val="14C"/>
        </w:smartTagPr>
        <w:r w:rsidRPr="00A06CFA">
          <w:rPr>
            <w:szCs w:val="22"/>
            <w:vertAlign w:val="superscript"/>
          </w:rPr>
          <w:t>14</w:t>
        </w:r>
        <w:r w:rsidRPr="00C456E3">
          <w:rPr>
            <w:szCs w:val="22"/>
          </w:rPr>
          <w:t>C</w:t>
        </w:r>
      </w:smartTag>
      <w:r w:rsidRPr="00C456E3">
        <w:rPr>
          <w:szCs w:val="22"/>
        </w:rPr>
        <w:t xml:space="preserve"> lovastatínu ľuďom, sa 10 % dávky vylúči močom a 83 % stolicou. Neskôr, následkom absorpcie rádioaktívne označených liekových ekvivalentov vylúčených žlčou (lovastatín + </w:t>
      </w:r>
      <w:smartTag w:uri="urn:schemas-microsoft-com:office:smarttags" w:element="metricconverter">
        <w:smartTagPr>
          <w:attr w:name="ProductID" w:val="14C"/>
        </w:smartTagPr>
        <w:r w:rsidRPr="00B84238">
          <w:rPr>
            <w:szCs w:val="22"/>
            <w:vertAlign w:val="superscript"/>
          </w:rPr>
          <w:t>14</w:t>
        </w:r>
        <w:r w:rsidRPr="00941F56">
          <w:rPr>
            <w:szCs w:val="22"/>
          </w:rPr>
          <w:t>C</w:t>
        </w:r>
      </w:smartTag>
      <w:r w:rsidRPr="00941F56">
        <w:rPr>
          <w:szCs w:val="22"/>
        </w:rPr>
        <w:t xml:space="preserve"> metabolity) dochádza o 2 hodiny k vrcholu a rýchlemu poklesu na asi 10 % vrcholovej hodnoty do</w:t>
      </w:r>
      <w:r w:rsidRPr="0003345E">
        <w:rPr>
          <w:szCs w:val="22"/>
        </w:rPr>
        <w:t xml:space="preserve"> 24 hodín po podaní. Absorpcia lovastatínu odvodená podľa intravenóznej porovnávacej dávky podávanej každému zo štyroch zvieracích druhov je okolo 30 % perorálnej dávky. V pokusoch so zvieratami, po perorálnom podaní mal lovastatín vysokú selektivitu a kon</w:t>
      </w:r>
      <w:r w:rsidRPr="007E7FEE">
        <w:rPr>
          <w:szCs w:val="22"/>
        </w:rPr>
        <w:t>centrovanie v pečeni, kde dosahoval podstatne vyššie hodnoty ako v iných tkanivách. Lovastatín prechádza výrazne predovšetkým pečeňou v mieste jeho primárneho pôsobenia s následnou sekréciou liekových ekvivalentov do žlče. Následkom výraznej pečeňovej extrakcie lovastatínu, dostupnosť lieku v cirkulácii je nízka a rôznorodá.</w:t>
      </w:r>
    </w:p>
    <w:p w14:paraId="2865A92E" w14:textId="77777777" w:rsidR="00EE1BB5" w:rsidRPr="00B8198A" w:rsidRDefault="00EE1BB5" w:rsidP="0012553A">
      <w:pPr>
        <w:pStyle w:val="Normlndobloku"/>
        <w:spacing w:after="0"/>
        <w:jc w:val="left"/>
        <w:rPr>
          <w:szCs w:val="22"/>
        </w:rPr>
      </w:pPr>
      <w:r w:rsidRPr="00B8198A">
        <w:rPr>
          <w:szCs w:val="22"/>
        </w:rPr>
        <w:t>V štúdii s jednotlivou dávkou u štyroch hypercholesterolemických pacientov sa zistilo, že menej ako 5 % perorálne podaného lovastatínu dosiahne cirkuláciu ako aktívny inhibítor. V štúdii, pri ktorej sa podávali tablety lovastatínu, bol variačný koeficient, založený na interpersonálnej variabilite, približne 40 % AUC celkovej inhibičnej aktivity v obehu.</w:t>
      </w:r>
    </w:p>
    <w:p w14:paraId="5F18008F" w14:textId="77777777" w:rsidR="00EE1BB5" w:rsidRPr="004A5880" w:rsidRDefault="00EE1BB5" w:rsidP="0012553A">
      <w:pPr>
        <w:pStyle w:val="Normlndobloku"/>
        <w:spacing w:after="0"/>
        <w:jc w:val="left"/>
        <w:rPr>
          <w:szCs w:val="22"/>
        </w:rPr>
      </w:pPr>
      <w:r w:rsidRPr="00987F07">
        <w:rPr>
          <w:szCs w:val="22"/>
        </w:rPr>
        <w:t>O</w:t>
      </w:r>
      <w:r w:rsidRPr="00E239A2">
        <w:rPr>
          <w:szCs w:val="22"/>
        </w:rPr>
        <w:t>bidve molekuly, lovastatín aj jeho metabolit beta-hydroxy-kyselina majú vysokú väzbo</w:t>
      </w:r>
      <w:r w:rsidRPr="007E132A">
        <w:rPr>
          <w:szCs w:val="22"/>
        </w:rPr>
        <w:t>vú afinitu na ľudské plazmatické proteíny (viac ako 95 %). Štúdie na zvieratách ukázali, že lovastatín prechádza hematoencefalickou</w:t>
      </w:r>
      <w:r w:rsidRPr="004A5880">
        <w:rPr>
          <w:szCs w:val="22"/>
        </w:rPr>
        <w:t xml:space="preserve"> aj placentárnou bariérou.</w:t>
      </w:r>
    </w:p>
    <w:p w14:paraId="36DA464A" w14:textId="6FDF9DC9" w:rsidR="00EE1BB5" w:rsidRPr="0018323F" w:rsidRDefault="00EE1BB5" w:rsidP="0012553A">
      <w:pPr>
        <w:pStyle w:val="Normlndobloku"/>
        <w:spacing w:after="0"/>
        <w:jc w:val="left"/>
        <w:rPr>
          <w:szCs w:val="22"/>
        </w:rPr>
      </w:pPr>
      <w:r w:rsidRPr="00186B2E">
        <w:rPr>
          <w:szCs w:val="22"/>
        </w:rPr>
        <w:t>Hlavné aktívne metabolity nachádzajúce sa v ľudskej plazme sú beta-hydroxy kyselina lovastatínu a</w:t>
      </w:r>
      <w:r w:rsidR="001A7FA7" w:rsidRPr="00F12165">
        <w:rPr>
          <w:szCs w:val="22"/>
        </w:rPr>
        <w:t> </w:t>
      </w:r>
      <w:r w:rsidRPr="00F12165">
        <w:rPr>
          <w:szCs w:val="22"/>
        </w:rPr>
        <w:t>jeho 6-hydroxy derivát a dva ďalšie metabolity. Vrchol plazmatickej koncentrácie obidvoch účinných a všetkých inhibítorov sa dosia</w:t>
      </w:r>
      <w:r w:rsidRPr="007815AF">
        <w:rPr>
          <w:szCs w:val="22"/>
        </w:rPr>
        <w:t xml:space="preserve">hne medzi </w:t>
      </w:r>
      <w:smartTag w:uri="urn:schemas-microsoft-com:office:smarttags" w:element="metricconverter">
        <w:smartTagPr>
          <w:attr w:name="ProductID" w:val="2 a"/>
        </w:smartTagPr>
        <w:r w:rsidRPr="007815AF">
          <w:rPr>
            <w:szCs w:val="22"/>
          </w:rPr>
          <w:t>2 a</w:t>
        </w:r>
      </w:smartTag>
      <w:r w:rsidRPr="007815AF">
        <w:rPr>
          <w:szCs w:val="22"/>
        </w:rPr>
        <w:t xml:space="preserve"> 4 hodinou od podania. Zatiaľ čo odporúčaná terapeutická dávka je 20 – 80 mg denne, linearita inhibičnej aktivity v obehu sa zistila štúdiou jednotlivej dávky podávaného lovastatínu v dávke od 60 do 120 mg. Pri podávaní raz denne sa stály stav</w:t>
      </w:r>
      <w:r w:rsidRPr="002034D3">
        <w:rPr>
          <w:szCs w:val="22"/>
        </w:rPr>
        <w:t xml:space="preserve"> plazmatickej koncentrácie všetkých inhibítorov dosiahne medzi druhým a tretím dňom podávania. Ak sa lovastatín užíval nalačno, plazmatické koncentrácie všetkých inhibítorov sú priemerne dvoj-trojnásobne vyššie ako tie, ktoré sa zistili po podaní lovastatí</w:t>
      </w:r>
      <w:r w:rsidRPr="0018323F">
        <w:rPr>
          <w:szCs w:val="22"/>
        </w:rPr>
        <w:t>nu hneď po štandardne podávanom jedle.</w:t>
      </w:r>
    </w:p>
    <w:p w14:paraId="6EC764A3" w14:textId="77777777" w:rsidR="00EE1BB5" w:rsidRDefault="00EE1BB5" w:rsidP="0012553A">
      <w:pPr>
        <w:pStyle w:val="Normlndobloku"/>
        <w:spacing w:after="0"/>
        <w:jc w:val="left"/>
        <w:rPr>
          <w:szCs w:val="22"/>
        </w:rPr>
      </w:pPr>
      <w:r w:rsidRPr="004462EA">
        <w:rPr>
          <w:szCs w:val="22"/>
        </w:rPr>
        <w:t>U pacientov so závažnou obličkovou nedostatočnosťou bola plazmatická koncentrácia všetkých inhibítorov po jednotlivej dávke lovastatínu približne dvojnásobne vyššia ako u zdravých dobrovoľníkov.</w:t>
      </w:r>
    </w:p>
    <w:p w14:paraId="12199910" w14:textId="77777777" w:rsidR="00A06CFA" w:rsidRPr="00A06CFA" w:rsidRDefault="00A06CFA" w:rsidP="0012553A">
      <w:pPr>
        <w:pStyle w:val="Normlndobloku"/>
        <w:spacing w:after="0"/>
        <w:jc w:val="left"/>
        <w:rPr>
          <w:szCs w:val="22"/>
        </w:rPr>
      </w:pPr>
    </w:p>
    <w:p w14:paraId="726CC6A9" w14:textId="77777777" w:rsidR="00EE1BB5" w:rsidRPr="00A06CFA" w:rsidRDefault="00EE1BB5" w:rsidP="0012553A">
      <w:pPr>
        <w:pStyle w:val="Styl2"/>
        <w:spacing w:before="0" w:after="0"/>
      </w:pPr>
      <w:r w:rsidRPr="00A06CFA">
        <w:t>Predklinické údaje o bezpečnosti</w:t>
      </w:r>
    </w:p>
    <w:p w14:paraId="5C78AFC6" w14:textId="77777777" w:rsidR="009A484C" w:rsidRDefault="009A484C" w:rsidP="0012553A">
      <w:pPr>
        <w:pStyle w:val="Normlndobloku"/>
        <w:spacing w:after="0"/>
        <w:jc w:val="left"/>
        <w:rPr>
          <w:szCs w:val="22"/>
        </w:rPr>
      </w:pPr>
    </w:p>
    <w:p w14:paraId="520E2E90" w14:textId="2E932B5F" w:rsidR="00EE1BB5" w:rsidRPr="00C456E3" w:rsidRDefault="00EE1BB5" w:rsidP="0012553A">
      <w:pPr>
        <w:pStyle w:val="Normlndobloku"/>
        <w:spacing w:after="0"/>
        <w:jc w:val="left"/>
        <w:rPr>
          <w:szCs w:val="22"/>
        </w:rPr>
      </w:pPr>
      <w:r w:rsidRPr="00A06CFA">
        <w:rPr>
          <w:szCs w:val="22"/>
        </w:rPr>
        <w:t>V 21-mesačnej štúdii na karcinogenitu u myší v dávke 500 mg/kg/deň štatisticky signifikantne vzrástla incidencia hepatocelulárneho karcinómu a adenómov u obidvoch pohlaví. Týmto dávkovaním sa dosiahnu 3 až 4-krát vyššie celkové hladiny lieku, ako sú hladiny u ľudí po podaní najvyššej odporúčanej dávky. Pri podávaní 20 a 100 mg/kg/deň, teda dávky pri ktorej sa dosahuje expozícia 0,3</w:t>
      </w:r>
      <w:r w:rsidR="00370AB8">
        <w:rPr>
          <w:szCs w:val="22"/>
        </w:rPr>
        <w:t>-</w:t>
      </w:r>
      <w:r w:rsidRPr="00A06CFA">
        <w:rPr>
          <w:szCs w:val="22"/>
        </w:rPr>
        <w:t xml:space="preserve"> až 2-krát vyššia ako pri podávaní 80 mg/denne sa u ľudí nepozoroval výskyt tumorov. Štatisticky významné zvýšenie pľúcnych adenómov sa pozorovalo u samičiek pri podávaní približne štvornásobnej ľudskej dávky.</w:t>
      </w:r>
    </w:p>
    <w:p w14:paraId="051D3D2E" w14:textId="7C84F7ED" w:rsidR="00EE1BB5" w:rsidRPr="0003345E" w:rsidRDefault="00EE1BB5" w:rsidP="0012553A">
      <w:pPr>
        <w:pStyle w:val="Normlndobloku"/>
        <w:spacing w:after="0"/>
        <w:jc w:val="left"/>
        <w:rPr>
          <w:szCs w:val="22"/>
        </w:rPr>
      </w:pPr>
      <w:r w:rsidRPr="00B84238">
        <w:rPr>
          <w:szCs w:val="22"/>
        </w:rPr>
        <w:t>Pozorovala sa zvýšená incidencia vzniku papilómov v neglandulárnej mukóze žalúdka myší pri 1</w:t>
      </w:r>
      <w:r w:rsidR="006C029C">
        <w:rPr>
          <w:szCs w:val="22"/>
        </w:rPr>
        <w:t>-</w:t>
      </w:r>
      <w:r w:rsidRPr="00B84238">
        <w:rPr>
          <w:szCs w:val="22"/>
        </w:rPr>
        <w:t xml:space="preserve"> až 2-násobne vyššej expozícii voči ľudskej. Glandulárna mukóza nebola postihnutá.</w:t>
      </w:r>
    </w:p>
    <w:p w14:paraId="4DC0D2A5" w14:textId="6D0F0FE8" w:rsidR="00EE1BB5" w:rsidRPr="00B8198A" w:rsidRDefault="00EE1BB5" w:rsidP="0012553A">
      <w:pPr>
        <w:pStyle w:val="Normlndobloku"/>
        <w:spacing w:after="0"/>
        <w:jc w:val="left"/>
        <w:rPr>
          <w:szCs w:val="22"/>
        </w:rPr>
      </w:pPr>
      <w:r w:rsidRPr="007E7FEE">
        <w:rPr>
          <w:szCs w:val="22"/>
        </w:rPr>
        <w:t>V</w:t>
      </w:r>
      <w:r w:rsidR="00BB7C1D">
        <w:rPr>
          <w:szCs w:val="22"/>
        </w:rPr>
        <w:t> </w:t>
      </w:r>
      <w:r w:rsidRPr="007E7FEE">
        <w:rPr>
          <w:szCs w:val="22"/>
        </w:rPr>
        <w:t>24</w:t>
      </w:r>
      <w:r w:rsidR="00BB7C1D">
        <w:rPr>
          <w:szCs w:val="22"/>
        </w:rPr>
        <w:t>-</w:t>
      </w:r>
      <w:r w:rsidRPr="007E7FEE">
        <w:rPr>
          <w:szCs w:val="22"/>
        </w:rPr>
        <w:t>mesačnej štúdii karcinogenity u králikov bol pozitívny vplyv na hepatocelulárny karcinóm u samcov po expozí</w:t>
      </w:r>
      <w:r w:rsidRPr="00B8198A">
        <w:rPr>
          <w:szCs w:val="22"/>
        </w:rPr>
        <w:t>cii 2</w:t>
      </w:r>
      <w:r w:rsidR="006C029C">
        <w:rPr>
          <w:szCs w:val="22"/>
        </w:rPr>
        <w:t>-</w:t>
      </w:r>
      <w:r w:rsidRPr="00B8198A">
        <w:rPr>
          <w:szCs w:val="22"/>
        </w:rPr>
        <w:t xml:space="preserve"> až 7-krát vyššej ako u ľudí (expozícia 80 mg/deň).</w:t>
      </w:r>
    </w:p>
    <w:p w14:paraId="795DE1F9" w14:textId="77777777" w:rsidR="00EE1BB5" w:rsidRPr="00987F07" w:rsidRDefault="00EE1BB5" w:rsidP="0012553A">
      <w:pPr>
        <w:pStyle w:val="Normlndobloku"/>
        <w:spacing w:after="0"/>
        <w:jc w:val="left"/>
        <w:rPr>
          <w:szCs w:val="22"/>
        </w:rPr>
      </w:pPr>
      <w:r w:rsidRPr="00B8198A">
        <w:rPr>
          <w:szCs w:val="22"/>
        </w:rPr>
        <w:t xml:space="preserve">Nepozorovala sa mutagenita pri mikrobiálnom teste mutagenity za použitia mutantných kmeňov </w:t>
      </w:r>
      <w:r w:rsidRPr="0012553A">
        <w:rPr>
          <w:i/>
          <w:szCs w:val="22"/>
        </w:rPr>
        <w:t>Salmonella typhimurium</w:t>
      </w:r>
      <w:r w:rsidRPr="00B8198A">
        <w:rPr>
          <w:szCs w:val="22"/>
        </w:rPr>
        <w:t xml:space="preserve"> s ich metabolickou aktiváciou myšacou alebo potkaňou pečeňou alebo bez nej. Ďalej sa nepozorovalo poškodenie genetického materiálu v </w:t>
      </w:r>
      <w:r w:rsidRPr="0012553A">
        <w:rPr>
          <w:i/>
          <w:szCs w:val="22"/>
        </w:rPr>
        <w:t>in vitro</w:t>
      </w:r>
      <w:r w:rsidRPr="00B8198A">
        <w:rPr>
          <w:szCs w:val="22"/>
        </w:rPr>
        <w:t xml:space="preserve"> alkalickej reakcii použitím hepatocytov potkanov alebo myší, ani pri pokročilých mutačných štúdiách na cicavčích bunkách V-</w:t>
      </w:r>
      <w:smartTag w:uri="urn:schemas-microsoft-com:office:smarttags" w:element="metricconverter">
        <w:smartTagPr>
          <w:attr w:name="ProductID" w:val="79, in"/>
        </w:smartTagPr>
        <w:r w:rsidRPr="00B8198A">
          <w:rPr>
            <w:szCs w:val="22"/>
          </w:rPr>
          <w:t xml:space="preserve">79, </w:t>
        </w:r>
        <w:r w:rsidRPr="0012553A">
          <w:rPr>
            <w:i/>
            <w:szCs w:val="22"/>
          </w:rPr>
          <w:t>in</w:t>
        </w:r>
      </w:smartTag>
      <w:r w:rsidRPr="0012553A">
        <w:rPr>
          <w:i/>
          <w:szCs w:val="22"/>
        </w:rPr>
        <w:t xml:space="preserve"> vitro</w:t>
      </w:r>
      <w:r w:rsidRPr="00B8198A">
        <w:rPr>
          <w:szCs w:val="22"/>
        </w:rPr>
        <w:t xml:space="preserve"> chromozomálnych aberačných štúdiách na CHO bunkách alebo pri </w:t>
      </w:r>
      <w:r w:rsidRPr="0012553A">
        <w:rPr>
          <w:i/>
          <w:szCs w:val="22"/>
        </w:rPr>
        <w:t>in vivo</w:t>
      </w:r>
      <w:r w:rsidRPr="00B8198A">
        <w:rPr>
          <w:szCs w:val="22"/>
        </w:rPr>
        <w:t xml:space="preserve"> chromozomálnom aberačnom teste na kostnej dreni u myší.</w:t>
      </w:r>
    </w:p>
    <w:p w14:paraId="21B30C17" w14:textId="77777777" w:rsidR="00EE1BB5" w:rsidRPr="004A5880" w:rsidRDefault="00EE1BB5" w:rsidP="0012553A">
      <w:pPr>
        <w:pStyle w:val="Normlndobloku"/>
        <w:spacing w:after="0"/>
        <w:jc w:val="left"/>
        <w:rPr>
          <w:szCs w:val="22"/>
        </w:rPr>
      </w:pPr>
      <w:r w:rsidRPr="007E132A">
        <w:rPr>
          <w:szCs w:val="22"/>
        </w:rPr>
        <w:t>Liek spôsoboval testikulárnu atrofiu, znižoval spermatogenézu, spermatocytovú degeneráciu u psov začínajúcich pri dávkach 20 mg/kg/deň. Podobné nálezy sú známe aj u iných liekov tejto skupiny. V štúdiách s lovastatínom na králikoch sa nepozoroval žiaden vplyv na fertilitu.</w:t>
      </w:r>
    </w:p>
    <w:p w14:paraId="6CE380EE" w14:textId="601F84EA" w:rsidR="00EE1BB5" w:rsidRDefault="00EE1BB5" w:rsidP="0012553A">
      <w:pPr>
        <w:pStyle w:val="Normlndobloku"/>
        <w:spacing w:after="0"/>
        <w:jc w:val="left"/>
        <w:rPr>
          <w:szCs w:val="22"/>
        </w:rPr>
      </w:pPr>
      <w:r w:rsidRPr="004A5880">
        <w:rPr>
          <w:szCs w:val="22"/>
        </w:rPr>
        <w:lastRenderedPageBreak/>
        <w:t>Ukázalo sa, že 40-krát vyššia plazmatická hladina a</w:t>
      </w:r>
      <w:r w:rsidRPr="00186B2E">
        <w:rPr>
          <w:szCs w:val="22"/>
        </w:rPr>
        <w:t>ko u človeka podávaná myšiam a potkanom vyvolala kostné malformácie. Ak sa liek podával myšiam, potkanom a králikom v nižšej dávke (3</w:t>
      </w:r>
      <w:r w:rsidR="008D7AB6">
        <w:rPr>
          <w:szCs w:val="22"/>
        </w:rPr>
        <w:t>-</w:t>
      </w:r>
      <w:r w:rsidRPr="00186B2E">
        <w:rPr>
          <w:szCs w:val="22"/>
        </w:rPr>
        <w:t xml:space="preserve"> až 8-násobnej bežnej ľudskej dávky), neobjavili sa žiadne malformácie plodov.</w:t>
      </w:r>
    </w:p>
    <w:p w14:paraId="0D706284" w14:textId="77777777" w:rsidR="00A06CFA" w:rsidRDefault="00A06CFA" w:rsidP="0012553A">
      <w:pPr>
        <w:pStyle w:val="Normlndobloku"/>
        <w:spacing w:after="0"/>
        <w:jc w:val="left"/>
        <w:rPr>
          <w:szCs w:val="22"/>
        </w:rPr>
      </w:pPr>
    </w:p>
    <w:p w14:paraId="2B802132" w14:textId="77777777" w:rsidR="00A06CFA" w:rsidRPr="00A06CFA" w:rsidRDefault="00A06CFA" w:rsidP="0012553A">
      <w:pPr>
        <w:pStyle w:val="Normlndobloku"/>
        <w:spacing w:after="0"/>
        <w:jc w:val="left"/>
        <w:rPr>
          <w:szCs w:val="22"/>
        </w:rPr>
      </w:pPr>
    </w:p>
    <w:p w14:paraId="6ED61B9A" w14:textId="77777777" w:rsidR="00EE1BB5" w:rsidRPr="00A06CFA" w:rsidRDefault="00EE1BB5" w:rsidP="0012553A">
      <w:pPr>
        <w:pStyle w:val="Styl1"/>
        <w:spacing w:before="0" w:after="0"/>
        <w:rPr>
          <w:szCs w:val="22"/>
          <w:lang w:val="sk-SK"/>
        </w:rPr>
      </w:pPr>
      <w:r w:rsidRPr="00A06CFA">
        <w:rPr>
          <w:szCs w:val="22"/>
          <w:lang w:val="sk-SK"/>
        </w:rPr>
        <w:t>Farmaceutické informácie</w:t>
      </w:r>
    </w:p>
    <w:p w14:paraId="52FEA0EC" w14:textId="77777777" w:rsidR="00A06CFA" w:rsidRDefault="00A06CFA" w:rsidP="0012553A">
      <w:pPr>
        <w:pStyle w:val="Styl2"/>
        <w:numPr>
          <w:ilvl w:val="0"/>
          <w:numId w:val="0"/>
        </w:numPr>
        <w:spacing w:before="0" w:after="0"/>
      </w:pPr>
    </w:p>
    <w:p w14:paraId="26EDC793" w14:textId="77777777" w:rsidR="00EE1BB5" w:rsidRPr="00A06CFA" w:rsidRDefault="00EE1BB5" w:rsidP="0012553A">
      <w:pPr>
        <w:pStyle w:val="Styl2"/>
        <w:spacing w:before="0" w:after="0"/>
      </w:pPr>
      <w:r w:rsidRPr="00A06CFA">
        <w:t>Zoznam pomocných látok</w:t>
      </w:r>
    </w:p>
    <w:p w14:paraId="6F52B535" w14:textId="77777777" w:rsidR="00A06CFA" w:rsidRDefault="00A06CFA" w:rsidP="0012553A">
      <w:pPr>
        <w:pStyle w:val="Styl3"/>
        <w:spacing w:after="0"/>
        <w:jc w:val="left"/>
        <w:rPr>
          <w:szCs w:val="22"/>
        </w:rPr>
      </w:pPr>
    </w:p>
    <w:p w14:paraId="0B0E2A26" w14:textId="7E3E926B" w:rsidR="00EE1BB5" w:rsidRPr="00A06CFA" w:rsidRDefault="00EE1BB5" w:rsidP="0012553A">
      <w:pPr>
        <w:pStyle w:val="Styl3"/>
        <w:spacing w:after="0"/>
        <w:jc w:val="left"/>
        <w:rPr>
          <w:szCs w:val="22"/>
        </w:rPr>
      </w:pPr>
      <w:r w:rsidRPr="00A06CFA">
        <w:rPr>
          <w:szCs w:val="22"/>
        </w:rPr>
        <w:t>MEDOSTATIN 20 mg:</w:t>
      </w:r>
    </w:p>
    <w:p w14:paraId="39739BD1" w14:textId="733BAC2B" w:rsidR="00EE1BB5" w:rsidRPr="00A06CFA" w:rsidRDefault="00EE1BB5" w:rsidP="0012553A">
      <w:pPr>
        <w:pStyle w:val="Normlndobloku"/>
        <w:spacing w:after="0"/>
        <w:jc w:val="left"/>
        <w:rPr>
          <w:szCs w:val="22"/>
        </w:rPr>
      </w:pPr>
      <w:r w:rsidRPr="00A06CFA">
        <w:rPr>
          <w:szCs w:val="22"/>
        </w:rPr>
        <w:t>laktóz</w:t>
      </w:r>
      <w:r w:rsidR="001B4703">
        <w:rPr>
          <w:szCs w:val="22"/>
        </w:rPr>
        <w:t>a</w:t>
      </w:r>
      <w:r w:rsidR="00A06CFA">
        <w:rPr>
          <w:szCs w:val="22"/>
        </w:rPr>
        <w:t>,</w:t>
      </w:r>
      <w:r w:rsidRPr="00A06CFA">
        <w:rPr>
          <w:szCs w:val="22"/>
        </w:rPr>
        <w:t xml:space="preserve"> </w:t>
      </w:r>
      <w:r w:rsidR="00A06CFA">
        <w:rPr>
          <w:szCs w:val="22"/>
        </w:rPr>
        <w:t xml:space="preserve">disperzne </w:t>
      </w:r>
      <w:r w:rsidRPr="00A06CFA">
        <w:rPr>
          <w:szCs w:val="22"/>
        </w:rPr>
        <w:t>sušen</w:t>
      </w:r>
      <w:r w:rsidR="001B4703">
        <w:rPr>
          <w:szCs w:val="22"/>
        </w:rPr>
        <w:t>á</w:t>
      </w:r>
    </w:p>
    <w:p w14:paraId="232D7A9E" w14:textId="175B3FE2" w:rsidR="00EE1BB5" w:rsidRPr="00A06CFA" w:rsidRDefault="004C1B68" w:rsidP="0012553A">
      <w:pPr>
        <w:pStyle w:val="Normlndobloku"/>
        <w:spacing w:after="0"/>
        <w:jc w:val="left"/>
        <w:rPr>
          <w:szCs w:val="22"/>
        </w:rPr>
      </w:pPr>
      <w:r w:rsidRPr="00A06CFA">
        <w:rPr>
          <w:szCs w:val="22"/>
        </w:rPr>
        <w:t>p</w:t>
      </w:r>
      <w:r w:rsidR="00EE1BB5" w:rsidRPr="00A06CFA">
        <w:rPr>
          <w:szCs w:val="22"/>
        </w:rPr>
        <w:t>redželat</w:t>
      </w:r>
      <w:r w:rsidR="00C064A9">
        <w:rPr>
          <w:szCs w:val="22"/>
        </w:rPr>
        <w:t>i</w:t>
      </w:r>
      <w:r w:rsidR="00EE1BB5" w:rsidRPr="00A06CFA">
        <w:rPr>
          <w:szCs w:val="22"/>
        </w:rPr>
        <w:t>novaný kukuričný škrob</w:t>
      </w:r>
    </w:p>
    <w:p w14:paraId="22C5C323" w14:textId="00256D0A" w:rsidR="00EE1BB5" w:rsidRPr="00A06CFA" w:rsidRDefault="004C1B68" w:rsidP="0012553A">
      <w:pPr>
        <w:pStyle w:val="Normlndobloku"/>
        <w:spacing w:after="0"/>
        <w:jc w:val="left"/>
        <w:rPr>
          <w:szCs w:val="22"/>
        </w:rPr>
      </w:pPr>
      <w:r w:rsidRPr="00A06CFA">
        <w:rPr>
          <w:szCs w:val="22"/>
        </w:rPr>
        <w:t>m</w:t>
      </w:r>
      <w:r w:rsidR="00EE1BB5" w:rsidRPr="00A06CFA">
        <w:rPr>
          <w:szCs w:val="22"/>
        </w:rPr>
        <w:t>ikrokryštalická celulóza</w:t>
      </w:r>
    </w:p>
    <w:p w14:paraId="17DBD0FC" w14:textId="1BD82929" w:rsidR="00EE1BB5" w:rsidRPr="00A06CFA" w:rsidRDefault="004C1B68" w:rsidP="0012553A">
      <w:pPr>
        <w:pStyle w:val="Normlndobloku"/>
        <w:spacing w:after="0"/>
        <w:jc w:val="left"/>
        <w:rPr>
          <w:szCs w:val="22"/>
        </w:rPr>
      </w:pPr>
      <w:r w:rsidRPr="00A06CFA">
        <w:rPr>
          <w:szCs w:val="22"/>
        </w:rPr>
        <w:t>b</w:t>
      </w:r>
      <w:r w:rsidR="00EE1BB5" w:rsidRPr="00A06CFA">
        <w:rPr>
          <w:szCs w:val="22"/>
        </w:rPr>
        <w:t>utylhydroxyanizol</w:t>
      </w:r>
    </w:p>
    <w:p w14:paraId="66ED2105" w14:textId="479070B8" w:rsidR="00EE1BB5" w:rsidRPr="00A06CFA" w:rsidRDefault="00EE1BB5" w:rsidP="0012553A">
      <w:pPr>
        <w:pStyle w:val="Normlndobloku"/>
        <w:spacing w:after="0"/>
        <w:jc w:val="left"/>
        <w:rPr>
          <w:szCs w:val="22"/>
        </w:rPr>
      </w:pPr>
      <w:r w:rsidRPr="00A06CFA">
        <w:rPr>
          <w:szCs w:val="22"/>
        </w:rPr>
        <w:t>stearát</w:t>
      </w:r>
      <w:r w:rsidR="00FE1624">
        <w:rPr>
          <w:szCs w:val="22"/>
        </w:rPr>
        <w:t xml:space="preserve"> horečnatý</w:t>
      </w:r>
    </w:p>
    <w:p w14:paraId="4EAAA68F" w14:textId="59C2D098" w:rsidR="00A06CFA" w:rsidRPr="00A06CFA" w:rsidRDefault="004C1B68" w:rsidP="0012553A">
      <w:pPr>
        <w:pStyle w:val="Normlndobloku"/>
        <w:spacing w:after="0"/>
        <w:jc w:val="left"/>
        <w:rPr>
          <w:szCs w:val="22"/>
        </w:rPr>
      </w:pPr>
      <w:r w:rsidRPr="00A06CFA">
        <w:rPr>
          <w:szCs w:val="22"/>
        </w:rPr>
        <w:t>i</w:t>
      </w:r>
      <w:r w:rsidR="00EE1BB5" w:rsidRPr="00A06CFA">
        <w:rPr>
          <w:szCs w:val="22"/>
        </w:rPr>
        <w:t>ndigokarmín (E 132)</w:t>
      </w:r>
    </w:p>
    <w:p w14:paraId="66C1095C" w14:textId="77777777" w:rsidR="004C1B68" w:rsidRPr="00A06CFA" w:rsidRDefault="004C1B68" w:rsidP="0012553A">
      <w:pPr>
        <w:pStyle w:val="Normlndobloku"/>
        <w:spacing w:after="0"/>
        <w:jc w:val="left"/>
        <w:rPr>
          <w:szCs w:val="22"/>
        </w:rPr>
      </w:pPr>
    </w:p>
    <w:p w14:paraId="790A06A4" w14:textId="21C932B5" w:rsidR="00EE1BB5" w:rsidRPr="00A06CFA" w:rsidRDefault="00EE1BB5" w:rsidP="0012553A">
      <w:pPr>
        <w:pStyle w:val="Styl3"/>
        <w:spacing w:after="0"/>
        <w:jc w:val="left"/>
        <w:rPr>
          <w:szCs w:val="22"/>
        </w:rPr>
      </w:pPr>
      <w:r w:rsidRPr="00A06CFA">
        <w:rPr>
          <w:szCs w:val="22"/>
        </w:rPr>
        <w:t>MEDOSTATIN 40 mg:</w:t>
      </w:r>
    </w:p>
    <w:p w14:paraId="10ADC515" w14:textId="469820E8" w:rsidR="00EE1BB5" w:rsidRPr="00A06CFA" w:rsidRDefault="00EE1BB5" w:rsidP="0012553A">
      <w:pPr>
        <w:pStyle w:val="Normlndobloku"/>
        <w:spacing w:after="0"/>
        <w:jc w:val="left"/>
        <w:rPr>
          <w:szCs w:val="22"/>
        </w:rPr>
      </w:pPr>
      <w:r w:rsidRPr="00A06CFA">
        <w:rPr>
          <w:szCs w:val="22"/>
        </w:rPr>
        <w:t>laktóz</w:t>
      </w:r>
      <w:r w:rsidR="001B4703">
        <w:rPr>
          <w:szCs w:val="22"/>
        </w:rPr>
        <w:t>a</w:t>
      </w:r>
      <w:r w:rsidR="00A06CFA">
        <w:rPr>
          <w:szCs w:val="22"/>
        </w:rPr>
        <w:t>,</w:t>
      </w:r>
      <w:r w:rsidR="00A06CFA" w:rsidRPr="00A06CFA">
        <w:rPr>
          <w:szCs w:val="22"/>
        </w:rPr>
        <w:t xml:space="preserve"> </w:t>
      </w:r>
      <w:r w:rsidR="00A06CFA">
        <w:rPr>
          <w:szCs w:val="22"/>
        </w:rPr>
        <w:t xml:space="preserve">disperzne </w:t>
      </w:r>
      <w:r w:rsidRPr="00A06CFA">
        <w:rPr>
          <w:szCs w:val="22"/>
        </w:rPr>
        <w:t>sušen</w:t>
      </w:r>
      <w:r w:rsidR="001B4703">
        <w:rPr>
          <w:szCs w:val="22"/>
        </w:rPr>
        <w:t>á</w:t>
      </w:r>
    </w:p>
    <w:p w14:paraId="756E61B6" w14:textId="767FBF8D" w:rsidR="00EE1BB5" w:rsidRPr="00A06CFA" w:rsidRDefault="004C1B68" w:rsidP="0012553A">
      <w:pPr>
        <w:pStyle w:val="Normlndobloku"/>
        <w:spacing w:after="0"/>
        <w:jc w:val="left"/>
        <w:rPr>
          <w:szCs w:val="22"/>
        </w:rPr>
      </w:pPr>
      <w:r w:rsidRPr="00A06CFA">
        <w:rPr>
          <w:szCs w:val="22"/>
        </w:rPr>
        <w:t>p</w:t>
      </w:r>
      <w:r w:rsidR="00EE1BB5" w:rsidRPr="00A06CFA">
        <w:rPr>
          <w:szCs w:val="22"/>
        </w:rPr>
        <w:t>redželat</w:t>
      </w:r>
      <w:r w:rsidR="00C064A9">
        <w:rPr>
          <w:szCs w:val="22"/>
        </w:rPr>
        <w:t>i</w:t>
      </w:r>
      <w:r w:rsidR="00EE1BB5" w:rsidRPr="00A06CFA">
        <w:rPr>
          <w:szCs w:val="22"/>
        </w:rPr>
        <w:t>novaný kukuričný škrob</w:t>
      </w:r>
    </w:p>
    <w:p w14:paraId="26A76DF8" w14:textId="4F118A36" w:rsidR="00EE1BB5" w:rsidRPr="00A06CFA" w:rsidRDefault="004C1B68" w:rsidP="0012553A">
      <w:pPr>
        <w:pStyle w:val="Normlndobloku"/>
        <w:spacing w:after="0"/>
        <w:jc w:val="left"/>
        <w:rPr>
          <w:szCs w:val="22"/>
        </w:rPr>
      </w:pPr>
      <w:r w:rsidRPr="00A06CFA">
        <w:rPr>
          <w:szCs w:val="22"/>
        </w:rPr>
        <w:t>m</w:t>
      </w:r>
      <w:r w:rsidR="00EE1BB5" w:rsidRPr="00A06CFA">
        <w:rPr>
          <w:szCs w:val="22"/>
        </w:rPr>
        <w:t>ikrokryštalická celulóza</w:t>
      </w:r>
    </w:p>
    <w:p w14:paraId="00327779" w14:textId="6EF00ECF" w:rsidR="00EE1BB5" w:rsidRPr="00A06CFA" w:rsidRDefault="004C1B68" w:rsidP="0012553A">
      <w:pPr>
        <w:pStyle w:val="Normlndobloku"/>
        <w:spacing w:after="0"/>
        <w:jc w:val="left"/>
        <w:rPr>
          <w:szCs w:val="22"/>
        </w:rPr>
      </w:pPr>
      <w:r w:rsidRPr="00A06CFA">
        <w:rPr>
          <w:szCs w:val="22"/>
        </w:rPr>
        <w:t>b</w:t>
      </w:r>
      <w:r w:rsidR="00EE1BB5" w:rsidRPr="00A06CFA">
        <w:rPr>
          <w:szCs w:val="22"/>
        </w:rPr>
        <w:t>utylhydroxyanizol</w:t>
      </w:r>
    </w:p>
    <w:p w14:paraId="2B1E0F29" w14:textId="46EE8F84" w:rsidR="00EE1BB5" w:rsidRDefault="00EE1BB5" w:rsidP="0012553A">
      <w:pPr>
        <w:pStyle w:val="Normlndobloku"/>
        <w:spacing w:after="0"/>
        <w:jc w:val="left"/>
        <w:rPr>
          <w:szCs w:val="22"/>
        </w:rPr>
      </w:pPr>
      <w:r w:rsidRPr="00A06CFA">
        <w:rPr>
          <w:szCs w:val="22"/>
        </w:rPr>
        <w:t>stearát</w:t>
      </w:r>
      <w:r w:rsidR="00FE1624">
        <w:rPr>
          <w:szCs w:val="22"/>
        </w:rPr>
        <w:t xml:space="preserve"> horečnatý</w:t>
      </w:r>
    </w:p>
    <w:p w14:paraId="6D863A53" w14:textId="77777777" w:rsidR="00A06CFA" w:rsidRPr="00A06CFA" w:rsidRDefault="00A06CFA" w:rsidP="0012553A">
      <w:pPr>
        <w:pStyle w:val="Normlndobloku"/>
        <w:spacing w:after="0"/>
        <w:jc w:val="left"/>
        <w:rPr>
          <w:szCs w:val="22"/>
        </w:rPr>
      </w:pPr>
    </w:p>
    <w:p w14:paraId="3B386632" w14:textId="77777777" w:rsidR="00EE1BB5" w:rsidRPr="00A06CFA" w:rsidRDefault="00EE1BB5" w:rsidP="0012553A">
      <w:pPr>
        <w:pStyle w:val="Styl2"/>
        <w:spacing w:before="0" w:after="0"/>
      </w:pPr>
      <w:r w:rsidRPr="00A06CFA">
        <w:t>Inkompatibility</w:t>
      </w:r>
    </w:p>
    <w:p w14:paraId="17E2C6BC" w14:textId="77777777" w:rsidR="00A06CFA" w:rsidRDefault="00A06CFA" w:rsidP="0012553A">
      <w:pPr>
        <w:pStyle w:val="Normlndobloku"/>
        <w:spacing w:after="0"/>
        <w:jc w:val="left"/>
        <w:rPr>
          <w:szCs w:val="22"/>
        </w:rPr>
      </w:pPr>
    </w:p>
    <w:p w14:paraId="7DB56D45" w14:textId="77777777" w:rsidR="00EE1BB5" w:rsidRDefault="00EE1BB5" w:rsidP="0012553A">
      <w:pPr>
        <w:pStyle w:val="Normlndobloku"/>
        <w:spacing w:after="0"/>
        <w:jc w:val="left"/>
        <w:rPr>
          <w:szCs w:val="22"/>
        </w:rPr>
      </w:pPr>
      <w:r w:rsidRPr="00A06CFA">
        <w:rPr>
          <w:szCs w:val="22"/>
        </w:rPr>
        <w:t>Neaplikovateľné.</w:t>
      </w:r>
    </w:p>
    <w:p w14:paraId="51788713" w14:textId="77777777" w:rsidR="00A06CFA" w:rsidRPr="00A06CFA" w:rsidRDefault="00A06CFA" w:rsidP="0012553A">
      <w:pPr>
        <w:pStyle w:val="Normlndobloku"/>
        <w:spacing w:after="0"/>
        <w:jc w:val="left"/>
        <w:rPr>
          <w:szCs w:val="22"/>
        </w:rPr>
      </w:pPr>
    </w:p>
    <w:p w14:paraId="342DD97E" w14:textId="77777777" w:rsidR="00EE1BB5" w:rsidRPr="00A06CFA" w:rsidRDefault="00EE1BB5" w:rsidP="0012553A">
      <w:pPr>
        <w:pStyle w:val="Styl2"/>
        <w:spacing w:before="0" w:after="0"/>
      </w:pPr>
      <w:r w:rsidRPr="00A06CFA">
        <w:t>Čas použiteľnosti</w:t>
      </w:r>
    </w:p>
    <w:p w14:paraId="71EEE42C" w14:textId="77777777" w:rsidR="00A06CFA" w:rsidRDefault="00A06CFA" w:rsidP="0012553A">
      <w:pPr>
        <w:pStyle w:val="Normlndobloku"/>
        <w:spacing w:after="0"/>
        <w:jc w:val="left"/>
        <w:rPr>
          <w:szCs w:val="22"/>
        </w:rPr>
      </w:pPr>
    </w:p>
    <w:p w14:paraId="5DFD8020" w14:textId="77777777" w:rsidR="00EE1BB5" w:rsidRDefault="00EE1BB5" w:rsidP="0012553A">
      <w:pPr>
        <w:pStyle w:val="Normlndobloku"/>
        <w:spacing w:after="0"/>
        <w:jc w:val="left"/>
        <w:rPr>
          <w:szCs w:val="22"/>
        </w:rPr>
      </w:pPr>
      <w:r w:rsidRPr="00A06CFA">
        <w:rPr>
          <w:szCs w:val="22"/>
        </w:rPr>
        <w:t>3 roky</w:t>
      </w:r>
    </w:p>
    <w:p w14:paraId="74B46FEE" w14:textId="77777777" w:rsidR="00A06CFA" w:rsidRPr="00A06CFA" w:rsidRDefault="00A06CFA" w:rsidP="0012553A">
      <w:pPr>
        <w:pStyle w:val="Normlndobloku"/>
        <w:spacing w:after="0"/>
        <w:jc w:val="left"/>
        <w:rPr>
          <w:szCs w:val="22"/>
        </w:rPr>
      </w:pPr>
    </w:p>
    <w:p w14:paraId="61294528" w14:textId="77777777" w:rsidR="00EE1BB5" w:rsidRPr="00A06CFA" w:rsidRDefault="00EE1BB5" w:rsidP="0012553A">
      <w:pPr>
        <w:pStyle w:val="Styl2"/>
        <w:spacing w:before="0" w:after="0"/>
      </w:pPr>
      <w:r w:rsidRPr="00A06CFA">
        <w:t>Špeciálne upozornenia na uchovávanie</w:t>
      </w:r>
    </w:p>
    <w:p w14:paraId="4936F8B8" w14:textId="77777777" w:rsidR="00A06CFA" w:rsidRDefault="00A06CFA" w:rsidP="0012553A">
      <w:pPr>
        <w:pStyle w:val="Normlndobloku"/>
        <w:spacing w:after="0"/>
        <w:jc w:val="left"/>
        <w:rPr>
          <w:szCs w:val="22"/>
        </w:rPr>
      </w:pPr>
    </w:p>
    <w:p w14:paraId="074F0134" w14:textId="77777777" w:rsidR="00EE1BB5" w:rsidRDefault="00EE1BB5" w:rsidP="0012553A">
      <w:pPr>
        <w:pStyle w:val="Normlndobloku"/>
        <w:spacing w:after="0"/>
        <w:jc w:val="left"/>
        <w:rPr>
          <w:szCs w:val="22"/>
        </w:rPr>
      </w:pPr>
      <w:r w:rsidRPr="00A06CFA">
        <w:rPr>
          <w:szCs w:val="22"/>
        </w:rPr>
        <w:t>Tento liek nevyžaduje žiadne zvláštne podmienky na uchovávanie.</w:t>
      </w:r>
    </w:p>
    <w:p w14:paraId="5CF07D0A" w14:textId="77777777" w:rsidR="00A06CFA" w:rsidRPr="00A06CFA" w:rsidRDefault="00A06CFA" w:rsidP="0012553A">
      <w:pPr>
        <w:pStyle w:val="Normlndobloku"/>
        <w:spacing w:after="0"/>
        <w:jc w:val="left"/>
        <w:rPr>
          <w:szCs w:val="22"/>
        </w:rPr>
      </w:pPr>
    </w:p>
    <w:p w14:paraId="7CEDCA0E" w14:textId="77777777" w:rsidR="00EE1BB5" w:rsidRPr="00A06CFA" w:rsidRDefault="00EE1BB5" w:rsidP="0012553A">
      <w:pPr>
        <w:pStyle w:val="Styl2"/>
        <w:spacing w:before="0" w:after="0"/>
      </w:pPr>
      <w:r w:rsidRPr="00A06CFA">
        <w:t>Druh obalu a obsah balenia</w:t>
      </w:r>
    </w:p>
    <w:p w14:paraId="10F9CC71" w14:textId="77777777" w:rsidR="00A06CFA" w:rsidRDefault="00A06CFA" w:rsidP="0012553A">
      <w:pPr>
        <w:pStyle w:val="Normlndobloku"/>
        <w:spacing w:after="0"/>
        <w:jc w:val="left"/>
        <w:rPr>
          <w:szCs w:val="22"/>
        </w:rPr>
      </w:pPr>
    </w:p>
    <w:p w14:paraId="496D74B2" w14:textId="77777777" w:rsidR="00EE1BB5" w:rsidRPr="00A06CFA" w:rsidRDefault="00EE1BB5" w:rsidP="0012553A">
      <w:pPr>
        <w:pStyle w:val="Normlndobloku"/>
        <w:spacing w:after="0"/>
        <w:jc w:val="left"/>
        <w:rPr>
          <w:szCs w:val="22"/>
        </w:rPr>
      </w:pPr>
      <w:r w:rsidRPr="00A06CFA">
        <w:rPr>
          <w:szCs w:val="22"/>
        </w:rPr>
        <w:t>Blister (PVC/Al), papierová škatuľka</w:t>
      </w:r>
    </w:p>
    <w:p w14:paraId="0722A304" w14:textId="478EFD9D" w:rsidR="00EE1BB5" w:rsidRDefault="00EE1BB5" w:rsidP="0012553A">
      <w:pPr>
        <w:pStyle w:val="Normlndobloku"/>
        <w:spacing w:after="0"/>
        <w:jc w:val="left"/>
        <w:rPr>
          <w:szCs w:val="22"/>
        </w:rPr>
      </w:pPr>
      <w:r w:rsidRPr="00C456E3">
        <w:rPr>
          <w:szCs w:val="22"/>
        </w:rPr>
        <w:t>Veľkosť balenia: 10, 30 a 100 tabliet</w:t>
      </w:r>
      <w:r w:rsidR="00114869">
        <w:rPr>
          <w:szCs w:val="22"/>
        </w:rPr>
        <w:t>.</w:t>
      </w:r>
    </w:p>
    <w:p w14:paraId="2C68B25A" w14:textId="77777777" w:rsidR="00114869" w:rsidRPr="00C456E3" w:rsidRDefault="00114869" w:rsidP="0012553A">
      <w:pPr>
        <w:pStyle w:val="Normlndobloku"/>
        <w:spacing w:after="0"/>
        <w:jc w:val="left"/>
        <w:rPr>
          <w:szCs w:val="22"/>
        </w:rPr>
      </w:pPr>
    </w:p>
    <w:p w14:paraId="56D47577" w14:textId="77777777" w:rsidR="00EE1BB5" w:rsidRDefault="00EE1BB5" w:rsidP="0012553A">
      <w:pPr>
        <w:pStyle w:val="Normlndobloku"/>
        <w:spacing w:after="0"/>
        <w:jc w:val="left"/>
        <w:rPr>
          <w:szCs w:val="22"/>
        </w:rPr>
      </w:pPr>
      <w:r w:rsidRPr="00B84238">
        <w:rPr>
          <w:szCs w:val="22"/>
        </w:rPr>
        <w:t>Na trh nemusia byť uvedené všetky veľkosti balenia.</w:t>
      </w:r>
    </w:p>
    <w:p w14:paraId="5A24BC6D" w14:textId="77777777" w:rsidR="00A06CFA" w:rsidRPr="00A06CFA" w:rsidRDefault="00A06CFA" w:rsidP="0012553A">
      <w:pPr>
        <w:pStyle w:val="Normlndobloku"/>
        <w:spacing w:after="0"/>
        <w:jc w:val="left"/>
        <w:rPr>
          <w:szCs w:val="22"/>
        </w:rPr>
      </w:pPr>
    </w:p>
    <w:p w14:paraId="2FAB4C18" w14:textId="77777777" w:rsidR="00EE1BB5" w:rsidRPr="00A06CFA" w:rsidRDefault="00EE1BB5" w:rsidP="0012553A">
      <w:pPr>
        <w:pStyle w:val="Styl2"/>
        <w:spacing w:before="0" w:after="0"/>
      </w:pPr>
      <w:r w:rsidRPr="00A06CFA">
        <w:t>Špeciálne opatrenia na likvidáciu a iné zaobchádzanie s liekom</w:t>
      </w:r>
    </w:p>
    <w:p w14:paraId="4E5D9656" w14:textId="77777777" w:rsidR="00A06CFA" w:rsidRDefault="00A06CFA" w:rsidP="0012553A">
      <w:pPr>
        <w:pStyle w:val="Normlndobloku"/>
        <w:spacing w:after="0"/>
        <w:jc w:val="left"/>
        <w:rPr>
          <w:szCs w:val="22"/>
        </w:rPr>
      </w:pPr>
    </w:p>
    <w:p w14:paraId="599303D7" w14:textId="77777777" w:rsidR="00EE1BB5" w:rsidRDefault="00EE1BB5" w:rsidP="0012553A">
      <w:pPr>
        <w:pStyle w:val="Normlndobloku"/>
        <w:spacing w:after="0"/>
        <w:jc w:val="left"/>
        <w:rPr>
          <w:szCs w:val="22"/>
        </w:rPr>
      </w:pPr>
      <w:r w:rsidRPr="00A06CFA">
        <w:rPr>
          <w:szCs w:val="22"/>
        </w:rPr>
        <w:t>Žiadne zvláštne požiadavky na likvidáciu.</w:t>
      </w:r>
    </w:p>
    <w:p w14:paraId="4BC9D55A" w14:textId="77777777" w:rsidR="00A06CFA" w:rsidRDefault="00A06CFA" w:rsidP="0012553A">
      <w:pPr>
        <w:pStyle w:val="Normlndobloku"/>
        <w:spacing w:after="0"/>
        <w:jc w:val="left"/>
        <w:rPr>
          <w:szCs w:val="22"/>
        </w:rPr>
      </w:pPr>
    </w:p>
    <w:p w14:paraId="775D3AEE" w14:textId="77777777" w:rsidR="00A06CFA" w:rsidRPr="00A06CFA" w:rsidRDefault="00A06CFA" w:rsidP="0012553A">
      <w:pPr>
        <w:pStyle w:val="Normlndobloku"/>
        <w:spacing w:after="0"/>
        <w:jc w:val="left"/>
        <w:rPr>
          <w:szCs w:val="22"/>
        </w:rPr>
      </w:pPr>
    </w:p>
    <w:p w14:paraId="7807481D" w14:textId="77777777" w:rsidR="00EE1BB5" w:rsidRPr="00A06CFA" w:rsidRDefault="00EE1BB5" w:rsidP="0012553A">
      <w:pPr>
        <w:pStyle w:val="Styl1"/>
        <w:spacing w:before="0" w:after="0"/>
        <w:rPr>
          <w:szCs w:val="22"/>
          <w:lang w:val="sk-SK"/>
        </w:rPr>
      </w:pPr>
      <w:r w:rsidRPr="00A06CFA">
        <w:rPr>
          <w:szCs w:val="22"/>
          <w:lang w:val="sk-SK"/>
        </w:rPr>
        <w:t>Držiteľ rozhodnutia o registrácii</w:t>
      </w:r>
    </w:p>
    <w:p w14:paraId="190ABDAE" w14:textId="77777777" w:rsidR="00A06CFA" w:rsidRDefault="00A06CFA" w:rsidP="0012553A">
      <w:pPr>
        <w:pStyle w:val="Normlndobloku"/>
        <w:spacing w:after="0"/>
        <w:jc w:val="left"/>
        <w:rPr>
          <w:szCs w:val="22"/>
        </w:rPr>
      </w:pPr>
    </w:p>
    <w:p w14:paraId="50AE0E5E" w14:textId="49049850" w:rsidR="00114869" w:rsidRDefault="00EE1BB5" w:rsidP="0012553A">
      <w:pPr>
        <w:pStyle w:val="Normlndobloku"/>
        <w:spacing w:after="0"/>
        <w:jc w:val="left"/>
        <w:rPr>
          <w:szCs w:val="22"/>
        </w:rPr>
      </w:pPr>
      <w:r w:rsidRPr="00A06CFA">
        <w:rPr>
          <w:szCs w:val="22"/>
        </w:rPr>
        <w:t>MEDOCHEMIE Ltd.</w:t>
      </w:r>
    </w:p>
    <w:p w14:paraId="39B54C18" w14:textId="77777777" w:rsidR="009D3739" w:rsidRPr="009D3739" w:rsidRDefault="009D3739" w:rsidP="009D3739">
      <w:pPr>
        <w:pStyle w:val="Normlndobloku"/>
        <w:spacing w:after="0"/>
        <w:jc w:val="left"/>
      </w:pPr>
      <w:r w:rsidRPr="009D3739">
        <w:t>1-10 Constantinoupoleos Str.</w:t>
      </w:r>
    </w:p>
    <w:p w14:paraId="1FF227A5" w14:textId="50541B57" w:rsidR="00114869" w:rsidRDefault="009D3739" w:rsidP="0012553A">
      <w:pPr>
        <w:pStyle w:val="Normlndobloku"/>
        <w:spacing w:after="0"/>
        <w:jc w:val="left"/>
        <w:rPr>
          <w:szCs w:val="22"/>
        </w:rPr>
      </w:pPr>
      <w:r w:rsidRPr="009D3739">
        <w:rPr>
          <w:szCs w:val="22"/>
        </w:rPr>
        <w:t>3011</w:t>
      </w:r>
      <w:r>
        <w:rPr>
          <w:szCs w:val="22"/>
        </w:rPr>
        <w:t xml:space="preserve"> </w:t>
      </w:r>
      <w:r w:rsidR="00EE1BB5" w:rsidRPr="00A06CFA">
        <w:rPr>
          <w:szCs w:val="22"/>
        </w:rPr>
        <w:t>Limassol</w:t>
      </w:r>
    </w:p>
    <w:p w14:paraId="4A6667C9" w14:textId="27E7B079" w:rsidR="00EE1BB5" w:rsidRDefault="00EE1BB5" w:rsidP="0012553A">
      <w:pPr>
        <w:pStyle w:val="Normlndobloku"/>
        <w:spacing w:after="0"/>
        <w:jc w:val="left"/>
        <w:rPr>
          <w:szCs w:val="22"/>
        </w:rPr>
      </w:pPr>
      <w:r w:rsidRPr="00A06CFA">
        <w:rPr>
          <w:szCs w:val="22"/>
        </w:rPr>
        <w:t>Cyprus</w:t>
      </w:r>
    </w:p>
    <w:p w14:paraId="264DB020" w14:textId="77777777" w:rsidR="00A06CFA" w:rsidRDefault="00A06CFA" w:rsidP="0012553A">
      <w:pPr>
        <w:pStyle w:val="Normlndobloku"/>
        <w:spacing w:after="0"/>
        <w:jc w:val="left"/>
        <w:rPr>
          <w:szCs w:val="22"/>
        </w:rPr>
      </w:pPr>
    </w:p>
    <w:p w14:paraId="0D6A8DAD" w14:textId="77777777" w:rsidR="00A06CFA" w:rsidRPr="00A06CFA" w:rsidRDefault="00A06CFA" w:rsidP="0012553A">
      <w:pPr>
        <w:pStyle w:val="Normlndobloku"/>
        <w:spacing w:after="0"/>
        <w:jc w:val="left"/>
        <w:rPr>
          <w:szCs w:val="22"/>
        </w:rPr>
      </w:pPr>
    </w:p>
    <w:p w14:paraId="55A86F8C" w14:textId="77777777" w:rsidR="00EE1BB5" w:rsidRPr="00A06CFA" w:rsidRDefault="00EE1BB5" w:rsidP="0012553A">
      <w:pPr>
        <w:pStyle w:val="Styl1"/>
        <w:spacing w:before="0" w:after="0"/>
        <w:rPr>
          <w:szCs w:val="22"/>
          <w:lang w:val="sk-SK"/>
        </w:rPr>
      </w:pPr>
      <w:r w:rsidRPr="00A06CFA">
        <w:rPr>
          <w:szCs w:val="22"/>
          <w:lang w:val="sk-SK"/>
        </w:rPr>
        <w:lastRenderedPageBreak/>
        <w:t>Registračné číslA</w:t>
      </w:r>
    </w:p>
    <w:p w14:paraId="6F04CD87" w14:textId="77777777" w:rsidR="00A06CFA" w:rsidRDefault="00A06CFA" w:rsidP="0012553A">
      <w:pPr>
        <w:pStyle w:val="Normlndobloku"/>
        <w:spacing w:after="0"/>
        <w:jc w:val="left"/>
        <w:rPr>
          <w:szCs w:val="22"/>
        </w:rPr>
      </w:pPr>
    </w:p>
    <w:p w14:paraId="39CC2C6B" w14:textId="45A9B01F" w:rsidR="00EE1BB5" w:rsidRPr="00A06CFA" w:rsidRDefault="00EE1BB5" w:rsidP="0012553A">
      <w:pPr>
        <w:pStyle w:val="Normlndobloku"/>
        <w:spacing w:after="0"/>
        <w:jc w:val="left"/>
        <w:rPr>
          <w:szCs w:val="22"/>
        </w:rPr>
      </w:pPr>
      <w:r w:rsidRPr="00A06CFA">
        <w:rPr>
          <w:szCs w:val="22"/>
        </w:rPr>
        <w:t>MEDOSTATIN 20 mg: 31/0390/00-S</w:t>
      </w:r>
    </w:p>
    <w:p w14:paraId="68D0E78D" w14:textId="19D67519" w:rsidR="00EE1BB5" w:rsidRDefault="00EE1BB5" w:rsidP="0012553A">
      <w:pPr>
        <w:pStyle w:val="Normlndobloku"/>
        <w:spacing w:after="0"/>
        <w:jc w:val="left"/>
        <w:rPr>
          <w:szCs w:val="22"/>
        </w:rPr>
      </w:pPr>
      <w:r w:rsidRPr="00A06CFA">
        <w:rPr>
          <w:szCs w:val="22"/>
        </w:rPr>
        <w:t>MEDOSTATIN 40 mg: 31/0409/06-S</w:t>
      </w:r>
    </w:p>
    <w:p w14:paraId="7032C0A8" w14:textId="77777777" w:rsidR="00A06CFA" w:rsidRDefault="00A06CFA" w:rsidP="0012553A">
      <w:pPr>
        <w:pStyle w:val="Normlndobloku"/>
        <w:spacing w:after="0"/>
        <w:jc w:val="left"/>
        <w:rPr>
          <w:szCs w:val="22"/>
        </w:rPr>
      </w:pPr>
    </w:p>
    <w:p w14:paraId="6615D7CD" w14:textId="77777777" w:rsidR="00A06CFA" w:rsidRPr="00A06CFA" w:rsidRDefault="00A06CFA" w:rsidP="0012553A">
      <w:pPr>
        <w:pStyle w:val="Normlndobloku"/>
        <w:spacing w:after="0"/>
        <w:jc w:val="left"/>
        <w:rPr>
          <w:szCs w:val="22"/>
        </w:rPr>
      </w:pPr>
    </w:p>
    <w:p w14:paraId="314FEE88" w14:textId="5356FFC5" w:rsidR="00EE1BB5" w:rsidRPr="00A06CFA" w:rsidRDefault="00EE1BB5" w:rsidP="0012553A">
      <w:pPr>
        <w:pStyle w:val="Styl1"/>
        <w:spacing w:before="0" w:after="0"/>
        <w:rPr>
          <w:szCs w:val="22"/>
          <w:lang w:val="sk-SK"/>
        </w:rPr>
      </w:pPr>
      <w:r w:rsidRPr="00A06CFA">
        <w:rPr>
          <w:szCs w:val="22"/>
          <w:lang w:val="sk-SK"/>
        </w:rPr>
        <w:t>Dátum PRVEJ registrácie/predĺženia registrácie</w:t>
      </w:r>
    </w:p>
    <w:p w14:paraId="5A1B9BBE" w14:textId="77777777" w:rsidR="00A06CFA" w:rsidRPr="00A06CFA" w:rsidRDefault="00A06CFA" w:rsidP="0012553A">
      <w:pPr>
        <w:pStyle w:val="Normlndobloku"/>
        <w:spacing w:after="0"/>
        <w:jc w:val="left"/>
        <w:rPr>
          <w:szCs w:val="22"/>
        </w:rPr>
      </w:pPr>
    </w:p>
    <w:p w14:paraId="627E96DE" w14:textId="719BC671" w:rsidR="00EE1BB5" w:rsidRPr="00A06CFA" w:rsidRDefault="00EE1BB5" w:rsidP="0012553A">
      <w:pPr>
        <w:pStyle w:val="Normlndobloku"/>
        <w:spacing w:after="0"/>
        <w:jc w:val="left"/>
        <w:rPr>
          <w:szCs w:val="22"/>
        </w:rPr>
      </w:pPr>
      <w:r w:rsidRPr="00A06CFA">
        <w:rPr>
          <w:szCs w:val="22"/>
        </w:rPr>
        <w:t>Dátum prvej registrácie: MEDOSTATIN 20 mg: 12. decembr</w:t>
      </w:r>
      <w:r w:rsidR="00ED5B0A">
        <w:rPr>
          <w:szCs w:val="22"/>
        </w:rPr>
        <w:t>a</w:t>
      </w:r>
      <w:r w:rsidRPr="00A06CFA">
        <w:rPr>
          <w:szCs w:val="22"/>
        </w:rPr>
        <w:t xml:space="preserve"> 2000</w:t>
      </w:r>
    </w:p>
    <w:p w14:paraId="2D6EBD15" w14:textId="50BC1A21" w:rsidR="00EE1BB5" w:rsidRDefault="00EE1BB5" w:rsidP="0012553A">
      <w:pPr>
        <w:pStyle w:val="Normlndobloku"/>
        <w:spacing w:after="0"/>
        <w:jc w:val="left"/>
        <w:rPr>
          <w:szCs w:val="22"/>
        </w:rPr>
      </w:pPr>
      <w:r w:rsidRPr="00A06CFA">
        <w:rPr>
          <w:szCs w:val="22"/>
        </w:rPr>
        <w:t>Dátum prvej registrácie: MEDOSTATIN 40 mg: 19. septembr</w:t>
      </w:r>
      <w:r w:rsidR="00ED5B0A">
        <w:rPr>
          <w:szCs w:val="22"/>
        </w:rPr>
        <w:t>a</w:t>
      </w:r>
      <w:r w:rsidRPr="00A06CFA">
        <w:rPr>
          <w:szCs w:val="22"/>
        </w:rPr>
        <w:t xml:space="preserve"> 2006</w:t>
      </w:r>
    </w:p>
    <w:p w14:paraId="4C1B89D6" w14:textId="77777777" w:rsidR="00A06CFA" w:rsidRPr="00A06CFA" w:rsidRDefault="00A06CFA" w:rsidP="0012553A">
      <w:pPr>
        <w:pStyle w:val="Normlndobloku"/>
        <w:spacing w:after="0"/>
        <w:jc w:val="left"/>
        <w:rPr>
          <w:szCs w:val="22"/>
        </w:rPr>
      </w:pPr>
    </w:p>
    <w:p w14:paraId="0C58A0D4" w14:textId="41D951D5" w:rsidR="00EE1BB5" w:rsidRPr="00A06CFA" w:rsidRDefault="00EE1BB5" w:rsidP="0012553A">
      <w:pPr>
        <w:pStyle w:val="Normlndobloku"/>
        <w:spacing w:after="0"/>
        <w:jc w:val="left"/>
        <w:rPr>
          <w:szCs w:val="22"/>
        </w:rPr>
      </w:pPr>
      <w:r w:rsidRPr="00A06CFA">
        <w:rPr>
          <w:szCs w:val="22"/>
        </w:rPr>
        <w:t>Dátum posledného predĺženia</w:t>
      </w:r>
      <w:r w:rsidR="00A06CFA">
        <w:rPr>
          <w:szCs w:val="22"/>
        </w:rPr>
        <w:t xml:space="preserve"> registrácie</w:t>
      </w:r>
      <w:r w:rsidRPr="00A06CFA">
        <w:rPr>
          <w:szCs w:val="22"/>
        </w:rPr>
        <w:t>: MEDOSTATIN 20 mg: 17. august</w:t>
      </w:r>
      <w:r w:rsidR="00ED5B0A">
        <w:rPr>
          <w:szCs w:val="22"/>
        </w:rPr>
        <w:t>a</w:t>
      </w:r>
      <w:r w:rsidRPr="00A06CFA">
        <w:rPr>
          <w:szCs w:val="22"/>
        </w:rPr>
        <w:t xml:space="preserve"> 2006</w:t>
      </w:r>
    </w:p>
    <w:p w14:paraId="6A8AD19B" w14:textId="49252435" w:rsidR="00A06CFA" w:rsidRDefault="00EE1BB5" w:rsidP="0012553A">
      <w:pPr>
        <w:pStyle w:val="Normlndobloku"/>
        <w:spacing w:after="0"/>
        <w:jc w:val="left"/>
        <w:rPr>
          <w:szCs w:val="22"/>
        </w:rPr>
      </w:pPr>
      <w:r w:rsidRPr="00A06CFA">
        <w:rPr>
          <w:szCs w:val="22"/>
        </w:rPr>
        <w:t>Dátum posledného predĺženia</w:t>
      </w:r>
      <w:r w:rsidR="00A06CFA" w:rsidRPr="00A06CFA">
        <w:rPr>
          <w:szCs w:val="22"/>
        </w:rPr>
        <w:t xml:space="preserve"> </w:t>
      </w:r>
      <w:r w:rsidR="00A06CFA">
        <w:rPr>
          <w:szCs w:val="22"/>
        </w:rPr>
        <w:t>registrácie</w:t>
      </w:r>
      <w:r w:rsidRPr="00A06CFA">
        <w:rPr>
          <w:szCs w:val="22"/>
        </w:rPr>
        <w:t>: MEDOSTATIN 40 mg: 20. jún</w:t>
      </w:r>
      <w:r w:rsidR="00ED5B0A">
        <w:rPr>
          <w:szCs w:val="22"/>
        </w:rPr>
        <w:t>a</w:t>
      </w:r>
      <w:r w:rsidRPr="00A06CFA">
        <w:rPr>
          <w:szCs w:val="22"/>
        </w:rPr>
        <w:t xml:space="preserve"> 2012</w:t>
      </w:r>
    </w:p>
    <w:p w14:paraId="66B5865A" w14:textId="77777777" w:rsidR="00A06CFA" w:rsidRDefault="00A06CFA" w:rsidP="0012553A">
      <w:pPr>
        <w:pStyle w:val="Normlndobloku"/>
        <w:spacing w:after="0"/>
        <w:jc w:val="left"/>
        <w:rPr>
          <w:szCs w:val="22"/>
        </w:rPr>
      </w:pPr>
    </w:p>
    <w:p w14:paraId="3F1EA275" w14:textId="30EAD833" w:rsidR="00EE1BB5" w:rsidRPr="00A06CFA" w:rsidRDefault="00EE1BB5" w:rsidP="0012553A">
      <w:pPr>
        <w:pStyle w:val="Normlndobloku"/>
        <w:spacing w:after="0"/>
        <w:jc w:val="left"/>
        <w:rPr>
          <w:szCs w:val="22"/>
        </w:rPr>
      </w:pPr>
    </w:p>
    <w:p w14:paraId="154B3A3F" w14:textId="77777777" w:rsidR="00EE1BB5" w:rsidRPr="00A06CFA" w:rsidRDefault="00EE1BB5" w:rsidP="0012553A">
      <w:pPr>
        <w:pStyle w:val="Styl1"/>
        <w:spacing w:before="0" w:after="0"/>
        <w:rPr>
          <w:szCs w:val="22"/>
          <w:lang w:val="sk-SK"/>
        </w:rPr>
      </w:pPr>
      <w:r w:rsidRPr="00A06CFA">
        <w:rPr>
          <w:szCs w:val="22"/>
          <w:lang w:val="sk-SK"/>
        </w:rPr>
        <w:t>Dátum revízie textu</w:t>
      </w:r>
    </w:p>
    <w:p w14:paraId="53A85EED" w14:textId="77777777" w:rsidR="00114869" w:rsidRDefault="00114869" w:rsidP="0012553A">
      <w:pPr>
        <w:pStyle w:val="Normlndobloku"/>
        <w:spacing w:after="0"/>
        <w:jc w:val="left"/>
        <w:rPr>
          <w:szCs w:val="22"/>
        </w:rPr>
      </w:pPr>
    </w:p>
    <w:p w14:paraId="7E69C907" w14:textId="3B51FECA" w:rsidR="00114869" w:rsidRPr="00A06CFA" w:rsidRDefault="00114869" w:rsidP="0012553A">
      <w:pPr>
        <w:pStyle w:val="Normlndobloku"/>
        <w:spacing w:after="0"/>
        <w:jc w:val="left"/>
        <w:rPr>
          <w:szCs w:val="22"/>
        </w:rPr>
      </w:pPr>
      <w:r>
        <w:rPr>
          <w:szCs w:val="22"/>
        </w:rPr>
        <w:t>10/2020</w:t>
      </w:r>
    </w:p>
    <w:p w14:paraId="02065144" w14:textId="77777777" w:rsidR="00EE1BB5" w:rsidRPr="00A06CFA" w:rsidRDefault="00EE1BB5" w:rsidP="0012553A">
      <w:pPr>
        <w:pStyle w:val="Normlndobloku"/>
        <w:spacing w:after="0"/>
        <w:jc w:val="left"/>
        <w:rPr>
          <w:szCs w:val="22"/>
        </w:rPr>
      </w:pPr>
    </w:p>
    <w:sectPr w:rsidR="00EE1BB5" w:rsidRPr="00A06CFA" w:rsidSect="0012553A">
      <w:headerReference w:type="default" r:id="rId8"/>
      <w:footerReference w:type="default" r:id="rId9"/>
      <w:headerReference w:type="first" r:id="rId10"/>
      <w:footerReference w:type="first" r:id="rId11"/>
      <w:pgSz w:w="11906" w:h="16838" w:code="9"/>
      <w:pgMar w:top="1134" w:right="1418" w:bottom="1134" w:left="1418" w:header="737" w:footer="737"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B512" w16cex:dateUtc="2020-06-18T07:40:00Z"/>
  <w16cex:commentExtensible w16cex:durableId="2295B923" w16cex:dateUtc="2020-06-18T07:57:00Z"/>
  <w16cex:commentExtensible w16cex:durableId="2295B40C" w16cex:dateUtc="2020-06-18T07:36:00Z"/>
  <w16cex:commentExtensible w16cex:durableId="2295B57E" w16cex:dateUtc="2020-06-18T07:42:00Z"/>
  <w16cex:commentExtensible w16cex:durableId="2295B991" w16cex:dateUtc="2020-06-18T07:59:00Z"/>
  <w16cex:commentExtensible w16cex:durableId="2295B428" w16cex:dateUtc="2020-06-18T07:36:00Z"/>
  <w16cex:commentExtensible w16cex:durableId="2295B596" w16cex:dateUtc="2020-06-18T07:42:00Z"/>
  <w16cex:commentExtensible w16cex:durableId="2295B5A8" w16cex:dateUtc="2020-06-18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C01C90" w16cid:durableId="2295B512"/>
  <w16cid:commentId w16cid:paraId="38C45289" w16cid:durableId="2295B923"/>
  <w16cid:commentId w16cid:paraId="1D4E0DF0" w16cid:durableId="2295B40C"/>
  <w16cid:commentId w16cid:paraId="65870B6E" w16cid:durableId="2295B57E"/>
  <w16cid:commentId w16cid:paraId="022EAA3C" w16cid:durableId="2295B991"/>
  <w16cid:commentId w16cid:paraId="37B25F2F" w16cid:durableId="2295B428"/>
  <w16cid:commentId w16cid:paraId="5960C408" w16cid:durableId="2295B596"/>
  <w16cid:commentId w16cid:paraId="74354F57" w16cid:durableId="2295B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D3F35" w14:textId="77777777" w:rsidR="005509B8" w:rsidRDefault="005509B8" w:rsidP="007D2664">
      <w:pPr>
        <w:spacing w:line="240" w:lineRule="auto"/>
      </w:pPr>
      <w:r>
        <w:separator/>
      </w:r>
    </w:p>
  </w:endnote>
  <w:endnote w:type="continuationSeparator" w:id="0">
    <w:p w14:paraId="5104F8C4" w14:textId="77777777" w:rsidR="005509B8" w:rsidRDefault="005509B8" w:rsidP="007D2664">
      <w:pPr>
        <w:spacing w:line="240" w:lineRule="auto"/>
      </w:pPr>
      <w:r>
        <w:continuationSeparator/>
      </w:r>
    </w:p>
  </w:endnote>
  <w:endnote w:type="continuationNotice" w:id="1">
    <w:p w14:paraId="0C501664" w14:textId="77777777" w:rsidR="005509B8" w:rsidRDefault="005509B8" w:rsidP="007D26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85107" w14:textId="6688971D" w:rsidR="00073432" w:rsidRPr="0012553A" w:rsidRDefault="00073432" w:rsidP="001558B6">
    <w:pPr>
      <w:pStyle w:val="Pta"/>
      <w:jc w:val="center"/>
      <w:rPr>
        <w:rFonts w:ascii="Times New Roman" w:hAnsi="Times New Roman" w:cs="Times New Roman"/>
        <w:sz w:val="18"/>
      </w:rPr>
    </w:pPr>
    <w:r w:rsidRPr="0012553A">
      <w:rPr>
        <w:rFonts w:ascii="Times New Roman" w:hAnsi="Times New Roman" w:cs="Times New Roman"/>
        <w:sz w:val="18"/>
      </w:rPr>
      <w:fldChar w:fldCharType="begin"/>
    </w:r>
    <w:r w:rsidRPr="0012553A">
      <w:rPr>
        <w:rFonts w:ascii="Times New Roman" w:hAnsi="Times New Roman" w:cs="Times New Roman"/>
        <w:sz w:val="18"/>
        <w:szCs w:val="22"/>
      </w:rPr>
      <w:instrText>PAGE</w:instrText>
    </w:r>
    <w:r w:rsidRPr="0012553A">
      <w:rPr>
        <w:rFonts w:ascii="Times New Roman" w:hAnsi="Times New Roman" w:cs="Times New Roman"/>
        <w:sz w:val="18"/>
      </w:rPr>
      <w:fldChar w:fldCharType="separate"/>
    </w:r>
    <w:r w:rsidR="0012553A">
      <w:rPr>
        <w:rFonts w:ascii="Times New Roman" w:hAnsi="Times New Roman" w:cs="Times New Roman"/>
        <w:noProof/>
        <w:sz w:val="18"/>
        <w:szCs w:val="22"/>
      </w:rPr>
      <w:t>10</w:t>
    </w:r>
    <w:r w:rsidRPr="0012553A">
      <w:rPr>
        <w:rFonts w:ascii="Times New Roman" w:hAnsi="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8D07" w14:textId="211A20A2" w:rsidR="00073432" w:rsidRPr="00BA481B" w:rsidRDefault="00073432" w:rsidP="001558B6">
    <w:pPr>
      <w:pStyle w:val="Pta"/>
      <w:jc w:val="center"/>
      <w:rPr>
        <w:sz w:val="22"/>
      </w:rPr>
    </w:pPr>
    <w:r w:rsidRPr="00BA481B">
      <w:rPr>
        <w:rFonts w:ascii="Times New Roman" w:hAnsi="Times New Roman"/>
        <w:sz w:val="22"/>
      </w:rPr>
      <w:fldChar w:fldCharType="begin"/>
    </w:r>
    <w:r w:rsidRPr="00BA481B">
      <w:rPr>
        <w:rFonts w:ascii="Times New Roman" w:hAnsi="Times New Roman"/>
        <w:sz w:val="22"/>
      </w:rPr>
      <w:instrText>PAGE</w:instrText>
    </w:r>
    <w:r w:rsidRPr="00BA481B">
      <w:rPr>
        <w:rFonts w:ascii="Times New Roman" w:hAnsi="Times New Roman"/>
        <w:sz w:val="22"/>
      </w:rPr>
      <w:fldChar w:fldCharType="separate"/>
    </w:r>
    <w:r w:rsidRPr="00BA481B">
      <w:rPr>
        <w:rFonts w:ascii="Times New Roman" w:hAnsi="Times New Roman"/>
        <w:sz w:val="22"/>
      </w:rPr>
      <w:t>1</w:t>
    </w:r>
    <w:r w:rsidRPr="00BA481B">
      <w:rPr>
        <w:rFonts w:ascii="Times New Roman" w:hAnsi="Times New Roman"/>
        <w:sz w:val="22"/>
      </w:rPr>
      <w:fldChar w:fldCharType="end"/>
    </w:r>
    <w:r w:rsidRPr="00BA481B">
      <w:rPr>
        <w:rFonts w:ascii="Times New Roman" w:hAnsi="Times New Roman"/>
        <w:sz w:val="22"/>
      </w:rPr>
      <w:t>/</w:t>
    </w:r>
    <w:r w:rsidRPr="00BA481B">
      <w:rPr>
        <w:rFonts w:ascii="Times New Roman" w:hAnsi="Times New Roman"/>
        <w:sz w:val="22"/>
      </w:rPr>
      <w:fldChar w:fldCharType="begin"/>
    </w:r>
    <w:r w:rsidRPr="00EE1BB5">
      <w:rPr>
        <w:rFonts w:ascii="Times New Roman" w:hAnsi="Times New Roman"/>
        <w:sz w:val="22"/>
        <w:szCs w:val="22"/>
      </w:rPr>
      <w:instrText>NUMPAGES</w:instrText>
    </w:r>
    <w:r w:rsidRPr="00BA481B">
      <w:rPr>
        <w:rFonts w:ascii="Times New Roman" w:hAnsi="Times New Roman"/>
        <w:sz w:val="22"/>
      </w:rPr>
      <w:fldChar w:fldCharType="separate"/>
    </w:r>
    <w:r w:rsidRPr="00EE1BB5">
      <w:rPr>
        <w:rFonts w:ascii="Times New Roman" w:hAnsi="Times New Roman"/>
        <w:noProof/>
        <w:sz w:val="22"/>
        <w:szCs w:val="22"/>
      </w:rPr>
      <w:t>10</w:t>
    </w:r>
    <w:r w:rsidRPr="00BA481B">
      <w:rPr>
        <w:rFonts w:ascii="Times New Roman" w:hAnsi="Times New Roman"/>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C3A20" w14:textId="77777777" w:rsidR="005509B8" w:rsidRDefault="005509B8" w:rsidP="007D2664">
      <w:pPr>
        <w:spacing w:line="240" w:lineRule="auto"/>
      </w:pPr>
      <w:r>
        <w:separator/>
      </w:r>
    </w:p>
  </w:footnote>
  <w:footnote w:type="continuationSeparator" w:id="0">
    <w:p w14:paraId="03395171" w14:textId="77777777" w:rsidR="005509B8" w:rsidRDefault="005509B8" w:rsidP="007D2664">
      <w:pPr>
        <w:spacing w:line="240" w:lineRule="auto"/>
      </w:pPr>
      <w:r>
        <w:continuationSeparator/>
      </w:r>
    </w:p>
  </w:footnote>
  <w:footnote w:type="continuationNotice" w:id="1">
    <w:p w14:paraId="230EFC19" w14:textId="77777777" w:rsidR="005509B8" w:rsidRDefault="005509B8" w:rsidP="007D266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4B060" w14:textId="3BA48EF6" w:rsidR="00073432" w:rsidRPr="00EB0ECD" w:rsidRDefault="00073432" w:rsidP="00941F56">
    <w:pPr>
      <w:rPr>
        <w:sz w:val="18"/>
        <w:szCs w:val="18"/>
      </w:rPr>
    </w:pPr>
    <w:r w:rsidRPr="00941F56">
      <w:rPr>
        <w:sz w:val="18"/>
        <w:szCs w:val="18"/>
      </w:rPr>
      <w:t>Príloha č.</w:t>
    </w:r>
    <w:r>
      <w:rPr>
        <w:sz w:val="18"/>
        <w:szCs w:val="18"/>
      </w:rPr>
      <w:t xml:space="preserve"> </w:t>
    </w:r>
    <w:r w:rsidRPr="00941F56">
      <w:rPr>
        <w:sz w:val="18"/>
        <w:szCs w:val="18"/>
      </w:rPr>
      <w:t xml:space="preserve">1 k notifikácii o zmene, ev. č.: </w:t>
    </w:r>
    <w:r w:rsidRPr="0012553A">
      <w:rPr>
        <w:sz w:val="18"/>
        <w:szCs w:val="18"/>
      </w:rPr>
      <w:t>2015/01528</w:t>
    </w:r>
    <w:r w:rsidRPr="00EB0ECD">
      <w:rPr>
        <w:sz w:val="18"/>
        <w:szCs w:val="18"/>
      </w:rPr>
      <w:t>-Z1B, 2015/07324-Z1B</w:t>
    </w:r>
  </w:p>
  <w:p w14:paraId="455C7A8A" w14:textId="77777777" w:rsidR="00073432" w:rsidRPr="0012553A" w:rsidRDefault="00073432" w:rsidP="0012553A">
    <w:pP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A7304" w14:textId="77777777" w:rsidR="00073432" w:rsidRDefault="00073432" w:rsidP="00201716">
    <w:pPr>
      <w:rPr>
        <w:sz w:val="18"/>
        <w:szCs w:val="18"/>
        <w:lang w:val="cs-CZ"/>
      </w:rPr>
    </w:pPr>
    <w:r w:rsidRPr="00C23202">
      <w:rPr>
        <w:sz w:val="18"/>
        <w:szCs w:val="18"/>
        <w:highlight w:val="green"/>
      </w:rPr>
      <w:t>Príloha č.1 k notifikácii o zmene, ev. č.: 2015/01528</w:t>
    </w:r>
  </w:p>
  <w:p w14:paraId="05708337" w14:textId="668F54C5" w:rsidR="00073432" w:rsidRDefault="00073432" w:rsidP="00167823">
    <w:pPr>
      <w:rPr>
        <w:sz w:val="18"/>
        <w:szCs w:val="18"/>
      </w:rPr>
    </w:pPr>
    <w:r>
      <w:rPr>
        <w:sz w:val="18"/>
        <w:szCs w:val="18"/>
      </w:rPr>
      <w:t xml:space="preserve">Príloha č.1 k notifikácii o zmene, ev. č.: 2015/07324 </w:t>
    </w:r>
  </w:p>
  <w:p w14:paraId="48669964" w14:textId="77777777" w:rsidR="00073432" w:rsidRPr="007D2664" w:rsidRDefault="00073432" w:rsidP="00C9635C">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9BC64FA"/>
    <w:lvl w:ilvl="0">
      <w:start w:val="1"/>
      <w:numFmt w:val="decimal"/>
      <w:lvlText w:val="%1."/>
      <w:lvlJc w:val="left"/>
      <w:pPr>
        <w:tabs>
          <w:tab w:val="num" w:pos="1492"/>
        </w:tabs>
        <w:ind w:left="1492" w:hanging="360"/>
      </w:pPr>
    </w:lvl>
  </w:abstractNum>
  <w:abstractNum w:abstractNumId="1">
    <w:nsid w:val="FFFFFF7D"/>
    <w:multiLevelType w:val="singleLevel"/>
    <w:tmpl w:val="D062E898"/>
    <w:lvl w:ilvl="0">
      <w:start w:val="1"/>
      <w:numFmt w:val="decimal"/>
      <w:lvlText w:val="%1."/>
      <w:lvlJc w:val="left"/>
      <w:pPr>
        <w:tabs>
          <w:tab w:val="num" w:pos="1209"/>
        </w:tabs>
        <w:ind w:left="1209" w:hanging="360"/>
      </w:pPr>
    </w:lvl>
  </w:abstractNum>
  <w:abstractNum w:abstractNumId="2">
    <w:nsid w:val="FFFFFF7E"/>
    <w:multiLevelType w:val="singleLevel"/>
    <w:tmpl w:val="CBAAE3E2"/>
    <w:lvl w:ilvl="0">
      <w:start w:val="1"/>
      <w:numFmt w:val="decimal"/>
      <w:lvlText w:val="%1."/>
      <w:lvlJc w:val="left"/>
      <w:pPr>
        <w:tabs>
          <w:tab w:val="num" w:pos="926"/>
        </w:tabs>
        <w:ind w:left="926" w:hanging="360"/>
      </w:pPr>
    </w:lvl>
  </w:abstractNum>
  <w:abstractNum w:abstractNumId="3">
    <w:nsid w:val="FFFFFF7F"/>
    <w:multiLevelType w:val="singleLevel"/>
    <w:tmpl w:val="1096961C"/>
    <w:lvl w:ilvl="0">
      <w:start w:val="1"/>
      <w:numFmt w:val="decimal"/>
      <w:lvlText w:val="%1."/>
      <w:lvlJc w:val="left"/>
      <w:pPr>
        <w:tabs>
          <w:tab w:val="num" w:pos="643"/>
        </w:tabs>
        <w:ind w:left="643" w:hanging="360"/>
      </w:pPr>
    </w:lvl>
  </w:abstractNum>
  <w:abstractNum w:abstractNumId="4">
    <w:nsid w:val="FFFFFF80"/>
    <w:multiLevelType w:val="singleLevel"/>
    <w:tmpl w:val="BB9A71B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5C8C9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1634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FA47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EC8A14"/>
    <w:lvl w:ilvl="0">
      <w:start w:val="1"/>
      <w:numFmt w:val="decimal"/>
      <w:lvlText w:val="%1."/>
      <w:lvlJc w:val="left"/>
      <w:pPr>
        <w:tabs>
          <w:tab w:val="num" w:pos="360"/>
        </w:tabs>
        <w:ind w:left="360" w:hanging="360"/>
      </w:pPr>
    </w:lvl>
  </w:abstractNum>
  <w:abstractNum w:abstractNumId="9">
    <w:nsid w:val="FFFFFF89"/>
    <w:multiLevelType w:val="singleLevel"/>
    <w:tmpl w:val="547EE118"/>
    <w:lvl w:ilvl="0">
      <w:start w:val="1"/>
      <w:numFmt w:val="bullet"/>
      <w:lvlText w:val=""/>
      <w:lvlJc w:val="left"/>
      <w:pPr>
        <w:tabs>
          <w:tab w:val="num" w:pos="360"/>
        </w:tabs>
        <w:ind w:left="360" w:hanging="360"/>
      </w:pPr>
      <w:rPr>
        <w:rFonts w:ascii="Symbol" w:hAnsi="Symbol" w:hint="default"/>
      </w:rPr>
    </w:lvl>
  </w:abstractNum>
  <w:abstractNum w:abstractNumId="10">
    <w:nsid w:val="174C7DB5"/>
    <w:multiLevelType w:val="hybridMultilevel"/>
    <w:tmpl w:val="5AFCE5A8"/>
    <w:lvl w:ilvl="0" w:tplc="A0EC0DE4">
      <w:start w:val="1"/>
      <w:numFmt w:val="bullet"/>
      <w:pStyle w:val="Normlndoblokusodrkami"/>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FE64DA4"/>
    <w:multiLevelType w:val="hybridMultilevel"/>
    <w:tmpl w:val="ABFEA2CC"/>
    <w:lvl w:ilvl="0" w:tplc="8F2645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42E4C00"/>
    <w:multiLevelType w:val="hybridMultilevel"/>
    <w:tmpl w:val="E56AC67C"/>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nsid w:val="48F531D6"/>
    <w:multiLevelType w:val="hybridMultilevel"/>
    <w:tmpl w:val="20F6DA20"/>
    <w:lvl w:ilvl="0" w:tplc="0409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53DB4AD5"/>
    <w:multiLevelType w:val="hybridMultilevel"/>
    <w:tmpl w:val="3210E502"/>
    <w:lvl w:ilvl="0" w:tplc="EC4A65F4">
      <w:start w:val="1"/>
      <w:numFmt w:val="decimal"/>
      <w:pStyle w:val="Normlndoblokusslovn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16C4598"/>
    <w:multiLevelType w:val="singleLevel"/>
    <w:tmpl w:val="503A3AFE"/>
    <w:lvl w:ilvl="0">
      <w:start w:val="3"/>
      <w:numFmt w:val="bullet"/>
      <w:lvlText w:val="-"/>
      <w:lvlJc w:val="left"/>
      <w:pPr>
        <w:tabs>
          <w:tab w:val="num" w:pos="360"/>
        </w:tabs>
        <w:ind w:left="360" w:hanging="360"/>
      </w:pPr>
      <w:rPr>
        <w:rFonts w:hint="default"/>
      </w:rPr>
    </w:lvl>
  </w:abstractNum>
  <w:abstractNum w:abstractNumId="16">
    <w:nsid w:val="67086226"/>
    <w:multiLevelType w:val="hybridMultilevel"/>
    <w:tmpl w:val="C2F02C7A"/>
    <w:lvl w:ilvl="0" w:tplc="9288F23A">
      <w:start w:val="1"/>
      <w:numFmt w:val="bullet"/>
      <w:pStyle w:val="Odrky2"/>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AAD4AA7"/>
    <w:multiLevelType w:val="multilevel"/>
    <w:tmpl w:val="A91C2D68"/>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2A60F14"/>
    <w:multiLevelType w:val="hybridMultilevel"/>
    <w:tmpl w:val="43BE357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17"/>
  </w:num>
  <w:num w:numId="4">
    <w:abstractNumId w:val="10"/>
  </w:num>
  <w:num w:numId="5">
    <w:abstractNumId w:val="16"/>
  </w:num>
  <w:num w:numId="6">
    <w:abstractNumId w:val="17"/>
  </w:num>
  <w:num w:numId="7">
    <w:abstractNumId w:val="17"/>
  </w:num>
  <w:num w:numId="8">
    <w:abstractNumId w:val="10"/>
  </w:num>
  <w:num w:numId="9">
    <w:abstractNumId w:val="17"/>
  </w:num>
  <w:num w:numId="10">
    <w:abstractNumId w:val="17"/>
  </w:num>
  <w:num w:numId="11">
    <w:abstractNumId w:val="10"/>
  </w:num>
  <w:num w:numId="12">
    <w:abstractNumId w:val="17"/>
  </w:num>
  <w:num w:numId="13">
    <w:abstractNumId w:val="8"/>
  </w:num>
  <w:num w:numId="14">
    <w:abstractNumId w:val="3"/>
  </w:num>
  <w:num w:numId="15">
    <w:abstractNumId w:val="15"/>
  </w:num>
  <w:num w:numId="16">
    <w:abstractNumId w:val="18"/>
  </w:num>
  <w:num w:numId="17">
    <w:abstractNumId w:val="13"/>
  </w:num>
  <w:num w:numId="18">
    <w:abstractNumId w:val="12"/>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BB5"/>
    <w:rsid w:val="000018EF"/>
    <w:rsid w:val="00010177"/>
    <w:rsid w:val="000170E2"/>
    <w:rsid w:val="00026C3E"/>
    <w:rsid w:val="000319AA"/>
    <w:rsid w:val="0003345E"/>
    <w:rsid w:val="00042D68"/>
    <w:rsid w:val="00053E9F"/>
    <w:rsid w:val="000558F7"/>
    <w:rsid w:val="00063283"/>
    <w:rsid w:val="000645C7"/>
    <w:rsid w:val="00073432"/>
    <w:rsid w:val="00076621"/>
    <w:rsid w:val="0009570B"/>
    <w:rsid w:val="000A2CD7"/>
    <w:rsid w:val="000A7FFD"/>
    <w:rsid w:val="000B023F"/>
    <w:rsid w:val="000B163A"/>
    <w:rsid w:val="000C4D70"/>
    <w:rsid w:val="000D7A08"/>
    <w:rsid w:val="000F01B1"/>
    <w:rsid w:val="000F4A32"/>
    <w:rsid w:val="00101087"/>
    <w:rsid w:val="00102457"/>
    <w:rsid w:val="00103F46"/>
    <w:rsid w:val="00112E30"/>
    <w:rsid w:val="00114869"/>
    <w:rsid w:val="00114943"/>
    <w:rsid w:val="0012444E"/>
    <w:rsid w:val="00124CBA"/>
    <w:rsid w:val="0012553A"/>
    <w:rsid w:val="00126C9C"/>
    <w:rsid w:val="00127348"/>
    <w:rsid w:val="00135F85"/>
    <w:rsid w:val="00140C88"/>
    <w:rsid w:val="001558B6"/>
    <w:rsid w:val="00155B19"/>
    <w:rsid w:val="00157230"/>
    <w:rsid w:val="00164924"/>
    <w:rsid w:val="00167823"/>
    <w:rsid w:val="001739AC"/>
    <w:rsid w:val="001745CB"/>
    <w:rsid w:val="001746EF"/>
    <w:rsid w:val="0018323F"/>
    <w:rsid w:val="00183A42"/>
    <w:rsid w:val="00184E22"/>
    <w:rsid w:val="00185702"/>
    <w:rsid w:val="00186B2E"/>
    <w:rsid w:val="0019495D"/>
    <w:rsid w:val="00194DA2"/>
    <w:rsid w:val="001A7FA7"/>
    <w:rsid w:val="001B04CA"/>
    <w:rsid w:val="001B23AD"/>
    <w:rsid w:val="001B3E34"/>
    <w:rsid w:val="001B4703"/>
    <w:rsid w:val="001C02D3"/>
    <w:rsid w:val="001D0E34"/>
    <w:rsid w:val="001D3BE9"/>
    <w:rsid w:val="001E5159"/>
    <w:rsid w:val="001E6548"/>
    <w:rsid w:val="001F2CEF"/>
    <w:rsid w:val="00201716"/>
    <w:rsid w:val="0020194B"/>
    <w:rsid w:val="00202E8E"/>
    <w:rsid w:val="002034D3"/>
    <w:rsid w:val="00211477"/>
    <w:rsid w:val="00227A0C"/>
    <w:rsid w:val="002372AA"/>
    <w:rsid w:val="002447C9"/>
    <w:rsid w:val="00245620"/>
    <w:rsid w:val="0025209A"/>
    <w:rsid w:val="00260777"/>
    <w:rsid w:val="00261CD7"/>
    <w:rsid w:val="0026442F"/>
    <w:rsid w:val="002723DB"/>
    <w:rsid w:val="002816D4"/>
    <w:rsid w:val="00291EAF"/>
    <w:rsid w:val="002A3313"/>
    <w:rsid w:val="002C0438"/>
    <w:rsid w:val="002C50C4"/>
    <w:rsid w:val="002D1E75"/>
    <w:rsid w:val="002D5BE9"/>
    <w:rsid w:val="002E7B8F"/>
    <w:rsid w:val="00304EE7"/>
    <w:rsid w:val="00311D4B"/>
    <w:rsid w:val="00341AD9"/>
    <w:rsid w:val="00347FA1"/>
    <w:rsid w:val="00351BED"/>
    <w:rsid w:val="00370AB8"/>
    <w:rsid w:val="00371290"/>
    <w:rsid w:val="00374300"/>
    <w:rsid w:val="00375897"/>
    <w:rsid w:val="00390C2A"/>
    <w:rsid w:val="00393B2C"/>
    <w:rsid w:val="003A264D"/>
    <w:rsid w:val="003A5A6B"/>
    <w:rsid w:val="003B0685"/>
    <w:rsid w:val="003B1E25"/>
    <w:rsid w:val="003B43E5"/>
    <w:rsid w:val="003B517A"/>
    <w:rsid w:val="003B79D3"/>
    <w:rsid w:val="003C2812"/>
    <w:rsid w:val="003C5887"/>
    <w:rsid w:val="003C7F91"/>
    <w:rsid w:val="003D6BA8"/>
    <w:rsid w:val="003E786F"/>
    <w:rsid w:val="00401850"/>
    <w:rsid w:val="004052DE"/>
    <w:rsid w:val="0041515D"/>
    <w:rsid w:val="00423878"/>
    <w:rsid w:val="004349C6"/>
    <w:rsid w:val="004426BE"/>
    <w:rsid w:val="0044480D"/>
    <w:rsid w:val="004462EA"/>
    <w:rsid w:val="00446BFF"/>
    <w:rsid w:val="00447E30"/>
    <w:rsid w:val="00453FD7"/>
    <w:rsid w:val="00454341"/>
    <w:rsid w:val="00455746"/>
    <w:rsid w:val="00473FBE"/>
    <w:rsid w:val="0048660D"/>
    <w:rsid w:val="004867A0"/>
    <w:rsid w:val="00492E22"/>
    <w:rsid w:val="00497D26"/>
    <w:rsid w:val="004A5880"/>
    <w:rsid w:val="004A59F9"/>
    <w:rsid w:val="004A7B66"/>
    <w:rsid w:val="004B2747"/>
    <w:rsid w:val="004B707C"/>
    <w:rsid w:val="004B72B8"/>
    <w:rsid w:val="004B7FCE"/>
    <w:rsid w:val="004C1B68"/>
    <w:rsid w:val="004C3BC1"/>
    <w:rsid w:val="004C581F"/>
    <w:rsid w:val="004D746B"/>
    <w:rsid w:val="004D7FBB"/>
    <w:rsid w:val="004F456E"/>
    <w:rsid w:val="0051135F"/>
    <w:rsid w:val="0051177B"/>
    <w:rsid w:val="0051714B"/>
    <w:rsid w:val="00526FA5"/>
    <w:rsid w:val="00530727"/>
    <w:rsid w:val="00535EE1"/>
    <w:rsid w:val="005456FE"/>
    <w:rsid w:val="005509B8"/>
    <w:rsid w:val="00553AE7"/>
    <w:rsid w:val="00561382"/>
    <w:rsid w:val="00573280"/>
    <w:rsid w:val="00575525"/>
    <w:rsid w:val="00576989"/>
    <w:rsid w:val="00585305"/>
    <w:rsid w:val="0059619C"/>
    <w:rsid w:val="005A3131"/>
    <w:rsid w:val="005A6DDF"/>
    <w:rsid w:val="005B65BD"/>
    <w:rsid w:val="005B6B0D"/>
    <w:rsid w:val="005E6728"/>
    <w:rsid w:val="005F375C"/>
    <w:rsid w:val="00600BA7"/>
    <w:rsid w:val="0060583E"/>
    <w:rsid w:val="00611681"/>
    <w:rsid w:val="00616A26"/>
    <w:rsid w:val="0062334B"/>
    <w:rsid w:val="006242DC"/>
    <w:rsid w:val="00631B0C"/>
    <w:rsid w:val="006436AB"/>
    <w:rsid w:val="00647BA6"/>
    <w:rsid w:val="00650303"/>
    <w:rsid w:val="006562CC"/>
    <w:rsid w:val="00657D5B"/>
    <w:rsid w:val="006621F0"/>
    <w:rsid w:val="00665007"/>
    <w:rsid w:val="00671716"/>
    <w:rsid w:val="0068645F"/>
    <w:rsid w:val="006903FB"/>
    <w:rsid w:val="00694A73"/>
    <w:rsid w:val="00697F7F"/>
    <w:rsid w:val="006C029C"/>
    <w:rsid w:val="006C1FAC"/>
    <w:rsid w:val="006C36C4"/>
    <w:rsid w:val="006D31AB"/>
    <w:rsid w:val="006E1953"/>
    <w:rsid w:val="006F22A8"/>
    <w:rsid w:val="00711A6A"/>
    <w:rsid w:val="00716664"/>
    <w:rsid w:val="00716BCA"/>
    <w:rsid w:val="0073156F"/>
    <w:rsid w:val="00741AA1"/>
    <w:rsid w:val="007462E2"/>
    <w:rsid w:val="007523B1"/>
    <w:rsid w:val="00752E60"/>
    <w:rsid w:val="00773077"/>
    <w:rsid w:val="00777A33"/>
    <w:rsid w:val="007815AF"/>
    <w:rsid w:val="0079685E"/>
    <w:rsid w:val="007A2CE9"/>
    <w:rsid w:val="007D2664"/>
    <w:rsid w:val="007E0B98"/>
    <w:rsid w:val="007E132A"/>
    <w:rsid w:val="007E7FEE"/>
    <w:rsid w:val="008161EE"/>
    <w:rsid w:val="00816ADC"/>
    <w:rsid w:val="00816E62"/>
    <w:rsid w:val="008268E9"/>
    <w:rsid w:val="00826E60"/>
    <w:rsid w:val="008302AB"/>
    <w:rsid w:val="00831368"/>
    <w:rsid w:val="00831389"/>
    <w:rsid w:val="008326C3"/>
    <w:rsid w:val="0083405E"/>
    <w:rsid w:val="0083732F"/>
    <w:rsid w:val="008452D0"/>
    <w:rsid w:val="00845C88"/>
    <w:rsid w:val="008511BB"/>
    <w:rsid w:val="00855634"/>
    <w:rsid w:val="00866CF3"/>
    <w:rsid w:val="00867AF8"/>
    <w:rsid w:val="008701A6"/>
    <w:rsid w:val="00871D23"/>
    <w:rsid w:val="00874034"/>
    <w:rsid w:val="008743B0"/>
    <w:rsid w:val="00876ABD"/>
    <w:rsid w:val="0087720B"/>
    <w:rsid w:val="008833B1"/>
    <w:rsid w:val="008B342E"/>
    <w:rsid w:val="008B5693"/>
    <w:rsid w:val="008D13C2"/>
    <w:rsid w:val="008D64DC"/>
    <w:rsid w:val="008D7AB6"/>
    <w:rsid w:val="008F4B91"/>
    <w:rsid w:val="008F7751"/>
    <w:rsid w:val="0090611B"/>
    <w:rsid w:val="00906D2E"/>
    <w:rsid w:val="00906E1C"/>
    <w:rsid w:val="00916F58"/>
    <w:rsid w:val="00917551"/>
    <w:rsid w:val="00917932"/>
    <w:rsid w:val="0092371A"/>
    <w:rsid w:val="00941F56"/>
    <w:rsid w:val="00943E14"/>
    <w:rsid w:val="009506D4"/>
    <w:rsid w:val="00980DC7"/>
    <w:rsid w:val="0098608C"/>
    <w:rsid w:val="00987F07"/>
    <w:rsid w:val="00990095"/>
    <w:rsid w:val="00993CD7"/>
    <w:rsid w:val="009A1E58"/>
    <w:rsid w:val="009A484C"/>
    <w:rsid w:val="009A5F9E"/>
    <w:rsid w:val="009B3DD3"/>
    <w:rsid w:val="009C1D9F"/>
    <w:rsid w:val="009C6D85"/>
    <w:rsid w:val="009D18D0"/>
    <w:rsid w:val="009D3739"/>
    <w:rsid w:val="009D673B"/>
    <w:rsid w:val="009D745C"/>
    <w:rsid w:val="009D74D2"/>
    <w:rsid w:val="009D79D6"/>
    <w:rsid w:val="009E083D"/>
    <w:rsid w:val="009E178A"/>
    <w:rsid w:val="009E27E8"/>
    <w:rsid w:val="009E6EE2"/>
    <w:rsid w:val="009E7880"/>
    <w:rsid w:val="009E7A84"/>
    <w:rsid w:val="009E7BEA"/>
    <w:rsid w:val="009F776F"/>
    <w:rsid w:val="00A03AA0"/>
    <w:rsid w:val="00A0534B"/>
    <w:rsid w:val="00A065F9"/>
    <w:rsid w:val="00A06CFA"/>
    <w:rsid w:val="00A07323"/>
    <w:rsid w:val="00A100E0"/>
    <w:rsid w:val="00A113A1"/>
    <w:rsid w:val="00A1631D"/>
    <w:rsid w:val="00A16427"/>
    <w:rsid w:val="00A26343"/>
    <w:rsid w:val="00A326E8"/>
    <w:rsid w:val="00A43AD4"/>
    <w:rsid w:val="00A5095F"/>
    <w:rsid w:val="00A51A06"/>
    <w:rsid w:val="00A868E0"/>
    <w:rsid w:val="00AA445F"/>
    <w:rsid w:val="00AA4E3F"/>
    <w:rsid w:val="00AB14F1"/>
    <w:rsid w:val="00AB7229"/>
    <w:rsid w:val="00AC380A"/>
    <w:rsid w:val="00AD098B"/>
    <w:rsid w:val="00AE3499"/>
    <w:rsid w:val="00AF11E2"/>
    <w:rsid w:val="00AF3B41"/>
    <w:rsid w:val="00B0080F"/>
    <w:rsid w:val="00B040DF"/>
    <w:rsid w:val="00B16B9C"/>
    <w:rsid w:val="00B1727A"/>
    <w:rsid w:val="00B21885"/>
    <w:rsid w:val="00B22E76"/>
    <w:rsid w:val="00B272FD"/>
    <w:rsid w:val="00B34629"/>
    <w:rsid w:val="00B36807"/>
    <w:rsid w:val="00B3694E"/>
    <w:rsid w:val="00B43081"/>
    <w:rsid w:val="00B436D1"/>
    <w:rsid w:val="00B518D2"/>
    <w:rsid w:val="00B54CBF"/>
    <w:rsid w:val="00B60231"/>
    <w:rsid w:val="00B60596"/>
    <w:rsid w:val="00B65A36"/>
    <w:rsid w:val="00B760A1"/>
    <w:rsid w:val="00B77B0A"/>
    <w:rsid w:val="00B8198A"/>
    <w:rsid w:val="00B84238"/>
    <w:rsid w:val="00B87EFB"/>
    <w:rsid w:val="00B97B88"/>
    <w:rsid w:val="00BA481B"/>
    <w:rsid w:val="00BA4851"/>
    <w:rsid w:val="00BB5845"/>
    <w:rsid w:val="00BB6EF7"/>
    <w:rsid w:val="00BB7C1D"/>
    <w:rsid w:val="00BE7C65"/>
    <w:rsid w:val="00BF551F"/>
    <w:rsid w:val="00C0541F"/>
    <w:rsid w:val="00C064A9"/>
    <w:rsid w:val="00C12BB2"/>
    <w:rsid w:val="00C16066"/>
    <w:rsid w:val="00C16188"/>
    <w:rsid w:val="00C23129"/>
    <w:rsid w:val="00C23202"/>
    <w:rsid w:val="00C400C7"/>
    <w:rsid w:val="00C430EA"/>
    <w:rsid w:val="00C453D1"/>
    <w:rsid w:val="00C456E3"/>
    <w:rsid w:val="00C45FDF"/>
    <w:rsid w:val="00C50E1E"/>
    <w:rsid w:val="00C518B5"/>
    <w:rsid w:val="00C6199B"/>
    <w:rsid w:val="00C7375E"/>
    <w:rsid w:val="00C75110"/>
    <w:rsid w:val="00C77255"/>
    <w:rsid w:val="00C95D55"/>
    <w:rsid w:val="00C9635C"/>
    <w:rsid w:val="00CA1CA9"/>
    <w:rsid w:val="00CA6D0E"/>
    <w:rsid w:val="00CC1F92"/>
    <w:rsid w:val="00CC3152"/>
    <w:rsid w:val="00CD2322"/>
    <w:rsid w:val="00CD39D3"/>
    <w:rsid w:val="00D01FA1"/>
    <w:rsid w:val="00D15E51"/>
    <w:rsid w:val="00D21E2E"/>
    <w:rsid w:val="00D3279A"/>
    <w:rsid w:val="00D34571"/>
    <w:rsid w:val="00D36287"/>
    <w:rsid w:val="00D625E0"/>
    <w:rsid w:val="00D6286D"/>
    <w:rsid w:val="00D70FA9"/>
    <w:rsid w:val="00D72DC3"/>
    <w:rsid w:val="00D83488"/>
    <w:rsid w:val="00D8741C"/>
    <w:rsid w:val="00D94EC1"/>
    <w:rsid w:val="00DA7311"/>
    <w:rsid w:val="00DB0EAF"/>
    <w:rsid w:val="00DB429D"/>
    <w:rsid w:val="00DD166D"/>
    <w:rsid w:val="00DF0DD3"/>
    <w:rsid w:val="00E239A2"/>
    <w:rsid w:val="00E300E7"/>
    <w:rsid w:val="00E47BEA"/>
    <w:rsid w:val="00E518CE"/>
    <w:rsid w:val="00E6543D"/>
    <w:rsid w:val="00E738CA"/>
    <w:rsid w:val="00E739BF"/>
    <w:rsid w:val="00E8754E"/>
    <w:rsid w:val="00EA41C6"/>
    <w:rsid w:val="00EA7C7C"/>
    <w:rsid w:val="00EC2374"/>
    <w:rsid w:val="00EC3D0D"/>
    <w:rsid w:val="00EC4A90"/>
    <w:rsid w:val="00ED5B0A"/>
    <w:rsid w:val="00EE156F"/>
    <w:rsid w:val="00EE1BB5"/>
    <w:rsid w:val="00EE763B"/>
    <w:rsid w:val="00EF30B7"/>
    <w:rsid w:val="00EF43C5"/>
    <w:rsid w:val="00F032AB"/>
    <w:rsid w:val="00F05500"/>
    <w:rsid w:val="00F12165"/>
    <w:rsid w:val="00F163FA"/>
    <w:rsid w:val="00F22443"/>
    <w:rsid w:val="00F27CD0"/>
    <w:rsid w:val="00F30F83"/>
    <w:rsid w:val="00F36100"/>
    <w:rsid w:val="00F4135C"/>
    <w:rsid w:val="00F43965"/>
    <w:rsid w:val="00F45A51"/>
    <w:rsid w:val="00F50AA9"/>
    <w:rsid w:val="00F95F73"/>
    <w:rsid w:val="00FA0381"/>
    <w:rsid w:val="00FD7660"/>
    <w:rsid w:val="00FE1624"/>
    <w:rsid w:val="00FE4114"/>
    <w:rsid w:val="00FF17DC"/>
    <w:rsid w:val="00FF68BD"/>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82A5BF6"/>
  <w15:chartTrackingRefBased/>
  <w15:docId w15:val="{95D0F7E3-E9EF-4A37-802B-150494B4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D2664"/>
    <w:pPr>
      <w:tabs>
        <w:tab w:val="left" w:pos="567"/>
      </w:tabs>
      <w:spacing w:after="0" w:line="260" w:lineRule="exact"/>
    </w:pPr>
    <w:rPr>
      <w:rFonts w:ascii="Times New Roman" w:hAnsi="Times New Roman" w:cs="Times New Roman"/>
      <w:lang w:val="sk-SK"/>
    </w:rPr>
  </w:style>
  <w:style w:type="paragraph" w:styleId="Nadpis1">
    <w:name w:val="heading 1"/>
    <w:basedOn w:val="Normlny"/>
    <w:next w:val="Normlny"/>
    <w:link w:val="Nadpis1Char"/>
    <w:qFormat/>
    <w:rsid w:val="007D2664"/>
    <w:pPr>
      <w:keepNext/>
      <w:jc w:val="center"/>
      <w:outlineLvl w:val="0"/>
    </w:pPr>
    <w:rPr>
      <w:rFonts w:ascii="Arial" w:hAnsi="Arial"/>
      <w:b/>
      <w:sz w:val="28"/>
    </w:rPr>
  </w:style>
  <w:style w:type="paragraph" w:styleId="Nadpis2">
    <w:name w:val="heading 2"/>
    <w:basedOn w:val="Normlny"/>
    <w:next w:val="Normlny"/>
    <w:link w:val="Nadpis2Char"/>
    <w:qFormat/>
    <w:rsid w:val="007D2664"/>
    <w:pPr>
      <w:keepNext/>
      <w:tabs>
        <w:tab w:val="clear" w:pos="567"/>
      </w:tabs>
      <w:spacing w:line="240" w:lineRule="auto"/>
      <w:jc w:val="both"/>
      <w:outlineLvl w:val="1"/>
    </w:pPr>
    <w:rPr>
      <w:rFonts w:ascii="Calibri" w:eastAsia="Calibri" w:hAnsi="Calibri"/>
      <w:b/>
      <w:sz w:val="24"/>
    </w:rPr>
  </w:style>
  <w:style w:type="paragraph" w:styleId="Nadpis3">
    <w:name w:val="heading 3"/>
    <w:basedOn w:val="Normlny"/>
    <w:next w:val="Normlny"/>
    <w:link w:val="Nadpis3Char"/>
    <w:qFormat/>
    <w:rsid w:val="007D2664"/>
    <w:pPr>
      <w:keepNext/>
      <w:tabs>
        <w:tab w:val="clear" w:pos="567"/>
      </w:tabs>
      <w:spacing w:line="240" w:lineRule="auto"/>
      <w:jc w:val="both"/>
      <w:outlineLvl w:val="2"/>
    </w:pPr>
    <w:rPr>
      <w:rFonts w:ascii="Calibri" w:eastAsia="Calibri" w:hAnsi="Calibri"/>
      <w:i/>
      <w:sz w:val="24"/>
    </w:rPr>
  </w:style>
  <w:style w:type="paragraph" w:styleId="Nadpis4">
    <w:name w:val="heading 4"/>
    <w:basedOn w:val="Normlny"/>
    <w:next w:val="Normlny"/>
    <w:link w:val="Nadpis4Char"/>
    <w:qFormat/>
    <w:rsid w:val="007D2664"/>
    <w:pPr>
      <w:keepNext/>
      <w:tabs>
        <w:tab w:val="clear" w:pos="567"/>
      </w:tabs>
      <w:spacing w:line="240" w:lineRule="auto"/>
      <w:jc w:val="both"/>
      <w:outlineLvl w:val="3"/>
    </w:pPr>
    <w:rPr>
      <w:rFonts w:ascii="Calibri" w:eastAsia="Calibri" w:hAnsi="Calibri"/>
      <w:sz w:val="24"/>
    </w:rPr>
  </w:style>
  <w:style w:type="paragraph" w:styleId="Nadpis5">
    <w:name w:val="heading 5"/>
    <w:basedOn w:val="Normlny"/>
    <w:next w:val="Normlny"/>
    <w:link w:val="Nadpis5Char"/>
    <w:qFormat/>
    <w:rsid w:val="007D2664"/>
    <w:pPr>
      <w:keepNext/>
      <w:tabs>
        <w:tab w:val="clear" w:pos="567"/>
      </w:tabs>
      <w:spacing w:line="240" w:lineRule="auto"/>
      <w:jc w:val="both"/>
      <w:outlineLvl w:val="4"/>
    </w:pPr>
    <w:rPr>
      <w:rFonts w:ascii="Arial" w:eastAsia="Calibri" w:hAnsi="Arial" w:cs="Arial"/>
      <w:b/>
      <w:bCs/>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dobloku">
    <w:name w:val="Normální do bloku"/>
    <w:basedOn w:val="Normlny"/>
    <w:link w:val="NormlndoblokuChar"/>
    <w:autoRedefine/>
    <w:rsid w:val="0083732F"/>
    <w:pPr>
      <w:suppressAutoHyphens/>
      <w:spacing w:after="120" w:line="240" w:lineRule="auto"/>
      <w:jc w:val="both"/>
    </w:pPr>
    <w:rPr>
      <w:rFonts w:eastAsia="Calibri"/>
      <w:szCs w:val="24"/>
      <w:lang w:eastAsia="cs-CZ"/>
    </w:rPr>
  </w:style>
  <w:style w:type="character" w:customStyle="1" w:styleId="NormlndoblokuChar">
    <w:name w:val="Normální do bloku Char"/>
    <w:link w:val="Normlndobloku"/>
    <w:rsid w:val="0083732F"/>
    <w:rPr>
      <w:rFonts w:ascii="Times New Roman" w:eastAsia="Calibri" w:hAnsi="Times New Roman" w:cs="Times New Roman"/>
      <w:szCs w:val="24"/>
      <w:lang w:val="sk-SK" w:eastAsia="cs-CZ"/>
    </w:rPr>
  </w:style>
  <w:style w:type="paragraph" w:customStyle="1" w:styleId="Hlavika1">
    <w:name w:val="Hlavička1"/>
    <w:basedOn w:val="Normlndobloku"/>
    <w:qFormat/>
    <w:rsid w:val="006436AB"/>
    <w:pPr>
      <w:suppressAutoHyphens w:val="0"/>
      <w:spacing w:after="240"/>
      <w:jc w:val="center"/>
    </w:pPr>
    <w:rPr>
      <w:rFonts w:eastAsiaTheme="minorHAnsi"/>
      <w:b/>
      <w:szCs w:val="22"/>
    </w:rPr>
  </w:style>
  <w:style w:type="character" w:styleId="Hypertextovprepojenie">
    <w:name w:val="Hyperlink"/>
    <w:rsid w:val="007D2664"/>
    <w:rPr>
      <w:color w:val="0000FF"/>
      <w:u w:val="single"/>
    </w:rPr>
  </w:style>
  <w:style w:type="paragraph" w:customStyle="1" w:styleId="Normlndoblokusslovnm">
    <w:name w:val="Normální do bloku s číslováním"/>
    <w:basedOn w:val="Normlndobloku"/>
    <w:qFormat/>
    <w:rsid w:val="006436AB"/>
    <w:pPr>
      <w:numPr>
        <w:numId w:val="1"/>
      </w:numPr>
      <w:suppressAutoHyphens w:val="0"/>
      <w:spacing w:after="0"/>
    </w:pPr>
    <w:rPr>
      <w:rFonts w:eastAsiaTheme="minorHAnsi"/>
      <w:szCs w:val="22"/>
    </w:rPr>
  </w:style>
  <w:style w:type="paragraph" w:customStyle="1" w:styleId="Normlndoblokusodrkami">
    <w:name w:val="Normální do bloku s odrážkami"/>
    <w:basedOn w:val="Normlndobloku"/>
    <w:next w:val="Normlndobloku"/>
    <w:autoRedefine/>
    <w:qFormat/>
    <w:rsid w:val="007D2664"/>
    <w:pPr>
      <w:numPr>
        <w:numId w:val="11"/>
      </w:numPr>
      <w:tabs>
        <w:tab w:val="clear" w:pos="567"/>
      </w:tabs>
    </w:pPr>
    <w:rPr>
      <w:rFonts w:eastAsia="Times New Roman"/>
      <w:lang w:eastAsia="en-US"/>
    </w:rPr>
  </w:style>
  <w:style w:type="paragraph" w:customStyle="1" w:styleId="Styl1">
    <w:name w:val="Styl1"/>
    <w:basedOn w:val="Normlny"/>
    <w:autoRedefine/>
    <w:rsid w:val="007D2664"/>
    <w:pPr>
      <w:keepNext/>
      <w:numPr>
        <w:numId w:val="3"/>
      </w:numPr>
      <w:tabs>
        <w:tab w:val="clear" w:pos="360"/>
        <w:tab w:val="clear" w:pos="567"/>
        <w:tab w:val="left" w:pos="0"/>
      </w:tabs>
      <w:spacing w:before="360" w:after="240" w:line="240" w:lineRule="auto"/>
      <w:ind w:left="0" w:firstLine="0"/>
    </w:pPr>
    <w:rPr>
      <w:b/>
      <w:bCs/>
      <w:caps/>
      <w:szCs w:val="24"/>
      <w:lang w:val="en-US" w:eastAsia="cs-CZ"/>
    </w:rPr>
  </w:style>
  <w:style w:type="paragraph" w:customStyle="1" w:styleId="Styl2">
    <w:name w:val="Styl2"/>
    <w:basedOn w:val="Normlny"/>
    <w:autoRedefine/>
    <w:rsid w:val="008511BB"/>
    <w:pPr>
      <w:keepNext/>
      <w:numPr>
        <w:ilvl w:val="1"/>
        <w:numId w:val="3"/>
      </w:numPr>
      <w:tabs>
        <w:tab w:val="clear" w:pos="567"/>
      </w:tabs>
      <w:suppressAutoHyphens/>
      <w:spacing w:before="240" w:after="160" w:line="240" w:lineRule="auto"/>
      <w:ind w:left="0" w:firstLine="0"/>
    </w:pPr>
    <w:rPr>
      <w:b/>
      <w:bCs/>
    </w:rPr>
  </w:style>
  <w:style w:type="paragraph" w:customStyle="1" w:styleId="Styl2-2">
    <w:name w:val="Styl2-2"/>
    <w:basedOn w:val="Styl2"/>
    <w:next w:val="Normlndobloku"/>
    <w:autoRedefine/>
    <w:qFormat/>
    <w:rsid w:val="00D21E2E"/>
    <w:rPr>
      <w:b w:val="0"/>
      <w:u w:val="single"/>
      <w:lang w:val="cs-CZ"/>
    </w:rPr>
  </w:style>
  <w:style w:type="paragraph" w:customStyle="1" w:styleId="Styl3">
    <w:name w:val="Styl3"/>
    <w:basedOn w:val="Normlndobloku"/>
    <w:link w:val="Styl3Char"/>
    <w:autoRedefine/>
    <w:rsid w:val="008511BB"/>
    <w:pPr>
      <w:keepNext/>
      <w:tabs>
        <w:tab w:val="left" w:pos="6946"/>
      </w:tabs>
      <w:suppressAutoHyphens w:val="0"/>
    </w:pPr>
    <w:rPr>
      <w:u w:val="single"/>
      <w:lang w:eastAsia="en-US"/>
    </w:rPr>
  </w:style>
  <w:style w:type="character" w:customStyle="1" w:styleId="Styl3Char">
    <w:name w:val="Styl3 Char"/>
    <w:link w:val="Styl3"/>
    <w:rsid w:val="008511BB"/>
    <w:rPr>
      <w:rFonts w:ascii="Times New Roman" w:eastAsia="Calibri" w:hAnsi="Times New Roman" w:cs="Times New Roman"/>
      <w:szCs w:val="24"/>
      <w:u w:val="single"/>
      <w:lang w:val="sk-SK"/>
    </w:rPr>
  </w:style>
  <w:style w:type="paragraph" w:customStyle="1" w:styleId="Styl4">
    <w:name w:val="Styl4"/>
    <w:basedOn w:val="Styl2"/>
    <w:autoRedefine/>
    <w:qFormat/>
    <w:rsid w:val="007D2664"/>
    <w:rPr>
      <w:b w:val="0"/>
      <w:i/>
    </w:rPr>
  </w:style>
  <w:style w:type="paragraph" w:styleId="Hlavika">
    <w:name w:val="header"/>
    <w:basedOn w:val="Normlny"/>
    <w:link w:val="HlavikaChar"/>
    <w:rsid w:val="007D2664"/>
    <w:pPr>
      <w:tabs>
        <w:tab w:val="center" w:pos="4153"/>
        <w:tab w:val="right" w:pos="8306"/>
      </w:tabs>
      <w:spacing w:line="240" w:lineRule="auto"/>
    </w:pPr>
    <w:rPr>
      <w:rFonts w:ascii="Helvetica" w:hAnsi="Helvetica" w:cs="Helvetica"/>
      <w:sz w:val="20"/>
      <w:szCs w:val="20"/>
    </w:rPr>
  </w:style>
  <w:style w:type="character" w:customStyle="1" w:styleId="HlavikaChar">
    <w:name w:val="Hlavička Char"/>
    <w:basedOn w:val="Predvolenpsmoodseku"/>
    <w:link w:val="Hlavika"/>
    <w:rsid w:val="00D21E2E"/>
    <w:rPr>
      <w:rFonts w:ascii="Helvetica" w:hAnsi="Helvetica" w:cs="Helvetica"/>
      <w:sz w:val="20"/>
      <w:szCs w:val="20"/>
      <w:lang w:val="sk-SK"/>
    </w:rPr>
  </w:style>
  <w:style w:type="paragraph" w:styleId="Pta">
    <w:name w:val="footer"/>
    <w:basedOn w:val="Normlny"/>
    <w:link w:val="PtaChar"/>
    <w:uiPriority w:val="99"/>
    <w:rsid w:val="007D2664"/>
    <w:pPr>
      <w:tabs>
        <w:tab w:val="center" w:pos="4536"/>
        <w:tab w:val="center" w:pos="8930"/>
      </w:tabs>
      <w:spacing w:line="240" w:lineRule="auto"/>
    </w:pPr>
    <w:rPr>
      <w:rFonts w:ascii="Helvetica" w:hAnsi="Helvetica" w:cs="Helvetica"/>
      <w:sz w:val="16"/>
      <w:szCs w:val="16"/>
    </w:rPr>
  </w:style>
  <w:style w:type="character" w:customStyle="1" w:styleId="PtaChar">
    <w:name w:val="Päta Char"/>
    <w:basedOn w:val="Predvolenpsmoodseku"/>
    <w:link w:val="Pta"/>
    <w:uiPriority w:val="99"/>
    <w:rsid w:val="00D21E2E"/>
    <w:rPr>
      <w:rFonts w:ascii="Helvetica" w:hAnsi="Helvetica" w:cs="Helvetica"/>
      <w:sz w:val="16"/>
      <w:szCs w:val="16"/>
      <w:lang w:val="sk-SK"/>
    </w:rPr>
  </w:style>
  <w:style w:type="character" w:customStyle="1" w:styleId="atn">
    <w:name w:val="atn"/>
    <w:basedOn w:val="Predvolenpsmoodseku"/>
    <w:rsid w:val="0068645F"/>
  </w:style>
  <w:style w:type="paragraph" w:customStyle="1" w:styleId="Bacil">
    <w:name w:val="Bacil"/>
    <w:basedOn w:val="Normlny"/>
    <w:autoRedefine/>
    <w:qFormat/>
    <w:rsid w:val="002372AA"/>
    <w:pPr>
      <w:spacing w:after="120"/>
    </w:pPr>
    <w:rPr>
      <w:i/>
    </w:rPr>
  </w:style>
  <w:style w:type="paragraph" w:customStyle="1" w:styleId="Default">
    <w:name w:val="Default"/>
    <w:rsid w:val="007D2664"/>
    <w:pPr>
      <w:autoSpaceDE w:val="0"/>
      <w:autoSpaceDN w:val="0"/>
      <w:adjustRightInd w:val="0"/>
      <w:spacing w:after="0" w:line="240" w:lineRule="auto"/>
    </w:pPr>
    <w:rPr>
      <w:rFonts w:ascii="Times New Roman" w:hAnsi="Times New Roman" w:cs="Times New Roman"/>
      <w:color w:val="000000"/>
      <w:sz w:val="24"/>
      <w:szCs w:val="24"/>
      <w:lang w:eastAsia="cs-CZ"/>
    </w:rPr>
  </w:style>
  <w:style w:type="character" w:customStyle="1" w:styleId="Nadpis1Char">
    <w:name w:val="Nadpis 1 Char"/>
    <w:basedOn w:val="Predvolenpsmoodseku"/>
    <w:link w:val="Nadpis1"/>
    <w:rsid w:val="002372AA"/>
    <w:rPr>
      <w:rFonts w:ascii="Arial" w:hAnsi="Arial" w:cs="Times New Roman"/>
      <w:b/>
      <w:sz w:val="28"/>
      <w:lang w:val="sk-SK"/>
    </w:rPr>
  </w:style>
  <w:style w:type="paragraph" w:customStyle="1" w:styleId="Tabulkynormlndoblokuzarovnndoleva">
    <w:name w:val="Tabulky = normální do bloku + zarovnání doleva"/>
    <w:basedOn w:val="Normlndobloku"/>
    <w:autoRedefine/>
    <w:rsid w:val="002372AA"/>
    <w:pPr>
      <w:jc w:val="left"/>
    </w:pPr>
    <w:rPr>
      <w:szCs w:val="20"/>
    </w:rPr>
  </w:style>
  <w:style w:type="paragraph" w:customStyle="1" w:styleId="Nadpisuvnittabulky">
    <w:name w:val="Nadpis uvnitř tabulky"/>
    <w:basedOn w:val="Tabulkynormlndoblokuzarovnndoleva"/>
    <w:autoRedefine/>
    <w:qFormat/>
    <w:rsid w:val="002372AA"/>
    <w:pPr>
      <w:spacing w:before="120"/>
    </w:pPr>
    <w:rPr>
      <w:b/>
    </w:rPr>
  </w:style>
  <w:style w:type="paragraph" w:styleId="Nzov">
    <w:name w:val="Title"/>
    <w:basedOn w:val="Normlny"/>
    <w:link w:val="NzovChar"/>
    <w:qFormat/>
    <w:rsid w:val="002372AA"/>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2372AA"/>
    <w:rPr>
      <w:rFonts w:ascii="Arial" w:eastAsia="Calibri" w:hAnsi="Arial" w:cs="Arial"/>
      <w:b/>
      <w:bCs/>
      <w:kern w:val="28"/>
      <w:sz w:val="32"/>
      <w:szCs w:val="32"/>
    </w:rPr>
  </w:style>
  <w:style w:type="character" w:styleId="Odkaznakomentr">
    <w:name w:val="annotation reference"/>
    <w:basedOn w:val="Predvolenpsmoodseku"/>
    <w:uiPriority w:val="99"/>
    <w:semiHidden/>
    <w:unhideWhenUsed/>
    <w:rsid w:val="00D21E2E"/>
    <w:rPr>
      <w:sz w:val="16"/>
      <w:szCs w:val="16"/>
    </w:rPr>
  </w:style>
  <w:style w:type="paragraph" w:customStyle="1" w:styleId="Odrky2">
    <w:name w:val="Odrážky 2"/>
    <w:basedOn w:val="Normlndoblokusodrkami"/>
    <w:autoRedefine/>
    <w:qFormat/>
    <w:rsid w:val="002372AA"/>
    <w:pPr>
      <w:numPr>
        <w:numId w:val="5"/>
      </w:numPr>
    </w:pPr>
  </w:style>
  <w:style w:type="paragraph" w:styleId="Textkomentra">
    <w:name w:val="annotation text"/>
    <w:basedOn w:val="Normlny"/>
    <w:link w:val="TextkomentraChar"/>
    <w:uiPriority w:val="99"/>
    <w:semiHidden/>
    <w:unhideWhenUsed/>
    <w:rsid w:val="007D2664"/>
    <w:pPr>
      <w:spacing w:line="240" w:lineRule="auto"/>
    </w:pPr>
    <w:rPr>
      <w:sz w:val="20"/>
      <w:szCs w:val="20"/>
    </w:rPr>
  </w:style>
  <w:style w:type="character" w:customStyle="1" w:styleId="TextkomentraChar">
    <w:name w:val="Text komentára Char"/>
    <w:basedOn w:val="Predvolenpsmoodseku"/>
    <w:link w:val="Textkomentra"/>
    <w:uiPriority w:val="99"/>
    <w:semiHidden/>
    <w:rsid w:val="00D21E2E"/>
    <w:rPr>
      <w:rFonts w:ascii="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21E2E"/>
    <w:rPr>
      <w:b/>
      <w:bCs/>
    </w:rPr>
  </w:style>
  <w:style w:type="character" w:customStyle="1" w:styleId="PredmetkomentraChar">
    <w:name w:val="Predmet komentára Char"/>
    <w:basedOn w:val="TextkomentraChar"/>
    <w:link w:val="Predmetkomentra"/>
    <w:uiPriority w:val="99"/>
    <w:semiHidden/>
    <w:rsid w:val="00D21E2E"/>
    <w:rPr>
      <w:rFonts w:ascii="Times New Roman" w:eastAsia="Times New Roman" w:hAnsi="Times New Roman" w:cs="Times New Roman"/>
      <w:b/>
      <w:bCs/>
      <w:sz w:val="20"/>
      <w:szCs w:val="20"/>
      <w:lang w:val="en-GB"/>
    </w:rPr>
  </w:style>
  <w:style w:type="paragraph" w:customStyle="1" w:styleId="SPCaPILhlavika">
    <w:name w:val="SPC a PIL hlavička"/>
    <w:basedOn w:val="Normlny"/>
    <w:qFormat/>
    <w:rsid w:val="007D2664"/>
    <w:pPr>
      <w:jc w:val="center"/>
      <w:outlineLvl w:val="0"/>
    </w:pPr>
    <w:rPr>
      <w:b/>
      <w:bCs/>
      <w:caps/>
      <w:lang w:val="cs-CZ"/>
    </w:rPr>
  </w:style>
  <w:style w:type="paragraph" w:customStyle="1" w:styleId="SPCnadpis">
    <w:name w:val="SPC nadpis"/>
    <w:basedOn w:val="Nadpis1"/>
    <w:rsid w:val="002372AA"/>
    <w:pPr>
      <w:keepNext w:val="0"/>
      <w:keepLines/>
      <w:spacing w:before="480" w:after="120"/>
      <w:ind w:left="357" w:hanging="357"/>
      <w:jc w:val="left"/>
    </w:pPr>
    <w:rPr>
      <w:rFonts w:ascii="Times New Roman" w:hAnsi="Times New Roman"/>
      <w:bCs/>
      <w:color w:val="365F91"/>
      <w:sz w:val="22"/>
      <w:szCs w:val="28"/>
      <w:lang w:val="en-US"/>
    </w:rPr>
  </w:style>
  <w:style w:type="paragraph" w:customStyle="1" w:styleId="Styl1PIL">
    <w:name w:val="Styl1 PIL"/>
    <w:basedOn w:val="Normlny"/>
    <w:autoRedefine/>
    <w:rsid w:val="002372AA"/>
    <w:pPr>
      <w:keepNext/>
      <w:spacing w:before="360" w:after="240"/>
    </w:pPr>
    <w:rPr>
      <w:b/>
      <w:bCs/>
      <w:szCs w:val="24"/>
    </w:rPr>
  </w:style>
  <w:style w:type="paragraph" w:customStyle="1" w:styleId="Styl2PIL">
    <w:name w:val="Styl2 PIL"/>
    <w:basedOn w:val="Normlny"/>
    <w:autoRedefine/>
    <w:rsid w:val="002372AA"/>
    <w:pPr>
      <w:keepNext/>
      <w:spacing w:before="240" w:after="120"/>
    </w:pPr>
    <w:rPr>
      <w:b/>
      <w:bCs/>
    </w:rPr>
  </w:style>
  <w:style w:type="paragraph" w:customStyle="1" w:styleId="Styl2SPC">
    <w:name w:val="Styl2 SPC"/>
    <w:basedOn w:val="Normlny"/>
    <w:autoRedefine/>
    <w:rsid w:val="002372AA"/>
    <w:pPr>
      <w:keepNext/>
      <w:spacing w:before="240" w:after="120"/>
    </w:pPr>
    <w:rPr>
      <w:b/>
      <w:bCs/>
    </w:rPr>
  </w:style>
  <w:style w:type="paragraph" w:styleId="Textbubliny">
    <w:name w:val="Balloon Text"/>
    <w:basedOn w:val="Normlny"/>
    <w:link w:val="TextbublinyChar"/>
    <w:uiPriority w:val="99"/>
    <w:semiHidden/>
    <w:unhideWhenUsed/>
    <w:rsid w:val="007D266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21E2E"/>
    <w:rPr>
      <w:rFonts w:ascii="Tahoma" w:hAnsi="Tahoma" w:cs="Tahoma"/>
      <w:sz w:val="16"/>
      <w:szCs w:val="16"/>
      <w:lang w:val="sk-SK"/>
    </w:rPr>
  </w:style>
  <w:style w:type="table" w:styleId="Mriekatabuky">
    <w:name w:val="Table Grid"/>
    <w:basedOn w:val="Normlnatabuka"/>
    <w:uiPriority w:val="39"/>
    <w:rsid w:val="00D21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uitHypertextovPrepojenie">
    <w:name w:val="FollowedHyperlink"/>
    <w:basedOn w:val="Predvolenpsmoodseku"/>
    <w:uiPriority w:val="99"/>
    <w:semiHidden/>
    <w:unhideWhenUsed/>
    <w:rsid w:val="007D2664"/>
    <w:rPr>
      <w:color w:val="954F72" w:themeColor="followedHyperlink"/>
      <w:u w:val="single"/>
    </w:rPr>
  </w:style>
  <w:style w:type="character" w:customStyle="1" w:styleId="Mention">
    <w:name w:val="Mention"/>
    <w:basedOn w:val="Predvolenpsmoodseku"/>
    <w:uiPriority w:val="99"/>
    <w:semiHidden/>
    <w:unhideWhenUsed/>
    <w:rsid w:val="00D21E2E"/>
    <w:rPr>
      <w:color w:val="2B579A"/>
      <w:shd w:val="clear" w:color="auto" w:fill="E6E6E6"/>
    </w:rPr>
  </w:style>
  <w:style w:type="character" w:customStyle="1" w:styleId="hps">
    <w:name w:val="hps"/>
    <w:rsid w:val="00EE1BB5"/>
  </w:style>
  <w:style w:type="character" w:customStyle="1" w:styleId="Nadpis2Char">
    <w:name w:val="Nadpis 2 Char"/>
    <w:basedOn w:val="Predvolenpsmoodseku"/>
    <w:link w:val="Nadpis2"/>
    <w:rsid w:val="007523B1"/>
    <w:rPr>
      <w:rFonts w:ascii="Calibri" w:eastAsia="Calibri" w:hAnsi="Calibri" w:cs="Times New Roman"/>
      <w:b/>
      <w:sz w:val="24"/>
      <w:lang w:val="sk-SK"/>
    </w:rPr>
  </w:style>
  <w:style w:type="character" w:customStyle="1" w:styleId="Nadpis3Char">
    <w:name w:val="Nadpis 3 Char"/>
    <w:basedOn w:val="Predvolenpsmoodseku"/>
    <w:link w:val="Nadpis3"/>
    <w:rsid w:val="007523B1"/>
    <w:rPr>
      <w:rFonts w:ascii="Calibri" w:eastAsia="Calibri" w:hAnsi="Calibri" w:cs="Times New Roman"/>
      <w:i/>
      <w:sz w:val="24"/>
      <w:lang w:val="sk-SK"/>
    </w:rPr>
  </w:style>
  <w:style w:type="character" w:customStyle="1" w:styleId="Nadpis4Char">
    <w:name w:val="Nadpis 4 Char"/>
    <w:basedOn w:val="Predvolenpsmoodseku"/>
    <w:link w:val="Nadpis4"/>
    <w:rsid w:val="007523B1"/>
    <w:rPr>
      <w:rFonts w:ascii="Calibri" w:eastAsia="Calibri" w:hAnsi="Calibri" w:cs="Times New Roman"/>
      <w:sz w:val="24"/>
      <w:lang w:val="sk-SK"/>
    </w:rPr>
  </w:style>
  <w:style w:type="character" w:customStyle="1" w:styleId="Nadpis5Char">
    <w:name w:val="Nadpis 5 Char"/>
    <w:basedOn w:val="Predvolenpsmoodseku"/>
    <w:link w:val="Nadpis5"/>
    <w:rsid w:val="007523B1"/>
    <w:rPr>
      <w:rFonts w:ascii="Arial" w:eastAsia="Calibri" w:hAnsi="Arial" w:cs="Arial"/>
      <w:b/>
      <w:bCs/>
    </w:rPr>
  </w:style>
  <w:style w:type="character" w:styleId="slostrany">
    <w:name w:val="page number"/>
    <w:basedOn w:val="Predvolenpsmoodseku"/>
    <w:semiHidden/>
    <w:rsid w:val="007523B1"/>
  </w:style>
  <w:style w:type="paragraph" w:styleId="Zkladntext">
    <w:name w:val="Body Text"/>
    <w:basedOn w:val="Normlny"/>
    <w:link w:val="ZkladntextChar"/>
    <w:semiHidden/>
    <w:rsid w:val="007D2664"/>
    <w:pPr>
      <w:tabs>
        <w:tab w:val="clear" w:pos="567"/>
      </w:tabs>
      <w:spacing w:line="240" w:lineRule="auto"/>
      <w:jc w:val="both"/>
    </w:pPr>
    <w:rPr>
      <w:rFonts w:ascii="Arial" w:eastAsia="Calibri" w:hAnsi="Arial"/>
    </w:rPr>
  </w:style>
  <w:style w:type="character" w:customStyle="1" w:styleId="ZkladntextChar">
    <w:name w:val="Základný text Char"/>
    <w:basedOn w:val="Predvolenpsmoodseku"/>
    <w:link w:val="Zkladntext"/>
    <w:semiHidden/>
    <w:rsid w:val="007523B1"/>
    <w:rPr>
      <w:rFonts w:ascii="Arial" w:eastAsia="Calibri" w:hAnsi="Arial" w:cs="Times New Roman"/>
      <w:lang w:val="sk-SK"/>
    </w:rPr>
  </w:style>
  <w:style w:type="paragraph" w:styleId="Zkladntext2">
    <w:name w:val="Body Text 2"/>
    <w:basedOn w:val="Normlny"/>
    <w:link w:val="Zkladntext2Char"/>
    <w:semiHidden/>
    <w:rsid w:val="007D2664"/>
    <w:pPr>
      <w:tabs>
        <w:tab w:val="clear" w:pos="567"/>
      </w:tabs>
      <w:spacing w:line="240" w:lineRule="auto"/>
      <w:jc w:val="both"/>
    </w:pPr>
    <w:rPr>
      <w:rFonts w:ascii="Arial" w:eastAsia="Calibri" w:hAnsi="Arial" w:cs="Arial"/>
      <w:color w:val="FF0000"/>
    </w:rPr>
  </w:style>
  <w:style w:type="character" w:customStyle="1" w:styleId="Zkladntext2Char">
    <w:name w:val="Základný text 2 Char"/>
    <w:basedOn w:val="Predvolenpsmoodseku"/>
    <w:link w:val="Zkladntext2"/>
    <w:semiHidden/>
    <w:rsid w:val="007523B1"/>
    <w:rPr>
      <w:rFonts w:ascii="Arial" w:eastAsia="Calibri" w:hAnsi="Arial" w:cs="Arial"/>
      <w:color w:val="FF0000"/>
      <w:lang w:val="sk-SK"/>
    </w:rPr>
  </w:style>
  <w:style w:type="paragraph" w:customStyle="1" w:styleId="tlNormlndoblokusodrkamiPrvriadok0cm">
    <w:name w:val="Štýl Normální do bloku s odrážkami + Prvý riadok:  0 cm"/>
    <w:basedOn w:val="Normlny"/>
    <w:rsid w:val="007D2664"/>
    <w:pPr>
      <w:tabs>
        <w:tab w:val="clear" w:pos="567"/>
      </w:tabs>
      <w:spacing w:line="240" w:lineRule="auto"/>
    </w:pPr>
    <w:rPr>
      <w:rFonts w:ascii="Calibri" w:eastAsia="Calibri" w:hAnsi="Calibri"/>
      <w:lang w:val="cs-CZ"/>
    </w:rPr>
  </w:style>
  <w:style w:type="paragraph" w:styleId="PredformtovanHTML">
    <w:name w:val="HTML Preformatted"/>
    <w:basedOn w:val="Normlny"/>
    <w:link w:val="PredformtovanHTMLChar"/>
    <w:uiPriority w:val="99"/>
    <w:unhideWhenUsed/>
    <w:rsid w:val="007D2664"/>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szCs w:val="20"/>
      <w:lang w:val="x-none" w:eastAsia="x-none"/>
    </w:rPr>
  </w:style>
  <w:style w:type="character" w:customStyle="1" w:styleId="PredformtovanHTMLChar">
    <w:name w:val="Predformátované HTML Char"/>
    <w:basedOn w:val="Predvolenpsmoodseku"/>
    <w:link w:val="PredformtovanHTML"/>
    <w:uiPriority w:val="99"/>
    <w:rsid w:val="007523B1"/>
    <w:rPr>
      <w:rFonts w:ascii="Courier New" w:hAnsi="Courier New" w:cs="Times New Roman"/>
      <w:sz w:val="20"/>
      <w:szCs w:val="20"/>
      <w:lang w:val="x-none" w:eastAsia="x-none"/>
    </w:rPr>
  </w:style>
  <w:style w:type="paragraph" w:customStyle="1" w:styleId="Revzia1">
    <w:name w:val="Revízia1"/>
    <w:hidden/>
    <w:uiPriority w:val="99"/>
    <w:semiHidden/>
    <w:rsid w:val="007523B1"/>
    <w:pPr>
      <w:spacing w:after="0" w:line="240" w:lineRule="auto"/>
    </w:pPr>
    <w:rPr>
      <w:rFonts w:ascii="Calibri" w:eastAsia="Calibri" w:hAnsi="Calibri" w:cs="Times New Roman"/>
    </w:rPr>
  </w:style>
  <w:style w:type="character" w:customStyle="1" w:styleId="apple-converted-space">
    <w:name w:val="apple-converted-space"/>
    <w:basedOn w:val="Predvolenpsmoodseku"/>
    <w:rsid w:val="007523B1"/>
  </w:style>
  <w:style w:type="character" w:styleId="Siln">
    <w:name w:val="Strong"/>
    <w:basedOn w:val="Predvolenpsmoodseku"/>
    <w:uiPriority w:val="22"/>
    <w:qFormat/>
    <w:rsid w:val="007523B1"/>
    <w:rPr>
      <w:b/>
      <w:bCs/>
    </w:rPr>
  </w:style>
  <w:style w:type="paragraph" w:styleId="Revzia">
    <w:name w:val="Revision"/>
    <w:hidden/>
    <w:uiPriority w:val="99"/>
    <w:semiHidden/>
    <w:rsid w:val="007D26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37425">
      <w:bodyDiv w:val="1"/>
      <w:marLeft w:val="0"/>
      <w:marRight w:val="0"/>
      <w:marTop w:val="0"/>
      <w:marBottom w:val="0"/>
      <w:divBdr>
        <w:top w:val="none" w:sz="0" w:space="0" w:color="auto"/>
        <w:left w:val="none" w:sz="0" w:space="0" w:color="auto"/>
        <w:bottom w:val="none" w:sz="0" w:space="0" w:color="auto"/>
        <w:right w:val="none" w:sz="0" w:space="0" w:color="auto"/>
      </w:divBdr>
    </w:div>
    <w:div w:id="565337714">
      <w:bodyDiv w:val="1"/>
      <w:marLeft w:val="0"/>
      <w:marRight w:val="0"/>
      <w:marTop w:val="0"/>
      <w:marBottom w:val="0"/>
      <w:divBdr>
        <w:top w:val="none" w:sz="0" w:space="0" w:color="auto"/>
        <w:left w:val="none" w:sz="0" w:space="0" w:color="auto"/>
        <w:bottom w:val="none" w:sz="0" w:space="0" w:color="auto"/>
        <w:right w:val="none" w:sz="0" w:space="0" w:color="auto"/>
      </w:divBdr>
    </w:div>
    <w:div w:id="901718095">
      <w:bodyDiv w:val="1"/>
      <w:marLeft w:val="0"/>
      <w:marRight w:val="0"/>
      <w:marTop w:val="0"/>
      <w:marBottom w:val="0"/>
      <w:divBdr>
        <w:top w:val="none" w:sz="0" w:space="0" w:color="auto"/>
        <w:left w:val="none" w:sz="0" w:space="0" w:color="auto"/>
        <w:bottom w:val="none" w:sz="0" w:space="0" w:color="auto"/>
        <w:right w:val="none" w:sz="0" w:space="0" w:color="auto"/>
      </w:divBdr>
    </w:div>
    <w:div w:id="1032077810">
      <w:bodyDiv w:val="1"/>
      <w:marLeft w:val="0"/>
      <w:marRight w:val="0"/>
      <w:marTop w:val="0"/>
      <w:marBottom w:val="0"/>
      <w:divBdr>
        <w:top w:val="none" w:sz="0" w:space="0" w:color="auto"/>
        <w:left w:val="none" w:sz="0" w:space="0" w:color="auto"/>
        <w:bottom w:val="none" w:sz="0" w:space="0" w:color="auto"/>
        <w:right w:val="none" w:sz="0" w:space="0" w:color="auto"/>
      </w:divBdr>
    </w:div>
    <w:div w:id="1185437144">
      <w:bodyDiv w:val="1"/>
      <w:marLeft w:val="0"/>
      <w:marRight w:val="0"/>
      <w:marTop w:val="0"/>
      <w:marBottom w:val="0"/>
      <w:divBdr>
        <w:top w:val="none" w:sz="0" w:space="0" w:color="auto"/>
        <w:left w:val="none" w:sz="0" w:space="0" w:color="auto"/>
        <w:bottom w:val="none" w:sz="0" w:space="0" w:color="auto"/>
        <w:right w:val="none" w:sz="0" w:space="0" w:color="auto"/>
      </w:divBdr>
    </w:div>
    <w:div w:id="1256980965">
      <w:bodyDiv w:val="1"/>
      <w:marLeft w:val="0"/>
      <w:marRight w:val="0"/>
      <w:marTop w:val="0"/>
      <w:marBottom w:val="0"/>
      <w:divBdr>
        <w:top w:val="none" w:sz="0" w:space="0" w:color="auto"/>
        <w:left w:val="none" w:sz="0" w:space="0" w:color="auto"/>
        <w:bottom w:val="none" w:sz="0" w:space="0" w:color="auto"/>
        <w:right w:val="none" w:sz="0" w:space="0" w:color="auto"/>
      </w:divBdr>
    </w:div>
    <w:div w:id="1427270716">
      <w:bodyDiv w:val="1"/>
      <w:marLeft w:val="0"/>
      <w:marRight w:val="0"/>
      <w:marTop w:val="0"/>
      <w:marBottom w:val="0"/>
      <w:divBdr>
        <w:top w:val="none" w:sz="0" w:space="0" w:color="auto"/>
        <w:left w:val="none" w:sz="0" w:space="0" w:color="auto"/>
        <w:bottom w:val="none" w:sz="0" w:space="0" w:color="auto"/>
        <w:right w:val="none" w:sz="0" w:space="0" w:color="auto"/>
      </w:divBdr>
    </w:div>
    <w:div w:id="1508978425">
      <w:bodyDiv w:val="1"/>
      <w:marLeft w:val="0"/>
      <w:marRight w:val="0"/>
      <w:marTop w:val="0"/>
      <w:marBottom w:val="0"/>
      <w:divBdr>
        <w:top w:val="none" w:sz="0" w:space="0" w:color="auto"/>
        <w:left w:val="none" w:sz="0" w:space="0" w:color="auto"/>
        <w:bottom w:val="none" w:sz="0" w:space="0" w:color="auto"/>
        <w:right w:val="none" w:sz="0" w:space="0" w:color="auto"/>
      </w:divBdr>
    </w:div>
    <w:div w:id="1747343937">
      <w:bodyDiv w:val="1"/>
      <w:marLeft w:val="0"/>
      <w:marRight w:val="0"/>
      <w:marTop w:val="0"/>
      <w:marBottom w:val="0"/>
      <w:divBdr>
        <w:top w:val="none" w:sz="0" w:space="0" w:color="auto"/>
        <w:left w:val="none" w:sz="0" w:space="0" w:color="auto"/>
        <w:bottom w:val="none" w:sz="0" w:space="0" w:color="auto"/>
        <w:right w:val="none" w:sz="0" w:space="0" w:color="auto"/>
      </w:divBdr>
    </w:div>
    <w:div w:id="2058966595">
      <w:bodyDiv w:val="1"/>
      <w:marLeft w:val="0"/>
      <w:marRight w:val="0"/>
      <w:marTop w:val="0"/>
      <w:marBottom w:val="0"/>
      <w:divBdr>
        <w:top w:val="none" w:sz="0" w:space="0" w:color="auto"/>
        <w:left w:val="none" w:sz="0" w:space="0" w:color="auto"/>
        <w:bottom w:val="none" w:sz="0" w:space="0" w:color="auto"/>
        <w:right w:val="none" w:sz="0" w:space="0" w:color="auto"/>
      </w:divBdr>
    </w:div>
    <w:div w:id="21195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4031</Words>
  <Characters>22982</Characters>
  <Application>Microsoft Office Word</Application>
  <DocSecurity>0</DocSecurity>
  <Lines>191</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Kváčová</dc:creator>
  <cp:keywords/>
  <dc:description/>
  <cp:lastModifiedBy>Adriana Kytková</cp:lastModifiedBy>
  <cp:revision>2</cp:revision>
  <dcterms:created xsi:type="dcterms:W3CDTF">2020-10-28T19:40:00Z</dcterms:created>
  <dcterms:modified xsi:type="dcterms:W3CDTF">2020-10-28T19:40:00Z</dcterms:modified>
</cp:coreProperties>
</file>