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7A" w:rsidRDefault="0089777A"/>
    <w:p w:rsidR="00E16BD1" w:rsidRDefault="00E16BD1"/>
    <w:p w:rsidR="00E16BD1" w:rsidRPr="00265508" w:rsidRDefault="00E16BD1" w:rsidP="00E16BD1">
      <w:pPr>
        <w:jc w:val="center"/>
        <w:rPr>
          <w:b/>
          <w:szCs w:val="22"/>
          <w:lang w:val="sk-SK"/>
        </w:rPr>
      </w:pPr>
      <w:r w:rsidRPr="00265508">
        <w:rPr>
          <w:b/>
          <w:lang w:val="sk-SK"/>
        </w:rPr>
        <w:t>SÚHRN CHARAKTERISTICKÝCH VLASTNOSTÍ LIEKU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1.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NÁZOV LIEKU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ind w:right="1046"/>
        <w:rPr>
          <w:bCs/>
          <w:color w:val="000000"/>
          <w:szCs w:val="22"/>
          <w:lang w:val="sk-SK"/>
        </w:rPr>
      </w:pPr>
      <w:proofErr w:type="spellStart"/>
      <w:r w:rsidRPr="00265508">
        <w:rPr>
          <w:bCs/>
          <w:color w:val="000000"/>
          <w:szCs w:val="22"/>
          <w:lang w:val="sk-SK"/>
        </w:rPr>
        <w:t>Vinpocetine</w:t>
      </w:r>
      <w:proofErr w:type="spellEnd"/>
      <w:r w:rsidRPr="00265508">
        <w:rPr>
          <w:bCs/>
          <w:color w:val="000000"/>
          <w:szCs w:val="22"/>
          <w:lang w:val="sk-SK"/>
        </w:rPr>
        <w:t> ATREIZA 5 mg tablety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ind w:right="1046"/>
        <w:rPr>
          <w:bCs/>
          <w:color w:val="000000"/>
          <w:szCs w:val="22"/>
          <w:lang w:val="sk-SK"/>
        </w:rPr>
      </w:pPr>
      <w:proofErr w:type="spellStart"/>
      <w:r w:rsidRPr="00265508">
        <w:rPr>
          <w:bCs/>
          <w:color w:val="000000"/>
          <w:szCs w:val="22"/>
          <w:lang w:val="sk-SK"/>
        </w:rPr>
        <w:t>Vinpocetine</w:t>
      </w:r>
      <w:proofErr w:type="spellEnd"/>
      <w:r w:rsidRPr="00265508">
        <w:rPr>
          <w:bCs/>
          <w:color w:val="000000"/>
          <w:szCs w:val="22"/>
          <w:lang w:val="sk-SK"/>
        </w:rPr>
        <w:t> ATREIZA 10 mg tablety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2.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KVALITATÍVNE A KVANTITATÍVNE ZLOŽENIE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u w:val="single"/>
          <w:lang w:val="sk-SK"/>
        </w:rPr>
      </w:pPr>
      <w:proofErr w:type="spellStart"/>
      <w:r w:rsidRPr="00265508">
        <w:rPr>
          <w:color w:val="000000"/>
          <w:szCs w:val="22"/>
          <w:u w:val="single"/>
          <w:lang w:val="sk-SK"/>
        </w:rPr>
        <w:t>Vinpocetine</w:t>
      </w:r>
      <w:proofErr w:type="spellEnd"/>
      <w:r w:rsidRPr="00265508">
        <w:rPr>
          <w:color w:val="000000"/>
          <w:szCs w:val="22"/>
          <w:u w:val="single"/>
          <w:lang w:val="sk-SK"/>
        </w:rPr>
        <w:t> ATREIZA 5 mg tablety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Každá tableta obsahuje 5 mg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u w:val="single"/>
          <w:lang w:val="sk-SK"/>
        </w:rPr>
      </w:pPr>
      <w:proofErr w:type="spellStart"/>
      <w:r w:rsidRPr="00265508">
        <w:rPr>
          <w:color w:val="000000"/>
          <w:szCs w:val="22"/>
          <w:u w:val="single"/>
          <w:lang w:val="sk-SK"/>
        </w:rPr>
        <w:t>Vinpocetine</w:t>
      </w:r>
      <w:proofErr w:type="spellEnd"/>
      <w:r w:rsidRPr="00265508">
        <w:rPr>
          <w:color w:val="000000"/>
          <w:szCs w:val="22"/>
          <w:u w:val="single"/>
          <w:lang w:val="sk-SK"/>
        </w:rPr>
        <w:t> ATREIZA 10 mg tablety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Každá tableta obsahuje 10 mg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lang w:val="sk-SK"/>
        </w:rPr>
      </w:pPr>
      <w:r w:rsidRPr="00265508">
        <w:rPr>
          <w:u w:val="single"/>
          <w:lang w:val="sk-SK"/>
        </w:rPr>
        <w:t xml:space="preserve">Pomocná látka </w:t>
      </w:r>
      <w:r w:rsidRPr="00265508">
        <w:rPr>
          <w:szCs w:val="24"/>
          <w:u w:val="single"/>
          <w:lang w:val="sk-SK"/>
        </w:rPr>
        <w:t>so známym účinkom</w:t>
      </w:r>
      <w:r w:rsidRPr="00265508">
        <w:rPr>
          <w:bCs/>
          <w:color w:val="000000"/>
          <w:szCs w:val="22"/>
          <w:lang w:val="sk-SK"/>
        </w:rPr>
        <w:t>:</w:t>
      </w:r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monohydrát</w:t>
      </w:r>
      <w:proofErr w:type="spellEnd"/>
      <w:r w:rsidRPr="00265508">
        <w:rPr>
          <w:color w:val="000000"/>
          <w:szCs w:val="22"/>
          <w:lang w:val="sk-SK"/>
        </w:rPr>
        <w:t xml:space="preserve"> laktózy (pozri časť 4.4).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Každá </w:t>
      </w:r>
      <w:r>
        <w:rPr>
          <w:color w:val="000000"/>
          <w:szCs w:val="22"/>
          <w:lang w:val="sk-SK"/>
        </w:rPr>
        <w:t xml:space="preserve">tableta </w:t>
      </w:r>
      <w:proofErr w:type="spellStart"/>
      <w:r w:rsidRPr="00265508">
        <w:rPr>
          <w:color w:val="000000"/>
          <w:szCs w:val="22"/>
          <w:lang w:val="sk-SK"/>
        </w:rPr>
        <w:t>Vinpocetine</w:t>
      </w:r>
      <w:proofErr w:type="spellEnd"/>
      <w:r w:rsidRPr="00265508">
        <w:rPr>
          <w:color w:val="000000"/>
          <w:szCs w:val="22"/>
          <w:lang w:val="sk-SK"/>
        </w:rPr>
        <w:t> ATREIZA 5 mg obsahuje 66</w:t>
      </w:r>
      <w:r>
        <w:rPr>
          <w:color w:val="000000"/>
          <w:szCs w:val="22"/>
          <w:lang w:val="sk-SK"/>
        </w:rPr>
        <w:t>,</w:t>
      </w:r>
      <w:r w:rsidRPr="00265508">
        <w:rPr>
          <w:color w:val="000000"/>
          <w:szCs w:val="22"/>
          <w:lang w:val="sk-SK"/>
        </w:rPr>
        <w:t xml:space="preserve">55 mg </w:t>
      </w:r>
      <w:proofErr w:type="spellStart"/>
      <w:r w:rsidRPr="00265508">
        <w:rPr>
          <w:color w:val="000000"/>
          <w:szCs w:val="22"/>
          <w:lang w:val="sk-SK"/>
        </w:rPr>
        <w:t>monohydrát</w:t>
      </w:r>
      <w:r>
        <w:rPr>
          <w:color w:val="000000"/>
          <w:szCs w:val="22"/>
          <w:lang w:val="sk-SK"/>
        </w:rPr>
        <w:t>u</w:t>
      </w:r>
      <w:proofErr w:type="spellEnd"/>
      <w:r w:rsidRPr="00265508">
        <w:rPr>
          <w:color w:val="000000"/>
          <w:szCs w:val="22"/>
          <w:lang w:val="sk-SK"/>
        </w:rPr>
        <w:t xml:space="preserve"> laktózy</w:t>
      </w:r>
      <w:r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Každá </w:t>
      </w:r>
      <w:r>
        <w:rPr>
          <w:color w:val="000000"/>
          <w:szCs w:val="22"/>
          <w:lang w:val="sk-SK"/>
        </w:rPr>
        <w:t xml:space="preserve">tableta </w:t>
      </w:r>
      <w:proofErr w:type="spellStart"/>
      <w:r w:rsidRPr="00265508">
        <w:rPr>
          <w:color w:val="000000"/>
          <w:szCs w:val="22"/>
          <w:lang w:val="sk-SK"/>
        </w:rPr>
        <w:t>Vinpocetine</w:t>
      </w:r>
      <w:proofErr w:type="spellEnd"/>
      <w:r w:rsidRPr="00265508">
        <w:rPr>
          <w:color w:val="000000"/>
          <w:szCs w:val="22"/>
          <w:lang w:val="sk-SK"/>
        </w:rPr>
        <w:t> ATREIZA 10 mg obsahuje 133</w:t>
      </w:r>
      <w:r>
        <w:rPr>
          <w:color w:val="000000"/>
          <w:szCs w:val="22"/>
          <w:lang w:val="sk-SK"/>
        </w:rPr>
        <w:t>,</w:t>
      </w:r>
      <w:r w:rsidRPr="00265508">
        <w:rPr>
          <w:color w:val="000000"/>
          <w:szCs w:val="22"/>
          <w:lang w:val="sk-SK"/>
        </w:rPr>
        <w:t xml:space="preserve">1 mg </w:t>
      </w:r>
      <w:proofErr w:type="spellStart"/>
      <w:r w:rsidRPr="00265508">
        <w:rPr>
          <w:color w:val="000000"/>
          <w:szCs w:val="22"/>
          <w:lang w:val="sk-SK"/>
        </w:rPr>
        <w:t>monohydrát</w:t>
      </w:r>
      <w:r>
        <w:rPr>
          <w:color w:val="000000"/>
          <w:szCs w:val="22"/>
          <w:lang w:val="sk-SK"/>
        </w:rPr>
        <w:t>u</w:t>
      </w:r>
      <w:proofErr w:type="spellEnd"/>
      <w:r w:rsidRPr="00265508">
        <w:rPr>
          <w:color w:val="000000"/>
          <w:szCs w:val="22"/>
          <w:lang w:val="sk-SK"/>
        </w:rPr>
        <w:t xml:space="preserve"> laktózy.</w:t>
      </w:r>
    </w:p>
    <w:p w:rsidR="00E16BD1" w:rsidRPr="00265508" w:rsidRDefault="00E16BD1" w:rsidP="00E16BD1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ind w:right="1046"/>
        <w:jc w:val="left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  <w:r w:rsidRPr="00265508">
        <w:rPr>
          <w:lang w:val="sk-SK"/>
        </w:rPr>
        <w:t xml:space="preserve">Úplný zoznam pomocných látok, pozri časť </w:t>
      </w:r>
      <w:r w:rsidRPr="00265508">
        <w:rPr>
          <w:color w:val="000000"/>
          <w:szCs w:val="22"/>
          <w:lang w:val="sk-SK"/>
        </w:rPr>
        <w:t>6.1.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b/>
          <w:caps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3.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LIEKOVÁ FORMA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Tableta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5 mg tablety</w:t>
      </w:r>
      <w:r w:rsidRPr="00265508">
        <w:rPr>
          <w:color w:val="000000"/>
          <w:szCs w:val="22"/>
          <w:lang w:val="sk-SK"/>
        </w:rPr>
        <w:t xml:space="preserve">: </w:t>
      </w:r>
      <w:r w:rsidRPr="00265508">
        <w:rPr>
          <w:color w:val="000000"/>
          <w:lang w:val="sk-SK"/>
        </w:rPr>
        <w:t>biele, hladké a okrúhle tablety (priemer 0,6 cm</w:t>
      </w:r>
      <w:r w:rsidRPr="00265508">
        <w:rPr>
          <w:color w:val="000000"/>
          <w:szCs w:val="22"/>
          <w:lang w:val="sk-SK"/>
        </w:rPr>
        <w:t xml:space="preserve">). </w:t>
      </w:r>
      <w:r w:rsidRPr="00265508">
        <w:rPr>
          <w:color w:val="000000"/>
          <w:lang w:val="sk-SK"/>
        </w:rPr>
        <w:t>Na líci je deliaca ryha a na rube je vyrazené logo</w:t>
      </w:r>
      <w:r w:rsidRPr="00265508">
        <w:rPr>
          <w:color w:val="000000"/>
          <w:szCs w:val="22"/>
          <w:vertAlign w:val="subscript"/>
          <w:lang w:val="sk-SK"/>
        </w:rPr>
        <w:t xml:space="preserve"> </w:t>
      </w:r>
      <w:r w:rsidRPr="00265508">
        <w:rPr>
          <w:noProof/>
          <w:color w:val="000000"/>
          <w:szCs w:val="22"/>
          <w:vertAlign w:val="subscript"/>
          <w:lang w:val="sk-SK" w:eastAsia="sk-SK"/>
        </w:rPr>
        <w:drawing>
          <wp:inline distT="0" distB="0" distL="0" distR="0">
            <wp:extent cx="180975" cy="1809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508">
        <w:rPr>
          <w:color w:val="000000"/>
          <w:szCs w:val="22"/>
          <w:lang w:val="sk-SK"/>
        </w:rPr>
        <w:t xml:space="preserve">. </w:t>
      </w:r>
      <w:r>
        <w:rPr>
          <w:color w:val="000000"/>
          <w:lang w:val="sk-SK"/>
        </w:rPr>
        <w:t>Deliaca ryha iba pomáha rozlomiť tabletu, aby sa dala ľahšie prehltnúť, a neslúži na rozdelenie na rovnaké dávky.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10 mg tablety</w:t>
      </w:r>
      <w:r w:rsidRPr="00265508">
        <w:rPr>
          <w:color w:val="000000"/>
          <w:szCs w:val="22"/>
          <w:lang w:val="sk-SK"/>
        </w:rPr>
        <w:t xml:space="preserve">: </w:t>
      </w:r>
      <w:r w:rsidRPr="00265508">
        <w:rPr>
          <w:color w:val="000000"/>
          <w:lang w:val="sk-SK"/>
        </w:rPr>
        <w:t>biele, hladké a okrúhle tablety (priemer 0,8 cm</w:t>
      </w:r>
      <w:r w:rsidRPr="00265508">
        <w:rPr>
          <w:color w:val="000000"/>
          <w:szCs w:val="22"/>
          <w:lang w:val="sk-SK"/>
        </w:rPr>
        <w:t>).</w:t>
      </w:r>
      <w:r w:rsidRPr="00265508">
        <w:rPr>
          <w:color w:val="000000"/>
          <w:lang w:val="sk-SK"/>
        </w:rPr>
        <w:t xml:space="preserve"> Na líci je deliaca ryha a na rube je vyrazené logo</w:t>
      </w:r>
      <w:r w:rsidRPr="00265508">
        <w:rPr>
          <w:color w:val="000000"/>
          <w:szCs w:val="22"/>
          <w:vertAlign w:val="subscript"/>
          <w:lang w:val="sk-SK"/>
        </w:rPr>
        <w:t xml:space="preserve"> </w:t>
      </w:r>
      <w:r w:rsidRPr="00265508">
        <w:rPr>
          <w:noProof/>
          <w:color w:val="000000"/>
          <w:szCs w:val="22"/>
          <w:vertAlign w:val="subscript"/>
          <w:lang w:val="sk-SK" w:eastAsia="sk-SK"/>
        </w:rPr>
        <w:drawing>
          <wp:inline distT="0" distB="0" distL="0" distR="0">
            <wp:extent cx="180975" cy="1809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508">
        <w:rPr>
          <w:color w:val="000000"/>
          <w:szCs w:val="22"/>
          <w:lang w:val="sk-SK"/>
        </w:rPr>
        <w:t xml:space="preserve">. </w:t>
      </w:r>
      <w:r>
        <w:rPr>
          <w:color w:val="000000"/>
          <w:lang w:val="sk-SK"/>
        </w:rPr>
        <w:t>Deliaca ryha iba pomáha rozlomiť tabletu, aby sa dala ľahšie prehltnúť, a neslúži na rozdelenie na rovnaké dávky.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aps/>
          <w:color w:val="000000"/>
          <w:szCs w:val="22"/>
          <w:lang w:val="sk-SK"/>
        </w:rPr>
      </w:pPr>
      <w:r w:rsidRPr="00265508">
        <w:rPr>
          <w:b/>
          <w:caps/>
          <w:color w:val="000000"/>
          <w:szCs w:val="22"/>
          <w:lang w:val="sk-SK"/>
        </w:rPr>
        <w:t>4.</w:t>
      </w:r>
      <w:r w:rsidRPr="00265508">
        <w:rPr>
          <w:b/>
          <w:caps/>
          <w:color w:val="000000"/>
          <w:szCs w:val="22"/>
          <w:lang w:val="sk-SK"/>
        </w:rPr>
        <w:tab/>
      </w:r>
      <w:r w:rsidRPr="00265508">
        <w:rPr>
          <w:b/>
          <w:caps/>
          <w:szCs w:val="22"/>
          <w:lang w:val="sk-SK"/>
        </w:rPr>
        <w:t>KLINICKÉ ÚDAJE</w:t>
      </w:r>
    </w:p>
    <w:p w:rsidR="00E16BD1" w:rsidRPr="00265508" w:rsidRDefault="00E16BD1" w:rsidP="00E16BD1">
      <w:pPr>
        <w:spacing w:line="240" w:lineRule="auto"/>
        <w:ind w:right="1046"/>
        <w:rPr>
          <w:b/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4.1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Terapeutické indikácie</w:t>
      </w:r>
    </w:p>
    <w:p w:rsidR="00E16BD1" w:rsidRPr="00265508" w:rsidRDefault="00E16BD1" w:rsidP="00E16BD1">
      <w:pPr>
        <w:spacing w:line="240" w:lineRule="auto"/>
        <w:ind w:right="1046"/>
        <w:rPr>
          <w:b/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clear" w:pos="567"/>
        </w:tabs>
        <w:spacing w:line="240" w:lineRule="auto"/>
        <w:ind w:right="1046"/>
        <w:rPr>
          <w:color w:val="000000"/>
          <w:lang w:val="sk-SK"/>
        </w:rPr>
      </w:pPr>
      <w:proofErr w:type="spellStart"/>
      <w:r>
        <w:rPr>
          <w:color w:val="000000"/>
          <w:lang w:val="sk-SK"/>
        </w:rPr>
        <w:t>Vinpocetine</w:t>
      </w:r>
      <w:proofErr w:type="spellEnd"/>
      <w:r>
        <w:rPr>
          <w:color w:val="000000"/>
          <w:lang w:val="sk-SK"/>
        </w:rPr>
        <w:t xml:space="preserve"> ATREIZA je indikovaný dospelým na symptomatickú liečbu </w:t>
      </w:r>
      <w:proofErr w:type="spellStart"/>
      <w:r>
        <w:rPr>
          <w:color w:val="000000"/>
          <w:lang w:val="sk-SK"/>
        </w:rPr>
        <w:t>cerebrovaskulárnych</w:t>
      </w:r>
      <w:proofErr w:type="spellEnd"/>
      <w:r>
        <w:rPr>
          <w:color w:val="000000"/>
          <w:lang w:val="sk-SK"/>
        </w:rPr>
        <w:t xml:space="preserve"> porúch rôzneho pôvodu: ischemická </w:t>
      </w:r>
      <w:proofErr w:type="spellStart"/>
      <w:r>
        <w:rPr>
          <w:color w:val="000000"/>
          <w:lang w:val="sk-SK"/>
        </w:rPr>
        <w:t>hypoperfúzia</w:t>
      </w:r>
      <w:proofErr w:type="spellEnd"/>
      <w:r>
        <w:rPr>
          <w:color w:val="000000"/>
          <w:lang w:val="sk-SK"/>
        </w:rPr>
        <w:t xml:space="preserve">, rôzne formy ischemických </w:t>
      </w:r>
      <w:proofErr w:type="spellStart"/>
      <w:r>
        <w:rPr>
          <w:color w:val="000000"/>
          <w:lang w:val="sk-SK"/>
        </w:rPr>
        <w:t>hypoperfúznych</w:t>
      </w:r>
      <w:proofErr w:type="spellEnd"/>
      <w:r>
        <w:rPr>
          <w:color w:val="000000"/>
          <w:lang w:val="sk-SK"/>
        </w:rPr>
        <w:t xml:space="preserve"> stavov. </w:t>
      </w:r>
    </w:p>
    <w:p w:rsidR="00E16BD1" w:rsidRPr="00265508" w:rsidRDefault="00E16BD1" w:rsidP="00E16BD1">
      <w:pPr>
        <w:spacing w:line="240" w:lineRule="auto"/>
        <w:ind w:right="1046"/>
        <w:rPr>
          <w:i/>
          <w:color w:val="000000"/>
          <w:szCs w:val="22"/>
          <w:lang w:val="sk-SK"/>
        </w:rPr>
      </w:pPr>
    </w:p>
    <w:p w:rsidR="00E16BD1" w:rsidRPr="00265508" w:rsidRDefault="00E16BD1" w:rsidP="00E16BD1">
      <w:pPr>
        <w:rPr>
          <w:b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4.2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Dávkovanie a spôsob podávania</w:t>
      </w:r>
    </w:p>
    <w:p w:rsidR="00E16BD1" w:rsidRPr="00265508" w:rsidRDefault="00E16BD1" w:rsidP="00E16BD1">
      <w:pPr>
        <w:rPr>
          <w:szCs w:val="22"/>
          <w:lang w:val="sk-SK"/>
        </w:rPr>
      </w:pPr>
    </w:p>
    <w:p w:rsidR="00E16BD1" w:rsidRPr="00265508" w:rsidRDefault="00E16BD1" w:rsidP="00E16BD1">
      <w:pPr>
        <w:rPr>
          <w:szCs w:val="22"/>
          <w:u w:val="single"/>
          <w:lang w:val="sk-SK"/>
        </w:rPr>
      </w:pPr>
      <w:r w:rsidRPr="00265508">
        <w:rPr>
          <w:szCs w:val="22"/>
          <w:u w:val="single"/>
          <w:lang w:val="sk-SK"/>
        </w:rPr>
        <w:t>Dávkovanie</w:t>
      </w:r>
    </w:p>
    <w:p w:rsidR="00E16BD1" w:rsidRPr="00265508" w:rsidRDefault="00E16BD1" w:rsidP="00E16BD1">
      <w:pPr>
        <w:pStyle w:val="Default"/>
        <w:rPr>
          <w:i/>
          <w:color w:val="000000"/>
          <w:sz w:val="22"/>
          <w:szCs w:val="22"/>
          <w:lang w:val="sk-SK"/>
        </w:rPr>
      </w:pPr>
      <w:r w:rsidRPr="00265508">
        <w:rPr>
          <w:i/>
          <w:color w:val="000000"/>
          <w:sz w:val="22"/>
          <w:szCs w:val="22"/>
          <w:lang w:val="sk-SK"/>
        </w:rPr>
        <w:t xml:space="preserve">Dospelí (vrátane starších </w:t>
      </w:r>
      <w:r>
        <w:rPr>
          <w:i/>
          <w:color w:val="000000"/>
          <w:sz w:val="22"/>
          <w:szCs w:val="22"/>
          <w:lang w:val="sk-SK"/>
        </w:rPr>
        <w:t>pacientov</w:t>
      </w:r>
      <w:r w:rsidRPr="00265508">
        <w:rPr>
          <w:i/>
          <w:color w:val="000000"/>
          <w:sz w:val="22"/>
          <w:szCs w:val="22"/>
          <w:lang w:val="sk-SK"/>
        </w:rPr>
        <w:t>)</w:t>
      </w:r>
    </w:p>
    <w:p w:rsidR="00E16BD1" w:rsidRPr="00265508" w:rsidRDefault="00E16BD1" w:rsidP="00E16BD1">
      <w:pPr>
        <w:pStyle w:val="Default"/>
        <w:rPr>
          <w:color w:val="000000"/>
          <w:sz w:val="22"/>
          <w:lang w:val="sk-SK"/>
        </w:rPr>
      </w:pPr>
      <w:r w:rsidRPr="00265508">
        <w:rPr>
          <w:bCs/>
          <w:iCs/>
          <w:sz w:val="22"/>
          <w:szCs w:val="22"/>
          <w:lang w:val="sk-SK"/>
        </w:rPr>
        <w:t xml:space="preserve">5-10 mg </w:t>
      </w:r>
      <w:r w:rsidRPr="00265508">
        <w:rPr>
          <w:color w:val="000000"/>
          <w:sz w:val="22"/>
          <w:lang w:val="sk-SK"/>
        </w:rPr>
        <w:t>trikrát d</w:t>
      </w:r>
      <w:r>
        <w:rPr>
          <w:color w:val="000000"/>
          <w:sz w:val="22"/>
          <w:lang w:val="sk-SK"/>
        </w:rPr>
        <w:t xml:space="preserve">enne, nie dlhšie ako jeden mesiac, </w:t>
      </w:r>
      <w:r w:rsidRPr="00265508">
        <w:rPr>
          <w:color w:val="000000"/>
          <w:sz w:val="22"/>
          <w:lang w:val="sk-SK"/>
        </w:rPr>
        <w:t>a potom 5 mg trikrát denne počas dvoch mesiacov.</w:t>
      </w:r>
    </w:p>
    <w:p w:rsidR="00E16BD1" w:rsidRPr="00265508" w:rsidRDefault="00E16BD1" w:rsidP="00E16BD1">
      <w:pPr>
        <w:pStyle w:val="Default"/>
        <w:rPr>
          <w:color w:val="000000"/>
          <w:sz w:val="22"/>
          <w:lang w:val="sk-SK"/>
        </w:rPr>
      </w:pPr>
      <w:r w:rsidRPr="00265508">
        <w:rPr>
          <w:color w:val="000000"/>
          <w:sz w:val="22"/>
          <w:lang w:val="sk-SK"/>
        </w:rPr>
        <w:t>Potenciálny prínos dlhšej liečby nie je známy.</w:t>
      </w:r>
    </w:p>
    <w:p w:rsidR="00E16BD1" w:rsidRDefault="00E16BD1" w:rsidP="00E16BD1">
      <w:pPr>
        <w:spacing w:line="240" w:lineRule="auto"/>
        <w:ind w:right="1046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u w:val="single"/>
          <w:lang w:val="sk-SK"/>
        </w:rPr>
      </w:pPr>
      <w:r w:rsidRPr="00C40B31">
        <w:rPr>
          <w:color w:val="000000"/>
          <w:szCs w:val="22"/>
          <w:u w:val="single"/>
          <w:lang w:val="sk-SK"/>
        </w:rPr>
        <w:lastRenderedPageBreak/>
        <w:t xml:space="preserve">Osobitné </w:t>
      </w:r>
      <w:r>
        <w:rPr>
          <w:color w:val="000000"/>
          <w:szCs w:val="22"/>
          <w:u w:val="single"/>
          <w:lang w:val="sk-SK"/>
        </w:rPr>
        <w:t>skupiny pacientov</w:t>
      </w:r>
    </w:p>
    <w:p w:rsidR="00E16BD1" w:rsidRPr="00265508" w:rsidRDefault="00E16BD1" w:rsidP="00E16BD1">
      <w:pPr>
        <w:spacing w:line="240" w:lineRule="auto"/>
        <w:ind w:right="1046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pStyle w:val="Default"/>
        <w:rPr>
          <w:i/>
          <w:color w:val="000000"/>
          <w:sz w:val="22"/>
          <w:lang w:val="sk-SK"/>
        </w:rPr>
      </w:pPr>
      <w:r w:rsidRPr="00265508">
        <w:rPr>
          <w:i/>
          <w:color w:val="000000"/>
          <w:sz w:val="22"/>
          <w:lang w:val="sk-SK"/>
        </w:rPr>
        <w:t>Pacienti s po</w:t>
      </w:r>
      <w:r>
        <w:rPr>
          <w:i/>
          <w:color w:val="000000"/>
          <w:sz w:val="22"/>
          <w:lang w:val="sk-SK"/>
        </w:rPr>
        <w:t>ruchou funkcie</w:t>
      </w:r>
      <w:r w:rsidRPr="00265508">
        <w:rPr>
          <w:i/>
          <w:color w:val="000000"/>
          <w:sz w:val="22"/>
          <w:lang w:val="sk-SK"/>
        </w:rPr>
        <w:t xml:space="preserve"> obličiek a/alebo pečene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lang w:val="sk-SK"/>
        </w:rPr>
        <w:t>U pacientov s poruchou funkcie</w:t>
      </w:r>
      <w:r w:rsidRPr="00265508">
        <w:rPr>
          <w:color w:val="000000"/>
          <w:lang w:val="sk-SK"/>
        </w:rPr>
        <w:t xml:space="preserve"> obličiek a/alebo pečen</w:t>
      </w:r>
      <w:r>
        <w:rPr>
          <w:color w:val="000000"/>
          <w:lang w:val="sk-SK"/>
        </w:rPr>
        <w:t xml:space="preserve">e nie je potrebná úprava dávky; avšak </w:t>
      </w:r>
      <w:r w:rsidRPr="00265508">
        <w:rPr>
          <w:color w:val="000000"/>
          <w:lang w:val="sk-SK"/>
        </w:rPr>
        <w:t xml:space="preserve">u pacientov s </w:t>
      </w:r>
      <w:proofErr w:type="spellStart"/>
      <w:r w:rsidRPr="00265508">
        <w:rPr>
          <w:color w:val="000000"/>
          <w:lang w:val="sk-SK"/>
        </w:rPr>
        <w:t>renálnou</w:t>
      </w:r>
      <w:proofErr w:type="spellEnd"/>
      <w:r w:rsidRPr="00265508">
        <w:rPr>
          <w:color w:val="000000"/>
          <w:lang w:val="sk-SK"/>
        </w:rPr>
        <w:t xml:space="preserve"> alebo </w:t>
      </w:r>
      <w:proofErr w:type="spellStart"/>
      <w:r w:rsidRPr="00265508">
        <w:rPr>
          <w:color w:val="000000"/>
          <w:lang w:val="sk-SK"/>
        </w:rPr>
        <w:t>hepatálnou</w:t>
      </w:r>
      <w:proofErr w:type="spellEnd"/>
      <w:r w:rsidRPr="00265508">
        <w:rPr>
          <w:color w:val="000000"/>
          <w:lang w:val="sk-SK"/>
        </w:rPr>
        <w:t xml:space="preserve"> </w:t>
      </w:r>
      <w:proofErr w:type="spellStart"/>
      <w:r w:rsidRPr="00265508">
        <w:rPr>
          <w:color w:val="000000"/>
          <w:lang w:val="sk-SK"/>
        </w:rPr>
        <w:t>insuficienciou</w:t>
      </w:r>
      <w:proofErr w:type="spellEnd"/>
      <w:r w:rsidRPr="00265508">
        <w:rPr>
          <w:color w:val="000000"/>
          <w:lang w:val="sk-SK"/>
        </w:rPr>
        <w:t xml:space="preserve"> sa však odporúča opatrnosť (pozri časť </w:t>
      </w:r>
      <w:r w:rsidRPr="00265508">
        <w:rPr>
          <w:color w:val="000000"/>
          <w:szCs w:val="22"/>
          <w:lang w:val="sk-SK"/>
        </w:rPr>
        <w:t>4.4).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rPr>
          <w:b/>
          <w:i/>
          <w:szCs w:val="22"/>
          <w:lang w:val="sk-SK"/>
        </w:rPr>
      </w:pPr>
      <w:r w:rsidRPr="00265508">
        <w:rPr>
          <w:i/>
          <w:szCs w:val="22"/>
          <w:lang w:val="sk-SK"/>
        </w:rPr>
        <w:t>Pediatrická populácia</w:t>
      </w:r>
    </w:p>
    <w:p w:rsidR="00E16BD1" w:rsidRPr="00265508" w:rsidRDefault="00E16BD1" w:rsidP="00E16BD1">
      <w:pPr>
        <w:pStyle w:val="Defaul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Nie sú k dispozícii žiadne údaje. </w:t>
      </w:r>
      <w:proofErr w:type="spellStart"/>
      <w:r w:rsidRPr="00265508">
        <w:rPr>
          <w:color w:val="000000"/>
          <w:sz w:val="22"/>
          <w:szCs w:val="22"/>
          <w:lang w:val="sk-SK"/>
        </w:rPr>
        <w:t>Vinpocetine</w:t>
      </w:r>
      <w:proofErr w:type="spellEnd"/>
      <w:r w:rsidRPr="00265508">
        <w:rPr>
          <w:color w:val="000000"/>
          <w:sz w:val="22"/>
          <w:szCs w:val="22"/>
          <w:lang w:val="sk-SK"/>
        </w:rPr>
        <w:t> ATREIZA</w:t>
      </w:r>
      <w:r>
        <w:rPr>
          <w:color w:val="000000"/>
          <w:sz w:val="22"/>
          <w:szCs w:val="22"/>
          <w:lang w:val="sk-SK"/>
        </w:rPr>
        <w:t xml:space="preserve"> sa nesmie používať u detí</w:t>
      </w:r>
      <w:r w:rsidRPr="00265508">
        <w:rPr>
          <w:color w:val="000000"/>
          <w:sz w:val="22"/>
          <w:szCs w:val="22"/>
          <w:lang w:val="sk-SK"/>
        </w:rPr>
        <w:t xml:space="preserve"> a dospievajúci</w:t>
      </w:r>
      <w:r>
        <w:rPr>
          <w:color w:val="000000"/>
          <w:sz w:val="22"/>
          <w:szCs w:val="22"/>
          <w:lang w:val="sk-SK"/>
        </w:rPr>
        <w:t>ch</w:t>
      </w:r>
      <w:r w:rsidRPr="00265508">
        <w:rPr>
          <w:color w:val="000000"/>
          <w:sz w:val="22"/>
          <w:szCs w:val="22"/>
          <w:lang w:val="sk-SK"/>
        </w:rPr>
        <w:t xml:space="preserve"> mladší</w:t>
      </w:r>
      <w:r>
        <w:rPr>
          <w:color w:val="000000"/>
          <w:sz w:val="22"/>
          <w:szCs w:val="22"/>
          <w:lang w:val="sk-SK"/>
        </w:rPr>
        <w:t>ch</w:t>
      </w:r>
      <w:r w:rsidRPr="00265508">
        <w:rPr>
          <w:color w:val="000000"/>
          <w:sz w:val="22"/>
          <w:szCs w:val="22"/>
          <w:lang w:val="sk-SK"/>
        </w:rPr>
        <w:t xml:space="preserve"> ako 18 ro</w:t>
      </w:r>
      <w:r>
        <w:rPr>
          <w:color w:val="000000"/>
          <w:sz w:val="22"/>
          <w:szCs w:val="22"/>
          <w:lang w:val="sk-SK"/>
        </w:rPr>
        <w:t>kov</w:t>
      </w:r>
      <w:r w:rsidRPr="00265508">
        <w:rPr>
          <w:color w:val="000000"/>
          <w:sz w:val="22"/>
          <w:szCs w:val="22"/>
          <w:lang w:val="sk-SK"/>
        </w:rPr>
        <w:t xml:space="preserve"> (pozri časť 4.3).</w:t>
      </w:r>
    </w:p>
    <w:p w:rsidR="00E16BD1" w:rsidRPr="00265508" w:rsidRDefault="00E16BD1" w:rsidP="00E16BD1">
      <w:pPr>
        <w:autoSpaceDE w:val="0"/>
        <w:autoSpaceDN w:val="0"/>
        <w:adjustRightInd w:val="0"/>
        <w:spacing w:line="240" w:lineRule="auto"/>
        <w:rPr>
          <w:i/>
          <w:color w:val="000000"/>
          <w:szCs w:val="22"/>
          <w:lang w:val="sk-SK"/>
        </w:rPr>
      </w:pPr>
    </w:p>
    <w:p w:rsidR="00E16BD1" w:rsidRPr="00265508" w:rsidRDefault="00E16BD1" w:rsidP="00E16BD1">
      <w:pPr>
        <w:rPr>
          <w:szCs w:val="22"/>
          <w:u w:val="single"/>
          <w:lang w:val="sk-SK"/>
        </w:rPr>
      </w:pPr>
      <w:r w:rsidRPr="00265508">
        <w:rPr>
          <w:szCs w:val="22"/>
          <w:u w:val="single"/>
          <w:lang w:val="sk-SK"/>
        </w:rPr>
        <w:t>Spôsob podávania</w:t>
      </w:r>
    </w:p>
    <w:p w:rsidR="00E16BD1" w:rsidRPr="00265508" w:rsidRDefault="00E16BD1" w:rsidP="00E16BD1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N</w:t>
      </w:r>
      <w:r w:rsidRPr="00265508">
        <w:rPr>
          <w:color w:val="000000"/>
          <w:lang w:val="sk-SK"/>
        </w:rPr>
        <w:t>a perorálne použitie.</w:t>
      </w:r>
      <w:r>
        <w:rPr>
          <w:color w:val="000000"/>
          <w:lang w:val="sk-SK"/>
        </w:rPr>
        <w:t xml:space="preserve"> </w:t>
      </w:r>
      <w:r w:rsidRPr="00265508">
        <w:rPr>
          <w:color w:val="000000"/>
          <w:lang w:val="sk-SK"/>
        </w:rPr>
        <w:t>Tablety sa majú užívať s vodou po jedle, bez žuvania.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4.3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Kontraindikácie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Precitlivenosť na liečivo alebo na ktorúkoľvek z pomocných látok uvedených v časti 6.1.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Tehotenstvo a </w:t>
      </w:r>
      <w:r>
        <w:rPr>
          <w:color w:val="000000"/>
          <w:szCs w:val="22"/>
          <w:lang w:val="sk-SK"/>
        </w:rPr>
        <w:t>dojčenie</w:t>
      </w:r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Nedávne krvácanie do mozgu.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Akútna fáza </w:t>
      </w:r>
      <w:proofErr w:type="spellStart"/>
      <w:r w:rsidRPr="00265508">
        <w:rPr>
          <w:color w:val="000000"/>
          <w:szCs w:val="22"/>
          <w:lang w:val="sk-SK"/>
        </w:rPr>
        <w:t>hemoragickej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 xml:space="preserve">cievnej </w:t>
      </w:r>
      <w:r w:rsidRPr="00265508">
        <w:rPr>
          <w:color w:val="000000"/>
          <w:szCs w:val="22"/>
          <w:lang w:val="sk-SK"/>
        </w:rPr>
        <w:t>mozgovej príhody.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Závažn</w:t>
      </w:r>
      <w:r>
        <w:rPr>
          <w:color w:val="000000"/>
          <w:szCs w:val="22"/>
          <w:lang w:val="sk-SK"/>
        </w:rPr>
        <w:t>á</w:t>
      </w:r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ischemická choroba srdca</w:t>
      </w:r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Závažná </w:t>
      </w:r>
      <w:proofErr w:type="spellStart"/>
      <w:r w:rsidRPr="00265508">
        <w:rPr>
          <w:color w:val="000000"/>
          <w:szCs w:val="22"/>
          <w:lang w:val="sk-SK"/>
        </w:rPr>
        <w:t>arytmia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Intrakraniálna</w:t>
      </w:r>
      <w:proofErr w:type="spellEnd"/>
      <w:r w:rsidRPr="00265508">
        <w:rPr>
          <w:color w:val="000000"/>
          <w:szCs w:val="22"/>
          <w:lang w:val="sk-SK"/>
        </w:rPr>
        <w:t xml:space="preserve"> hypertenzia.</w:t>
      </w:r>
    </w:p>
    <w:p w:rsidR="00E16BD1" w:rsidRPr="00265508" w:rsidRDefault="00E16BD1" w:rsidP="00E16BD1">
      <w:pPr>
        <w:numPr>
          <w:ilvl w:val="0"/>
          <w:numId w:val="3"/>
        </w:num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Deti a dospievajúci ml</w:t>
      </w:r>
      <w:r>
        <w:rPr>
          <w:color w:val="000000"/>
          <w:szCs w:val="22"/>
          <w:lang w:val="sk-SK"/>
        </w:rPr>
        <w:t>adší ako 18 rokov</w:t>
      </w:r>
      <w:r w:rsidRPr="00265508">
        <w:rPr>
          <w:color w:val="000000"/>
          <w:szCs w:val="22"/>
          <w:lang w:val="sk-SK"/>
        </w:rPr>
        <w:t xml:space="preserve"> (pozri časť 4.2).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4.4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Osobitné upozornenia a opatrenia pri používaní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sa musí podávať opatrne pacientom so srdcovou </w:t>
      </w:r>
      <w:proofErr w:type="spellStart"/>
      <w:r w:rsidRPr="00265508">
        <w:rPr>
          <w:color w:val="000000"/>
          <w:szCs w:val="22"/>
          <w:lang w:val="sk-SK"/>
        </w:rPr>
        <w:t>arytmiou</w:t>
      </w:r>
      <w:proofErr w:type="spellEnd"/>
      <w:r w:rsidRPr="00265508">
        <w:rPr>
          <w:color w:val="000000"/>
          <w:szCs w:val="22"/>
          <w:lang w:val="sk-SK"/>
        </w:rPr>
        <w:t xml:space="preserve"> alebo pacientom liečeným </w:t>
      </w:r>
      <w:proofErr w:type="spellStart"/>
      <w:r w:rsidRPr="00265508">
        <w:rPr>
          <w:color w:val="000000"/>
          <w:szCs w:val="22"/>
          <w:lang w:val="sk-SK"/>
        </w:rPr>
        <w:t>antihypertenzívami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Užívaniu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 xml:space="preserve"> sa treba podľa možnosti vyhnúť u pacientov</w:t>
      </w:r>
      <w:r>
        <w:rPr>
          <w:color w:val="000000"/>
          <w:szCs w:val="22"/>
          <w:lang w:val="sk-SK"/>
        </w:rPr>
        <w:t xml:space="preserve"> s predĺženým</w:t>
      </w:r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 xml:space="preserve"> intervalom QT, pretože majú vyššie riziko arytmie, ako pacienti</w:t>
      </w:r>
      <w:r w:rsidRPr="00265508">
        <w:rPr>
          <w:color w:val="000000"/>
          <w:szCs w:val="22"/>
          <w:lang w:val="sk-SK"/>
        </w:rPr>
        <w:t xml:space="preserve"> s anamnézou intolerancie na iné </w:t>
      </w:r>
      <w:proofErr w:type="spellStart"/>
      <w:r w:rsidRPr="004B51F0">
        <w:rPr>
          <w:iCs/>
          <w:color w:val="000000"/>
          <w:szCs w:val="22"/>
          <w:lang w:val="sk-SK"/>
        </w:rPr>
        <w:t>vin</w:t>
      </w:r>
      <w:r>
        <w:rPr>
          <w:iCs/>
          <w:color w:val="000000"/>
          <w:szCs w:val="22"/>
          <w:lang w:val="sk-SK"/>
        </w:rPr>
        <w:t>k</w:t>
      </w:r>
      <w:r w:rsidRPr="004B51F0">
        <w:rPr>
          <w:iCs/>
          <w:color w:val="000000"/>
          <w:szCs w:val="22"/>
          <w:lang w:val="sk-SK"/>
        </w:rPr>
        <w:t>a</w:t>
      </w:r>
      <w:proofErr w:type="spellEnd"/>
      <w:r w:rsidRPr="000D2873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alkaloidy a pacienti</w:t>
      </w:r>
      <w:r w:rsidRPr="00265508">
        <w:rPr>
          <w:color w:val="000000"/>
          <w:szCs w:val="22"/>
          <w:lang w:val="sk-SK"/>
        </w:rPr>
        <w:t xml:space="preserve"> s </w:t>
      </w:r>
      <w:proofErr w:type="spellStart"/>
      <w:r w:rsidRPr="00265508">
        <w:rPr>
          <w:color w:val="000000"/>
          <w:szCs w:val="22"/>
          <w:lang w:val="sk-SK"/>
        </w:rPr>
        <w:t>renálnou</w:t>
      </w:r>
      <w:proofErr w:type="spellEnd"/>
      <w:r w:rsidRPr="00265508">
        <w:rPr>
          <w:color w:val="000000"/>
          <w:szCs w:val="22"/>
          <w:lang w:val="sk-SK"/>
        </w:rPr>
        <w:t xml:space="preserve"> alebo </w:t>
      </w:r>
      <w:proofErr w:type="spellStart"/>
      <w:r w:rsidRPr="00265508">
        <w:rPr>
          <w:color w:val="000000"/>
          <w:szCs w:val="22"/>
          <w:lang w:val="sk-SK"/>
        </w:rPr>
        <w:t>hepatálnou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insuficienciou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Ak sa </w:t>
      </w: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podáva pacientom s predĺženým</w:t>
      </w:r>
      <w:r>
        <w:rPr>
          <w:color w:val="000000"/>
          <w:szCs w:val="22"/>
          <w:lang w:val="sk-SK"/>
        </w:rPr>
        <w:t xml:space="preserve"> </w:t>
      </w:r>
      <w:r w:rsidRPr="00D019DC">
        <w:rPr>
          <w:color w:val="000000"/>
          <w:szCs w:val="22"/>
          <w:lang w:val="sk-SK"/>
        </w:rPr>
        <w:t>interval</w:t>
      </w:r>
      <w:r>
        <w:rPr>
          <w:color w:val="000000"/>
          <w:szCs w:val="22"/>
          <w:lang w:val="sk-SK"/>
        </w:rPr>
        <w:t>om</w:t>
      </w:r>
      <w:r w:rsidRPr="00D019DC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 xml:space="preserve">QT </w:t>
      </w:r>
      <w:r w:rsidRPr="00D019DC">
        <w:rPr>
          <w:color w:val="000000"/>
          <w:szCs w:val="22"/>
          <w:lang w:val="sk-SK"/>
        </w:rPr>
        <w:t>alebo ak užívajú</w:t>
      </w:r>
      <w:r>
        <w:rPr>
          <w:color w:val="000000"/>
          <w:szCs w:val="22"/>
          <w:lang w:val="sk-SK"/>
        </w:rPr>
        <w:t xml:space="preserve"> lieky, ktoré môžu interval QT</w:t>
      </w:r>
      <w:r w:rsidRPr="00265508">
        <w:rPr>
          <w:color w:val="000000"/>
          <w:szCs w:val="22"/>
          <w:lang w:val="sk-SK"/>
        </w:rPr>
        <w:t xml:space="preserve"> predĺžiť, odporúča sa u týchto pacientov sledovať EKG.</w:t>
      </w: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Pacientov s hypotenziou alebo </w:t>
      </w:r>
      <w:proofErr w:type="spellStart"/>
      <w:r w:rsidRPr="00265508">
        <w:rPr>
          <w:color w:val="000000"/>
          <w:szCs w:val="22"/>
          <w:lang w:val="sk-SK"/>
        </w:rPr>
        <w:t>ortostatickou</w:t>
      </w:r>
      <w:proofErr w:type="spellEnd"/>
      <w:r w:rsidRPr="00265508">
        <w:rPr>
          <w:color w:val="000000"/>
          <w:szCs w:val="22"/>
          <w:lang w:val="sk-SK"/>
        </w:rPr>
        <w:t xml:space="preserve"> hypotenziou treba upozorniť, že dlhodobé podávanie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 xml:space="preserve"> môže spôsobiť mierny pokles </w:t>
      </w:r>
      <w:proofErr w:type="spellStart"/>
      <w:r w:rsidRPr="00265508">
        <w:rPr>
          <w:color w:val="000000"/>
          <w:szCs w:val="22"/>
          <w:lang w:val="sk-SK"/>
        </w:rPr>
        <w:t>systolického</w:t>
      </w:r>
      <w:proofErr w:type="spellEnd"/>
      <w:r w:rsidRPr="00265508">
        <w:rPr>
          <w:color w:val="000000"/>
          <w:szCs w:val="22"/>
          <w:lang w:val="sk-SK"/>
        </w:rPr>
        <w:t xml:space="preserve"> a diastolického krvného tlaku.</w:t>
      </w: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V pr</w:t>
      </w:r>
      <w:r>
        <w:rPr>
          <w:color w:val="000000"/>
          <w:szCs w:val="22"/>
          <w:lang w:val="sk-SK"/>
        </w:rPr>
        <w:t>ípade očných zápalových ochorení</w:t>
      </w:r>
      <w:r w:rsidRPr="00265508">
        <w:rPr>
          <w:color w:val="000000"/>
          <w:szCs w:val="22"/>
          <w:lang w:val="sk-SK"/>
        </w:rPr>
        <w:t xml:space="preserve"> sa má </w:t>
      </w: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podávať opatrne a pod kontrolou.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Pri súbežnom podávaní niektorých </w:t>
      </w:r>
      <w:proofErr w:type="spellStart"/>
      <w:r w:rsidRPr="00265508">
        <w:rPr>
          <w:color w:val="000000"/>
          <w:szCs w:val="22"/>
          <w:lang w:val="sk-SK"/>
        </w:rPr>
        <w:t>antikoagulancií</w:t>
      </w:r>
      <w:proofErr w:type="spellEnd"/>
      <w:r w:rsidRPr="00265508">
        <w:rPr>
          <w:color w:val="000000"/>
          <w:szCs w:val="22"/>
          <w:lang w:val="sk-SK"/>
        </w:rPr>
        <w:t xml:space="preserve"> a </w:t>
      </w:r>
      <w:proofErr w:type="spellStart"/>
      <w:r w:rsidRPr="00265508">
        <w:rPr>
          <w:color w:val="000000"/>
          <w:szCs w:val="22"/>
          <w:lang w:val="sk-SK"/>
        </w:rPr>
        <w:t>nesteroidných</w:t>
      </w:r>
      <w:proofErr w:type="spellEnd"/>
      <w:r w:rsidRPr="00265508">
        <w:rPr>
          <w:color w:val="000000"/>
          <w:szCs w:val="22"/>
          <w:lang w:val="sk-SK"/>
        </w:rPr>
        <w:t xml:space="preserve"> protizápalových liekov je potrebná opatrnosť (</w:t>
      </w:r>
      <w:r>
        <w:rPr>
          <w:color w:val="000000"/>
          <w:szCs w:val="22"/>
          <w:lang w:val="sk-SK"/>
        </w:rPr>
        <w:t>pozri časť 4.5</w:t>
      </w:r>
      <w:r w:rsidRPr="00265508">
        <w:rPr>
          <w:color w:val="000000"/>
          <w:szCs w:val="22"/>
          <w:lang w:val="sk-SK"/>
        </w:rPr>
        <w:t>).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B6406E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  <w:r w:rsidRPr="00B6406E">
        <w:rPr>
          <w:color w:val="000000"/>
          <w:szCs w:val="22"/>
          <w:u w:val="single"/>
          <w:lang w:val="sk-SK"/>
        </w:rPr>
        <w:t>Pomocná látka so známym účinkom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</w:t>
      </w:r>
      <w:r>
        <w:rPr>
          <w:color w:val="000000"/>
          <w:szCs w:val="22"/>
          <w:lang w:val="sk-SK"/>
        </w:rPr>
        <w:t>ine</w:t>
      </w:r>
      <w:proofErr w:type="spellEnd"/>
      <w:r w:rsidRPr="00265508">
        <w:rPr>
          <w:color w:val="000000"/>
          <w:szCs w:val="22"/>
          <w:lang w:val="sk-SK"/>
        </w:rPr>
        <w:t xml:space="preserve"> ATREIZA obsahuje </w:t>
      </w:r>
      <w:proofErr w:type="spellStart"/>
      <w:r w:rsidRPr="00265508">
        <w:rPr>
          <w:color w:val="000000"/>
          <w:szCs w:val="22"/>
          <w:lang w:val="sk-SK"/>
        </w:rPr>
        <w:t>monohydrát</w:t>
      </w:r>
      <w:proofErr w:type="spellEnd"/>
      <w:r w:rsidRPr="00265508">
        <w:rPr>
          <w:color w:val="000000"/>
          <w:szCs w:val="22"/>
          <w:lang w:val="sk-SK"/>
        </w:rPr>
        <w:t xml:space="preserve"> laktózy.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Pacienti so zriedkavými dedičnými problémami </w:t>
      </w:r>
      <w:proofErr w:type="spellStart"/>
      <w:r w:rsidRPr="00265508">
        <w:rPr>
          <w:color w:val="000000"/>
          <w:szCs w:val="22"/>
          <w:lang w:val="sk-SK"/>
        </w:rPr>
        <w:t>ga</w:t>
      </w:r>
      <w:r>
        <w:rPr>
          <w:color w:val="000000"/>
          <w:szCs w:val="22"/>
          <w:lang w:val="sk-SK"/>
        </w:rPr>
        <w:t>laktózovej</w:t>
      </w:r>
      <w:proofErr w:type="spellEnd"/>
      <w:r>
        <w:rPr>
          <w:color w:val="000000"/>
          <w:szCs w:val="22"/>
          <w:lang w:val="sk-SK"/>
        </w:rPr>
        <w:t xml:space="preserve"> intolerancie, celkovým deficitom</w:t>
      </w:r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laktázy</w:t>
      </w:r>
      <w:proofErr w:type="spellEnd"/>
      <w:r w:rsidRPr="00265508">
        <w:rPr>
          <w:color w:val="000000"/>
          <w:szCs w:val="22"/>
          <w:lang w:val="sk-SK"/>
        </w:rPr>
        <w:t xml:space="preserve"> alebo </w:t>
      </w:r>
      <w:proofErr w:type="spellStart"/>
      <w:r>
        <w:rPr>
          <w:color w:val="000000"/>
          <w:szCs w:val="22"/>
          <w:lang w:val="sk-SK"/>
        </w:rPr>
        <w:t>glukózo-galaktózovou</w:t>
      </w:r>
      <w:proofErr w:type="spellEnd"/>
      <w:r>
        <w:rPr>
          <w:color w:val="000000"/>
          <w:szCs w:val="22"/>
          <w:lang w:val="sk-SK"/>
        </w:rPr>
        <w:t xml:space="preserve"> </w:t>
      </w:r>
      <w:proofErr w:type="spellStart"/>
      <w:r>
        <w:rPr>
          <w:color w:val="000000"/>
          <w:szCs w:val="22"/>
          <w:lang w:val="sk-SK"/>
        </w:rPr>
        <w:t>malabsorpciou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nesmú</w:t>
      </w:r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 xml:space="preserve">užívať </w:t>
      </w:r>
      <w:r w:rsidRPr="00265508">
        <w:rPr>
          <w:color w:val="000000"/>
          <w:szCs w:val="22"/>
          <w:lang w:val="sk-SK"/>
        </w:rPr>
        <w:t>tento liek.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4.5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Liekové a iné interakcie</w:t>
      </w:r>
    </w:p>
    <w:p w:rsidR="00E16BD1" w:rsidRPr="00DF3890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Pri súbežnom užívaní</w:t>
      </w:r>
      <w:r w:rsidRPr="003C5A7E">
        <w:rPr>
          <w:color w:val="000000"/>
          <w:szCs w:val="22"/>
          <w:lang w:val="sk-SK"/>
        </w:rPr>
        <w:t xml:space="preserve"> liekov pôsobiacich na centrálny nervový systém a pri súbežnej l</w:t>
      </w:r>
      <w:r>
        <w:rPr>
          <w:color w:val="000000"/>
          <w:szCs w:val="22"/>
          <w:lang w:val="sk-SK"/>
        </w:rPr>
        <w:t xml:space="preserve">iečbe </w:t>
      </w:r>
      <w:proofErr w:type="spellStart"/>
      <w:r>
        <w:rPr>
          <w:color w:val="000000"/>
          <w:szCs w:val="22"/>
          <w:lang w:val="sk-SK"/>
        </w:rPr>
        <w:t>antihypertenzívami</w:t>
      </w:r>
      <w:proofErr w:type="spellEnd"/>
      <w:r w:rsidRPr="003C5A7E">
        <w:rPr>
          <w:color w:val="000000"/>
          <w:szCs w:val="22"/>
          <w:lang w:val="sk-SK"/>
        </w:rPr>
        <w:t>, ktoré môžu predlžovať  interval</w:t>
      </w:r>
      <w:r>
        <w:rPr>
          <w:color w:val="000000"/>
          <w:szCs w:val="22"/>
          <w:lang w:val="sk-SK"/>
        </w:rPr>
        <w:t xml:space="preserve"> QT</w:t>
      </w:r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ant</w:t>
      </w:r>
      <w:r>
        <w:rPr>
          <w:color w:val="000000"/>
          <w:szCs w:val="22"/>
          <w:lang w:val="sk-SK"/>
        </w:rPr>
        <w:t>iarytmikami</w:t>
      </w:r>
      <w:proofErr w:type="spellEnd"/>
      <w:r>
        <w:rPr>
          <w:color w:val="000000"/>
          <w:szCs w:val="22"/>
          <w:lang w:val="sk-SK"/>
        </w:rPr>
        <w:t xml:space="preserve"> a </w:t>
      </w:r>
      <w:proofErr w:type="spellStart"/>
      <w:r>
        <w:rPr>
          <w:color w:val="000000"/>
          <w:szCs w:val="22"/>
          <w:lang w:val="sk-SK"/>
        </w:rPr>
        <w:t>antikoagulanciami</w:t>
      </w:r>
      <w:proofErr w:type="spellEnd"/>
      <w:r w:rsidRPr="003C5A7E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je potrebné postupovať opatrne.</w:t>
      </w:r>
    </w:p>
    <w:p w:rsidR="00E16BD1" w:rsidRPr="003C5A7E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</w:p>
    <w:p w:rsidR="00E16BD1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r w:rsidRPr="003C5A7E">
        <w:rPr>
          <w:color w:val="000000"/>
          <w:szCs w:val="22"/>
          <w:lang w:val="sk-SK"/>
        </w:rPr>
        <w:t xml:space="preserve">Pretože </w:t>
      </w:r>
      <w:proofErr w:type="spellStart"/>
      <w:r w:rsidRPr="003C5A7E">
        <w:rPr>
          <w:color w:val="000000"/>
          <w:szCs w:val="22"/>
          <w:lang w:val="sk-SK"/>
        </w:rPr>
        <w:t>vinpocetín</w:t>
      </w:r>
      <w:proofErr w:type="spellEnd"/>
      <w:r w:rsidRPr="003C5A7E">
        <w:rPr>
          <w:color w:val="000000"/>
          <w:szCs w:val="22"/>
          <w:lang w:val="sk-SK"/>
        </w:rPr>
        <w:t xml:space="preserve"> znižuje </w:t>
      </w:r>
      <w:proofErr w:type="spellStart"/>
      <w:r>
        <w:rPr>
          <w:color w:val="000000"/>
          <w:szCs w:val="22"/>
          <w:lang w:val="sk-SK"/>
        </w:rPr>
        <w:t>agregáciu</w:t>
      </w:r>
      <w:proofErr w:type="spellEnd"/>
      <w:r>
        <w:rPr>
          <w:color w:val="000000"/>
          <w:szCs w:val="22"/>
          <w:lang w:val="sk-SK"/>
        </w:rPr>
        <w:t xml:space="preserve"> krvných doštičiek, nemal</w:t>
      </w:r>
      <w:r w:rsidRPr="003C5A7E">
        <w:rPr>
          <w:color w:val="000000"/>
          <w:szCs w:val="22"/>
          <w:lang w:val="sk-SK"/>
        </w:rPr>
        <w:t xml:space="preserve"> by sa </w:t>
      </w:r>
      <w:r>
        <w:rPr>
          <w:color w:val="000000"/>
          <w:szCs w:val="22"/>
          <w:lang w:val="sk-SK"/>
        </w:rPr>
        <w:t>používať</w:t>
      </w:r>
      <w:r w:rsidRPr="003C5A7E">
        <w:rPr>
          <w:color w:val="000000"/>
          <w:szCs w:val="22"/>
          <w:lang w:val="sk-SK"/>
        </w:rPr>
        <w:t xml:space="preserve"> u pacientov užívajúcich lieky na riedenie krvi. Preto sa </w:t>
      </w:r>
      <w:proofErr w:type="spellStart"/>
      <w:r w:rsidRPr="003C5A7E">
        <w:rPr>
          <w:color w:val="000000"/>
          <w:szCs w:val="22"/>
          <w:lang w:val="sk-SK"/>
        </w:rPr>
        <w:t>vinpocetín</w:t>
      </w:r>
      <w:proofErr w:type="spellEnd"/>
      <w:r w:rsidRPr="003C5A7E">
        <w:rPr>
          <w:color w:val="000000"/>
          <w:szCs w:val="22"/>
          <w:lang w:val="sk-SK"/>
        </w:rPr>
        <w:t xml:space="preserve"> nemá užívať s</w:t>
      </w:r>
      <w:r>
        <w:rPr>
          <w:color w:val="000000"/>
          <w:szCs w:val="22"/>
          <w:lang w:val="sk-SK"/>
        </w:rPr>
        <w:t xml:space="preserve"> kyselinou </w:t>
      </w:r>
      <w:proofErr w:type="spellStart"/>
      <w:r>
        <w:rPr>
          <w:color w:val="000000"/>
          <w:szCs w:val="22"/>
          <w:lang w:val="sk-SK"/>
        </w:rPr>
        <w:t>acetylsalicylovou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klopidogrelom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diklofenakom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ibuprof</w:t>
      </w:r>
      <w:r>
        <w:rPr>
          <w:color w:val="000000"/>
          <w:szCs w:val="22"/>
          <w:lang w:val="sk-SK"/>
        </w:rPr>
        <w:t>é</w:t>
      </w:r>
      <w:r w:rsidRPr="003C5A7E">
        <w:rPr>
          <w:color w:val="000000"/>
          <w:szCs w:val="22"/>
          <w:lang w:val="sk-SK"/>
        </w:rPr>
        <w:t>nom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naproxénom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dalteparínom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enoxaparínom</w:t>
      </w:r>
      <w:proofErr w:type="spellEnd"/>
      <w:r w:rsidRPr="003C5A7E">
        <w:rPr>
          <w:color w:val="000000"/>
          <w:szCs w:val="22"/>
          <w:lang w:val="sk-SK"/>
        </w:rPr>
        <w:t xml:space="preserve">, </w:t>
      </w:r>
      <w:proofErr w:type="spellStart"/>
      <w:r w:rsidRPr="003C5A7E">
        <w:rPr>
          <w:color w:val="000000"/>
          <w:szCs w:val="22"/>
          <w:lang w:val="sk-SK"/>
        </w:rPr>
        <w:t>heparínom</w:t>
      </w:r>
      <w:proofErr w:type="spellEnd"/>
      <w:r w:rsidRPr="003C5A7E">
        <w:rPr>
          <w:color w:val="000000"/>
          <w:szCs w:val="22"/>
          <w:lang w:val="sk-SK"/>
        </w:rPr>
        <w:t>, warfarínom a podobnými lie</w:t>
      </w:r>
      <w:r>
        <w:rPr>
          <w:color w:val="000000"/>
          <w:szCs w:val="22"/>
          <w:lang w:val="sk-SK"/>
        </w:rPr>
        <w:t>čivami</w:t>
      </w:r>
      <w:r w:rsidRPr="003C5A7E">
        <w:rPr>
          <w:color w:val="000000"/>
          <w:szCs w:val="22"/>
          <w:lang w:val="sk-SK"/>
        </w:rPr>
        <w:t>.</w:t>
      </w:r>
    </w:p>
    <w:p w:rsidR="00E16BD1" w:rsidRPr="003C5A7E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</w:p>
    <w:p w:rsidR="00E16BD1" w:rsidRPr="004C529C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4C529C">
        <w:rPr>
          <w:color w:val="000000"/>
          <w:szCs w:val="22"/>
          <w:lang w:val="sk-SK"/>
        </w:rPr>
        <w:t>Vinpocetín</w:t>
      </w:r>
      <w:proofErr w:type="spellEnd"/>
      <w:r w:rsidRPr="004C529C">
        <w:rPr>
          <w:color w:val="000000"/>
          <w:szCs w:val="22"/>
          <w:lang w:val="sk-SK"/>
        </w:rPr>
        <w:t xml:space="preserve"> má slabý inhibičný účinok na CYP2C9. Môže to spôsobiť určité interakcie s lie</w:t>
      </w:r>
      <w:r>
        <w:rPr>
          <w:color w:val="000000"/>
          <w:szCs w:val="22"/>
          <w:lang w:val="sk-SK"/>
        </w:rPr>
        <w:t>čivami</w:t>
      </w:r>
      <w:r w:rsidRPr="004C529C">
        <w:rPr>
          <w:color w:val="000000"/>
          <w:szCs w:val="22"/>
          <w:lang w:val="sk-SK"/>
        </w:rPr>
        <w:t>, ktor</w:t>
      </w:r>
      <w:r>
        <w:rPr>
          <w:color w:val="000000"/>
          <w:szCs w:val="22"/>
          <w:lang w:val="sk-SK"/>
        </w:rPr>
        <w:t>é sa metabolizujú prostredníctvom</w:t>
      </w:r>
      <w:r w:rsidRPr="004C529C">
        <w:rPr>
          <w:color w:val="000000"/>
          <w:szCs w:val="22"/>
          <w:lang w:val="sk-SK"/>
        </w:rPr>
        <w:t xml:space="preserve"> </w:t>
      </w:r>
      <w:proofErr w:type="spellStart"/>
      <w:r w:rsidRPr="004C529C">
        <w:rPr>
          <w:color w:val="000000"/>
          <w:szCs w:val="22"/>
          <w:lang w:val="sk-SK"/>
        </w:rPr>
        <w:t>cytochróm</w:t>
      </w:r>
      <w:r>
        <w:rPr>
          <w:color w:val="000000"/>
          <w:szCs w:val="22"/>
          <w:lang w:val="sk-SK"/>
        </w:rPr>
        <w:t>u</w:t>
      </w:r>
      <w:proofErr w:type="spellEnd"/>
      <w:r w:rsidRPr="004C529C">
        <w:rPr>
          <w:color w:val="000000"/>
          <w:szCs w:val="22"/>
          <w:lang w:val="sk-SK"/>
        </w:rPr>
        <w:t xml:space="preserve"> P450. U pacientov </w:t>
      </w:r>
      <w:r>
        <w:rPr>
          <w:color w:val="000000"/>
          <w:szCs w:val="22"/>
          <w:lang w:val="sk-SK"/>
        </w:rPr>
        <w:t>po</w:t>
      </w:r>
      <w:r w:rsidRPr="004C529C">
        <w:rPr>
          <w:color w:val="000000"/>
          <w:szCs w:val="22"/>
          <w:lang w:val="sk-SK"/>
        </w:rPr>
        <w:t xml:space="preserve">užívajúcich </w:t>
      </w:r>
      <w:proofErr w:type="spellStart"/>
      <w:r w:rsidRPr="004C529C">
        <w:rPr>
          <w:color w:val="000000"/>
          <w:szCs w:val="22"/>
          <w:lang w:val="sk-SK"/>
        </w:rPr>
        <w:t>antikoagulanciá</w:t>
      </w:r>
      <w:proofErr w:type="spellEnd"/>
      <w:r w:rsidRPr="004C529C">
        <w:rPr>
          <w:color w:val="000000"/>
          <w:szCs w:val="22"/>
          <w:lang w:val="sk-SK"/>
        </w:rPr>
        <w:t xml:space="preserve"> je potrebná opatrnosť.</w:t>
      </w:r>
    </w:p>
    <w:p w:rsidR="00E16BD1" w:rsidRPr="004C529C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4C529C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4C529C">
        <w:rPr>
          <w:color w:val="000000"/>
          <w:szCs w:val="22"/>
          <w:lang w:val="sk-SK"/>
        </w:rPr>
        <w:t>Vinpocetín</w:t>
      </w:r>
      <w:proofErr w:type="spellEnd"/>
      <w:r w:rsidRPr="004C529C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sa nemá</w:t>
      </w:r>
      <w:r w:rsidRPr="004C529C">
        <w:rPr>
          <w:color w:val="000000"/>
          <w:szCs w:val="22"/>
          <w:lang w:val="sk-SK"/>
        </w:rPr>
        <w:t xml:space="preserve"> užívať s </w:t>
      </w:r>
      <w:r>
        <w:rPr>
          <w:color w:val="000000"/>
          <w:szCs w:val="22"/>
          <w:lang w:val="sk-SK"/>
        </w:rPr>
        <w:t>rastlinami</w:t>
      </w:r>
      <w:r w:rsidRPr="004C529C">
        <w:rPr>
          <w:color w:val="000000"/>
          <w:szCs w:val="22"/>
          <w:lang w:val="sk-SK"/>
        </w:rPr>
        <w:t xml:space="preserve"> riediacimi krv, ak</w:t>
      </w:r>
      <w:r>
        <w:rPr>
          <w:color w:val="000000"/>
          <w:szCs w:val="22"/>
          <w:lang w:val="sk-SK"/>
        </w:rPr>
        <w:t xml:space="preserve">o sú </w:t>
      </w:r>
      <w:proofErr w:type="spellStart"/>
      <w:r>
        <w:rPr>
          <w:color w:val="000000"/>
          <w:szCs w:val="22"/>
          <w:lang w:val="sk-SK"/>
        </w:rPr>
        <w:t>kajenské</w:t>
      </w:r>
      <w:proofErr w:type="spellEnd"/>
      <w:r>
        <w:rPr>
          <w:color w:val="000000"/>
          <w:szCs w:val="22"/>
          <w:lang w:val="sk-SK"/>
        </w:rPr>
        <w:t xml:space="preserve"> korenie, cesnak,</w:t>
      </w:r>
      <w:r w:rsidRPr="004C529C">
        <w:rPr>
          <w:color w:val="000000"/>
          <w:szCs w:val="22"/>
          <w:lang w:val="sk-SK"/>
        </w:rPr>
        <w:t xml:space="preserve"> </w:t>
      </w:r>
      <w:proofErr w:type="spellStart"/>
      <w:r>
        <w:rPr>
          <w:color w:val="000000"/>
          <w:szCs w:val="22"/>
          <w:lang w:val="sk-SK"/>
        </w:rPr>
        <w:t>kasia</w:t>
      </w:r>
      <w:proofErr w:type="spellEnd"/>
      <w:r>
        <w:rPr>
          <w:color w:val="000000"/>
          <w:szCs w:val="22"/>
          <w:lang w:val="sk-SK"/>
        </w:rPr>
        <w:t xml:space="preserve"> škoricová</w:t>
      </w:r>
      <w:r w:rsidRPr="004C529C">
        <w:rPr>
          <w:color w:val="000000"/>
          <w:szCs w:val="22"/>
          <w:lang w:val="sk-SK"/>
        </w:rPr>
        <w:t xml:space="preserve">, </w:t>
      </w:r>
      <w:proofErr w:type="spellStart"/>
      <w:r w:rsidRPr="004C529C">
        <w:rPr>
          <w:color w:val="000000"/>
          <w:szCs w:val="22"/>
          <w:lang w:val="sk-SK"/>
        </w:rPr>
        <w:t>ginko</w:t>
      </w:r>
      <w:proofErr w:type="spellEnd"/>
      <w:r w:rsidRPr="004C529C">
        <w:rPr>
          <w:color w:val="000000"/>
          <w:szCs w:val="22"/>
          <w:lang w:val="sk-SK"/>
        </w:rPr>
        <w:t xml:space="preserve"> </w:t>
      </w:r>
      <w:proofErr w:type="spellStart"/>
      <w:r w:rsidRPr="004C529C">
        <w:rPr>
          <w:color w:val="000000"/>
          <w:szCs w:val="22"/>
          <w:lang w:val="sk-SK"/>
        </w:rPr>
        <w:t>biloba</w:t>
      </w:r>
      <w:proofErr w:type="spellEnd"/>
      <w:r w:rsidRPr="004C529C">
        <w:rPr>
          <w:color w:val="000000"/>
          <w:szCs w:val="22"/>
          <w:lang w:val="sk-SK"/>
        </w:rPr>
        <w:t xml:space="preserve">, </w:t>
      </w:r>
      <w:r>
        <w:rPr>
          <w:color w:val="000000"/>
          <w:szCs w:val="22"/>
          <w:lang w:val="sk-SK"/>
        </w:rPr>
        <w:t>extrakt</w:t>
      </w:r>
      <w:r w:rsidRPr="004C529C">
        <w:rPr>
          <w:color w:val="000000"/>
          <w:szCs w:val="22"/>
          <w:lang w:val="sk-SK"/>
        </w:rPr>
        <w:t xml:space="preserve"> hroznových jadierok, </w:t>
      </w:r>
      <w:r>
        <w:rPr>
          <w:color w:val="000000"/>
          <w:szCs w:val="22"/>
          <w:lang w:val="sk-SK"/>
        </w:rPr>
        <w:t>angelika čínska (</w:t>
      </w:r>
      <w:proofErr w:type="spellStart"/>
      <w:r w:rsidRPr="004C529C">
        <w:rPr>
          <w:color w:val="000000"/>
          <w:szCs w:val="22"/>
          <w:lang w:val="sk-SK"/>
        </w:rPr>
        <w:t>dong</w:t>
      </w:r>
      <w:proofErr w:type="spellEnd"/>
      <w:r w:rsidRPr="004C529C">
        <w:rPr>
          <w:color w:val="000000"/>
          <w:szCs w:val="22"/>
          <w:lang w:val="sk-SK"/>
        </w:rPr>
        <w:t xml:space="preserve"> </w:t>
      </w:r>
      <w:proofErr w:type="spellStart"/>
      <w:r w:rsidRPr="004C529C">
        <w:rPr>
          <w:color w:val="000000"/>
          <w:szCs w:val="22"/>
          <w:lang w:val="sk-SK"/>
        </w:rPr>
        <w:t>quai</w:t>
      </w:r>
      <w:proofErr w:type="spellEnd"/>
      <w:r>
        <w:rPr>
          <w:color w:val="000000"/>
          <w:szCs w:val="22"/>
          <w:lang w:val="sk-SK"/>
        </w:rPr>
        <w:t>)</w:t>
      </w:r>
      <w:r w:rsidRPr="004C529C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 </w:t>
      </w:r>
      <w:proofErr w:type="spellStart"/>
      <w:r>
        <w:rPr>
          <w:szCs w:val="24"/>
          <w:lang w:val="sk-SK"/>
        </w:rPr>
        <w:t>rimbaba</w:t>
      </w:r>
      <w:proofErr w:type="spellEnd"/>
      <w:r>
        <w:rPr>
          <w:szCs w:val="24"/>
          <w:lang w:val="sk-SK"/>
        </w:rPr>
        <w:t xml:space="preserve"> obyčajná.</w:t>
      </w:r>
    </w:p>
    <w:p w:rsidR="00E16BD1" w:rsidRPr="004C529C" w:rsidRDefault="00E16BD1" w:rsidP="00E16BD1">
      <w:pPr>
        <w:spacing w:line="240" w:lineRule="auto"/>
        <w:rPr>
          <w:i/>
          <w:szCs w:val="24"/>
          <w:lang w:val="sk-SK"/>
        </w:rPr>
      </w:pPr>
    </w:p>
    <w:p w:rsidR="00E16BD1" w:rsidRPr="008243BA" w:rsidRDefault="00E16BD1" w:rsidP="00E16BD1">
      <w:pPr>
        <w:rPr>
          <w:b/>
          <w:color w:val="000000"/>
          <w:szCs w:val="22"/>
          <w:lang w:val="sk-SK"/>
        </w:rPr>
      </w:pPr>
      <w:r w:rsidRPr="005927C7">
        <w:rPr>
          <w:b/>
          <w:color w:val="000000"/>
          <w:szCs w:val="22"/>
          <w:lang w:val="sk-SK"/>
        </w:rPr>
        <w:t>4.6</w:t>
      </w:r>
      <w:r w:rsidRPr="005927C7">
        <w:rPr>
          <w:b/>
          <w:color w:val="000000"/>
          <w:szCs w:val="22"/>
          <w:lang w:val="sk-SK"/>
        </w:rPr>
        <w:tab/>
      </w:r>
      <w:proofErr w:type="spellStart"/>
      <w:r>
        <w:rPr>
          <w:b/>
          <w:color w:val="000000"/>
          <w:szCs w:val="22"/>
          <w:lang w:val="sk-SK"/>
        </w:rPr>
        <w:t>Fertilita</w:t>
      </w:r>
      <w:proofErr w:type="spellEnd"/>
      <w:r>
        <w:rPr>
          <w:b/>
          <w:color w:val="000000"/>
          <w:szCs w:val="22"/>
          <w:lang w:val="sk-SK"/>
        </w:rPr>
        <w:t>, gravidita a laktácia</w:t>
      </w:r>
    </w:p>
    <w:p w:rsidR="00E16BD1" w:rsidRPr="005927C7" w:rsidRDefault="00E16BD1" w:rsidP="00E16BD1">
      <w:pPr>
        <w:pStyle w:val="Default"/>
        <w:rPr>
          <w:color w:val="000000"/>
          <w:sz w:val="22"/>
          <w:szCs w:val="22"/>
          <w:u w:val="single"/>
          <w:lang w:val="sk-SK"/>
        </w:rPr>
      </w:pPr>
    </w:p>
    <w:p w:rsidR="00E16BD1" w:rsidRPr="005927C7" w:rsidRDefault="00E16BD1" w:rsidP="00E16BD1">
      <w:pPr>
        <w:pStyle w:val="Default"/>
        <w:rPr>
          <w:color w:val="000000"/>
          <w:sz w:val="22"/>
          <w:szCs w:val="22"/>
          <w:u w:val="single"/>
          <w:lang w:val="sk-SK"/>
        </w:rPr>
      </w:pPr>
      <w:r w:rsidRPr="005927C7">
        <w:rPr>
          <w:color w:val="000000"/>
          <w:sz w:val="22"/>
          <w:szCs w:val="22"/>
          <w:u w:val="single"/>
          <w:lang w:val="sk-SK"/>
        </w:rPr>
        <w:t>Gravidita</w:t>
      </w:r>
    </w:p>
    <w:p w:rsidR="00E16BD1" w:rsidRPr="005927C7" w:rsidRDefault="00E16BD1" w:rsidP="00E16BD1">
      <w:pPr>
        <w:tabs>
          <w:tab w:val="left" w:pos="6930"/>
        </w:tabs>
        <w:spacing w:line="240" w:lineRule="auto"/>
        <w:rPr>
          <w:szCs w:val="24"/>
          <w:lang w:val="sk-SK"/>
        </w:rPr>
      </w:pPr>
      <w:proofErr w:type="spellStart"/>
      <w:r w:rsidRPr="005927C7">
        <w:rPr>
          <w:szCs w:val="24"/>
          <w:lang w:val="sk-SK"/>
        </w:rPr>
        <w:t>Vinpocetine</w:t>
      </w:r>
      <w:proofErr w:type="spellEnd"/>
      <w:r w:rsidRPr="005927C7">
        <w:rPr>
          <w:szCs w:val="24"/>
          <w:lang w:val="sk-SK"/>
        </w:rPr>
        <w:t xml:space="preserve"> ATREIZA </w:t>
      </w:r>
      <w:bookmarkStart w:id="0" w:name="_Hlk42081936"/>
      <w:r>
        <w:rPr>
          <w:szCs w:val="24"/>
          <w:lang w:val="sk-SK"/>
        </w:rPr>
        <w:t>je kontraindikovaný</w:t>
      </w:r>
      <w:r w:rsidRPr="005927C7">
        <w:rPr>
          <w:szCs w:val="24"/>
          <w:lang w:val="sk-SK"/>
        </w:rPr>
        <w:t xml:space="preserve"> počas tehotenstva (pozri časť 4.3). O použití </w:t>
      </w:r>
      <w:proofErr w:type="spellStart"/>
      <w:r w:rsidRPr="005927C7">
        <w:rPr>
          <w:szCs w:val="24"/>
          <w:lang w:val="sk-SK"/>
        </w:rPr>
        <w:t>vinpocetínu</w:t>
      </w:r>
      <w:proofErr w:type="spellEnd"/>
      <w:r w:rsidRPr="005927C7">
        <w:rPr>
          <w:szCs w:val="24"/>
          <w:lang w:val="sk-SK"/>
        </w:rPr>
        <w:t xml:space="preserve"> u </w:t>
      </w:r>
      <w:r>
        <w:rPr>
          <w:szCs w:val="24"/>
          <w:lang w:val="sk-SK"/>
        </w:rPr>
        <w:t>tehotných</w:t>
      </w:r>
      <w:r w:rsidRPr="005927C7">
        <w:rPr>
          <w:szCs w:val="24"/>
          <w:lang w:val="sk-SK"/>
        </w:rPr>
        <w:t xml:space="preserve"> žien nie sú k </w:t>
      </w:r>
      <w:r>
        <w:rPr>
          <w:szCs w:val="24"/>
          <w:lang w:val="sk-SK"/>
        </w:rPr>
        <w:t>dispozícii žiadne alebo len</w:t>
      </w:r>
      <w:r w:rsidRPr="005927C7">
        <w:rPr>
          <w:szCs w:val="24"/>
          <w:lang w:val="sk-SK"/>
        </w:rPr>
        <w:t xml:space="preserve"> obmedzené</w:t>
      </w:r>
      <w:r>
        <w:rPr>
          <w:szCs w:val="24"/>
          <w:lang w:val="sk-SK"/>
        </w:rPr>
        <w:t xml:space="preserve"> údaje. </w:t>
      </w:r>
    </w:p>
    <w:p w:rsidR="00E16BD1" w:rsidRPr="005927C7" w:rsidRDefault="00E16BD1" w:rsidP="00E16BD1">
      <w:pPr>
        <w:tabs>
          <w:tab w:val="left" w:pos="6930"/>
        </w:tabs>
        <w:spacing w:line="240" w:lineRule="auto"/>
        <w:rPr>
          <w:szCs w:val="24"/>
          <w:lang w:val="sk-SK"/>
        </w:rPr>
      </w:pPr>
    </w:p>
    <w:p w:rsidR="00E16BD1" w:rsidRPr="005454A5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  <w:proofErr w:type="spellStart"/>
      <w:r w:rsidRPr="005454A5">
        <w:rPr>
          <w:szCs w:val="24"/>
          <w:lang w:val="sk-SK"/>
        </w:rPr>
        <w:t>Vinpocetín</w:t>
      </w:r>
      <w:proofErr w:type="spellEnd"/>
      <w:r w:rsidRPr="005454A5">
        <w:rPr>
          <w:szCs w:val="24"/>
          <w:lang w:val="sk-SK"/>
        </w:rPr>
        <w:t xml:space="preserve"> prechádza placentárnou bariérou, ale v placente a plode je jeho koncentrácia nižšia ako v krvi matky. Neboli pozorované </w:t>
      </w:r>
      <w:proofErr w:type="spellStart"/>
      <w:r w:rsidRPr="005454A5">
        <w:rPr>
          <w:szCs w:val="24"/>
          <w:lang w:val="sk-SK"/>
        </w:rPr>
        <w:t>teratogénne</w:t>
      </w:r>
      <w:proofErr w:type="spellEnd"/>
      <w:r w:rsidRPr="005454A5">
        <w:rPr>
          <w:szCs w:val="24"/>
          <w:lang w:val="sk-SK"/>
        </w:rPr>
        <w:t xml:space="preserve"> ani </w:t>
      </w:r>
      <w:proofErr w:type="spellStart"/>
      <w:r w:rsidRPr="005454A5">
        <w:rPr>
          <w:szCs w:val="24"/>
          <w:lang w:val="sk-SK"/>
        </w:rPr>
        <w:t>embryotoxické</w:t>
      </w:r>
      <w:proofErr w:type="spellEnd"/>
      <w:r w:rsidRPr="005454A5">
        <w:rPr>
          <w:szCs w:val="24"/>
          <w:lang w:val="sk-SK"/>
        </w:rPr>
        <w:t xml:space="preserve"> účinky.</w:t>
      </w:r>
      <w:r>
        <w:rPr>
          <w:szCs w:val="24"/>
          <w:lang w:val="sk-SK"/>
        </w:rPr>
        <w:t xml:space="preserve"> </w:t>
      </w:r>
      <w:r w:rsidRPr="005454A5">
        <w:rPr>
          <w:szCs w:val="24"/>
          <w:lang w:val="sk-SK"/>
        </w:rPr>
        <w:t xml:space="preserve">V štúdiách na zvieratách viedlo podávanie vysokých dávok </w:t>
      </w:r>
      <w:proofErr w:type="spellStart"/>
      <w:r w:rsidRPr="005454A5">
        <w:rPr>
          <w:szCs w:val="24"/>
          <w:lang w:val="sk-SK"/>
        </w:rPr>
        <w:t>vinpocetínu</w:t>
      </w:r>
      <w:proofErr w:type="spellEnd"/>
      <w:r w:rsidRPr="005454A5">
        <w:rPr>
          <w:szCs w:val="24"/>
          <w:lang w:val="sk-SK"/>
        </w:rPr>
        <w:t xml:space="preserve"> vo výnimočných prípadoch k</w:t>
      </w:r>
      <w:r>
        <w:rPr>
          <w:szCs w:val="24"/>
          <w:lang w:val="sk-SK"/>
        </w:rPr>
        <w:t>u</w:t>
      </w:r>
      <w:r w:rsidRPr="005454A5">
        <w:rPr>
          <w:szCs w:val="24"/>
          <w:lang w:val="sk-SK"/>
        </w:rPr>
        <w:t xml:space="preserve"> krvácaniu placenty a potratom, pravdepodob</w:t>
      </w:r>
      <w:r>
        <w:rPr>
          <w:szCs w:val="24"/>
          <w:lang w:val="sk-SK"/>
        </w:rPr>
        <w:t>ne z dôvodu zvýšeného placentárneho prietoku</w:t>
      </w:r>
      <w:r w:rsidRPr="005454A5">
        <w:rPr>
          <w:szCs w:val="24"/>
          <w:lang w:val="sk-SK"/>
        </w:rPr>
        <w:t xml:space="preserve">. </w:t>
      </w:r>
      <w:r>
        <w:rPr>
          <w:szCs w:val="24"/>
          <w:lang w:val="sk-SK"/>
        </w:rPr>
        <w:t xml:space="preserve">U hlodavcov </w:t>
      </w:r>
      <w:proofErr w:type="spellStart"/>
      <w:r>
        <w:rPr>
          <w:szCs w:val="24"/>
          <w:lang w:val="sk-SK"/>
        </w:rPr>
        <w:t>vinpocetín</w:t>
      </w:r>
      <w:proofErr w:type="spellEnd"/>
      <w:r>
        <w:rPr>
          <w:szCs w:val="24"/>
          <w:lang w:val="sk-SK"/>
        </w:rPr>
        <w:t xml:space="preserve"> znižoval hmotnosť plodu, zvyšoval pravdepodobnosť potratu a mohol by mať nepriaznivé účinky na reprodukciu. </w:t>
      </w:r>
      <w:r w:rsidRPr="005454A5">
        <w:rPr>
          <w:szCs w:val="24"/>
          <w:lang w:val="sk-SK"/>
        </w:rPr>
        <w:t>Štúdie na zvieratách preukázali repro</w:t>
      </w:r>
      <w:r>
        <w:rPr>
          <w:szCs w:val="24"/>
          <w:lang w:val="sk-SK"/>
        </w:rPr>
        <w:t xml:space="preserve">dukčnú toxicitu (pozri časť </w:t>
      </w:r>
      <w:r w:rsidRPr="005454A5">
        <w:rPr>
          <w:color w:val="000000"/>
          <w:szCs w:val="22"/>
          <w:lang w:val="sk-SK"/>
        </w:rPr>
        <w:t>5.3).</w:t>
      </w:r>
      <w:bookmarkEnd w:id="0"/>
    </w:p>
    <w:p w:rsidR="00E16BD1" w:rsidRPr="005454A5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</w:p>
    <w:p w:rsidR="00E16BD1" w:rsidRPr="005454A5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lang w:val="sk-SK"/>
        </w:rPr>
        <w:t>Dojčenie</w:t>
      </w:r>
    </w:p>
    <w:p w:rsidR="00E16BD1" w:rsidRPr="005454A5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5454A5">
        <w:rPr>
          <w:color w:val="000000"/>
          <w:szCs w:val="22"/>
          <w:lang w:val="sk-SK"/>
        </w:rPr>
        <w:t>Vinpocetine</w:t>
      </w:r>
      <w:proofErr w:type="spellEnd"/>
      <w:r w:rsidRPr="005454A5">
        <w:rPr>
          <w:color w:val="000000"/>
          <w:szCs w:val="22"/>
          <w:lang w:val="sk-SK"/>
        </w:rPr>
        <w:t xml:space="preserve"> ATREIZA </w:t>
      </w:r>
      <w:r>
        <w:rPr>
          <w:szCs w:val="24"/>
          <w:lang w:val="sk-SK"/>
        </w:rPr>
        <w:t>je kontraindikovaný počas dojčenia</w:t>
      </w:r>
      <w:r w:rsidRPr="005454A5">
        <w:rPr>
          <w:color w:val="000000"/>
          <w:szCs w:val="22"/>
          <w:lang w:val="sk-SK"/>
        </w:rPr>
        <w:t xml:space="preserve"> (</w:t>
      </w:r>
      <w:r>
        <w:rPr>
          <w:szCs w:val="24"/>
          <w:lang w:val="sk-SK"/>
        </w:rPr>
        <w:t xml:space="preserve">pozri časť </w:t>
      </w:r>
      <w:r>
        <w:rPr>
          <w:color w:val="000000"/>
          <w:szCs w:val="22"/>
          <w:lang w:val="sk-SK"/>
        </w:rPr>
        <w:t xml:space="preserve">4.3). </w:t>
      </w:r>
      <w:proofErr w:type="spellStart"/>
      <w:r>
        <w:rPr>
          <w:color w:val="000000"/>
          <w:szCs w:val="22"/>
          <w:lang w:val="sk-SK"/>
        </w:rPr>
        <w:t>Vinpocetín</w:t>
      </w:r>
      <w:proofErr w:type="spellEnd"/>
      <w:r>
        <w:rPr>
          <w:color w:val="000000"/>
          <w:szCs w:val="22"/>
          <w:lang w:val="sk-SK"/>
        </w:rPr>
        <w:t xml:space="preserve"> sa vylučuje do materského mlieka. </w:t>
      </w:r>
    </w:p>
    <w:p w:rsidR="00E16BD1" w:rsidRPr="005454A5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5927C7">
        <w:rPr>
          <w:szCs w:val="24"/>
          <w:lang w:val="sk-SK"/>
        </w:rPr>
        <w:t xml:space="preserve">O použití </w:t>
      </w:r>
      <w:proofErr w:type="spellStart"/>
      <w:r w:rsidRPr="005927C7">
        <w:rPr>
          <w:szCs w:val="24"/>
          <w:lang w:val="sk-SK"/>
        </w:rPr>
        <w:t>vinpocetínu</w:t>
      </w:r>
      <w:proofErr w:type="spellEnd"/>
      <w:r w:rsidRPr="005927C7">
        <w:rPr>
          <w:szCs w:val="24"/>
          <w:lang w:val="sk-SK"/>
        </w:rPr>
        <w:t xml:space="preserve"> </w:t>
      </w:r>
      <w:r>
        <w:rPr>
          <w:szCs w:val="24"/>
          <w:lang w:val="sk-SK"/>
        </w:rPr>
        <w:t>počas dojčenia</w:t>
      </w:r>
      <w:r w:rsidRPr="005927C7">
        <w:rPr>
          <w:szCs w:val="24"/>
          <w:lang w:val="sk-SK"/>
        </w:rPr>
        <w:t xml:space="preserve"> nie sú k </w:t>
      </w:r>
      <w:r>
        <w:rPr>
          <w:szCs w:val="24"/>
          <w:lang w:val="sk-SK"/>
        </w:rPr>
        <w:t>dispozícii žiadne alebo len</w:t>
      </w:r>
      <w:r w:rsidRPr="005927C7">
        <w:rPr>
          <w:szCs w:val="24"/>
          <w:lang w:val="sk-SK"/>
        </w:rPr>
        <w:t xml:space="preserve"> obmedzené</w:t>
      </w:r>
      <w:r>
        <w:rPr>
          <w:szCs w:val="24"/>
          <w:lang w:val="sk-SK"/>
        </w:rPr>
        <w:t xml:space="preserve"> údaje</w:t>
      </w:r>
      <w:r>
        <w:rPr>
          <w:color w:val="000000"/>
          <w:szCs w:val="22"/>
          <w:lang w:val="sk-SK"/>
        </w:rPr>
        <w:t>.</w:t>
      </w:r>
    </w:p>
    <w:p w:rsidR="00E16BD1" w:rsidRPr="005454A5" w:rsidRDefault="00E16BD1" w:rsidP="00E16BD1">
      <w:pPr>
        <w:spacing w:line="240" w:lineRule="auto"/>
        <w:rPr>
          <w:i/>
          <w:color w:val="000000"/>
          <w:szCs w:val="22"/>
          <w:lang w:val="sk-SK"/>
        </w:rPr>
      </w:pPr>
    </w:p>
    <w:p w:rsidR="00E16BD1" w:rsidRPr="005454A5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  <w:proofErr w:type="spellStart"/>
      <w:r>
        <w:rPr>
          <w:color w:val="000000"/>
          <w:szCs w:val="22"/>
          <w:u w:val="single"/>
          <w:lang w:val="sk-SK"/>
        </w:rPr>
        <w:t>Fertilita</w:t>
      </w:r>
      <w:proofErr w:type="spellEnd"/>
    </w:p>
    <w:p w:rsidR="00E16BD1" w:rsidRPr="005454A5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Štúdie týkajúce sa vplyvu na plodnosť u ľudí nie sú k dispozícii. </w:t>
      </w:r>
    </w:p>
    <w:p w:rsidR="00E16BD1" w:rsidRPr="005454A5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</w:p>
    <w:p w:rsidR="00E16BD1" w:rsidRPr="005454A5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5454A5">
        <w:rPr>
          <w:b/>
          <w:color w:val="000000"/>
          <w:szCs w:val="22"/>
          <w:lang w:val="sk-SK"/>
        </w:rPr>
        <w:t>4.7</w:t>
      </w:r>
      <w:r w:rsidRPr="005454A5">
        <w:rPr>
          <w:b/>
          <w:color w:val="000000"/>
          <w:szCs w:val="22"/>
          <w:lang w:val="sk-SK"/>
        </w:rPr>
        <w:tab/>
      </w:r>
      <w:r w:rsidRPr="005454A5">
        <w:rPr>
          <w:b/>
          <w:szCs w:val="22"/>
          <w:lang w:val="sk-SK"/>
        </w:rPr>
        <w:t>Ovplyvnenie schopnosti viesť vozidlá a obsluhovať stroje</w:t>
      </w:r>
    </w:p>
    <w:p w:rsidR="00E16BD1" w:rsidRPr="005454A5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D019DC" w:rsidRDefault="00E16BD1" w:rsidP="00E16BD1">
      <w:pPr>
        <w:tabs>
          <w:tab w:val="left" w:pos="720"/>
        </w:tabs>
        <w:spacing w:line="240" w:lineRule="auto"/>
        <w:rPr>
          <w:b/>
          <w:color w:val="000000"/>
          <w:szCs w:val="22"/>
          <w:lang w:val="sk-SK"/>
        </w:rPr>
      </w:pPr>
      <w:r w:rsidRPr="00D019DC">
        <w:rPr>
          <w:color w:val="000000"/>
          <w:szCs w:val="22"/>
          <w:lang w:val="sk-SK"/>
        </w:rPr>
        <w:t xml:space="preserve">Neexistuje žiadny dôkaz o tom, že by mal </w:t>
      </w:r>
      <w:proofErr w:type="spellStart"/>
      <w:r w:rsidRPr="00D019DC">
        <w:rPr>
          <w:color w:val="000000"/>
          <w:szCs w:val="22"/>
          <w:lang w:val="sk-SK"/>
        </w:rPr>
        <w:t>Vinpocetine</w:t>
      </w:r>
      <w:proofErr w:type="spellEnd"/>
      <w:r w:rsidRPr="00D019DC">
        <w:rPr>
          <w:color w:val="000000"/>
          <w:szCs w:val="22"/>
          <w:lang w:val="sk-SK"/>
        </w:rPr>
        <w:t xml:space="preserve"> ATREIZA </w:t>
      </w:r>
      <w:r w:rsidRPr="00D019DC">
        <w:rPr>
          <w:noProof/>
          <w:szCs w:val="22"/>
          <w:lang w:val="sk-SK"/>
        </w:rPr>
        <w:t xml:space="preserve">akýkoľvek </w:t>
      </w:r>
      <w:r w:rsidRPr="00D019DC">
        <w:rPr>
          <w:szCs w:val="22"/>
          <w:lang w:val="sk-SK"/>
        </w:rPr>
        <w:t>vplyv na schopnosť viesť vozidlá a obsluhovať stroje.</w:t>
      </w:r>
    </w:p>
    <w:p w:rsidR="00E16BD1" w:rsidRPr="00D019DC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D019DC" w:rsidRDefault="00E16BD1" w:rsidP="00E16BD1">
      <w:pPr>
        <w:numPr>
          <w:ilvl w:val="1"/>
          <w:numId w:val="1"/>
        </w:numPr>
        <w:tabs>
          <w:tab w:val="clear" w:pos="570"/>
          <w:tab w:val="left" w:pos="567"/>
        </w:tabs>
        <w:spacing w:line="240" w:lineRule="auto"/>
        <w:ind w:left="0" w:firstLine="0"/>
        <w:rPr>
          <w:b/>
          <w:color w:val="000000"/>
          <w:szCs w:val="22"/>
          <w:lang w:val="sk-SK"/>
        </w:rPr>
      </w:pPr>
      <w:r w:rsidRPr="00D019DC">
        <w:rPr>
          <w:b/>
          <w:szCs w:val="22"/>
          <w:lang w:val="sk-SK"/>
        </w:rPr>
        <w:t>Nežiaduce účinky</w:t>
      </w:r>
    </w:p>
    <w:p w:rsidR="00E16BD1" w:rsidRPr="00D019DC" w:rsidRDefault="00E16BD1" w:rsidP="00E16BD1">
      <w:pPr>
        <w:tabs>
          <w:tab w:val="clear" w:pos="567"/>
        </w:tabs>
        <w:spacing w:line="240" w:lineRule="auto"/>
        <w:rPr>
          <w:bCs/>
          <w:color w:val="000000"/>
          <w:szCs w:val="22"/>
          <w:lang w:val="sk-SK"/>
        </w:rPr>
      </w:pPr>
    </w:p>
    <w:p w:rsidR="00E16BD1" w:rsidRPr="002836D7" w:rsidRDefault="00E16BD1" w:rsidP="00E16BD1">
      <w:pPr>
        <w:tabs>
          <w:tab w:val="clear" w:pos="567"/>
        </w:tabs>
        <w:spacing w:line="240" w:lineRule="auto"/>
        <w:rPr>
          <w:bCs/>
          <w:color w:val="000000"/>
          <w:szCs w:val="22"/>
          <w:lang w:val="sk-SK"/>
        </w:rPr>
      </w:pPr>
      <w:r w:rsidRPr="00D019DC">
        <w:rPr>
          <w:bCs/>
          <w:color w:val="000000"/>
          <w:szCs w:val="22"/>
          <w:lang w:val="sk-SK"/>
        </w:rPr>
        <w:t>Hlásené</w:t>
      </w:r>
      <w:r w:rsidRPr="002836D7">
        <w:rPr>
          <w:bCs/>
          <w:color w:val="000000"/>
          <w:szCs w:val="22"/>
          <w:lang w:val="sk-SK"/>
        </w:rPr>
        <w:t xml:space="preserve"> </w:t>
      </w:r>
      <w:r>
        <w:rPr>
          <w:bCs/>
          <w:color w:val="000000"/>
          <w:szCs w:val="22"/>
          <w:lang w:val="sk-SK"/>
        </w:rPr>
        <w:t>nežiaduce</w:t>
      </w:r>
      <w:r w:rsidRPr="002836D7">
        <w:rPr>
          <w:bCs/>
          <w:color w:val="000000"/>
          <w:szCs w:val="22"/>
          <w:lang w:val="sk-SK"/>
        </w:rPr>
        <w:t xml:space="preserve"> účinky sú zoradené podľa triedy o</w:t>
      </w:r>
      <w:r>
        <w:rPr>
          <w:bCs/>
          <w:color w:val="000000"/>
          <w:szCs w:val="22"/>
          <w:lang w:val="sk-SK"/>
        </w:rPr>
        <w:t xml:space="preserve">rgánových systémov a frekvencie </w:t>
      </w:r>
      <w:r w:rsidRPr="002836D7">
        <w:rPr>
          <w:bCs/>
          <w:color w:val="000000"/>
          <w:szCs w:val="22"/>
          <w:lang w:val="sk-SK"/>
        </w:rPr>
        <w:t xml:space="preserve">podľa klasifikácie </w:t>
      </w:r>
      <w:proofErr w:type="spellStart"/>
      <w:r w:rsidRPr="002836D7">
        <w:rPr>
          <w:bCs/>
          <w:color w:val="000000"/>
          <w:szCs w:val="22"/>
          <w:lang w:val="sk-SK"/>
        </w:rPr>
        <w:t>MedDRA</w:t>
      </w:r>
      <w:proofErr w:type="spellEnd"/>
      <w:r w:rsidRPr="002836D7">
        <w:rPr>
          <w:bCs/>
          <w:color w:val="000000"/>
          <w:szCs w:val="22"/>
          <w:lang w:val="sk-SK"/>
        </w:rPr>
        <w:t>. Nežiaduce účinky b</w:t>
      </w:r>
      <w:r>
        <w:rPr>
          <w:bCs/>
          <w:color w:val="000000"/>
          <w:szCs w:val="22"/>
          <w:lang w:val="sk-SK"/>
        </w:rPr>
        <w:t>oli klasifikované podľa</w:t>
      </w:r>
      <w:r w:rsidRPr="002836D7">
        <w:rPr>
          <w:bCs/>
          <w:color w:val="000000"/>
          <w:szCs w:val="22"/>
          <w:lang w:val="sk-SK"/>
        </w:rPr>
        <w:t xml:space="preserve"> frekvencie pomocou nasledujúce</w:t>
      </w:r>
      <w:r>
        <w:rPr>
          <w:bCs/>
          <w:color w:val="000000"/>
          <w:szCs w:val="22"/>
          <w:lang w:val="sk-SK"/>
        </w:rPr>
        <w:t>j konvencie:</w:t>
      </w:r>
    </w:p>
    <w:p w:rsidR="00E16BD1" w:rsidRPr="00F60B7D" w:rsidRDefault="00E16BD1" w:rsidP="00E16BD1">
      <w:pPr>
        <w:pStyle w:val="Default"/>
        <w:numPr>
          <w:ilvl w:val="0"/>
          <w:numId w:val="4"/>
        </w:numPr>
        <w:rPr>
          <w:color w:val="000000"/>
          <w:sz w:val="22"/>
          <w:szCs w:val="22"/>
          <w:lang w:val="sk-SK"/>
        </w:rPr>
      </w:pPr>
      <w:r w:rsidRPr="00F60B7D">
        <w:rPr>
          <w:color w:val="000000"/>
          <w:sz w:val="22"/>
          <w:szCs w:val="22"/>
          <w:lang w:val="sk-SK"/>
        </w:rPr>
        <w:t>Veľmi časté (</w:t>
      </w:r>
      <w:r w:rsidRPr="00F60B7D">
        <w:rPr>
          <w:color w:val="000000"/>
          <w:sz w:val="22"/>
          <w:szCs w:val="22"/>
          <w:lang w:val="pl-PL"/>
        </w:rPr>
        <w:sym w:font="Symbol" w:char="F0B3"/>
      </w:r>
      <w:r>
        <w:rPr>
          <w:color w:val="000000"/>
          <w:sz w:val="22"/>
          <w:szCs w:val="22"/>
          <w:lang w:val="pl-PL"/>
        </w:rPr>
        <w:t xml:space="preserve"> </w:t>
      </w:r>
      <w:r w:rsidRPr="00F60B7D">
        <w:rPr>
          <w:color w:val="000000"/>
          <w:sz w:val="22"/>
          <w:szCs w:val="22"/>
          <w:lang w:val="sk-SK"/>
        </w:rPr>
        <w:t>1/10)</w:t>
      </w:r>
    </w:p>
    <w:p w:rsidR="00E16BD1" w:rsidRPr="00F60B7D" w:rsidRDefault="00E16BD1" w:rsidP="00E16BD1">
      <w:pPr>
        <w:pStyle w:val="Default"/>
        <w:numPr>
          <w:ilvl w:val="0"/>
          <w:numId w:val="4"/>
        </w:numPr>
        <w:rPr>
          <w:color w:val="000000"/>
          <w:sz w:val="22"/>
          <w:szCs w:val="22"/>
          <w:lang w:val="sk-SK"/>
        </w:rPr>
      </w:pPr>
      <w:r w:rsidRPr="00F60B7D">
        <w:rPr>
          <w:color w:val="000000"/>
          <w:sz w:val="22"/>
          <w:szCs w:val="22"/>
          <w:lang w:val="sk-SK"/>
        </w:rPr>
        <w:t>Časté (</w:t>
      </w:r>
      <w:r w:rsidRPr="00F60B7D">
        <w:rPr>
          <w:rFonts w:ascii="Symbol" w:hAnsi="Symbol"/>
          <w:sz w:val="22"/>
          <w:szCs w:val="22"/>
          <w:lang w:val="pl-PL"/>
        </w:rPr>
        <w:sym w:font="Symbol" w:char="F0B3"/>
      </w:r>
      <w:r>
        <w:rPr>
          <w:rFonts w:ascii="Symbol" w:hAnsi="Symbol"/>
          <w:sz w:val="22"/>
          <w:szCs w:val="22"/>
          <w:lang w:val="pl-PL"/>
        </w:rPr>
        <w:t></w:t>
      </w:r>
      <w:r w:rsidRPr="00F60B7D">
        <w:rPr>
          <w:color w:val="000000"/>
          <w:sz w:val="22"/>
          <w:szCs w:val="22"/>
          <w:lang w:val="sk-SK"/>
        </w:rPr>
        <w:t>1/100 až &lt;</w:t>
      </w:r>
      <w:r>
        <w:rPr>
          <w:color w:val="000000"/>
          <w:sz w:val="22"/>
          <w:szCs w:val="22"/>
          <w:lang w:val="sk-SK"/>
        </w:rPr>
        <w:t xml:space="preserve"> </w:t>
      </w:r>
      <w:r w:rsidRPr="00F60B7D">
        <w:rPr>
          <w:color w:val="000000"/>
          <w:sz w:val="22"/>
          <w:szCs w:val="22"/>
          <w:lang w:val="sk-SK"/>
        </w:rPr>
        <w:t>1/10)</w:t>
      </w:r>
    </w:p>
    <w:p w:rsidR="00E16BD1" w:rsidRPr="00F60B7D" w:rsidRDefault="00E16BD1" w:rsidP="00E16BD1">
      <w:pPr>
        <w:pStyle w:val="Default"/>
        <w:numPr>
          <w:ilvl w:val="0"/>
          <w:numId w:val="4"/>
        </w:numPr>
        <w:rPr>
          <w:color w:val="000000"/>
          <w:sz w:val="22"/>
          <w:szCs w:val="22"/>
          <w:lang w:val="sk-SK"/>
        </w:rPr>
      </w:pPr>
      <w:r w:rsidRPr="00F60B7D">
        <w:rPr>
          <w:color w:val="000000"/>
          <w:sz w:val="22"/>
          <w:szCs w:val="22"/>
          <w:lang w:val="sk-SK"/>
        </w:rPr>
        <w:t>Menej časté (</w:t>
      </w:r>
      <w:r w:rsidRPr="00F60B7D">
        <w:rPr>
          <w:rFonts w:ascii="Symbol" w:hAnsi="Symbol"/>
          <w:sz w:val="22"/>
          <w:szCs w:val="22"/>
          <w:lang w:val="pl-PL"/>
        </w:rPr>
        <w:sym w:font="Symbol" w:char="F0B3"/>
      </w:r>
      <w:r>
        <w:rPr>
          <w:rFonts w:ascii="Symbol" w:hAnsi="Symbol"/>
          <w:sz w:val="22"/>
          <w:szCs w:val="22"/>
          <w:lang w:val="pl-PL"/>
        </w:rPr>
        <w:t></w:t>
      </w:r>
      <w:r w:rsidRPr="00F60B7D">
        <w:rPr>
          <w:color w:val="000000"/>
          <w:sz w:val="22"/>
          <w:szCs w:val="22"/>
          <w:lang w:val="sk-SK"/>
        </w:rPr>
        <w:t>1/1 000 až &lt;</w:t>
      </w:r>
      <w:r>
        <w:rPr>
          <w:color w:val="000000"/>
          <w:sz w:val="22"/>
          <w:szCs w:val="22"/>
          <w:lang w:val="sk-SK"/>
        </w:rPr>
        <w:t xml:space="preserve"> </w:t>
      </w:r>
      <w:r w:rsidRPr="00F60B7D">
        <w:rPr>
          <w:color w:val="000000"/>
          <w:sz w:val="22"/>
          <w:szCs w:val="22"/>
          <w:lang w:val="sk-SK"/>
        </w:rPr>
        <w:t>1/100)</w:t>
      </w:r>
    </w:p>
    <w:p w:rsidR="00E16BD1" w:rsidRPr="00F60B7D" w:rsidRDefault="00E16BD1" w:rsidP="00E16BD1">
      <w:pPr>
        <w:pStyle w:val="Default"/>
        <w:numPr>
          <w:ilvl w:val="0"/>
          <w:numId w:val="4"/>
        </w:numPr>
        <w:rPr>
          <w:color w:val="000000"/>
          <w:sz w:val="22"/>
          <w:szCs w:val="22"/>
          <w:lang w:val="sk-SK"/>
        </w:rPr>
      </w:pPr>
      <w:r w:rsidRPr="00F60B7D">
        <w:rPr>
          <w:color w:val="000000"/>
          <w:sz w:val="22"/>
          <w:szCs w:val="22"/>
          <w:lang w:val="sk-SK"/>
        </w:rPr>
        <w:t>Zriedkavé (</w:t>
      </w:r>
      <w:r w:rsidRPr="00F60B7D">
        <w:rPr>
          <w:rFonts w:ascii="Symbol" w:hAnsi="Symbol"/>
          <w:sz w:val="22"/>
          <w:szCs w:val="22"/>
          <w:lang w:val="pl-PL"/>
        </w:rPr>
        <w:sym w:font="Symbol" w:char="F0B3"/>
      </w:r>
      <w:r>
        <w:rPr>
          <w:rFonts w:ascii="Symbol" w:hAnsi="Symbol"/>
          <w:sz w:val="22"/>
          <w:szCs w:val="22"/>
          <w:lang w:val="pl-PL"/>
        </w:rPr>
        <w:t></w:t>
      </w:r>
      <w:r w:rsidRPr="00F60B7D">
        <w:rPr>
          <w:color w:val="000000"/>
          <w:sz w:val="22"/>
          <w:szCs w:val="22"/>
          <w:lang w:val="sk-SK"/>
        </w:rPr>
        <w:t>1/10 000 až &lt;</w:t>
      </w:r>
      <w:r>
        <w:rPr>
          <w:color w:val="000000"/>
          <w:sz w:val="22"/>
          <w:szCs w:val="22"/>
          <w:lang w:val="sk-SK"/>
        </w:rPr>
        <w:t xml:space="preserve"> </w:t>
      </w:r>
      <w:r w:rsidRPr="00F60B7D">
        <w:rPr>
          <w:color w:val="000000"/>
          <w:sz w:val="22"/>
          <w:szCs w:val="22"/>
          <w:lang w:val="sk-SK"/>
        </w:rPr>
        <w:t>1/1 000)</w:t>
      </w:r>
    </w:p>
    <w:p w:rsidR="00E16BD1" w:rsidRPr="00F60B7D" w:rsidRDefault="00E16BD1" w:rsidP="00E16BD1">
      <w:pPr>
        <w:pStyle w:val="Default"/>
        <w:numPr>
          <w:ilvl w:val="0"/>
          <w:numId w:val="4"/>
        </w:numPr>
        <w:rPr>
          <w:color w:val="000000"/>
          <w:sz w:val="22"/>
          <w:szCs w:val="22"/>
          <w:lang w:val="sk-SK"/>
        </w:rPr>
      </w:pPr>
      <w:r w:rsidRPr="00F60B7D">
        <w:rPr>
          <w:color w:val="000000"/>
          <w:sz w:val="22"/>
          <w:szCs w:val="22"/>
          <w:lang w:val="sk-SK"/>
        </w:rPr>
        <w:t>Veľmi zriedkavé (&lt;</w:t>
      </w:r>
      <w:r>
        <w:rPr>
          <w:color w:val="000000"/>
          <w:sz w:val="22"/>
          <w:szCs w:val="22"/>
          <w:lang w:val="sk-SK"/>
        </w:rPr>
        <w:t xml:space="preserve"> </w:t>
      </w:r>
      <w:r w:rsidRPr="00F60B7D">
        <w:rPr>
          <w:color w:val="000000"/>
          <w:sz w:val="22"/>
          <w:szCs w:val="22"/>
          <w:lang w:val="sk-SK"/>
        </w:rPr>
        <w:t>1/10 000)</w:t>
      </w:r>
    </w:p>
    <w:p w:rsidR="00E16BD1" w:rsidRPr="002836D7" w:rsidRDefault="00E16BD1" w:rsidP="00E16BD1">
      <w:pPr>
        <w:pStyle w:val="Default"/>
        <w:numPr>
          <w:ilvl w:val="0"/>
          <w:numId w:val="4"/>
        </w:num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</w:t>
      </w:r>
      <w:r w:rsidRPr="002836D7">
        <w:rPr>
          <w:color w:val="000000"/>
          <w:sz w:val="22"/>
          <w:szCs w:val="22"/>
          <w:lang w:val="sk-SK"/>
        </w:rPr>
        <w:t>eznáme (z dostupných údajov</w:t>
      </w:r>
      <w:r>
        <w:rPr>
          <w:color w:val="000000"/>
          <w:sz w:val="22"/>
          <w:szCs w:val="22"/>
          <w:lang w:val="sk-SK"/>
        </w:rPr>
        <w:t xml:space="preserve"> nie je možné odhadnúť frekvenciu).</w:t>
      </w:r>
    </w:p>
    <w:p w:rsidR="00E16BD1" w:rsidRPr="002836D7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50"/>
        <w:gridCol w:w="2294"/>
        <w:gridCol w:w="2155"/>
        <w:tblGridChange w:id="1">
          <w:tblGrid>
            <w:gridCol w:w="2263"/>
            <w:gridCol w:w="2350"/>
            <w:gridCol w:w="2294"/>
            <w:gridCol w:w="2155"/>
          </w:tblGrid>
        </w:tblGridChange>
      </w:tblGrid>
      <w:tr w:rsidR="00E16BD1" w:rsidRPr="002836D7" w:rsidTr="00E707E3">
        <w:trPr>
          <w:trHeight w:val="511"/>
          <w:jc w:val="center"/>
        </w:trPr>
        <w:tc>
          <w:tcPr>
            <w:tcW w:w="3619" w:type="dxa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b/>
                <w:bCs/>
                <w:color w:val="000000"/>
                <w:szCs w:val="22"/>
                <w:lang w:val="sk-SK"/>
              </w:rPr>
            </w:pPr>
            <w:r w:rsidRPr="002836D7">
              <w:rPr>
                <w:b/>
                <w:noProof/>
                <w:lang w:val="it-IT"/>
              </w:rPr>
              <w:t>Trieda orgánových systémov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b/>
                <w:bCs/>
                <w:color w:val="000000"/>
                <w:szCs w:val="22"/>
                <w:lang w:val="sk-SK"/>
              </w:rPr>
            </w:pPr>
            <w:r w:rsidRPr="002836D7">
              <w:rPr>
                <w:b/>
                <w:bCs/>
                <w:color w:val="000000"/>
                <w:szCs w:val="22"/>
                <w:lang w:val="sk-SK"/>
              </w:rPr>
              <w:t>Menej časté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b/>
                <w:bCs/>
                <w:color w:val="000000"/>
                <w:szCs w:val="22"/>
                <w:lang w:val="sk-SK"/>
              </w:rPr>
            </w:pPr>
            <w:r w:rsidRPr="002836D7">
              <w:rPr>
                <w:b/>
                <w:color w:val="000000"/>
                <w:szCs w:val="22"/>
                <w:lang w:val="sk-SK"/>
              </w:rPr>
              <w:t>Zriedkavé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b/>
                <w:bCs/>
                <w:color w:val="000000"/>
                <w:szCs w:val="22"/>
                <w:lang w:val="sk-SK"/>
              </w:rPr>
            </w:pPr>
            <w:r>
              <w:rPr>
                <w:b/>
                <w:bCs/>
                <w:color w:val="000000"/>
                <w:szCs w:val="22"/>
                <w:lang w:val="sk-SK"/>
              </w:rPr>
              <w:t xml:space="preserve">Veľmi </w:t>
            </w:r>
            <w:r w:rsidRPr="002836D7">
              <w:rPr>
                <w:b/>
                <w:bCs/>
                <w:color w:val="000000"/>
                <w:szCs w:val="22"/>
                <w:lang w:val="sk-SK"/>
              </w:rPr>
              <w:t>zriedkavé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 w:rsidRPr="002836D7">
              <w:rPr>
                <w:bCs/>
                <w:i/>
                <w:iCs/>
                <w:color w:val="000000"/>
                <w:szCs w:val="22"/>
                <w:lang w:val="pl-PL"/>
              </w:rPr>
              <w:t>Poruchy krvi a lymfatického systému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6BD1" w:rsidRPr="00993EC0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leukopénia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993EC0">
              <w:rPr>
                <w:color w:val="000000"/>
                <w:szCs w:val="22"/>
                <w:lang w:val="sk-SK"/>
              </w:rPr>
              <w:t>trombocytopénia</w:t>
            </w:r>
            <w:proofErr w:type="spellEnd"/>
            <w:r w:rsidRPr="00993EC0">
              <w:rPr>
                <w:color w:val="000000"/>
                <w:szCs w:val="22"/>
                <w:lang w:val="sk-SK"/>
              </w:rPr>
              <w:t>.</w:t>
            </w:r>
          </w:p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a</w:t>
            </w:r>
            <w:r w:rsidRPr="00993EC0">
              <w:rPr>
                <w:color w:val="000000"/>
                <w:szCs w:val="22"/>
                <w:lang w:val="sk-SK"/>
              </w:rPr>
              <w:t>némia,</w:t>
            </w:r>
            <w:r>
              <w:rPr>
                <w:color w:val="000000"/>
                <w:szCs w:val="22"/>
                <w:lang w:val="sk-SK"/>
              </w:rPr>
              <w:t xml:space="preserve"> </w:t>
            </w:r>
            <w:r w:rsidRPr="00993EC0">
              <w:rPr>
                <w:color w:val="000000"/>
                <w:szCs w:val="22"/>
                <w:lang w:val="sk-SK"/>
              </w:rPr>
              <w:t>aglutinácia erytrocytov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2836D7">
              <w:rPr>
                <w:bCs/>
                <w:i/>
                <w:lang w:val="it-IT"/>
              </w:rPr>
              <w:t>Poruchy imunitného systému</w:t>
            </w:r>
          </w:p>
        </w:tc>
      </w:tr>
      <w:tr w:rsidR="00E16BD1" w:rsidRPr="002836D7" w:rsidTr="00E707E3">
        <w:trPr>
          <w:trHeight w:val="361"/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precitlivenosť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2836D7">
              <w:rPr>
                <w:bCs/>
                <w:i/>
                <w:lang w:val="pl-PL"/>
              </w:rPr>
              <w:t>Poruchy metabolizmu a výživy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hypercholesterolémia</w:t>
            </w:r>
            <w:proofErr w:type="spellEnd"/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 xml:space="preserve">strata </w:t>
            </w:r>
            <w:r w:rsidRPr="00056AF8">
              <w:rPr>
                <w:color w:val="000000"/>
                <w:lang w:val="sk-SK"/>
              </w:rPr>
              <w:t>chuti do jedla</w:t>
            </w:r>
            <w:r>
              <w:rPr>
                <w:color w:val="000000"/>
                <w:lang w:val="sk-SK"/>
              </w:rPr>
              <w:t xml:space="preserve">, </w:t>
            </w:r>
            <w:proofErr w:type="spellStart"/>
            <w:r w:rsidRPr="00056AF8">
              <w:rPr>
                <w:color w:val="000000"/>
                <w:lang w:val="sk-SK"/>
              </w:rPr>
              <w:t>anorexia</w:t>
            </w:r>
            <w:proofErr w:type="spellEnd"/>
            <w:r w:rsidRPr="00056AF8">
              <w:rPr>
                <w:color w:val="000000"/>
                <w:lang w:val="sk-SK"/>
              </w:rPr>
              <w:t xml:space="preserve">, </w:t>
            </w:r>
            <w:r w:rsidRPr="004B51F0">
              <w:rPr>
                <w:i/>
                <w:color w:val="000000"/>
                <w:lang w:val="sk-SK"/>
              </w:rPr>
              <w:t>diabetes mellitus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2836D7">
              <w:rPr>
                <w:i/>
                <w:iCs/>
                <w:color w:val="000000"/>
                <w:szCs w:val="22"/>
                <w:lang w:val="sk-SK"/>
              </w:rPr>
              <w:t>Psychické poruchy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n</w:t>
            </w:r>
            <w:r w:rsidRPr="00993EC0">
              <w:rPr>
                <w:color w:val="000000"/>
                <w:szCs w:val="22"/>
                <w:lang w:val="sk-SK"/>
              </w:rPr>
              <w:t>espavosť, poruchy spánku, úzkosť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e</w:t>
            </w:r>
            <w:r w:rsidRPr="00272392">
              <w:rPr>
                <w:color w:val="000000"/>
                <w:lang w:val="sk-SK"/>
              </w:rPr>
              <w:t>uforická nálada, depresia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2836D7">
              <w:rPr>
                <w:i/>
                <w:iCs/>
                <w:color w:val="000000"/>
                <w:szCs w:val="22"/>
                <w:lang w:val="sk-SK"/>
              </w:rPr>
              <w:t>Poruchy nervového systému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bolesť hlavy</w:t>
            </w: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z</w:t>
            </w:r>
            <w:r w:rsidRPr="00056AF8">
              <w:rPr>
                <w:color w:val="000000"/>
                <w:lang w:val="sk-SK"/>
              </w:rPr>
              <w:t xml:space="preserve">ávraty, </w:t>
            </w:r>
            <w:r>
              <w:rPr>
                <w:color w:val="000000"/>
                <w:lang w:val="sk-SK"/>
              </w:rPr>
              <w:t xml:space="preserve">poruchy chuti, stuhnutosť, </w:t>
            </w:r>
            <w:proofErr w:type="spellStart"/>
            <w:r>
              <w:rPr>
                <w:color w:val="000000"/>
                <w:lang w:val="sk-SK"/>
              </w:rPr>
              <w:t>hemiparéza</w:t>
            </w:r>
            <w:proofErr w:type="spellEnd"/>
            <w:r>
              <w:rPr>
                <w:color w:val="000000"/>
                <w:lang w:val="sk-SK"/>
              </w:rPr>
              <w:t xml:space="preserve">, </w:t>
            </w:r>
            <w:proofErr w:type="spellStart"/>
            <w:r w:rsidRPr="00056AF8">
              <w:rPr>
                <w:color w:val="000000"/>
                <w:lang w:val="sk-SK"/>
              </w:rPr>
              <w:t>somnolencia</w:t>
            </w:r>
            <w:proofErr w:type="spellEnd"/>
            <w:r w:rsidRPr="00056AF8">
              <w:rPr>
                <w:color w:val="000000"/>
                <w:lang w:val="sk-SK"/>
              </w:rPr>
              <w:t>, amnézia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 xml:space="preserve">tremor, záchvaty, </w:t>
            </w:r>
            <w:proofErr w:type="spellStart"/>
            <w:r>
              <w:rPr>
                <w:color w:val="000000"/>
                <w:lang w:val="sk-SK"/>
              </w:rPr>
              <w:t>spazmy</w:t>
            </w:r>
            <w:proofErr w:type="spellEnd"/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2836D7">
              <w:rPr>
                <w:i/>
                <w:iCs/>
                <w:color w:val="000000"/>
                <w:szCs w:val="22"/>
                <w:lang w:val="sk-SK"/>
              </w:rPr>
              <w:t>Poruchy oka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o</w:t>
            </w:r>
            <w:r w:rsidRPr="00056AF8">
              <w:rPr>
                <w:color w:val="000000"/>
                <w:lang w:val="sk-SK"/>
              </w:rPr>
              <w:t xml:space="preserve">puch </w:t>
            </w:r>
            <w:r>
              <w:rPr>
                <w:color w:val="000000"/>
                <w:lang w:val="sk-SK"/>
              </w:rPr>
              <w:t>zrakového nervu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lang w:val="sk-SK"/>
              </w:rPr>
              <w:t>h</w:t>
            </w:r>
            <w:r w:rsidRPr="00272392">
              <w:rPr>
                <w:color w:val="000000"/>
                <w:lang w:val="sk-SK"/>
              </w:rPr>
              <w:t>yperémia</w:t>
            </w:r>
            <w:proofErr w:type="spellEnd"/>
            <w:r w:rsidRPr="00272392">
              <w:rPr>
                <w:color w:val="000000"/>
                <w:lang w:val="sk-SK"/>
              </w:rPr>
              <w:t xml:space="preserve"> spojovky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Poruchy ucha a</w:t>
            </w:r>
            <w:r>
              <w:rPr>
                <w:i/>
                <w:iCs/>
                <w:color w:val="000000"/>
                <w:szCs w:val="22"/>
                <w:lang w:val="sk-SK"/>
              </w:rPr>
              <w:t> </w:t>
            </w:r>
            <w:r w:rsidRPr="00993EC0">
              <w:rPr>
                <w:i/>
                <w:iCs/>
                <w:color w:val="000000"/>
                <w:szCs w:val="22"/>
                <w:lang w:val="sk-SK"/>
              </w:rPr>
              <w:t>labyrintu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v</w:t>
            </w:r>
            <w:r w:rsidRPr="002836D7">
              <w:rPr>
                <w:color w:val="000000"/>
                <w:szCs w:val="22"/>
                <w:lang w:val="sk-SK"/>
              </w:rPr>
              <w:t>ertigo</w:t>
            </w:r>
            <w:proofErr w:type="spellEnd"/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 xml:space="preserve">zvýšenie alebo zníženie sluchových vnemov, </w:t>
            </w:r>
            <w:r>
              <w:rPr>
                <w:color w:val="000000"/>
                <w:lang w:val="sk-SK"/>
              </w:rPr>
              <w:t>s</w:t>
            </w:r>
            <w:r w:rsidRPr="00020147">
              <w:rPr>
                <w:color w:val="000000"/>
                <w:lang w:val="sk-SK"/>
              </w:rPr>
              <w:t xml:space="preserve">trata sluchu, </w:t>
            </w:r>
            <w:proofErr w:type="spellStart"/>
            <w:r w:rsidRPr="002836D7">
              <w:rPr>
                <w:color w:val="000000"/>
                <w:szCs w:val="22"/>
                <w:lang w:val="sk-SK"/>
              </w:rPr>
              <w:t>tympan</w:t>
            </w:r>
            <w:r>
              <w:rPr>
                <w:color w:val="000000"/>
                <w:szCs w:val="22"/>
                <w:lang w:val="sk-SK"/>
              </w:rPr>
              <w:t>ofónia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 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Poruchy srdca a srdcovej činnosti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i</w:t>
            </w:r>
            <w:r w:rsidRPr="00FC5639">
              <w:rPr>
                <w:color w:val="000000"/>
                <w:szCs w:val="22"/>
                <w:lang w:val="sk-SK"/>
              </w:rPr>
              <w:t>schémia/infarkt myokardu</w:t>
            </w:r>
            <w:r>
              <w:rPr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4B51F0">
              <w:rPr>
                <w:i/>
                <w:color w:val="000000"/>
                <w:szCs w:val="22"/>
                <w:lang w:val="sk-SK"/>
              </w:rPr>
              <w:t>angina</w:t>
            </w:r>
            <w:proofErr w:type="spellEnd"/>
            <w:r w:rsidRPr="004B51F0">
              <w:rPr>
                <w:i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4B51F0">
              <w:rPr>
                <w:i/>
                <w:color w:val="000000"/>
                <w:szCs w:val="22"/>
                <w:lang w:val="sk-SK"/>
              </w:rPr>
              <w:t>pectoris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, bradykardia, </w:t>
            </w:r>
            <w:proofErr w:type="spellStart"/>
            <w:r>
              <w:rPr>
                <w:color w:val="000000"/>
                <w:szCs w:val="22"/>
                <w:lang w:val="sk-SK"/>
              </w:rPr>
              <w:t>tachykardia</w:t>
            </w:r>
            <w:proofErr w:type="spellEnd"/>
            <w:r>
              <w:rPr>
                <w:color w:val="000000"/>
                <w:szCs w:val="22"/>
                <w:lang w:val="sk-SK"/>
              </w:rPr>
              <w:t>, extrasystoly</w:t>
            </w:r>
            <w:r w:rsidRPr="002836D7">
              <w:rPr>
                <w:color w:val="000000"/>
                <w:szCs w:val="22"/>
                <w:lang w:val="sk-SK"/>
              </w:rPr>
              <w:t>, palpit</w:t>
            </w:r>
            <w:r>
              <w:rPr>
                <w:color w:val="000000"/>
                <w:szCs w:val="22"/>
                <w:lang w:val="sk-SK"/>
              </w:rPr>
              <w:t xml:space="preserve">ácie 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aryt</w:t>
            </w:r>
            <w:r w:rsidRPr="002836D7">
              <w:rPr>
                <w:color w:val="000000"/>
                <w:szCs w:val="22"/>
                <w:lang w:val="sk-SK"/>
              </w:rPr>
              <w:t>mia</w:t>
            </w:r>
            <w:proofErr w:type="spellEnd"/>
            <w:r w:rsidRPr="002836D7">
              <w:rPr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272392">
              <w:rPr>
                <w:color w:val="000000"/>
                <w:lang w:val="sk-SK"/>
              </w:rPr>
              <w:t>fibrilácia</w:t>
            </w:r>
            <w:proofErr w:type="spellEnd"/>
            <w:r w:rsidRPr="00272392">
              <w:rPr>
                <w:color w:val="000000"/>
                <w:lang w:val="sk-SK"/>
              </w:rPr>
              <w:t xml:space="preserve"> predsiení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Poruchy ciev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artériová</w:t>
            </w:r>
            <w:r w:rsidRPr="002836D7">
              <w:rPr>
                <w:color w:val="000000"/>
                <w:szCs w:val="22"/>
                <w:lang w:val="sk-SK"/>
              </w:rPr>
              <w:t xml:space="preserve"> hypoten</w:t>
            </w:r>
            <w:r>
              <w:rPr>
                <w:color w:val="000000"/>
                <w:szCs w:val="22"/>
                <w:lang w:val="sk-SK"/>
              </w:rPr>
              <w:t>zia</w:t>
            </w: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artériova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 </w:t>
            </w:r>
            <w:r>
              <w:rPr>
                <w:color w:val="000000"/>
                <w:lang w:val="sk-SK"/>
              </w:rPr>
              <w:t>hypertenzia</w:t>
            </w:r>
            <w:r w:rsidRPr="00020147">
              <w:rPr>
                <w:color w:val="000000"/>
                <w:lang w:val="sk-SK"/>
              </w:rPr>
              <w:t>, návaly</w:t>
            </w:r>
            <w:r>
              <w:rPr>
                <w:color w:val="000000"/>
                <w:lang w:val="sk-SK"/>
              </w:rPr>
              <w:t xml:space="preserve"> tepla</w:t>
            </w:r>
            <w:r w:rsidRPr="00020147">
              <w:rPr>
                <w:color w:val="000000"/>
                <w:lang w:val="sk-SK"/>
              </w:rPr>
              <w:t>, tromboflebitída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k</w:t>
            </w:r>
            <w:r w:rsidRPr="00272392">
              <w:rPr>
                <w:color w:val="000000"/>
                <w:lang w:val="sk-SK"/>
              </w:rPr>
              <w:t>olísanie krvného tlaku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Poruchy gastrointestinálneho traktu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b</w:t>
            </w:r>
            <w:r w:rsidRPr="00993EC0">
              <w:rPr>
                <w:color w:val="000000"/>
                <w:szCs w:val="22"/>
                <w:lang w:val="sk-SK"/>
              </w:rPr>
              <w:t>olesť br</w:t>
            </w:r>
            <w:r>
              <w:rPr>
                <w:color w:val="000000"/>
                <w:szCs w:val="22"/>
                <w:lang w:val="sk-SK"/>
              </w:rPr>
              <w:t xml:space="preserve">ucha, zápcha, hnačka, </w:t>
            </w:r>
            <w:proofErr w:type="spellStart"/>
            <w:r>
              <w:rPr>
                <w:color w:val="000000"/>
                <w:szCs w:val="22"/>
                <w:lang w:val="sk-SK"/>
              </w:rPr>
              <w:t>dyspepsia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, </w:t>
            </w:r>
            <w:r w:rsidRPr="00993EC0">
              <w:rPr>
                <w:color w:val="000000"/>
                <w:szCs w:val="22"/>
                <w:lang w:val="sk-SK"/>
              </w:rPr>
              <w:t>vracanie</w:t>
            </w: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s</w:t>
            </w:r>
            <w:r w:rsidRPr="00020147">
              <w:rPr>
                <w:color w:val="000000"/>
                <w:lang w:val="sk-SK"/>
              </w:rPr>
              <w:t>ucho v ústach, nevoľnosť, nepríjemné pocity v</w:t>
            </w:r>
            <w:r>
              <w:rPr>
                <w:color w:val="000000"/>
                <w:lang w:val="sk-SK"/>
              </w:rPr>
              <w:t> </w:t>
            </w:r>
            <w:r w:rsidRPr="00020147">
              <w:rPr>
                <w:color w:val="000000"/>
                <w:lang w:val="sk-SK"/>
              </w:rPr>
              <w:t>bruchu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lang w:val="sk-SK"/>
              </w:rPr>
              <w:t>stomatitída</w:t>
            </w:r>
            <w:proofErr w:type="spellEnd"/>
            <w:r>
              <w:rPr>
                <w:color w:val="000000"/>
                <w:lang w:val="sk-SK"/>
              </w:rPr>
              <w:t xml:space="preserve">, </w:t>
            </w:r>
            <w:proofErr w:type="spellStart"/>
            <w:r w:rsidRPr="00272392">
              <w:rPr>
                <w:color w:val="000000"/>
                <w:lang w:val="sk-SK"/>
              </w:rPr>
              <w:t>dysfágia</w:t>
            </w:r>
            <w:proofErr w:type="spellEnd"/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Poruchy kože a podkožného tkaniva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e</w:t>
            </w:r>
            <w:r w:rsidRPr="002836D7">
              <w:rPr>
                <w:color w:val="000000"/>
                <w:szCs w:val="22"/>
                <w:lang w:val="sk-SK"/>
              </w:rPr>
              <w:t>ryt</w:t>
            </w:r>
            <w:r>
              <w:rPr>
                <w:color w:val="000000"/>
                <w:szCs w:val="22"/>
                <w:lang w:val="sk-SK"/>
              </w:rPr>
              <w:t>ém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020147">
              <w:rPr>
                <w:color w:val="000000"/>
                <w:lang w:val="sk-SK"/>
              </w:rPr>
              <w:t>hyperhidróza</w:t>
            </w:r>
            <w:proofErr w:type="spellEnd"/>
            <w:r w:rsidRPr="002836D7">
              <w:rPr>
                <w:color w:val="000000"/>
                <w:szCs w:val="22"/>
                <w:lang w:val="sk-SK"/>
              </w:rPr>
              <w:t>,</w:t>
            </w:r>
            <w:r>
              <w:rPr>
                <w:color w:val="000000"/>
                <w:szCs w:val="22"/>
                <w:lang w:val="sk-SK"/>
              </w:rPr>
              <w:t xml:space="preserve"> svrbenie,</w:t>
            </w:r>
            <w:r w:rsidRPr="002836D7">
              <w:rPr>
                <w:color w:val="000000"/>
                <w:szCs w:val="22"/>
                <w:lang w:val="sk-SK"/>
              </w:rPr>
              <w:t xml:space="preserve"> </w:t>
            </w:r>
            <w:r w:rsidRPr="00020147">
              <w:rPr>
                <w:color w:val="000000"/>
                <w:lang w:val="sk-SK"/>
              </w:rPr>
              <w:t>žihľavka</w:t>
            </w:r>
            <w:r w:rsidRPr="002836D7">
              <w:rPr>
                <w:color w:val="000000"/>
                <w:szCs w:val="22"/>
                <w:lang w:val="sk-SK"/>
              </w:rPr>
              <w:t xml:space="preserve">, </w:t>
            </w:r>
            <w:r>
              <w:rPr>
                <w:color w:val="000000"/>
                <w:szCs w:val="22"/>
                <w:lang w:val="sk-SK"/>
              </w:rPr>
              <w:t>vyrážka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dermatitída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Celkové poruchy a reakcie v mieste podania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a</w:t>
            </w:r>
            <w:r w:rsidRPr="00020147">
              <w:rPr>
                <w:color w:val="000000"/>
                <w:lang w:val="sk-SK"/>
              </w:rPr>
              <w:t xml:space="preserve">sténia, </w:t>
            </w:r>
            <w:r>
              <w:rPr>
                <w:color w:val="000000"/>
                <w:lang w:val="sk-SK"/>
              </w:rPr>
              <w:t>celkový pocit choroby</w:t>
            </w:r>
            <w:r w:rsidRPr="00020147">
              <w:rPr>
                <w:color w:val="000000"/>
                <w:lang w:val="sk-SK"/>
              </w:rPr>
              <w:t>, únava, pocit tepla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t>n</w:t>
            </w:r>
            <w:r w:rsidRPr="00272392">
              <w:rPr>
                <w:color w:val="000000"/>
                <w:lang w:val="sk-SK"/>
              </w:rPr>
              <w:t>ep</w:t>
            </w:r>
            <w:r>
              <w:rPr>
                <w:color w:val="000000"/>
                <w:lang w:val="sk-SK"/>
              </w:rPr>
              <w:t>ríjemný pocit</w:t>
            </w:r>
            <w:r w:rsidRPr="00272392">
              <w:rPr>
                <w:color w:val="000000"/>
                <w:lang w:val="sk-SK"/>
              </w:rPr>
              <w:t xml:space="preserve"> na hrudi,</w:t>
            </w:r>
            <w:r>
              <w:rPr>
                <w:color w:val="000000"/>
                <w:szCs w:val="22"/>
                <w:lang w:val="sk-SK"/>
              </w:rPr>
              <w:t xml:space="preserve"> hypotermia</w:t>
            </w:r>
          </w:p>
        </w:tc>
      </w:tr>
      <w:tr w:rsidR="00E16BD1" w:rsidRPr="002836D7" w:rsidTr="00E707E3">
        <w:trPr>
          <w:jc w:val="center"/>
        </w:trPr>
        <w:tc>
          <w:tcPr>
            <w:tcW w:w="12408" w:type="dxa"/>
            <w:gridSpan w:val="4"/>
            <w:shd w:val="clear" w:color="auto" w:fill="auto"/>
            <w:vAlign w:val="center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i/>
                <w:iCs/>
                <w:color w:val="000000"/>
                <w:szCs w:val="22"/>
                <w:lang w:val="sk-SK"/>
              </w:rPr>
            </w:pPr>
            <w:r w:rsidRPr="00993EC0">
              <w:rPr>
                <w:i/>
                <w:iCs/>
                <w:color w:val="000000"/>
                <w:szCs w:val="22"/>
                <w:lang w:val="sk-SK"/>
              </w:rPr>
              <w:t>Laboratórne a funkčné vyšetrenia</w:t>
            </w:r>
          </w:p>
        </w:tc>
      </w:tr>
      <w:tr w:rsidR="00E16BD1" w:rsidRPr="002836D7" w:rsidTr="00E707E3">
        <w:trPr>
          <w:jc w:val="center"/>
        </w:trPr>
        <w:tc>
          <w:tcPr>
            <w:tcW w:w="3619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2693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055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20147">
              <w:rPr>
                <w:color w:val="000000"/>
                <w:lang w:val="sk-SK"/>
              </w:rPr>
              <w:t>výšen</w:t>
            </w:r>
            <w:r>
              <w:rPr>
                <w:color w:val="000000"/>
                <w:lang w:val="sk-SK"/>
              </w:rPr>
              <w:t xml:space="preserve">á hladina </w:t>
            </w:r>
            <w:proofErr w:type="spellStart"/>
            <w:r>
              <w:rPr>
                <w:color w:val="000000"/>
                <w:lang w:val="sk-SK"/>
              </w:rPr>
              <w:t>triacylglycerolov</w:t>
            </w:r>
            <w:proofErr w:type="spellEnd"/>
            <w:r>
              <w:rPr>
                <w:color w:val="000000"/>
                <w:lang w:val="sk-SK"/>
              </w:rPr>
              <w:t xml:space="preserve"> v krvi, </w:t>
            </w:r>
            <w:r w:rsidRPr="00020147">
              <w:rPr>
                <w:color w:val="000000"/>
                <w:lang w:val="sk-SK"/>
              </w:rPr>
              <w:t xml:space="preserve">depresia </w:t>
            </w:r>
            <w:r>
              <w:rPr>
                <w:color w:val="000000"/>
                <w:lang w:val="sk-SK"/>
              </w:rPr>
              <w:t xml:space="preserve"> segmentu ST na EKG, </w:t>
            </w:r>
            <w:r w:rsidRPr="00020147">
              <w:rPr>
                <w:color w:val="000000"/>
                <w:lang w:val="sk-SK"/>
              </w:rPr>
              <w:t xml:space="preserve">znížený </w:t>
            </w:r>
            <w:r>
              <w:rPr>
                <w:color w:val="000000"/>
                <w:lang w:val="sk-SK"/>
              </w:rPr>
              <w:t xml:space="preserve">alebo zvýšený počet </w:t>
            </w:r>
            <w:proofErr w:type="spellStart"/>
            <w:r>
              <w:rPr>
                <w:color w:val="000000"/>
                <w:lang w:val="sk-SK"/>
              </w:rPr>
              <w:t>eozinofilov</w:t>
            </w:r>
            <w:proofErr w:type="spellEnd"/>
            <w:r>
              <w:rPr>
                <w:color w:val="000000"/>
                <w:lang w:val="sk-SK"/>
              </w:rPr>
              <w:t xml:space="preserve">, </w:t>
            </w:r>
            <w:r w:rsidRPr="00020147">
              <w:rPr>
                <w:color w:val="000000"/>
                <w:lang w:val="sk-SK"/>
              </w:rPr>
              <w:lastRenderedPageBreak/>
              <w:t>zmeny hodnôt pečeňových enzýmov</w:t>
            </w:r>
          </w:p>
        </w:tc>
        <w:tc>
          <w:tcPr>
            <w:tcW w:w="3041" w:type="dxa"/>
            <w:shd w:val="clear" w:color="auto" w:fill="auto"/>
          </w:tcPr>
          <w:p w:rsidR="00E16BD1" w:rsidRPr="002836D7" w:rsidRDefault="00E16BD1" w:rsidP="00E707E3">
            <w:pPr>
              <w:tabs>
                <w:tab w:val="left" w:pos="6930"/>
              </w:tabs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lang w:val="sk-SK"/>
              </w:rPr>
              <w:lastRenderedPageBreak/>
              <w:t>z</w:t>
            </w:r>
            <w:r w:rsidRPr="00272392">
              <w:rPr>
                <w:color w:val="000000"/>
                <w:lang w:val="sk-SK"/>
              </w:rPr>
              <w:t xml:space="preserve">výšený alebo znížený počet </w:t>
            </w:r>
            <w:r>
              <w:rPr>
                <w:color w:val="000000"/>
                <w:szCs w:val="22"/>
                <w:lang w:val="sk-SK"/>
              </w:rPr>
              <w:t>leukocytov</w:t>
            </w:r>
            <w:r w:rsidRPr="002836D7">
              <w:rPr>
                <w:color w:val="000000"/>
                <w:szCs w:val="22"/>
                <w:lang w:val="sk-SK"/>
              </w:rPr>
              <w:t xml:space="preserve">, </w:t>
            </w:r>
            <w:r w:rsidRPr="00272392">
              <w:rPr>
                <w:color w:val="000000"/>
                <w:lang w:val="sk-SK"/>
              </w:rPr>
              <w:t xml:space="preserve">znížený počet </w:t>
            </w:r>
            <w:r>
              <w:rPr>
                <w:color w:val="000000"/>
                <w:szCs w:val="22"/>
                <w:lang w:val="sk-SK"/>
              </w:rPr>
              <w:t xml:space="preserve"> erytrocytov</w:t>
            </w:r>
            <w:r w:rsidRPr="002836D7">
              <w:rPr>
                <w:color w:val="000000"/>
                <w:szCs w:val="22"/>
                <w:lang w:val="sk-SK"/>
              </w:rPr>
              <w:t xml:space="preserve">, </w:t>
            </w:r>
            <w:r>
              <w:rPr>
                <w:color w:val="000000"/>
                <w:lang w:val="sk-SK"/>
              </w:rPr>
              <w:t xml:space="preserve">znížený </w:t>
            </w:r>
            <w:proofErr w:type="spellStart"/>
            <w:r>
              <w:rPr>
                <w:color w:val="000000"/>
                <w:lang w:val="sk-SK"/>
              </w:rPr>
              <w:t>protrombínový</w:t>
            </w:r>
            <w:proofErr w:type="spellEnd"/>
            <w:r>
              <w:rPr>
                <w:color w:val="000000"/>
                <w:lang w:val="sk-SK"/>
              </w:rPr>
              <w:t xml:space="preserve"> čas</w:t>
            </w:r>
            <w:r w:rsidRPr="00272392">
              <w:rPr>
                <w:color w:val="000000"/>
                <w:lang w:val="sk-SK"/>
              </w:rPr>
              <w:t xml:space="preserve">, </w:t>
            </w:r>
            <w:r w:rsidRPr="00272392">
              <w:rPr>
                <w:color w:val="000000"/>
                <w:lang w:val="sk-SK"/>
              </w:rPr>
              <w:lastRenderedPageBreak/>
              <w:t>zvýšenie telesnej hmotnosti</w:t>
            </w:r>
          </w:p>
        </w:tc>
      </w:tr>
    </w:tbl>
    <w:p w:rsidR="00E16BD1" w:rsidRPr="002836D7" w:rsidRDefault="00E16BD1" w:rsidP="00E16BD1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E16BD1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E16BD1" w:rsidRPr="000D4287" w:rsidRDefault="00E16BD1" w:rsidP="00E16BD1">
      <w:pPr>
        <w:ind w:left="567" w:hanging="567"/>
        <w:rPr>
          <w:szCs w:val="22"/>
          <w:u w:val="single"/>
          <w:lang w:eastAsia="sk-SK"/>
        </w:rPr>
      </w:pPr>
      <w:proofErr w:type="spellStart"/>
      <w:r w:rsidRPr="000D4287">
        <w:rPr>
          <w:szCs w:val="22"/>
          <w:u w:val="single"/>
          <w:lang w:eastAsia="sk-SK"/>
        </w:rPr>
        <w:t>Hlásenie</w:t>
      </w:r>
      <w:proofErr w:type="spellEnd"/>
      <w:r w:rsidRPr="000D4287">
        <w:rPr>
          <w:szCs w:val="22"/>
          <w:u w:val="single"/>
          <w:lang w:eastAsia="sk-SK"/>
        </w:rPr>
        <w:t xml:space="preserve"> </w:t>
      </w:r>
      <w:proofErr w:type="spellStart"/>
      <w:r w:rsidRPr="000D4287">
        <w:rPr>
          <w:szCs w:val="22"/>
          <w:u w:val="single"/>
          <w:lang w:eastAsia="sk-SK"/>
        </w:rPr>
        <w:t>podozrení</w:t>
      </w:r>
      <w:proofErr w:type="spellEnd"/>
      <w:r w:rsidRPr="000D4287">
        <w:rPr>
          <w:szCs w:val="22"/>
          <w:u w:val="single"/>
          <w:lang w:eastAsia="sk-SK"/>
        </w:rPr>
        <w:t xml:space="preserve"> </w:t>
      </w:r>
      <w:proofErr w:type="spellStart"/>
      <w:proofErr w:type="gramStart"/>
      <w:r w:rsidRPr="000D4287">
        <w:rPr>
          <w:szCs w:val="22"/>
          <w:u w:val="single"/>
          <w:lang w:eastAsia="sk-SK"/>
        </w:rPr>
        <w:t>na</w:t>
      </w:r>
      <w:proofErr w:type="spellEnd"/>
      <w:proofErr w:type="gramEnd"/>
      <w:r w:rsidRPr="000D4287">
        <w:rPr>
          <w:szCs w:val="22"/>
          <w:u w:val="single"/>
          <w:lang w:eastAsia="sk-SK"/>
        </w:rPr>
        <w:t xml:space="preserve"> </w:t>
      </w:r>
      <w:proofErr w:type="spellStart"/>
      <w:r w:rsidRPr="000D4287">
        <w:rPr>
          <w:szCs w:val="22"/>
          <w:u w:val="single"/>
          <w:lang w:eastAsia="sk-SK"/>
        </w:rPr>
        <w:t>nežiaduce</w:t>
      </w:r>
      <w:proofErr w:type="spellEnd"/>
      <w:r w:rsidRPr="000D4287">
        <w:rPr>
          <w:szCs w:val="22"/>
          <w:u w:val="single"/>
          <w:lang w:eastAsia="sk-SK"/>
        </w:rPr>
        <w:t xml:space="preserve"> </w:t>
      </w:r>
      <w:proofErr w:type="spellStart"/>
      <w:r w:rsidRPr="000D4287">
        <w:rPr>
          <w:szCs w:val="22"/>
          <w:u w:val="single"/>
          <w:lang w:eastAsia="sk-SK"/>
        </w:rPr>
        <w:t>reakcie</w:t>
      </w:r>
      <w:proofErr w:type="spellEnd"/>
    </w:p>
    <w:p w:rsidR="00E16BD1" w:rsidRPr="000D4287" w:rsidRDefault="00E16BD1" w:rsidP="00E16BD1">
      <w:pPr>
        <w:pStyle w:val="Zkladntext"/>
        <w:tabs>
          <w:tab w:val="left" w:pos="567"/>
        </w:tabs>
        <w:rPr>
          <w:i w:val="0"/>
          <w:color w:val="auto"/>
          <w:szCs w:val="22"/>
          <w:lang w:val="sk-SK"/>
        </w:rPr>
      </w:pPr>
      <w:r w:rsidRPr="000D4287">
        <w:rPr>
          <w:i w:val="0"/>
          <w:color w:val="auto"/>
          <w:szCs w:val="22"/>
          <w:lang w:val="sk-SK" w:eastAsia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0D4287">
        <w:rPr>
          <w:i w:val="0"/>
          <w:color w:val="auto"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Pr="000D4287">
          <w:rPr>
            <w:i w:val="0"/>
            <w:color w:val="auto"/>
            <w:szCs w:val="22"/>
            <w:highlight w:val="lightGray"/>
            <w:lang w:val="sk-SK" w:eastAsia="sk-SK"/>
          </w:rPr>
          <w:t>Prí</w:t>
        </w:r>
        <w:r w:rsidRPr="000D4287">
          <w:rPr>
            <w:i w:val="0"/>
            <w:color w:val="auto"/>
            <w:szCs w:val="22"/>
            <w:highlight w:val="lightGray"/>
            <w:lang w:val="sk-SK" w:eastAsia="sk-SK"/>
          </w:rPr>
          <w:t>l</w:t>
        </w:r>
        <w:r w:rsidRPr="000D4287">
          <w:rPr>
            <w:i w:val="0"/>
            <w:color w:val="auto"/>
            <w:szCs w:val="22"/>
            <w:highlight w:val="lightGray"/>
            <w:lang w:val="sk-SK" w:eastAsia="sk-SK"/>
          </w:rPr>
          <w:t>ohe V</w:t>
        </w:r>
      </w:hyperlink>
      <w:r w:rsidRPr="000D4287">
        <w:rPr>
          <w:i w:val="0"/>
          <w:color w:val="auto"/>
          <w:szCs w:val="22"/>
          <w:highlight w:val="lightGray"/>
          <w:lang w:val="sk-SK" w:eastAsia="sk-SK"/>
        </w:rPr>
        <w:t>.</w:t>
      </w:r>
    </w:p>
    <w:p w:rsidR="00E16BD1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E16BD1" w:rsidRPr="002836D7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836D7">
        <w:rPr>
          <w:b/>
          <w:color w:val="000000"/>
          <w:szCs w:val="22"/>
          <w:lang w:val="sk-SK"/>
        </w:rPr>
        <w:t>4.9</w:t>
      </w:r>
      <w:r w:rsidRPr="002836D7">
        <w:rPr>
          <w:b/>
          <w:color w:val="000000"/>
          <w:szCs w:val="22"/>
          <w:lang w:val="sk-SK"/>
        </w:rPr>
        <w:tab/>
      </w:r>
      <w:r>
        <w:rPr>
          <w:b/>
          <w:color w:val="000000"/>
          <w:szCs w:val="22"/>
          <w:lang w:val="sk-SK"/>
        </w:rPr>
        <w:t>Predávkovanie</w:t>
      </w:r>
    </w:p>
    <w:p w:rsidR="00E16BD1" w:rsidRPr="002836D7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E16BD1" w:rsidRPr="00114E9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114E98">
        <w:rPr>
          <w:color w:val="000000"/>
          <w:szCs w:val="22"/>
          <w:lang w:val="sk-SK"/>
        </w:rPr>
        <w:t>Prípady predávkovania neboli hlásené.</w:t>
      </w:r>
    </w:p>
    <w:p w:rsidR="00E16BD1" w:rsidRPr="00114E9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836D7" w:rsidRDefault="00E16BD1" w:rsidP="00E16BD1">
      <w:pPr>
        <w:spacing w:line="240" w:lineRule="auto"/>
        <w:rPr>
          <w:i/>
          <w:color w:val="000000"/>
          <w:szCs w:val="22"/>
          <w:lang w:val="sk-SK"/>
        </w:rPr>
      </w:pPr>
      <w:r w:rsidRPr="00114E98">
        <w:rPr>
          <w:color w:val="000000"/>
          <w:szCs w:val="22"/>
          <w:lang w:val="sk-SK"/>
        </w:rPr>
        <w:t>V prípade náhodného predávkovania sa odporúčajú všeobecné</w:t>
      </w:r>
      <w:r>
        <w:rPr>
          <w:color w:val="000000"/>
          <w:szCs w:val="22"/>
          <w:lang w:val="sk-SK"/>
        </w:rPr>
        <w:t xml:space="preserve"> opatrenia na elimináciu liečiva</w:t>
      </w:r>
      <w:r w:rsidRPr="00114E98">
        <w:rPr>
          <w:color w:val="000000"/>
          <w:szCs w:val="22"/>
          <w:lang w:val="sk-SK"/>
        </w:rPr>
        <w:t>, s</w:t>
      </w:r>
      <w:r>
        <w:rPr>
          <w:color w:val="000000"/>
          <w:szCs w:val="22"/>
          <w:lang w:val="sk-SK"/>
        </w:rPr>
        <w:t xml:space="preserve">ymptomatická a podporná liečba zameraná najmä na </w:t>
      </w:r>
      <w:proofErr w:type="spellStart"/>
      <w:r>
        <w:rPr>
          <w:color w:val="000000"/>
          <w:szCs w:val="22"/>
          <w:lang w:val="sk-SK"/>
        </w:rPr>
        <w:t>kardiorespiračné</w:t>
      </w:r>
      <w:proofErr w:type="spellEnd"/>
      <w:r>
        <w:rPr>
          <w:color w:val="000000"/>
          <w:szCs w:val="22"/>
          <w:lang w:val="sk-SK"/>
        </w:rPr>
        <w:t xml:space="preserve"> funkcie. </w:t>
      </w:r>
    </w:p>
    <w:p w:rsidR="00E16BD1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836D7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836D7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836D7">
        <w:rPr>
          <w:b/>
          <w:color w:val="000000"/>
          <w:szCs w:val="22"/>
          <w:lang w:val="sk-SK"/>
        </w:rPr>
        <w:t>5.</w:t>
      </w:r>
      <w:r w:rsidRPr="002836D7">
        <w:rPr>
          <w:b/>
          <w:color w:val="000000"/>
          <w:szCs w:val="22"/>
          <w:lang w:val="sk-SK"/>
        </w:rPr>
        <w:tab/>
      </w:r>
      <w:r w:rsidRPr="003021DE">
        <w:rPr>
          <w:b/>
          <w:szCs w:val="22"/>
        </w:rPr>
        <w:t>FARMAKOLOGICKÉ VLASTNOSTI</w:t>
      </w:r>
    </w:p>
    <w:p w:rsidR="00E16BD1" w:rsidRPr="002836D7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836D7">
        <w:rPr>
          <w:b/>
          <w:color w:val="000000"/>
          <w:szCs w:val="22"/>
          <w:lang w:val="sk-SK"/>
        </w:rPr>
        <w:t xml:space="preserve">5.1 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Farmakodynamické vlastnosti</w:t>
      </w: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b/>
          <w:color w:val="000000"/>
          <w:szCs w:val="22"/>
          <w:lang w:val="sk-SK"/>
        </w:rPr>
        <w:t>Farmakoterapeutická</w:t>
      </w:r>
      <w:proofErr w:type="spellEnd"/>
      <w:r w:rsidRPr="00265508">
        <w:rPr>
          <w:b/>
          <w:color w:val="000000"/>
          <w:szCs w:val="22"/>
          <w:lang w:val="sk-SK"/>
        </w:rPr>
        <w:t xml:space="preserve"> skupina</w:t>
      </w:r>
      <w:r w:rsidRPr="00265508">
        <w:rPr>
          <w:color w:val="000000"/>
          <w:szCs w:val="22"/>
          <w:lang w:val="sk-SK"/>
        </w:rPr>
        <w:t xml:space="preserve">: </w:t>
      </w:r>
      <w:proofErr w:type="spellStart"/>
      <w:r w:rsidRPr="00265508">
        <w:rPr>
          <w:color w:val="000000"/>
          <w:szCs w:val="22"/>
          <w:lang w:val="sk-SK"/>
        </w:rPr>
        <w:t>psychoanaleptiká</w:t>
      </w:r>
      <w:proofErr w:type="spellEnd"/>
      <w:r w:rsidRPr="00265508">
        <w:rPr>
          <w:color w:val="000000"/>
          <w:szCs w:val="22"/>
          <w:lang w:val="sk-SK"/>
        </w:rPr>
        <w:t xml:space="preserve">, iné </w:t>
      </w:r>
      <w:proofErr w:type="spellStart"/>
      <w:r w:rsidRPr="00265508">
        <w:rPr>
          <w:color w:val="000000"/>
          <w:szCs w:val="22"/>
          <w:lang w:val="sk-SK"/>
        </w:rPr>
        <w:t>psychostimula</w:t>
      </w:r>
      <w:r>
        <w:rPr>
          <w:color w:val="000000"/>
          <w:szCs w:val="22"/>
          <w:lang w:val="sk-SK"/>
        </w:rPr>
        <w:t>nciá</w:t>
      </w:r>
      <w:proofErr w:type="spellEnd"/>
      <w:r w:rsidRPr="00265508">
        <w:rPr>
          <w:color w:val="000000"/>
          <w:szCs w:val="22"/>
          <w:lang w:val="sk-SK"/>
        </w:rPr>
        <w:t xml:space="preserve"> a </w:t>
      </w:r>
      <w:proofErr w:type="spellStart"/>
      <w:r w:rsidRPr="00265508">
        <w:rPr>
          <w:color w:val="000000"/>
          <w:szCs w:val="22"/>
          <w:lang w:val="sk-SK"/>
        </w:rPr>
        <w:t>nootropiká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ATC kód</w:t>
      </w:r>
      <w:r w:rsidRPr="00265508">
        <w:rPr>
          <w:color w:val="000000"/>
          <w:szCs w:val="22"/>
          <w:lang w:val="sk-SK"/>
        </w:rPr>
        <w:t>: N06BX18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</w:t>
      </w:r>
      <w:r>
        <w:rPr>
          <w:color w:val="000000"/>
          <w:szCs w:val="22"/>
          <w:lang w:val="sk-SK"/>
        </w:rPr>
        <w:t>ín</w:t>
      </w:r>
      <w:proofErr w:type="spellEnd"/>
      <w:r w:rsidRPr="00265508">
        <w:rPr>
          <w:color w:val="000000"/>
          <w:szCs w:val="22"/>
          <w:lang w:val="sk-SK"/>
        </w:rPr>
        <w:t xml:space="preserve"> je </w:t>
      </w:r>
      <w:proofErr w:type="spellStart"/>
      <w:r>
        <w:rPr>
          <w:color w:val="000000"/>
          <w:szCs w:val="22"/>
          <w:lang w:val="sk-SK"/>
        </w:rPr>
        <w:t>polo</w:t>
      </w:r>
      <w:r w:rsidRPr="00265508">
        <w:rPr>
          <w:color w:val="000000"/>
          <w:szCs w:val="22"/>
          <w:lang w:val="sk-SK"/>
        </w:rPr>
        <w:t>syntetický</w:t>
      </w:r>
      <w:proofErr w:type="spellEnd"/>
      <w:r w:rsidRPr="00265508">
        <w:rPr>
          <w:color w:val="000000"/>
          <w:szCs w:val="22"/>
          <w:lang w:val="sk-SK"/>
        </w:rPr>
        <w:t xml:space="preserve"> derivát </w:t>
      </w:r>
      <w:r>
        <w:rPr>
          <w:color w:val="000000"/>
          <w:szCs w:val="22"/>
          <w:lang w:val="sk-SK"/>
        </w:rPr>
        <w:t xml:space="preserve">alkaloidu </w:t>
      </w:r>
      <w:proofErr w:type="spellStart"/>
      <w:r w:rsidRPr="00265508">
        <w:rPr>
          <w:color w:val="000000"/>
          <w:szCs w:val="22"/>
          <w:lang w:val="sk-SK"/>
        </w:rPr>
        <w:t>vinkamínu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szCs w:val="22"/>
          <w:u w:val="single"/>
          <w:lang w:val="sk-SK"/>
        </w:rPr>
        <w:t>Mechanizmus účinku</w:t>
      </w:r>
      <w:r w:rsidRPr="00265508">
        <w:rPr>
          <w:color w:val="000000"/>
          <w:szCs w:val="22"/>
          <w:lang w:val="sk-SK"/>
        </w:rPr>
        <w:t xml:space="preserve"> 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má</w:t>
      </w:r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v</w:t>
      </w:r>
      <w:r>
        <w:rPr>
          <w:color w:val="000000"/>
          <w:szCs w:val="22"/>
          <w:lang w:val="sk-SK"/>
        </w:rPr>
        <w:t>azodilatačné</w:t>
      </w:r>
      <w:proofErr w:type="spellEnd"/>
      <w:r>
        <w:rPr>
          <w:color w:val="000000"/>
          <w:szCs w:val="22"/>
          <w:lang w:val="sk-SK"/>
        </w:rPr>
        <w:t xml:space="preserve"> účinky. J</w:t>
      </w:r>
      <w:r w:rsidRPr="00265508">
        <w:rPr>
          <w:color w:val="000000"/>
          <w:szCs w:val="22"/>
          <w:lang w:val="sk-SK"/>
        </w:rPr>
        <w:t xml:space="preserve">e </w:t>
      </w:r>
      <w:r>
        <w:rPr>
          <w:color w:val="000000"/>
          <w:szCs w:val="22"/>
          <w:lang w:val="sk-SK"/>
        </w:rPr>
        <w:t>to látka</w:t>
      </w:r>
      <w:r w:rsidRPr="00265508">
        <w:rPr>
          <w:color w:val="000000"/>
          <w:szCs w:val="22"/>
          <w:lang w:val="sk-SK"/>
        </w:rPr>
        <w:t xml:space="preserve"> s komplexným účinkom na </w:t>
      </w:r>
      <w:proofErr w:type="spellStart"/>
      <w:r w:rsidRPr="00265508">
        <w:rPr>
          <w:color w:val="000000"/>
          <w:szCs w:val="22"/>
          <w:lang w:val="sk-SK"/>
        </w:rPr>
        <w:t>metabolizmusa</w:t>
      </w:r>
      <w:proofErr w:type="spellEnd"/>
      <w:r w:rsidRPr="00265508">
        <w:rPr>
          <w:color w:val="000000"/>
          <w:szCs w:val="22"/>
          <w:lang w:val="sk-SK"/>
        </w:rPr>
        <w:t xml:space="preserve"> prietok krvi</w:t>
      </w:r>
      <w:r>
        <w:rPr>
          <w:color w:val="000000"/>
          <w:szCs w:val="22"/>
          <w:lang w:val="sk-SK"/>
        </w:rPr>
        <w:t xml:space="preserve"> v mozgu</w:t>
      </w:r>
      <w:r w:rsidRPr="00265508">
        <w:rPr>
          <w:color w:val="000000"/>
          <w:szCs w:val="22"/>
          <w:lang w:val="sk-SK"/>
        </w:rPr>
        <w:t xml:space="preserve">, ako aj </w:t>
      </w:r>
      <w:proofErr w:type="spellStart"/>
      <w:r w:rsidRPr="00265508">
        <w:rPr>
          <w:color w:val="000000"/>
          <w:szCs w:val="22"/>
          <w:lang w:val="sk-SK"/>
        </w:rPr>
        <w:t>reologické</w:t>
      </w:r>
      <w:proofErr w:type="spellEnd"/>
      <w:r w:rsidRPr="00265508">
        <w:rPr>
          <w:color w:val="000000"/>
          <w:szCs w:val="22"/>
          <w:lang w:val="sk-SK"/>
        </w:rPr>
        <w:t xml:space="preserve"> vlastnosti krvi.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Dilatuje mozgové krvné cievy a zvyšuje prietok krvi </w:t>
      </w:r>
      <w:r>
        <w:rPr>
          <w:color w:val="000000"/>
          <w:szCs w:val="22"/>
          <w:lang w:val="sk-SK"/>
        </w:rPr>
        <w:t xml:space="preserve">v </w:t>
      </w:r>
      <w:r w:rsidRPr="00265508">
        <w:rPr>
          <w:color w:val="000000"/>
          <w:szCs w:val="22"/>
          <w:lang w:val="sk-SK"/>
        </w:rPr>
        <w:t>mozg</w:t>
      </w:r>
      <w:r>
        <w:rPr>
          <w:color w:val="000000"/>
          <w:szCs w:val="22"/>
          <w:lang w:val="sk-SK"/>
        </w:rPr>
        <w:t>u</w:t>
      </w:r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Inhibuje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r w:rsidRPr="004B51F0">
        <w:rPr>
          <w:color w:val="000000"/>
          <w:szCs w:val="22"/>
          <w:lang w:val="sk-SK"/>
        </w:rPr>
        <w:t>napäťovo</w:t>
      </w:r>
      <w:r w:rsidRPr="00A07D09">
        <w:rPr>
          <w:color w:val="000000"/>
          <w:szCs w:val="22"/>
          <w:lang w:val="sk-SK"/>
        </w:rPr>
        <w:t xml:space="preserve"> závislé</w:t>
      </w:r>
      <w:r w:rsidRPr="00265508">
        <w:rPr>
          <w:color w:val="000000"/>
          <w:szCs w:val="22"/>
          <w:lang w:val="sk-SK"/>
        </w:rPr>
        <w:t xml:space="preserve"> Na</w:t>
      </w:r>
      <w:r w:rsidRPr="00C92463">
        <w:rPr>
          <w:color w:val="000000"/>
          <w:szCs w:val="22"/>
          <w:vertAlign w:val="superscript"/>
          <w:lang w:val="sk-SK"/>
        </w:rPr>
        <w:t>+</w:t>
      </w:r>
      <w:r w:rsidRPr="00265508">
        <w:rPr>
          <w:color w:val="000000"/>
          <w:szCs w:val="22"/>
          <w:lang w:val="sk-SK"/>
        </w:rPr>
        <w:t xml:space="preserve"> a Ca</w:t>
      </w:r>
      <w:r w:rsidRPr="00C92463">
        <w:rPr>
          <w:color w:val="000000"/>
          <w:szCs w:val="22"/>
          <w:vertAlign w:val="superscript"/>
          <w:lang w:val="sk-SK"/>
        </w:rPr>
        <w:t>2+</w:t>
      </w:r>
      <w:r>
        <w:rPr>
          <w:color w:val="000000"/>
          <w:szCs w:val="22"/>
          <w:lang w:val="sk-SK"/>
        </w:rPr>
        <w:t xml:space="preserve"> kanály.  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tiež </w:t>
      </w:r>
      <w:proofErr w:type="spellStart"/>
      <w:r w:rsidRPr="00265508">
        <w:rPr>
          <w:color w:val="000000"/>
          <w:szCs w:val="22"/>
          <w:lang w:val="sk-SK"/>
        </w:rPr>
        <w:t>inhibuje</w:t>
      </w:r>
      <w:proofErr w:type="spellEnd"/>
      <w:r w:rsidRPr="00265508">
        <w:rPr>
          <w:color w:val="000000"/>
          <w:szCs w:val="22"/>
          <w:lang w:val="sk-SK"/>
        </w:rPr>
        <w:t xml:space="preserve"> receptory N-</w:t>
      </w:r>
      <w:proofErr w:type="spellStart"/>
      <w:r w:rsidRPr="00265508">
        <w:rPr>
          <w:color w:val="000000"/>
          <w:szCs w:val="22"/>
          <w:lang w:val="sk-SK"/>
        </w:rPr>
        <w:t>metyl</w:t>
      </w:r>
      <w:proofErr w:type="spellEnd"/>
      <w:r w:rsidRPr="0026550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>D</w:t>
      </w:r>
      <w:r w:rsidRPr="00265508">
        <w:rPr>
          <w:color w:val="000000"/>
          <w:szCs w:val="22"/>
          <w:lang w:val="sk-SK"/>
        </w:rPr>
        <w:t>-</w:t>
      </w:r>
      <w:proofErr w:type="spellStart"/>
      <w:r w:rsidRPr="00265508">
        <w:rPr>
          <w:color w:val="000000"/>
          <w:szCs w:val="22"/>
          <w:lang w:val="sk-SK"/>
        </w:rPr>
        <w:t>aspartátu</w:t>
      </w:r>
      <w:proofErr w:type="spellEnd"/>
      <w:r w:rsidRPr="00265508">
        <w:rPr>
          <w:color w:val="000000"/>
          <w:szCs w:val="22"/>
          <w:lang w:val="sk-SK"/>
        </w:rPr>
        <w:t xml:space="preserve"> (NMDA) a</w:t>
      </w:r>
      <w:r w:rsidRPr="0025055A"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kyseliny</w:t>
      </w:r>
      <w:proofErr w:type="spellEnd"/>
      <w:r>
        <w:rPr>
          <w:color w:val="000000"/>
          <w:szCs w:val="22"/>
        </w:rPr>
        <w:t xml:space="preserve"> </w:t>
      </w:r>
      <w:r w:rsidRPr="0025055A">
        <w:rPr>
          <w:szCs w:val="22"/>
        </w:rPr>
        <w:t>α</w:t>
      </w:r>
      <w:r w:rsidRPr="00265508">
        <w:rPr>
          <w:color w:val="000000"/>
          <w:szCs w:val="22"/>
          <w:lang w:val="sk-SK"/>
        </w:rPr>
        <w:t>-amino-3-hydroxy-5-metyl-4-izoxazolpropiónovej (AMPA).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selektívne </w:t>
      </w:r>
      <w:proofErr w:type="spellStart"/>
      <w:r w:rsidRPr="00265508">
        <w:rPr>
          <w:color w:val="000000"/>
          <w:szCs w:val="22"/>
          <w:lang w:val="sk-SK"/>
        </w:rPr>
        <w:t>inhibuje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fosfodiesterázu</w:t>
      </w:r>
      <w:proofErr w:type="spellEnd"/>
      <w:r w:rsidRPr="00265508">
        <w:rPr>
          <w:color w:val="000000"/>
          <w:szCs w:val="22"/>
          <w:lang w:val="sk-SK"/>
        </w:rPr>
        <w:t xml:space="preserve"> typu 1 (PDE1) závislú od Ca</w:t>
      </w:r>
      <w:r w:rsidRPr="0025055A">
        <w:rPr>
          <w:color w:val="000000"/>
          <w:szCs w:val="22"/>
          <w:vertAlign w:val="superscript"/>
          <w:lang w:val="sk-SK"/>
        </w:rPr>
        <w:t>2+</w:t>
      </w:r>
      <w:r>
        <w:rPr>
          <w:color w:val="000000"/>
          <w:szCs w:val="22"/>
          <w:lang w:val="sk-SK"/>
        </w:rPr>
        <w:t>/</w:t>
      </w:r>
      <w:proofErr w:type="spellStart"/>
      <w:r w:rsidRPr="00265508">
        <w:rPr>
          <w:color w:val="000000"/>
          <w:szCs w:val="22"/>
          <w:lang w:val="sk-SK"/>
        </w:rPr>
        <w:t>kalmodulínu</w:t>
      </w:r>
      <w:proofErr w:type="spellEnd"/>
      <w:r>
        <w:rPr>
          <w:color w:val="000000"/>
          <w:szCs w:val="22"/>
          <w:lang w:val="sk-SK"/>
        </w:rPr>
        <w:t xml:space="preserve"> (</w:t>
      </w:r>
      <w:proofErr w:type="spellStart"/>
      <w:r>
        <w:rPr>
          <w:color w:val="000000"/>
          <w:szCs w:val="22"/>
          <w:lang w:val="sk-SK"/>
        </w:rPr>
        <w:t>CaM</w:t>
      </w:r>
      <w:proofErr w:type="spellEnd"/>
      <w:r>
        <w:rPr>
          <w:color w:val="000000"/>
          <w:szCs w:val="22"/>
          <w:lang w:val="sk-SK"/>
        </w:rPr>
        <w:t xml:space="preserve">). PDE1 je závislá od </w:t>
      </w:r>
      <w:proofErr w:type="spellStart"/>
      <w:r>
        <w:rPr>
          <w:color w:val="000000"/>
          <w:szCs w:val="22"/>
          <w:lang w:val="sk-SK"/>
        </w:rPr>
        <w:t>CaM</w:t>
      </w:r>
      <w:proofErr w:type="spellEnd"/>
      <w:r>
        <w:rPr>
          <w:color w:val="000000"/>
          <w:szCs w:val="22"/>
          <w:lang w:val="sk-SK"/>
        </w:rPr>
        <w:t xml:space="preserve">, </w:t>
      </w:r>
      <w:r w:rsidRPr="00265508">
        <w:rPr>
          <w:color w:val="000000"/>
          <w:szCs w:val="22"/>
          <w:lang w:val="sk-SK"/>
        </w:rPr>
        <w:t xml:space="preserve">proteínu viažuceho vápnik, ktorý je slabo </w:t>
      </w:r>
      <w:proofErr w:type="spellStart"/>
      <w:r w:rsidRPr="00265508">
        <w:rPr>
          <w:color w:val="000000"/>
          <w:szCs w:val="22"/>
          <w:lang w:val="sk-SK"/>
        </w:rPr>
        <w:t>inhibovaný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vinpocetínom</w:t>
      </w:r>
      <w:proofErr w:type="spellEnd"/>
      <w:r w:rsidRPr="00265508">
        <w:rPr>
          <w:color w:val="000000"/>
          <w:szCs w:val="22"/>
          <w:lang w:val="sk-SK"/>
        </w:rPr>
        <w:t xml:space="preserve">. </w:t>
      </w:r>
      <w:proofErr w:type="spellStart"/>
      <w:r w:rsidRPr="00265508">
        <w:rPr>
          <w:color w:val="000000"/>
          <w:szCs w:val="22"/>
          <w:lang w:val="sk-SK"/>
        </w:rPr>
        <w:t>CaM</w:t>
      </w:r>
      <w:proofErr w:type="spellEnd"/>
      <w:r w:rsidRPr="00265508">
        <w:rPr>
          <w:color w:val="000000"/>
          <w:szCs w:val="22"/>
          <w:lang w:val="sk-SK"/>
        </w:rPr>
        <w:t xml:space="preserve"> je slabo </w:t>
      </w:r>
      <w:proofErr w:type="spellStart"/>
      <w:r w:rsidRPr="00265508">
        <w:rPr>
          <w:color w:val="000000"/>
          <w:szCs w:val="22"/>
          <w:lang w:val="sk-SK"/>
        </w:rPr>
        <w:t>inhibovaný</w:t>
      </w:r>
      <w:proofErr w:type="spellEnd"/>
      <w:r w:rsidRPr="00265508">
        <w:rPr>
          <w:color w:val="000000"/>
          <w:szCs w:val="22"/>
          <w:lang w:val="sk-SK"/>
        </w:rPr>
        <w:t xml:space="preserve"> Ca</w:t>
      </w:r>
      <w:r w:rsidRPr="0025055A">
        <w:rPr>
          <w:color w:val="000000"/>
          <w:szCs w:val="22"/>
          <w:lang w:val="sk-SK"/>
        </w:rPr>
        <w:t>2+.</w:t>
      </w:r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môže slabo </w:t>
      </w:r>
      <w:proofErr w:type="spellStart"/>
      <w:r w:rsidRPr="00265508">
        <w:rPr>
          <w:color w:val="000000"/>
          <w:szCs w:val="22"/>
          <w:lang w:val="sk-SK"/>
        </w:rPr>
        <w:t>inhibovať</w:t>
      </w:r>
      <w:proofErr w:type="spellEnd"/>
      <w:r w:rsidRPr="00265508">
        <w:rPr>
          <w:color w:val="000000"/>
          <w:szCs w:val="22"/>
          <w:lang w:val="sk-SK"/>
        </w:rPr>
        <w:t xml:space="preserve"> účinok </w:t>
      </w:r>
      <w:proofErr w:type="spellStart"/>
      <w:r w:rsidRPr="00265508">
        <w:rPr>
          <w:color w:val="000000"/>
          <w:szCs w:val="22"/>
          <w:lang w:val="sk-SK"/>
        </w:rPr>
        <w:t>CaM</w:t>
      </w:r>
      <w:proofErr w:type="spellEnd"/>
      <w:r w:rsidRPr="00265508">
        <w:rPr>
          <w:color w:val="000000"/>
          <w:szCs w:val="22"/>
          <w:lang w:val="sk-SK"/>
        </w:rPr>
        <w:t xml:space="preserve"> na PDE1 buď inhibíciou </w:t>
      </w:r>
      <w:proofErr w:type="spellStart"/>
      <w:r w:rsidRPr="00265508">
        <w:rPr>
          <w:color w:val="000000"/>
          <w:szCs w:val="22"/>
          <w:lang w:val="sk-SK"/>
        </w:rPr>
        <w:t>kalmodulínu</w:t>
      </w:r>
      <w:proofErr w:type="spellEnd"/>
      <w:r w:rsidRPr="00265508">
        <w:rPr>
          <w:color w:val="000000"/>
          <w:szCs w:val="22"/>
          <w:lang w:val="sk-SK"/>
        </w:rPr>
        <w:t xml:space="preserve"> aleb</w:t>
      </w:r>
      <w:r>
        <w:rPr>
          <w:color w:val="000000"/>
          <w:szCs w:val="22"/>
          <w:lang w:val="sk-SK"/>
        </w:rPr>
        <w:t>o jeho účinkom</w:t>
      </w:r>
      <w:r w:rsidRPr="00265508">
        <w:rPr>
          <w:color w:val="000000"/>
          <w:szCs w:val="22"/>
          <w:lang w:val="sk-SK"/>
        </w:rPr>
        <w:t xml:space="preserve"> na Ca</w:t>
      </w:r>
      <w:r w:rsidRPr="004B51F0">
        <w:rPr>
          <w:color w:val="000000"/>
          <w:szCs w:val="22"/>
          <w:vertAlign w:val="superscript"/>
          <w:lang w:val="sk-SK"/>
        </w:rPr>
        <w:t>2+</w:t>
      </w:r>
      <w:r w:rsidRPr="00265508">
        <w:rPr>
          <w:color w:val="000000"/>
          <w:szCs w:val="22"/>
          <w:lang w:val="sk-SK"/>
        </w:rPr>
        <w:t xml:space="preserve">. </w:t>
      </w:r>
      <w:proofErr w:type="spellStart"/>
      <w:r w:rsidRPr="00265508">
        <w:rPr>
          <w:color w:val="000000"/>
          <w:szCs w:val="22"/>
          <w:lang w:val="sk-SK"/>
        </w:rPr>
        <w:t>CaM</w:t>
      </w:r>
      <w:proofErr w:type="spellEnd"/>
      <w:r w:rsidRPr="00265508">
        <w:rPr>
          <w:color w:val="000000"/>
          <w:szCs w:val="22"/>
          <w:lang w:val="sk-SK"/>
        </w:rPr>
        <w:t xml:space="preserve"> zvyšuje relaxačný účinok oxidu </w:t>
      </w:r>
      <w:proofErr w:type="spellStart"/>
      <w:r w:rsidRPr="00265508">
        <w:rPr>
          <w:color w:val="000000"/>
          <w:szCs w:val="22"/>
          <w:lang w:val="sk-SK"/>
        </w:rPr>
        <w:t>dusnatého</w:t>
      </w:r>
      <w:proofErr w:type="spellEnd"/>
      <w:r w:rsidRPr="00265508">
        <w:rPr>
          <w:color w:val="000000"/>
          <w:szCs w:val="22"/>
          <w:lang w:val="sk-SK"/>
        </w:rPr>
        <w:t xml:space="preserve"> zvýšením cyklického </w:t>
      </w:r>
      <w:proofErr w:type="spellStart"/>
      <w:r w:rsidRPr="00265508">
        <w:rPr>
          <w:color w:val="000000"/>
          <w:szCs w:val="22"/>
          <w:lang w:val="sk-SK"/>
        </w:rPr>
        <w:t>guanozínmonofosfátu</w:t>
      </w:r>
      <w:proofErr w:type="spellEnd"/>
      <w:r w:rsidRPr="00265508">
        <w:rPr>
          <w:color w:val="000000"/>
          <w:szCs w:val="22"/>
          <w:lang w:val="sk-SK"/>
        </w:rPr>
        <w:t xml:space="preserve"> (</w:t>
      </w:r>
      <w:proofErr w:type="spellStart"/>
      <w:r w:rsidRPr="00265508">
        <w:rPr>
          <w:color w:val="000000"/>
          <w:szCs w:val="22"/>
          <w:lang w:val="sk-SK"/>
        </w:rPr>
        <w:t>cGMP</w:t>
      </w:r>
      <w:proofErr w:type="spellEnd"/>
      <w:r w:rsidRPr="00265508">
        <w:rPr>
          <w:color w:val="000000"/>
          <w:szCs w:val="22"/>
          <w:lang w:val="sk-SK"/>
        </w:rPr>
        <w:t>).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5.2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Farmakokinetické vlastnosti</w:t>
      </w:r>
    </w:p>
    <w:p w:rsidR="00E16BD1" w:rsidRPr="00265508" w:rsidRDefault="00E16BD1" w:rsidP="00E16BD1">
      <w:pPr>
        <w:numPr>
          <w:ilvl w:val="12"/>
          <w:numId w:val="0"/>
        </w:numPr>
        <w:spacing w:line="240" w:lineRule="auto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Absorpcia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sa ľahko absorbuje a maximálna plazmatická koncentrácia sa </w:t>
      </w:r>
      <w:r>
        <w:rPr>
          <w:color w:val="000000"/>
          <w:szCs w:val="22"/>
          <w:lang w:val="sk-SK"/>
        </w:rPr>
        <w:t>na</w:t>
      </w:r>
      <w:r w:rsidRPr="00265508">
        <w:rPr>
          <w:color w:val="000000"/>
          <w:szCs w:val="22"/>
          <w:lang w:val="sk-SK"/>
        </w:rPr>
        <w:t>meria 1 hodinu po perorálnom po</w:t>
      </w:r>
      <w:r>
        <w:rPr>
          <w:color w:val="000000"/>
          <w:szCs w:val="22"/>
          <w:lang w:val="sk-SK"/>
        </w:rPr>
        <w:t>daní</w:t>
      </w:r>
      <w:r w:rsidRPr="00265508">
        <w:rPr>
          <w:color w:val="000000"/>
          <w:szCs w:val="22"/>
          <w:lang w:val="sk-SK"/>
        </w:rPr>
        <w:t xml:space="preserve"> bez ohľadu na dávku a príjem potravy a pohyboval</w:t>
      </w:r>
      <w:r>
        <w:rPr>
          <w:color w:val="000000"/>
          <w:szCs w:val="22"/>
          <w:lang w:val="sk-SK"/>
        </w:rPr>
        <w:t>a</w:t>
      </w:r>
      <w:r w:rsidRPr="00265508">
        <w:rPr>
          <w:color w:val="000000"/>
          <w:szCs w:val="22"/>
          <w:lang w:val="sk-SK"/>
        </w:rPr>
        <w:t xml:space="preserve"> sa medzi 20 a 63 </w:t>
      </w:r>
      <w:proofErr w:type="spellStart"/>
      <w:r w:rsidRPr="00265508">
        <w:rPr>
          <w:color w:val="000000"/>
          <w:szCs w:val="22"/>
          <w:lang w:val="sk-SK"/>
        </w:rPr>
        <w:t>ng</w:t>
      </w:r>
      <w:proofErr w:type="spellEnd"/>
      <w:r w:rsidRPr="00265508">
        <w:rPr>
          <w:color w:val="000000"/>
          <w:szCs w:val="22"/>
          <w:lang w:val="sk-SK"/>
        </w:rPr>
        <w:t>/ml.</w:t>
      </w:r>
      <w:r>
        <w:rPr>
          <w:color w:val="000000"/>
          <w:szCs w:val="22"/>
          <w:lang w:val="sk-SK"/>
        </w:rPr>
        <w:t xml:space="preserve"> </w:t>
      </w:r>
      <w:r w:rsidRPr="00467DE8">
        <w:rPr>
          <w:color w:val="000000"/>
          <w:szCs w:val="22"/>
          <w:lang w:val="sk-SK"/>
        </w:rPr>
        <w:t xml:space="preserve">Primárnym miestom </w:t>
      </w:r>
      <w:r>
        <w:rPr>
          <w:color w:val="000000"/>
          <w:szCs w:val="22"/>
          <w:lang w:val="sk-SK"/>
        </w:rPr>
        <w:t>a</w:t>
      </w:r>
      <w:r w:rsidRPr="00467DE8">
        <w:rPr>
          <w:color w:val="000000"/>
          <w:szCs w:val="22"/>
          <w:lang w:val="sk-SK"/>
        </w:rPr>
        <w:t>bsorpcie</w:t>
      </w:r>
      <w:r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467DE8">
        <w:rPr>
          <w:color w:val="000000"/>
          <w:szCs w:val="22"/>
          <w:lang w:val="sk-SK"/>
        </w:rPr>
        <w:t xml:space="preserve"> je </w:t>
      </w:r>
      <w:proofErr w:type="spellStart"/>
      <w:r w:rsidRPr="00467DE8">
        <w:rPr>
          <w:color w:val="000000"/>
          <w:szCs w:val="22"/>
          <w:lang w:val="sk-SK"/>
        </w:rPr>
        <w:t>proximálna</w:t>
      </w:r>
      <w:proofErr w:type="spellEnd"/>
      <w:r w:rsidRPr="00467DE8">
        <w:rPr>
          <w:color w:val="000000"/>
          <w:szCs w:val="22"/>
          <w:lang w:val="sk-SK"/>
        </w:rPr>
        <w:t xml:space="preserve"> časť črevného traktu.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Biologická dostupnosť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szCs w:val="24"/>
          <w:lang w:val="sk-SK"/>
        </w:rPr>
      </w:pPr>
      <w:r w:rsidRPr="00265508">
        <w:rPr>
          <w:color w:val="000000"/>
          <w:szCs w:val="22"/>
          <w:lang w:val="sk-SK"/>
        </w:rPr>
        <w:t>Biologická dostupnosť</w:t>
      </w:r>
      <w:r w:rsidRPr="00265508">
        <w:rPr>
          <w:color w:val="000000"/>
          <w:szCs w:val="22"/>
          <w:u w:val="single"/>
          <w:lang w:val="sk-SK"/>
        </w:rPr>
        <w:t xml:space="preserve"> </w:t>
      </w:r>
      <w:proofErr w:type="spellStart"/>
      <w:r w:rsidRPr="00265508">
        <w:rPr>
          <w:szCs w:val="24"/>
          <w:lang w:val="sk-SK"/>
        </w:rPr>
        <w:t>vinpocetínu</w:t>
      </w:r>
      <w:proofErr w:type="spellEnd"/>
      <w:r w:rsidRPr="00265508">
        <w:rPr>
          <w:szCs w:val="24"/>
          <w:lang w:val="sk-SK"/>
        </w:rPr>
        <w:t xml:space="preserve"> sa ukázala ako </w:t>
      </w:r>
      <w:r w:rsidRPr="00265508">
        <w:rPr>
          <w:color w:val="000000"/>
          <w:szCs w:val="22"/>
          <w:lang w:val="sk-SK"/>
        </w:rPr>
        <w:t xml:space="preserve">vysoko variabilná </w:t>
      </w:r>
      <w:r w:rsidRPr="00265508">
        <w:rPr>
          <w:szCs w:val="24"/>
          <w:lang w:val="sk-SK"/>
        </w:rPr>
        <w:t xml:space="preserve">v </w:t>
      </w:r>
      <w:r w:rsidRPr="00265508">
        <w:rPr>
          <w:color w:val="000000"/>
          <w:szCs w:val="22"/>
          <w:lang w:val="sk-SK"/>
        </w:rPr>
        <w:t>rozsahu od 6,7</w:t>
      </w:r>
      <w:r>
        <w:rPr>
          <w:color w:val="000000"/>
          <w:szCs w:val="22"/>
          <w:lang w:val="sk-SK"/>
        </w:rPr>
        <w:t xml:space="preserve"> </w:t>
      </w:r>
      <w:r w:rsidRPr="00265508">
        <w:rPr>
          <w:color w:val="000000"/>
          <w:szCs w:val="22"/>
          <w:lang w:val="sk-SK"/>
        </w:rPr>
        <w:t>% do 57</w:t>
      </w:r>
      <w:r>
        <w:rPr>
          <w:color w:val="000000"/>
          <w:szCs w:val="22"/>
          <w:lang w:val="sk-SK"/>
        </w:rPr>
        <w:t xml:space="preserve"> % a </w:t>
      </w:r>
      <w:r w:rsidRPr="00265508">
        <w:rPr>
          <w:szCs w:val="24"/>
          <w:lang w:val="sk-SK"/>
        </w:rPr>
        <w:t>zvyšuje sa pri súčasnom príjme potravy.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Distribúcia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lastRenderedPageBreak/>
        <w:t>Vinpocetín</w:t>
      </w:r>
      <w:proofErr w:type="spellEnd"/>
      <w:r>
        <w:rPr>
          <w:color w:val="000000"/>
          <w:szCs w:val="22"/>
          <w:lang w:val="sk-SK"/>
        </w:rPr>
        <w:t xml:space="preserve"> sa vo významnej miere viaže na plazmatické bielkoviny. Distribučný objem je </w:t>
      </w:r>
      <w:r>
        <w:rPr>
          <w:color w:val="000000"/>
          <w:szCs w:val="22"/>
        </w:rPr>
        <w:t xml:space="preserve">246,7 ± 88,5 </w:t>
      </w:r>
      <w:proofErr w:type="spellStart"/>
      <w:r>
        <w:rPr>
          <w:color w:val="000000"/>
          <w:szCs w:val="22"/>
        </w:rPr>
        <w:t>litrov</w:t>
      </w:r>
      <w:proofErr w:type="spell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čo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naznačuje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vysokú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väzbu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na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tkanivá</w:t>
      </w:r>
      <w:proofErr w:type="spellEnd"/>
      <w:r>
        <w:rPr>
          <w:color w:val="000000"/>
          <w:szCs w:val="22"/>
        </w:rPr>
        <w:t xml:space="preserve">. 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ľahko prechádza </w:t>
      </w:r>
      <w:proofErr w:type="spellStart"/>
      <w:r w:rsidRPr="00265508">
        <w:rPr>
          <w:color w:val="000000"/>
          <w:szCs w:val="22"/>
          <w:lang w:val="sk-SK"/>
        </w:rPr>
        <w:t>hematoencefalickou</w:t>
      </w:r>
      <w:proofErr w:type="spellEnd"/>
      <w:r w:rsidRPr="00265508">
        <w:rPr>
          <w:color w:val="000000"/>
          <w:szCs w:val="22"/>
          <w:lang w:val="sk-SK"/>
        </w:rPr>
        <w:t xml:space="preserve"> bariérou.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Biotransformácia</w:t>
      </w:r>
    </w:p>
    <w:p w:rsidR="00E16BD1" w:rsidRDefault="00E16BD1" w:rsidP="00E16BD1">
      <w:pPr>
        <w:tabs>
          <w:tab w:val="left" w:pos="900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Vinpocetín</w:t>
      </w:r>
      <w:proofErr w:type="spellEnd"/>
      <w:r>
        <w:rPr>
          <w:lang w:val="sk-SK"/>
        </w:rPr>
        <w:t xml:space="preserve"> sa prevažne</w:t>
      </w:r>
      <w:r w:rsidRPr="00265508">
        <w:rPr>
          <w:lang w:val="sk-SK"/>
        </w:rPr>
        <w:t xml:space="preserve"> metabolizuje v pečeni. Hlavným </w:t>
      </w:r>
      <w:proofErr w:type="spellStart"/>
      <w:r w:rsidRPr="00265508">
        <w:rPr>
          <w:lang w:val="sk-SK"/>
        </w:rPr>
        <w:t>metabolitom</w:t>
      </w:r>
      <w:proofErr w:type="spellEnd"/>
      <w:r w:rsidRPr="00265508">
        <w:rPr>
          <w:lang w:val="sk-SK"/>
        </w:rPr>
        <w:t xml:space="preserve"> je kyselina </w:t>
      </w:r>
      <w:proofErr w:type="spellStart"/>
      <w:r w:rsidRPr="00265508">
        <w:rPr>
          <w:lang w:val="sk-SK"/>
        </w:rPr>
        <w:t>apovinkamínová</w:t>
      </w:r>
      <w:proofErr w:type="spellEnd"/>
      <w:r w:rsidRPr="00265508">
        <w:rPr>
          <w:lang w:val="sk-SK"/>
        </w:rPr>
        <w:t xml:space="preserve"> (AVA) produk</w:t>
      </w:r>
      <w:r>
        <w:rPr>
          <w:lang w:val="sk-SK"/>
        </w:rPr>
        <w:t>ovaná u ľudí v koncentrácii</w:t>
      </w:r>
      <w:r w:rsidRPr="00265508">
        <w:rPr>
          <w:lang w:val="sk-SK"/>
        </w:rPr>
        <w:t xml:space="preserve"> 25</w:t>
      </w:r>
      <w:r>
        <w:rPr>
          <w:lang w:val="sk-SK"/>
        </w:rPr>
        <w:t>-</w:t>
      </w:r>
      <w:r w:rsidRPr="00265508">
        <w:rPr>
          <w:lang w:val="sk-SK"/>
        </w:rPr>
        <w:t>30</w:t>
      </w:r>
      <w:r>
        <w:rPr>
          <w:lang w:val="sk-SK"/>
        </w:rPr>
        <w:t xml:space="preserve"> </w:t>
      </w:r>
      <w:r w:rsidRPr="00265508">
        <w:rPr>
          <w:lang w:val="sk-SK"/>
        </w:rPr>
        <w:t xml:space="preserve">%. Po perorálnom podaní AUC AVA </w:t>
      </w:r>
      <w:r>
        <w:rPr>
          <w:lang w:val="sk-SK"/>
        </w:rPr>
        <w:t xml:space="preserve">dosahuje dvojnásobné hodnoty ako po </w:t>
      </w:r>
      <w:proofErr w:type="spellStart"/>
      <w:r>
        <w:rPr>
          <w:lang w:val="sk-SK"/>
        </w:rPr>
        <w:t>i.v</w:t>
      </w:r>
      <w:proofErr w:type="spellEnd"/>
      <w:r>
        <w:rPr>
          <w:lang w:val="sk-SK"/>
        </w:rPr>
        <w:t>.</w:t>
      </w:r>
      <w:r w:rsidRPr="00265508">
        <w:rPr>
          <w:lang w:val="sk-SK"/>
        </w:rPr>
        <w:t xml:space="preserve"> podaní, čo naznačuje tvorbu AVA poča</w:t>
      </w:r>
      <w:r>
        <w:rPr>
          <w:lang w:val="sk-SK"/>
        </w:rPr>
        <w:t xml:space="preserve">s metabolizmu </w:t>
      </w:r>
      <w:proofErr w:type="spellStart"/>
      <w:r>
        <w:rPr>
          <w:lang w:val="sk-SK"/>
        </w:rPr>
        <w:t>vinpocetínu</w:t>
      </w:r>
      <w:proofErr w:type="spellEnd"/>
      <w:r>
        <w:rPr>
          <w:lang w:val="sk-SK"/>
        </w:rPr>
        <w:t xml:space="preserve"> po</w:t>
      </w:r>
      <w:r w:rsidRPr="00265508">
        <w:rPr>
          <w:lang w:val="sk-SK"/>
        </w:rPr>
        <w:t xml:space="preserve"> </w:t>
      </w:r>
      <w:r>
        <w:rPr>
          <w:lang w:val="sk-SK"/>
        </w:rPr>
        <w:t>prvom prechode pečeňou („</w:t>
      </w:r>
      <w:proofErr w:type="spellStart"/>
      <w:r>
        <w:rPr>
          <w:lang w:val="sk-SK"/>
        </w:rPr>
        <w:t>first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pass</w:t>
      </w:r>
      <w:proofErr w:type="spellEnd"/>
      <w:r>
        <w:rPr>
          <w:lang w:val="sk-SK"/>
        </w:rPr>
        <w:t>“)</w:t>
      </w:r>
      <w:r w:rsidRPr="00265508">
        <w:rPr>
          <w:lang w:val="sk-SK"/>
        </w:rPr>
        <w:t>. Medzi ďalšie identifiko</w:t>
      </w:r>
      <w:r>
        <w:rPr>
          <w:lang w:val="sk-SK"/>
        </w:rPr>
        <w:t xml:space="preserve">vané metabolity patria </w:t>
      </w:r>
      <w:proofErr w:type="spellStart"/>
      <w:r>
        <w:rPr>
          <w:lang w:val="sk-SK"/>
        </w:rPr>
        <w:t>hydroxyvi</w:t>
      </w:r>
      <w:r w:rsidRPr="00265508">
        <w:rPr>
          <w:lang w:val="sk-SK"/>
        </w:rPr>
        <w:t>npocetín</w:t>
      </w:r>
      <w:proofErr w:type="spellEnd"/>
      <w:r w:rsidRPr="00265508">
        <w:rPr>
          <w:lang w:val="sk-SK"/>
        </w:rPr>
        <w:t xml:space="preserve">, </w:t>
      </w:r>
      <w:proofErr w:type="spellStart"/>
      <w:r w:rsidRPr="00265508">
        <w:rPr>
          <w:lang w:val="sk-SK"/>
        </w:rPr>
        <w:t>hydroxy</w:t>
      </w:r>
      <w:proofErr w:type="spellEnd"/>
      <w:r>
        <w:rPr>
          <w:lang w:val="sk-SK"/>
        </w:rPr>
        <w:t>-</w:t>
      </w:r>
      <w:r w:rsidRPr="00265508">
        <w:rPr>
          <w:lang w:val="sk-SK"/>
        </w:rPr>
        <w:t xml:space="preserve">AVA, </w:t>
      </w:r>
      <w:proofErr w:type="spellStart"/>
      <w:r w:rsidRPr="00265508">
        <w:rPr>
          <w:lang w:val="sk-SK"/>
        </w:rPr>
        <w:t>dihydroxy</w:t>
      </w:r>
      <w:proofErr w:type="spellEnd"/>
      <w:r>
        <w:rPr>
          <w:lang w:val="sk-SK"/>
        </w:rPr>
        <w:t>–</w:t>
      </w:r>
      <w:r w:rsidRPr="00265508">
        <w:rPr>
          <w:lang w:val="sk-SK"/>
        </w:rPr>
        <w:t>AVA</w:t>
      </w:r>
      <w:r>
        <w:rPr>
          <w:lang w:val="sk-SK"/>
        </w:rPr>
        <w:t>-</w:t>
      </w:r>
      <w:proofErr w:type="spellStart"/>
      <w:r w:rsidRPr="00265508">
        <w:rPr>
          <w:lang w:val="sk-SK"/>
        </w:rPr>
        <w:t>glycinát</w:t>
      </w:r>
      <w:proofErr w:type="spellEnd"/>
      <w:r w:rsidRPr="00265508">
        <w:rPr>
          <w:lang w:val="sk-SK"/>
        </w:rPr>
        <w:t xml:space="preserve"> a </w:t>
      </w:r>
      <w:proofErr w:type="spellStart"/>
      <w:r w:rsidRPr="00265508">
        <w:rPr>
          <w:lang w:val="sk-SK"/>
        </w:rPr>
        <w:t>konjugáty</w:t>
      </w:r>
      <w:proofErr w:type="spellEnd"/>
      <w:r w:rsidRPr="00265508">
        <w:rPr>
          <w:lang w:val="sk-SK"/>
        </w:rPr>
        <w:t xml:space="preserve"> (sulfáto</w:t>
      </w:r>
      <w:r>
        <w:rPr>
          <w:lang w:val="sk-SK"/>
        </w:rPr>
        <w:t xml:space="preserve">vé alebo </w:t>
      </w:r>
      <w:proofErr w:type="spellStart"/>
      <w:r>
        <w:rPr>
          <w:lang w:val="sk-SK"/>
        </w:rPr>
        <w:t>glukuronidové</w:t>
      </w:r>
      <w:proofErr w:type="spellEnd"/>
      <w:r w:rsidRPr="00265508">
        <w:rPr>
          <w:lang w:val="sk-SK"/>
        </w:rPr>
        <w:t xml:space="preserve">) týchto metabolitov. Množstvo vylúčeného nezmeneného </w:t>
      </w:r>
      <w:proofErr w:type="spellStart"/>
      <w:r w:rsidRPr="00265508">
        <w:rPr>
          <w:lang w:val="sk-SK"/>
        </w:rPr>
        <w:t>vinpocetínu</w:t>
      </w:r>
      <w:proofErr w:type="spellEnd"/>
      <w:r w:rsidRPr="00265508">
        <w:rPr>
          <w:lang w:val="sk-SK"/>
        </w:rPr>
        <w:t xml:space="preserve"> predstavovalo iba malé percento dávky u všetkých študovaných druhov.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Eliminácia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sa eliminuje</w:t>
      </w:r>
      <w:r>
        <w:rPr>
          <w:color w:val="000000"/>
          <w:szCs w:val="22"/>
          <w:lang w:val="sk-SK"/>
        </w:rPr>
        <w:t xml:space="preserve"> </w:t>
      </w:r>
      <w:r w:rsidRPr="00265508">
        <w:rPr>
          <w:color w:val="000000"/>
          <w:szCs w:val="22"/>
          <w:lang w:val="sk-SK"/>
        </w:rPr>
        <w:t>obličkami.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Kyselina </w:t>
      </w:r>
      <w:proofErr w:type="spellStart"/>
      <w:r w:rsidRPr="00265508">
        <w:rPr>
          <w:color w:val="000000"/>
          <w:szCs w:val="22"/>
          <w:lang w:val="sk-SK"/>
        </w:rPr>
        <w:t>apovin</w:t>
      </w:r>
      <w:r>
        <w:rPr>
          <w:color w:val="000000"/>
          <w:szCs w:val="22"/>
          <w:lang w:val="sk-SK"/>
        </w:rPr>
        <w:t>k</w:t>
      </w:r>
      <w:r w:rsidRPr="00265508">
        <w:rPr>
          <w:color w:val="000000"/>
          <w:szCs w:val="22"/>
          <w:lang w:val="sk-SK"/>
        </w:rPr>
        <w:t>am</w:t>
      </w:r>
      <w:r>
        <w:rPr>
          <w:color w:val="000000"/>
          <w:szCs w:val="22"/>
          <w:lang w:val="sk-SK"/>
        </w:rPr>
        <w:t>í</w:t>
      </w:r>
      <w:r w:rsidRPr="00265508">
        <w:rPr>
          <w:color w:val="000000"/>
          <w:szCs w:val="22"/>
          <w:lang w:val="sk-SK"/>
        </w:rPr>
        <w:t>nová</w:t>
      </w:r>
      <w:proofErr w:type="spellEnd"/>
      <w:r w:rsidRPr="00265508">
        <w:rPr>
          <w:color w:val="000000"/>
          <w:szCs w:val="22"/>
          <w:lang w:val="sk-SK"/>
        </w:rPr>
        <w:t xml:space="preserve"> sa vylučuje obličk</w:t>
      </w:r>
      <w:r>
        <w:rPr>
          <w:color w:val="000000"/>
          <w:szCs w:val="22"/>
          <w:lang w:val="sk-SK"/>
        </w:rPr>
        <w:t>ami</w:t>
      </w:r>
      <w:r w:rsidRPr="00265508">
        <w:rPr>
          <w:color w:val="000000"/>
          <w:szCs w:val="22"/>
          <w:lang w:val="sk-SK"/>
        </w:rPr>
        <w:t xml:space="preserve"> jednod</w:t>
      </w:r>
      <w:r>
        <w:rPr>
          <w:color w:val="000000"/>
          <w:szCs w:val="22"/>
          <w:lang w:val="sk-SK"/>
        </w:rPr>
        <w:t xml:space="preserve">uchou </w:t>
      </w:r>
      <w:proofErr w:type="spellStart"/>
      <w:r>
        <w:rPr>
          <w:color w:val="000000"/>
          <w:szCs w:val="22"/>
          <w:lang w:val="sk-SK"/>
        </w:rPr>
        <w:t>glomerulárnou</w:t>
      </w:r>
      <w:proofErr w:type="spellEnd"/>
      <w:r>
        <w:rPr>
          <w:color w:val="000000"/>
          <w:szCs w:val="22"/>
          <w:lang w:val="sk-SK"/>
        </w:rPr>
        <w:t xml:space="preserve"> filtráciou; jej</w:t>
      </w:r>
      <w:r w:rsidRPr="00265508">
        <w:rPr>
          <w:color w:val="000000"/>
          <w:szCs w:val="22"/>
          <w:lang w:val="sk-SK"/>
        </w:rPr>
        <w:t xml:space="preserve"> eliminačný polčas sa líši v</w:t>
      </w:r>
      <w:r>
        <w:rPr>
          <w:color w:val="000000"/>
          <w:szCs w:val="22"/>
          <w:lang w:val="sk-SK"/>
        </w:rPr>
        <w:t xml:space="preserve"> závislosti od dávky</w:t>
      </w:r>
      <w:r w:rsidRPr="00265508">
        <w:rPr>
          <w:color w:val="000000"/>
          <w:szCs w:val="22"/>
          <w:lang w:val="sk-SK"/>
        </w:rPr>
        <w:t xml:space="preserve"> a </w:t>
      </w:r>
      <w:r>
        <w:rPr>
          <w:color w:val="000000"/>
          <w:szCs w:val="22"/>
          <w:lang w:val="sk-SK"/>
        </w:rPr>
        <w:t>cesty</w:t>
      </w:r>
      <w:r w:rsidRPr="00265508">
        <w:rPr>
          <w:color w:val="000000"/>
          <w:szCs w:val="22"/>
          <w:lang w:val="sk-SK"/>
        </w:rPr>
        <w:t xml:space="preserve"> podania</w:t>
      </w:r>
      <w:r>
        <w:rPr>
          <w:color w:val="000000"/>
          <w:szCs w:val="22"/>
          <w:lang w:val="sk-SK"/>
        </w:rPr>
        <w:t xml:space="preserve"> </w:t>
      </w:r>
      <w:proofErr w:type="spellStart"/>
      <w:r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Eliminačný polčas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 xml:space="preserve"> je 1,51 ± 0,4 h a eliminačný polčas kyseliny </w:t>
      </w:r>
      <w:proofErr w:type="spellStart"/>
      <w:r w:rsidRPr="00265508">
        <w:rPr>
          <w:color w:val="000000"/>
          <w:szCs w:val="22"/>
          <w:lang w:val="sk-SK"/>
        </w:rPr>
        <w:t>apovin</w:t>
      </w:r>
      <w:r>
        <w:rPr>
          <w:color w:val="000000"/>
          <w:szCs w:val="22"/>
          <w:lang w:val="sk-SK"/>
        </w:rPr>
        <w:t>k</w:t>
      </w:r>
      <w:r w:rsidRPr="00265508">
        <w:rPr>
          <w:color w:val="000000"/>
          <w:szCs w:val="22"/>
          <w:lang w:val="sk-SK"/>
        </w:rPr>
        <w:t>am</w:t>
      </w:r>
      <w:r>
        <w:rPr>
          <w:color w:val="000000"/>
          <w:szCs w:val="22"/>
          <w:lang w:val="sk-SK"/>
        </w:rPr>
        <w:t>í</w:t>
      </w:r>
      <w:r w:rsidRPr="00265508">
        <w:rPr>
          <w:color w:val="000000"/>
          <w:szCs w:val="22"/>
          <w:lang w:val="sk-SK"/>
        </w:rPr>
        <w:t>novej</w:t>
      </w:r>
      <w:proofErr w:type="spellEnd"/>
      <w:r w:rsidRPr="00265508">
        <w:rPr>
          <w:color w:val="000000"/>
          <w:szCs w:val="22"/>
          <w:lang w:val="sk-SK"/>
        </w:rPr>
        <w:t xml:space="preserve"> je 3,81 ± 1,19 h po perorálnom podaní.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Celkový plazmatický klírens (CL) a distribučný koeficient</w:t>
      </w:r>
      <w:r>
        <w:rPr>
          <w:color w:val="000000"/>
          <w:szCs w:val="22"/>
          <w:lang w:val="sk-SK"/>
        </w:rPr>
        <w:t xml:space="preserve"> pôvodného liečiva predstavuje </w:t>
      </w:r>
      <w:r w:rsidRPr="00265508">
        <w:rPr>
          <w:color w:val="000000"/>
          <w:szCs w:val="22"/>
          <w:lang w:val="sk-SK"/>
        </w:rPr>
        <w:t xml:space="preserve">2,2 </w:t>
      </w:r>
      <w:r>
        <w:rPr>
          <w:color w:val="000000"/>
          <w:szCs w:val="22"/>
          <w:lang w:val="sk-SK"/>
        </w:rPr>
        <w:t xml:space="preserve">± 0,9 l/kg/h a 6,7 ± 3,7 l/kg. </w:t>
      </w:r>
      <w:r w:rsidRPr="00265508">
        <w:rPr>
          <w:color w:val="000000"/>
          <w:szCs w:val="22"/>
          <w:lang w:val="sk-SK"/>
        </w:rPr>
        <w:t xml:space="preserve"> 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u w:val="single"/>
          <w:lang w:val="sk-SK"/>
        </w:rPr>
      </w:pPr>
      <w:proofErr w:type="spellStart"/>
      <w:r w:rsidRPr="00265508">
        <w:rPr>
          <w:color w:val="000000"/>
          <w:szCs w:val="22"/>
          <w:u w:val="single"/>
          <w:lang w:val="sk-SK"/>
        </w:rPr>
        <w:t>Linearita</w:t>
      </w:r>
      <w:proofErr w:type="spellEnd"/>
      <w:r w:rsidRPr="00265508">
        <w:rPr>
          <w:color w:val="000000"/>
          <w:szCs w:val="22"/>
          <w:u w:val="single"/>
          <w:lang w:val="sk-SK"/>
        </w:rPr>
        <w:t>/</w:t>
      </w:r>
      <w:proofErr w:type="spellStart"/>
      <w:r w:rsidRPr="00265508">
        <w:rPr>
          <w:color w:val="000000"/>
          <w:szCs w:val="22"/>
          <w:u w:val="single"/>
          <w:lang w:val="sk-SK"/>
        </w:rPr>
        <w:t>nelinearita</w:t>
      </w:r>
      <w:proofErr w:type="spellEnd"/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P</w:t>
      </w:r>
      <w:r>
        <w:rPr>
          <w:color w:val="000000"/>
          <w:szCs w:val="22"/>
          <w:lang w:val="sk-SK"/>
        </w:rPr>
        <w:t>o</w:t>
      </w:r>
      <w:r w:rsidRPr="00265508">
        <w:rPr>
          <w:color w:val="000000"/>
          <w:szCs w:val="22"/>
          <w:lang w:val="sk-SK"/>
        </w:rPr>
        <w:t xml:space="preserve"> opakovaných perorálnych dávkach 5 mg a 10 mg </w:t>
      </w:r>
      <w:proofErr w:type="spellStart"/>
      <w:r w:rsidRPr="00265508">
        <w:rPr>
          <w:color w:val="000000"/>
          <w:szCs w:val="22"/>
          <w:lang w:val="sk-SK"/>
        </w:rPr>
        <w:t>vinpocetínu</w:t>
      </w:r>
      <w:proofErr w:type="spellEnd"/>
      <w:r w:rsidRPr="00265508">
        <w:rPr>
          <w:color w:val="000000"/>
          <w:szCs w:val="22"/>
          <w:lang w:val="sk-SK"/>
        </w:rPr>
        <w:t xml:space="preserve"> bola pozorovaná lineárna kinetika. </w:t>
      </w: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sa nehromadí ani nespôsobuje </w:t>
      </w:r>
      <w:proofErr w:type="spellStart"/>
      <w:r w:rsidRPr="00265508">
        <w:rPr>
          <w:color w:val="000000"/>
          <w:szCs w:val="22"/>
          <w:lang w:val="sk-SK"/>
        </w:rPr>
        <w:t>autoindukci</w:t>
      </w:r>
      <w:r w:rsidRPr="00CD6196">
        <w:rPr>
          <w:color w:val="000000"/>
          <w:szCs w:val="22"/>
          <w:lang w:val="sk-SK"/>
        </w:rPr>
        <w:t>u</w:t>
      </w:r>
      <w:proofErr w:type="spellEnd"/>
      <w:r w:rsidRPr="00CD6196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i/>
          <w:color w:val="000000"/>
          <w:szCs w:val="22"/>
          <w:lang w:val="sk-SK"/>
        </w:rPr>
      </w:pPr>
      <w:r w:rsidRPr="00265508">
        <w:rPr>
          <w:i/>
          <w:color w:val="000000"/>
          <w:szCs w:val="22"/>
          <w:lang w:val="sk-SK"/>
        </w:rPr>
        <w:t>Osobitn</w:t>
      </w:r>
      <w:r>
        <w:rPr>
          <w:i/>
          <w:color w:val="000000"/>
          <w:szCs w:val="22"/>
          <w:lang w:val="sk-SK"/>
        </w:rPr>
        <w:t>é</w:t>
      </w:r>
      <w:r w:rsidRPr="00265508">
        <w:rPr>
          <w:i/>
          <w:color w:val="000000"/>
          <w:szCs w:val="22"/>
          <w:lang w:val="sk-SK"/>
        </w:rPr>
        <w:t xml:space="preserve"> </w:t>
      </w:r>
      <w:r>
        <w:rPr>
          <w:i/>
          <w:color w:val="000000"/>
          <w:szCs w:val="22"/>
          <w:lang w:val="sk-SK"/>
        </w:rPr>
        <w:t>skupiny pacientov</w:t>
      </w:r>
    </w:p>
    <w:p w:rsidR="00E16BD1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u w:val="single"/>
          <w:lang w:val="sk-SK"/>
        </w:rPr>
      </w:pPr>
      <w:r w:rsidRPr="00265508">
        <w:rPr>
          <w:color w:val="000000"/>
          <w:szCs w:val="22"/>
          <w:u w:val="single"/>
          <w:lang w:val="sk-SK"/>
        </w:rPr>
        <w:t>Starš</w:t>
      </w:r>
      <w:r>
        <w:rPr>
          <w:color w:val="000000"/>
          <w:szCs w:val="22"/>
          <w:u w:val="single"/>
          <w:lang w:val="sk-SK"/>
        </w:rPr>
        <w:t>í</w:t>
      </w:r>
      <w:r w:rsidRPr="00265508">
        <w:rPr>
          <w:color w:val="000000"/>
          <w:szCs w:val="22"/>
          <w:u w:val="single"/>
          <w:lang w:val="sk-SK"/>
        </w:rPr>
        <w:t xml:space="preserve"> </w:t>
      </w:r>
      <w:r>
        <w:rPr>
          <w:color w:val="000000"/>
          <w:szCs w:val="22"/>
          <w:u w:val="single"/>
          <w:lang w:val="sk-SK"/>
        </w:rPr>
        <w:t>pacienti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szCs w:val="24"/>
          <w:lang w:val="sk-SK"/>
        </w:rPr>
      </w:pPr>
      <w:r w:rsidRPr="00265508">
        <w:rPr>
          <w:szCs w:val="24"/>
          <w:lang w:val="sk-SK"/>
        </w:rPr>
        <w:t xml:space="preserve">U starších pacientov boli pozorované nižšie plazmatické koncentrácie </w:t>
      </w:r>
      <w:proofErr w:type="spellStart"/>
      <w:r w:rsidRPr="00265508">
        <w:rPr>
          <w:szCs w:val="24"/>
          <w:lang w:val="sk-SK"/>
        </w:rPr>
        <w:t>vinpocetínu</w:t>
      </w:r>
      <w:proofErr w:type="spellEnd"/>
      <w:r w:rsidRPr="00265508">
        <w:rPr>
          <w:szCs w:val="24"/>
          <w:lang w:val="sk-SK"/>
        </w:rPr>
        <w:t xml:space="preserve"> spolu so znížením rýchlosti eliminácie a plazmatického </w:t>
      </w:r>
      <w:proofErr w:type="spellStart"/>
      <w:r w:rsidRPr="00265508">
        <w:rPr>
          <w:szCs w:val="24"/>
          <w:lang w:val="sk-SK"/>
        </w:rPr>
        <w:t>klírensu</w:t>
      </w:r>
      <w:proofErr w:type="spellEnd"/>
      <w:r w:rsidRPr="00265508">
        <w:rPr>
          <w:szCs w:val="24"/>
          <w:lang w:val="sk-SK"/>
        </w:rPr>
        <w:t xml:space="preserve"> AVA, s následným dlhším eliminačným polčasom. V literatúre nie je</w:t>
      </w:r>
      <w:r>
        <w:rPr>
          <w:szCs w:val="24"/>
          <w:lang w:val="sk-SK"/>
        </w:rPr>
        <w:t xml:space="preserve"> publikovaná</w:t>
      </w:r>
      <w:r w:rsidRPr="00265508">
        <w:rPr>
          <w:szCs w:val="24"/>
          <w:lang w:val="sk-SK"/>
        </w:rPr>
        <w:t xml:space="preserve"> žiadna štúdia, ktorá by preukázala </w:t>
      </w:r>
      <w:proofErr w:type="spellStart"/>
      <w:r w:rsidRPr="00265508">
        <w:rPr>
          <w:szCs w:val="24"/>
          <w:lang w:val="sk-SK"/>
        </w:rPr>
        <w:t>farmakokinetiku</w:t>
      </w:r>
      <w:proofErr w:type="spellEnd"/>
      <w:r w:rsidRPr="00265508">
        <w:rPr>
          <w:szCs w:val="24"/>
          <w:lang w:val="sk-SK"/>
        </w:rPr>
        <w:t xml:space="preserve"> </w:t>
      </w:r>
      <w:proofErr w:type="spellStart"/>
      <w:r w:rsidRPr="00265508">
        <w:rPr>
          <w:szCs w:val="24"/>
          <w:lang w:val="sk-SK"/>
        </w:rPr>
        <w:t>vinpocetínu</w:t>
      </w:r>
      <w:proofErr w:type="spellEnd"/>
      <w:r>
        <w:rPr>
          <w:szCs w:val="24"/>
          <w:lang w:val="sk-SK"/>
        </w:rPr>
        <w:t xml:space="preserve"> po perorálnom podaní</w:t>
      </w:r>
      <w:r w:rsidRPr="00265508">
        <w:rPr>
          <w:szCs w:val="24"/>
          <w:lang w:val="sk-SK"/>
        </w:rPr>
        <w:t xml:space="preserve"> u starších osôb s</w:t>
      </w:r>
      <w:r>
        <w:rPr>
          <w:szCs w:val="24"/>
          <w:lang w:val="sk-SK"/>
        </w:rPr>
        <w:t> </w:t>
      </w:r>
      <w:r w:rsidRPr="00265508">
        <w:rPr>
          <w:szCs w:val="24"/>
          <w:lang w:val="sk-SK"/>
        </w:rPr>
        <w:t>po</w:t>
      </w:r>
      <w:r>
        <w:rPr>
          <w:szCs w:val="24"/>
          <w:lang w:val="sk-SK"/>
        </w:rPr>
        <w:t>ruchou funkcie</w:t>
      </w:r>
      <w:r w:rsidRPr="00265508">
        <w:rPr>
          <w:szCs w:val="24"/>
          <w:lang w:val="sk-SK"/>
        </w:rPr>
        <w:t xml:space="preserve"> pečene.</w:t>
      </w:r>
    </w:p>
    <w:p w:rsidR="00E16BD1" w:rsidRPr="00265508" w:rsidRDefault="00E16BD1" w:rsidP="00E16BD1">
      <w:pPr>
        <w:tabs>
          <w:tab w:val="left" w:pos="900"/>
        </w:tabs>
        <w:spacing w:line="240" w:lineRule="auto"/>
        <w:rPr>
          <w:szCs w:val="24"/>
          <w:lang w:val="sk-SK"/>
        </w:rPr>
      </w:pPr>
    </w:p>
    <w:p w:rsidR="00E16BD1" w:rsidRPr="00D76D22" w:rsidRDefault="00E16BD1" w:rsidP="00E16BD1">
      <w:pPr>
        <w:tabs>
          <w:tab w:val="left" w:pos="900"/>
        </w:tabs>
        <w:spacing w:line="240" w:lineRule="auto"/>
        <w:rPr>
          <w:iCs/>
          <w:color w:val="000000"/>
          <w:szCs w:val="22"/>
          <w:u w:val="single"/>
          <w:lang w:val="sk-SK"/>
        </w:rPr>
      </w:pPr>
      <w:r w:rsidRPr="00D76D22">
        <w:rPr>
          <w:iCs/>
          <w:color w:val="000000"/>
          <w:szCs w:val="22"/>
          <w:u w:val="single"/>
          <w:lang w:val="sk-SK"/>
        </w:rPr>
        <w:t>Pacienti s</w:t>
      </w:r>
      <w:r>
        <w:rPr>
          <w:iCs/>
          <w:color w:val="000000"/>
          <w:szCs w:val="22"/>
          <w:u w:val="single"/>
          <w:lang w:val="sk-SK"/>
        </w:rPr>
        <w:t> </w:t>
      </w:r>
      <w:r w:rsidRPr="00D76D22">
        <w:rPr>
          <w:iCs/>
          <w:color w:val="000000"/>
          <w:szCs w:val="22"/>
          <w:u w:val="single"/>
          <w:lang w:val="sk-SK"/>
        </w:rPr>
        <w:t>po</w:t>
      </w:r>
      <w:r>
        <w:rPr>
          <w:iCs/>
          <w:color w:val="000000"/>
          <w:szCs w:val="22"/>
          <w:u w:val="single"/>
          <w:lang w:val="sk-SK"/>
        </w:rPr>
        <w:t>ruchou funkcie</w:t>
      </w:r>
      <w:r w:rsidRPr="00D76D22">
        <w:rPr>
          <w:iCs/>
          <w:color w:val="000000"/>
          <w:szCs w:val="22"/>
          <w:u w:val="single"/>
          <w:lang w:val="sk-SK"/>
        </w:rPr>
        <w:t xml:space="preserve"> obličiek a/alebo pečene</w:t>
      </w:r>
    </w:p>
    <w:p w:rsidR="00E16BD1" w:rsidRPr="00265508" w:rsidRDefault="00E16BD1" w:rsidP="00E16BD1">
      <w:pPr>
        <w:spacing w:line="240" w:lineRule="auto"/>
        <w:rPr>
          <w:bCs/>
          <w:szCs w:val="24"/>
          <w:lang w:val="sk-SK"/>
        </w:rPr>
      </w:pPr>
      <w:r w:rsidRPr="00265508">
        <w:rPr>
          <w:bCs/>
          <w:szCs w:val="24"/>
          <w:lang w:val="sk-SK"/>
        </w:rPr>
        <w:t>Miern</w:t>
      </w:r>
      <w:r>
        <w:rPr>
          <w:bCs/>
          <w:szCs w:val="24"/>
          <w:lang w:val="sk-SK"/>
        </w:rPr>
        <w:t>a</w:t>
      </w:r>
      <w:r w:rsidRPr="00265508">
        <w:rPr>
          <w:bCs/>
          <w:szCs w:val="24"/>
          <w:lang w:val="sk-SK"/>
        </w:rPr>
        <w:t xml:space="preserve"> po</w:t>
      </w:r>
      <w:r>
        <w:rPr>
          <w:bCs/>
          <w:szCs w:val="24"/>
          <w:lang w:val="sk-SK"/>
        </w:rPr>
        <w:t>rucha funkcie</w:t>
      </w:r>
      <w:r w:rsidRPr="00265508">
        <w:rPr>
          <w:bCs/>
          <w:szCs w:val="24"/>
          <w:lang w:val="sk-SK"/>
        </w:rPr>
        <w:t xml:space="preserve"> pečene spôsobuje významné rozdiely vo väzbe na plazm</w:t>
      </w:r>
      <w:r>
        <w:rPr>
          <w:bCs/>
          <w:szCs w:val="24"/>
          <w:lang w:val="sk-SK"/>
        </w:rPr>
        <w:t>atické bielkoviny</w:t>
      </w:r>
      <w:r w:rsidRPr="00265508">
        <w:rPr>
          <w:bCs/>
          <w:szCs w:val="24"/>
          <w:lang w:val="sk-SK"/>
        </w:rPr>
        <w:t>, eliminačnom polčase a z</w:t>
      </w:r>
      <w:r>
        <w:rPr>
          <w:bCs/>
          <w:szCs w:val="24"/>
          <w:lang w:val="sk-SK"/>
        </w:rPr>
        <w:t>danlivom</w:t>
      </w:r>
      <w:r w:rsidRPr="00265508">
        <w:rPr>
          <w:bCs/>
          <w:szCs w:val="24"/>
          <w:lang w:val="sk-SK"/>
        </w:rPr>
        <w:t xml:space="preserve"> distribučnom objeme </w:t>
      </w:r>
      <w:proofErr w:type="spellStart"/>
      <w:r w:rsidRPr="00265508">
        <w:rPr>
          <w:bCs/>
          <w:szCs w:val="24"/>
          <w:lang w:val="sk-SK"/>
        </w:rPr>
        <w:t>vinpocetínu</w:t>
      </w:r>
      <w:proofErr w:type="spellEnd"/>
      <w:r w:rsidRPr="00265508">
        <w:rPr>
          <w:bCs/>
          <w:szCs w:val="24"/>
          <w:lang w:val="sk-SK"/>
        </w:rPr>
        <w:t xml:space="preserve">, ale neovplyvňuje plazmatický klírens ani plochu pod krivkou (AUC). Pretože </w:t>
      </w:r>
      <w:r>
        <w:rPr>
          <w:bCs/>
          <w:szCs w:val="24"/>
          <w:lang w:val="sk-SK"/>
        </w:rPr>
        <w:t xml:space="preserve">sa </w:t>
      </w:r>
      <w:r w:rsidRPr="00265508">
        <w:rPr>
          <w:bCs/>
          <w:szCs w:val="24"/>
          <w:lang w:val="sk-SK"/>
        </w:rPr>
        <w:t>klírens ne</w:t>
      </w:r>
      <w:r>
        <w:rPr>
          <w:bCs/>
          <w:szCs w:val="24"/>
          <w:lang w:val="sk-SK"/>
        </w:rPr>
        <w:t>mení</w:t>
      </w:r>
      <w:r w:rsidRPr="00265508">
        <w:rPr>
          <w:bCs/>
          <w:szCs w:val="24"/>
          <w:lang w:val="sk-SK"/>
        </w:rPr>
        <w:t xml:space="preserve"> a distribučný objem (</w:t>
      </w:r>
      <w:proofErr w:type="spellStart"/>
      <w:r w:rsidRPr="00265508">
        <w:rPr>
          <w:bCs/>
          <w:szCs w:val="24"/>
          <w:lang w:val="sk-SK"/>
        </w:rPr>
        <w:t>Vd</w:t>
      </w:r>
      <w:proofErr w:type="spellEnd"/>
      <w:r w:rsidRPr="00265508">
        <w:rPr>
          <w:bCs/>
          <w:szCs w:val="24"/>
          <w:lang w:val="sk-SK"/>
        </w:rPr>
        <w:t>) sa takmer zdvojnáso</w:t>
      </w:r>
      <w:r>
        <w:rPr>
          <w:bCs/>
          <w:szCs w:val="24"/>
          <w:lang w:val="sk-SK"/>
        </w:rPr>
        <w:t>buje</w:t>
      </w:r>
      <w:r w:rsidRPr="00265508">
        <w:rPr>
          <w:bCs/>
          <w:szCs w:val="24"/>
          <w:lang w:val="sk-SK"/>
        </w:rPr>
        <w:t xml:space="preserve">, eliminačný polčas sa významne zvýši, </w:t>
      </w:r>
      <w:r>
        <w:rPr>
          <w:bCs/>
          <w:szCs w:val="24"/>
          <w:lang w:val="sk-SK"/>
        </w:rPr>
        <w:t>ak</w:t>
      </w:r>
      <w:r w:rsidRPr="00265508">
        <w:rPr>
          <w:bCs/>
          <w:szCs w:val="24"/>
          <w:lang w:val="sk-SK"/>
        </w:rPr>
        <w:t xml:space="preserve"> sa zhorš</w:t>
      </w:r>
      <w:r>
        <w:rPr>
          <w:bCs/>
          <w:szCs w:val="24"/>
          <w:lang w:val="sk-SK"/>
        </w:rPr>
        <w:t>í</w:t>
      </w:r>
      <w:r w:rsidRPr="00265508">
        <w:rPr>
          <w:bCs/>
          <w:szCs w:val="24"/>
          <w:lang w:val="sk-SK"/>
        </w:rPr>
        <w:t xml:space="preserve"> funkcia pečene.</w:t>
      </w: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5.3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Predklinické údaje o bezpečnosti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lang w:val="sk-SK"/>
        </w:rPr>
        <w:t>T</w:t>
      </w:r>
      <w:r w:rsidRPr="00265508">
        <w:rPr>
          <w:color w:val="000000"/>
          <w:szCs w:val="22"/>
          <w:u w:val="single"/>
          <w:lang w:val="sk-SK"/>
        </w:rPr>
        <w:t>oxikológ</w:t>
      </w:r>
      <w:r>
        <w:rPr>
          <w:color w:val="000000"/>
          <w:szCs w:val="22"/>
          <w:u w:val="single"/>
          <w:lang w:val="sk-SK"/>
        </w:rPr>
        <w:t>i</w:t>
      </w:r>
      <w:r w:rsidRPr="00265508">
        <w:rPr>
          <w:color w:val="000000"/>
          <w:szCs w:val="22"/>
          <w:u w:val="single"/>
          <w:lang w:val="sk-SK"/>
        </w:rPr>
        <w:t>a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  <w:r w:rsidRPr="00265508">
        <w:rPr>
          <w:i/>
          <w:color w:val="000000"/>
          <w:szCs w:val="22"/>
          <w:lang w:val="sk-SK"/>
        </w:rPr>
        <w:t>Akútna toxicita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Hodnoty akútnej toxicity (LD</w:t>
      </w:r>
      <w:r w:rsidRPr="004B51F0">
        <w:rPr>
          <w:color w:val="000000"/>
          <w:szCs w:val="22"/>
          <w:vertAlign w:val="subscript"/>
          <w:lang w:val="sk-SK"/>
        </w:rPr>
        <w:t>50</w:t>
      </w:r>
      <w:r>
        <w:rPr>
          <w:color w:val="000000"/>
          <w:szCs w:val="22"/>
          <w:lang w:val="sk-SK"/>
        </w:rPr>
        <w:t xml:space="preserve">)  </w:t>
      </w:r>
      <w:proofErr w:type="spellStart"/>
      <w:r>
        <w:rPr>
          <w:color w:val="000000"/>
          <w:szCs w:val="22"/>
          <w:lang w:val="sk-SK"/>
        </w:rPr>
        <w:t>vinpocetínu</w:t>
      </w:r>
      <w:proofErr w:type="spellEnd"/>
      <w:r>
        <w:rPr>
          <w:color w:val="000000"/>
          <w:szCs w:val="22"/>
          <w:lang w:val="sk-SK"/>
        </w:rPr>
        <w:t xml:space="preserve"> boli podobné pre myši a potkany. Perorálne hodnoty LD</w:t>
      </w:r>
      <w:r w:rsidRPr="004B51F0">
        <w:rPr>
          <w:color w:val="000000"/>
          <w:szCs w:val="22"/>
          <w:vertAlign w:val="subscript"/>
          <w:lang w:val="sk-SK"/>
        </w:rPr>
        <w:t>50</w:t>
      </w:r>
      <w:r>
        <w:rPr>
          <w:color w:val="000000"/>
          <w:szCs w:val="22"/>
          <w:lang w:val="sk-SK"/>
        </w:rPr>
        <w:t xml:space="preserve"> boli 534 mg/kg telesnej hmotnosti pre myši, 503 mg/kg telesnej hmotnosti pre potkany. Príčina smrti bola vyšetrovaná a zistilo sa, že išlo o </w:t>
      </w:r>
      <w:proofErr w:type="spellStart"/>
      <w:r>
        <w:rPr>
          <w:color w:val="000000"/>
          <w:szCs w:val="22"/>
          <w:lang w:val="sk-SK"/>
        </w:rPr>
        <w:t>ataxiu</w:t>
      </w:r>
      <w:proofErr w:type="spellEnd"/>
      <w:r>
        <w:rPr>
          <w:color w:val="000000"/>
          <w:szCs w:val="22"/>
          <w:lang w:val="sk-SK"/>
        </w:rPr>
        <w:t xml:space="preserve"> a záchvaty. Neboli zaznamenané žiadne špecifické rozdiely medzi pohlaviami. 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  <w:proofErr w:type="spellStart"/>
      <w:r w:rsidRPr="00265508">
        <w:rPr>
          <w:i/>
          <w:color w:val="000000"/>
          <w:szCs w:val="22"/>
          <w:lang w:val="sk-SK"/>
        </w:rPr>
        <w:t>Subakútna</w:t>
      </w:r>
      <w:proofErr w:type="spellEnd"/>
      <w:r w:rsidRPr="00265508">
        <w:rPr>
          <w:i/>
          <w:color w:val="000000"/>
          <w:szCs w:val="22"/>
          <w:lang w:val="sk-SK"/>
        </w:rPr>
        <w:t xml:space="preserve"> toxicita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lastRenderedPageBreak/>
        <w:t xml:space="preserve">Keď sa samcom potkanov podával </w:t>
      </w:r>
      <w:proofErr w:type="spellStart"/>
      <w:r>
        <w:rPr>
          <w:color w:val="000000"/>
          <w:szCs w:val="22"/>
          <w:lang w:val="sk-SK"/>
        </w:rPr>
        <w:t>vinpocetín</w:t>
      </w:r>
      <w:proofErr w:type="spellEnd"/>
      <w:r>
        <w:rPr>
          <w:color w:val="000000"/>
          <w:szCs w:val="22"/>
          <w:lang w:val="sk-SK"/>
        </w:rPr>
        <w:t xml:space="preserve"> perorálne v dávke 25 alebo 100 mg/kg telesnej hmotnosti počas obdobia štyroch týždňov, nezaznamenali sa žiadne úmrtia, ani zmeny v prírastku telesnej hmotnosti. Pri vyššej dávke bolo pozorované zvýšené slinenie a zvýšenie hmotnosti pečene a štítnej žľazy. U potkanov kmeňa </w:t>
      </w:r>
      <w:proofErr w:type="spellStart"/>
      <w:r>
        <w:rPr>
          <w:color w:val="000000"/>
          <w:szCs w:val="22"/>
          <w:lang w:val="sk-SK"/>
        </w:rPr>
        <w:t>Sprague-Dawley</w:t>
      </w:r>
      <w:proofErr w:type="spellEnd"/>
      <w:r>
        <w:rPr>
          <w:color w:val="000000"/>
          <w:szCs w:val="22"/>
          <w:lang w:val="sk-SK"/>
        </w:rPr>
        <w:t xml:space="preserve">, ktorým sa perorálne podával </w:t>
      </w:r>
      <w:proofErr w:type="spellStart"/>
      <w:r>
        <w:rPr>
          <w:color w:val="000000"/>
          <w:szCs w:val="22"/>
          <w:lang w:val="sk-SK"/>
        </w:rPr>
        <w:t>vinpocetín</w:t>
      </w:r>
      <w:proofErr w:type="spellEnd"/>
      <w:r>
        <w:rPr>
          <w:color w:val="000000"/>
          <w:szCs w:val="22"/>
          <w:lang w:val="sk-SK"/>
        </w:rPr>
        <w:t xml:space="preserve"> v dávke 3,10 alebo 30 mg/kg telesnej hmotnosti počas piatich dní sa priemerný </w:t>
      </w:r>
      <w:proofErr w:type="spellStart"/>
      <w:r>
        <w:rPr>
          <w:color w:val="000000"/>
          <w:szCs w:val="22"/>
          <w:lang w:val="sk-SK"/>
        </w:rPr>
        <w:t>artériovy</w:t>
      </w:r>
      <w:proofErr w:type="spellEnd"/>
      <w:r>
        <w:rPr>
          <w:color w:val="000000"/>
          <w:szCs w:val="22"/>
          <w:lang w:val="sk-SK"/>
        </w:rPr>
        <w:t xml:space="preserve"> tlak nezmenil, ale pri vysokej dávke sa zvýšil srdcový výdaj. Ďalej bol po podaní nízkej a vysokej dávky zaznamenaný znížený prietok krvi v prieduškách a zvýšený prietok krvi v </w:t>
      </w:r>
      <w:proofErr w:type="spellStart"/>
      <w:r>
        <w:rPr>
          <w:color w:val="000000"/>
          <w:szCs w:val="22"/>
          <w:lang w:val="sk-SK"/>
        </w:rPr>
        <w:t>splanchnickej</w:t>
      </w:r>
      <w:proofErr w:type="spellEnd"/>
      <w:r>
        <w:rPr>
          <w:color w:val="000000"/>
          <w:szCs w:val="22"/>
          <w:lang w:val="sk-SK"/>
        </w:rPr>
        <w:t xml:space="preserve"> oblasti. U potkanov, ktorým sa perorálne podával </w:t>
      </w:r>
      <w:proofErr w:type="spellStart"/>
      <w:r>
        <w:rPr>
          <w:color w:val="000000"/>
          <w:szCs w:val="22"/>
          <w:lang w:val="sk-SK"/>
        </w:rPr>
        <w:t>vinpocetín</w:t>
      </w:r>
      <w:proofErr w:type="spellEnd"/>
      <w:r>
        <w:rPr>
          <w:color w:val="000000"/>
          <w:szCs w:val="22"/>
          <w:lang w:val="sk-SK"/>
        </w:rPr>
        <w:t xml:space="preserve"> počas piatich týždňov boli pozorované účinky </w:t>
      </w:r>
      <w:r w:rsidRPr="00CF3560">
        <w:rPr>
          <w:color w:val="000000"/>
          <w:szCs w:val="22"/>
          <w:lang w:val="sk-SK"/>
        </w:rPr>
        <w:t xml:space="preserve">zahrňujúce </w:t>
      </w:r>
      <w:r w:rsidRPr="00C40B31">
        <w:rPr>
          <w:color w:val="000000"/>
          <w:szCs w:val="22"/>
          <w:lang w:val="sk-SK"/>
        </w:rPr>
        <w:t>príjem tekutín,</w:t>
      </w:r>
      <w:r>
        <w:rPr>
          <w:color w:val="000000"/>
          <w:szCs w:val="22"/>
          <w:lang w:val="sk-SK"/>
        </w:rPr>
        <w:t xml:space="preserve"> zvýšený objem moču, úbytok alebo zníženie hmotnosti. </w:t>
      </w:r>
    </w:p>
    <w:p w:rsidR="00E16BD1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  <w:r w:rsidRPr="00265508">
        <w:rPr>
          <w:i/>
          <w:color w:val="000000"/>
          <w:szCs w:val="22"/>
          <w:lang w:val="sk-SK"/>
        </w:rPr>
        <w:t>Chronická toxicita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Chronická toxicita sa testovala na potkanoch a psoch po perorálnom podaní. Neboli pozorované žiadne úmrtia spojené s expozíciou </w:t>
      </w:r>
      <w:proofErr w:type="spellStart"/>
      <w:r>
        <w:rPr>
          <w:color w:val="000000"/>
          <w:szCs w:val="22"/>
          <w:lang w:val="sk-SK"/>
        </w:rPr>
        <w:t>vinpocetínu</w:t>
      </w:r>
      <w:proofErr w:type="spellEnd"/>
      <w:r>
        <w:rPr>
          <w:color w:val="000000"/>
          <w:szCs w:val="22"/>
          <w:lang w:val="sk-SK"/>
        </w:rPr>
        <w:t xml:space="preserve">. U potkanov aj psov sa v študovaných parametroch nezistila žiadna trvalá zmena. 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iCs/>
          <w:color w:val="000000"/>
          <w:szCs w:val="22"/>
          <w:lang w:val="sk-SK"/>
        </w:rPr>
      </w:pPr>
      <w:r w:rsidRPr="00265508">
        <w:rPr>
          <w:i/>
          <w:color w:val="000000"/>
          <w:szCs w:val="22"/>
          <w:lang w:val="sk-SK"/>
        </w:rPr>
        <w:t>Reprodukčné štúdie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Výsledky štúdií reprodukčnej toxicity preukázali nezmenenú fertilitu samcov a</w:t>
      </w:r>
      <w:r>
        <w:rPr>
          <w:color w:val="000000"/>
          <w:szCs w:val="22"/>
          <w:lang w:val="sk-SK"/>
        </w:rPr>
        <w:t> </w:t>
      </w:r>
      <w:r w:rsidRPr="00265508">
        <w:rPr>
          <w:color w:val="000000"/>
          <w:szCs w:val="22"/>
          <w:lang w:val="sk-SK"/>
        </w:rPr>
        <w:t>samíc</w:t>
      </w:r>
      <w:r>
        <w:rPr>
          <w:color w:val="000000"/>
          <w:szCs w:val="22"/>
          <w:lang w:val="sk-SK"/>
        </w:rPr>
        <w:t xml:space="preserve"> zvierat</w:t>
      </w:r>
      <w:r w:rsidRPr="00265508">
        <w:rPr>
          <w:color w:val="000000"/>
          <w:szCs w:val="22"/>
          <w:lang w:val="sk-SK"/>
        </w:rPr>
        <w:t xml:space="preserve"> pri nižších dávkach. Nezistili sa </w:t>
      </w:r>
      <w:proofErr w:type="spellStart"/>
      <w:r w:rsidRPr="00265508">
        <w:rPr>
          <w:color w:val="000000"/>
          <w:szCs w:val="22"/>
          <w:lang w:val="sk-SK"/>
        </w:rPr>
        <w:t>teratogénne</w:t>
      </w:r>
      <w:proofErr w:type="spellEnd"/>
      <w:r w:rsidRPr="00265508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ni</w:t>
      </w:r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fetotoxické</w:t>
      </w:r>
      <w:proofErr w:type="spellEnd"/>
      <w:r w:rsidRPr="00265508">
        <w:rPr>
          <w:color w:val="000000"/>
          <w:szCs w:val="22"/>
          <w:lang w:val="sk-SK"/>
        </w:rPr>
        <w:t xml:space="preserve"> účinky.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V štúdiách s vysokými dávkami bolo hlásených len málo prípadov placentárneho krvácania, potratov (pravdepodobne v dôsledku zvýšeného placentárneho prietok</w:t>
      </w:r>
      <w:r>
        <w:rPr>
          <w:color w:val="000000"/>
          <w:szCs w:val="22"/>
          <w:lang w:val="sk-SK"/>
        </w:rPr>
        <w:t xml:space="preserve">u). 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Brezivé</w:t>
      </w:r>
      <w:r w:rsidRPr="00265508">
        <w:rPr>
          <w:szCs w:val="24"/>
          <w:lang w:val="sk-SK"/>
        </w:rPr>
        <w:t xml:space="preserve"> potkany, ktorým sa perorálne podával </w:t>
      </w:r>
      <w:proofErr w:type="spellStart"/>
      <w:r w:rsidRPr="00265508">
        <w:rPr>
          <w:szCs w:val="24"/>
          <w:lang w:val="sk-SK"/>
        </w:rPr>
        <w:t>vinpocetín</w:t>
      </w:r>
      <w:proofErr w:type="spellEnd"/>
      <w:r w:rsidRPr="00265508">
        <w:rPr>
          <w:szCs w:val="24"/>
          <w:lang w:val="sk-SK"/>
        </w:rPr>
        <w:t xml:space="preserve"> v rôznych dávkach, preukázali zvýšenie </w:t>
      </w:r>
      <w:proofErr w:type="spellStart"/>
      <w:r w:rsidRPr="00265508">
        <w:rPr>
          <w:szCs w:val="24"/>
          <w:lang w:val="sk-SK"/>
        </w:rPr>
        <w:t>postimplantačn</w:t>
      </w:r>
      <w:r>
        <w:rPr>
          <w:szCs w:val="24"/>
          <w:lang w:val="sk-SK"/>
        </w:rPr>
        <w:t>ých</w:t>
      </w:r>
      <w:proofErr w:type="spellEnd"/>
      <w:r w:rsidRPr="00265508">
        <w:rPr>
          <w:szCs w:val="24"/>
          <w:lang w:val="sk-SK"/>
        </w:rPr>
        <w:t xml:space="preserve"> str</w:t>
      </w:r>
      <w:r>
        <w:rPr>
          <w:szCs w:val="24"/>
          <w:lang w:val="sk-SK"/>
        </w:rPr>
        <w:t>át</w:t>
      </w:r>
      <w:r w:rsidRPr="00265508">
        <w:rPr>
          <w:szCs w:val="24"/>
          <w:lang w:val="sk-SK"/>
        </w:rPr>
        <w:t xml:space="preserve"> závisl</w:t>
      </w:r>
      <w:r>
        <w:rPr>
          <w:szCs w:val="24"/>
          <w:lang w:val="sk-SK"/>
        </w:rPr>
        <w:t>ých</w:t>
      </w:r>
      <w:r w:rsidRPr="00265508">
        <w:rPr>
          <w:szCs w:val="24"/>
          <w:lang w:val="sk-SK"/>
        </w:rPr>
        <w:t xml:space="preserve"> od dávky, vyššiu frekvenciu skorých a úplných </w:t>
      </w:r>
      <w:proofErr w:type="spellStart"/>
      <w:r w:rsidRPr="00265508">
        <w:rPr>
          <w:szCs w:val="24"/>
          <w:lang w:val="sk-SK"/>
        </w:rPr>
        <w:t>resorpcií</w:t>
      </w:r>
      <w:proofErr w:type="spellEnd"/>
      <w:r w:rsidRPr="00265508">
        <w:rPr>
          <w:szCs w:val="24"/>
          <w:lang w:val="sk-SK"/>
        </w:rPr>
        <w:t xml:space="preserve">, nižšiu telesnú hmotnosť plodu a menej živých plodov pri </w:t>
      </w:r>
      <w:r>
        <w:rPr>
          <w:szCs w:val="24"/>
          <w:lang w:val="sk-SK"/>
        </w:rPr>
        <w:t>neprítomnosti</w:t>
      </w:r>
      <w:r w:rsidRPr="00265508">
        <w:rPr>
          <w:szCs w:val="24"/>
          <w:lang w:val="sk-SK"/>
        </w:rPr>
        <w:t xml:space="preserve"> toxic</w:t>
      </w:r>
      <w:r>
        <w:rPr>
          <w:szCs w:val="24"/>
          <w:lang w:val="sk-SK"/>
        </w:rPr>
        <w:t>kého účinku na matku</w:t>
      </w:r>
      <w:r w:rsidRPr="00265508">
        <w:rPr>
          <w:szCs w:val="24"/>
          <w:lang w:val="sk-SK"/>
        </w:rPr>
        <w:t xml:space="preserve">. Plody potkanov tiež vykazovali zvýšený výskyt defektov komorového </w:t>
      </w:r>
      <w:proofErr w:type="spellStart"/>
      <w:r w:rsidRPr="00265508">
        <w:rPr>
          <w:szCs w:val="24"/>
          <w:lang w:val="sk-SK"/>
        </w:rPr>
        <w:t>septa</w:t>
      </w:r>
      <w:proofErr w:type="spellEnd"/>
      <w:r w:rsidRPr="00265508">
        <w:rPr>
          <w:szCs w:val="24"/>
          <w:lang w:val="sk-SK"/>
        </w:rPr>
        <w:t xml:space="preserve"> a úplných nadpočetných </w:t>
      </w:r>
      <w:proofErr w:type="spellStart"/>
      <w:r w:rsidRPr="00265508">
        <w:rPr>
          <w:szCs w:val="24"/>
          <w:lang w:val="sk-SK"/>
        </w:rPr>
        <w:t>torakolumbálnych</w:t>
      </w:r>
      <w:proofErr w:type="spellEnd"/>
      <w:r w:rsidRPr="00265508">
        <w:rPr>
          <w:szCs w:val="24"/>
          <w:lang w:val="sk-SK"/>
        </w:rPr>
        <w:t xml:space="preserve"> rebier</w:t>
      </w:r>
      <w:r>
        <w:rPr>
          <w:szCs w:val="24"/>
          <w:lang w:val="sk-SK"/>
        </w:rPr>
        <w:t xml:space="preserve"> </w:t>
      </w:r>
      <w:r w:rsidRPr="00265508">
        <w:rPr>
          <w:szCs w:val="24"/>
          <w:lang w:val="sk-SK"/>
        </w:rPr>
        <w:t xml:space="preserve">v závislosti od dávky. Podobne, hoci pri vyšších dávkach ako u potkanov, vykazovali </w:t>
      </w:r>
      <w:r>
        <w:rPr>
          <w:szCs w:val="24"/>
          <w:lang w:val="sk-SK"/>
        </w:rPr>
        <w:t xml:space="preserve">brezivé </w:t>
      </w:r>
      <w:r w:rsidRPr="00265508">
        <w:rPr>
          <w:szCs w:val="24"/>
          <w:lang w:val="sk-SK"/>
        </w:rPr>
        <w:t>králiky, k</w:t>
      </w:r>
      <w:r>
        <w:rPr>
          <w:szCs w:val="24"/>
          <w:lang w:val="sk-SK"/>
        </w:rPr>
        <w:t xml:space="preserve">torým bol podávaný </w:t>
      </w:r>
      <w:proofErr w:type="spellStart"/>
      <w:r>
        <w:rPr>
          <w:szCs w:val="24"/>
          <w:lang w:val="sk-SK"/>
        </w:rPr>
        <w:t>vinpocetín</w:t>
      </w:r>
      <w:proofErr w:type="spellEnd"/>
      <w:r>
        <w:rPr>
          <w:szCs w:val="24"/>
          <w:lang w:val="sk-SK"/>
        </w:rPr>
        <w:t>, o</w:t>
      </w:r>
      <w:r w:rsidRPr="00265508">
        <w:rPr>
          <w:szCs w:val="24"/>
          <w:lang w:val="sk-SK"/>
        </w:rPr>
        <w:t xml:space="preserve">krem výrazne nižšej telesnej hmotnosti plodu aj zvýšenie </w:t>
      </w:r>
      <w:proofErr w:type="spellStart"/>
      <w:r w:rsidRPr="00265508">
        <w:rPr>
          <w:szCs w:val="24"/>
          <w:lang w:val="sk-SK"/>
        </w:rPr>
        <w:t>postimplantačn</w:t>
      </w:r>
      <w:r>
        <w:rPr>
          <w:szCs w:val="24"/>
          <w:lang w:val="sk-SK"/>
        </w:rPr>
        <w:t>ých</w:t>
      </w:r>
      <w:proofErr w:type="spellEnd"/>
      <w:r w:rsidRPr="00265508">
        <w:rPr>
          <w:szCs w:val="24"/>
          <w:lang w:val="sk-SK"/>
        </w:rPr>
        <w:t xml:space="preserve"> str</w:t>
      </w:r>
      <w:r>
        <w:rPr>
          <w:szCs w:val="24"/>
          <w:lang w:val="sk-SK"/>
        </w:rPr>
        <w:t>át</w:t>
      </w:r>
      <w:r w:rsidRPr="00265508">
        <w:rPr>
          <w:szCs w:val="24"/>
          <w:lang w:val="sk-SK"/>
        </w:rPr>
        <w:t xml:space="preserve"> a menej živých plodov. Expozícia </w:t>
      </w:r>
      <w:proofErr w:type="spellStart"/>
      <w:r w:rsidRPr="00265508">
        <w:rPr>
          <w:szCs w:val="24"/>
          <w:lang w:val="sk-SK"/>
        </w:rPr>
        <w:t>vinpocetínu</w:t>
      </w:r>
      <w:proofErr w:type="spellEnd"/>
      <w:r w:rsidRPr="00265508">
        <w:rPr>
          <w:szCs w:val="24"/>
          <w:lang w:val="sk-SK"/>
        </w:rPr>
        <w:t xml:space="preserve"> preto viedla k podobným účinkom na </w:t>
      </w:r>
      <w:proofErr w:type="spellStart"/>
      <w:r w:rsidRPr="00265508">
        <w:rPr>
          <w:szCs w:val="24"/>
          <w:lang w:val="sk-SK"/>
        </w:rPr>
        <w:t>embryofetálny</w:t>
      </w:r>
      <w:proofErr w:type="spellEnd"/>
      <w:r w:rsidRPr="00265508">
        <w:rPr>
          <w:szCs w:val="24"/>
          <w:lang w:val="sk-SK"/>
        </w:rPr>
        <w:t xml:space="preserve"> vý</w:t>
      </w:r>
      <w:r>
        <w:rPr>
          <w:szCs w:val="24"/>
          <w:lang w:val="sk-SK"/>
        </w:rPr>
        <w:t>vin</w:t>
      </w:r>
      <w:r w:rsidRPr="00265508">
        <w:rPr>
          <w:szCs w:val="24"/>
          <w:lang w:val="sk-SK"/>
        </w:rPr>
        <w:t xml:space="preserve">u potkanov a králikov. Celkovo je </w:t>
      </w:r>
      <w:proofErr w:type="spellStart"/>
      <w:r w:rsidRPr="00265508">
        <w:rPr>
          <w:szCs w:val="24"/>
          <w:lang w:val="sk-SK"/>
        </w:rPr>
        <w:t>vinpocetín</w:t>
      </w:r>
      <w:proofErr w:type="spellEnd"/>
      <w:r w:rsidRPr="00265508">
        <w:rPr>
          <w:szCs w:val="24"/>
          <w:lang w:val="sk-SK"/>
        </w:rPr>
        <w:t xml:space="preserve"> spojený s nepriaznivými účinkami na reprodukciu</w:t>
      </w:r>
      <w:r>
        <w:rPr>
          <w:szCs w:val="24"/>
          <w:lang w:val="sk-SK"/>
        </w:rPr>
        <w:t>, potratmi</w:t>
      </w:r>
      <w:r w:rsidRPr="00265508">
        <w:rPr>
          <w:szCs w:val="24"/>
          <w:lang w:val="sk-SK"/>
        </w:rPr>
        <w:t xml:space="preserve"> alebo narušeným výv</w:t>
      </w:r>
      <w:r>
        <w:rPr>
          <w:szCs w:val="24"/>
          <w:lang w:val="sk-SK"/>
        </w:rPr>
        <w:t xml:space="preserve">inom plodu a </w:t>
      </w:r>
      <w:r w:rsidRPr="00265508">
        <w:rPr>
          <w:szCs w:val="24"/>
          <w:lang w:val="sk-SK"/>
        </w:rPr>
        <w:t>môže predstavovať potenciálne riziko pre tehotné ženy.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szCs w:val="24"/>
          <w:lang w:val="sk-SK"/>
        </w:rPr>
      </w:pPr>
      <w:proofErr w:type="spellStart"/>
      <w:r w:rsidRPr="00265508">
        <w:rPr>
          <w:szCs w:val="24"/>
          <w:lang w:val="sk-SK"/>
        </w:rPr>
        <w:t>Perinatálne</w:t>
      </w:r>
      <w:proofErr w:type="spellEnd"/>
      <w:r w:rsidRPr="00265508">
        <w:rPr>
          <w:szCs w:val="24"/>
          <w:lang w:val="sk-SK"/>
        </w:rPr>
        <w:t xml:space="preserve"> a </w:t>
      </w:r>
      <w:proofErr w:type="spellStart"/>
      <w:r w:rsidRPr="00265508">
        <w:rPr>
          <w:szCs w:val="24"/>
          <w:lang w:val="sk-SK"/>
        </w:rPr>
        <w:t>postnatálne</w:t>
      </w:r>
      <w:proofErr w:type="spellEnd"/>
      <w:r w:rsidRPr="00265508">
        <w:rPr>
          <w:szCs w:val="24"/>
          <w:lang w:val="sk-SK"/>
        </w:rPr>
        <w:t xml:space="preserve"> štúdie nepreukázali žiadne toxick</w:t>
      </w:r>
      <w:r>
        <w:rPr>
          <w:szCs w:val="24"/>
          <w:lang w:val="sk-SK"/>
        </w:rPr>
        <w:t>é účinky na ďalšie</w:t>
      </w:r>
      <w:r w:rsidRPr="00265508">
        <w:rPr>
          <w:szCs w:val="24"/>
          <w:lang w:val="sk-SK"/>
        </w:rPr>
        <w:t xml:space="preserve"> generácie.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iCs/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  <w:r w:rsidRPr="00265508">
        <w:rPr>
          <w:i/>
          <w:color w:val="000000"/>
          <w:szCs w:val="22"/>
          <w:lang w:val="sk-SK"/>
        </w:rPr>
        <w:t>Mutagenita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Vinpocetín</w:t>
      </w:r>
      <w:proofErr w:type="spellEnd"/>
      <w:r>
        <w:rPr>
          <w:color w:val="000000"/>
          <w:szCs w:val="22"/>
          <w:lang w:val="sk-SK"/>
        </w:rPr>
        <w:t xml:space="preserve"> nespôsoboval mutácie v žiadnom z bakteriálnych kmeňov použitých v </w:t>
      </w:r>
      <w:proofErr w:type="spellStart"/>
      <w:r>
        <w:rPr>
          <w:color w:val="000000"/>
          <w:szCs w:val="22"/>
          <w:lang w:val="sk-SK"/>
        </w:rPr>
        <w:t>Amesovom</w:t>
      </w:r>
      <w:proofErr w:type="spellEnd"/>
      <w:r>
        <w:rPr>
          <w:color w:val="000000"/>
          <w:szCs w:val="22"/>
          <w:lang w:val="sk-SK"/>
        </w:rPr>
        <w:t xml:space="preserve"> teste. Liečivo však spôsobuje od dávky závislé zvýšené poškodenie DNA v pečeňových bunkách, ktoré sa hodnotilo v </w:t>
      </w:r>
      <w:proofErr w:type="spellStart"/>
      <w:r w:rsidRPr="004B51F0">
        <w:rPr>
          <w:color w:val="000000"/>
          <w:szCs w:val="22"/>
          <w:lang w:val="sk-SK"/>
        </w:rPr>
        <w:t>kométovom</w:t>
      </w:r>
      <w:proofErr w:type="spellEnd"/>
      <w:r w:rsidRPr="000B6260">
        <w:rPr>
          <w:color w:val="000000"/>
          <w:szCs w:val="22"/>
          <w:lang w:val="sk-SK"/>
        </w:rPr>
        <w:t xml:space="preserve"> teste,</w:t>
      </w:r>
      <w:r>
        <w:rPr>
          <w:color w:val="000000"/>
          <w:szCs w:val="22"/>
          <w:lang w:val="sk-SK"/>
        </w:rPr>
        <w:t xml:space="preserve"> ktorý sa považoval za nejednoznačný. 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i/>
          <w:color w:val="000000"/>
          <w:szCs w:val="22"/>
          <w:lang w:val="sk-SK"/>
        </w:rPr>
      </w:pPr>
      <w:r w:rsidRPr="00265508">
        <w:rPr>
          <w:i/>
          <w:color w:val="000000"/>
          <w:szCs w:val="22"/>
          <w:lang w:val="sk-SK"/>
        </w:rPr>
        <w:t>Karcinogenita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Vinpocetín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 xml:space="preserve">patrí do triedy alkaloidov </w:t>
      </w:r>
      <w:proofErr w:type="spellStart"/>
      <w:r>
        <w:rPr>
          <w:color w:val="000000"/>
          <w:szCs w:val="22"/>
          <w:lang w:val="sk-SK"/>
        </w:rPr>
        <w:t>vinkamínu</w:t>
      </w:r>
      <w:proofErr w:type="spellEnd"/>
      <w:r>
        <w:rPr>
          <w:color w:val="000000"/>
          <w:szCs w:val="22"/>
          <w:lang w:val="sk-SK"/>
        </w:rPr>
        <w:t>, látky, ktorá je už</w:t>
      </w:r>
      <w:r w:rsidRPr="00265508">
        <w:rPr>
          <w:color w:val="000000"/>
          <w:szCs w:val="22"/>
          <w:lang w:val="sk-SK"/>
        </w:rPr>
        <w:t xml:space="preserve"> dlhodobo</w:t>
      </w:r>
      <w:r>
        <w:rPr>
          <w:color w:val="000000"/>
          <w:szCs w:val="22"/>
          <w:lang w:val="sk-SK"/>
        </w:rPr>
        <w:t xml:space="preserve"> známa, a pre ktorú sa</w:t>
      </w:r>
      <w:r w:rsidRPr="00265508">
        <w:rPr>
          <w:color w:val="000000"/>
          <w:szCs w:val="22"/>
          <w:lang w:val="sk-SK"/>
        </w:rPr>
        <w:t xml:space="preserve"> nepreukázal žiadny onkogénny alebo mutagénny účinok.</w:t>
      </w:r>
    </w:p>
    <w:p w:rsidR="00E16BD1" w:rsidRDefault="00E16BD1" w:rsidP="00E16BD1">
      <w:pPr>
        <w:spacing w:line="240" w:lineRule="auto"/>
        <w:rPr>
          <w:color w:val="000000"/>
          <w:szCs w:val="22"/>
          <w:lang w:val="sk-SK"/>
        </w:rPr>
      </w:pPr>
      <w:bookmarkStart w:id="2" w:name="_GoBack"/>
      <w:bookmarkEnd w:id="2"/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6.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FARMACEUTICKÉ INFORMÁCIE</w:t>
      </w: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6.1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Zoznam pomocných látok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stearát</w:t>
      </w:r>
      <w:proofErr w:type="spellEnd"/>
      <w:r>
        <w:rPr>
          <w:color w:val="000000"/>
          <w:szCs w:val="22"/>
          <w:lang w:val="sk-SK"/>
        </w:rPr>
        <w:t xml:space="preserve"> horečnatý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čiastočne </w:t>
      </w:r>
      <w:r w:rsidRPr="00265508">
        <w:rPr>
          <w:color w:val="000000"/>
          <w:szCs w:val="22"/>
          <w:lang w:val="sk-SK"/>
        </w:rPr>
        <w:t>substituovaná</w:t>
      </w:r>
      <w:r>
        <w:rPr>
          <w:color w:val="000000"/>
          <w:szCs w:val="22"/>
          <w:lang w:val="sk-SK"/>
        </w:rPr>
        <w:t xml:space="preserve"> </w:t>
      </w:r>
      <w:proofErr w:type="spellStart"/>
      <w:r>
        <w:rPr>
          <w:color w:val="000000"/>
          <w:szCs w:val="22"/>
          <w:lang w:val="sk-SK"/>
        </w:rPr>
        <w:t>hydroxypropylcelulóza</w:t>
      </w:r>
      <w:proofErr w:type="spellEnd"/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m</w:t>
      </w:r>
      <w:r w:rsidRPr="00265508">
        <w:rPr>
          <w:color w:val="000000"/>
          <w:szCs w:val="22"/>
          <w:lang w:val="sk-SK"/>
        </w:rPr>
        <w:t>astenec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m</w:t>
      </w:r>
      <w:r w:rsidRPr="00265508">
        <w:rPr>
          <w:color w:val="000000"/>
          <w:szCs w:val="22"/>
          <w:lang w:val="sk-SK"/>
        </w:rPr>
        <w:t>onohydrát</w:t>
      </w:r>
      <w:proofErr w:type="spellEnd"/>
      <w:r w:rsidRPr="00265508">
        <w:rPr>
          <w:color w:val="000000"/>
          <w:szCs w:val="22"/>
          <w:lang w:val="sk-SK"/>
        </w:rPr>
        <w:t xml:space="preserve"> laktózy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6.2</w:t>
      </w:r>
      <w:r w:rsidRPr="00265508">
        <w:rPr>
          <w:b/>
          <w:color w:val="000000"/>
          <w:szCs w:val="22"/>
          <w:lang w:val="sk-SK"/>
        </w:rPr>
        <w:tab/>
        <w:t>Inkompatibility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lang w:val="sk-SK"/>
        </w:rPr>
        <w:t>Neaplikovateľné</w:t>
      </w:r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6.3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Čas použiteľnosti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3 roky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6.4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Špeciálne upozornenia na uchovávanie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 xml:space="preserve">Uchovávajte </w:t>
      </w:r>
      <w:proofErr w:type="spellStart"/>
      <w:r w:rsidRPr="00265508">
        <w:rPr>
          <w:color w:val="000000"/>
          <w:szCs w:val="22"/>
          <w:lang w:val="sk-SK"/>
        </w:rPr>
        <w:t>bliste</w:t>
      </w:r>
      <w:r>
        <w:rPr>
          <w:color w:val="000000"/>
          <w:szCs w:val="22"/>
          <w:lang w:val="sk-SK"/>
        </w:rPr>
        <w:t>r</w:t>
      </w:r>
      <w:proofErr w:type="spellEnd"/>
      <w:r>
        <w:rPr>
          <w:color w:val="000000"/>
          <w:szCs w:val="22"/>
          <w:lang w:val="sk-SK"/>
        </w:rPr>
        <w:t xml:space="preserve"> vo vonkajšom obale </w:t>
      </w:r>
      <w:r w:rsidRPr="00265508">
        <w:rPr>
          <w:color w:val="000000"/>
          <w:szCs w:val="22"/>
          <w:lang w:val="sk-SK"/>
        </w:rPr>
        <w:t>na ochranu pred svetlom.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numPr>
          <w:ilvl w:val="1"/>
          <w:numId w:val="2"/>
        </w:numPr>
        <w:tabs>
          <w:tab w:val="clear" w:pos="570"/>
          <w:tab w:val="left" w:pos="567"/>
        </w:tabs>
        <w:spacing w:line="240" w:lineRule="auto"/>
        <w:ind w:left="0" w:firstLine="0"/>
        <w:rPr>
          <w:b/>
          <w:color w:val="000000"/>
          <w:szCs w:val="22"/>
          <w:lang w:val="sk-SK"/>
        </w:rPr>
      </w:pPr>
      <w:r w:rsidRPr="00265508">
        <w:rPr>
          <w:b/>
          <w:szCs w:val="22"/>
          <w:lang w:val="sk-SK"/>
        </w:rPr>
        <w:t>Druh obalu a obsah balenia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lang w:val="sk-SK"/>
        </w:rPr>
      </w:pPr>
      <w:r w:rsidRPr="00265508">
        <w:rPr>
          <w:color w:val="000000"/>
          <w:lang w:val="sk-SK"/>
        </w:rPr>
        <w:t>Tablety sa dodávajú v PVC/</w:t>
      </w:r>
      <w:r>
        <w:rPr>
          <w:color w:val="000000"/>
          <w:lang w:val="sk-SK"/>
        </w:rPr>
        <w:t>hliníkových</w:t>
      </w:r>
      <w:r w:rsidRPr="00265508">
        <w:rPr>
          <w:color w:val="000000"/>
          <w:lang w:val="sk-SK"/>
        </w:rPr>
        <w:t xml:space="preserve"> </w:t>
      </w:r>
      <w:proofErr w:type="spellStart"/>
      <w:r w:rsidRPr="00265508">
        <w:rPr>
          <w:color w:val="000000"/>
          <w:lang w:val="sk-SK"/>
        </w:rPr>
        <w:t>blistroch</w:t>
      </w:r>
      <w:proofErr w:type="spellEnd"/>
      <w:r w:rsidRPr="00265508">
        <w:rPr>
          <w:color w:val="000000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lang w:val="sk-SK"/>
        </w:rPr>
      </w:pPr>
    </w:p>
    <w:p w:rsidR="00E16BD1" w:rsidRPr="00265508" w:rsidRDefault="00E16BD1" w:rsidP="00E16BD1">
      <w:pPr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proofErr w:type="spellStart"/>
      <w:r w:rsidRPr="00265508">
        <w:rPr>
          <w:color w:val="000000"/>
          <w:u w:val="single"/>
          <w:lang w:val="sk-SK"/>
        </w:rPr>
        <w:t>Vinpocetine</w:t>
      </w:r>
      <w:proofErr w:type="spellEnd"/>
      <w:r w:rsidRPr="00265508">
        <w:rPr>
          <w:color w:val="000000"/>
          <w:u w:val="single"/>
          <w:lang w:val="sk-SK"/>
        </w:rPr>
        <w:t xml:space="preserve"> ATREIZA 5 mg</w:t>
      </w:r>
      <w:r w:rsidRPr="00265508">
        <w:rPr>
          <w:color w:val="000000"/>
          <w:lang w:val="sk-SK"/>
        </w:rPr>
        <w:t>: každá papierová škatuľ</w:t>
      </w:r>
      <w:r>
        <w:rPr>
          <w:color w:val="000000"/>
          <w:lang w:val="sk-SK"/>
        </w:rPr>
        <w:t>k</w:t>
      </w:r>
      <w:r w:rsidRPr="00265508">
        <w:rPr>
          <w:color w:val="000000"/>
          <w:lang w:val="sk-SK"/>
        </w:rPr>
        <w:t xml:space="preserve">a obsahuje 50 tabliet (2 </w:t>
      </w:r>
      <w:proofErr w:type="spellStart"/>
      <w:r w:rsidRPr="00265508">
        <w:rPr>
          <w:color w:val="000000"/>
          <w:lang w:val="sk-SK"/>
        </w:rPr>
        <w:t>blistre</w:t>
      </w:r>
      <w:proofErr w:type="spellEnd"/>
      <w:r w:rsidRPr="00265508">
        <w:rPr>
          <w:color w:val="000000"/>
          <w:lang w:val="sk-SK"/>
        </w:rPr>
        <w:t xml:space="preserve"> po 25 tabliet).</w:t>
      </w:r>
    </w:p>
    <w:p w:rsidR="00E16BD1" w:rsidRPr="00265508" w:rsidRDefault="00E16BD1" w:rsidP="00E16BD1">
      <w:pPr>
        <w:autoSpaceDE w:val="0"/>
        <w:autoSpaceDN w:val="0"/>
        <w:adjustRightInd w:val="0"/>
        <w:spacing w:line="240" w:lineRule="auto"/>
        <w:rPr>
          <w:rStyle w:val="shorttext"/>
          <w:color w:val="000000"/>
          <w:lang w:val="sk-SK"/>
        </w:rPr>
      </w:pPr>
      <w:proofErr w:type="spellStart"/>
      <w:r w:rsidRPr="00265508">
        <w:rPr>
          <w:color w:val="000000"/>
          <w:u w:val="single"/>
          <w:lang w:val="sk-SK"/>
        </w:rPr>
        <w:t>Vinpocetine</w:t>
      </w:r>
      <w:proofErr w:type="spellEnd"/>
      <w:r w:rsidRPr="00265508">
        <w:rPr>
          <w:color w:val="000000"/>
          <w:u w:val="single"/>
          <w:lang w:val="sk-SK"/>
        </w:rPr>
        <w:t xml:space="preserve"> ATREIZA 10 mg</w:t>
      </w:r>
      <w:r w:rsidRPr="00265508">
        <w:rPr>
          <w:color w:val="000000"/>
          <w:lang w:val="sk-SK"/>
        </w:rPr>
        <w:t>: každá papierová škatuľ</w:t>
      </w:r>
      <w:r>
        <w:rPr>
          <w:color w:val="000000"/>
          <w:lang w:val="sk-SK"/>
        </w:rPr>
        <w:t>k</w:t>
      </w:r>
      <w:r w:rsidRPr="00265508">
        <w:rPr>
          <w:color w:val="000000"/>
          <w:lang w:val="sk-SK"/>
        </w:rPr>
        <w:t xml:space="preserve">a obsahuje 30, 45, 60 alebo 90 tabliet </w:t>
      </w:r>
      <w:r w:rsidRPr="00265508">
        <w:rPr>
          <w:rStyle w:val="shorttext"/>
          <w:color w:val="000000"/>
          <w:lang w:val="sk-SK"/>
        </w:rPr>
        <w:t>(</w:t>
      </w:r>
      <w:r w:rsidRPr="00265508">
        <w:rPr>
          <w:color w:val="000000"/>
          <w:lang w:val="sk-SK"/>
        </w:rPr>
        <w:t xml:space="preserve">2, 3, 4 alebo 6 </w:t>
      </w:r>
      <w:proofErr w:type="spellStart"/>
      <w:r w:rsidRPr="00265508">
        <w:rPr>
          <w:color w:val="000000"/>
          <w:lang w:val="sk-SK"/>
        </w:rPr>
        <w:t>blistrov</w:t>
      </w:r>
      <w:proofErr w:type="spellEnd"/>
      <w:r>
        <w:rPr>
          <w:color w:val="000000"/>
          <w:lang w:val="sk-SK"/>
        </w:rPr>
        <w:t xml:space="preserve"> po 15 tabliet</w:t>
      </w:r>
      <w:r w:rsidRPr="00265508">
        <w:rPr>
          <w:color w:val="000000"/>
          <w:lang w:val="sk-SK"/>
        </w:rPr>
        <w:t>)</w:t>
      </w:r>
      <w:r w:rsidRPr="00265508">
        <w:rPr>
          <w:rStyle w:val="shorttext"/>
          <w:color w:val="000000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lang w:val="sk-SK"/>
        </w:rPr>
        <w:t>Na trh nemusia byť uvedené</w:t>
      </w:r>
      <w:r w:rsidRPr="00265508">
        <w:rPr>
          <w:szCs w:val="22"/>
          <w:lang w:val="sk-SK"/>
        </w:rPr>
        <w:t xml:space="preserve"> všetky veľkosti balenia</w:t>
      </w:r>
      <w:r w:rsidRPr="00265508">
        <w:rPr>
          <w:color w:val="000000"/>
          <w:szCs w:val="22"/>
          <w:lang w:val="sk-SK"/>
        </w:rPr>
        <w:t>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6.6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bCs/>
          <w:lang w:val="sk-SK"/>
        </w:rPr>
        <w:t>Špeciálne opatrenia na likvidáciu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Žiadne zvláštne požiadavky.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7.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DRŽITEĽ ROZHODNUTIA O REGISTRÁCII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tabs>
          <w:tab w:val="left" w:pos="72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ATREIZA LABORATORIOS, S.L.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265508">
        <w:rPr>
          <w:color w:val="000000"/>
          <w:szCs w:val="22"/>
          <w:lang w:val="sk-SK"/>
        </w:rPr>
        <w:t>Vía</w:t>
      </w:r>
      <w:proofErr w:type="spellEnd"/>
      <w:r w:rsidRPr="00265508">
        <w:rPr>
          <w:color w:val="000000"/>
          <w:szCs w:val="22"/>
          <w:lang w:val="sk-SK"/>
        </w:rPr>
        <w:t xml:space="preserve"> de </w:t>
      </w:r>
      <w:proofErr w:type="spellStart"/>
      <w:r w:rsidRPr="00265508">
        <w:rPr>
          <w:color w:val="000000"/>
          <w:szCs w:val="22"/>
          <w:lang w:val="sk-SK"/>
        </w:rPr>
        <w:t>las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Dos</w:t>
      </w:r>
      <w:proofErr w:type="spellEnd"/>
      <w:r w:rsidRPr="00265508">
        <w:rPr>
          <w:color w:val="000000"/>
          <w:szCs w:val="22"/>
          <w:lang w:val="sk-SK"/>
        </w:rPr>
        <w:t xml:space="preserve"> </w:t>
      </w:r>
      <w:proofErr w:type="spellStart"/>
      <w:r w:rsidRPr="00265508">
        <w:rPr>
          <w:color w:val="000000"/>
          <w:szCs w:val="22"/>
          <w:lang w:val="sk-SK"/>
        </w:rPr>
        <w:t>Castillas</w:t>
      </w:r>
      <w:proofErr w:type="spellEnd"/>
      <w:r w:rsidRPr="00265508">
        <w:rPr>
          <w:color w:val="000000"/>
          <w:szCs w:val="22"/>
          <w:lang w:val="sk-SK"/>
        </w:rPr>
        <w:t xml:space="preserve"> 33, </w:t>
      </w:r>
      <w:proofErr w:type="spellStart"/>
      <w:r w:rsidRPr="00265508">
        <w:rPr>
          <w:color w:val="000000"/>
          <w:szCs w:val="22"/>
          <w:lang w:val="sk-SK"/>
        </w:rPr>
        <w:t>Edificio</w:t>
      </w:r>
      <w:proofErr w:type="spellEnd"/>
      <w:r w:rsidRPr="00265508">
        <w:rPr>
          <w:color w:val="000000"/>
          <w:szCs w:val="22"/>
          <w:lang w:val="sk-SK"/>
        </w:rPr>
        <w:t> 7</w:t>
      </w:r>
    </w:p>
    <w:p w:rsidR="00E16BD1" w:rsidRPr="00265508" w:rsidRDefault="00E16BD1" w:rsidP="00E16BD1">
      <w:pPr>
        <w:tabs>
          <w:tab w:val="left" w:pos="6930"/>
        </w:tabs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28224 </w:t>
      </w:r>
      <w:proofErr w:type="spellStart"/>
      <w:r w:rsidRPr="00265508">
        <w:rPr>
          <w:color w:val="000000"/>
          <w:szCs w:val="22"/>
          <w:lang w:val="sk-SK"/>
        </w:rPr>
        <w:t>Pozuelo</w:t>
      </w:r>
      <w:proofErr w:type="spellEnd"/>
      <w:r w:rsidRPr="00265508">
        <w:rPr>
          <w:color w:val="000000"/>
          <w:szCs w:val="22"/>
          <w:lang w:val="sk-SK"/>
        </w:rPr>
        <w:t xml:space="preserve"> de </w:t>
      </w:r>
      <w:proofErr w:type="spellStart"/>
      <w:r w:rsidRPr="00265508">
        <w:rPr>
          <w:color w:val="000000"/>
          <w:szCs w:val="22"/>
          <w:lang w:val="sk-SK"/>
        </w:rPr>
        <w:t>Alarcón</w:t>
      </w:r>
      <w:proofErr w:type="spellEnd"/>
      <w:r w:rsidRPr="00265508">
        <w:rPr>
          <w:color w:val="000000"/>
          <w:szCs w:val="22"/>
          <w:lang w:val="sk-SK"/>
        </w:rPr>
        <w:t xml:space="preserve"> (Madrid)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color w:val="000000"/>
          <w:szCs w:val="22"/>
          <w:lang w:val="sk-SK"/>
        </w:rPr>
        <w:t>Španielsko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8.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 xml:space="preserve">REGISTRAČNÉ </w:t>
      </w:r>
      <w:r w:rsidRPr="00265508">
        <w:rPr>
          <w:b/>
          <w:color w:val="000000"/>
          <w:szCs w:val="22"/>
          <w:lang w:val="sk-SK"/>
        </w:rPr>
        <w:t>ČÍSLA</w:t>
      </w:r>
    </w:p>
    <w:p w:rsidR="00E16BD1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5B4471" w:rsidRDefault="00E16BD1" w:rsidP="00E16BD1">
      <w:pPr>
        <w:tabs>
          <w:tab w:val="left" w:pos="6930"/>
        </w:tabs>
        <w:spacing w:line="240" w:lineRule="auto"/>
        <w:ind w:right="1046"/>
        <w:rPr>
          <w:bCs/>
          <w:color w:val="000000"/>
          <w:szCs w:val="22"/>
          <w:lang w:val="sk-SK"/>
        </w:rPr>
      </w:pPr>
      <w:proofErr w:type="spellStart"/>
      <w:r w:rsidRPr="00265508">
        <w:rPr>
          <w:bCs/>
          <w:color w:val="000000"/>
          <w:szCs w:val="22"/>
          <w:lang w:val="sk-SK"/>
        </w:rPr>
        <w:t>Vinpocetine</w:t>
      </w:r>
      <w:proofErr w:type="spellEnd"/>
      <w:r w:rsidRPr="00265508">
        <w:rPr>
          <w:bCs/>
          <w:color w:val="000000"/>
          <w:szCs w:val="22"/>
          <w:lang w:val="sk-SK"/>
        </w:rPr>
        <w:t> ATREIZA 5 mg tablety</w:t>
      </w:r>
      <w:r>
        <w:rPr>
          <w:bCs/>
          <w:color w:val="000000"/>
          <w:szCs w:val="22"/>
          <w:lang w:val="sk-SK"/>
        </w:rPr>
        <w:t xml:space="preserve">: </w:t>
      </w:r>
      <w:r w:rsidRPr="005B4471">
        <w:rPr>
          <w:color w:val="000000"/>
          <w:szCs w:val="22"/>
          <w:lang w:val="sk-SK"/>
        </w:rPr>
        <w:t>83/0244/20-S</w:t>
      </w:r>
    </w:p>
    <w:p w:rsidR="00E16BD1" w:rsidRPr="005B4471" w:rsidRDefault="00E16BD1" w:rsidP="00E16BD1">
      <w:pPr>
        <w:tabs>
          <w:tab w:val="left" w:pos="6930"/>
        </w:tabs>
        <w:spacing w:line="240" w:lineRule="auto"/>
        <w:ind w:right="1046"/>
        <w:rPr>
          <w:bCs/>
          <w:color w:val="000000"/>
          <w:szCs w:val="22"/>
          <w:lang w:val="sk-SK"/>
        </w:rPr>
      </w:pPr>
      <w:proofErr w:type="spellStart"/>
      <w:r w:rsidRPr="00265508">
        <w:rPr>
          <w:bCs/>
          <w:color w:val="000000"/>
          <w:szCs w:val="22"/>
          <w:lang w:val="sk-SK"/>
        </w:rPr>
        <w:t>Vinpocetine</w:t>
      </w:r>
      <w:proofErr w:type="spellEnd"/>
      <w:r w:rsidRPr="00265508">
        <w:rPr>
          <w:bCs/>
          <w:color w:val="000000"/>
          <w:szCs w:val="22"/>
          <w:lang w:val="sk-SK"/>
        </w:rPr>
        <w:t> ATREIZA</w:t>
      </w:r>
      <w:r>
        <w:rPr>
          <w:bCs/>
          <w:color w:val="000000"/>
          <w:szCs w:val="22"/>
          <w:lang w:val="sk-SK"/>
        </w:rPr>
        <w:t xml:space="preserve"> 10</w:t>
      </w:r>
      <w:r w:rsidRPr="00265508">
        <w:rPr>
          <w:bCs/>
          <w:color w:val="000000"/>
          <w:szCs w:val="22"/>
          <w:lang w:val="sk-SK"/>
        </w:rPr>
        <w:t> mg tablety</w:t>
      </w:r>
      <w:r>
        <w:rPr>
          <w:bCs/>
          <w:color w:val="000000"/>
          <w:szCs w:val="22"/>
          <w:lang w:val="sk-SK"/>
        </w:rPr>
        <w:t xml:space="preserve">: </w:t>
      </w:r>
      <w:r>
        <w:rPr>
          <w:color w:val="000000"/>
          <w:szCs w:val="22"/>
          <w:lang w:val="sk-SK"/>
        </w:rPr>
        <w:t>83/0245</w:t>
      </w:r>
      <w:r w:rsidRPr="005B4471">
        <w:rPr>
          <w:color w:val="000000"/>
          <w:szCs w:val="22"/>
          <w:lang w:val="sk-SK"/>
        </w:rPr>
        <w:t>/20-S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9.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DÁTUM PRVEJ REGISTRÁCIE/PREDĹŽENIA REGISTRÁCIE</w:t>
      </w: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4B51F0" w:rsidRDefault="00E16BD1" w:rsidP="00E16BD1">
      <w:pPr>
        <w:spacing w:line="240" w:lineRule="auto"/>
        <w:rPr>
          <w:i/>
          <w:color w:val="000000"/>
          <w:szCs w:val="22"/>
          <w:lang w:val="sk-SK"/>
        </w:rPr>
      </w:pPr>
      <w:r w:rsidRPr="00265508">
        <w:rPr>
          <w:lang w:val="sk-SK"/>
        </w:rPr>
        <w:t>Dátum prvej registrácie</w:t>
      </w:r>
      <w:r w:rsidRPr="00265508">
        <w:rPr>
          <w:color w:val="000000"/>
          <w:szCs w:val="22"/>
          <w:lang w:val="sk-SK"/>
        </w:rPr>
        <w:t xml:space="preserve">: </w:t>
      </w:r>
    </w:p>
    <w:p w:rsidR="00E16BD1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spacing w:line="240" w:lineRule="auto"/>
        <w:rPr>
          <w:b/>
          <w:color w:val="000000"/>
          <w:szCs w:val="22"/>
          <w:lang w:val="sk-SK"/>
        </w:rPr>
      </w:pPr>
      <w:r w:rsidRPr="00265508">
        <w:rPr>
          <w:b/>
          <w:color w:val="000000"/>
          <w:szCs w:val="22"/>
          <w:lang w:val="sk-SK"/>
        </w:rPr>
        <w:t>10.</w:t>
      </w:r>
      <w:r w:rsidRPr="00265508">
        <w:rPr>
          <w:b/>
          <w:color w:val="000000"/>
          <w:szCs w:val="22"/>
          <w:lang w:val="sk-SK"/>
        </w:rPr>
        <w:tab/>
      </w:r>
      <w:r w:rsidRPr="00265508">
        <w:rPr>
          <w:b/>
          <w:szCs w:val="22"/>
          <w:lang w:val="sk-SK"/>
        </w:rPr>
        <w:t>DÁTUM REVÍZIE TEXTU</w:t>
      </w:r>
    </w:p>
    <w:p w:rsidR="00E16BD1" w:rsidRDefault="00E16BD1" w:rsidP="00E16BD1">
      <w:pPr>
        <w:numPr>
          <w:ilvl w:val="12"/>
          <w:numId w:val="0"/>
        </w:numPr>
        <w:spacing w:line="240" w:lineRule="auto"/>
        <w:rPr>
          <w:iCs/>
          <w:color w:val="000000"/>
          <w:szCs w:val="22"/>
          <w:lang w:val="sk-SK"/>
        </w:rPr>
      </w:pPr>
    </w:p>
    <w:p w:rsidR="00E16BD1" w:rsidRPr="00265508" w:rsidRDefault="00E16BD1" w:rsidP="00E16BD1">
      <w:pPr>
        <w:numPr>
          <w:ilvl w:val="12"/>
          <w:numId w:val="0"/>
        </w:numPr>
        <w:spacing w:line="240" w:lineRule="auto"/>
        <w:rPr>
          <w:iCs/>
          <w:color w:val="000000"/>
          <w:szCs w:val="22"/>
          <w:lang w:val="sk-SK"/>
        </w:rPr>
      </w:pPr>
      <w:r>
        <w:rPr>
          <w:iCs/>
          <w:color w:val="000000"/>
          <w:szCs w:val="22"/>
          <w:lang w:val="sk-SK"/>
        </w:rPr>
        <w:t>11</w:t>
      </w:r>
      <w:r w:rsidRPr="00265508">
        <w:rPr>
          <w:iCs/>
          <w:color w:val="000000"/>
          <w:szCs w:val="22"/>
          <w:lang w:val="sk-SK"/>
        </w:rPr>
        <w:t>/2020</w:t>
      </w:r>
    </w:p>
    <w:p w:rsidR="00E16BD1" w:rsidRPr="00265508" w:rsidRDefault="00E16BD1" w:rsidP="00E16BD1">
      <w:pPr>
        <w:numPr>
          <w:ilvl w:val="12"/>
          <w:numId w:val="0"/>
        </w:numPr>
        <w:spacing w:line="240" w:lineRule="auto"/>
        <w:rPr>
          <w:color w:val="000000"/>
          <w:szCs w:val="22"/>
          <w:lang w:val="sk-SK"/>
        </w:rPr>
      </w:pPr>
    </w:p>
    <w:p w:rsidR="00E16BD1" w:rsidRPr="00265508" w:rsidRDefault="00E16BD1" w:rsidP="00E16BD1">
      <w:pPr>
        <w:numPr>
          <w:ilvl w:val="12"/>
          <w:numId w:val="0"/>
        </w:numPr>
        <w:spacing w:line="240" w:lineRule="auto"/>
        <w:rPr>
          <w:color w:val="000000"/>
          <w:szCs w:val="22"/>
          <w:lang w:val="sk-SK"/>
        </w:rPr>
      </w:pPr>
    </w:p>
    <w:p w:rsidR="00E16BD1" w:rsidRDefault="00E16BD1"/>
    <w:sectPr w:rsidR="00E16B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E8" w:rsidRDefault="00CC5BE8" w:rsidP="00E16BD1">
      <w:pPr>
        <w:spacing w:line="240" w:lineRule="auto"/>
      </w:pPr>
      <w:r>
        <w:separator/>
      </w:r>
    </w:p>
  </w:endnote>
  <w:endnote w:type="continuationSeparator" w:id="0">
    <w:p w:rsidR="00CC5BE8" w:rsidRDefault="00CC5BE8" w:rsidP="00E16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539571"/>
      <w:docPartObj>
        <w:docPartGallery w:val="Page Numbers (Bottom of Page)"/>
        <w:docPartUnique/>
      </w:docPartObj>
    </w:sdtPr>
    <w:sdtContent>
      <w:p w:rsidR="00E16BD1" w:rsidRDefault="00E16B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591" w:rsidRPr="005C1591">
          <w:rPr>
            <w:noProof/>
            <w:lang w:val="sk-SK"/>
          </w:rPr>
          <w:t>8</w:t>
        </w:r>
        <w:r>
          <w:fldChar w:fldCharType="end"/>
        </w:r>
      </w:p>
    </w:sdtContent>
  </w:sdt>
  <w:p w:rsidR="00E16BD1" w:rsidRDefault="00E16BD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E8" w:rsidRDefault="00CC5BE8" w:rsidP="00E16BD1">
      <w:pPr>
        <w:spacing w:line="240" w:lineRule="auto"/>
      </w:pPr>
      <w:r>
        <w:separator/>
      </w:r>
    </w:p>
  </w:footnote>
  <w:footnote w:type="continuationSeparator" w:id="0">
    <w:p w:rsidR="00CC5BE8" w:rsidRDefault="00CC5BE8" w:rsidP="00E16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BD1" w:rsidRDefault="00E16BD1" w:rsidP="00E16BD1">
    <w:pPr>
      <w:pStyle w:val="Hlavika"/>
    </w:pPr>
    <w:proofErr w:type="spellStart"/>
    <w:r w:rsidRPr="00FA5D81">
      <w:rPr>
        <w:sz w:val="18"/>
        <w:szCs w:val="18"/>
      </w:rPr>
      <w:t>Schválený</w:t>
    </w:r>
    <w:proofErr w:type="spellEnd"/>
    <w:r w:rsidRPr="00FA5D81">
      <w:rPr>
        <w:sz w:val="18"/>
        <w:szCs w:val="18"/>
      </w:rPr>
      <w:t xml:space="preserve"> text k </w:t>
    </w:r>
    <w:proofErr w:type="spellStart"/>
    <w:r w:rsidRPr="00FA5D81">
      <w:rPr>
        <w:sz w:val="18"/>
        <w:szCs w:val="18"/>
      </w:rPr>
      <w:t>rozhodnutiu</w:t>
    </w:r>
    <w:proofErr w:type="spellEnd"/>
    <w:r w:rsidRPr="00FA5D81">
      <w:rPr>
        <w:sz w:val="18"/>
        <w:szCs w:val="18"/>
      </w:rPr>
      <w:t xml:space="preserve"> o </w:t>
    </w:r>
    <w:proofErr w:type="spellStart"/>
    <w:r w:rsidRPr="00FA5D81">
      <w:rPr>
        <w:sz w:val="18"/>
        <w:szCs w:val="18"/>
      </w:rPr>
      <w:t>registrácii</w:t>
    </w:r>
    <w:proofErr w:type="spellEnd"/>
    <w:r w:rsidRPr="00FA5D81">
      <w:rPr>
        <w:sz w:val="18"/>
        <w:szCs w:val="18"/>
      </w:rPr>
      <w:t xml:space="preserve">, </w:t>
    </w:r>
    <w:proofErr w:type="spellStart"/>
    <w:r w:rsidRPr="00FA5D81">
      <w:rPr>
        <w:sz w:val="18"/>
        <w:szCs w:val="18"/>
      </w:rPr>
      <w:t>ev</w:t>
    </w:r>
    <w:proofErr w:type="spellEnd"/>
    <w:r w:rsidRPr="00FA5D81">
      <w:rPr>
        <w:sz w:val="18"/>
        <w:szCs w:val="18"/>
      </w:rPr>
      <w:t xml:space="preserve">. </w:t>
    </w:r>
    <w:r w:rsidRPr="00FA5D81">
      <w:rPr>
        <w:rFonts w:hint="eastAsia"/>
        <w:sz w:val="18"/>
        <w:szCs w:val="18"/>
      </w:rPr>
      <w:t>č</w:t>
    </w:r>
    <w:r w:rsidRPr="00FA5D81">
      <w:rPr>
        <w:sz w:val="18"/>
        <w:szCs w:val="18"/>
      </w:rPr>
      <w:t>.: 2019/00049-REG, 2019/00050-REG</w:t>
    </w:r>
  </w:p>
  <w:p w:rsidR="00E16BD1" w:rsidRDefault="00E16BD1">
    <w:pPr>
      <w:pStyle w:val="Hlavika"/>
    </w:pPr>
  </w:p>
  <w:p w:rsidR="00E16BD1" w:rsidRDefault="00E16B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C6394"/>
    <w:multiLevelType w:val="hybridMultilevel"/>
    <w:tmpl w:val="E39EC936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BC007B6"/>
    <w:multiLevelType w:val="hybridMultilevel"/>
    <w:tmpl w:val="F63629E6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D1"/>
    <w:rsid w:val="005C1591"/>
    <w:rsid w:val="0089777A"/>
    <w:rsid w:val="00CC5BE8"/>
    <w:rsid w:val="00E1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19E5A-F23F-4343-914E-16A0B345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BD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16BD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E16BD1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Normlny"/>
    <w:rsid w:val="00E16BD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Default">
    <w:name w:val="Default"/>
    <w:rsid w:val="00E16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horttext">
    <w:name w:val="short_text"/>
    <w:rsid w:val="00E16BD1"/>
  </w:style>
  <w:style w:type="paragraph" w:styleId="Hlavika">
    <w:name w:val="header"/>
    <w:basedOn w:val="Normlny"/>
    <w:link w:val="HlavikaChar"/>
    <w:uiPriority w:val="99"/>
    <w:unhideWhenUsed/>
    <w:rsid w:val="00E16BD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6BD1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E16BD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6BD1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9B"/>
    <w:rsid w:val="000D49BE"/>
    <w:rsid w:val="00E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26E3E725FE148048C0CCFEE8F563060">
    <w:name w:val="426E3E725FE148048C0CCFEE8F563060"/>
    <w:rsid w:val="00EF1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2517</Words>
  <Characters>14348</Characters>
  <Application>Microsoft Office Word</Application>
  <DocSecurity>0</DocSecurity>
  <Lines>119</Lines>
  <Paragraphs>33</Paragraphs>
  <ScaleCrop>false</ScaleCrop>
  <Company>Microsoft</Company>
  <LinksUpToDate>false</LinksUpToDate>
  <CharactersWithSpaces>16832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dcterms:created xsi:type="dcterms:W3CDTF">2020-11-02T12:33:00Z</dcterms:created>
  <dcterms:modified xsi:type="dcterms:W3CDTF">2020-11-02T12:37:00Z</dcterms:modified>
</cp:coreProperties>
</file>