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32" w:rsidRPr="004A6A44" w:rsidRDefault="00BF0732" w:rsidP="00BF0732">
      <w:pPr>
        <w:spacing w:after="0" w:line="240" w:lineRule="auto"/>
        <w:jc w:val="center"/>
        <w:rPr>
          <w:rFonts w:ascii="Times New Roman" w:hAnsi="Times New Roman" w:cs="Times New Roman"/>
          <w:b/>
          <w:bCs/>
        </w:rPr>
      </w:pPr>
      <w:bookmarkStart w:id="0" w:name="_GoBack"/>
      <w:bookmarkEnd w:id="0"/>
      <w:r w:rsidRPr="004A6A44">
        <w:rPr>
          <w:rFonts w:ascii="Times New Roman" w:hAnsi="Times New Roman" w:cs="Times New Roman"/>
          <w:b/>
          <w:bCs/>
        </w:rPr>
        <w:t>SÚHRN CHARAKTERISTICKÝCH VLASTNOSTÍ LIEKU</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1.</w:t>
      </w:r>
      <w:r w:rsidRPr="004A6A44">
        <w:rPr>
          <w:rFonts w:ascii="Times New Roman" w:hAnsi="Times New Roman" w:cs="Times New Roman"/>
          <w:caps/>
          <w:noProof/>
          <w:color w:val="auto"/>
          <w:sz w:val="22"/>
          <w:szCs w:val="22"/>
          <w:lang w:val="sk-SK"/>
        </w:rPr>
        <w:tab/>
        <w:t>NÁZOV LIEKU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Leuprorelin Sandoz 3,6 mg implantát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widowControl w:val="0"/>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2.</w:t>
      </w:r>
      <w:r w:rsidRPr="004A6A44">
        <w:rPr>
          <w:rFonts w:ascii="Times New Roman" w:hAnsi="Times New Roman" w:cs="Times New Roman"/>
          <w:caps/>
          <w:noProof/>
          <w:color w:val="auto"/>
          <w:sz w:val="22"/>
          <w:szCs w:val="22"/>
          <w:lang w:val="sk-SK"/>
        </w:rPr>
        <w:tab/>
        <w:t>KVALITATÍVNE A KVANTITATÍVNE ZLOŽENIE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Každý implantát obsahuje 3,6 mg leuprorelínu (vo forme leuprorelíniumacetátu).</w:t>
      </w:r>
    </w:p>
    <w:p w:rsidR="00BF0732" w:rsidRPr="004A6A44" w:rsidRDefault="00BF0732" w:rsidP="00BF0732">
      <w:pPr>
        <w:spacing w:after="0" w:line="240" w:lineRule="auto"/>
        <w:ind w:left="567"/>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Úplný zoznam pomocných látok, pozri časť 6.1.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3.</w:t>
      </w:r>
      <w:r w:rsidRPr="004A6A44">
        <w:rPr>
          <w:rFonts w:ascii="Times New Roman" w:hAnsi="Times New Roman" w:cs="Times New Roman"/>
          <w:caps/>
          <w:noProof/>
          <w:color w:val="auto"/>
          <w:sz w:val="22"/>
          <w:szCs w:val="22"/>
          <w:lang w:val="sk-SK"/>
        </w:rPr>
        <w:tab/>
        <w:t>LIEKOVÁ FORMA</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Implantát</w:t>
      </w:r>
      <w:r w:rsidR="00974510" w:rsidRPr="004A6A44">
        <w:rPr>
          <w:rFonts w:ascii="Times New Roman" w:hAnsi="Times New Roman" w:cs="Times New Roman"/>
        </w:rPr>
        <w:t>.</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color w:val="000000"/>
        </w:rPr>
        <w:t xml:space="preserve">Biela až jemne žltkastá tyčinka cylindrického tvaru (dĺžka </w:t>
      </w:r>
      <w:smartTag w:uri="urn:schemas-microsoft-com:office:smarttags" w:element="metricconverter">
        <w:smartTagPr>
          <w:attr w:name="ProductID" w:val="10 mm"/>
        </w:smartTagPr>
        <w:r w:rsidRPr="004A6A44">
          <w:rPr>
            <w:rFonts w:ascii="Times New Roman" w:hAnsi="Times New Roman" w:cs="Times New Roman"/>
            <w:color w:val="000000"/>
          </w:rPr>
          <w:t>10 mm</w:t>
        </w:r>
      </w:smartTag>
      <w:r w:rsidRPr="004A6A44">
        <w:rPr>
          <w:rFonts w:ascii="Times New Roman" w:hAnsi="Times New Roman" w:cs="Times New Roman"/>
          <w:color w:val="000000"/>
        </w:rPr>
        <w:t>) v naplnenej injekčnej striekačke.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caps/>
          <w:noProof/>
          <w:color w:val="auto"/>
          <w:sz w:val="22"/>
          <w:szCs w:val="22"/>
          <w:lang w:val="sk-SK"/>
        </w:rPr>
      </w:pPr>
      <w:r w:rsidRPr="004A6A44">
        <w:rPr>
          <w:rFonts w:ascii="Times New Roman" w:hAnsi="Times New Roman" w:cs="Times New Roman"/>
          <w:caps/>
          <w:noProof/>
          <w:color w:val="auto"/>
          <w:sz w:val="22"/>
          <w:szCs w:val="22"/>
          <w:lang w:val="sk-SK"/>
        </w:rPr>
        <w:t>4.</w:t>
      </w:r>
      <w:r w:rsidRPr="004A6A44">
        <w:rPr>
          <w:rFonts w:ascii="Times New Roman" w:hAnsi="Times New Roman" w:cs="Times New Roman"/>
          <w:caps/>
          <w:noProof/>
          <w:color w:val="auto"/>
          <w:sz w:val="22"/>
          <w:szCs w:val="22"/>
          <w:lang w:val="sk-SK"/>
        </w:rPr>
        <w:tab/>
        <w:t>KLINICKÉ ÚDAJE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sz w:val="22"/>
          <w:szCs w:val="22"/>
          <w:u w:val="none"/>
          <w:lang w:val="sk-SK"/>
        </w:rPr>
      </w:pPr>
      <w:r w:rsidRPr="004A6A44">
        <w:rPr>
          <w:rFonts w:ascii="Times New Roman" w:hAnsi="Times New Roman" w:cs="Times New Roman"/>
          <w:b/>
          <w:bCs/>
          <w:sz w:val="22"/>
          <w:szCs w:val="22"/>
          <w:u w:val="none"/>
          <w:lang w:val="sk-SK"/>
        </w:rPr>
        <w:t>4.1</w:t>
      </w:r>
      <w:r w:rsidRPr="004A6A44">
        <w:rPr>
          <w:rFonts w:ascii="Times New Roman" w:hAnsi="Times New Roman" w:cs="Times New Roman"/>
          <w:b/>
          <w:bCs/>
          <w:sz w:val="22"/>
          <w:szCs w:val="22"/>
          <w:u w:val="none"/>
          <w:lang w:val="sk-SK"/>
        </w:rPr>
        <w:tab/>
        <w:t>Terapeutické indikácie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numPr>
          <w:ilvl w:val="0"/>
          <w:numId w:val="2"/>
        </w:numPr>
        <w:tabs>
          <w:tab w:val="left" w:pos="567"/>
        </w:tabs>
        <w:spacing w:after="0" w:line="240" w:lineRule="auto"/>
        <w:jc w:val="both"/>
        <w:rPr>
          <w:rFonts w:ascii="Times New Roman" w:hAnsi="Times New Roman" w:cs="Times New Roman"/>
        </w:rPr>
      </w:pPr>
      <w:r w:rsidRPr="004A6A44">
        <w:rPr>
          <w:rFonts w:ascii="Times New Roman" w:hAnsi="Times New Roman" w:cs="Times New Roman"/>
        </w:rPr>
        <w:t>Paliatívna liečba pacientov s pokročilým, hormonálne závislým karcinómom prostaty.</w:t>
      </w:r>
    </w:p>
    <w:p w:rsidR="00BF0732" w:rsidRPr="004A6A44" w:rsidRDefault="00BF0732" w:rsidP="00BF0732">
      <w:pPr>
        <w:numPr>
          <w:ilvl w:val="0"/>
          <w:numId w:val="2"/>
        </w:numPr>
        <w:spacing w:after="0" w:line="240" w:lineRule="auto"/>
        <w:rPr>
          <w:rFonts w:ascii="Times New Roman" w:hAnsi="Times New Roman" w:cs="Times New Roman"/>
        </w:rPr>
      </w:pPr>
      <w:r w:rsidRPr="004A6A44">
        <w:rPr>
          <w:rFonts w:ascii="Times New Roman" w:hAnsi="Times New Roman" w:cs="Times New Roman"/>
        </w:rPr>
        <w:t>Liečba lokálne pokročilého, hormonálne závislého karcinómu prostaty, súbežne s rádioterapiou a po nej.</w:t>
      </w:r>
    </w:p>
    <w:p w:rsidR="00BF0732" w:rsidRPr="004A6A44" w:rsidRDefault="00BF0732" w:rsidP="00BF0732">
      <w:pPr>
        <w:numPr>
          <w:ilvl w:val="0"/>
          <w:numId w:val="2"/>
        </w:numPr>
        <w:spacing w:after="0" w:line="240" w:lineRule="auto"/>
        <w:rPr>
          <w:rFonts w:ascii="Times New Roman" w:hAnsi="Times New Roman" w:cs="Times New Roman"/>
        </w:rPr>
      </w:pPr>
      <w:r w:rsidRPr="004A6A44">
        <w:rPr>
          <w:rFonts w:ascii="Times New Roman" w:hAnsi="Times New Roman" w:cs="Times New Roman"/>
        </w:rPr>
        <w:t>Liečba lokalizovaného, hormonálne závislého karcinómu prostaty u pacientov so stredne a vysoko rizikovým profilom v kombinácii s rádioterapiou.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4.2</w:t>
      </w:r>
      <w:r w:rsidRPr="004A6A44">
        <w:rPr>
          <w:rFonts w:ascii="Times New Roman" w:hAnsi="Times New Roman" w:cs="Times New Roman"/>
          <w:b/>
          <w:bCs/>
          <w:sz w:val="22"/>
          <w:szCs w:val="22"/>
          <w:u w:val="none"/>
          <w:lang w:val="sk-SK"/>
        </w:rPr>
        <w:tab/>
        <w:t>Dávkovanie a spôsob podávania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bCs/>
          <w:u w:val="single"/>
        </w:rPr>
      </w:pPr>
      <w:r w:rsidRPr="004A6A44">
        <w:rPr>
          <w:rFonts w:ascii="Times New Roman" w:hAnsi="Times New Roman" w:cs="Times New Roman"/>
          <w:bCs/>
          <w:u w:val="single"/>
        </w:rPr>
        <w:t>Dávkovanie</w:t>
      </w:r>
    </w:p>
    <w:p w:rsidR="00BF0732" w:rsidRPr="004A6A44" w:rsidRDefault="00BF0732" w:rsidP="00BF0732">
      <w:pPr>
        <w:spacing w:after="0" w:line="240" w:lineRule="auto"/>
        <w:rPr>
          <w:rFonts w:ascii="Times New Roman" w:hAnsi="Times New Roman" w:cs="Times New Roman"/>
          <w:bCs/>
        </w:rPr>
      </w:pPr>
      <w:r w:rsidRPr="004A6A44">
        <w:rPr>
          <w:rFonts w:ascii="Times New Roman" w:hAnsi="Times New Roman" w:cs="Times New Roman"/>
          <w:bCs/>
        </w:rPr>
        <w:t>Indikácia liečby má byť stanovená a dlhodobý monitoring liečby má byť prevedený lekárom so skúsenosťami s liečbou nádorov.</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Odporúčaná dávka je 3,6 mg leuprorelínu podaných v jednej dávke raz mesačne.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 druhom podaní sa môže vo výnimočných prípadoch posunúť ďalšie podanie až o 2 týždne, bez toho, aby sa narušil bežný terapeutický účinok u väčšiny pacientov (pozri časť 5.2).</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rPr>
        <w:t>Osobitné populácie</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U pacientov s poruchou funkcie obličiek alebo pečene, ani u starších ľudí nie je potrebná úprava dávkovania.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rPr>
        <w:t>Pediatrická populácia</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Leuprorelin Sandoz 3,6 mg </w:t>
      </w:r>
      <w:r w:rsidR="004A6A44" w:rsidRPr="004A6A44">
        <w:rPr>
          <w:rFonts w:ascii="Times New Roman" w:hAnsi="Times New Roman" w:cs="Times New Roman"/>
        </w:rPr>
        <w:t xml:space="preserve">implantát </w:t>
      </w:r>
      <w:r w:rsidRPr="004A6A44">
        <w:rPr>
          <w:rFonts w:ascii="Times New Roman" w:hAnsi="Times New Roman" w:cs="Times New Roman"/>
        </w:rPr>
        <w:t>je kontraindikovaný u detí a dospievajúcich, pozri časť 4.3.</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Leuprorelin Sandoz 3,6 mg </w:t>
      </w:r>
      <w:r w:rsidR="004A6A44" w:rsidRPr="004A6A44">
        <w:rPr>
          <w:rFonts w:ascii="Times New Roman" w:hAnsi="Times New Roman" w:cs="Times New Roman"/>
        </w:rPr>
        <w:t xml:space="preserve">implantát </w:t>
      </w:r>
      <w:r w:rsidRPr="004A6A44">
        <w:rPr>
          <w:rFonts w:ascii="Times New Roman" w:hAnsi="Times New Roman" w:cs="Times New Roman"/>
        </w:rPr>
        <w:t>sa môže používať na neoadjuvantnú alebo adjuvantnú liečbu lokálne pokročilého, hormonálne citlivého karcinómu prostaty, ako aj lokalizovaného karcinómu prostaty u pacientov so stredne a vysoko rizikovým profilom v kombinácii s rádioterapiou.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bCs/>
          <w:u w:val="single"/>
        </w:rPr>
        <w:t>Spôsob podávania</w:t>
      </w:r>
    </w:p>
    <w:p w:rsidR="00BB4CCB" w:rsidRPr="00820F40" w:rsidRDefault="00BB4CCB" w:rsidP="00820F40">
      <w:pPr>
        <w:autoSpaceDE w:val="0"/>
        <w:autoSpaceDN w:val="0"/>
        <w:adjustRightInd w:val="0"/>
        <w:spacing w:after="0" w:line="240" w:lineRule="auto"/>
        <w:rPr>
          <w:rFonts w:ascii="Times New Roman" w:hAnsi="Times New Roman" w:cs="Times New Roman"/>
          <w:bCs/>
        </w:rPr>
      </w:pPr>
      <w:r w:rsidRPr="00820F40">
        <w:rPr>
          <w:rFonts w:ascii="Times New Roman" w:hAnsi="Times New Roman" w:cs="Times New Roman"/>
          <w:bCs/>
        </w:rPr>
        <w:lastRenderedPageBreak/>
        <w:t>Leuprorelin Sandoz 3,6 mg implantát majú pripravovať a podávať len zdravotnícki pracovníci, ktorí sú oboznámení s týmito postupmi.</w:t>
      </w:r>
    </w:p>
    <w:p w:rsidR="00BB4CCB" w:rsidRDefault="00BB4CCB" w:rsidP="00BB4CCB">
      <w:pPr>
        <w:spacing w:after="0" w:line="240" w:lineRule="auto"/>
        <w:jc w:val="both"/>
        <w:rPr>
          <w:rFonts w:ascii="Verdana-Bold" w:hAnsi="Verdana-Bold" w:cs="Verdana-Bold"/>
          <w:b/>
          <w:bCs/>
          <w:sz w:val="18"/>
          <w:szCs w:val="18"/>
          <w:lang w:val="en-US"/>
        </w:rPr>
      </w:pPr>
    </w:p>
    <w:p w:rsidR="00BF0732" w:rsidRPr="004A6A44" w:rsidRDefault="00BF0732" w:rsidP="00BB4CCB">
      <w:pPr>
        <w:spacing w:after="0" w:line="240" w:lineRule="auto"/>
        <w:jc w:val="both"/>
        <w:rPr>
          <w:rFonts w:ascii="Times New Roman" w:hAnsi="Times New Roman" w:cs="Times New Roman"/>
        </w:rPr>
      </w:pPr>
      <w:r w:rsidRPr="004A6A44">
        <w:rPr>
          <w:rFonts w:ascii="Times New Roman" w:hAnsi="Times New Roman" w:cs="Times New Roman"/>
        </w:rPr>
        <w:t>Implantát sa vpichne subkutánne do prednej brušnej steny.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Pred podaním injekcie sa môže podať lokálne anestetikum.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Odporúča sa podávanie antiandrogénnych látok ako prídavnej liečby 5 dní pred začatím podávania Leuprorelinu Sandoz 3,6 mg implantát (pozri časť 4.4).</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bCs/>
          <w:u w:val="single"/>
        </w:rPr>
      </w:pPr>
      <w:r w:rsidRPr="004A6A44">
        <w:rPr>
          <w:rFonts w:ascii="Times New Roman" w:hAnsi="Times New Roman" w:cs="Times New Roman"/>
          <w:bCs/>
          <w:u w:val="single"/>
        </w:rPr>
        <w:t>Pokyny na použitie</w:t>
      </w:r>
    </w:p>
    <w:p w:rsidR="00BF0732" w:rsidRPr="004A6A44" w:rsidRDefault="00BF0732" w:rsidP="00BF0732">
      <w:pPr>
        <w:spacing w:after="0" w:line="240" w:lineRule="auto"/>
        <w:jc w:val="both"/>
        <w:rPr>
          <w:rFonts w:ascii="Times New Roman" w:hAnsi="Times New Roman" w:cs="Times New Roman"/>
          <w:bCs/>
          <w:u w:val="single"/>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Pozorne si prečítajte pokyny na použitie, pretože tento aplikátor môže byť iný, než na aký ste zvyknutý.</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Vydezinfikujte miesto podania injekcie na prednej strane brušnej steny pod líniou pupka.</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Vyberte aplikátor zo sterilného vrecka a skontrolujte, či je implantát viditeľný v zásobníku (pozri orámovanú oblasť). Kvôli kontrole, pozrite si aplikátor oproti svetlu alebo jemne ním potraste.</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firstLine="284"/>
        <w:rPr>
          <w:rFonts w:ascii="Times New Roman" w:hAnsi="Times New Roman" w:cs="Times New Roman"/>
        </w:rPr>
      </w:pPr>
      <w:r w:rsidRPr="004A6A44">
        <w:rPr>
          <w:rFonts w:ascii="Times New Roman" w:hAnsi="Times New Roman" w:cs="Times New Roman"/>
          <w:noProof/>
          <w:lang w:eastAsia="sk-SK"/>
        </w:rPr>
        <w:drawing>
          <wp:inline distT="0" distB="0" distL="0" distR="0" wp14:anchorId="6FB793A7" wp14:editId="70A85ECF">
            <wp:extent cx="2457450" cy="1400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400175"/>
                    </a:xfrm>
                    <a:prstGeom prst="rect">
                      <a:avLst/>
                    </a:prstGeom>
                    <a:noFill/>
                    <a:ln>
                      <a:noFill/>
                    </a:ln>
                  </pic:spPr>
                </pic:pic>
              </a:graphicData>
            </a:graphic>
          </wp:inline>
        </w:drawing>
      </w:r>
    </w:p>
    <w:p w:rsidR="00BF0732" w:rsidRPr="004A6A44" w:rsidRDefault="00BF0732" w:rsidP="00BF0732">
      <w:pPr>
        <w:pStyle w:val="leipa"/>
        <w:spacing w:before="0" w:after="0" w:afterAutospacing="0"/>
        <w:ind w:left="540"/>
        <w:rPr>
          <w:rFonts w:ascii="Times New Roman" w:cs="Times New Roman"/>
          <w:sz w:val="22"/>
          <w:szCs w:val="22"/>
          <w:lang w:val="sk-SK"/>
        </w:rPr>
      </w:pP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 xml:space="preserve">Piest z aplikátora </w:t>
      </w:r>
      <w:r w:rsidRPr="004A6A44">
        <w:rPr>
          <w:rFonts w:ascii="Times New Roman" w:hAnsi="Times New Roman" w:cs="Times New Roman"/>
          <w:b/>
          <w:bCs/>
        </w:rPr>
        <w:t>úplne vytiahnite pokiaľ neuvidíte čiaru v druhom okienku.</w:t>
      </w:r>
    </w:p>
    <w:p w:rsidR="00BF0732" w:rsidRPr="004A6A44" w:rsidRDefault="00BF0732" w:rsidP="00BF0732">
      <w:pPr>
        <w:spacing w:after="0" w:line="240" w:lineRule="auto"/>
        <w:ind w:left="360" w:right="4674"/>
        <w:rPr>
          <w:rFonts w:ascii="Times New Roman" w:hAnsi="Times New Roman" w:cs="Times New Roman"/>
          <w:b/>
          <w:bCs/>
          <w:u w:val="single"/>
        </w:rPr>
      </w:pPr>
    </w:p>
    <w:p w:rsidR="00BF0732" w:rsidRPr="004A6A44" w:rsidRDefault="00BF0732" w:rsidP="00BF0732">
      <w:pPr>
        <w:spacing w:after="0" w:line="240" w:lineRule="auto"/>
        <w:ind w:left="360" w:right="565"/>
        <w:rPr>
          <w:rFonts w:ascii="Times New Roman" w:hAnsi="Times New Roman" w:cs="Times New Roman"/>
        </w:rPr>
      </w:pPr>
      <w:r w:rsidRPr="004A6A44">
        <w:rPr>
          <w:rFonts w:ascii="Times New Roman" w:hAnsi="Times New Roman" w:cs="Times New Roman"/>
          <w:b/>
          <w:bCs/>
          <w:u w:val="single"/>
        </w:rPr>
        <w:t>Všimnite si, prosím:</w:t>
      </w:r>
      <w:r w:rsidRPr="004A6A44">
        <w:rPr>
          <w:rFonts w:ascii="Times New Roman" w:hAnsi="Times New Roman" w:cs="Times New Roman"/>
        </w:rPr>
        <w:t xml:space="preserve"> Piest je možné zatlačiť a podať implantát len v prípade, že bol predtým </w:t>
      </w:r>
      <w:r w:rsidRPr="004A6A44">
        <w:rPr>
          <w:rFonts w:ascii="Times New Roman" w:hAnsi="Times New Roman" w:cs="Times New Roman"/>
          <w:b/>
          <w:bCs/>
        </w:rPr>
        <w:t>úplne vytiahnutý!</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r w:rsidRPr="004A6A44">
        <w:rPr>
          <w:rFonts w:ascii="Times New Roman" w:hAnsi="Times New Roman" w:cs="Times New Roman"/>
        </w:rPr>
        <w:t xml:space="preserve">     </w:t>
      </w:r>
      <w:r w:rsidRPr="004A6A44">
        <w:rPr>
          <w:rFonts w:ascii="Times New Roman" w:hAnsi="Times New Roman" w:cs="Times New Roman"/>
          <w:noProof/>
          <w:lang w:eastAsia="sk-SK"/>
        </w:rPr>
        <w:drawing>
          <wp:inline distT="0" distB="0" distL="0" distR="0" wp14:anchorId="064A0FD5" wp14:editId="624E0FC1">
            <wp:extent cx="300990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352550"/>
                    </a:xfrm>
                    <a:prstGeom prst="rect">
                      <a:avLst/>
                    </a:prstGeom>
                    <a:noFill/>
                    <a:ln>
                      <a:noFill/>
                    </a:ln>
                  </pic:spPr>
                </pic:pic>
              </a:graphicData>
            </a:graphic>
          </wp:inline>
        </w:drawing>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Potom odstráňte ochranný kryt z ihly aplikátora.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Držte telo aplikátora jednou rukou. Druhou rukou stlačte pacientovi kožu na prednej strane brušnej steny pod líniou pupka. Pozri obrázok.</w:t>
      </w:r>
      <w:r w:rsidRPr="004A6A44">
        <w:rPr>
          <w:rFonts w:ascii="Times New Roman" w:hAnsi="Times New Roman" w:cs="Times New Roman"/>
          <w:b/>
        </w:rPr>
        <w:t>Vpichnite celú ihlu s otvorom ihly smerujúcim nahor</w:t>
      </w:r>
      <w:r w:rsidRPr="004A6A44">
        <w:rPr>
          <w:rFonts w:ascii="Times New Roman" w:hAnsi="Times New Roman" w:cs="Times New Roman"/>
        </w:rPr>
        <w:t>. Vpichnite pod miernym uhlom, takmer paralelne s povrchom kože, do podkožného tkaniva.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 xml:space="preserve">      </w:t>
      </w:r>
      <w:r w:rsidRPr="004A6A44">
        <w:rPr>
          <w:rFonts w:ascii="Times New Roman" w:hAnsi="Times New Roman" w:cs="Times New Roman"/>
          <w:noProof/>
          <w:lang w:eastAsia="sk-SK"/>
        </w:rPr>
        <w:drawing>
          <wp:inline distT="0" distB="0" distL="0" distR="0" wp14:anchorId="67BF53D9" wp14:editId="3200ABE3">
            <wp:extent cx="2638425" cy="1714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714500"/>
                    </a:xfrm>
                    <a:prstGeom prst="rect">
                      <a:avLst/>
                    </a:prstGeom>
                    <a:noFill/>
                    <a:ln>
                      <a:noFill/>
                    </a:ln>
                  </pic:spPr>
                </pic:pic>
              </a:graphicData>
            </a:graphic>
          </wp:inline>
        </w:drawing>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left="360" w:hanging="360"/>
        <w:rPr>
          <w:rFonts w:ascii="Times New Roman" w:hAnsi="Times New Roman" w:cs="Times New Roman"/>
        </w:rPr>
      </w:pPr>
      <w:r w:rsidRPr="004A6A44">
        <w:rPr>
          <w:rFonts w:ascii="Times New Roman" w:hAnsi="Times New Roman" w:cs="Times New Roman"/>
          <w:noProof/>
          <w:lang w:eastAsia="sk-SK"/>
        </w:rPr>
        <mc:AlternateContent>
          <mc:Choice Requires="wps">
            <w:drawing>
              <wp:anchor distT="0" distB="0" distL="114300" distR="114300" simplePos="0" relativeHeight="251658240" behindDoc="0" locked="0" layoutInCell="0" allowOverlap="1" wp14:anchorId="5ECEE733" wp14:editId="42887129">
                <wp:simplePos x="0" y="0"/>
                <wp:positionH relativeFrom="column">
                  <wp:posOffset>5869305</wp:posOffset>
                </wp:positionH>
                <wp:positionV relativeFrom="paragraph">
                  <wp:posOffset>66675</wp:posOffset>
                </wp:positionV>
                <wp:extent cx="78740" cy="266700"/>
                <wp:effectExtent l="0" t="3810" r="0" b="0"/>
                <wp:wrapSquare wrapText="lef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732" w:rsidRDefault="00BF0732" w:rsidP="00BF0732">
                            <w:pPr>
                              <w:jc w:val="center"/>
                            </w:pPr>
                            <w:r>
                              <w:rPr>
                                <w:noProof/>
                                <w:lang w:eastAsia="sk-SK"/>
                              </w:rPr>
                              <w:drawing>
                                <wp:inline distT="0" distB="0" distL="0" distR="0" wp14:anchorId="1E25C5A6" wp14:editId="2A1C22AF">
                                  <wp:extent cx="19050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62.15pt;margin-top:5.25pt;width:6.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" o:allowincell="f" stroked="f">
                <v:textbox style="mso-fit-shape-to-text:t">
                  <w:txbxContent>
                    <w:p w:rsidR="00BF0732" w:rsidRDefault="00BF0732" w:rsidP="00BF0732">
                      <w:pPr>
                        <w:jc w:val="center"/>
                      </w:pPr>
                      <w:r>
                        <w:rPr>
                          <w:noProof/>
                          <w:lang w:eastAsia="sk-SK"/>
                        </w:rPr>
                        <w:drawing>
                          <wp:inline distT="0" distB="0" distL="0" distR="0" wp14:anchorId="5515DACA" wp14:editId="42774D67">
                            <wp:extent cx="190500" cy="95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p>
                  </w:txbxContent>
                </v:textbox>
                <w10:wrap type="square" side="left"/>
              </v:shape>
            </w:pict>
          </mc:Fallback>
        </mc:AlternateContent>
      </w: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rPr>
      </w:pPr>
      <w:r w:rsidRPr="004A6A44">
        <w:rPr>
          <w:rFonts w:ascii="Times New Roman" w:hAnsi="Times New Roman" w:cs="Times New Roman"/>
        </w:rPr>
        <w:t xml:space="preserve">Opatrne </w:t>
      </w:r>
      <w:r w:rsidRPr="004A6A44">
        <w:rPr>
          <w:rFonts w:ascii="Times New Roman" w:hAnsi="Times New Roman" w:cs="Times New Roman"/>
          <w:b/>
        </w:rPr>
        <w:t>povytiahnite</w:t>
      </w:r>
      <w:r w:rsidRPr="004A6A44">
        <w:rPr>
          <w:rFonts w:ascii="Times New Roman" w:hAnsi="Times New Roman" w:cs="Times New Roman"/>
        </w:rPr>
        <w:t xml:space="preserve"> injekčnú striekačku približne </w:t>
      </w:r>
      <w:smartTag w:uri="urn:schemas-microsoft-com:office:smarttags" w:element="metricconverter">
        <w:smartTagPr>
          <w:attr w:name="ProductID" w:val="1 cm"/>
        </w:smartTagPr>
        <w:r w:rsidRPr="004A6A44">
          <w:rPr>
            <w:rFonts w:ascii="Times New Roman" w:hAnsi="Times New Roman" w:cs="Times New Roman"/>
            <w:b/>
          </w:rPr>
          <w:t>1 cm</w:t>
        </w:r>
      </w:smartTag>
      <w:r w:rsidRPr="004A6A44">
        <w:rPr>
          <w:rFonts w:ascii="Times New Roman" w:hAnsi="Times New Roman" w:cs="Times New Roman"/>
          <w:b/>
        </w:rPr>
        <w:t xml:space="preserve"> späť</w:t>
      </w:r>
      <w:r w:rsidRPr="004A6A44">
        <w:rPr>
          <w:rFonts w:ascii="Times New Roman" w:hAnsi="Times New Roman" w:cs="Times New Roman"/>
        </w:rPr>
        <w:t xml:space="preserve">. Tým sa vytvorí kanálik pre vpichnutie implantátu. </w:t>
      </w:r>
    </w:p>
    <w:p w:rsidR="00BF0732" w:rsidRPr="004A6A44" w:rsidRDefault="00BF0732" w:rsidP="00BF0732">
      <w:pPr>
        <w:spacing w:after="0" w:line="240" w:lineRule="auto"/>
        <w:ind w:left="360" w:hanging="360"/>
        <w:rPr>
          <w:rFonts w:ascii="Times New Roman" w:hAnsi="Times New Roman" w:cs="Times New Roman"/>
        </w:rPr>
      </w:pPr>
    </w:p>
    <w:p w:rsidR="00BF0732" w:rsidRPr="004A6A44" w:rsidRDefault="00BF0732" w:rsidP="00BF0732">
      <w:pPr>
        <w:numPr>
          <w:ilvl w:val="0"/>
          <w:numId w:val="1"/>
        </w:numPr>
        <w:tabs>
          <w:tab w:val="clear" w:pos="720"/>
        </w:tabs>
        <w:spacing w:after="0" w:line="240" w:lineRule="auto"/>
        <w:ind w:left="360"/>
        <w:rPr>
          <w:rFonts w:ascii="Times New Roman" w:hAnsi="Times New Roman" w:cs="Times New Roman"/>
          <w:b/>
        </w:rPr>
      </w:pPr>
      <w:r w:rsidRPr="004A6A44">
        <w:rPr>
          <w:rFonts w:ascii="Times New Roman" w:hAnsi="Times New Roman" w:cs="Times New Roman"/>
        </w:rPr>
        <w:t xml:space="preserve">Aby ste vpichli implantát do vytvoreného kanálika, zatlačte piest </w:t>
      </w:r>
      <w:r w:rsidRPr="004A6A44">
        <w:rPr>
          <w:rFonts w:ascii="Times New Roman" w:hAnsi="Times New Roman" w:cs="Times New Roman"/>
          <w:b/>
        </w:rPr>
        <w:t>na doraz</w:t>
      </w:r>
      <w:r w:rsidRPr="004A6A44">
        <w:rPr>
          <w:rFonts w:ascii="Times New Roman" w:hAnsi="Times New Roman" w:cs="Times New Roman"/>
        </w:rPr>
        <w:t xml:space="preserve">, až pokým nezapadne na miesto a je </w:t>
      </w:r>
      <w:r w:rsidRPr="004A6A44">
        <w:rPr>
          <w:rFonts w:ascii="Times New Roman" w:hAnsi="Times New Roman" w:cs="Times New Roman"/>
          <w:b/>
        </w:rPr>
        <w:t xml:space="preserve">počuť kliknutie. </w:t>
      </w:r>
      <w:r w:rsidRPr="004A6A44">
        <w:rPr>
          <w:rFonts w:ascii="Times New Roman" w:hAnsi="Times New Roman" w:cs="Times New Roman"/>
          <w:noProof/>
          <w:lang w:eastAsia="sk-SK"/>
        </w:rPr>
        <w:drawing>
          <wp:inline distT="0" distB="0" distL="0" distR="0" wp14:anchorId="0769FF60" wp14:editId="0876B250">
            <wp:extent cx="3038475" cy="1019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8475" cy="1019175"/>
                    </a:xfrm>
                    <a:prstGeom prst="rect">
                      <a:avLst/>
                    </a:prstGeom>
                    <a:noFill/>
                    <a:ln>
                      <a:noFill/>
                    </a:ln>
                  </pic:spPr>
                </pic:pic>
              </a:graphicData>
            </a:graphic>
          </wp:inline>
        </w:drawing>
      </w:r>
    </w:p>
    <w:p w:rsidR="00BF0732" w:rsidRPr="004A6A44" w:rsidRDefault="00BF0732" w:rsidP="00BF0732">
      <w:pPr>
        <w:spacing w:after="0" w:line="240" w:lineRule="auto"/>
        <w:rPr>
          <w:rFonts w:ascii="Times New Roman" w:hAnsi="Times New Roman" w:cs="Times New Roman"/>
          <w:b/>
        </w:rPr>
      </w:pPr>
    </w:p>
    <w:p w:rsidR="00BF0732" w:rsidRPr="004A6A44" w:rsidRDefault="00BF0732" w:rsidP="00BF0732">
      <w:pPr>
        <w:spacing w:after="0" w:line="240" w:lineRule="auto"/>
        <w:rPr>
          <w:rFonts w:ascii="Times New Roman" w:hAnsi="Times New Roman" w:cs="Times New Roman"/>
          <w:b/>
        </w:rPr>
      </w:pPr>
    </w:p>
    <w:p w:rsidR="00BF0732" w:rsidRPr="004A6A44" w:rsidRDefault="00BF0732" w:rsidP="00BF0732">
      <w:pPr>
        <w:numPr>
          <w:ilvl w:val="0"/>
          <w:numId w:val="1"/>
        </w:numPr>
        <w:tabs>
          <w:tab w:val="clear" w:pos="720"/>
          <w:tab w:val="num" w:pos="426"/>
        </w:tabs>
        <w:spacing w:after="0" w:line="240" w:lineRule="auto"/>
        <w:ind w:left="426" w:hanging="426"/>
        <w:rPr>
          <w:rFonts w:ascii="Times New Roman" w:hAnsi="Times New Roman" w:cs="Times New Roman"/>
        </w:rPr>
      </w:pPr>
      <w:r w:rsidRPr="004A6A44">
        <w:rPr>
          <w:rFonts w:ascii="Times New Roman" w:hAnsi="Times New Roman" w:cs="Times New Roman"/>
        </w:rPr>
        <w:t>Vytiahnite injekčnú ihlu. Aby ste sa uistili, že implantát bol zavedený správne, skontrolujte, či je biely koniec piestu viditeľný na hrote injekčnej ihly.</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noProof/>
          <w:lang w:eastAsia="sk-SK"/>
        </w:rPr>
        <w:drawing>
          <wp:inline distT="0" distB="0" distL="0" distR="0" wp14:anchorId="4CA34F86" wp14:editId="302EA4D1">
            <wp:extent cx="17240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 začiatku liečby a po 3-mesačnom používaní Leuprorelinu Sandoz 3,6 mg implantátu sa musia stanoviť hladiny prostatického špecifického antigénu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a celkové koncentrácie testosterónu v sére. Karcinóm prostaty je citlivý na androgény, ak po 3 mesiacoch sú koncentrácie testosterónu na kastračnej úrovni (≤ 0,5 ng/ml) a klesnú hodnoty PSA. Skorý výrazný pokles v hodnotách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(približne 80% z východiskovej hodnoty) je možné považovať za dobrý prognostický indikátor dlhodobej odpovede na vymiznutie androgénov. Následne je indikovaná hormonálno-ablatívna liečba (napr. Leuprorelin Sandoz 3,6 mg implantát).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Pokiaľ hodnoty </w:t>
      </w:r>
      <w:smartTag w:uri="urn:schemas-microsoft-com:office:smarttags" w:element="metricconverter">
        <w:smartTagPr>
          <w:attr w:name="ProductID" w:val="30 °C"/>
        </w:smartTagPr>
        <w:r w:rsidRPr="004A6A44">
          <w:rPr>
            <w:rFonts w:ascii="Times New Roman" w:hAnsi="Times New Roman" w:cs="Times New Roman"/>
          </w:rPr>
          <w:t>PSA</w:t>
        </w:r>
      </w:smartTag>
      <w:r w:rsidRPr="004A6A44">
        <w:rPr>
          <w:rFonts w:ascii="Times New Roman" w:hAnsi="Times New Roman" w:cs="Times New Roman"/>
        </w:rPr>
        <w:t xml:space="preserve"> zostanú nezmenené alebo stúpnu u pacientov so supresiou testosterónu, karcinóm prostaty nie je citlivý na liečbu androgénom. V takýchto prípadoch nie je vhodné pokračovať v hormonálno-ablatívnej liečbe.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Ak sa však u pacienta zaznamenala klinická odpoveď (napr. zmiernenie bolesti a príznakov dyzúrie, zmenšenie veľkosti prostaty), výsledok sa musí zvážiť ako falošne negatívny. V týchto zriedkavých prípadoch sa má s podávaním Leuprorelinu Sandoz 3,6 mg implantát pokračovať ďalšie 3 mesiace a následne znova skontrolovať hodnoty PSA; okrem toho sa majú u pacienta veľmi pozorne monitorovať klinické symptómy.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Liečba pokročilého, hormonálne závislého karcinómu prostaty s Leuprorelinom Sandoz 3,6 mg implantátom je obvykle dlhodobá.</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Klinické údaje ukázali, že pri lokálne pokročilom, hormonálne citlivom karcinóme prostaty je rádioterapia a následná 3-ročná androgénna deprivácia vhodnejšia ako rádioterapia s následnou 6-mesačnou androgénnou depriváciou (pozri časť 5.1). Podľa štandardných liečebných postupov, je pre pacientov (T3 - T4) liečených rádioterapiou odporúčaná dĺžka liečby formou androgénnej deprivácie 2 - 3 roky.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U pacientov s lokalizovaným karcinómom prostaty so stredne rizikovým profilom sa odporúča kombinácia rádioterapie s androgénnou depriváciou agonistami LHRH počas 4 až 6 mesiacov, zatiaľ čo u pacientov s vysoko rizikovým profilom sa odporúčajú 2 až 3 roky.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4.3</w:t>
      </w:r>
      <w:r w:rsidRPr="004A6A44">
        <w:rPr>
          <w:rFonts w:ascii="Times New Roman" w:hAnsi="Times New Roman" w:cs="Times New Roman"/>
          <w:b/>
          <w:bCs/>
          <w:sz w:val="22"/>
          <w:szCs w:val="22"/>
          <w:u w:val="none"/>
          <w:lang w:val="sk-SK"/>
        </w:rPr>
        <w:tab/>
        <w:t>Kontraindikácie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Precitlivenosť na liečivo alebo na ktorúkoľvek z pomocných látok uvedených v časti 6.1, alebo na iný analóg hormónu uvoľňujúceho luteinizačný hormón (LHRH).</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Pri potvrdenej nezávislosti karcinómu od hormónov je Leuprorelin Sandoz 3,6 mg implantát kontraindikovaný u žien a pediatrických pacientov.</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4.4</w:t>
      </w:r>
      <w:r w:rsidRPr="004A6A44">
        <w:rPr>
          <w:rFonts w:ascii="Times New Roman" w:hAnsi="Times New Roman" w:cs="Times New Roman"/>
          <w:b/>
          <w:bCs/>
          <w:sz w:val="22"/>
          <w:szCs w:val="22"/>
          <w:u w:val="none"/>
          <w:lang w:val="sk-SK"/>
        </w:rPr>
        <w:tab/>
        <w:t>Osobitné upozornenia a opatrenia pri používaní</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Pacienti s hypertenziou sa majú starostlivo sledovať.</w:t>
      </w:r>
    </w:p>
    <w:p w:rsidR="00BF0732" w:rsidRPr="004A6A44" w:rsidRDefault="00BF0732" w:rsidP="00BF0732">
      <w:pPr>
        <w:spacing w:after="0" w:line="240" w:lineRule="auto"/>
        <w:rPr>
          <w:rFonts w:ascii="Times New Roman" w:hAnsi="Times New Roman" w:cs="Times New Roman"/>
          <w:kern w:val="32"/>
        </w:rPr>
      </w:pPr>
    </w:p>
    <w:p w:rsidR="00BF0732" w:rsidRPr="004A6A44" w:rsidRDefault="00BF0732" w:rsidP="00BF0732">
      <w:pPr>
        <w:spacing w:after="0" w:line="240" w:lineRule="auto"/>
        <w:rPr>
          <w:rStyle w:val="hps"/>
          <w:rFonts w:ascii="Times New Roman" w:hAnsi="Times New Roman" w:cs="Times New Roman"/>
        </w:rPr>
      </w:pPr>
      <w:r w:rsidRPr="004A6A44">
        <w:rPr>
          <w:rStyle w:val="hps"/>
          <w:rFonts w:ascii="Times New Roman" w:hAnsi="Times New Roman" w:cs="Times New Roman"/>
        </w:rPr>
        <w:t>U</w:t>
      </w:r>
      <w:r w:rsidRPr="004A6A44">
        <w:rPr>
          <w:rFonts w:ascii="Times New Roman" w:hAnsi="Times New Roman" w:cs="Times New Roman"/>
        </w:rPr>
        <w:t xml:space="preserve"> </w:t>
      </w:r>
      <w:r w:rsidRPr="004A6A44">
        <w:rPr>
          <w:rStyle w:val="hps"/>
          <w:rFonts w:ascii="Times New Roman" w:hAnsi="Times New Roman" w:cs="Times New Roman"/>
        </w:rPr>
        <w:t>pacientov liečených</w:t>
      </w:r>
      <w:r w:rsidRPr="004A6A44">
        <w:rPr>
          <w:rFonts w:ascii="Times New Roman" w:hAnsi="Times New Roman" w:cs="Times New Roman"/>
        </w:rPr>
        <w:t xml:space="preserve"> </w:t>
      </w:r>
      <w:r w:rsidRPr="004A6A44">
        <w:rPr>
          <w:rStyle w:val="hps"/>
          <w:rFonts w:ascii="Times New Roman" w:hAnsi="Times New Roman" w:cs="Times New Roman"/>
        </w:rPr>
        <w:t>agonistami</w:t>
      </w:r>
      <w:r w:rsidRPr="004A6A44">
        <w:rPr>
          <w:rFonts w:ascii="Times New Roman" w:hAnsi="Times New Roman" w:cs="Times New Roman"/>
        </w:rPr>
        <w:t xml:space="preserve"> </w:t>
      </w:r>
      <w:r w:rsidRPr="004A6A44">
        <w:rPr>
          <w:rStyle w:val="hps"/>
          <w:rFonts w:ascii="Times New Roman" w:hAnsi="Times New Roman" w:cs="Times New Roman"/>
        </w:rPr>
        <w:t>LHRH</w:t>
      </w:r>
      <w:r w:rsidRPr="004A6A44">
        <w:rPr>
          <w:rFonts w:ascii="Times New Roman" w:hAnsi="Times New Roman" w:cs="Times New Roman"/>
        </w:rPr>
        <w:t xml:space="preserve">, </w:t>
      </w:r>
      <w:r w:rsidRPr="004A6A44">
        <w:rPr>
          <w:rStyle w:val="hps"/>
          <w:rFonts w:ascii="Times New Roman" w:hAnsi="Times New Roman" w:cs="Times New Roman"/>
        </w:rPr>
        <w:t>ako</w:t>
      </w:r>
      <w:r w:rsidRPr="004A6A44">
        <w:rPr>
          <w:rFonts w:ascii="Times New Roman" w:hAnsi="Times New Roman" w:cs="Times New Roman"/>
        </w:rPr>
        <w:t xml:space="preserve"> </w:t>
      </w:r>
      <w:r w:rsidRPr="004A6A44">
        <w:rPr>
          <w:rStyle w:val="hps"/>
          <w:rFonts w:ascii="Times New Roman" w:hAnsi="Times New Roman" w:cs="Times New Roman"/>
        </w:rPr>
        <w:t>leuprorelín, existuje</w:t>
      </w:r>
      <w:r w:rsidRPr="004A6A44">
        <w:rPr>
          <w:rFonts w:ascii="Times New Roman" w:hAnsi="Times New Roman" w:cs="Times New Roman"/>
        </w:rPr>
        <w:t xml:space="preserve"> </w:t>
      </w:r>
      <w:r w:rsidRPr="004A6A44">
        <w:rPr>
          <w:rStyle w:val="hps"/>
          <w:rFonts w:ascii="Times New Roman" w:hAnsi="Times New Roman" w:cs="Times New Roman"/>
        </w:rPr>
        <w:t>zvýšené riziko</w:t>
      </w:r>
      <w:r w:rsidRPr="004A6A44">
        <w:rPr>
          <w:rFonts w:ascii="Times New Roman" w:hAnsi="Times New Roman" w:cs="Times New Roman"/>
        </w:rPr>
        <w:t xml:space="preserve"> vzniku </w:t>
      </w:r>
      <w:r w:rsidRPr="004A6A44">
        <w:rPr>
          <w:rStyle w:val="hps"/>
          <w:rFonts w:ascii="Times New Roman" w:hAnsi="Times New Roman" w:cs="Times New Roman"/>
        </w:rPr>
        <w:t>depresie</w:t>
      </w:r>
      <w:r w:rsidRPr="004A6A44">
        <w:rPr>
          <w:rFonts w:ascii="Times New Roman" w:hAnsi="Times New Roman" w:cs="Times New Roman"/>
        </w:rPr>
        <w:t xml:space="preserve"> </w:t>
      </w:r>
      <w:r w:rsidRPr="004A6A44">
        <w:rPr>
          <w:rStyle w:val="hps"/>
          <w:rFonts w:ascii="Times New Roman" w:hAnsi="Times New Roman" w:cs="Times New Roman"/>
        </w:rPr>
        <w:t>(</w:t>
      </w:r>
      <w:r w:rsidRPr="004A6A44">
        <w:rPr>
          <w:rFonts w:ascii="Times New Roman" w:hAnsi="Times New Roman" w:cs="Times New Roman"/>
        </w:rPr>
        <w:t xml:space="preserve">ktorá môže </w:t>
      </w:r>
      <w:r w:rsidRPr="004A6A44">
        <w:rPr>
          <w:rStyle w:val="hps"/>
          <w:rFonts w:ascii="Times New Roman" w:hAnsi="Times New Roman" w:cs="Times New Roman"/>
        </w:rPr>
        <w:t>byť</w:t>
      </w:r>
      <w:r w:rsidRPr="004A6A44">
        <w:rPr>
          <w:rFonts w:ascii="Times New Roman" w:hAnsi="Times New Roman" w:cs="Times New Roman"/>
        </w:rPr>
        <w:t xml:space="preserve"> </w:t>
      </w:r>
      <w:r w:rsidRPr="004A6A44">
        <w:rPr>
          <w:rStyle w:val="hps"/>
          <w:rFonts w:ascii="Times New Roman" w:hAnsi="Times New Roman" w:cs="Times New Roman"/>
        </w:rPr>
        <w:t>závažná</w:t>
      </w:r>
      <w:r w:rsidRPr="004A6A44">
        <w:rPr>
          <w:rFonts w:ascii="Times New Roman" w:hAnsi="Times New Roman" w:cs="Times New Roman"/>
        </w:rPr>
        <w:t xml:space="preserve">). </w:t>
      </w:r>
      <w:r w:rsidRPr="004A6A44">
        <w:rPr>
          <w:rStyle w:val="hps"/>
          <w:rFonts w:ascii="Times New Roman" w:hAnsi="Times New Roman" w:cs="Times New Roman"/>
        </w:rPr>
        <w:t>Pacienti</w:t>
      </w:r>
      <w:r w:rsidRPr="004A6A44">
        <w:rPr>
          <w:rFonts w:ascii="Times New Roman" w:hAnsi="Times New Roman" w:cs="Times New Roman"/>
        </w:rPr>
        <w:t xml:space="preserve"> </w:t>
      </w:r>
      <w:r w:rsidRPr="004A6A44">
        <w:rPr>
          <w:rStyle w:val="hps"/>
          <w:rFonts w:ascii="Times New Roman" w:hAnsi="Times New Roman" w:cs="Times New Roman"/>
        </w:rPr>
        <w:t>musia</w:t>
      </w:r>
      <w:r w:rsidRPr="004A6A44">
        <w:rPr>
          <w:rFonts w:ascii="Times New Roman" w:hAnsi="Times New Roman" w:cs="Times New Roman"/>
        </w:rPr>
        <w:t xml:space="preserve"> </w:t>
      </w:r>
      <w:r w:rsidRPr="004A6A44">
        <w:rPr>
          <w:rStyle w:val="hps"/>
          <w:rFonts w:ascii="Times New Roman" w:hAnsi="Times New Roman" w:cs="Times New Roman"/>
        </w:rPr>
        <w:t>byť</w:t>
      </w:r>
      <w:r w:rsidRPr="004A6A44">
        <w:rPr>
          <w:rFonts w:ascii="Times New Roman" w:hAnsi="Times New Roman" w:cs="Times New Roman"/>
        </w:rPr>
        <w:t xml:space="preserve"> </w:t>
      </w:r>
      <w:r w:rsidRPr="004A6A44">
        <w:rPr>
          <w:rStyle w:val="hps"/>
          <w:rFonts w:ascii="Times New Roman" w:hAnsi="Times New Roman" w:cs="Times New Roman"/>
        </w:rPr>
        <w:t>o</w:t>
      </w:r>
      <w:r w:rsidRPr="004A6A44">
        <w:rPr>
          <w:rFonts w:ascii="Times New Roman" w:hAnsi="Times New Roman" w:cs="Times New Roman"/>
        </w:rPr>
        <w:t> </w:t>
      </w:r>
      <w:r w:rsidRPr="004A6A44">
        <w:rPr>
          <w:rStyle w:val="hps"/>
          <w:rFonts w:ascii="Times New Roman" w:hAnsi="Times New Roman" w:cs="Times New Roman"/>
        </w:rPr>
        <w:t>tomto riziku informovaní a vhodne liečení, ak sa objavia príznaky.</w:t>
      </w:r>
    </w:p>
    <w:p w:rsidR="00BF0732" w:rsidRPr="004A6A44" w:rsidRDefault="00BF0732" w:rsidP="00BF0732">
      <w:pPr>
        <w:spacing w:after="0" w:line="240" w:lineRule="auto"/>
        <w:rPr>
          <w:rStyle w:val="hps"/>
          <w:rFonts w:ascii="Times New Roman" w:hAnsi="Times New Roman" w:cs="Times New Roman"/>
        </w:rPr>
      </w:pPr>
    </w:p>
    <w:p w:rsidR="00BF0732" w:rsidRPr="004A6A44" w:rsidRDefault="00BF0732" w:rsidP="00BF0732">
      <w:pPr>
        <w:tabs>
          <w:tab w:val="left" w:pos="567"/>
        </w:tabs>
        <w:spacing w:after="0" w:line="240" w:lineRule="auto"/>
        <w:jc w:val="both"/>
        <w:rPr>
          <w:rStyle w:val="hps"/>
          <w:rFonts w:ascii="Times New Roman" w:hAnsi="Times New Roman" w:cs="Times New Roman"/>
        </w:rPr>
      </w:pPr>
      <w:r w:rsidRPr="004A6A44">
        <w:rPr>
          <w:rStyle w:val="hps"/>
          <w:rFonts w:ascii="Times New Roman" w:hAnsi="Times New Roman" w:cs="Times New Roman"/>
        </w:rPr>
        <w:t>Boli pozorované alergické a anafylaktické reakcie. Zahŕňajú lokálne reakcie v mieste vpichu injekcie a systémové príznaky.</w:t>
      </w:r>
    </w:p>
    <w:p w:rsidR="00BF0732" w:rsidRPr="004A6A44" w:rsidRDefault="00BF0732" w:rsidP="00BF0732">
      <w:pPr>
        <w:tabs>
          <w:tab w:val="left" w:pos="567"/>
        </w:tabs>
        <w:spacing w:after="0" w:line="240" w:lineRule="auto"/>
        <w:jc w:val="both"/>
        <w:rPr>
          <w:rFonts w:ascii="Times New Roman" w:hAnsi="Times New Roman" w:cs="Times New Roman"/>
        </w:rPr>
      </w:pPr>
    </w:p>
    <w:p w:rsidR="00D87081" w:rsidRPr="00490214" w:rsidRDefault="00343B22" w:rsidP="00BF0732">
      <w:pPr>
        <w:tabs>
          <w:tab w:val="left" w:pos="567"/>
        </w:tabs>
        <w:spacing w:after="0" w:line="240" w:lineRule="auto"/>
        <w:jc w:val="both"/>
        <w:rPr>
          <w:rFonts w:ascii="Times New Roman" w:hAnsi="Times New Roman" w:cs="Times New Roman"/>
        </w:rPr>
      </w:pPr>
      <w:r w:rsidRPr="00490214">
        <w:rPr>
          <w:rFonts w:ascii="Times New Roman" w:hAnsi="Times New Roman" w:cs="Times New Roman"/>
        </w:rPr>
        <w:t>V sledovaní po uvedení lieku na trh boli u pacientov liečených leuprorelínacetátom pozorované kŕče</w:t>
      </w:r>
      <w:r w:rsidR="00D87081" w:rsidRPr="00490214">
        <w:rPr>
          <w:rFonts w:ascii="Times New Roman" w:hAnsi="Times New Roman" w:cs="Times New Roman"/>
        </w:rPr>
        <w:t xml:space="preserve"> </w:t>
      </w:r>
      <w:r w:rsidRPr="004A6A44">
        <w:rPr>
          <w:rFonts w:ascii="Times New Roman" w:hAnsi="Times New Roman" w:cs="Times New Roman"/>
        </w:rPr>
        <w:t>s</w:t>
      </w:r>
      <w:r w:rsidRPr="00490214">
        <w:rPr>
          <w:rFonts w:ascii="Times New Roman" w:hAnsi="Times New Roman" w:cs="Times New Roman"/>
        </w:rPr>
        <w:t xml:space="preserve"> alebo bez ananmnézy epilepsie, kŕčov alebo predispozičných faktorov</w:t>
      </w:r>
      <w:r w:rsidR="00D87081" w:rsidRPr="00490214">
        <w:rPr>
          <w:rFonts w:ascii="Times New Roman" w:hAnsi="Times New Roman" w:cs="Times New Roman"/>
        </w:rPr>
        <w:t>.</w:t>
      </w:r>
    </w:p>
    <w:p w:rsidR="00D87081" w:rsidRPr="004A6A44" w:rsidRDefault="00D87081"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Po chirurgickej kastrácii nevyvoláva leuprorelín žiadny ďalší pokles hladín testosterónu.</w:t>
      </w: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Pacienti s rizikom neurologických komplikácií, metastázou v chrbtici a obštrukciou močových ciest majú počas prvých týždňov liečby ostať čo najdlhšie hospitalizovaní a byť nepretržite monitorovaní z dôvodu krátkodobého zvýšenia sérových koncentrácií testosterónu na začiatku liečby, čo môže dočasne zhoršiť určité príznaky ochorenia.</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Počas začiatočnej fázy liečby sa má zvážiť podávanie ďalšieho vhodného antiandrogénu na zmiernenie možného druhotného následku počiatočného nárastu hladiny testosterónu a zhoršenia klinických príznakov.</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Úspešnosť liečby sa má pravidelne sledovať (a to hlavne ak existuje záznam o progresii napriek vhodnej liečbe) klinickými prehliadkami (digitálne rektálne vyšetrenie prostaty, ultrazvuk, skeletálna scintigrafia, počítačová tomografia) a kontrolovaním hladiny fosfatáz a/alebo prostatického špecifického antigénu (PSA) koncentrácii testosterónu v sére.</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Hypogonádizmus vyskytujúci sa pri dlhodobej liečbe s analógmi LHRH a/alebo orchiektómia môžu viesť k osteoporóze so zvýšeným rizikom vzniku zlomenín, pričom rozvoj osteoporózy bol výraznejší po orchiektómii, so zvýšenými hladinami kortizolu, než po podávaní analógov LHRH. U vysoko rizikových pacientov môže doplnkové podávanie bisfosfonátov pomôcť predísť demineralizácii kostí.</w:t>
      </w:r>
    </w:p>
    <w:p w:rsidR="00BF0732" w:rsidRPr="004A6A44" w:rsidRDefault="00BF0732" w:rsidP="00BF0732">
      <w:pPr>
        <w:spacing w:after="0" w:line="240" w:lineRule="auto"/>
        <w:rPr>
          <w:rFonts w:ascii="Times New Roman" w:hAnsi="Times New Roman" w:cs="Times New Roman"/>
          <w:kern w:val="32"/>
        </w:rPr>
      </w:pPr>
    </w:p>
    <w:p w:rsidR="00BF0732" w:rsidRPr="004A6A44" w:rsidRDefault="00BF0732" w:rsidP="00BF0732">
      <w:pPr>
        <w:spacing w:after="0" w:line="240" w:lineRule="auto"/>
        <w:rPr>
          <w:rFonts w:ascii="Times New Roman" w:hAnsi="Times New Roman" w:cs="Times New Roman"/>
          <w:kern w:val="32"/>
        </w:rPr>
      </w:pPr>
      <w:r w:rsidRPr="004A6A44">
        <w:rPr>
          <w:rFonts w:ascii="Times New Roman" w:hAnsi="Times New Roman" w:cs="Times New Roman"/>
          <w:kern w:val="32"/>
        </w:rPr>
        <w:t>U niektorých pacientov liečených analógmi LHRH sa zaznamenala zmenená tolerancia glukózy. Diabetici sa počas liečby Leuprorelinom Sandoz 3,6 mg implantát musia veľmi starostlivo sledovať.</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Liečba potláčajúca androgény môže predĺžiť QT interval.</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U pacientov s predĺženým QT intervalom v anamnéze alebo s rizikovými faktormi preň a u pacientov liečených súbežne liekmi, ktoré môžu predlžovať QT interval (pozri časť 4.5), musí lekár pred začatím liečby Leuprorelinom Sandoz 3,6 mg implantát zhodnotiť pomer prínosu a rizika, vrátane potenciálu vzniku </w:t>
      </w:r>
      <w:r w:rsidRPr="004A6A44">
        <w:rPr>
          <w:rFonts w:ascii="Times New Roman" w:hAnsi="Times New Roman" w:cs="Times New Roman"/>
          <w:i/>
        </w:rPr>
        <w:t>torsade de pointes</w:t>
      </w:r>
      <w:r w:rsidRPr="004A6A44">
        <w:rPr>
          <w:rFonts w:ascii="Times New Roman" w:hAnsi="Times New Roman" w:cs="Times New Roman"/>
        </w:rPr>
        <w:t xml:space="preserve">.  </w:t>
      </w:r>
    </w:p>
    <w:p w:rsidR="00BF0732" w:rsidRPr="004A6A44" w:rsidRDefault="00BF0732" w:rsidP="00BF0732">
      <w:pPr>
        <w:pStyle w:val="Obyajntext"/>
        <w:rPr>
          <w:rFonts w:ascii="Times New Roman" w:eastAsia="MS Mincho" w:hAnsi="Times New Roman" w:cs="Times New Roman"/>
          <w:b/>
          <w:bCs/>
          <w:i/>
          <w:iCs/>
          <w:sz w:val="22"/>
          <w:szCs w:val="22"/>
          <w:lang w:val="sk-SK"/>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4.5</w:t>
      </w:r>
      <w:r w:rsidRPr="004A6A44">
        <w:rPr>
          <w:rFonts w:ascii="Times New Roman" w:hAnsi="Times New Roman" w:cs="Times New Roman"/>
          <w:b/>
          <w:bCs/>
          <w:sz w:val="22"/>
          <w:szCs w:val="22"/>
          <w:u w:val="none"/>
          <w:lang w:val="sk-SK"/>
        </w:rPr>
        <w:tab/>
        <w:t>Liekové a iné interakcie</w:t>
      </w:r>
    </w:p>
    <w:p w:rsidR="00BF0732" w:rsidRPr="004A6A44" w:rsidRDefault="00BF0732" w:rsidP="00BF0732">
      <w:pPr>
        <w:tabs>
          <w:tab w:val="left" w:pos="567"/>
        </w:tabs>
        <w:spacing w:after="0" w:line="240" w:lineRule="auto"/>
        <w:jc w:val="both"/>
        <w:rPr>
          <w:rFonts w:ascii="Times New Roman" w:hAnsi="Times New Roman" w:cs="Times New Roman"/>
        </w:rPr>
      </w:pPr>
    </w:p>
    <w:p w:rsidR="00D87081" w:rsidRPr="00490214" w:rsidRDefault="00343B22" w:rsidP="00D87081">
      <w:pPr>
        <w:tabs>
          <w:tab w:val="left" w:pos="567"/>
        </w:tabs>
        <w:jc w:val="both"/>
        <w:rPr>
          <w:rFonts w:ascii="Times New Roman" w:hAnsi="Times New Roman" w:cs="Times New Roman"/>
        </w:rPr>
      </w:pPr>
      <w:r w:rsidRPr="00490214">
        <w:rPr>
          <w:rFonts w:ascii="Times New Roman" w:hAnsi="Times New Roman" w:cs="Times New Roman"/>
        </w:rPr>
        <w:t xml:space="preserve">Neuskutočnili sa žiadne </w:t>
      </w:r>
      <w:r w:rsidR="00AD6573" w:rsidRPr="004A6A44">
        <w:rPr>
          <w:rFonts w:ascii="Times New Roman" w:hAnsi="Times New Roman" w:cs="Times New Roman"/>
        </w:rPr>
        <w:t xml:space="preserve">interakčné </w:t>
      </w:r>
      <w:r w:rsidRPr="00490214">
        <w:rPr>
          <w:rFonts w:ascii="Times New Roman" w:hAnsi="Times New Roman" w:cs="Times New Roman"/>
        </w:rPr>
        <w:t>štúdie.</w:t>
      </w: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 xml:space="preserve">Keďže liečba potláčajúca androgény môže predĺžiť QT interval, súbežné použitie Leuprorelinu Sandoz 3,6 mg implantát s liekmi, o ktorých je známe, že predlžujú QT interval alebo s liekmi, ktoré môžu indukovať </w:t>
      </w:r>
      <w:r w:rsidRPr="004A6A44">
        <w:rPr>
          <w:rFonts w:ascii="Times New Roman" w:hAnsi="Times New Roman" w:cs="Times New Roman"/>
          <w:i/>
        </w:rPr>
        <w:t>torsades de pointes</w:t>
      </w:r>
      <w:r w:rsidRPr="004A6A44">
        <w:rPr>
          <w:rFonts w:ascii="Times New Roman" w:hAnsi="Times New Roman" w:cs="Times New Roman"/>
        </w:rPr>
        <w:t>,</w:t>
      </w:r>
      <w:r w:rsidRPr="004A6A44">
        <w:rPr>
          <w:rFonts w:ascii="Times New Roman" w:hAnsi="Times New Roman" w:cs="Times New Roman"/>
          <w:i/>
        </w:rPr>
        <w:t xml:space="preserve"> </w:t>
      </w:r>
      <w:r w:rsidRPr="004A6A44">
        <w:rPr>
          <w:rFonts w:ascii="Times New Roman" w:hAnsi="Times New Roman" w:cs="Times New Roman"/>
        </w:rPr>
        <w:t>akými sú trieda IA (napr. chinidín, disopyramid) alebo trieda III (napr. amiodaron, sotalol, dofetilid, ibutilid), antiarytmiká, metadón, moxifloxacín, antipsychotiká, atď., musí byť starostlivo zvážené (pozri časť 4.4).</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4.6</w:t>
      </w:r>
      <w:r w:rsidRPr="004A6A44">
        <w:rPr>
          <w:rFonts w:ascii="Times New Roman" w:hAnsi="Times New Roman" w:cs="Times New Roman"/>
          <w:b/>
          <w:bCs/>
          <w:sz w:val="22"/>
          <w:szCs w:val="22"/>
          <w:u w:val="none"/>
          <w:lang w:val="sk-SK"/>
        </w:rPr>
        <w:tab/>
        <w:t>Fertilita, gravidita a laktácia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Leuprorelin Sandoz 3,6 mg implantát je určený len na použitie u  pacientov mužského pohlavia.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4.7</w:t>
      </w:r>
      <w:r w:rsidRPr="004A6A44">
        <w:rPr>
          <w:rFonts w:ascii="Times New Roman" w:hAnsi="Times New Roman" w:cs="Times New Roman"/>
          <w:b/>
          <w:bCs/>
          <w:sz w:val="22"/>
          <w:szCs w:val="22"/>
          <w:u w:val="none"/>
          <w:lang w:val="sk-SK"/>
        </w:rPr>
        <w:tab/>
        <w:t>Ovplyvnenie schopnosti viesť vozidlá a obsluhovať stroje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Tento liek môže natoľko pozmeniť schopnosť reagovať, dokonca aj pri správnom používaní, že schopnosť viesť vozidlá a obsluhovať stroje je narušená. Je to kvôli únave, ktorá sa u niektorých pacientov vyskytuje najmä na začiatku liečby, čo môže byť spôsobené aj prítomnosťou nádorového ochorenia. V ešte väčšej miere toto platí pri kombinácii tohto lieku s alkoholom.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4.8</w:t>
      </w:r>
      <w:r w:rsidRPr="004A6A44">
        <w:rPr>
          <w:rFonts w:ascii="Times New Roman" w:hAnsi="Times New Roman" w:cs="Times New Roman"/>
          <w:b/>
          <w:bCs/>
          <w:sz w:val="22"/>
          <w:szCs w:val="22"/>
          <w:u w:val="none"/>
          <w:lang w:val="sk-SK"/>
        </w:rPr>
        <w:tab/>
        <w:t>Nežiaduce účinky</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Na začiatku obvykle nastane krátkodobý nárast koncentrácie testosterónu v sére, čo môže dočasne zhoršiť niektoré príznaky ochorenia (bolesť kostí alebo jej nárast, obštrukcia močových ciest s jej následkami, stiahnutie miechy, svalová slabosť v nohách, lymfatický edém). Tento nárast príznakov zvyčajne spontánne ustúpi bez toho, aby sa musela prerušiť liečba Leuprorelinom Sandoz 3,6 mg implantát.</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V dôsledku vysadenia pohlavných hormónov sa môžu vyskytnúť nežiaduce účinky .</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Zoznam vedľajších reakcií v tabuľke: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Vedľajšie účinky sú zoradené do tried orgánových systémov a na základe frekvencie podľa konvencií MedDRA:</w:t>
      </w:r>
    </w:p>
    <w:p w:rsidR="00BF0732" w:rsidRPr="004A6A44" w:rsidRDefault="00BF0732" w:rsidP="00BF0732">
      <w:pPr>
        <w:spacing w:after="0" w:line="240" w:lineRule="auto"/>
        <w:ind w:left="1620" w:hanging="1620"/>
        <w:rPr>
          <w:rFonts w:ascii="Times New Roman" w:hAnsi="Times New Roman" w:cs="Times New Roman"/>
        </w:rPr>
      </w:pPr>
      <w:r w:rsidRPr="004A6A44">
        <w:rPr>
          <w:rFonts w:ascii="Times New Roman" w:hAnsi="Times New Roman" w:cs="Times New Roman"/>
        </w:rPr>
        <w:t>Veľmi časté:</w:t>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Časté: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1/100 až &lt; 1/10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Menej časté: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1/1000 až &lt; 1/100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rPr>
        <w:t>Zriedkavé:</w:t>
      </w:r>
      <w:r w:rsidRPr="004A6A44">
        <w:rPr>
          <w:rFonts w:ascii="Times New Roman" w:hAnsi="Times New Roman" w:cs="Times New Roman"/>
        </w:rPr>
        <w:tab/>
      </w:r>
      <w:r w:rsidRPr="004A6A44">
        <w:rPr>
          <w:rFonts w:ascii="Times New Roman" w:hAnsi="Times New Roman" w:cs="Times New Roman"/>
        </w:rPr>
        <w:tab/>
      </w:r>
      <w:r w:rsidRPr="004A6A44">
        <w:rPr>
          <w:rFonts w:ascii="Times New Roman" w:hAnsi="Times New Roman" w:cs="Times New Roman"/>
        </w:rPr>
        <w:sym w:font="Symbol" w:char="F0B3"/>
      </w:r>
      <w:r w:rsidRPr="004A6A44">
        <w:rPr>
          <w:rFonts w:ascii="Times New Roman" w:hAnsi="Times New Roman" w:cs="Times New Roman"/>
        </w:rPr>
        <w:t> 1/10 000 až &lt; 1/1000</w:t>
      </w:r>
    </w:p>
    <w:p w:rsidR="00BF0732" w:rsidRPr="004A6A44" w:rsidRDefault="00BF0732" w:rsidP="00BF0732">
      <w:pPr>
        <w:spacing w:after="0" w:line="240" w:lineRule="auto"/>
        <w:ind w:left="1440" w:hanging="1440"/>
        <w:rPr>
          <w:rFonts w:ascii="Times New Roman" w:hAnsi="Times New Roman" w:cs="Times New Roman"/>
          <w:noProof/>
        </w:rPr>
      </w:pPr>
      <w:r w:rsidRPr="004A6A44">
        <w:rPr>
          <w:rFonts w:ascii="Times New Roman" w:hAnsi="Times New Roman" w:cs="Times New Roman"/>
        </w:rPr>
        <w:t>Veľmi zriedkavé: &lt; 1/10 000</w:t>
      </w:r>
    </w:p>
    <w:p w:rsidR="00BF0732" w:rsidRPr="004A6A44" w:rsidRDefault="00BF0732" w:rsidP="00BF0732">
      <w:pPr>
        <w:tabs>
          <w:tab w:val="left" w:pos="1620"/>
        </w:tabs>
        <w:spacing w:after="0" w:line="240" w:lineRule="auto"/>
        <w:ind w:left="1440" w:hanging="1440"/>
        <w:rPr>
          <w:rFonts w:ascii="Times New Roman" w:hAnsi="Times New Roman" w:cs="Times New Roman"/>
        </w:rPr>
      </w:pPr>
      <w:r w:rsidRPr="004A6A44">
        <w:rPr>
          <w:rFonts w:ascii="Times New Roman" w:hAnsi="Times New Roman" w:cs="Times New Roman"/>
          <w:noProof/>
        </w:rPr>
        <w:t>Neznáme:</w:t>
      </w:r>
      <w:r w:rsidRPr="004A6A44">
        <w:rPr>
          <w:rFonts w:ascii="Times New Roman" w:hAnsi="Times New Roman" w:cs="Times New Roman"/>
          <w:noProof/>
        </w:rPr>
        <w:tab/>
      </w:r>
      <w:r w:rsidRPr="004A6A44">
        <w:rPr>
          <w:rFonts w:ascii="Times New Roman" w:hAnsi="Times New Roman" w:cs="Times New Roman"/>
          <w:noProof/>
        </w:rPr>
        <w:tab/>
        <w:t>z dostupných údajov</w:t>
      </w:r>
    </w:p>
    <w:p w:rsidR="00BF0732" w:rsidRPr="004A6A44" w:rsidRDefault="00BF0732" w:rsidP="00BF0732">
      <w:pPr>
        <w:spacing w:after="0" w:line="240" w:lineRule="auto"/>
        <w:rPr>
          <w:rFonts w:ascii="Times New Roman" w:hAnsi="Times New Roman" w:cs="Times New Roman"/>
        </w:rPr>
      </w:pPr>
    </w:p>
    <w:tbl>
      <w:tblPr>
        <w:tblStyle w:val="Mriekatabuky"/>
        <w:tblW w:w="10343" w:type="dxa"/>
        <w:tblLayout w:type="fixed"/>
        <w:tblLook w:val="00A0" w:firstRow="1" w:lastRow="0" w:firstColumn="1" w:lastColumn="0" w:noHBand="0" w:noVBand="0"/>
      </w:tblPr>
      <w:tblGrid>
        <w:gridCol w:w="2123"/>
        <w:gridCol w:w="1237"/>
        <w:gridCol w:w="1206"/>
        <w:gridCol w:w="1560"/>
        <w:gridCol w:w="1182"/>
        <w:gridCol w:w="1633"/>
        <w:gridCol w:w="1402"/>
      </w:tblGrid>
      <w:tr w:rsidR="008A5A57" w:rsidRPr="004A6A44" w:rsidTr="00490214">
        <w:trPr>
          <w:tblHeader/>
        </w:trPr>
        <w:tc>
          <w:tcPr>
            <w:tcW w:w="2123" w:type="dxa"/>
          </w:tcPr>
          <w:p w:rsidR="00BF0732" w:rsidRPr="004A6A44" w:rsidRDefault="00BF0732" w:rsidP="00BF0732">
            <w:pPr>
              <w:rPr>
                <w:lang w:val="sk-SK"/>
              </w:rPr>
            </w:pPr>
          </w:p>
        </w:tc>
        <w:tc>
          <w:tcPr>
            <w:tcW w:w="1237" w:type="dxa"/>
          </w:tcPr>
          <w:p w:rsidR="00BF0732" w:rsidRPr="004A6A44" w:rsidRDefault="00BF0732" w:rsidP="00BF0732">
            <w:pPr>
              <w:rPr>
                <w:lang w:val="sk-SK"/>
              </w:rPr>
            </w:pPr>
            <w:r w:rsidRPr="004A6A44">
              <w:rPr>
                <w:b/>
                <w:lang w:val="sk-SK"/>
              </w:rPr>
              <w:t>Veľmi časté</w:t>
            </w:r>
          </w:p>
        </w:tc>
        <w:tc>
          <w:tcPr>
            <w:tcW w:w="1206" w:type="dxa"/>
          </w:tcPr>
          <w:p w:rsidR="00BF0732" w:rsidRPr="004A6A44" w:rsidRDefault="00BF0732" w:rsidP="00BF0732">
            <w:pPr>
              <w:rPr>
                <w:lang w:val="sk-SK"/>
              </w:rPr>
            </w:pPr>
            <w:r w:rsidRPr="004A6A44">
              <w:rPr>
                <w:b/>
                <w:lang w:val="sk-SK"/>
              </w:rPr>
              <w:t>Časté</w:t>
            </w:r>
          </w:p>
        </w:tc>
        <w:tc>
          <w:tcPr>
            <w:tcW w:w="1560" w:type="dxa"/>
          </w:tcPr>
          <w:p w:rsidR="00BF0732" w:rsidRPr="004A6A44" w:rsidRDefault="00BF0732" w:rsidP="00BF0732">
            <w:pPr>
              <w:rPr>
                <w:lang w:val="sk-SK"/>
              </w:rPr>
            </w:pPr>
            <w:r w:rsidRPr="004A6A44">
              <w:rPr>
                <w:b/>
                <w:lang w:val="sk-SK"/>
              </w:rPr>
              <w:t>Menej časté</w:t>
            </w:r>
          </w:p>
        </w:tc>
        <w:tc>
          <w:tcPr>
            <w:tcW w:w="1182" w:type="dxa"/>
          </w:tcPr>
          <w:p w:rsidR="00BF0732" w:rsidRPr="004A6A44" w:rsidRDefault="00BF0732" w:rsidP="00BF0732">
            <w:pPr>
              <w:rPr>
                <w:lang w:val="sk-SK"/>
              </w:rPr>
            </w:pPr>
            <w:r w:rsidRPr="004A6A44">
              <w:rPr>
                <w:b/>
                <w:lang w:val="sk-SK"/>
              </w:rPr>
              <w:t>Zriedkavé</w:t>
            </w:r>
          </w:p>
        </w:tc>
        <w:tc>
          <w:tcPr>
            <w:tcW w:w="1633" w:type="dxa"/>
          </w:tcPr>
          <w:p w:rsidR="00BF0732" w:rsidRPr="004A6A44" w:rsidRDefault="00BF0732" w:rsidP="00BF0732">
            <w:pPr>
              <w:rPr>
                <w:lang w:val="sk-SK"/>
              </w:rPr>
            </w:pPr>
            <w:r w:rsidRPr="004A6A44">
              <w:rPr>
                <w:b/>
                <w:lang w:val="sk-SK"/>
              </w:rPr>
              <w:t>Veľmi zriedkavé</w:t>
            </w:r>
          </w:p>
        </w:tc>
        <w:tc>
          <w:tcPr>
            <w:tcW w:w="1402" w:type="dxa"/>
          </w:tcPr>
          <w:p w:rsidR="00BF0732" w:rsidRPr="004A6A44" w:rsidRDefault="00BF0732" w:rsidP="00490214">
            <w:pPr>
              <w:ind w:right="295"/>
              <w:rPr>
                <w:lang w:val="sk-SK"/>
              </w:rPr>
            </w:pPr>
            <w:r w:rsidRPr="004A6A44">
              <w:rPr>
                <w:b/>
                <w:lang w:val="sk-SK"/>
              </w:rPr>
              <w:t>Neznáme</w:t>
            </w:r>
          </w:p>
        </w:tc>
      </w:tr>
      <w:tr w:rsidR="008A5A57" w:rsidRPr="004A6A44" w:rsidTr="00490214">
        <w:tc>
          <w:tcPr>
            <w:tcW w:w="2123" w:type="dxa"/>
          </w:tcPr>
          <w:p w:rsidR="00BF0732" w:rsidRPr="004A6A44" w:rsidRDefault="00BF0732" w:rsidP="00BF0732">
            <w:pPr>
              <w:rPr>
                <w:lang w:val="sk-SK"/>
              </w:rPr>
            </w:pPr>
            <w:r w:rsidRPr="004A6A44">
              <w:rPr>
                <w:b/>
                <w:lang w:val="sk-SK"/>
              </w:rPr>
              <w:t>Poruchy imunitného systému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 xml:space="preserve">celkové alergické reakcie (horúčka, kožná vyrážka svrbenie, </w:t>
            </w:r>
            <w:r w:rsidRPr="004A6A44">
              <w:rPr>
                <w:lang w:val="sk-SK"/>
              </w:rPr>
              <w:lastRenderedPageBreak/>
              <w:t>eozinofília,) anafylaktické reakcie</w:t>
            </w: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lastRenderedPageBreak/>
              <w:t>Poruchy metabolizmu a výživy</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zvýšená chuť do jedla</w:t>
            </w:r>
          </w:p>
        </w:tc>
        <w:tc>
          <w:tcPr>
            <w:tcW w:w="1560" w:type="dxa"/>
          </w:tcPr>
          <w:p w:rsidR="00BF0732" w:rsidRPr="004A6A44" w:rsidRDefault="00BF0732" w:rsidP="00D87081">
            <w:pPr>
              <w:rPr>
                <w:lang w:val="sk-SK"/>
              </w:rPr>
            </w:pPr>
            <w:r w:rsidRPr="004A6A44">
              <w:rPr>
                <w:lang w:val="sk-SK"/>
              </w:rPr>
              <w:t xml:space="preserve">znížená chuť do jedla, zmeny metabolického stavu u diabetikov (zvýšenie alebo zníženie hladín glukózy v krvi), </w:t>
            </w:r>
          </w:p>
        </w:tc>
        <w:tc>
          <w:tcPr>
            <w:tcW w:w="1182" w:type="dxa"/>
          </w:tcPr>
          <w:p w:rsidR="00BF0732" w:rsidRPr="004A6A44" w:rsidRDefault="00BF0732" w:rsidP="00BF0732">
            <w:pPr>
              <w:rPr>
                <w:lang w:val="sk-SK"/>
              </w:rPr>
            </w:pPr>
            <w:r w:rsidRPr="004A6A44">
              <w:rPr>
                <w:lang w:val="sk-SK"/>
              </w:rPr>
              <w:t>z</w:t>
            </w: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t>Psychické poruchy</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poruchy spánku, zmeny nálad, depresia,</w:t>
            </w: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lang w:val="sk-SK"/>
              </w:rPr>
              <w:t>Poruchy nervového systému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lang w:val="sk-SK"/>
              </w:rPr>
              <w:t>parestézia</w:t>
            </w:r>
          </w:p>
        </w:tc>
        <w:tc>
          <w:tcPr>
            <w:tcW w:w="1560" w:type="dxa"/>
          </w:tcPr>
          <w:p w:rsidR="00BF0732" w:rsidRPr="004A6A44" w:rsidRDefault="00BF0732" w:rsidP="00BF0732">
            <w:pPr>
              <w:rPr>
                <w:lang w:val="sk-SK"/>
              </w:rPr>
            </w:pPr>
            <w:r w:rsidRPr="004A6A44">
              <w:rPr>
                <w:lang w:val="sk-SK"/>
              </w:rPr>
              <w:t>bolesť hlavy, závrat</w:t>
            </w:r>
          </w:p>
        </w:tc>
        <w:tc>
          <w:tcPr>
            <w:tcW w:w="1182" w:type="dxa"/>
          </w:tcPr>
          <w:p w:rsidR="00BF0732" w:rsidRPr="004A6A44" w:rsidRDefault="00BF0732" w:rsidP="00BF0732">
            <w:pPr>
              <w:rPr>
                <w:lang w:val="sk-SK"/>
              </w:rPr>
            </w:pPr>
            <w:r w:rsidRPr="004A6A44">
              <w:rPr>
                <w:lang w:val="sk-SK"/>
              </w:rPr>
              <w:t>*</w:t>
            </w:r>
          </w:p>
        </w:tc>
        <w:tc>
          <w:tcPr>
            <w:tcW w:w="1633" w:type="dxa"/>
          </w:tcPr>
          <w:p w:rsidR="00BF0732" w:rsidRPr="004A6A44" w:rsidRDefault="00BF0732" w:rsidP="00D87081">
            <w:pPr>
              <w:rPr>
                <w:lang w:val="sk-SK"/>
              </w:rPr>
            </w:pPr>
            <w:r w:rsidRPr="004A6A44">
              <w:rPr>
                <w:lang w:val="sk-SK"/>
              </w:rPr>
              <w:t>prechodná dysgeúzia</w:t>
            </w:r>
            <w:r w:rsidR="00D87081" w:rsidRPr="004A6A44">
              <w:rPr>
                <w:lang w:val="sk-SK"/>
              </w:rPr>
              <w:t xml:space="preserve"> Tak ako aj pri iných liekoch v tejto skupine liečiv, boli zaznamenané správy o veľmi zriedkavých prípadoch výskytu apoplexie hypofýzy po úvodnom podaní leuprorelínu u pacientov s adenómom hypofýzy.</w:t>
            </w:r>
          </w:p>
        </w:tc>
        <w:tc>
          <w:tcPr>
            <w:tcW w:w="1402" w:type="dxa"/>
          </w:tcPr>
          <w:p w:rsidR="00BF0732" w:rsidRPr="004A6A44" w:rsidRDefault="008A5A57" w:rsidP="00490214">
            <w:pPr>
              <w:ind w:right="295"/>
              <w:rPr>
                <w:lang w:val="sk-SK"/>
              </w:rPr>
            </w:pPr>
            <w:r w:rsidRPr="004A6A44">
              <w:t>kŕče</w:t>
            </w:r>
          </w:p>
        </w:tc>
      </w:tr>
      <w:tr w:rsidR="008A5A57" w:rsidRPr="004A6A44" w:rsidTr="00490214">
        <w:tc>
          <w:tcPr>
            <w:tcW w:w="2123" w:type="dxa"/>
          </w:tcPr>
          <w:p w:rsidR="00BF0732" w:rsidRPr="004A6A44" w:rsidRDefault="00BF0732" w:rsidP="00BF0732">
            <w:pPr>
              <w:rPr>
                <w:b/>
                <w:lang w:val="sk-SK"/>
              </w:rPr>
            </w:pPr>
            <w:r w:rsidRPr="004A6A44">
              <w:rPr>
                <w:b/>
                <w:lang w:val="sk-SK"/>
              </w:rPr>
              <w:t>Poruchy srdca a srdcovej činnosti</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r w:rsidRPr="004A6A44">
              <w:rPr>
                <w:lang w:val="sk-SK"/>
              </w:rPr>
              <w:t>predĺženie QT intervalu (pozri časti 4.4 a 4.5)</w:t>
            </w:r>
          </w:p>
        </w:tc>
      </w:tr>
      <w:tr w:rsidR="008A5A57" w:rsidRPr="004A6A44" w:rsidTr="00490214">
        <w:tc>
          <w:tcPr>
            <w:tcW w:w="2123" w:type="dxa"/>
          </w:tcPr>
          <w:p w:rsidR="00BF0732" w:rsidRPr="004A6A44" w:rsidRDefault="00BF0732" w:rsidP="00BF0732">
            <w:pPr>
              <w:rPr>
                <w:lang w:val="sk-SK"/>
              </w:rPr>
            </w:pPr>
            <w:r w:rsidRPr="004A6A44">
              <w:rPr>
                <w:b/>
                <w:lang w:val="sk-SK"/>
              </w:rPr>
              <w:t>Poruchy ciev</w:t>
            </w:r>
          </w:p>
        </w:tc>
        <w:tc>
          <w:tcPr>
            <w:tcW w:w="1237" w:type="dxa"/>
          </w:tcPr>
          <w:p w:rsidR="00BF0732" w:rsidRPr="004A6A44" w:rsidRDefault="00BF0732" w:rsidP="00BF0732">
            <w:pPr>
              <w:rPr>
                <w:lang w:val="sk-SK"/>
              </w:rPr>
            </w:pPr>
            <w:r w:rsidRPr="004A6A44">
              <w:rPr>
                <w:lang w:val="sk-SK"/>
              </w:rPr>
              <w:t>návaly horúčavy s  potením</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noProof/>
                <w:lang w:val="sk-SK"/>
              </w:rPr>
              <w:t>zmeny hodnôt krvného tlaku</w:t>
            </w:r>
            <w:r w:rsidRPr="004A6A44">
              <w:rPr>
                <w:lang w:val="sk-SK"/>
              </w:rPr>
              <w:t xml:space="preserve"> (hypertenzia alebo hypotenzia)</w:t>
            </w:r>
          </w:p>
        </w:tc>
        <w:tc>
          <w:tcPr>
            <w:tcW w:w="1182" w:type="dxa"/>
          </w:tcPr>
          <w:p w:rsidR="00BF0732" w:rsidRPr="004A6A44" w:rsidRDefault="00BF0732" w:rsidP="00BF0732">
            <w:pPr>
              <w:rPr>
                <w:lang w:val="sk-SK"/>
              </w:rPr>
            </w:pPr>
            <w:r w:rsidRPr="004A6A44">
              <w:rPr>
                <w:lang w:val="sk-SK"/>
              </w:rPr>
              <w:t>trombóza</w:t>
            </w: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lang w:val="sk-SK"/>
              </w:rPr>
            </w:pPr>
            <w:r w:rsidRPr="004A6A44">
              <w:rPr>
                <w:b/>
                <w:bCs/>
                <w:noProof/>
                <w:lang w:val="sk-SK"/>
              </w:rPr>
              <w:t>Poruchy dýchacej sústavy, hrudníka a mediastína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lang w:val="sk-SK"/>
              </w:rPr>
              <w:t xml:space="preserve">ťažkosti s dýchaním </w:t>
            </w:r>
          </w:p>
        </w:tc>
        <w:tc>
          <w:tcPr>
            <w:tcW w:w="1182" w:type="dxa"/>
          </w:tcPr>
          <w:p w:rsidR="00BF0732" w:rsidRPr="004A6A44" w:rsidRDefault="00BF0732" w:rsidP="00BF0732">
            <w:pPr>
              <w:rPr>
                <w:lang w:val="sk-SK"/>
              </w:rPr>
            </w:pPr>
            <w:r w:rsidRPr="004A6A44">
              <w:rPr>
                <w:lang w:val="sk-SK"/>
              </w:rPr>
              <w:t>pľúcna embólia</w:t>
            </w:r>
          </w:p>
        </w:tc>
        <w:tc>
          <w:tcPr>
            <w:tcW w:w="1633" w:type="dxa"/>
          </w:tcPr>
          <w:p w:rsidR="00BF0732" w:rsidRPr="004A6A44" w:rsidRDefault="00BF0732" w:rsidP="00BF0732">
            <w:pPr>
              <w:rPr>
                <w:lang w:val="sk-SK"/>
              </w:rPr>
            </w:pPr>
          </w:p>
        </w:tc>
        <w:tc>
          <w:tcPr>
            <w:tcW w:w="1402" w:type="dxa"/>
          </w:tcPr>
          <w:p w:rsidR="00BF0732" w:rsidRPr="004A6A44" w:rsidRDefault="00C732C9" w:rsidP="00490214">
            <w:pPr>
              <w:ind w:right="295"/>
              <w:rPr>
                <w:lang w:val="sk-SK"/>
              </w:rPr>
            </w:pPr>
            <w:r w:rsidRPr="004A6A44">
              <w:rPr>
                <w:lang w:val="sk-SK"/>
              </w:rPr>
              <w:t>i</w:t>
            </w:r>
            <w:r w:rsidR="00BF0732" w:rsidRPr="004A6A44">
              <w:rPr>
                <w:lang w:val="sk-SK"/>
              </w:rPr>
              <w:t>ntersti</w:t>
            </w:r>
            <w:r w:rsidRPr="004A6A44">
              <w:rPr>
                <w:lang w:val="sk-SK"/>
              </w:rPr>
              <w:t>-</w:t>
            </w:r>
            <w:r w:rsidR="00BF0732" w:rsidRPr="004A6A44">
              <w:rPr>
                <w:lang w:val="sk-SK"/>
              </w:rPr>
              <w:t>ciálne ochorenie pľúc</w:t>
            </w:r>
          </w:p>
        </w:tc>
      </w:tr>
      <w:tr w:rsidR="008A5A57" w:rsidRPr="004A6A44" w:rsidTr="00490214">
        <w:tc>
          <w:tcPr>
            <w:tcW w:w="2123" w:type="dxa"/>
          </w:tcPr>
          <w:p w:rsidR="00BF0732" w:rsidRPr="004A6A44" w:rsidRDefault="00BF0732" w:rsidP="00BF0732">
            <w:pPr>
              <w:rPr>
                <w:lang w:val="sk-SK"/>
              </w:rPr>
            </w:pPr>
            <w:r w:rsidRPr="004A6A44">
              <w:rPr>
                <w:b/>
                <w:bCs/>
                <w:noProof/>
                <w:lang w:val="sk-SK"/>
              </w:rPr>
              <w:lastRenderedPageBreak/>
              <w:t>Poruchy gastrointestinálneho traktu</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lang w:val="sk-SK"/>
              </w:rPr>
            </w:pPr>
            <w:r w:rsidRPr="004A6A44">
              <w:rPr>
                <w:noProof/>
                <w:lang w:val="sk-SK"/>
              </w:rPr>
              <w:t>hnačka</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nauzea/vracanie</w:t>
            </w: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kože a podkožného tkaniva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r w:rsidRPr="004A6A44">
              <w:rPr>
                <w:lang w:val="sk-SK"/>
              </w:rPr>
              <w:t>alopécia,</w:t>
            </w:r>
            <w:r w:rsidRPr="004A6A44">
              <w:rPr>
                <w:noProof/>
                <w:lang w:val="sk-SK"/>
              </w:rPr>
              <w:t xml:space="preserve"> suchosť kože a slizníc, nočné potenie</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kostrovej a svalovej sústavy a spojivového tkaniva</w:t>
            </w:r>
          </w:p>
        </w:tc>
        <w:tc>
          <w:tcPr>
            <w:tcW w:w="1237" w:type="dxa"/>
          </w:tcPr>
          <w:p w:rsidR="00BF0732" w:rsidRPr="004A6A44" w:rsidRDefault="00BF0732" w:rsidP="00BF0732">
            <w:pPr>
              <w:rPr>
                <w:lang w:val="sk-SK"/>
              </w:rPr>
            </w:pPr>
            <w:r w:rsidRPr="004A6A44">
              <w:rPr>
                <w:lang w:val="sk-SK"/>
              </w:rPr>
              <w:t>bolesť kostí</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bolesť kĺbov a/alebo chrbta, ťažkosti so svalmi</w:t>
            </w:r>
          </w:p>
        </w:tc>
        <w:tc>
          <w:tcPr>
            <w:tcW w:w="1402" w:type="dxa"/>
          </w:tcPr>
          <w:p w:rsidR="00BF0732" w:rsidRPr="004A6A44" w:rsidRDefault="00343B22" w:rsidP="00490214">
            <w:pPr>
              <w:ind w:right="295"/>
              <w:rPr>
                <w:lang w:val="sk-SK"/>
              </w:rPr>
            </w:pPr>
            <w:r w:rsidRPr="004A6A44">
              <w:t>d</w:t>
            </w:r>
            <w:r w:rsidR="0094528B" w:rsidRPr="004A6A44">
              <w:t>emine</w:t>
            </w:r>
            <w:r w:rsidR="001502C6" w:rsidRPr="004A6A44">
              <w:t>-</w:t>
            </w:r>
            <w:r w:rsidR="0094528B" w:rsidRPr="004A6A44">
              <w:t>ralizácia kostí</w:t>
            </w: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obličiek a močových ciest</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r w:rsidRPr="004A6A44">
              <w:rPr>
                <w:noProof/>
                <w:lang w:val="sk-SK"/>
              </w:rPr>
              <w:t>noktúria, dyzúria, polakizúria</w:t>
            </w:r>
          </w:p>
        </w:tc>
        <w:tc>
          <w:tcPr>
            <w:tcW w:w="1560" w:type="dxa"/>
          </w:tcPr>
          <w:p w:rsidR="00BF0732" w:rsidRPr="004A6A44" w:rsidRDefault="00BF0732" w:rsidP="00BF0732">
            <w:pPr>
              <w:rPr>
                <w:noProof/>
                <w:lang w:val="sk-SK"/>
              </w:rPr>
            </w:pPr>
            <w:r w:rsidRPr="004A6A44">
              <w:rPr>
                <w:noProof/>
                <w:lang w:val="sk-SK"/>
              </w:rPr>
              <w:t>retencia moču</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Poruchy reprodukčného systému a prsníkov</w:t>
            </w:r>
          </w:p>
        </w:tc>
        <w:tc>
          <w:tcPr>
            <w:tcW w:w="1237" w:type="dxa"/>
          </w:tcPr>
          <w:p w:rsidR="00BF0732" w:rsidRPr="004A6A44" w:rsidRDefault="00BF0732" w:rsidP="00BF0732">
            <w:pPr>
              <w:rPr>
                <w:lang w:val="sk-SK"/>
              </w:rPr>
            </w:pPr>
            <w:r w:rsidRPr="004A6A44">
              <w:rPr>
                <w:lang w:val="sk-SK"/>
              </w:rPr>
              <w:t xml:space="preserve">zníženie libida a pohlavnej schopnosti, </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r w:rsidRPr="004A6A44">
              <w:rPr>
                <w:lang w:val="sk-SK"/>
              </w:rPr>
              <w:t>zmenšenie semenníkov,</w:t>
            </w:r>
            <w:r w:rsidRPr="004A6A44">
              <w:rPr>
                <w:noProof/>
                <w:lang w:val="sk-SK"/>
              </w:rPr>
              <w:t xml:space="preserve"> bolesť semmeníkov,</w:t>
            </w:r>
            <w:r w:rsidRPr="004A6A44">
              <w:rPr>
                <w:lang w:val="sk-SK"/>
              </w:rPr>
              <w:t xml:space="preserve"> gynekomastia</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Celkové poruchy a reakcie v mieste podania</w:t>
            </w:r>
          </w:p>
        </w:tc>
        <w:tc>
          <w:tcPr>
            <w:tcW w:w="1237" w:type="dxa"/>
          </w:tcPr>
          <w:p w:rsidR="00BF0732" w:rsidRPr="004A6A44" w:rsidRDefault="00BF0732" w:rsidP="00BF0732">
            <w:pPr>
              <w:rPr>
                <w:lang w:val="sk-SK"/>
              </w:rPr>
            </w:pPr>
            <w:r w:rsidRPr="004A6A44">
              <w:rPr>
                <w:lang w:val="sk-SK"/>
              </w:rPr>
              <w:t xml:space="preserve">zvýšené potenie, </w:t>
            </w:r>
          </w:p>
        </w:tc>
        <w:tc>
          <w:tcPr>
            <w:tcW w:w="1206" w:type="dxa"/>
          </w:tcPr>
          <w:p w:rsidR="00BF0732" w:rsidRPr="004A6A44" w:rsidRDefault="00BF0732" w:rsidP="00BF0732">
            <w:pPr>
              <w:rPr>
                <w:lang w:val="sk-SK"/>
              </w:rPr>
            </w:pPr>
          </w:p>
        </w:tc>
        <w:tc>
          <w:tcPr>
            <w:tcW w:w="1560" w:type="dxa"/>
          </w:tcPr>
          <w:p w:rsidR="00BF0732" w:rsidRPr="004A6A44" w:rsidRDefault="00BF0732" w:rsidP="00BF0732">
            <w:pPr>
              <w:rPr>
                <w:noProof/>
                <w:lang w:val="sk-SK"/>
              </w:rPr>
            </w:pP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r w:rsidRPr="004A6A44">
              <w:rPr>
                <w:lang w:val="sk-SK"/>
              </w:rPr>
              <w:t>edém, únava, miestne kožné reakcie, napr. začervenanie alebo stvrdnutie v mieste podania injekcie, ktoré zvyčajne vymiznú aj počas liečby.</w:t>
            </w:r>
          </w:p>
        </w:tc>
        <w:tc>
          <w:tcPr>
            <w:tcW w:w="1402" w:type="dxa"/>
          </w:tcPr>
          <w:p w:rsidR="00BF0732" w:rsidRPr="004A6A44" w:rsidRDefault="00BF0732" w:rsidP="00490214">
            <w:pPr>
              <w:ind w:right="295"/>
              <w:rPr>
                <w:lang w:val="sk-SK"/>
              </w:rPr>
            </w:pPr>
            <w:r w:rsidRPr="004A6A44">
              <w:rPr>
                <w:lang w:val="sk-SK"/>
              </w:rPr>
              <w:t>objavili sa izolované prípady vredov v mieste vpichu</w:t>
            </w:r>
          </w:p>
        </w:tc>
      </w:tr>
      <w:tr w:rsidR="008A5A57" w:rsidRPr="004A6A44" w:rsidTr="00490214">
        <w:tc>
          <w:tcPr>
            <w:tcW w:w="2123" w:type="dxa"/>
          </w:tcPr>
          <w:p w:rsidR="00BF0732" w:rsidRPr="004A6A44" w:rsidRDefault="00BF0732" w:rsidP="00BF0732">
            <w:pPr>
              <w:rPr>
                <w:b/>
                <w:bCs/>
                <w:noProof/>
                <w:lang w:val="sk-SK"/>
              </w:rPr>
            </w:pPr>
            <w:r w:rsidRPr="004A6A44">
              <w:rPr>
                <w:b/>
                <w:bCs/>
                <w:noProof/>
                <w:lang w:val="sk-SK"/>
              </w:rPr>
              <w:t>Laboratórne a funkčné vyšetrenia</w:t>
            </w:r>
          </w:p>
        </w:tc>
        <w:tc>
          <w:tcPr>
            <w:tcW w:w="1237" w:type="dxa"/>
          </w:tcPr>
          <w:p w:rsidR="00BF0732" w:rsidRPr="004A6A44" w:rsidRDefault="00BF0732" w:rsidP="00BF0732">
            <w:pPr>
              <w:rPr>
                <w:lang w:val="sk-SK"/>
              </w:rPr>
            </w:pPr>
          </w:p>
        </w:tc>
        <w:tc>
          <w:tcPr>
            <w:tcW w:w="1206" w:type="dxa"/>
          </w:tcPr>
          <w:p w:rsidR="00BF0732" w:rsidRPr="004A6A44" w:rsidRDefault="00BF0732" w:rsidP="00BF0732">
            <w:pPr>
              <w:rPr>
                <w:lang w:val="sk-SK"/>
              </w:rPr>
            </w:pPr>
          </w:p>
        </w:tc>
        <w:tc>
          <w:tcPr>
            <w:tcW w:w="1560" w:type="dxa"/>
          </w:tcPr>
          <w:p w:rsidR="00BF0732" w:rsidRPr="004A6A44" w:rsidRDefault="00D87081" w:rsidP="00BF0732">
            <w:pPr>
              <w:rPr>
                <w:noProof/>
                <w:lang w:val="sk-SK"/>
              </w:rPr>
            </w:pPr>
            <w:r w:rsidRPr="004A6A44">
              <w:rPr>
                <w:lang w:val="sk-SK"/>
              </w:rPr>
              <w:t xml:space="preserve">nárast telesnej hmotnosti, úbytok telesnej hmotnosti, </w:t>
            </w:r>
            <w:r w:rsidR="00BF0732" w:rsidRPr="004A6A44">
              <w:rPr>
                <w:lang w:val="sk-SK"/>
              </w:rPr>
              <w:t xml:space="preserve">zvýšenie hladín enzýmov ako laktátovej dehydrogenázy (LDH), alkalickej fosfatázy (AP) alebo transamináz ako sú ALT (SGPT), AST (SGOT) alebo </w:t>
            </w:r>
            <w:r w:rsidR="00BF0732" w:rsidRPr="004A6A44">
              <w:rPr>
                <w:lang w:val="sk-SK"/>
              </w:rPr>
              <w:sym w:font="Symbol" w:char="F067"/>
            </w:r>
            <w:r w:rsidR="00BF0732" w:rsidRPr="004A6A44">
              <w:rPr>
                <w:lang w:val="sk-SK"/>
              </w:rPr>
              <w:t>-GT.</w:t>
            </w:r>
          </w:p>
        </w:tc>
        <w:tc>
          <w:tcPr>
            <w:tcW w:w="1182" w:type="dxa"/>
          </w:tcPr>
          <w:p w:rsidR="00BF0732" w:rsidRPr="004A6A44" w:rsidRDefault="00BF0732" w:rsidP="00BF0732">
            <w:pPr>
              <w:rPr>
                <w:lang w:val="sk-SK"/>
              </w:rPr>
            </w:pPr>
          </w:p>
        </w:tc>
        <w:tc>
          <w:tcPr>
            <w:tcW w:w="1633" w:type="dxa"/>
          </w:tcPr>
          <w:p w:rsidR="00BF0732" w:rsidRPr="004A6A44" w:rsidRDefault="00BF0732" w:rsidP="00BF0732">
            <w:pPr>
              <w:rPr>
                <w:lang w:val="sk-SK"/>
              </w:rPr>
            </w:pPr>
          </w:p>
        </w:tc>
        <w:tc>
          <w:tcPr>
            <w:tcW w:w="1402" w:type="dxa"/>
          </w:tcPr>
          <w:p w:rsidR="00BF0732" w:rsidRPr="004A6A44" w:rsidRDefault="00BF0732" w:rsidP="00490214">
            <w:pPr>
              <w:ind w:right="295"/>
              <w:rPr>
                <w:lang w:val="sk-SK"/>
              </w:rPr>
            </w:pPr>
          </w:p>
        </w:tc>
      </w:tr>
    </w:tbl>
    <w:p w:rsidR="00BF0732" w:rsidRPr="004A6A44" w:rsidRDefault="00BF0732" w:rsidP="00BF0732">
      <w:pPr>
        <w:tabs>
          <w:tab w:val="left" w:pos="567"/>
        </w:tabs>
        <w:spacing w:after="0" w:line="240" w:lineRule="auto"/>
        <w:rPr>
          <w:rFonts w:ascii="Times New Roman" w:hAnsi="Times New Roman" w:cs="Times New Roman"/>
          <w:noProof/>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 xml:space="preserve">Hlavne v Japonsku sa po uvedení lieku na trh vyskytli hlásenia o intersticiálnej pneumónii. </w:t>
      </w:r>
    </w:p>
    <w:p w:rsidR="00BF0732" w:rsidRPr="004A6A44" w:rsidRDefault="00BF0732" w:rsidP="00BF0732">
      <w:pPr>
        <w:tabs>
          <w:tab w:val="left" w:pos="567"/>
        </w:tabs>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noProof/>
        </w:rPr>
      </w:pPr>
      <w:r w:rsidRPr="004A6A44">
        <w:rPr>
          <w:rFonts w:ascii="Times New Roman" w:hAnsi="Times New Roman" w:cs="Times New Roman"/>
        </w:rPr>
        <w:t>Vyskytol sa ojedinelý prípad výskytu trombózy v hlavnej sietnicovej tepne.</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u w:val="single"/>
        </w:rPr>
      </w:pPr>
      <w:r w:rsidRPr="004A6A44">
        <w:rPr>
          <w:rFonts w:ascii="Times New Roman" w:hAnsi="Times New Roman" w:cs="Times New Roman"/>
          <w:u w:val="single"/>
        </w:rPr>
        <w:t>Osobitné poznámky</w:t>
      </w: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Odpoveď na liečbu Leuprorelinom Sandoz 3,6 mg implantát je možné monitorovať meraním sérových koncentrácií testosterónu, kyslej fosfatázy a PSA (prostatický špecifický antigén). Na začiatku liečby hladiny testosterónu najskôr stúpnu, ale následne v priebehu 2 týždňov poklesnú. Po 2 - 4 týždňoch sú dosiahnuté koncentrácie testosterónu porovnateľné s koncentráciami pozorovanými po bilaterálnej orchiektómii, a ostanú potom konštantné počas celého obdobia liečby.</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začiatočnej fáze liečby sa môže vyskytnúť prechodné zvýšenie hladín alkalickej fosfatázy. Normálne hladiny alebo hladiny blížiace sa k normálu sa zvyčajne opätovne dosiahnu po niekoľkých týždňoch.</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u w:val="single"/>
        </w:rPr>
      </w:pPr>
      <w:r w:rsidRPr="004A6A44">
        <w:rPr>
          <w:rFonts w:ascii="Times New Roman" w:hAnsi="Times New Roman" w:cs="Times New Roman"/>
          <w:u w:val="single"/>
        </w:rPr>
        <w:t>Hlásenie podozrení na nežiaduce reakcie</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A6A44">
        <w:rPr>
          <w:rFonts w:ascii="Times New Roman" w:hAnsi="Times New Roman" w:cs="Times New Roman"/>
          <w:highlight w:val="lightGray"/>
        </w:rPr>
        <w:t>národné centrum hlásenia uvedené v </w:t>
      </w:r>
      <w:hyperlink r:id="rId15" w:history="1">
        <w:r w:rsidRPr="004A6A44">
          <w:rPr>
            <w:rStyle w:val="Hypertextovprepojenie"/>
            <w:rFonts w:ascii="Times New Roman" w:hAnsi="Times New Roman"/>
            <w:highlight w:val="lightGray"/>
          </w:rPr>
          <w:t>Prílohe V</w:t>
        </w:r>
      </w:hyperlink>
      <w:r w:rsidRPr="004A6A44">
        <w:rPr>
          <w:rFonts w:ascii="Times New Roman" w:hAnsi="Times New Roman" w:cs="Times New Roman"/>
          <w:highlight w:val="lightGray"/>
        </w:rPr>
        <w: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4.9</w:t>
      </w:r>
      <w:r w:rsidRPr="004A6A44">
        <w:rPr>
          <w:rFonts w:ascii="Times New Roman" w:hAnsi="Times New Roman" w:cs="Times New Roman"/>
          <w:b/>
          <w:bCs/>
          <w:sz w:val="22"/>
          <w:szCs w:val="22"/>
          <w:u w:val="none"/>
          <w:lang w:val="sk-SK"/>
        </w:rPr>
        <w:tab/>
        <w:t>Predávkovanie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Doposiaľ neboli pozorované žiadne príznaky intoxikácie.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Aj keď boli boli podané denné dávky leuprorelíniumacetátu do 20 mg po dobu dvoch rokov, ako v prípade prvých klinických štúdií , nespozorovali sa žiadne ďalšie alebo nové nežiaduce účinky než tie, ktoré sa vyskytli po podávaní dennej dávky 1 mg alebo po mesačnom podávaní dávky 3,75 mg.</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5.</w:t>
      </w:r>
      <w:r w:rsidRPr="004A6A44">
        <w:rPr>
          <w:rFonts w:ascii="Times New Roman" w:hAnsi="Times New Roman" w:cs="Times New Roman"/>
          <w:noProof/>
          <w:color w:val="auto"/>
          <w:sz w:val="22"/>
          <w:szCs w:val="22"/>
          <w:lang w:val="sk-SK"/>
        </w:rPr>
        <w:tab/>
        <w:t>FARMAKOLOGICKÉ VLASTNOSTI</w:t>
      </w:r>
    </w:p>
    <w:p w:rsidR="00BF0732" w:rsidRPr="004A6A44" w:rsidRDefault="00BF0732" w:rsidP="00BF0732">
      <w:pPr>
        <w:spacing w:after="0" w:line="240" w:lineRule="auto"/>
        <w:jc w:val="both"/>
        <w:rPr>
          <w:rFonts w:ascii="Times New Roman" w:hAnsi="Times New Roman" w:cs="Times New Roman"/>
          <w:b/>
          <w:bCs/>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 xml:space="preserve">5.1 </w:t>
      </w:r>
      <w:r w:rsidRPr="004A6A44">
        <w:rPr>
          <w:rFonts w:ascii="Times New Roman" w:hAnsi="Times New Roman" w:cs="Times New Roman"/>
          <w:b/>
          <w:bCs/>
          <w:sz w:val="22"/>
          <w:szCs w:val="22"/>
          <w:u w:val="none"/>
          <w:lang w:val="sk-SK"/>
        </w:rPr>
        <w:tab/>
        <w:t>Farmakodynamické vlastnosti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noProof/>
        </w:rPr>
      </w:pPr>
      <w:r w:rsidRPr="004A6A44">
        <w:rPr>
          <w:rFonts w:ascii="Times New Roman" w:hAnsi="Times New Roman" w:cs="Times New Roman"/>
          <w:noProof/>
        </w:rPr>
        <w:t>Farmakoterapeutická skupina: Hormóny a príbuzné liečivá, analógy hormónu uvoľňujúceho gonadotropín</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ATC kód: L02AE02</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Leuprorelíniumacetát, liečivo lieku Leuprorelin Sandoz 3,6 mg implantát, je syntetický analóg prirodzene sa vyskytujúceho hypotalamového hormónu uvoľňujúceho luteinizačný hormón (LHRH), ktorý kontroluje uvoľňovanie gonadotropných hormónov </w:t>
      </w:r>
      <w:r w:rsidRPr="004A6A44">
        <w:rPr>
          <w:rFonts w:ascii="Times New Roman" w:hAnsi="Times New Roman" w:cs="Times New Roman"/>
        </w:rPr>
        <w:noBreakHyphen/>
        <w:t xml:space="preserve"> LH (luteinizačný hormón) a </w:t>
      </w:r>
      <w:smartTag w:uri="urn:schemas-microsoft-com:office:smarttags" w:element="metricconverter">
        <w:smartTagPr>
          <w:attr w:name="ProductID" w:val="30 °C"/>
        </w:smartTagPr>
        <w:r w:rsidRPr="004A6A44">
          <w:rPr>
            <w:rFonts w:ascii="Times New Roman" w:hAnsi="Times New Roman" w:cs="Times New Roman"/>
          </w:rPr>
          <w:t>FSH</w:t>
        </w:r>
      </w:smartTag>
      <w:r w:rsidRPr="004A6A44">
        <w:rPr>
          <w:rFonts w:ascii="Times New Roman" w:hAnsi="Times New Roman" w:cs="Times New Roman"/>
        </w:rPr>
        <w:t xml:space="preserve"> (hormón stimulujúci folikuly) z predného laloku hypofýzy. Tieto hormóny postupne stimulujú syntézu gonádových steroidov.</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Na rozdiel od fyziologického LHRH, ktorý sa pulzne uvoľňuje v hypotalame, leuprorelíniumacetát - známy aj ako agonista LHRH počas dlhodobej liečby kontinuálne blokuje receptory LHRH v hypofýze , a tým po úvodnej krátkodobej stimulácii vyvolá ich „down regulation“. V dôsledku toho dôjde k reverzibilnej supresii uvoľňovania gonadotropínu v hypofýze s následným znížením koncentrácií testosterónu. </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Koncentrácia testosterónu je znížená a to ovplyvňuje rast karcinómu tkaniva prostaty, ktoré je prirodzene stimulované dihydrotestosterónom, tvoreným redukciou testosterónu v bunkách prostaty.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Kontinuálne podávanie leuprorelíniumacetátu vedie k zníženiu počtu a/alebo citlivosti (tiež nazývané "down regulation") receptorov v hypofýze, a následne k zníženiu koncentrácií LH, FSH a DHT. Hladiny testosterónu postupne klesnú na hodnoty kastračnej úrovne. Hladiny testosterónov sa nezvýšia nad úroveň kastračného rozsahu po dobu 70 až 77 dní od podania prvej dávky.</w:t>
      </w:r>
    </w:p>
    <w:p w:rsidR="00BF0732" w:rsidRPr="004A6A44" w:rsidRDefault="00BF0732" w:rsidP="00BF0732">
      <w:pPr>
        <w:spacing w:after="0" w:line="240" w:lineRule="auto"/>
        <w:rPr>
          <w:rFonts w:ascii="Times New Roman" w:hAnsi="Times New Roman" w:cs="Times New Roman"/>
          <w:snapToGrid w:val="0"/>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 skúšaniach na zvieratách sa dokázal antiandrogénny účinok a inhibícia rastu karcinómu prostaty.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Podľa predklinických a klinických štúdií mesačná liečba leuprorelíniumacetátom po úvodnej stimulácii inhibuje uvoľňovanie gonadotropínu.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U mužov spôsobuje subkutánne podávanie leuprorelíniumacetátu úvodné zvýšenie hodnoty LH (luteinizačný hormón) a FSH (hormón stimulujúci folikuly), čo sa prejaví prechodným zvýšením koncentrácií testosterónu a dihydrotestosterónu.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Počas prvých 3 týždňov liečby sa v ojedinelých prípadoch pozorovalo pridružené krátkodobé zhoršenie ochorenia. U mužov s karcinómom prostaty sa má zvážiť adjuvantné podávanie antiandrogénov.</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Naopak dlhodobá liečba leuprorelíniumacetátom spôsobuje pokles koncentrácií LH a FSH u všetkých pacientov; výsledné dosiahnuté koncentrácie androgénov u mužov sú podobné tým, ktoré sa vyskytujú po bilaterálnej orchiektómii. Tieto zmeny sa vyskytujú zvyčajne 2 </w:t>
      </w:r>
      <w:r w:rsidRPr="004A6A44">
        <w:rPr>
          <w:rFonts w:ascii="Times New Roman" w:hAnsi="Times New Roman" w:cs="Times New Roman"/>
        </w:rPr>
        <w:noBreakHyphen/>
        <w:t> 3 týždne po začatí liečby a prejavujú sa počas celého trvania liečby. Preto leuprorelíniumacetát možno použiť aj na zistenie hormonálnej citlivosti karcinómu prostaty a možnej prospešnosti liečby orchiektómiou. Ak je to potrebné, orchiektómiu je možné nahradiť mesačným podávaním leuprorelíniumacetátu. Doposiaľ bolo možné udržať kastračné hladiny testosterónu po kontinuálnom podávaní leuprorelíniumacetátu počas 5 rokov.</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u w:val="single"/>
        </w:rPr>
      </w:pPr>
      <w:r w:rsidRPr="004A6A44">
        <w:rPr>
          <w:rFonts w:ascii="Times New Roman" w:hAnsi="Times New Roman" w:cs="Times New Roman"/>
          <w:u w:val="single"/>
        </w:rPr>
        <w:t>Klinická účinnosť</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multicentrickej, randomizovanej štúdii fázy III s leuprorelíniumacetátom bolo hodnotených 263 pacientov s lokálne pokročilým karcinómom prostaty štádia T3</w:t>
      </w:r>
      <w:r w:rsidRPr="004A6A44">
        <w:rPr>
          <w:rFonts w:ascii="Times New Roman" w:hAnsi="Times New Roman" w:cs="Times New Roman"/>
        </w:rPr>
        <w:noBreakHyphen/>
        <w:t>T4 alebo pT3, N0, M0. 133 pacientov dostávalo kombináciu rádioterapie s androgénnou depriváciou a 130 pacientov iba androgénnu depriváciu leuprorelíniumacetátom počas 3 rokov.</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Na základe ASTRO (Phoenix kritériá), bolo pozorované prežívanie bez progresie počas 5 rokov u 60,9% (64,7%) pri kombinovanej liečbe v porovnaní s 8,5% (15,4%) v skupine liečenej samotnou hormonálnou liečbou (p = 0,0001; [p = 0,0005]).</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 základe kritérií ASTRO, riziko progresie bolo 3,8-krát vyššie v skupine so samotnou hormonálnou liečbou (95% interval spoľahlivosti IS [2,17; 6,49]).</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Medián klinického alebo biochemického prežívania bez progresie podľa kritérií ASTRO bol 641 dní (95% IS [626; 812]) v skupine so samotnou hormonálnou liečbou oproti 2804 dňom (95% IS [2090; –]; p &lt; 0,0001) v skupine s kombinovanou liečbou.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Neboli pozorované štatisticky významné rozdiely týkajúce sa lokoregionálnej progresie (pomer rizík, HR 3,6 [95% IS {1,9; 6,8}; p &lt; 0,0001]), progresie metastáz (p &lt; 0,018) ani prežívania bez metastáz (p = 0,018) medzi skupinou s kombinovanou liečbou a skupinou so samotnou androgénnou depriváciou.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 tomto skúšaní sa jednoznačne preukázalo, že kombinácia androgénnej deprivácie s rádioterapiou počas 3 rokov je lepšia v porovnaní so samotnou androgénnou depriváciou.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Nasledujúce skúšania ukázali, že kombinovaná liečba s analógmi LHRH je tiež prínosnejšia v porovnaní so samotnou rádioterapiou u pacientov s lokálne pokročilým karcinómom prostaty.</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Do randomizovaného RTOG 85-31 skúšania bolo zaradených 977 pacientov s lokálne pokročilým karcinómom prostaty štádia T1-T3 s metastázami do lymfatických uzlín, s presahom nádoru cez puzdro prostaty alebo penetráciou karcinómu prostaty do semeníkov.</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488 pacientov dostávalo kombináciu rádioterapie s dlhodobou androgénnou depriváciou goserelínom, zatiaľ čo 489 pacientov dostávalo samotnú rádioterapiu.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Výsledky boli jednoznačne v prospech kombinovanej terapie v porovnaní so samotnou rádioterapiou.</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 xml:space="preserve">10-ročné prežívanie bez progresie sa pozorovalo u 37% oproti 23% </w:t>
      </w:r>
      <w:r w:rsidRPr="004A6A44">
        <w:rPr>
          <w:rFonts w:ascii="Times New Roman" w:eastAsia="HelveticaNeueLTPro-Roman" w:hAnsi="Times New Roman" w:cs="Times New Roman"/>
        </w:rPr>
        <w:t>(p &lt; 0,001); prežívanie bez progresie s hodnotou PSA &lt; 1,5 ng/ml bolo 31% oproti 9%, opätovný lokálny výskyt u 23% oproti 38% (p &lt; 0,0001) a progresia s metastázami u 24% oproti 39% (p &lt; 0,0001).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eastAsia="HelveticaNeueLTPro-Roman" w:hAnsi="Times New Roman" w:cs="Times New Roman"/>
        </w:rPr>
      </w:pPr>
      <w:r w:rsidRPr="004A6A44">
        <w:rPr>
          <w:rFonts w:ascii="Times New Roman" w:hAnsi="Times New Roman" w:cs="Times New Roman"/>
        </w:rPr>
        <w:t xml:space="preserve">Celkové prežívanie bolo 49% oproti 39% </w:t>
      </w:r>
      <w:r w:rsidRPr="004A6A44">
        <w:rPr>
          <w:rFonts w:ascii="Times New Roman" w:eastAsia="HelveticaNeueLTPro-Roman" w:hAnsi="Times New Roman" w:cs="Times New Roman"/>
        </w:rPr>
        <w:t>(p = 0,002) a mortalita špecifická pre ochorenie bola 16% oproti 22% (p = 0,0052).</w:t>
      </w:r>
    </w:p>
    <w:p w:rsidR="00BF0732" w:rsidRPr="004A6A44" w:rsidRDefault="00BF0732" w:rsidP="00BF0732">
      <w:pPr>
        <w:spacing w:after="0" w:line="240" w:lineRule="auto"/>
        <w:jc w:val="both"/>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nasledujúcich klinických skúšaniach u pacientov s lokalizovaným karcinómom prostaty so stredne rizikovým profilom sa preukázal prospech v kombinácii rádioterapie a androgénnej deprivácie s analógmi LHRH oproti samotnej rádioterapii</w:t>
      </w:r>
      <w:r w:rsidRPr="004A6A44">
        <w:rPr>
          <w:rFonts w:ascii="Times New Roman" w:hAnsi="Times New Roman" w:cs="Times New Roman"/>
        </w:rPr>
        <w:t>.</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Randomizované klinické skúšanie fázy III RTOG 94-08 bolo vykonané u pacientov s lokalizovaným karcinómom prostaty štádia T1b, T1c, T2a alebo T2b a hodnotou PSA ≤ 10 ng/ml.</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podskupine pacientov so stredne izikovým profilom definovaným podľa Gleasonovho skóre 6 spolu s PSA hodnotou v rozpätí od &gt; 10 ng/ml do 20 ng/ml alebo štádiom T2b bolo zahrnutých 524 pacientov do skupiny krátkodobo liečenej androgénnou depriváciou počas 4 mesiacov (2 mesiace pred a 2 mesiace v kombinácii s rádioterapiou) a 544 pacientov do skupiny so samotnou rádioterapiou.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podskupine so stredne rizikovým profilom, v skupine dostávajúcej kombináciu rádioterapie a androgénnej deprivácie goserelínom alebo leuprorelíniumacetátom bol pozorovaný prospech oproti skupine liečenej samotnou rádioterapiou.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Celkové prežívanie po 10 rokoch bolo 61% oproti 54% (HR 1,23, 95% IS [1,02-1,49; p = 0,03]). Mortalita špecifická pre ochorenie bola zaznamenaná u 3% oproti 10% (HR 2,49, 95% IS [1,50-4,11; p = 0,004]) a biochemická progresia 28% oproti 45% (HR 1,79, 95% IS [1,45-2,21; p &lt; 0,001]).</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 xml:space="preserve"> </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U pacientov s lokalizovaným karcinómom prostaty s vysoko rizikovým profilom je použitie založené na publikovaných klinických skúšaniach kombinácie rádioterapie a liečbou agonistami LHRH, vrátane leuprorelíniumacetátu.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Klinické údaje uverejnené z piatich klinických skúšaní jasne preukázali výhody kombinácie rádioterapie s agonistami LHRH ((EORTC 22863, RTOG 85-31, RTOG 92-02, RTOG 8610 und D’Amico et al.,JAMA 2004). Nebola možná presná diferenciácia študovanej populácie medzi indikáciami lokálne pokročilého karcinómu prostaty a lokalizovaného karcinómu prostaty s vysoko rizikovým profilom.</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Klinické údaje preukázali, že sa má preferovať rádioterapia nasledovaná 3 ročnou androgénnou depriváciou oproti rádioterapii s následnou 6 mesačnou androgénnou depriváciou.</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r w:rsidRPr="004A6A44">
        <w:rPr>
          <w:rFonts w:ascii="Times New Roman" w:eastAsia="HelveticaNeueLTPro-Roman" w:hAnsi="Times New Roman" w:cs="Times New Roman"/>
        </w:rPr>
        <w:t>V klinických smerniciach sa odporúča dĺžka androgénnej deprivácie 2-3 roky u pacientov so štádiom T3 až T4.</w:t>
      </w:r>
    </w:p>
    <w:p w:rsidR="00BF0732" w:rsidRPr="004A6A44" w:rsidRDefault="00BF0732" w:rsidP="00BF0732">
      <w:pPr>
        <w:autoSpaceDE w:val="0"/>
        <w:autoSpaceDN w:val="0"/>
        <w:adjustRightInd w:val="0"/>
        <w:spacing w:after="0" w:line="240" w:lineRule="auto"/>
        <w:rPr>
          <w:rFonts w:ascii="Times New Roman" w:eastAsia="HelveticaNeueLTPro-Roman" w:hAnsi="Times New Roman" w:cs="Times New Roman"/>
        </w:rPr>
      </w:pPr>
    </w:p>
    <w:p w:rsidR="00BF0732" w:rsidRPr="004A6A44" w:rsidRDefault="00BF0732" w:rsidP="00BF0732">
      <w:pPr>
        <w:spacing w:after="0" w:line="240" w:lineRule="auto"/>
        <w:jc w:val="both"/>
        <w:rPr>
          <w:rFonts w:ascii="Times New Roman" w:eastAsia="HelveticaNeueLTPro-Roman" w:hAnsi="Times New Roman" w:cs="Times New Roman"/>
        </w:rPr>
      </w:pPr>
      <w:r w:rsidRPr="004A6A44">
        <w:rPr>
          <w:rFonts w:ascii="Times New Roman" w:eastAsia="HelveticaNeueLTPro-Roman" w:hAnsi="Times New Roman" w:cs="Times New Roman"/>
        </w:rPr>
        <w:t>U pacientov s metastázujúcim karcinómom prostaty rezistentným voči kastrácii sa ukázalo prínosom použitie ďalších látok, ako sú inhibítory syntézy androgénu (napr. abiraterónacetát), antiandrogénov (napr. enzalutamid), taxánov (npr. docetaxel alebo paklitaxel) alebo rádioterapeutických látok (napr. rádium-223) spolu s agonistami LHRH, ako je leuprorelíniumacetát.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5.2</w:t>
      </w:r>
      <w:r w:rsidRPr="004A6A44">
        <w:rPr>
          <w:rFonts w:ascii="Times New Roman" w:hAnsi="Times New Roman" w:cs="Times New Roman"/>
          <w:b/>
          <w:bCs/>
          <w:sz w:val="22"/>
          <w:szCs w:val="22"/>
          <w:u w:val="none"/>
          <w:lang w:val="sk-SK"/>
        </w:rPr>
        <w:tab/>
        <w:t>Farmakokinetické vlastnosti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Po zavedení implantátu sa liečivo leuprorelíniumacetát  priebežne uvoľňuje z polyméru (obsahujúceho kyselinu glykolovú a kyselinu mliečnu v pomere 1:1) počas obdobia 1 mesiaca. Polymér sa absorbuje rovnakým spôsobom ako chirurgický stehový materiál.</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rPr>
          <w:rFonts w:ascii="Times New Roman" w:hAnsi="Times New Roman" w:cs="Times New Roman"/>
        </w:rPr>
      </w:pPr>
      <w:r w:rsidRPr="004A6A44">
        <w:rPr>
          <w:rFonts w:ascii="Times New Roman" w:hAnsi="Times New Roman" w:cs="Times New Roman"/>
        </w:rPr>
        <w:t xml:space="preserve">V priebehu 1 hodiny sa namerali sérové hladiny 676 pg/ml. Hladiny leuprorelínu v sére sú detekovateľné dlhšie ako 1 mesiac. Po dvoch injekciách Leuprorelinu Sandoz 3,6 mg implantátu podaných v intervale 28 dní sú sérové hladiny leuprorelínu detekovateľné až do 67 dní po úvodnom podaní.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Distribučný objem leuprorelínu u mužov je </w:t>
      </w:r>
      <w:smartTag w:uri="urn:schemas-microsoft-com:office:smarttags" w:element="metricconverter">
        <w:smartTagPr>
          <w:attr w:name="ProductID" w:val="30 °C"/>
        </w:smartTagPr>
        <w:r w:rsidRPr="004A6A44">
          <w:rPr>
            <w:rFonts w:ascii="Times New Roman" w:hAnsi="Times New Roman" w:cs="Times New Roman"/>
          </w:rPr>
          <w:t>36 l</w:t>
        </w:r>
      </w:smartTag>
      <w:r w:rsidRPr="004A6A44">
        <w:rPr>
          <w:rFonts w:ascii="Times New Roman" w:hAnsi="Times New Roman" w:cs="Times New Roman"/>
        </w:rPr>
        <w:t>; celový klírens je 139,6 ml/min.</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U pacientov s poruchami funkcie obličiek boli v niektorých prípadoch namerané vyššie hladiny leuprorelínu. U pacientov s poruchami funkcie pečene boli naopak hladiny leuprorelínu nižšie. Toto zistenie sa však nezdá byť klinicky významné.</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5.3</w:t>
      </w:r>
      <w:r w:rsidRPr="004A6A44">
        <w:rPr>
          <w:rFonts w:ascii="Times New Roman" w:hAnsi="Times New Roman" w:cs="Times New Roman"/>
          <w:b/>
          <w:bCs/>
          <w:sz w:val="22"/>
          <w:szCs w:val="22"/>
          <w:u w:val="none"/>
          <w:lang w:val="sk-SK"/>
        </w:rPr>
        <w:tab/>
        <w:t>Predklinické údaje o bezpečnosti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 xml:space="preserve">Predklinické štúdie s leuprorelíniumacetátom preukázali účinky na reprodukčné orgány, čo sa predpokladalo na základe známych farmakologických vlastností leuprorelínu.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i/>
          <w:iCs/>
        </w:rPr>
      </w:pPr>
      <w:r w:rsidRPr="004A6A44">
        <w:rPr>
          <w:rFonts w:ascii="Times New Roman" w:hAnsi="Times New Roman" w:cs="Times New Roman"/>
          <w:i/>
          <w:iCs/>
        </w:rPr>
        <w:t>Karcinogenita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lastRenderedPageBreak/>
        <w:t xml:space="preserve">U potkanov sa pozorovalo po subkutánnom injekčnom podaní dávok 0,6 – 4 mg/kg/deň počas 12 a 24 mesiacov dávkovo-závislé zväčšenie adenómu hypofýzy. U myší sa tento účinok nepozoroval v priebehu 24 mesačného podávania.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i/>
          <w:iCs/>
        </w:rPr>
      </w:pPr>
      <w:r w:rsidRPr="004A6A44">
        <w:rPr>
          <w:rFonts w:ascii="Times New Roman" w:hAnsi="Times New Roman" w:cs="Times New Roman"/>
          <w:i/>
          <w:iCs/>
        </w:rPr>
        <w:t>Mutagenita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i/>
          <w:iCs/>
        </w:rPr>
        <w:t>In vitro</w:t>
      </w:r>
      <w:r w:rsidRPr="004A6A44">
        <w:rPr>
          <w:rFonts w:ascii="Times New Roman" w:hAnsi="Times New Roman" w:cs="Times New Roman"/>
        </w:rPr>
        <w:t xml:space="preserve"> a </w:t>
      </w:r>
      <w:r w:rsidRPr="004A6A44">
        <w:rPr>
          <w:rFonts w:ascii="Times New Roman" w:hAnsi="Times New Roman" w:cs="Times New Roman"/>
          <w:i/>
          <w:iCs/>
        </w:rPr>
        <w:t>in vivo</w:t>
      </w:r>
      <w:r w:rsidRPr="004A6A44">
        <w:rPr>
          <w:rFonts w:ascii="Times New Roman" w:hAnsi="Times New Roman" w:cs="Times New Roman"/>
        </w:rPr>
        <w:t xml:space="preserve"> štúdie s leuprorelíniumacetátom zamerané na detekciu genetických a chromozómových mutácií neodhalili žiadny mutagénny potenciál.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i/>
          <w:iCs/>
        </w:rPr>
        <w:t>Reprodukčná toxicita</w:t>
      </w: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V reprodukčných štúdiách toxicity na králikoch sa pozorovalo zvýšenie mortality pre plod a zníženie telesnej hmotnosti plodu. Účinky na fetálnu mortalitu sú predpokladaný následok farmakodynamického účinku tohto liečiva.</w:t>
      </w:r>
    </w:p>
    <w:p w:rsidR="00BF0732" w:rsidRPr="004A6A44" w:rsidRDefault="00BF0732" w:rsidP="00BF0732">
      <w:pPr>
        <w:spacing w:after="0" w:line="240" w:lineRule="auto"/>
        <w:rPr>
          <w:rFonts w:ascii="Times New Roman" w:hAnsi="Times New Roman" w:cs="Times New Roman"/>
        </w:rPr>
      </w:pPr>
    </w:p>
    <w:p w:rsidR="00BF0732" w:rsidRPr="004A6A44" w:rsidRDefault="00BF0732" w:rsidP="00BF0732">
      <w:pPr>
        <w:spacing w:after="0" w:line="240" w:lineRule="auto"/>
        <w:ind w:right="-500"/>
        <w:rPr>
          <w:rFonts w:ascii="Times New Roman" w:hAnsi="Times New Roman" w:cs="Times New Roman"/>
          <w:i/>
          <w:iCs/>
        </w:rPr>
      </w:pPr>
      <w:r w:rsidRPr="004A6A44">
        <w:rPr>
          <w:rFonts w:ascii="Times New Roman" w:hAnsi="Times New Roman" w:cs="Times New Roman"/>
          <w:i/>
          <w:iCs/>
        </w:rPr>
        <w:t>Lokálna tolerancia</w:t>
      </w:r>
    </w:p>
    <w:p w:rsidR="00BF0732" w:rsidRPr="004A6A44" w:rsidRDefault="00BF0732" w:rsidP="00BF0732">
      <w:pPr>
        <w:spacing w:after="0" w:line="240" w:lineRule="auto"/>
        <w:ind w:right="72"/>
        <w:rPr>
          <w:rFonts w:ascii="Times New Roman" w:hAnsi="Times New Roman" w:cs="Times New Roman"/>
        </w:rPr>
      </w:pPr>
      <w:r w:rsidRPr="004A6A44">
        <w:rPr>
          <w:rFonts w:ascii="Times New Roman" w:hAnsi="Times New Roman" w:cs="Times New Roman"/>
        </w:rPr>
        <w:t>Predklinické štúdie na psoch a králikoch preukázali dobrú lokálnu znášanlivosť Leuprorelinu Sandoz 3,6 mg implantátu.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6.</w:t>
      </w:r>
      <w:r w:rsidRPr="004A6A44">
        <w:rPr>
          <w:rFonts w:ascii="Times New Roman" w:hAnsi="Times New Roman" w:cs="Times New Roman"/>
          <w:noProof/>
          <w:color w:val="auto"/>
          <w:sz w:val="22"/>
          <w:szCs w:val="22"/>
          <w:lang w:val="sk-SK"/>
        </w:rPr>
        <w:tab/>
        <w:t xml:space="preserve">FARMACEUTICKÉ </w:t>
      </w:r>
      <w:r w:rsidRPr="004A6A44">
        <w:rPr>
          <w:rFonts w:ascii="Times New Roman" w:hAnsi="Times New Roman" w:cs="Times New Roman"/>
          <w:caps/>
          <w:noProof/>
          <w:color w:val="auto"/>
          <w:sz w:val="22"/>
          <w:szCs w:val="22"/>
          <w:lang w:val="sk-SK"/>
        </w:rPr>
        <w:t>INFORMÁCIE</w:t>
      </w:r>
    </w:p>
    <w:p w:rsidR="00BF0732" w:rsidRPr="004A6A44" w:rsidRDefault="00BF0732" w:rsidP="00BF0732">
      <w:pPr>
        <w:spacing w:after="0" w:line="240" w:lineRule="auto"/>
        <w:jc w:val="both"/>
        <w:rPr>
          <w:rFonts w:ascii="Times New Roman" w:hAnsi="Times New Roman" w:cs="Times New Roman"/>
          <w:b/>
          <w:bCs/>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6.1</w:t>
      </w:r>
      <w:r w:rsidRPr="004A6A44">
        <w:rPr>
          <w:rFonts w:ascii="Times New Roman" w:hAnsi="Times New Roman" w:cs="Times New Roman"/>
          <w:b/>
          <w:bCs/>
          <w:sz w:val="22"/>
          <w:szCs w:val="22"/>
          <w:u w:val="none"/>
          <w:lang w:val="sk-SK"/>
        </w:rPr>
        <w:tab/>
        <w:t>Zoznam pomocných látok</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Polyglaktín 1:1</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6.2</w:t>
      </w:r>
      <w:r w:rsidRPr="004A6A44">
        <w:rPr>
          <w:rFonts w:ascii="Times New Roman" w:hAnsi="Times New Roman" w:cs="Times New Roman"/>
          <w:b/>
          <w:bCs/>
          <w:sz w:val="22"/>
          <w:szCs w:val="22"/>
          <w:u w:val="none"/>
          <w:lang w:val="sk-SK"/>
        </w:rPr>
        <w:tab/>
        <w:t>Inkompatibility</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Neaplikovateľné.</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6.3</w:t>
      </w:r>
      <w:r w:rsidRPr="004A6A44">
        <w:rPr>
          <w:rFonts w:ascii="Times New Roman" w:hAnsi="Times New Roman" w:cs="Times New Roman"/>
          <w:b/>
          <w:bCs/>
          <w:sz w:val="22"/>
          <w:szCs w:val="22"/>
          <w:u w:val="none"/>
          <w:lang w:val="sk-SK"/>
        </w:rPr>
        <w:tab/>
        <w:t>Čas použiteľnosti</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3 roky.</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6.4</w:t>
      </w:r>
      <w:r w:rsidRPr="004A6A44">
        <w:rPr>
          <w:rFonts w:ascii="Times New Roman" w:hAnsi="Times New Roman" w:cs="Times New Roman"/>
          <w:b/>
          <w:bCs/>
          <w:sz w:val="22"/>
          <w:szCs w:val="22"/>
          <w:u w:val="none"/>
          <w:lang w:val="sk-SK"/>
        </w:rPr>
        <w:tab/>
        <w:t>Špeciálne upozornenia na uchovávanie</w:t>
      </w:r>
    </w:p>
    <w:p w:rsidR="00BF0732" w:rsidRPr="004A6A44" w:rsidRDefault="00BF0732" w:rsidP="00BF0732">
      <w:pPr>
        <w:tabs>
          <w:tab w:val="left" w:pos="567"/>
        </w:tabs>
        <w:spacing w:after="0" w:line="240" w:lineRule="auto"/>
        <w:jc w:val="both"/>
        <w:rPr>
          <w:rFonts w:ascii="Times New Roman" w:hAnsi="Times New Roman" w:cs="Times New Roman"/>
        </w:rPr>
      </w:pPr>
    </w:p>
    <w:p w:rsidR="00BF0732" w:rsidRPr="004A6A44" w:rsidRDefault="00BF0732" w:rsidP="00BF0732">
      <w:pPr>
        <w:tabs>
          <w:tab w:val="left" w:pos="567"/>
        </w:tabs>
        <w:spacing w:after="0" w:line="240" w:lineRule="auto"/>
        <w:jc w:val="both"/>
        <w:rPr>
          <w:rFonts w:ascii="Times New Roman" w:hAnsi="Times New Roman" w:cs="Times New Roman"/>
        </w:rPr>
      </w:pPr>
      <w:r w:rsidRPr="004A6A44">
        <w:rPr>
          <w:rFonts w:ascii="Times New Roman" w:hAnsi="Times New Roman" w:cs="Times New Roman"/>
        </w:rPr>
        <w:t xml:space="preserve">Uchovávajte pri teplote neprevyšujúcej </w:t>
      </w:r>
      <w:smartTag w:uri="urn:schemas-microsoft-com:office:smarttags" w:element="metricconverter">
        <w:smartTagPr>
          <w:attr w:name="ProductID" w:val="30 °C"/>
        </w:smartTagPr>
        <w:r w:rsidRPr="004A6A44">
          <w:rPr>
            <w:rFonts w:ascii="Times New Roman" w:hAnsi="Times New Roman" w:cs="Times New Roman"/>
          </w:rPr>
          <w:t>30 °C</w:t>
        </w:r>
      </w:smartTag>
      <w:r w:rsidRPr="004A6A44">
        <w:rPr>
          <w:rFonts w:ascii="Times New Roman" w:hAnsi="Times New Roman" w:cs="Times New Roman"/>
        </w:rPr>
        <w:t>.</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6.5</w:t>
      </w:r>
      <w:r w:rsidRPr="004A6A44">
        <w:rPr>
          <w:rFonts w:ascii="Times New Roman" w:hAnsi="Times New Roman" w:cs="Times New Roman"/>
          <w:b/>
          <w:bCs/>
          <w:sz w:val="22"/>
          <w:szCs w:val="22"/>
          <w:u w:val="none"/>
          <w:lang w:val="sk-SK"/>
        </w:rPr>
        <w:tab/>
        <w:t>Druh obalu a obsah balenia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rPr>
      </w:pPr>
      <w:r w:rsidRPr="004A6A44">
        <w:rPr>
          <w:rFonts w:ascii="Times New Roman" w:hAnsi="Times New Roman" w:cs="Times New Roman"/>
        </w:rPr>
        <w:t>Plastová naplnená injekčná striekačka (polykarbonát) s piestom (akrylonitril-butadién-styrénový kopolymér) a injekčnou ihlou uzavreté vo vrecku, ktoré je pokryté fóliou (polyetylén tereftalát/hliník/PE kompozit). Vrecko obsahuje tiež vysúšadlo (hlinitokremičitan sodný).</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tabs>
          <w:tab w:val="left" w:pos="1620"/>
        </w:tabs>
        <w:spacing w:after="0" w:line="240" w:lineRule="auto"/>
        <w:ind w:left="1418" w:hanging="1418"/>
        <w:jc w:val="both"/>
        <w:rPr>
          <w:rFonts w:ascii="Times New Roman" w:hAnsi="Times New Roman" w:cs="Times New Roman"/>
        </w:rPr>
      </w:pPr>
      <w:r w:rsidRPr="004A6A44">
        <w:rPr>
          <w:rFonts w:ascii="Times New Roman" w:hAnsi="Times New Roman" w:cs="Times New Roman"/>
        </w:rPr>
        <w:t>Veľkosti balenia:</w:t>
      </w:r>
      <w:r w:rsidRPr="004A6A44">
        <w:rPr>
          <w:rFonts w:ascii="Times New Roman" w:hAnsi="Times New Roman" w:cs="Times New Roman"/>
        </w:rPr>
        <w:tab/>
        <w:t>1 x 1 implantát s 3,6 mg leuprorelínu (vo forme acetátu)</w:t>
      </w:r>
    </w:p>
    <w:p w:rsidR="00BF0732" w:rsidRPr="004A6A44" w:rsidRDefault="00BF0732" w:rsidP="00BF0732">
      <w:pPr>
        <w:spacing w:after="0" w:line="240" w:lineRule="auto"/>
        <w:ind w:left="1440" w:firstLine="180"/>
        <w:jc w:val="both"/>
        <w:rPr>
          <w:rFonts w:ascii="Times New Roman" w:hAnsi="Times New Roman" w:cs="Times New Roman"/>
        </w:rPr>
      </w:pPr>
      <w:r w:rsidRPr="004A6A44">
        <w:rPr>
          <w:rFonts w:ascii="Times New Roman" w:hAnsi="Times New Roman" w:cs="Times New Roman"/>
        </w:rPr>
        <w:t>2 x 1 implantát s 3,6 mg leuprorelínu (vo forme acetátu)</w:t>
      </w:r>
    </w:p>
    <w:p w:rsidR="00BF0732" w:rsidRPr="004A6A44" w:rsidRDefault="00BF0732" w:rsidP="00BF0732">
      <w:pPr>
        <w:spacing w:after="0" w:line="240" w:lineRule="auto"/>
        <w:ind w:left="1418" w:firstLine="202"/>
        <w:jc w:val="both"/>
        <w:rPr>
          <w:rFonts w:ascii="Times New Roman" w:hAnsi="Times New Roman" w:cs="Times New Roman"/>
        </w:rPr>
      </w:pPr>
      <w:r w:rsidRPr="004A6A44">
        <w:rPr>
          <w:rFonts w:ascii="Times New Roman" w:hAnsi="Times New Roman" w:cs="Times New Roman"/>
        </w:rPr>
        <w:t>3 x 1 implantát s 3,6 mg leuprorelínu (vo forme acetátu)</w:t>
      </w:r>
    </w:p>
    <w:p w:rsidR="00BF0732" w:rsidRPr="004A6A44" w:rsidRDefault="00BF0732" w:rsidP="00BF0732">
      <w:pPr>
        <w:spacing w:after="0" w:line="240" w:lineRule="auto"/>
        <w:ind w:left="1418" w:firstLine="202"/>
        <w:jc w:val="both"/>
        <w:rPr>
          <w:rFonts w:ascii="Times New Roman" w:hAnsi="Times New Roman" w:cs="Times New Roman"/>
        </w:rPr>
      </w:pPr>
      <w:r w:rsidRPr="004A6A44">
        <w:rPr>
          <w:rFonts w:ascii="Times New Roman" w:hAnsi="Times New Roman" w:cs="Times New Roman"/>
        </w:rPr>
        <w:t>5 x 1 implantát s 3,6 mg leuprorelínu (vo forme acetátu)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Na trh</w:t>
      </w:r>
      <w:r w:rsidRPr="004A6A44" w:rsidDel="005409F4">
        <w:rPr>
          <w:rFonts w:ascii="Times New Roman" w:hAnsi="Times New Roman" w:cs="Times New Roman"/>
        </w:rPr>
        <w:t xml:space="preserve"> </w:t>
      </w:r>
      <w:r w:rsidRPr="004A6A44">
        <w:rPr>
          <w:rFonts w:ascii="Times New Roman" w:hAnsi="Times New Roman" w:cs="Times New Roman"/>
        </w:rPr>
        <w:t>nemusia byť uvedené všetky veľkosti balenia.</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2"/>
        <w:ind w:hanging="540"/>
        <w:jc w:val="both"/>
        <w:rPr>
          <w:rFonts w:ascii="Times New Roman" w:hAnsi="Times New Roman" w:cs="Times New Roman"/>
          <w:b/>
          <w:bCs/>
          <w:sz w:val="22"/>
          <w:szCs w:val="22"/>
          <w:u w:val="none"/>
          <w:lang w:val="sk-SK"/>
        </w:rPr>
      </w:pPr>
      <w:r w:rsidRPr="004A6A44">
        <w:rPr>
          <w:rFonts w:ascii="Times New Roman" w:hAnsi="Times New Roman" w:cs="Times New Roman"/>
          <w:b/>
          <w:bCs/>
          <w:sz w:val="22"/>
          <w:szCs w:val="22"/>
          <w:u w:val="none"/>
          <w:lang w:val="sk-SK"/>
        </w:rPr>
        <w:t>6.6</w:t>
      </w:r>
      <w:r w:rsidRPr="004A6A44">
        <w:rPr>
          <w:rFonts w:ascii="Times New Roman" w:hAnsi="Times New Roman" w:cs="Times New Roman"/>
          <w:b/>
          <w:bCs/>
          <w:sz w:val="22"/>
          <w:szCs w:val="22"/>
          <w:u w:val="none"/>
          <w:lang w:val="sk-SK"/>
        </w:rPr>
        <w:tab/>
        <w:t>Špeciálne opatrenia na likvidáciu a iné zaobchádzanie s liekom</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Žiadne zvláštne požiadavky na likvidáciu.</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lastRenderedPageBreak/>
        <w:t>7.</w:t>
      </w:r>
      <w:r w:rsidRPr="004A6A44">
        <w:rPr>
          <w:rFonts w:ascii="Times New Roman" w:hAnsi="Times New Roman" w:cs="Times New Roman"/>
          <w:noProof/>
          <w:color w:val="auto"/>
          <w:sz w:val="22"/>
          <w:szCs w:val="22"/>
          <w:lang w:val="sk-SK"/>
        </w:rPr>
        <w:tab/>
        <w:t>DRŽITEĽ ROZHODNUTIA O REGISTRÁCII</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Sandoz Pharmaceuticals d.d.</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Verovškova 57</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1000 Ľubľana</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Slovinsko</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8.</w:t>
      </w:r>
      <w:r w:rsidRPr="004A6A44">
        <w:rPr>
          <w:rFonts w:ascii="Times New Roman" w:hAnsi="Times New Roman" w:cs="Times New Roman"/>
          <w:noProof/>
          <w:color w:val="auto"/>
          <w:sz w:val="22"/>
          <w:szCs w:val="22"/>
          <w:lang w:val="sk-SK"/>
        </w:rPr>
        <w:tab/>
        <w:t xml:space="preserve">REGISTRAČNÉ ČÍSLO </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56/0563/09-S</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9.</w:t>
      </w:r>
      <w:r w:rsidRPr="004A6A44">
        <w:rPr>
          <w:rFonts w:ascii="Times New Roman" w:hAnsi="Times New Roman" w:cs="Times New Roman"/>
          <w:noProof/>
          <w:color w:val="auto"/>
          <w:sz w:val="22"/>
          <w:szCs w:val="22"/>
          <w:lang w:val="sk-SK"/>
        </w:rPr>
        <w:tab/>
        <w:t>DÁTUM PRVEJ REGISTRÁCIE/PREDĹŽENIA REGISTRÁCIE</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rPr>
          <w:rFonts w:ascii="Times New Roman" w:hAnsi="Times New Roman" w:cs="Times New Roman"/>
          <w:noProof/>
        </w:rPr>
      </w:pPr>
      <w:r w:rsidRPr="004A6A44">
        <w:rPr>
          <w:rFonts w:ascii="Times New Roman" w:hAnsi="Times New Roman" w:cs="Times New Roman"/>
          <w:noProof/>
        </w:rPr>
        <w:t xml:space="preserve">Dátum prvej registrácie: </w:t>
      </w:r>
      <w:r w:rsidRPr="004A6A44">
        <w:rPr>
          <w:rFonts w:ascii="Times New Roman" w:hAnsi="Times New Roman" w:cs="Times New Roman"/>
        </w:rPr>
        <w:t>25. september 2009</w:t>
      </w:r>
    </w:p>
    <w:p w:rsidR="00BF0732" w:rsidRPr="004A6A44" w:rsidRDefault="00BF0732" w:rsidP="00BF0732">
      <w:pPr>
        <w:spacing w:after="0" w:line="240" w:lineRule="auto"/>
        <w:jc w:val="both"/>
        <w:rPr>
          <w:rFonts w:ascii="Times New Roman" w:hAnsi="Times New Roman" w:cs="Times New Roman"/>
        </w:rPr>
      </w:pPr>
      <w:r w:rsidRPr="004A6A44">
        <w:rPr>
          <w:rFonts w:ascii="Times New Roman" w:hAnsi="Times New Roman" w:cs="Times New Roman"/>
        </w:rPr>
        <w:t>Dátum posledného predĺženia registrácie: 02. november 2016</w:t>
      </w: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spacing w:after="0" w:line="240" w:lineRule="auto"/>
        <w:jc w:val="both"/>
        <w:rPr>
          <w:rFonts w:ascii="Times New Roman" w:hAnsi="Times New Roman" w:cs="Times New Roman"/>
        </w:rPr>
      </w:pPr>
    </w:p>
    <w:p w:rsidR="00BF0732" w:rsidRPr="004A6A44" w:rsidRDefault="00BF0732" w:rsidP="00BF0732">
      <w:pPr>
        <w:pStyle w:val="Nadpis1"/>
        <w:ind w:left="567" w:hanging="567"/>
        <w:jc w:val="both"/>
        <w:rPr>
          <w:rFonts w:ascii="Times New Roman" w:hAnsi="Times New Roman" w:cs="Times New Roman"/>
          <w:noProof/>
          <w:color w:val="auto"/>
          <w:sz w:val="22"/>
          <w:szCs w:val="22"/>
          <w:lang w:val="sk-SK"/>
        </w:rPr>
      </w:pPr>
      <w:r w:rsidRPr="004A6A44">
        <w:rPr>
          <w:rFonts w:ascii="Times New Roman" w:hAnsi="Times New Roman" w:cs="Times New Roman"/>
          <w:noProof/>
          <w:color w:val="auto"/>
          <w:sz w:val="22"/>
          <w:szCs w:val="22"/>
          <w:lang w:val="sk-SK"/>
        </w:rPr>
        <w:t>10.</w:t>
      </w:r>
      <w:r w:rsidRPr="004A6A44">
        <w:rPr>
          <w:rFonts w:ascii="Times New Roman" w:hAnsi="Times New Roman" w:cs="Times New Roman"/>
          <w:noProof/>
          <w:color w:val="auto"/>
          <w:sz w:val="22"/>
          <w:szCs w:val="22"/>
          <w:lang w:val="sk-SK"/>
        </w:rPr>
        <w:tab/>
        <w:t>DÁTUM REVÍZIE TEXTU</w:t>
      </w:r>
    </w:p>
    <w:p w:rsidR="00BF0732" w:rsidRPr="004A6A44" w:rsidRDefault="00BF0732" w:rsidP="00BF0732">
      <w:pPr>
        <w:spacing w:after="0" w:line="240" w:lineRule="auto"/>
        <w:jc w:val="both"/>
        <w:rPr>
          <w:rFonts w:ascii="Times New Roman" w:hAnsi="Times New Roman" w:cs="Times New Roman"/>
        </w:rPr>
      </w:pPr>
    </w:p>
    <w:p w:rsidR="00970A2C" w:rsidRPr="004A6A44" w:rsidRDefault="00BD0424" w:rsidP="00CB309A">
      <w:pPr>
        <w:rPr>
          <w:rFonts w:ascii="Times New Roman" w:hAnsi="Times New Roman" w:cs="Times New Roman"/>
        </w:rPr>
      </w:pPr>
      <w:r>
        <w:rPr>
          <w:rFonts w:ascii="Times New Roman" w:hAnsi="Times New Roman" w:cs="Times New Roman"/>
        </w:rPr>
        <w:t>11/2020</w:t>
      </w:r>
    </w:p>
    <w:sectPr w:rsidR="00970A2C" w:rsidRPr="004A6A44" w:rsidSect="00223507">
      <w:headerReference w:type="default" r:id="rId16"/>
      <w:footerReference w:type="default" r:id="rId17"/>
      <w:footerReference w:type="first" r:id="rId18"/>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07" w:rsidRDefault="00DB4007" w:rsidP="00B8613B">
      <w:pPr>
        <w:spacing w:after="0" w:line="240" w:lineRule="auto"/>
      </w:pPr>
      <w:r>
        <w:separator/>
      </w:r>
    </w:p>
  </w:endnote>
  <w:endnote w:type="continuationSeparator" w:id="0">
    <w:p w:rsidR="00DB4007" w:rsidRDefault="00DB4007" w:rsidP="00B8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Bold">
    <w:altName w:val="Arial"/>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eueLTPro-Roman">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D4" w:rsidRPr="006730E0" w:rsidRDefault="001502C6">
    <w:pPr>
      <w:pStyle w:val="Pta"/>
      <w:rPr>
        <w:sz w:val="18"/>
        <w:szCs w:val="18"/>
        <w:lang w:val="de-DE"/>
      </w:rPr>
    </w:pPr>
    <w:r>
      <w:rPr>
        <w:rFonts w:ascii="AvantGarde" w:hAnsi="AvantGarde" w:cs="AvantGarde"/>
        <w:sz w:val="16"/>
        <w:szCs w:val="16"/>
        <w:lang w:val="de-DE"/>
      </w:rPr>
      <w:tab/>
    </w:r>
    <w:r w:rsidRPr="006730E0">
      <w:rPr>
        <w:rStyle w:val="slostrany"/>
      </w:rPr>
      <w:fldChar w:fldCharType="begin"/>
    </w:r>
    <w:r w:rsidRPr="006730E0">
      <w:rPr>
        <w:rStyle w:val="slostrany"/>
      </w:rPr>
      <w:instrText xml:space="preserve"> PAGE </w:instrText>
    </w:r>
    <w:r w:rsidRPr="006730E0">
      <w:rPr>
        <w:rStyle w:val="slostrany"/>
      </w:rPr>
      <w:fldChar w:fldCharType="separate"/>
    </w:r>
    <w:r w:rsidR="00820F40">
      <w:rPr>
        <w:rStyle w:val="slostrany"/>
        <w:noProof/>
      </w:rPr>
      <w:t>2</w:t>
    </w:r>
    <w:r w:rsidRPr="006730E0">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9BB" w:rsidRPr="006730E0" w:rsidRDefault="001502C6">
    <w:pPr>
      <w:pStyle w:val="Pta"/>
      <w:jc w:val="center"/>
      <w:rPr>
        <w:sz w:val="18"/>
        <w:szCs w:val="18"/>
      </w:rPr>
    </w:pPr>
    <w:r w:rsidRPr="006730E0">
      <w:rPr>
        <w:sz w:val="18"/>
        <w:szCs w:val="18"/>
      </w:rPr>
      <w:fldChar w:fldCharType="begin"/>
    </w:r>
    <w:r w:rsidRPr="006730E0">
      <w:rPr>
        <w:sz w:val="18"/>
        <w:szCs w:val="18"/>
      </w:rPr>
      <w:instrText>PAGE   \* MERGEFORMAT</w:instrText>
    </w:r>
    <w:r w:rsidRPr="006730E0">
      <w:rPr>
        <w:sz w:val="18"/>
        <w:szCs w:val="18"/>
      </w:rPr>
      <w:fldChar w:fldCharType="separate"/>
    </w:r>
    <w:r w:rsidRPr="000B30FC">
      <w:rPr>
        <w:noProof/>
        <w:sz w:val="18"/>
        <w:szCs w:val="18"/>
        <w:lang w:val="sk-SK"/>
      </w:rPr>
      <w:t>1</w:t>
    </w:r>
    <w:r w:rsidRPr="006730E0">
      <w:rPr>
        <w:sz w:val="18"/>
        <w:szCs w:val="18"/>
      </w:rPr>
      <w:fldChar w:fldCharType="end"/>
    </w:r>
  </w:p>
  <w:p w:rsidR="00DA79BB" w:rsidRDefault="00DB400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07" w:rsidRDefault="00DB4007" w:rsidP="00B8613B">
      <w:pPr>
        <w:spacing w:after="0" w:line="240" w:lineRule="auto"/>
      </w:pPr>
      <w:r>
        <w:separator/>
      </w:r>
    </w:p>
  </w:footnote>
  <w:footnote w:type="continuationSeparator" w:id="0">
    <w:p w:rsidR="00DB4007" w:rsidRDefault="00DB4007" w:rsidP="00B86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3B" w:rsidRPr="00E7080D" w:rsidRDefault="00BB4CCB" w:rsidP="00B8613B">
    <w:pPr>
      <w:pStyle w:val="Hlavika"/>
      <w:rPr>
        <w:sz w:val="18"/>
        <w:szCs w:val="18"/>
        <w:lang w:val="sk-SK"/>
      </w:rPr>
    </w:pPr>
    <w:r>
      <w:rPr>
        <w:sz w:val="18"/>
        <w:szCs w:val="18"/>
        <w:lang w:val="sk-SK"/>
      </w:rPr>
      <w:t xml:space="preserve">Príloha č.1 k notifikácii o zmene, </w:t>
    </w:r>
    <w:r w:rsidR="00522104">
      <w:rPr>
        <w:sz w:val="18"/>
        <w:szCs w:val="18"/>
        <w:lang w:val="sk-SK"/>
      </w:rPr>
      <w:t>ev.č.: 2020/04547-Z1B</w:t>
    </w:r>
  </w:p>
  <w:p w:rsidR="000B6F61" w:rsidRPr="00223507" w:rsidRDefault="00DB4007" w:rsidP="002235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0669"/>
    <w:multiLevelType w:val="hybridMultilevel"/>
    <w:tmpl w:val="919A4D24"/>
    <w:lvl w:ilvl="0" w:tplc="0409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
    <w:nsid w:val="770543F3"/>
    <w:multiLevelType w:val="hybridMultilevel"/>
    <w:tmpl w:val="001230B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jidakova, Adriana">
    <w15:presenceInfo w15:providerId="AD" w15:userId="S-1-5-21-329068152-854245398-839522115-1574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5B"/>
    <w:rsid w:val="00016A88"/>
    <w:rsid w:val="001502C6"/>
    <w:rsid w:val="0015407C"/>
    <w:rsid w:val="001E2A2E"/>
    <w:rsid w:val="00343B22"/>
    <w:rsid w:val="00486EB5"/>
    <w:rsid w:val="00490214"/>
    <w:rsid w:val="004A6A44"/>
    <w:rsid w:val="00522104"/>
    <w:rsid w:val="00820F40"/>
    <w:rsid w:val="0087124A"/>
    <w:rsid w:val="008A5A57"/>
    <w:rsid w:val="0094528B"/>
    <w:rsid w:val="00970A2C"/>
    <w:rsid w:val="00974510"/>
    <w:rsid w:val="009D4B95"/>
    <w:rsid w:val="00AD6573"/>
    <w:rsid w:val="00B8613B"/>
    <w:rsid w:val="00BB4CCB"/>
    <w:rsid w:val="00BD0424"/>
    <w:rsid w:val="00BF0732"/>
    <w:rsid w:val="00C732C9"/>
    <w:rsid w:val="00CB309A"/>
    <w:rsid w:val="00D87081"/>
    <w:rsid w:val="00DB0B5B"/>
    <w:rsid w:val="00DB4007"/>
    <w:rsid w:val="00DE0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F073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F0732"/>
    <w:pPr>
      <w:keepNext/>
      <w:spacing w:after="0" w:line="240" w:lineRule="auto"/>
      <w:ind w:left="540"/>
      <w:outlineLvl w:val="1"/>
    </w:pPr>
    <w:rPr>
      <w:rFonts w:ascii="AvantGarde" w:eastAsia="Times New Roman" w:hAnsi="AvantGarde" w:cs="AvantGarde"/>
      <w:sz w:val="24"/>
      <w:szCs w:val="24"/>
      <w:u w:val="single"/>
      <w:lang w:val="en-US"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F073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F0732"/>
    <w:rPr>
      <w:rFonts w:ascii="AvantGarde" w:eastAsia="Times New Roman" w:hAnsi="AvantGarde" w:cs="AvantGarde"/>
      <w:sz w:val="24"/>
      <w:szCs w:val="24"/>
      <w:u w:val="single"/>
      <w:lang w:val="en-US" w:eastAsia="fi-FI"/>
    </w:rPr>
  </w:style>
  <w:style w:type="paragraph" w:customStyle="1" w:styleId="leipa">
    <w:name w:val="leipa"/>
    <w:basedOn w:val="Normlny"/>
    <w:uiPriority w:val="99"/>
    <w:rsid w:val="00BF073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Pta">
    <w:name w:val="footer"/>
    <w:basedOn w:val="Normlny"/>
    <w:link w:val="Pt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F073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F073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F0732"/>
    <w:rPr>
      <w:rFonts w:cs="Times New Roman"/>
    </w:rPr>
  </w:style>
  <w:style w:type="paragraph" w:styleId="Obyajntext">
    <w:name w:val="Plain Text"/>
    <w:basedOn w:val="Normlny"/>
    <w:link w:val="ObyajntextChar"/>
    <w:uiPriority w:val="99"/>
    <w:rsid w:val="00BF073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F0732"/>
    <w:rPr>
      <w:rFonts w:ascii="Courier New" w:eastAsia="Times New Roman" w:hAnsi="Courier New" w:cs="Courier New"/>
      <w:sz w:val="20"/>
      <w:szCs w:val="20"/>
      <w:lang w:val="de-DE" w:eastAsia="fi-FI"/>
    </w:rPr>
  </w:style>
  <w:style w:type="character" w:customStyle="1" w:styleId="hps">
    <w:name w:val="hps"/>
    <w:uiPriority w:val="99"/>
    <w:rsid w:val="00BF0732"/>
  </w:style>
  <w:style w:type="table" w:styleId="Mriekatabuky">
    <w:name w:val="Table Grid"/>
    <w:basedOn w:val="Normlnatabuka"/>
    <w:uiPriority w:val="99"/>
    <w:rsid w:val="00BF0732"/>
    <w:pPr>
      <w:spacing w:after="0" w:line="240" w:lineRule="auto"/>
    </w:pPr>
    <w:rPr>
      <w:rFonts w:ascii="Times New Roman" w:eastAsia="Times New Roman" w:hAnsi="Times New Roman" w:cs="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F0732"/>
    <w:rPr>
      <w:rFonts w:cs="Times New Roman"/>
      <w:color w:val="0000FF"/>
      <w:u w:val="single"/>
    </w:rPr>
  </w:style>
  <w:style w:type="paragraph" w:styleId="Textbubliny">
    <w:name w:val="Balloon Text"/>
    <w:basedOn w:val="Normlny"/>
    <w:link w:val="TextbublinyChar"/>
    <w:uiPriority w:val="99"/>
    <w:semiHidden/>
    <w:unhideWhenUsed/>
    <w:rsid w:val="009745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45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9"/>
    <w:qFormat/>
    <w:rsid w:val="00BF0732"/>
    <w:pPr>
      <w:keepNext/>
      <w:spacing w:after="0" w:line="240" w:lineRule="auto"/>
      <w:ind w:left="540"/>
      <w:outlineLvl w:val="0"/>
    </w:pPr>
    <w:rPr>
      <w:rFonts w:ascii="AvantGarde" w:eastAsia="Times New Roman" w:hAnsi="AvantGarde" w:cs="AvantGarde"/>
      <w:b/>
      <w:bCs/>
      <w:color w:val="FF0000"/>
      <w:sz w:val="24"/>
      <w:szCs w:val="24"/>
      <w:lang w:val="en-US" w:eastAsia="fi-FI"/>
    </w:rPr>
  </w:style>
  <w:style w:type="paragraph" w:styleId="Nadpis2">
    <w:name w:val="heading 2"/>
    <w:basedOn w:val="Normlny"/>
    <w:next w:val="Normlny"/>
    <w:link w:val="Nadpis2Char"/>
    <w:uiPriority w:val="99"/>
    <w:qFormat/>
    <w:rsid w:val="00BF0732"/>
    <w:pPr>
      <w:keepNext/>
      <w:spacing w:after="0" w:line="240" w:lineRule="auto"/>
      <w:ind w:left="540"/>
      <w:outlineLvl w:val="1"/>
    </w:pPr>
    <w:rPr>
      <w:rFonts w:ascii="AvantGarde" w:eastAsia="Times New Roman" w:hAnsi="AvantGarde" w:cs="AvantGarde"/>
      <w:sz w:val="24"/>
      <w:szCs w:val="24"/>
      <w:u w:val="single"/>
      <w:lang w:val="en-US" w:eastAsia="fi-F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F0732"/>
    <w:rPr>
      <w:rFonts w:ascii="AvantGarde" w:eastAsia="Times New Roman" w:hAnsi="AvantGarde" w:cs="AvantGarde"/>
      <w:b/>
      <w:bCs/>
      <w:color w:val="FF0000"/>
      <w:sz w:val="24"/>
      <w:szCs w:val="24"/>
      <w:lang w:val="en-US" w:eastAsia="fi-FI"/>
    </w:rPr>
  </w:style>
  <w:style w:type="character" w:customStyle="1" w:styleId="Nadpis2Char">
    <w:name w:val="Nadpis 2 Char"/>
    <w:basedOn w:val="Predvolenpsmoodseku"/>
    <w:link w:val="Nadpis2"/>
    <w:uiPriority w:val="99"/>
    <w:rsid w:val="00BF0732"/>
    <w:rPr>
      <w:rFonts w:ascii="AvantGarde" w:eastAsia="Times New Roman" w:hAnsi="AvantGarde" w:cs="AvantGarde"/>
      <w:sz w:val="24"/>
      <w:szCs w:val="24"/>
      <w:u w:val="single"/>
      <w:lang w:val="en-US" w:eastAsia="fi-FI"/>
    </w:rPr>
  </w:style>
  <w:style w:type="paragraph" w:customStyle="1" w:styleId="leipa">
    <w:name w:val="leipa"/>
    <w:basedOn w:val="Normlny"/>
    <w:uiPriority w:val="99"/>
    <w:rsid w:val="00BF0732"/>
    <w:pPr>
      <w:spacing w:before="100" w:beforeAutospacing="1" w:after="100" w:afterAutospacing="1" w:line="240" w:lineRule="auto"/>
    </w:pPr>
    <w:rPr>
      <w:rFonts w:ascii="Arial Unicode MS" w:eastAsia="Times New Roman" w:hAnsi="Times New Roman" w:cs="Arial Unicode MS"/>
      <w:sz w:val="24"/>
      <w:szCs w:val="24"/>
      <w:lang w:val="fi-FI" w:eastAsia="fi-FI"/>
    </w:rPr>
  </w:style>
  <w:style w:type="paragraph" w:styleId="Pta">
    <w:name w:val="footer"/>
    <w:basedOn w:val="Normlny"/>
    <w:link w:val="Pt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PtaChar">
    <w:name w:val="Päta Char"/>
    <w:basedOn w:val="Predvolenpsmoodseku"/>
    <w:link w:val="Pta"/>
    <w:uiPriority w:val="99"/>
    <w:rsid w:val="00BF0732"/>
    <w:rPr>
      <w:rFonts w:ascii="Times New Roman" w:eastAsia="Times New Roman" w:hAnsi="Times New Roman" w:cs="Times New Roman"/>
      <w:sz w:val="24"/>
      <w:szCs w:val="24"/>
      <w:lang w:val="en-US" w:eastAsia="fi-FI"/>
    </w:rPr>
  </w:style>
  <w:style w:type="paragraph" w:styleId="Hlavika">
    <w:name w:val="header"/>
    <w:basedOn w:val="Normlny"/>
    <w:link w:val="HlavikaChar"/>
    <w:uiPriority w:val="99"/>
    <w:rsid w:val="00BF0732"/>
    <w:pPr>
      <w:tabs>
        <w:tab w:val="center" w:pos="4536"/>
        <w:tab w:val="right" w:pos="9072"/>
      </w:tabs>
      <w:spacing w:after="0" w:line="240" w:lineRule="auto"/>
    </w:pPr>
    <w:rPr>
      <w:rFonts w:ascii="Times New Roman" w:eastAsia="Times New Roman" w:hAnsi="Times New Roman" w:cs="Times New Roman"/>
      <w:sz w:val="24"/>
      <w:szCs w:val="24"/>
      <w:lang w:val="en-US" w:eastAsia="fi-FI"/>
    </w:rPr>
  </w:style>
  <w:style w:type="character" w:customStyle="1" w:styleId="HlavikaChar">
    <w:name w:val="Hlavička Char"/>
    <w:basedOn w:val="Predvolenpsmoodseku"/>
    <w:link w:val="Hlavika"/>
    <w:uiPriority w:val="99"/>
    <w:rsid w:val="00BF0732"/>
    <w:rPr>
      <w:rFonts w:ascii="Times New Roman" w:eastAsia="Times New Roman" w:hAnsi="Times New Roman" w:cs="Times New Roman"/>
      <w:sz w:val="24"/>
      <w:szCs w:val="24"/>
      <w:lang w:val="en-US" w:eastAsia="fi-FI"/>
    </w:rPr>
  </w:style>
  <w:style w:type="character" w:styleId="slostrany">
    <w:name w:val="page number"/>
    <w:basedOn w:val="Predvolenpsmoodseku"/>
    <w:uiPriority w:val="99"/>
    <w:rsid w:val="00BF0732"/>
    <w:rPr>
      <w:rFonts w:cs="Times New Roman"/>
    </w:rPr>
  </w:style>
  <w:style w:type="paragraph" w:styleId="Obyajntext">
    <w:name w:val="Plain Text"/>
    <w:basedOn w:val="Normlny"/>
    <w:link w:val="ObyajntextChar"/>
    <w:uiPriority w:val="99"/>
    <w:rsid w:val="00BF0732"/>
    <w:pPr>
      <w:spacing w:after="0" w:line="240" w:lineRule="auto"/>
    </w:pPr>
    <w:rPr>
      <w:rFonts w:ascii="Courier New" w:eastAsia="Times New Roman" w:hAnsi="Courier New" w:cs="Courier New"/>
      <w:sz w:val="20"/>
      <w:szCs w:val="20"/>
      <w:lang w:val="de-DE" w:eastAsia="fi-FI"/>
    </w:rPr>
  </w:style>
  <w:style w:type="character" w:customStyle="1" w:styleId="ObyajntextChar">
    <w:name w:val="Obyčajný text Char"/>
    <w:basedOn w:val="Predvolenpsmoodseku"/>
    <w:link w:val="Obyajntext"/>
    <w:uiPriority w:val="99"/>
    <w:rsid w:val="00BF0732"/>
    <w:rPr>
      <w:rFonts w:ascii="Courier New" w:eastAsia="Times New Roman" w:hAnsi="Courier New" w:cs="Courier New"/>
      <w:sz w:val="20"/>
      <w:szCs w:val="20"/>
      <w:lang w:val="de-DE" w:eastAsia="fi-FI"/>
    </w:rPr>
  </w:style>
  <w:style w:type="character" w:customStyle="1" w:styleId="hps">
    <w:name w:val="hps"/>
    <w:uiPriority w:val="99"/>
    <w:rsid w:val="00BF0732"/>
  </w:style>
  <w:style w:type="table" w:styleId="Mriekatabuky">
    <w:name w:val="Table Grid"/>
    <w:basedOn w:val="Normlnatabuka"/>
    <w:uiPriority w:val="99"/>
    <w:rsid w:val="00BF0732"/>
    <w:pPr>
      <w:spacing w:after="0" w:line="240" w:lineRule="auto"/>
    </w:pPr>
    <w:rPr>
      <w:rFonts w:ascii="Times New Roman" w:eastAsia="Times New Roman" w:hAnsi="Times New Roman" w:cs="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BF0732"/>
    <w:rPr>
      <w:rFonts w:cs="Times New Roman"/>
      <w:color w:val="0000FF"/>
      <w:u w:val="single"/>
    </w:rPr>
  </w:style>
  <w:style w:type="paragraph" w:styleId="Textbubliny">
    <w:name w:val="Balloon Text"/>
    <w:basedOn w:val="Normlny"/>
    <w:link w:val="TextbublinyChar"/>
    <w:uiPriority w:val="99"/>
    <w:semiHidden/>
    <w:unhideWhenUsed/>
    <w:rsid w:val="009745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2.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Valovičová, Monika</cp:lastModifiedBy>
  <cp:revision>19</cp:revision>
  <dcterms:created xsi:type="dcterms:W3CDTF">2020-06-02T14:37:00Z</dcterms:created>
  <dcterms:modified xsi:type="dcterms:W3CDTF">2020-11-13T13:29:00Z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2020-11-12T13:44:23Z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232b55d8-9cb0-4aa5-80c8-f562b1f36c2a</vt:lpwstr>
  </property>
  <property fmtid="{D5CDD505-2E9C-101B-9397-08002B2CF9AE}" pid="8" name="MSIP_Label_4929bff8-5b33-42aa-95d2-28f72e792cb0_ContentBits">
    <vt:lpwstr>0</vt:lpwstr>
  </property>
</Properties>
</file>