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BE392" w14:textId="77777777" w:rsidR="00B52502" w:rsidRPr="002F1924" w:rsidRDefault="00B52502" w:rsidP="008A6EE7">
      <w:pPr>
        <w:spacing w:after="0" w:line="240" w:lineRule="auto"/>
        <w:jc w:val="center"/>
        <w:rPr>
          <w:rFonts w:ascii="Times New Roman" w:hAnsi="Times New Roman" w:cs="Times New Roman"/>
          <w:b/>
          <w:bCs/>
        </w:rPr>
      </w:pPr>
      <w:bookmarkStart w:id="0" w:name="_GoBack"/>
      <w:bookmarkEnd w:id="0"/>
      <w:r w:rsidRPr="002F1924">
        <w:rPr>
          <w:rFonts w:ascii="Times New Roman" w:hAnsi="Times New Roman" w:cs="Times New Roman"/>
          <w:b/>
          <w:bCs/>
        </w:rPr>
        <w:t>SÚHRN CHARAKTERISTICKÝCH VLASTNOSTÍ LIEKU</w:t>
      </w:r>
    </w:p>
    <w:p w14:paraId="25B5FDBB" w14:textId="77777777" w:rsidR="00B52502" w:rsidRPr="002F1924" w:rsidRDefault="00B52502" w:rsidP="008A6EE7">
      <w:pPr>
        <w:spacing w:after="0" w:line="240" w:lineRule="auto"/>
        <w:rPr>
          <w:rFonts w:ascii="Times New Roman" w:hAnsi="Times New Roman" w:cs="Times New Roman"/>
        </w:rPr>
      </w:pPr>
    </w:p>
    <w:p w14:paraId="51D3B06C" w14:textId="77777777" w:rsidR="00B52502" w:rsidRPr="002F1924" w:rsidRDefault="00B52502" w:rsidP="008A6EE7">
      <w:pPr>
        <w:spacing w:after="0" w:line="240" w:lineRule="auto"/>
        <w:rPr>
          <w:rFonts w:ascii="Times New Roman" w:hAnsi="Times New Roman" w:cs="Times New Roman"/>
        </w:rPr>
      </w:pPr>
    </w:p>
    <w:p w14:paraId="4123EFA2" w14:textId="77777777" w:rsidR="00B52502" w:rsidRPr="002F1924" w:rsidRDefault="00B52502" w:rsidP="008A6EE7">
      <w:pPr>
        <w:pStyle w:val="Nadpis1"/>
        <w:ind w:left="567" w:hanging="567"/>
        <w:jc w:val="both"/>
        <w:rPr>
          <w:rFonts w:ascii="Times New Roman" w:hAnsi="Times New Roman" w:cs="Times New Roman"/>
          <w:caps/>
          <w:noProof/>
          <w:color w:val="auto"/>
          <w:sz w:val="22"/>
          <w:szCs w:val="22"/>
          <w:lang w:val="sk-SK"/>
        </w:rPr>
      </w:pPr>
      <w:r w:rsidRPr="002F1924">
        <w:rPr>
          <w:rFonts w:ascii="Times New Roman" w:hAnsi="Times New Roman" w:cs="Times New Roman"/>
          <w:caps/>
          <w:noProof/>
          <w:color w:val="auto"/>
          <w:sz w:val="22"/>
          <w:szCs w:val="22"/>
          <w:lang w:val="sk-SK"/>
        </w:rPr>
        <w:t>1.</w:t>
      </w:r>
      <w:r w:rsidRPr="002F1924">
        <w:rPr>
          <w:rFonts w:ascii="Times New Roman" w:hAnsi="Times New Roman" w:cs="Times New Roman"/>
          <w:caps/>
          <w:noProof/>
          <w:color w:val="auto"/>
          <w:sz w:val="22"/>
          <w:szCs w:val="22"/>
          <w:lang w:val="sk-SK"/>
        </w:rPr>
        <w:tab/>
        <w:t>NÁZOV LIEKU</w:t>
      </w:r>
    </w:p>
    <w:p w14:paraId="1AACEFDF" w14:textId="77777777" w:rsidR="00B52502" w:rsidRPr="002F1924" w:rsidRDefault="00B52502" w:rsidP="008A6EE7">
      <w:pPr>
        <w:spacing w:after="0" w:line="240" w:lineRule="auto"/>
        <w:jc w:val="both"/>
        <w:rPr>
          <w:rFonts w:ascii="Times New Roman" w:hAnsi="Times New Roman" w:cs="Times New Roman"/>
        </w:rPr>
      </w:pPr>
    </w:p>
    <w:p w14:paraId="777B0591"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Leuprorelin Sandoz 5 mg implantát</w:t>
      </w:r>
    </w:p>
    <w:p w14:paraId="4591776C" w14:textId="77777777" w:rsidR="00B52502" w:rsidRPr="002F1924" w:rsidRDefault="00B52502" w:rsidP="008A6EE7">
      <w:pPr>
        <w:spacing w:after="0" w:line="240" w:lineRule="auto"/>
        <w:jc w:val="both"/>
        <w:rPr>
          <w:rFonts w:ascii="Times New Roman" w:hAnsi="Times New Roman" w:cs="Times New Roman"/>
        </w:rPr>
      </w:pPr>
    </w:p>
    <w:p w14:paraId="789F4BDD" w14:textId="77777777" w:rsidR="00B52502" w:rsidRPr="002F1924" w:rsidRDefault="00B52502" w:rsidP="008A6EE7">
      <w:pPr>
        <w:widowControl w:val="0"/>
        <w:spacing w:after="0" w:line="240" w:lineRule="auto"/>
        <w:jc w:val="both"/>
        <w:rPr>
          <w:rFonts w:ascii="Times New Roman" w:hAnsi="Times New Roman" w:cs="Times New Roman"/>
        </w:rPr>
      </w:pPr>
    </w:p>
    <w:p w14:paraId="122E5121" w14:textId="77777777" w:rsidR="00B52502" w:rsidRPr="002F1924" w:rsidRDefault="00B52502" w:rsidP="008A6EE7">
      <w:pPr>
        <w:pStyle w:val="Nadpis1"/>
        <w:ind w:left="567" w:hanging="567"/>
        <w:jc w:val="both"/>
        <w:rPr>
          <w:rFonts w:ascii="Times New Roman" w:hAnsi="Times New Roman" w:cs="Times New Roman"/>
          <w:caps/>
          <w:noProof/>
          <w:color w:val="auto"/>
          <w:sz w:val="22"/>
          <w:szCs w:val="22"/>
          <w:lang w:val="sk-SK"/>
        </w:rPr>
      </w:pPr>
      <w:r w:rsidRPr="002F1924">
        <w:rPr>
          <w:rFonts w:ascii="Times New Roman" w:hAnsi="Times New Roman" w:cs="Times New Roman"/>
          <w:caps/>
          <w:noProof/>
          <w:color w:val="auto"/>
          <w:sz w:val="22"/>
          <w:szCs w:val="22"/>
          <w:lang w:val="sk-SK"/>
        </w:rPr>
        <w:t>2.</w:t>
      </w:r>
      <w:r w:rsidRPr="002F1924">
        <w:rPr>
          <w:rFonts w:ascii="Times New Roman" w:hAnsi="Times New Roman" w:cs="Times New Roman"/>
          <w:caps/>
          <w:noProof/>
          <w:color w:val="auto"/>
          <w:sz w:val="22"/>
          <w:szCs w:val="22"/>
          <w:lang w:val="sk-SK"/>
        </w:rPr>
        <w:tab/>
        <w:t>KVALITATÍVNE A KVANTITATÍVNE ZLOŽENIE</w:t>
      </w:r>
    </w:p>
    <w:p w14:paraId="15EB0B93" w14:textId="77777777" w:rsidR="00B52502" w:rsidRPr="002F1924" w:rsidRDefault="00B52502" w:rsidP="008A6EE7">
      <w:pPr>
        <w:spacing w:after="0" w:line="240" w:lineRule="auto"/>
        <w:jc w:val="both"/>
        <w:rPr>
          <w:rFonts w:ascii="Times New Roman" w:hAnsi="Times New Roman" w:cs="Times New Roman"/>
        </w:rPr>
      </w:pPr>
    </w:p>
    <w:p w14:paraId="7527BCCC"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Každý implantát obsahuje 5 mg leuprorelínu (vo forme leuprorelíniumacetátu).</w:t>
      </w:r>
    </w:p>
    <w:p w14:paraId="1082D95F" w14:textId="77777777" w:rsidR="00B52502" w:rsidRPr="002F1924" w:rsidRDefault="00B52502" w:rsidP="008A6EE7">
      <w:pPr>
        <w:spacing w:after="0" w:line="240" w:lineRule="auto"/>
        <w:ind w:left="567"/>
        <w:jc w:val="both"/>
        <w:rPr>
          <w:rFonts w:ascii="Times New Roman" w:hAnsi="Times New Roman" w:cs="Times New Roman"/>
        </w:rPr>
      </w:pPr>
    </w:p>
    <w:p w14:paraId="06D9BD59"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Úplný zoznam pomocných látok, pozri časť 6.1.</w:t>
      </w:r>
    </w:p>
    <w:p w14:paraId="6A41BCC5" w14:textId="77777777" w:rsidR="00B52502" w:rsidRPr="002F1924" w:rsidRDefault="00B52502" w:rsidP="008A6EE7">
      <w:pPr>
        <w:spacing w:after="0" w:line="240" w:lineRule="auto"/>
        <w:jc w:val="both"/>
        <w:rPr>
          <w:rFonts w:ascii="Times New Roman" w:hAnsi="Times New Roman" w:cs="Times New Roman"/>
        </w:rPr>
      </w:pPr>
    </w:p>
    <w:p w14:paraId="76F3CFAB" w14:textId="77777777" w:rsidR="00B52502" w:rsidRPr="002F1924" w:rsidRDefault="00B52502" w:rsidP="008A6EE7">
      <w:pPr>
        <w:spacing w:after="0" w:line="240" w:lineRule="auto"/>
        <w:jc w:val="both"/>
        <w:rPr>
          <w:rFonts w:ascii="Times New Roman" w:hAnsi="Times New Roman" w:cs="Times New Roman"/>
        </w:rPr>
      </w:pPr>
    </w:p>
    <w:p w14:paraId="0272C7DD" w14:textId="77777777" w:rsidR="00B52502" w:rsidRPr="002F1924" w:rsidRDefault="00B52502" w:rsidP="008A6EE7">
      <w:pPr>
        <w:pStyle w:val="Nadpis1"/>
        <w:ind w:left="567" w:hanging="567"/>
        <w:jc w:val="both"/>
        <w:rPr>
          <w:rFonts w:ascii="Times New Roman" w:hAnsi="Times New Roman" w:cs="Times New Roman"/>
          <w:caps/>
          <w:noProof/>
          <w:color w:val="auto"/>
          <w:sz w:val="22"/>
          <w:szCs w:val="22"/>
          <w:lang w:val="sk-SK"/>
        </w:rPr>
      </w:pPr>
      <w:r w:rsidRPr="002F1924">
        <w:rPr>
          <w:rFonts w:ascii="Times New Roman" w:hAnsi="Times New Roman" w:cs="Times New Roman"/>
          <w:caps/>
          <w:noProof/>
          <w:color w:val="auto"/>
          <w:sz w:val="22"/>
          <w:szCs w:val="22"/>
          <w:lang w:val="sk-SK"/>
        </w:rPr>
        <w:t>3.</w:t>
      </w:r>
      <w:r w:rsidRPr="002F1924">
        <w:rPr>
          <w:rFonts w:ascii="Times New Roman" w:hAnsi="Times New Roman" w:cs="Times New Roman"/>
          <w:caps/>
          <w:noProof/>
          <w:color w:val="auto"/>
          <w:sz w:val="22"/>
          <w:szCs w:val="22"/>
          <w:lang w:val="sk-SK"/>
        </w:rPr>
        <w:tab/>
        <w:t>LIEKOVÁ FORMA</w:t>
      </w:r>
    </w:p>
    <w:p w14:paraId="086A1CC4"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69DE3683"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Implantát.</w:t>
      </w:r>
    </w:p>
    <w:p w14:paraId="0CDE2FFA" w14:textId="77777777" w:rsidR="00B52502" w:rsidRPr="002F1924" w:rsidRDefault="00B52502" w:rsidP="008A6EE7">
      <w:pPr>
        <w:tabs>
          <w:tab w:val="left" w:pos="567"/>
        </w:tabs>
        <w:spacing w:after="0" w:line="240" w:lineRule="auto"/>
        <w:rPr>
          <w:rFonts w:ascii="Times New Roman" w:hAnsi="Times New Roman" w:cs="Times New Roman"/>
        </w:rPr>
      </w:pPr>
    </w:p>
    <w:p w14:paraId="42E33FB2"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color w:val="000000"/>
        </w:rPr>
        <w:t xml:space="preserve">Biela až jemne žltkastá tyčinka cylindrického tvaru (dĺžka </w:t>
      </w:r>
      <w:smartTag w:uri="urn:schemas-microsoft-com:office:smarttags" w:element="metricconverter">
        <w:smartTagPr>
          <w:attr w:name="ProductID" w:val="10 mm"/>
        </w:smartTagPr>
        <w:r w:rsidRPr="002F1924">
          <w:rPr>
            <w:rFonts w:ascii="Times New Roman" w:hAnsi="Times New Roman" w:cs="Times New Roman"/>
            <w:color w:val="000000"/>
          </w:rPr>
          <w:t>10 mm</w:t>
        </w:r>
      </w:smartTag>
      <w:r w:rsidRPr="002F1924">
        <w:rPr>
          <w:rFonts w:ascii="Times New Roman" w:hAnsi="Times New Roman" w:cs="Times New Roman"/>
          <w:color w:val="000000"/>
        </w:rPr>
        <w:t>) v naplnenej injekčnej striekačke.</w:t>
      </w:r>
    </w:p>
    <w:p w14:paraId="230F5A25"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1F02060D"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2BAED493" w14:textId="77777777" w:rsidR="00B52502" w:rsidRPr="002F1924" w:rsidRDefault="00B52502" w:rsidP="008A6EE7">
      <w:pPr>
        <w:pStyle w:val="Nadpis1"/>
        <w:ind w:left="567" w:hanging="567"/>
        <w:jc w:val="both"/>
        <w:rPr>
          <w:rFonts w:ascii="Times New Roman" w:hAnsi="Times New Roman" w:cs="Times New Roman"/>
          <w:caps/>
          <w:noProof/>
          <w:color w:val="auto"/>
          <w:sz w:val="22"/>
          <w:szCs w:val="22"/>
          <w:lang w:val="sk-SK"/>
        </w:rPr>
      </w:pPr>
      <w:r w:rsidRPr="002F1924">
        <w:rPr>
          <w:rFonts w:ascii="Times New Roman" w:hAnsi="Times New Roman" w:cs="Times New Roman"/>
          <w:caps/>
          <w:noProof/>
          <w:color w:val="auto"/>
          <w:sz w:val="22"/>
          <w:szCs w:val="22"/>
          <w:lang w:val="sk-SK"/>
        </w:rPr>
        <w:t>4.</w:t>
      </w:r>
      <w:r w:rsidRPr="002F1924">
        <w:rPr>
          <w:rFonts w:ascii="Times New Roman" w:hAnsi="Times New Roman" w:cs="Times New Roman"/>
          <w:caps/>
          <w:noProof/>
          <w:color w:val="auto"/>
          <w:sz w:val="22"/>
          <w:szCs w:val="22"/>
          <w:lang w:val="sk-SK"/>
        </w:rPr>
        <w:tab/>
        <w:t>KLINICKÉ ÚDAJE</w:t>
      </w:r>
    </w:p>
    <w:p w14:paraId="6D1DD98D" w14:textId="77777777" w:rsidR="00B52502" w:rsidRPr="002F1924" w:rsidRDefault="00B52502" w:rsidP="008A6EE7">
      <w:pPr>
        <w:spacing w:after="0" w:line="240" w:lineRule="auto"/>
        <w:jc w:val="both"/>
        <w:rPr>
          <w:rFonts w:ascii="Times New Roman" w:hAnsi="Times New Roman" w:cs="Times New Roman"/>
        </w:rPr>
      </w:pPr>
    </w:p>
    <w:p w14:paraId="2D2FE15F" w14:textId="77777777" w:rsidR="00B52502" w:rsidRPr="002F1924" w:rsidRDefault="00B52502" w:rsidP="008A6EE7">
      <w:pPr>
        <w:pStyle w:val="Nadpis2"/>
        <w:ind w:hanging="540"/>
        <w:jc w:val="both"/>
        <w:rPr>
          <w:rFonts w:ascii="Times New Roman" w:hAnsi="Times New Roman" w:cs="Times New Roman"/>
          <w:sz w:val="22"/>
          <w:szCs w:val="22"/>
          <w:u w:val="none"/>
          <w:lang w:val="sk-SK"/>
        </w:rPr>
      </w:pPr>
      <w:r w:rsidRPr="002F1924">
        <w:rPr>
          <w:rFonts w:ascii="Times New Roman" w:hAnsi="Times New Roman" w:cs="Times New Roman"/>
          <w:b/>
          <w:bCs/>
          <w:sz w:val="22"/>
          <w:szCs w:val="22"/>
          <w:u w:val="none"/>
          <w:lang w:val="sk-SK"/>
        </w:rPr>
        <w:t>4.1</w:t>
      </w:r>
      <w:r w:rsidRPr="002F1924">
        <w:rPr>
          <w:rFonts w:ascii="Times New Roman" w:hAnsi="Times New Roman" w:cs="Times New Roman"/>
          <w:b/>
          <w:bCs/>
          <w:sz w:val="22"/>
          <w:szCs w:val="22"/>
          <w:u w:val="none"/>
          <w:lang w:val="sk-SK"/>
        </w:rPr>
        <w:tab/>
        <w:t>Terapeutické indikácie</w:t>
      </w:r>
    </w:p>
    <w:p w14:paraId="20E5C9C3" w14:textId="77777777" w:rsidR="00B52502" w:rsidRPr="002F1924" w:rsidRDefault="00B52502" w:rsidP="008A6EE7">
      <w:pPr>
        <w:spacing w:after="0" w:line="240" w:lineRule="auto"/>
        <w:jc w:val="both"/>
        <w:rPr>
          <w:rFonts w:ascii="Times New Roman" w:hAnsi="Times New Roman" w:cs="Times New Roman"/>
        </w:rPr>
      </w:pPr>
    </w:p>
    <w:p w14:paraId="2A7A05EC" w14:textId="77777777" w:rsidR="00B52502" w:rsidRPr="002F1924" w:rsidRDefault="00B52502" w:rsidP="008A6EE7">
      <w:pPr>
        <w:numPr>
          <w:ilvl w:val="0"/>
          <w:numId w:val="31"/>
        </w:numPr>
        <w:tabs>
          <w:tab w:val="left" w:pos="567"/>
        </w:tabs>
        <w:spacing w:after="0" w:line="240" w:lineRule="auto"/>
        <w:jc w:val="both"/>
        <w:rPr>
          <w:rFonts w:ascii="Times New Roman" w:hAnsi="Times New Roman" w:cs="Times New Roman"/>
        </w:rPr>
      </w:pPr>
      <w:r w:rsidRPr="002F1924">
        <w:rPr>
          <w:rFonts w:ascii="Times New Roman" w:hAnsi="Times New Roman" w:cs="Times New Roman"/>
        </w:rPr>
        <w:t>Paliatívna liečba pacientov s pokročilým, hormonálne závislým karcinómom prostaty.</w:t>
      </w:r>
    </w:p>
    <w:p w14:paraId="2641FE89" w14:textId="77777777" w:rsidR="00B52502" w:rsidRPr="002F1924" w:rsidRDefault="00B52502" w:rsidP="008A6EE7">
      <w:pPr>
        <w:numPr>
          <w:ilvl w:val="0"/>
          <w:numId w:val="31"/>
        </w:numPr>
        <w:spacing w:after="0" w:line="240" w:lineRule="auto"/>
        <w:rPr>
          <w:rFonts w:ascii="Times New Roman" w:hAnsi="Times New Roman" w:cs="Times New Roman"/>
        </w:rPr>
      </w:pPr>
      <w:r w:rsidRPr="002F1924">
        <w:rPr>
          <w:rFonts w:ascii="Times New Roman" w:hAnsi="Times New Roman" w:cs="Times New Roman"/>
        </w:rPr>
        <w:t>Liečba lokálne pokročilého, hormonálne závislého karcinómu prostaty, súbežne s rádioterapiou a po nej.</w:t>
      </w:r>
    </w:p>
    <w:p w14:paraId="4CCE9267" w14:textId="77777777" w:rsidR="00B52502" w:rsidRPr="002F1924" w:rsidRDefault="00B52502" w:rsidP="008A6EE7">
      <w:pPr>
        <w:numPr>
          <w:ilvl w:val="0"/>
          <w:numId w:val="31"/>
        </w:numPr>
        <w:spacing w:after="0" w:line="240" w:lineRule="auto"/>
        <w:rPr>
          <w:rFonts w:ascii="Times New Roman" w:hAnsi="Times New Roman" w:cs="Times New Roman"/>
        </w:rPr>
      </w:pPr>
      <w:r w:rsidRPr="002F1924">
        <w:rPr>
          <w:rFonts w:ascii="Times New Roman" w:hAnsi="Times New Roman" w:cs="Times New Roman"/>
        </w:rPr>
        <w:t>Liečba lokalizovaného, hormonálne závislého karcinómu prostaty u pacientov so stredne a vysoko rizikovým profilom v kombinácii s rádioterapiou.</w:t>
      </w:r>
    </w:p>
    <w:p w14:paraId="2BD361F2" w14:textId="77777777" w:rsidR="00B52502" w:rsidRPr="002F1924" w:rsidRDefault="00B52502" w:rsidP="008A6EE7">
      <w:pPr>
        <w:spacing w:after="0" w:line="240" w:lineRule="auto"/>
        <w:ind w:left="900"/>
        <w:rPr>
          <w:rFonts w:ascii="Times New Roman" w:hAnsi="Times New Roman" w:cs="Times New Roman"/>
        </w:rPr>
      </w:pPr>
    </w:p>
    <w:p w14:paraId="6761434C"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4.2</w:t>
      </w:r>
      <w:r w:rsidRPr="002F1924">
        <w:rPr>
          <w:rFonts w:ascii="Times New Roman" w:hAnsi="Times New Roman" w:cs="Times New Roman"/>
          <w:b/>
          <w:bCs/>
          <w:sz w:val="22"/>
          <w:szCs w:val="22"/>
          <w:u w:val="none"/>
          <w:lang w:val="sk-SK"/>
        </w:rPr>
        <w:tab/>
        <w:t>Dávkovanie a spôsob podávania</w:t>
      </w:r>
    </w:p>
    <w:p w14:paraId="195FB844" w14:textId="77777777" w:rsidR="00B52502" w:rsidRPr="002F1924" w:rsidRDefault="00B52502" w:rsidP="008A6EE7">
      <w:pPr>
        <w:spacing w:after="0" w:line="240" w:lineRule="auto"/>
        <w:jc w:val="both"/>
        <w:rPr>
          <w:rFonts w:ascii="Times New Roman" w:hAnsi="Times New Roman" w:cs="Times New Roman"/>
        </w:rPr>
      </w:pPr>
    </w:p>
    <w:p w14:paraId="082CD3A3" w14:textId="77777777" w:rsidR="00B52502" w:rsidRPr="002F1924" w:rsidRDefault="00B52502" w:rsidP="008A6EE7">
      <w:pPr>
        <w:spacing w:after="0" w:line="240" w:lineRule="auto"/>
        <w:rPr>
          <w:rFonts w:ascii="Times New Roman" w:hAnsi="Times New Roman" w:cs="Times New Roman"/>
          <w:bCs/>
          <w:u w:val="single"/>
        </w:rPr>
      </w:pPr>
      <w:r w:rsidRPr="002F1924">
        <w:rPr>
          <w:rFonts w:ascii="Times New Roman" w:hAnsi="Times New Roman" w:cs="Times New Roman"/>
          <w:bCs/>
          <w:u w:val="single"/>
        </w:rPr>
        <w:t>Dávkovanie</w:t>
      </w:r>
    </w:p>
    <w:p w14:paraId="3ABFB9E8" w14:textId="77777777" w:rsidR="00B52502" w:rsidRPr="002F1924" w:rsidRDefault="00B52502" w:rsidP="008A6EE7">
      <w:pPr>
        <w:spacing w:after="0" w:line="240" w:lineRule="auto"/>
        <w:rPr>
          <w:rFonts w:ascii="Times New Roman" w:hAnsi="Times New Roman" w:cs="Times New Roman"/>
          <w:bCs/>
        </w:rPr>
      </w:pPr>
      <w:r w:rsidRPr="002F1924">
        <w:rPr>
          <w:rFonts w:ascii="Times New Roman" w:hAnsi="Times New Roman" w:cs="Times New Roman"/>
          <w:bCs/>
        </w:rPr>
        <w:t>Indikácia liečby má byť stanovená a dlhodobý monitoring liečby má byť prevedený lekárom so skúsenosťami s liečbou nádorov.</w:t>
      </w:r>
    </w:p>
    <w:p w14:paraId="684BBAC4" w14:textId="77777777" w:rsidR="00B52502" w:rsidRPr="002F1924" w:rsidRDefault="00B52502" w:rsidP="008A6EE7">
      <w:pPr>
        <w:spacing w:after="0" w:line="240" w:lineRule="auto"/>
        <w:rPr>
          <w:rFonts w:ascii="Times New Roman" w:hAnsi="Times New Roman" w:cs="Times New Roman"/>
          <w:bCs/>
          <w:u w:val="single"/>
        </w:rPr>
      </w:pPr>
    </w:p>
    <w:p w14:paraId="3C48E7F7"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 xml:space="preserve">Odporúčaná dávka je 5 mg leuprorelínu podaných v jednej dávke raz za 3 mesiace. </w:t>
      </w:r>
    </w:p>
    <w:p w14:paraId="53F7C4BF"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Ak sa vo výnimočných prípadoch oddiali podanie lieku o dobu do 4 týždňov, u väčšiny pacientov by nemal byť narušený terapeutický účinok (pozri časť 5.2).</w:t>
      </w:r>
    </w:p>
    <w:p w14:paraId="6343C14E" w14:textId="77777777" w:rsidR="00B52502" w:rsidRPr="002F1924" w:rsidRDefault="00B52502" w:rsidP="008A6EE7">
      <w:pPr>
        <w:spacing w:after="0" w:line="240" w:lineRule="auto"/>
        <w:jc w:val="both"/>
        <w:rPr>
          <w:rFonts w:ascii="Times New Roman" w:hAnsi="Times New Roman" w:cs="Times New Roman"/>
        </w:rPr>
      </w:pPr>
    </w:p>
    <w:p w14:paraId="395BB915"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i/>
        </w:rPr>
        <w:t>Osobitné populácie</w:t>
      </w:r>
    </w:p>
    <w:p w14:paraId="0ED83C1D"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U pacientov s poruchou funkcie obličiek alebo pečene, ani u starších ľudí nie je potrebná úprava dávkovania.</w:t>
      </w:r>
    </w:p>
    <w:p w14:paraId="1886E414" w14:textId="77777777" w:rsidR="00B52502" w:rsidRPr="002F1924" w:rsidRDefault="00B52502" w:rsidP="008A6EE7">
      <w:pPr>
        <w:spacing w:after="0" w:line="240" w:lineRule="auto"/>
        <w:jc w:val="both"/>
        <w:rPr>
          <w:rFonts w:ascii="Times New Roman" w:hAnsi="Times New Roman" w:cs="Times New Roman"/>
        </w:rPr>
      </w:pPr>
    </w:p>
    <w:p w14:paraId="09E887F2"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i/>
        </w:rPr>
        <w:t>Pediatrická populácia</w:t>
      </w:r>
    </w:p>
    <w:p w14:paraId="38B3F6A0"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Leuprorelin Sandoz 5 mg je kontraindikovaný u detí a dospievajúcich, pozri časť 4.3.</w:t>
      </w:r>
    </w:p>
    <w:p w14:paraId="6B093C4D" w14:textId="77777777" w:rsidR="00B52502" w:rsidRPr="002F1924" w:rsidRDefault="00B52502" w:rsidP="008A6EE7">
      <w:pPr>
        <w:spacing w:after="0" w:line="240" w:lineRule="auto"/>
        <w:jc w:val="both"/>
        <w:rPr>
          <w:rFonts w:ascii="Times New Roman" w:hAnsi="Times New Roman" w:cs="Times New Roman"/>
        </w:rPr>
      </w:pPr>
    </w:p>
    <w:p w14:paraId="5C5B508E"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Leuprorelin Sandoz 5 mg sa môže používať na neoadjuvantnú alebo adjuvantnú liečbu lokálne pokročilého, hormonálne citlivého karcinómu prostaty, ako aj lokalizovaného karcinómu prostaty u pacientov so stredne a vysoko rizikovým profilom v kombinácii s rádioterapiou.</w:t>
      </w:r>
    </w:p>
    <w:p w14:paraId="362E37B8" w14:textId="77777777" w:rsidR="00B52502" w:rsidRPr="002F1924" w:rsidRDefault="00B52502" w:rsidP="008A6EE7">
      <w:pPr>
        <w:spacing w:after="0" w:line="240" w:lineRule="auto"/>
        <w:jc w:val="both"/>
        <w:rPr>
          <w:rFonts w:ascii="Times New Roman" w:hAnsi="Times New Roman" w:cs="Times New Roman"/>
        </w:rPr>
      </w:pPr>
    </w:p>
    <w:p w14:paraId="261C6968" w14:textId="7CFE2CF6" w:rsidR="00B52502" w:rsidRDefault="00B52502" w:rsidP="008A6EE7">
      <w:pPr>
        <w:spacing w:after="0" w:line="240" w:lineRule="auto"/>
        <w:jc w:val="both"/>
        <w:rPr>
          <w:rFonts w:ascii="Times New Roman" w:hAnsi="Times New Roman" w:cs="Times New Roman"/>
          <w:bCs/>
          <w:u w:val="single"/>
        </w:rPr>
      </w:pPr>
      <w:r w:rsidRPr="002F1924">
        <w:rPr>
          <w:rFonts w:ascii="Times New Roman" w:hAnsi="Times New Roman" w:cs="Times New Roman"/>
          <w:bCs/>
          <w:u w:val="single"/>
        </w:rPr>
        <w:t>Spôsob podávania</w:t>
      </w:r>
    </w:p>
    <w:p w14:paraId="3E0FC291" w14:textId="0B1EF094" w:rsidR="007A24A3" w:rsidRDefault="007A24A3" w:rsidP="008A6EE7">
      <w:pPr>
        <w:spacing w:after="0" w:line="240" w:lineRule="auto"/>
        <w:jc w:val="both"/>
        <w:rPr>
          <w:rFonts w:ascii="Times New Roman" w:hAnsi="Times New Roman" w:cs="Times New Roman"/>
          <w:bCs/>
          <w:u w:val="single"/>
        </w:rPr>
      </w:pPr>
    </w:p>
    <w:p w14:paraId="3D0020AD" w14:textId="2EDECA77" w:rsidR="007A24A3" w:rsidRPr="00022B45" w:rsidRDefault="007A24A3" w:rsidP="008A6EE7">
      <w:pPr>
        <w:spacing w:after="0" w:line="240" w:lineRule="auto"/>
        <w:jc w:val="both"/>
        <w:rPr>
          <w:rFonts w:ascii="Times New Roman" w:hAnsi="Times New Roman" w:cs="Times New Roman"/>
          <w:bCs/>
        </w:rPr>
      </w:pPr>
      <w:r w:rsidRPr="00022B45">
        <w:rPr>
          <w:rFonts w:ascii="Times New Roman" w:hAnsi="Times New Roman" w:cs="Times New Roman"/>
          <w:bCs/>
        </w:rPr>
        <w:lastRenderedPageBreak/>
        <w:t>Leuprorelin Sandoz 5 mg implantát majú pripravovať a podávať len zdravotnícki pracovníci, ktorí sú oboznámení s týmito postupmi.</w:t>
      </w:r>
    </w:p>
    <w:p w14:paraId="3409F81F" w14:textId="77777777" w:rsidR="007A24A3" w:rsidRPr="002F1924" w:rsidRDefault="007A24A3" w:rsidP="008A6EE7">
      <w:pPr>
        <w:spacing w:after="0" w:line="240" w:lineRule="auto"/>
        <w:jc w:val="both"/>
        <w:rPr>
          <w:rFonts w:ascii="Times New Roman" w:hAnsi="Times New Roman" w:cs="Times New Roman"/>
        </w:rPr>
      </w:pPr>
    </w:p>
    <w:p w14:paraId="2B049346"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Implantát sa vpichne subkutánne do prednej brušnej steny.</w:t>
      </w:r>
    </w:p>
    <w:p w14:paraId="6992ABC2" w14:textId="77777777" w:rsidR="00B52502" w:rsidRPr="002F1924" w:rsidRDefault="00B52502" w:rsidP="008A6EE7">
      <w:pPr>
        <w:spacing w:after="0" w:line="240" w:lineRule="auto"/>
        <w:jc w:val="both"/>
        <w:rPr>
          <w:rFonts w:ascii="Times New Roman" w:hAnsi="Times New Roman" w:cs="Times New Roman"/>
        </w:rPr>
      </w:pPr>
    </w:p>
    <w:p w14:paraId="3AD42EAF"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Pred podaním injekcie sa môže podať lokálne anestetikum.</w:t>
      </w:r>
    </w:p>
    <w:p w14:paraId="790FB70D" w14:textId="77777777" w:rsidR="00B52502" w:rsidRPr="002F1924" w:rsidRDefault="00B52502" w:rsidP="008A6EE7">
      <w:pPr>
        <w:spacing w:after="0" w:line="240" w:lineRule="auto"/>
        <w:jc w:val="both"/>
        <w:rPr>
          <w:rFonts w:ascii="Times New Roman" w:hAnsi="Times New Roman" w:cs="Times New Roman"/>
        </w:rPr>
      </w:pPr>
    </w:p>
    <w:p w14:paraId="6AEE78DD"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Odporúča sa podávanie antiandrogénnych látok ako prídavnej liečby 5 dní pred začatím podávania Leuprorelinu Sandoz 5 mg implantát (pozri časť 4.4).</w:t>
      </w:r>
    </w:p>
    <w:p w14:paraId="599F9BF6" w14:textId="77777777" w:rsidR="00B52502" w:rsidRPr="002F1924" w:rsidRDefault="00B52502" w:rsidP="008A6EE7">
      <w:pPr>
        <w:spacing w:after="0" w:line="240" w:lineRule="auto"/>
        <w:jc w:val="both"/>
        <w:rPr>
          <w:rFonts w:ascii="Times New Roman" w:hAnsi="Times New Roman" w:cs="Times New Roman"/>
        </w:rPr>
      </w:pPr>
    </w:p>
    <w:p w14:paraId="5B2F18F0" w14:textId="77777777" w:rsidR="00B52502" w:rsidRPr="002F1924" w:rsidRDefault="00B52502" w:rsidP="008A6EE7">
      <w:pPr>
        <w:spacing w:after="0" w:line="240" w:lineRule="auto"/>
        <w:jc w:val="both"/>
        <w:rPr>
          <w:rFonts w:ascii="Times New Roman" w:hAnsi="Times New Roman" w:cs="Times New Roman"/>
          <w:bCs/>
          <w:u w:val="single"/>
        </w:rPr>
      </w:pPr>
      <w:r w:rsidRPr="002F1924">
        <w:rPr>
          <w:rFonts w:ascii="Times New Roman" w:hAnsi="Times New Roman" w:cs="Times New Roman"/>
          <w:bCs/>
          <w:u w:val="single"/>
        </w:rPr>
        <w:t>Pokyny na použitie</w:t>
      </w:r>
    </w:p>
    <w:p w14:paraId="38DC9098"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Pozorne si prečítajte pokyny na použitie, pretože tento aplikátor môže byť iný, než na aký ste zvyknutý.</w:t>
      </w:r>
    </w:p>
    <w:p w14:paraId="00A3F628" w14:textId="77777777" w:rsidR="00B52502" w:rsidRPr="002F1924" w:rsidRDefault="00B52502" w:rsidP="008A6EE7">
      <w:pPr>
        <w:spacing w:after="0" w:line="240" w:lineRule="auto"/>
        <w:jc w:val="both"/>
        <w:rPr>
          <w:rFonts w:ascii="Times New Roman" w:hAnsi="Times New Roman" w:cs="Times New Roman"/>
        </w:rPr>
      </w:pPr>
    </w:p>
    <w:p w14:paraId="2D271554" w14:textId="77777777" w:rsidR="00B52502" w:rsidRPr="002F1924" w:rsidRDefault="00B52502" w:rsidP="008A6EE7">
      <w:pPr>
        <w:numPr>
          <w:ilvl w:val="0"/>
          <w:numId w:val="29"/>
        </w:numPr>
        <w:tabs>
          <w:tab w:val="clear" w:pos="720"/>
        </w:tabs>
        <w:spacing w:after="0" w:line="240" w:lineRule="auto"/>
        <w:ind w:left="360"/>
        <w:rPr>
          <w:rFonts w:ascii="Times New Roman" w:hAnsi="Times New Roman" w:cs="Times New Roman"/>
        </w:rPr>
      </w:pPr>
      <w:r w:rsidRPr="002F1924">
        <w:rPr>
          <w:rFonts w:ascii="Times New Roman" w:hAnsi="Times New Roman" w:cs="Times New Roman"/>
        </w:rPr>
        <w:t>Vydezinfikujte miesto podania injekcie na prednej strane brušnej steny pod líniou pupka.</w:t>
      </w:r>
    </w:p>
    <w:p w14:paraId="4F6A0538" w14:textId="77777777" w:rsidR="00B52502" w:rsidRPr="002F1924" w:rsidRDefault="00B52502" w:rsidP="008A6EE7">
      <w:pPr>
        <w:spacing w:after="0" w:line="240" w:lineRule="auto"/>
        <w:jc w:val="both"/>
        <w:rPr>
          <w:rFonts w:ascii="Times New Roman" w:hAnsi="Times New Roman" w:cs="Times New Roman"/>
        </w:rPr>
      </w:pPr>
    </w:p>
    <w:p w14:paraId="3157022F" w14:textId="77777777" w:rsidR="00B52502" w:rsidRPr="002F1924" w:rsidRDefault="00B52502" w:rsidP="008A6EE7">
      <w:pPr>
        <w:numPr>
          <w:ilvl w:val="0"/>
          <w:numId w:val="29"/>
        </w:numPr>
        <w:tabs>
          <w:tab w:val="clear" w:pos="720"/>
        </w:tabs>
        <w:spacing w:after="0" w:line="240" w:lineRule="auto"/>
        <w:ind w:left="360"/>
        <w:rPr>
          <w:rFonts w:ascii="Times New Roman" w:hAnsi="Times New Roman" w:cs="Times New Roman"/>
        </w:rPr>
      </w:pPr>
      <w:r w:rsidRPr="002F1924">
        <w:rPr>
          <w:rFonts w:ascii="Times New Roman" w:hAnsi="Times New Roman" w:cs="Times New Roman"/>
        </w:rPr>
        <w:t>Vyberte aplikátor zo sterilného vrecka a skontrolujte, či je implantát viditeľný v zásobníku (pozri orámovanú oblasť). Kvôli kontrole, pozrite si aplikátor oproti svetlu alebo jemne ním potraste.</w:t>
      </w:r>
    </w:p>
    <w:p w14:paraId="71FB9625" w14:textId="77777777" w:rsidR="00B52502" w:rsidRPr="002F1924" w:rsidRDefault="00B52502" w:rsidP="008A6EE7">
      <w:pPr>
        <w:spacing w:after="0" w:line="240" w:lineRule="auto"/>
        <w:rPr>
          <w:rFonts w:ascii="Times New Roman" w:hAnsi="Times New Roman" w:cs="Times New Roman"/>
        </w:rPr>
      </w:pPr>
    </w:p>
    <w:p w14:paraId="5BBBF7CF" w14:textId="1C84F6FE" w:rsidR="00B52502" w:rsidRPr="002F1924" w:rsidRDefault="00B52502" w:rsidP="008A6EE7">
      <w:pPr>
        <w:spacing w:after="0" w:line="240" w:lineRule="auto"/>
        <w:ind w:firstLine="284"/>
        <w:rPr>
          <w:rFonts w:ascii="Times New Roman" w:hAnsi="Times New Roman" w:cs="Times New Roman"/>
        </w:rPr>
      </w:pPr>
      <w:r w:rsidRPr="002F1924">
        <w:rPr>
          <w:rFonts w:ascii="Times New Roman" w:hAnsi="Times New Roman" w:cs="Times New Roman"/>
          <w:noProof/>
          <w:lang w:eastAsia="sk-SK"/>
        </w:rPr>
        <w:drawing>
          <wp:inline distT="0" distB="0" distL="0" distR="0" wp14:anchorId="3D3D7248" wp14:editId="604A46A4">
            <wp:extent cx="2465070" cy="1399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070" cy="1399540"/>
                    </a:xfrm>
                    <a:prstGeom prst="rect">
                      <a:avLst/>
                    </a:prstGeom>
                    <a:noFill/>
                    <a:ln>
                      <a:noFill/>
                    </a:ln>
                  </pic:spPr>
                </pic:pic>
              </a:graphicData>
            </a:graphic>
          </wp:inline>
        </w:drawing>
      </w:r>
    </w:p>
    <w:p w14:paraId="551EAF77" w14:textId="77777777" w:rsidR="00B52502" w:rsidRPr="002F1924" w:rsidRDefault="00B52502" w:rsidP="008A6EE7">
      <w:pPr>
        <w:spacing w:after="0" w:line="240" w:lineRule="auto"/>
        <w:ind w:left="360" w:hanging="360"/>
        <w:rPr>
          <w:rFonts w:ascii="Times New Roman" w:hAnsi="Times New Roman" w:cs="Times New Roman"/>
        </w:rPr>
      </w:pPr>
    </w:p>
    <w:p w14:paraId="153E5E52" w14:textId="77777777" w:rsidR="00B52502" w:rsidRPr="002F1924" w:rsidRDefault="00B52502" w:rsidP="008A6EE7">
      <w:pPr>
        <w:numPr>
          <w:ilvl w:val="0"/>
          <w:numId w:val="29"/>
        </w:numPr>
        <w:tabs>
          <w:tab w:val="clear" w:pos="720"/>
        </w:tabs>
        <w:spacing w:after="0" w:line="240" w:lineRule="auto"/>
        <w:ind w:left="360"/>
        <w:rPr>
          <w:rFonts w:ascii="Times New Roman" w:hAnsi="Times New Roman" w:cs="Times New Roman"/>
        </w:rPr>
      </w:pPr>
      <w:r w:rsidRPr="002F1924">
        <w:rPr>
          <w:rFonts w:ascii="Times New Roman" w:hAnsi="Times New Roman" w:cs="Times New Roman"/>
        </w:rPr>
        <w:t xml:space="preserve">Piest z aplikátora </w:t>
      </w:r>
      <w:r w:rsidRPr="002F1924">
        <w:rPr>
          <w:rFonts w:ascii="Times New Roman" w:hAnsi="Times New Roman" w:cs="Times New Roman"/>
          <w:b/>
          <w:bCs/>
        </w:rPr>
        <w:t>úplne vytiahnite pokiaľ neuvidíte čiaru v druhom okienku.</w:t>
      </w:r>
    </w:p>
    <w:p w14:paraId="14B52D75" w14:textId="77777777" w:rsidR="00B52502" w:rsidRPr="002F1924" w:rsidRDefault="00B52502" w:rsidP="008A6EE7">
      <w:pPr>
        <w:spacing w:after="0" w:line="240" w:lineRule="auto"/>
        <w:ind w:left="360" w:right="4674"/>
        <w:rPr>
          <w:rFonts w:ascii="Times New Roman" w:hAnsi="Times New Roman" w:cs="Times New Roman"/>
          <w:b/>
          <w:bCs/>
          <w:u w:val="single"/>
        </w:rPr>
      </w:pPr>
    </w:p>
    <w:p w14:paraId="059DA7CA" w14:textId="77777777" w:rsidR="00B52502" w:rsidRPr="002F1924" w:rsidRDefault="00B52502" w:rsidP="008A6EE7">
      <w:pPr>
        <w:spacing w:after="0" w:line="240" w:lineRule="auto"/>
        <w:ind w:left="360" w:right="849"/>
        <w:rPr>
          <w:rFonts w:ascii="Times New Roman" w:hAnsi="Times New Roman" w:cs="Times New Roman"/>
        </w:rPr>
      </w:pPr>
      <w:r w:rsidRPr="002F1924">
        <w:rPr>
          <w:rFonts w:ascii="Times New Roman" w:hAnsi="Times New Roman" w:cs="Times New Roman"/>
          <w:b/>
          <w:bCs/>
          <w:u w:val="single"/>
        </w:rPr>
        <w:t>Všimnite si, prosím:</w:t>
      </w:r>
      <w:r w:rsidRPr="002F1924">
        <w:rPr>
          <w:rFonts w:ascii="Times New Roman" w:hAnsi="Times New Roman" w:cs="Times New Roman"/>
        </w:rPr>
        <w:t xml:space="preserve"> Piest je možné zatlačiť podať implantát len v prípade, že bol predtým </w:t>
      </w:r>
      <w:r w:rsidRPr="002F1924">
        <w:rPr>
          <w:rFonts w:ascii="Times New Roman" w:hAnsi="Times New Roman" w:cs="Times New Roman"/>
          <w:b/>
          <w:bCs/>
        </w:rPr>
        <w:t>úplne vytiahnutý!</w:t>
      </w:r>
    </w:p>
    <w:p w14:paraId="0C3AB266" w14:textId="77777777" w:rsidR="00B52502" w:rsidRPr="002F1924" w:rsidRDefault="00B52502" w:rsidP="008A6EE7">
      <w:pPr>
        <w:spacing w:after="0" w:line="240" w:lineRule="auto"/>
        <w:ind w:left="360" w:hanging="360"/>
        <w:rPr>
          <w:rFonts w:ascii="Times New Roman" w:hAnsi="Times New Roman" w:cs="Times New Roman"/>
        </w:rPr>
      </w:pPr>
    </w:p>
    <w:p w14:paraId="42DAA781" w14:textId="4BF2CB52" w:rsidR="00B52502" w:rsidRPr="002F1924" w:rsidRDefault="00B52502" w:rsidP="008A6EE7">
      <w:pPr>
        <w:spacing w:after="0" w:line="240" w:lineRule="auto"/>
        <w:ind w:left="360" w:hanging="360"/>
        <w:rPr>
          <w:rFonts w:ascii="Times New Roman" w:hAnsi="Times New Roman" w:cs="Times New Roman"/>
        </w:rPr>
      </w:pPr>
      <w:r w:rsidRPr="002F1924">
        <w:rPr>
          <w:rFonts w:ascii="Times New Roman" w:hAnsi="Times New Roman" w:cs="Times New Roman"/>
        </w:rPr>
        <w:t xml:space="preserve">     </w:t>
      </w:r>
      <w:r w:rsidRPr="002F1924">
        <w:rPr>
          <w:rFonts w:ascii="Times New Roman" w:hAnsi="Times New Roman" w:cs="Times New Roman"/>
          <w:noProof/>
          <w:lang w:eastAsia="sk-SK"/>
        </w:rPr>
        <w:drawing>
          <wp:inline distT="0" distB="0" distL="0" distR="0" wp14:anchorId="79560E24" wp14:editId="73DBA26B">
            <wp:extent cx="3005455" cy="1351915"/>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5455" cy="1351915"/>
                    </a:xfrm>
                    <a:prstGeom prst="rect">
                      <a:avLst/>
                    </a:prstGeom>
                    <a:noFill/>
                    <a:ln>
                      <a:noFill/>
                    </a:ln>
                  </pic:spPr>
                </pic:pic>
              </a:graphicData>
            </a:graphic>
          </wp:inline>
        </w:drawing>
      </w:r>
    </w:p>
    <w:p w14:paraId="5958DF65" w14:textId="77777777" w:rsidR="00B52502" w:rsidRPr="002F1924" w:rsidRDefault="00B52502" w:rsidP="008A6EE7">
      <w:pPr>
        <w:spacing w:after="0" w:line="240" w:lineRule="auto"/>
        <w:ind w:left="360" w:hanging="360"/>
        <w:rPr>
          <w:rFonts w:ascii="Times New Roman" w:hAnsi="Times New Roman" w:cs="Times New Roman"/>
        </w:rPr>
      </w:pPr>
    </w:p>
    <w:p w14:paraId="417F163C" w14:textId="77777777" w:rsidR="00B52502" w:rsidRPr="002F1924" w:rsidRDefault="00B52502" w:rsidP="008A6EE7">
      <w:pPr>
        <w:spacing w:after="0" w:line="240" w:lineRule="auto"/>
        <w:ind w:left="360" w:hanging="360"/>
        <w:rPr>
          <w:rFonts w:ascii="Times New Roman" w:hAnsi="Times New Roman" w:cs="Times New Roman"/>
        </w:rPr>
      </w:pPr>
    </w:p>
    <w:p w14:paraId="4384CEE4" w14:textId="77777777" w:rsidR="00B52502" w:rsidRPr="002F1924" w:rsidRDefault="00B52502" w:rsidP="008A6EE7">
      <w:pPr>
        <w:numPr>
          <w:ilvl w:val="0"/>
          <w:numId w:val="29"/>
        </w:numPr>
        <w:tabs>
          <w:tab w:val="clear" w:pos="720"/>
        </w:tabs>
        <w:spacing w:after="0" w:line="240" w:lineRule="auto"/>
        <w:ind w:left="360"/>
        <w:rPr>
          <w:rFonts w:ascii="Times New Roman" w:hAnsi="Times New Roman" w:cs="Times New Roman"/>
        </w:rPr>
      </w:pPr>
      <w:r w:rsidRPr="002F1924">
        <w:rPr>
          <w:rFonts w:ascii="Times New Roman" w:hAnsi="Times New Roman" w:cs="Times New Roman"/>
        </w:rPr>
        <w:t>Potom odstráňte ochranný kryt z ihly aplikátora.</w:t>
      </w:r>
    </w:p>
    <w:p w14:paraId="5901EB86" w14:textId="77777777" w:rsidR="00B52502" w:rsidRPr="002F1924" w:rsidRDefault="00B52502" w:rsidP="008A6EE7">
      <w:pPr>
        <w:spacing w:after="0" w:line="240" w:lineRule="auto"/>
        <w:rPr>
          <w:rFonts w:ascii="Times New Roman" w:hAnsi="Times New Roman" w:cs="Times New Roman"/>
        </w:rPr>
      </w:pPr>
    </w:p>
    <w:p w14:paraId="39B566B2" w14:textId="5D7C9365" w:rsidR="00B52502" w:rsidRPr="002F1924" w:rsidRDefault="00B52502" w:rsidP="008A6EE7">
      <w:pPr>
        <w:numPr>
          <w:ilvl w:val="0"/>
          <w:numId w:val="29"/>
        </w:numPr>
        <w:tabs>
          <w:tab w:val="clear" w:pos="720"/>
        </w:tabs>
        <w:spacing w:after="0" w:line="240" w:lineRule="auto"/>
        <w:ind w:left="360"/>
        <w:rPr>
          <w:rFonts w:ascii="Times New Roman" w:hAnsi="Times New Roman" w:cs="Times New Roman"/>
        </w:rPr>
      </w:pPr>
      <w:r w:rsidRPr="002F1924">
        <w:rPr>
          <w:rFonts w:ascii="Times New Roman" w:hAnsi="Times New Roman" w:cs="Times New Roman"/>
        </w:rPr>
        <w:t>Držte telo aplikátora jednou rukou. Druhou rukou stlačte pacientovi kožu na prednej strane brušnej steny pod líniou pupka. Pozri obrázok.</w:t>
      </w:r>
      <w:r w:rsidR="002F1924">
        <w:rPr>
          <w:rFonts w:ascii="Times New Roman" w:hAnsi="Times New Roman" w:cs="Times New Roman"/>
        </w:rPr>
        <w:t xml:space="preserve"> </w:t>
      </w:r>
      <w:r w:rsidRPr="002F1924">
        <w:rPr>
          <w:rFonts w:ascii="Times New Roman" w:hAnsi="Times New Roman" w:cs="Times New Roman"/>
          <w:b/>
        </w:rPr>
        <w:t>Vpichnite celú ihlu s otvorom ihly smerujúcim nahor</w:t>
      </w:r>
      <w:r w:rsidRPr="002F1924">
        <w:rPr>
          <w:rFonts w:ascii="Times New Roman" w:hAnsi="Times New Roman" w:cs="Times New Roman"/>
        </w:rPr>
        <w:t>. Vpichnite pod miernym uhlom, takmer paralelne s povrchom kože, do podkožného tkaniva.</w:t>
      </w:r>
    </w:p>
    <w:p w14:paraId="7F318D88" w14:textId="77777777" w:rsidR="00B52502" w:rsidRPr="002F1924" w:rsidRDefault="00B52502" w:rsidP="008A6EE7">
      <w:pPr>
        <w:spacing w:after="0" w:line="240" w:lineRule="auto"/>
        <w:rPr>
          <w:rFonts w:ascii="Times New Roman" w:hAnsi="Times New Roman" w:cs="Times New Roman"/>
        </w:rPr>
      </w:pPr>
    </w:p>
    <w:p w14:paraId="2B0F9690" w14:textId="104CB47B"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lastRenderedPageBreak/>
        <w:t xml:space="preserve">      </w:t>
      </w:r>
      <w:r w:rsidRPr="002F1924">
        <w:rPr>
          <w:rFonts w:ascii="Times New Roman" w:hAnsi="Times New Roman" w:cs="Times New Roman"/>
          <w:noProof/>
          <w:lang w:eastAsia="sk-SK"/>
        </w:rPr>
        <w:drawing>
          <wp:inline distT="0" distB="0" distL="0" distR="0" wp14:anchorId="7569810C" wp14:editId="2AEAE47F">
            <wp:extent cx="2639695" cy="1709420"/>
            <wp:effectExtent l="0" t="0" r="825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9695" cy="1709420"/>
                    </a:xfrm>
                    <a:prstGeom prst="rect">
                      <a:avLst/>
                    </a:prstGeom>
                    <a:noFill/>
                    <a:ln>
                      <a:noFill/>
                    </a:ln>
                  </pic:spPr>
                </pic:pic>
              </a:graphicData>
            </a:graphic>
          </wp:inline>
        </w:drawing>
      </w:r>
    </w:p>
    <w:p w14:paraId="100FEB68" w14:textId="77777777" w:rsidR="00B52502" w:rsidRPr="002F1924" w:rsidRDefault="00B52502" w:rsidP="008A6EE7">
      <w:pPr>
        <w:spacing w:after="0" w:line="240" w:lineRule="auto"/>
        <w:rPr>
          <w:rFonts w:ascii="Times New Roman" w:hAnsi="Times New Roman" w:cs="Times New Roman"/>
        </w:rPr>
      </w:pPr>
    </w:p>
    <w:p w14:paraId="4DC6A722" w14:textId="77777777" w:rsidR="00B52502" w:rsidRPr="002F1924" w:rsidRDefault="00B52502" w:rsidP="008A6EE7">
      <w:pPr>
        <w:spacing w:after="0" w:line="240" w:lineRule="auto"/>
        <w:ind w:left="360" w:hanging="360"/>
        <w:rPr>
          <w:rFonts w:ascii="Times New Roman" w:hAnsi="Times New Roman" w:cs="Times New Roman"/>
        </w:rPr>
      </w:pPr>
    </w:p>
    <w:p w14:paraId="59069F96" w14:textId="77777777" w:rsidR="00B52502" w:rsidRPr="002F1924" w:rsidRDefault="00B52502" w:rsidP="008A6EE7">
      <w:pPr>
        <w:numPr>
          <w:ilvl w:val="0"/>
          <w:numId w:val="29"/>
        </w:numPr>
        <w:tabs>
          <w:tab w:val="clear" w:pos="720"/>
        </w:tabs>
        <w:spacing w:after="0" w:line="240" w:lineRule="auto"/>
        <w:ind w:left="360"/>
        <w:rPr>
          <w:rFonts w:ascii="Times New Roman" w:hAnsi="Times New Roman" w:cs="Times New Roman"/>
        </w:rPr>
      </w:pPr>
      <w:r w:rsidRPr="002F1924">
        <w:rPr>
          <w:rFonts w:ascii="Times New Roman" w:hAnsi="Times New Roman" w:cs="Times New Roman"/>
        </w:rPr>
        <w:t xml:space="preserve">Opatrne </w:t>
      </w:r>
      <w:r w:rsidRPr="002F1924">
        <w:rPr>
          <w:rFonts w:ascii="Times New Roman" w:hAnsi="Times New Roman" w:cs="Times New Roman"/>
          <w:b/>
        </w:rPr>
        <w:t>povytiahnite</w:t>
      </w:r>
      <w:r w:rsidRPr="002F1924">
        <w:rPr>
          <w:rFonts w:ascii="Times New Roman" w:hAnsi="Times New Roman" w:cs="Times New Roman"/>
        </w:rPr>
        <w:t xml:space="preserve"> injekčnú striekačku približne </w:t>
      </w:r>
      <w:smartTag w:uri="urn:schemas-microsoft-com:office:smarttags" w:element="metricconverter">
        <w:smartTagPr>
          <w:attr w:name="ProductID" w:val="1 cm"/>
        </w:smartTagPr>
        <w:r w:rsidRPr="002F1924">
          <w:rPr>
            <w:rFonts w:ascii="Times New Roman" w:hAnsi="Times New Roman" w:cs="Times New Roman"/>
            <w:b/>
          </w:rPr>
          <w:t>1 cm</w:t>
        </w:r>
      </w:smartTag>
      <w:r w:rsidRPr="002F1924">
        <w:rPr>
          <w:rFonts w:ascii="Times New Roman" w:hAnsi="Times New Roman" w:cs="Times New Roman"/>
          <w:b/>
        </w:rPr>
        <w:t xml:space="preserve"> späť</w:t>
      </w:r>
      <w:r w:rsidRPr="002F1924">
        <w:rPr>
          <w:rFonts w:ascii="Times New Roman" w:hAnsi="Times New Roman" w:cs="Times New Roman"/>
        </w:rPr>
        <w:t xml:space="preserve">. Tým sa vytvorí kanálik pre vpichnutie implantátu. </w:t>
      </w:r>
    </w:p>
    <w:p w14:paraId="6E252E55" w14:textId="77777777" w:rsidR="00B52502" w:rsidRPr="002F1924" w:rsidRDefault="00B52502" w:rsidP="008A6EE7">
      <w:pPr>
        <w:spacing w:after="0" w:line="240" w:lineRule="auto"/>
        <w:ind w:left="360" w:hanging="360"/>
        <w:rPr>
          <w:rFonts w:ascii="Times New Roman" w:hAnsi="Times New Roman" w:cs="Times New Roman"/>
        </w:rPr>
      </w:pPr>
    </w:p>
    <w:p w14:paraId="236F61DA" w14:textId="77777777" w:rsidR="00B52502" w:rsidRPr="002F1924" w:rsidRDefault="00B52502" w:rsidP="008A6EE7">
      <w:pPr>
        <w:numPr>
          <w:ilvl w:val="0"/>
          <w:numId w:val="29"/>
        </w:numPr>
        <w:tabs>
          <w:tab w:val="clear" w:pos="720"/>
        </w:tabs>
        <w:spacing w:after="0" w:line="240" w:lineRule="auto"/>
        <w:ind w:left="360"/>
        <w:rPr>
          <w:rFonts w:ascii="Times New Roman" w:hAnsi="Times New Roman" w:cs="Times New Roman"/>
        </w:rPr>
      </w:pPr>
      <w:r w:rsidRPr="002F1924">
        <w:rPr>
          <w:rFonts w:ascii="Times New Roman" w:hAnsi="Times New Roman" w:cs="Times New Roman"/>
        </w:rPr>
        <w:t xml:space="preserve">Aby ste vpichli implantát do vytvoreného kanálika, zatlačte piest </w:t>
      </w:r>
      <w:r w:rsidRPr="002F1924">
        <w:rPr>
          <w:rFonts w:ascii="Times New Roman" w:hAnsi="Times New Roman" w:cs="Times New Roman"/>
          <w:b/>
        </w:rPr>
        <w:t>na doraz</w:t>
      </w:r>
      <w:r w:rsidRPr="002F1924">
        <w:rPr>
          <w:rFonts w:ascii="Times New Roman" w:hAnsi="Times New Roman" w:cs="Times New Roman"/>
        </w:rPr>
        <w:t xml:space="preserve">, až pokým nezapadne na miesto a je </w:t>
      </w:r>
      <w:r w:rsidRPr="002F1924">
        <w:rPr>
          <w:rFonts w:ascii="Times New Roman" w:hAnsi="Times New Roman" w:cs="Times New Roman"/>
          <w:b/>
        </w:rPr>
        <w:t>počuť kliknutie.</w:t>
      </w:r>
    </w:p>
    <w:p w14:paraId="03099C20" w14:textId="77777777" w:rsidR="00B52502" w:rsidRPr="002F1924" w:rsidRDefault="00B52502" w:rsidP="008A6EE7">
      <w:pPr>
        <w:spacing w:after="0" w:line="240" w:lineRule="auto"/>
        <w:rPr>
          <w:rFonts w:ascii="Times New Roman" w:hAnsi="Times New Roman" w:cs="Times New Roman"/>
          <w:b/>
        </w:rPr>
      </w:pPr>
    </w:p>
    <w:p w14:paraId="22B72662" w14:textId="286FC9B7" w:rsidR="00B52502" w:rsidRPr="002F1924" w:rsidRDefault="00B52502" w:rsidP="008A6EE7">
      <w:pPr>
        <w:spacing w:after="0" w:line="240" w:lineRule="auto"/>
        <w:rPr>
          <w:rFonts w:ascii="Times New Roman" w:hAnsi="Times New Roman" w:cs="Times New Roman"/>
          <w:b/>
        </w:rPr>
      </w:pPr>
      <w:r w:rsidRPr="002F1924">
        <w:rPr>
          <w:rFonts w:ascii="Times New Roman" w:hAnsi="Times New Roman" w:cs="Times New Roman"/>
          <w:b/>
        </w:rPr>
        <w:t xml:space="preserve">    </w:t>
      </w:r>
      <w:r w:rsidRPr="002F1924">
        <w:rPr>
          <w:rFonts w:ascii="Times New Roman" w:hAnsi="Times New Roman" w:cs="Times New Roman"/>
          <w:noProof/>
          <w:lang w:eastAsia="sk-SK"/>
        </w:rPr>
        <w:drawing>
          <wp:inline distT="0" distB="0" distL="0" distR="0" wp14:anchorId="6B88A0DE" wp14:editId="502B4E83">
            <wp:extent cx="3037205" cy="1017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7205" cy="1017905"/>
                    </a:xfrm>
                    <a:prstGeom prst="rect">
                      <a:avLst/>
                    </a:prstGeom>
                    <a:noFill/>
                    <a:ln>
                      <a:noFill/>
                    </a:ln>
                  </pic:spPr>
                </pic:pic>
              </a:graphicData>
            </a:graphic>
          </wp:inline>
        </w:drawing>
      </w:r>
    </w:p>
    <w:p w14:paraId="67483E44" w14:textId="77777777" w:rsidR="00B52502" w:rsidRPr="002F1924" w:rsidRDefault="00B52502" w:rsidP="008A6EE7">
      <w:pPr>
        <w:spacing w:after="0" w:line="240" w:lineRule="auto"/>
        <w:rPr>
          <w:rFonts w:ascii="Times New Roman" w:hAnsi="Times New Roman" w:cs="Times New Roman"/>
          <w:b/>
        </w:rPr>
      </w:pPr>
    </w:p>
    <w:p w14:paraId="59899E2E" w14:textId="77777777" w:rsidR="00B52502" w:rsidRPr="002F1924" w:rsidRDefault="00B52502" w:rsidP="008A6EE7">
      <w:pPr>
        <w:spacing w:after="0" w:line="240" w:lineRule="auto"/>
        <w:rPr>
          <w:rFonts w:ascii="Times New Roman" w:hAnsi="Times New Roman" w:cs="Times New Roman"/>
          <w:b/>
        </w:rPr>
      </w:pPr>
    </w:p>
    <w:p w14:paraId="0F861EA2" w14:textId="77777777" w:rsidR="00B52502" w:rsidRPr="002F1924" w:rsidRDefault="00B52502" w:rsidP="008A6EE7">
      <w:pPr>
        <w:numPr>
          <w:ilvl w:val="0"/>
          <w:numId w:val="29"/>
        </w:numPr>
        <w:tabs>
          <w:tab w:val="clear" w:pos="720"/>
          <w:tab w:val="num" w:pos="426"/>
        </w:tabs>
        <w:spacing w:after="0" w:line="240" w:lineRule="auto"/>
        <w:ind w:left="426" w:hanging="426"/>
        <w:rPr>
          <w:rFonts w:ascii="Times New Roman" w:hAnsi="Times New Roman" w:cs="Times New Roman"/>
        </w:rPr>
      </w:pPr>
      <w:r w:rsidRPr="002F1924">
        <w:rPr>
          <w:rFonts w:ascii="Times New Roman" w:hAnsi="Times New Roman" w:cs="Times New Roman"/>
        </w:rPr>
        <w:t>Vytiahnite injekčnú ihlu. Aby ste sa uistili, že implantát bol zavedený správne, skontrolujte, či je svetlo modrý koniec piestu viditeľný na hrote injekčnej ihly.</w:t>
      </w:r>
    </w:p>
    <w:p w14:paraId="2751F11D" w14:textId="77777777" w:rsidR="00B52502" w:rsidRPr="002F1924" w:rsidRDefault="00B52502" w:rsidP="008A6EE7">
      <w:pPr>
        <w:spacing w:after="0" w:line="240" w:lineRule="auto"/>
        <w:rPr>
          <w:rFonts w:ascii="Times New Roman" w:hAnsi="Times New Roman" w:cs="Times New Roman"/>
        </w:rPr>
      </w:pPr>
    </w:p>
    <w:p w14:paraId="0D9BAB39" w14:textId="3FB14ED1"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noProof/>
          <w:lang w:eastAsia="sk-SK"/>
        </w:rPr>
        <w:drawing>
          <wp:inline distT="0" distB="0" distL="0" distR="0" wp14:anchorId="73905A0F" wp14:editId="31525C72">
            <wp:extent cx="1725295" cy="8032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5295" cy="803275"/>
                    </a:xfrm>
                    <a:prstGeom prst="rect">
                      <a:avLst/>
                    </a:prstGeom>
                    <a:noFill/>
                    <a:ln>
                      <a:noFill/>
                    </a:ln>
                  </pic:spPr>
                </pic:pic>
              </a:graphicData>
            </a:graphic>
          </wp:inline>
        </w:drawing>
      </w:r>
    </w:p>
    <w:p w14:paraId="28045A56" w14:textId="77777777" w:rsidR="00B52502" w:rsidRPr="002F1924" w:rsidRDefault="00B52502" w:rsidP="008A6EE7">
      <w:pPr>
        <w:spacing w:after="0" w:line="240" w:lineRule="auto"/>
        <w:rPr>
          <w:rFonts w:ascii="Times New Roman" w:hAnsi="Times New Roman" w:cs="Times New Roman"/>
          <w:bCs/>
          <w:u w:val="single"/>
        </w:rPr>
      </w:pPr>
    </w:p>
    <w:p w14:paraId="4A0A6AA9"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Na začiatku liečby a po 3-mesačnom používaní Leuprorelinu Sandoz 5 mg implantátu sa musia stanoviť hladiny prostatického špecifického antigénu (</w:t>
      </w:r>
      <w:smartTag w:uri="urn:schemas-microsoft-com:office:smarttags" w:element="metricconverter">
        <w:smartTagPr>
          <w:attr w:name="ProductID" w:val="30 °C"/>
        </w:smartTagPr>
        <w:r w:rsidRPr="002F1924">
          <w:rPr>
            <w:rFonts w:ascii="Times New Roman" w:hAnsi="Times New Roman" w:cs="Times New Roman"/>
          </w:rPr>
          <w:t>PSA</w:t>
        </w:r>
      </w:smartTag>
      <w:r w:rsidRPr="002F1924">
        <w:rPr>
          <w:rFonts w:ascii="Times New Roman" w:hAnsi="Times New Roman" w:cs="Times New Roman"/>
        </w:rPr>
        <w:t xml:space="preserve">) a celkové koncentrácie testosterónu v sére. Karcinóm prostaty je citlivý na androgény, ak po 3 mesiacoch sú koncentrácie testosterónu na kastračnej úrovni (≤ 0,5 ng/ml) a klesnú hodnoty PSA. Skorý výrazný pokles v hodnotách </w:t>
      </w:r>
      <w:smartTag w:uri="urn:schemas-microsoft-com:office:smarttags" w:element="metricconverter">
        <w:smartTagPr>
          <w:attr w:name="ProductID" w:val="30 °C"/>
        </w:smartTagPr>
        <w:r w:rsidRPr="002F1924">
          <w:rPr>
            <w:rFonts w:ascii="Times New Roman" w:hAnsi="Times New Roman" w:cs="Times New Roman"/>
          </w:rPr>
          <w:t>PSA</w:t>
        </w:r>
      </w:smartTag>
      <w:r w:rsidRPr="002F1924">
        <w:rPr>
          <w:rFonts w:ascii="Times New Roman" w:hAnsi="Times New Roman" w:cs="Times New Roman"/>
        </w:rPr>
        <w:t xml:space="preserve"> (približne 80% z východiskovej hodnoty) je možné považovať za dobrý prognostický indikátor dlhodobej odpovede na vymiznutie androgénov. Následne je indikovaná hormonálno-ablatívna liečba (napr. Leuprorelin Sandoz 5 mg implantát).</w:t>
      </w:r>
    </w:p>
    <w:p w14:paraId="0CAAB1EF" w14:textId="77777777" w:rsidR="00B52502" w:rsidRPr="002F1924" w:rsidRDefault="00B52502" w:rsidP="008A6EE7">
      <w:pPr>
        <w:spacing w:after="0" w:line="240" w:lineRule="auto"/>
        <w:rPr>
          <w:rFonts w:ascii="Times New Roman" w:hAnsi="Times New Roman" w:cs="Times New Roman"/>
        </w:rPr>
      </w:pPr>
    </w:p>
    <w:p w14:paraId="0B78DDD1"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Pokiaľ hodnoty </w:t>
      </w:r>
      <w:smartTag w:uri="urn:schemas-microsoft-com:office:smarttags" w:element="metricconverter">
        <w:smartTagPr>
          <w:attr w:name="ProductID" w:val="30 °C"/>
        </w:smartTagPr>
        <w:r w:rsidRPr="002F1924">
          <w:rPr>
            <w:rFonts w:ascii="Times New Roman" w:hAnsi="Times New Roman" w:cs="Times New Roman"/>
          </w:rPr>
          <w:t>PSA</w:t>
        </w:r>
      </w:smartTag>
      <w:r w:rsidRPr="002F1924">
        <w:rPr>
          <w:rFonts w:ascii="Times New Roman" w:hAnsi="Times New Roman" w:cs="Times New Roman"/>
        </w:rPr>
        <w:t xml:space="preserve"> zostanú nezmenené alebo stúpnu u pacientov so supresiou testosterónu, karcinóm prostaty nie je citlivý na liečbu androgénom. V takýchto prípadoch nie je vhodné pokračovať v hormonálno-ablatívnej liečbe. </w:t>
      </w:r>
    </w:p>
    <w:p w14:paraId="36E2530C" w14:textId="77777777" w:rsidR="00B52502" w:rsidRPr="002F1924" w:rsidRDefault="00B52502" w:rsidP="008A6EE7">
      <w:pPr>
        <w:spacing w:after="0" w:line="240" w:lineRule="auto"/>
        <w:rPr>
          <w:rFonts w:ascii="Times New Roman" w:hAnsi="Times New Roman" w:cs="Times New Roman"/>
        </w:rPr>
      </w:pPr>
    </w:p>
    <w:p w14:paraId="2398CF13"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Ak sa však u pacienta zaznamenala klinická odpoveď (napr. zmiernenie bolesti a príznakov dyzúrie, zmenšenie veľkosti prostaty), výsledok sa musí zvážiť ako falošne negatívny. V týchto zriedkavých prípadoch sa má s podávaním Leuprorelinu Sandoz 5 mg implantát pokračovať ďalšie 3 mesiace a následne znova skontrolovať hodnoty PSA; okrem toho sa majú u pacienta veľmi pozorne monitorovať klinické symptómy.</w:t>
      </w:r>
    </w:p>
    <w:p w14:paraId="384CCBF8" w14:textId="77777777" w:rsidR="00B52502" w:rsidRPr="002F1924" w:rsidRDefault="00B52502" w:rsidP="008A6EE7">
      <w:pPr>
        <w:spacing w:after="0" w:line="240" w:lineRule="auto"/>
        <w:jc w:val="both"/>
        <w:rPr>
          <w:rFonts w:ascii="Times New Roman" w:hAnsi="Times New Roman" w:cs="Times New Roman"/>
        </w:rPr>
      </w:pPr>
    </w:p>
    <w:p w14:paraId="7539A82E"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lastRenderedPageBreak/>
        <w:t>Liečba pokročilého, hormonálne závislého karcinómu prostaty s Leuprorelinom Sandoz 5 mg implantát je obvykle dlhodobá.</w:t>
      </w:r>
    </w:p>
    <w:p w14:paraId="3FF5EAAA" w14:textId="77777777" w:rsidR="00B52502" w:rsidRPr="002F1924" w:rsidRDefault="00B52502" w:rsidP="008A6EE7">
      <w:pPr>
        <w:spacing w:after="0" w:line="240" w:lineRule="auto"/>
        <w:jc w:val="both"/>
        <w:rPr>
          <w:rFonts w:ascii="Times New Roman" w:hAnsi="Times New Roman" w:cs="Times New Roman"/>
        </w:rPr>
      </w:pPr>
    </w:p>
    <w:p w14:paraId="583862A2"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Klinické údaje ukázali, že pri lokálne pokročilom, hormonálne citlivom karcinóme prostaty je rádioterapia a následná 3-ročná androgénna deprivácia vhodnejšia ako rádioterapia s následnou 6-mesačnou androgénnou depriváciou (pozri časť 5.1). Podľa štandardných liečebných postupov, je pre pacientov (T3 - T4) liečených rádioterapiou odporúčaná dĺžka liečby formou androgénnej deprivácie 2 - 3 roky.</w:t>
      </w:r>
    </w:p>
    <w:p w14:paraId="062CC9C1" w14:textId="77777777" w:rsidR="00B52502" w:rsidRPr="002F1924" w:rsidRDefault="00B52502" w:rsidP="008A6EE7">
      <w:pPr>
        <w:spacing w:after="0" w:line="240" w:lineRule="auto"/>
        <w:jc w:val="both"/>
        <w:rPr>
          <w:rFonts w:ascii="Times New Roman" w:hAnsi="Times New Roman" w:cs="Times New Roman"/>
        </w:rPr>
      </w:pPr>
    </w:p>
    <w:p w14:paraId="7F44AFF9"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U pacientov s lokalizovaným karcinómom prostaty so stredne rizikovým profilom sa odporúča kombinácia rádioterapie s androgénnou depriváciou agonistami LHRH počas 4 až 6 mesiacov, zatiaľ čo u pacientov s vysokorizikovým profilom sa odporúčajú 2 až 3 roky.</w:t>
      </w:r>
    </w:p>
    <w:p w14:paraId="091FF2E0" w14:textId="77777777" w:rsidR="00B52502" w:rsidRPr="002F1924" w:rsidRDefault="00B52502" w:rsidP="008A6EE7">
      <w:pPr>
        <w:spacing w:after="0" w:line="240" w:lineRule="auto"/>
        <w:jc w:val="both"/>
        <w:rPr>
          <w:rFonts w:ascii="Times New Roman" w:hAnsi="Times New Roman" w:cs="Times New Roman"/>
        </w:rPr>
      </w:pPr>
    </w:p>
    <w:p w14:paraId="29B521F7"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4.3</w:t>
      </w:r>
      <w:r w:rsidRPr="002F1924">
        <w:rPr>
          <w:rFonts w:ascii="Times New Roman" w:hAnsi="Times New Roman" w:cs="Times New Roman"/>
          <w:b/>
          <w:bCs/>
          <w:sz w:val="22"/>
          <w:szCs w:val="22"/>
          <w:u w:val="none"/>
          <w:lang w:val="sk-SK"/>
        </w:rPr>
        <w:tab/>
        <w:t>Kontraindikácie</w:t>
      </w:r>
    </w:p>
    <w:p w14:paraId="24E4C91D"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780422D7"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Precitlivenosť na liečivo alebo na ktorúkoľvek z pomocných látok uvedených v časti 6.1, alebo na iný analóg hormónu uvoľňujúceho luteinizačný hormón (LHRH). </w:t>
      </w:r>
    </w:p>
    <w:p w14:paraId="51B992FB" w14:textId="77777777" w:rsidR="00B52502" w:rsidRPr="002F1924" w:rsidRDefault="00B52502" w:rsidP="008A6EE7">
      <w:pPr>
        <w:spacing w:after="0" w:line="240" w:lineRule="auto"/>
        <w:rPr>
          <w:rFonts w:ascii="Times New Roman" w:hAnsi="Times New Roman" w:cs="Times New Roman"/>
        </w:rPr>
      </w:pPr>
    </w:p>
    <w:p w14:paraId="57489135"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Pri potvrdenej nezávislosti karcinómu od hormónov je Leuprorelinom Sandoz 5 mg implantát kontraindikovaný u žien a pediatrických pacientov.</w:t>
      </w:r>
    </w:p>
    <w:p w14:paraId="15F778EC"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51E6A0F8"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4.4</w:t>
      </w:r>
      <w:r w:rsidRPr="002F1924">
        <w:rPr>
          <w:rFonts w:ascii="Times New Roman" w:hAnsi="Times New Roman" w:cs="Times New Roman"/>
          <w:b/>
          <w:bCs/>
          <w:sz w:val="22"/>
          <w:szCs w:val="22"/>
          <w:u w:val="none"/>
          <w:lang w:val="sk-SK"/>
        </w:rPr>
        <w:tab/>
        <w:t>Osobitné upozornenia a opatrenia pri používaní</w:t>
      </w:r>
    </w:p>
    <w:p w14:paraId="17BA1C85"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59E4C64C" w14:textId="77777777" w:rsidR="00B52502" w:rsidRPr="002F1924" w:rsidRDefault="00B52502" w:rsidP="008A6EE7">
      <w:pPr>
        <w:spacing w:after="0" w:line="240" w:lineRule="auto"/>
        <w:rPr>
          <w:rFonts w:ascii="Times New Roman" w:hAnsi="Times New Roman" w:cs="Times New Roman"/>
          <w:kern w:val="32"/>
        </w:rPr>
      </w:pPr>
      <w:r w:rsidRPr="002F1924">
        <w:rPr>
          <w:rFonts w:ascii="Times New Roman" w:hAnsi="Times New Roman" w:cs="Times New Roman"/>
          <w:kern w:val="32"/>
        </w:rPr>
        <w:t>Pacienti s hypertenziou sa majú starostlivo sledovať.</w:t>
      </w:r>
    </w:p>
    <w:p w14:paraId="3898435A" w14:textId="77777777" w:rsidR="00B52502" w:rsidRPr="002F1924" w:rsidRDefault="00B52502" w:rsidP="008A6EE7">
      <w:pPr>
        <w:spacing w:after="0" w:line="240" w:lineRule="auto"/>
        <w:rPr>
          <w:rFonts w:ascii="Times New Roman" w:hAnsi="Times New Roman" w:cs="Times New Roman"/>
          <w:kern w:val="32"/>
        </w:rPr>
      </w:pPr>
    </w:p>
    <w:p w14:paraId="445CA332" w14:textId="77777777" w:rsidR="00B52502" w:rsidRPr="002F1924" w:rsidRDefault="00B52502" w:rsidP="008A6EE7">
      <w:pPr>
        <w:spacing w:after="0" w:line="240" w:lineRule="auto"/>
        <w:rPr>
          <w:rStyle w:val="hps"/>
          <w:rFonts w:ascii="Times New Roman" w:hAnsi="Times New Roman" w:cs="Times New Roman"/>
        </w:rPr>
      </w:pPr>
      <w:r w:rsidRPr="002F1924">
        <w:rPr>
          <w:rStyle w:val="hps"/>
          <w:rFonts w:ascii="Times New Roman" w:hAnsi="Times New Roman" w:cs="Times New Roman"/>
        </w:rPr>
        <w:t>U</w:t>
      </w:r>
      <w:r w:rsidRPr="002F1924">
        <w:rPr>
          <w:rFonts w:ascii="Times New Roman" w:hAnsi="Times New Roman" w:cs="Times New Roman"/>
        </w:rPr>
        <w:t xml:space="preserve"> </w:t>
      </w:r>
      <w:r w:rsidRPr="002F1924">
        <w:rPr>
          <w:rStyle w:val="hps"/>
          <w:rFonts w:ascii="Times New Roman" w:hAnsi="Times New Roman" w:cs="Times New Roman"/>
        </w:rPr>
        <w:t>pacientov liečených</w:t>
      </w:r>
      <w:r w:rsidRPr="002F1924">
        <w:rPr>
          <w:rFonts w:ascii="Times New Roman" w:hAnsi="Times New Roman" w:cs="Times New Roman"/>
        </w:rPr>
        <w:t xml:space="preserve"> </w:t>
      </w:r>
      <w:r w:rsidRPr="002F1924">
        <w:rPr>
          <w:rStyle w:val="hps"/>
          <w:rFonts w:ascii="Times New Roman" w:hAnsi="Times New Roman" w:cs="Times New Roman"/>
        </w:rPr>
        <w:t>agonistami</w:t>
      </w:r>
      <w:r w:rsidRPr="002F1924">
        <w:rPr>
          <w:rFonts w:ascii="Times New Roman" w:hAnsi="Times New Roman" w:cs="Times New Roman"/>
        </w:rPr>
        <w:t xml:space="preserve"> </w:t>
      </w:r>
      <w:r w:rsidRPr="002F1924">
        <w:rPr>
          <w:rStyle w:val="hps"/>
          <w:rFonts w:ascii="Times New Roman" w:hAnsi="Times New Roman" w:cs="Times New Roman"/>
        </w:rPr>
        <w:t>LHRH</w:t>
      </w:r>
      <w:r w:rsidRPr="002F1924">
        <w:rPr>
          <w:rFonts w:ascii="Times New Roman" w:hAnsi="Times New Roman" w:cs="Times New Roman"/>
        </w:rPr>
        <w:t xml:space="preserve">, </w:t>
      </w:r>
      <w:r w:rsidRPr="002F1924">
        <w:rPr>
          <w:rStyle w:val="hps"/>
          <w:rFonts w:ascii="Times New Roman" w:hAnsi="Times New Roman" w:cs="Times New Roman"/>
        </w:rPr>
        <w:t>ako</w:t>
      </w:r>
      <w:r w:rsidRPr="002F1924">
        <w:rPr>
          <w:rFonts w:ascii="Times New Roman" w:hAnsi="Times New Roman" w:cs="Times New Roman"/>
        </w:rPr>
        <w:t xml:space="preserve"> </w:t>
      </w:r>
      <w:r w:rsidRPr="002F1924">
        <w:rPr>
          <w:rStyle w:val="hps"/>
          <w:rFonts w:ascii="Times New Roman" w:hAnsi="Times New Roman" w:cs="Times New Roman"/>
        </w:rPr>
        <w:t>leuprorelín, existuje</w:t>
      </w:r>
      <w:r w:rsidRPr="002F1924">
        <w:rPr>
          <w:rFonts w:ascii="Times New Roman" w:hAnsi="Times New Roman" w:cs="Times New Roman"/>
        </w:rPr>
        <w:t xml:space="preserve"> </w:t>
      </w:r>
      <w:r w:rsidRPr="002F1924">
        <w:rPr>
          <w:rStyle w:val="hps"/>
          <w:rFonts w:ascii="Times New Roman" w:hAnsi="Times New Roman" w:cs="Times New Roman"/>
        </w:rPr>
        <w:t>zvýšené riziko</w:t>
      </w:r>
      <w:r w:rsidRPr="002F1924">
        <w:rPr>
          <w:rFonts w:ascii="Times New Roman" w:hAnsi="Times New Roman" w:cs="Times New Roman"/>
        </w:rPr>
        <w:t xml:space="preserve"> vzniku </w:t>
      </w:r>
      <w:r w:rsidRPr="002F1924">
        <w:rPr>
          <w:rStyle w:val="hps"/>
          <w:rFonts w:ascii="Times New Roman" w:hAnsi="Times New Roman" w:cs="Times New Roman"/>
        </w:rPr>
        <w:t>depresie</w:t>
      </w:r>
      <w:r w:rsidRPr="002F1924">
        <w:rPr>
          <w:rFonts w:ascii="Times New Roman" w:hAnsi="Times New Roman" w:cs="Times New Roman"/>
        </w:rPr>
        <w:t xml:space="preserve"> </w:t>
      </w:r>
      <w:r w:rsidRPr="002F1924">
        <w:rPr>
          <w:rStyle w:val="hps"/>
          <w:rFonts w:ascii="Times New Roman" w:hAnsi="Times New Roman" w:cs="Times New Roman"/>
        </w:rPr>
        <w:t>(</w:t>
      </w:r>
      <w:r w:rsidRPr="002F1924">
        <w:rPr>
          <w:rFonts w:ascii="Times New Roman" w:hAnsi="Times New Roman" w:cs="Times New Roman"/>
        </w:rPr>
        <w:t xml:space="preserve">ktorá môže </w:t>
      </w:r>
      <w:r w:rsidRPr="002F1924">
        <w:rPr>
          <w:rStyle w:val="hps"/>
          <w:rFonts w:ascii="Times New Roman" w:hAnsi="Times New Roman" w:cs="Times New Roman"/>
        </w:rPr>
        <w:t>byť</w:t>
      </w:r>
      <w:r w:rsidRPr="002F1924">
        <w:rPr>
          <w:rFonts w:ascii="Times New Roman" w:hAnsi="Times New Roman" w:cs="Times New Roman"/>
        </w:rPr>
        <w:t xml:space="preserve"> </w:t>
      </w:r>
      <w:r w:rsidRPr="002F1924">
        <w:rPr>
          <w:rStyle w:val="hps"/>
          <w:rFonts w:ascii="Times New Roman" w:hAnsi="Times New Roman" w:cs="Times New Roman"/>
        </w:rPr>
        <w:t>závažná</w:t>
      </w:r>
      <w:r w:rsidRPr="002F1924">
        <w:rPr>
          <w:rFonts w:ascii="Times New Roman" w:hAnsi="Times New Roman" w:cs="Times New Roman"/>
        </w:rPr>
        <w:t xml:space="preserve">). </w:t>
      </w:r>
      <w:r w:rsidRPr="002F1924">
        <w:rPr>
          <w:rStyle w:val="hps"/>
          <w:rFonts w:ascii="Times New Roman" w:hAnsi="Times New Roman" w:cs="Times New Roman"/>
        </w:rPr>
        <w:t>Pacienti</w:t>
      </w:r>
      <w:r w:rsidRPr="002F1924">
        <w:rPr>
          <w:rFonts w:ascii="Times New Roman" w:hAnsi="Times New Roman" w:cs="Times New Roman"/>
        </w:rPr>
        <w:t xml:space="preserve"> </w:t>
      </w:r>
      <w:r w:rsidRPr="002F1924">
        <w:rPr>
          <w:rStyle w:val="hps"/>
          <w:rFonts w:ascii="Times New Roman" w:hAnsi="Times New Roman" w:cs="Times New Roman"/>
        </w:rPr>
        <w:t>musia</w:t>
      </w:r>
      <w:r w:rsidRPr="002F1924">
        <w:rPr>
          <w:rFonts w:ascii="Times New Roman" w:hAnsi="Times New Roman" w:cs="Times New Roman"/>
        </w:rPr>
        <w:t xml:space="preserve"> </w:t>
      </w:r>
      <w:r w:rsidRPr="002F1924">
        <w:rPr>
          <w:rStyle w:val="hps"/>
          <w:rFonts w:ascii="Times New Roman" w:hAnsi="Times New Roman" w:cs="Times New Roman"/>
        </w:rPr>
        <w:t>byť</w:t>
      </w:r>
      <w:r w:rsidRPr="002F1924">
        <w:rPr>
          <w:rFonts w:ascii="Times New Roman" w:hAnsi="Times New Roman" w:cs="Times New Roman"/>
        </w:rPr>
        <w:t xml:space="preserve"> </w:t>
      </w:r>
      <w:r w:rsidRPr="002F1924">
        <w:rPr>
          <w:rStyle w:val="hps"/>
          <w:rFonts w:ascii="Times New Roman" w:hAnsi="Times New Roman" w:cs="Times New Roman"/>
        </w:rPr>
        <w:t>o</w:t>
      </w:r>
      <w:r w:rsidRPr="002F1924">
        <w:rPr>
          <w:rFonts w:ascii="Times New Roman" w:hAnsi="Times New Roman" w:cs="Times New Roman"/>
        </w:rPr>
        <w:t> </w:t>
      </w:r>
      <w:r w:rsidRPr="002F1924">
        <w:rPr>
          <w:rStyle w:val="hps"/>
          <w:rFonts w:ascii="Times New Roman" w:hAnsi="Times New Roman" w:cs="Times New Roman"/>
        </w:rPr>
        <w:t>tomto riziku informovaní a vhodne liečení, ak sa objavia príznaky.</w:t>
      </w:r>
    </w:p>
    <w:p w14:paraId="30ED844A" w14:textId="77777777" w:rsidR="00B52502" w:rsidRPr="002F1924" w:rsidRDefault="00B52502" w:rsidP="008A6EE7">
      <w:pPr>
        <w:spacing w:after="0" w:line="240" w:lineRule="auto"/>
        <w:rPr>
          <w:rStyle w:val="hps"/>
          <w:rFonts w:ascii="Times New Roman" w:hAnsi="Times New Roman" w:cs="Times New Roman"/>
        </w:rPr>
      </w:pPr>
    </w:p>
    <w:p w14:paraId="22F8DD88" w14:textId="77777777" w:rsidR="00B52502" w:rsidRPr="002F1924" w:rsidRDefault="00B52502" w:rsidP="008A6EE7">
      <w:pPr>
        <w:tabs>
          <w:tab w:val="left" w:pos="567"/>
        </w:tabs>
        <w:spacing w:after="0" w:line="240" w:lineRule="auto"/>
        <w:jc w:val="both"/>
        <w:rPr>
          <w:rStyle w:val="hps"/>
          <w:rFonts w:ascii="Times New Roman" w:hAnsi="Times New Roman" w:cs="Times New Roman"/>
        </w:rPr>
      </w:pPr>
      <w:r w:rsidRPr="002F1924">
        <w:rPr>
          <w:rStyle w:val="hps"/>
          <w:rFonts w:ascii="Times New Roman" w:hAnsi="Times New Roman" w:cs="Times New Roman"/>
        </w:rPr>
        <w:t>Boli pozorované alergické a anafylaktické reakcie. Zahŕňajú lokálne reakcie v mieste vpichu injekcie a systémové príznaky.</w:t>
      </w:r>
    </w:p>
    <w:p w14:paraId="40576B4B"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74BC019F"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rPr>
        <w:t>V sledovaní po uvedení lieku na trh boli u pacientov liečených leuprorelínacetátom pozorované kŕče s alebo bez ananmnézy epilepsie, kŕčov alebo predispozičných faktorov.</w:t>
      </w:r>
    </w:p>
    <w:p w14:paraId="6B9727BF"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20DCB550" w14:textId="77777777" w:rsidR="00B52502" w:rsidRPr="002F1924" w:rsidRDefault="00B52502" w:rsidP="008A6EE7">
      <w:pPr>
        <w:spacing w:after="0" w:line="240" w:lineRule="auto"/>
        <w:rPr>
          <w:rFonts w:ascii="Times New Roman" w:hAnsi="Times New Roman" w:cs="Times New Roman"/>
          <w:kern w:val="32"/>
        </w:rPr>
      </w:pPr>
      <w:r w:rsidRPr="002F1924">
        <w:rPr>
          <w:rFonts w:ascii="Times New Roman" w:hAnsi="Times New Roman" w:cs="Times New Roman"/>
          <w:kern w:val="32"/>
        </w:rPr>
        <w:t>Po chirurgickej kastrácii nevyvoláva leuprorelín žiadny ďalší pokles hladín testosterónu.</w:t>
      </w:r>
    </w:p>
    <w:p w14:paraId="4E247955" w14:textId="77777777" w:rsidR="00B52502" w:rsidRPr="002F1924" w:rsidRDefault="00B52502" w:rsidP="008A6EE7">
      <w:pPr>
        <w:tabs>
          <w:tab w:val="left" w:pos="567"/>
        </w:tabs>
        <w:spacing w:after="0" w:line="240" w:lineRule="auto"/>
        <w:rPr>
          <w:rFonts w:ascii="Times New Roman" w:hAnsi="Times New Roman" w:cs="Times New Roman"/>
        </w:rPr>
      </w:pPr>
    </w:p>
    <w:p w14:paraId="684F7F5A"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Pacienti s rizikom neurologických komplikácií, metastázou v chrbtici a obštrukciou močových ciest majú počas prvých týždňov liečby ostať čo najdlhšie hospitalizovaníi a byť nepretržite sledovaní z dôvodu krátkodobého zvýšenia sérových koncentrácií testosterónu na začiatku liečby, čo môže dočasne zhoršiť určité príznaky ochorenia.</w:t>
      </w:r>
    </w:p>
    <w:p w14:paraId="4CD598DB" w14:textId="77777777" w:rsidR="00B52502" w:rsidRPr="002F1924" w:rsidRDefault="00B52502" w:rsidP="008A6EE7">
      <w:pPr>
        <w:tabs>
          <w:tab w:val="left" w:pos="567"/>
        </w:tabs>
        <w:spacing w:after="0" w:line="240" w:lineRule="auto"/>
        <w:rPr>
          <w:rFonts w:ascii="Times New Roman" w:hAnsi="Times New Roman" w:cs="Times New Roman"/>
        </w:rPr>
      </w:pPr>
    </w:p>
    <w:p w14:paraId="3955D862"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Počas začiatočnej fázy liečby sa má zvážiť podávanie ďalšieho vhodného antiandrogénu na zmiernenie možného druhotného následku počiatočného nárastu hladiny testosterónu a zhoršenia klinických príznakov.</w:t>
      </w:r>
    </w:p>
    <w:p w14:paraId="2D5B04BD" w14:textId="77777777" w:rsidR="00B52502" w:rsidRPr="002F1924" w:rsidRDefault="00B52502" w:rsidP="008A6EE7">
      <w:pPr>
        <w:tabs>
          <w:tab w:val="left" w:pos="567"/>
        </w:tabs>
        <w:spacing w:after="0" w:line="240" w:lineRule="auto"/>
        <w:rPr>
          <w:rFonts w:ascii="Times New Roman" w:hAnsi="Times New Roman" w:cs="Times New Roman"/>
        </w:rPr>
      </w:pPr>
    </w:p>
    <w:p w14:paraId="17D19809"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Úspešnosť liečby sa má pravidelne sledovať (a to hlavne ak existuje záznam o progresii napriek vhodnej liečbe) klinickými prehliadkami (digitálne rektálne vyšetrenie prostaty, ultrazvuk, skeletálna scintigrafia, počítačová tomografia) a kontrolovaním hladiny fosfatáz a/alebo prostatického špecifického antigénu (PSA) koncentrácii testosterónu v sére.</w:t>
      </w:r>
    </w:p>
    <w:p w14:paraId="5EC24EC9" w14:textId="77777777" w:rsidR="00B52502" w:rsidRPr="002F1924" w:rsidRDefault="00B52502" w:rsidP="008A6EE7">
      <w:pPr>
        <w:tabs>
          <w:tab w:val="left" w:pos="567"/>
        </w:tabs>
        <w:spacing w:after="0" w:line="240" w:lineRule="auto"/>
        <w:rPr>
          <w:rFonts w:ascii="Times New Roman" w:hAnsi="Times New Roman" w:cs="Times New Roman"/>
        </w:rPr>
      </w:pPr>
    </w:p>
    <w:p w14:paraId="5F5553BA" w14:textId="77777777" w:rsidR="00B52502" w:rsidRPr="002F1924" w:rsidRDefault="00B52502" w:rsidP="008A6EE7">
      <w:pPr>
        <w:spacing w:after="0" w:line="240" w:lineRule="auto"/>
        <w:rPr>
          <w:rFonts w:ascii="Times New Roman" w:hAnsi="Times New Roman" w:cs="Times New Roman"/>
          <w:kern w:val="32"/>
        </w:rPr>
      </w:pPr>
      <w:r w:rsidRPr="002F1924">
        <w:rPr>
          <w:rFonts w:ascii="Times New Roman" w:hAnsi="Times New Roman" w:cs="Times New Roman"/>
          <w:kern w:val="32"/>
        </w:rPr>
        <w:t>Hypogonádizmus vyskytujúci sa pri dlhodobej liečbe s analógmi LHRH a/alebo orchiektómia môžu viesť k osteoporóze so zvýšeným rizikom vzniku zlomenín, pričom rozvoj osteoporózy bol výraznejší po orchiektómii, so zvýšenými hladinami kortizolu, než po podávaní analógov LHRH. U vysoko rizikových pacientov môže doplnkové podávanie bisfosfonátov pomôcť predísť demineralizácii kostí.</w:t>
      </w:r>
    </w:p>
    <w:p w14:paraId="6779F72F" w14:textId="77777777" w:rsidR="00B52502" w:rsidRPr="002F1924" w:rsidRDefault="00B52502" w:rsidP="008A6EE7">
      <w:pPr>
        <w:spacing w:after="0" w:line="240" w:lineRule="auto"/>
        <w:rPr>
          <w:rFonts w:ascii="Times New Roman" w:hAnsi="Times New Roman" w:cs="Times New Roman"/>
          <w:kern w:val="32"/>
        </w:rPr>
      </w:pPr>
    </w:p>
    <w:p w14:paraId="4D0CC680" w14:textId="77777777" w:rsidR="00B52502" w:rsidRPr="002F1924" w:rsidRDefault="00B52502" w:rsidP="008A6EE7">
      <w:pPr>
        <w:spacing w:after="0" w:line="240" w:lineRule="auto"/>
        <w:rPr>
          <w:rFonts w:ascii="Times New Roman" w:hAnsi="Times New Roman" w:cs="Times New Roman"/>
          <w:kern w:val="32"/>
        </w:rPr>
      </w:pPr>
      <w:r w:rsidRPr="002F1924">
        <w:rPr>
          <w:rFonts w:ascii="Times New Roman" w:hAnsi="Times New Roman" w:cs="Times New Roman"/>
          <w:kern w:val="32"/>
        </w:rPr>
        <w:t>U niektorých pacientov liečených analógmi LHRH sa zaznamenala zmenená tolerancia glukózy. Diabetici sa počas liečby Leuprorelinom Sandoz 5 mg implantát musia veľmi starostlivo sledovať.</w:t>
      </w:r>
    </w:p>
    <w:p w14:paraId="7E280313" w14:textId="77777777" w:rsidR="00B52502" w:rsidRPr="002F1924" w:rsidRDefault="00B52502" w:rsidP="008A6EE7">
      <w:pPr>
        <w:spacing w:after="0" w:line="240" w:lineRule="auto"/>
        <w:rPr>
          <w:rFonts w:ascii="Times New Roman" w:hAnsi="Times New Roman" w:cs="Times New Roman"/>
        </w:rPr>
      </w:pPr>
    </w:p>
    <w:p w14:paraId="600AE34A"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Liečba potláčajúca androgény môže predĺžiť QT interval.</w:t>
      </w:r>
    </w:p>
    <w:p w14:paraId="1CBE8399" w14:textId="77777777" w:rsidR="00B52502" w:rsidRPr="002F1924" w:rsidRDefault="00B52502" w:rsidP="008A6EE7">
      <w:pPr>
        <w:spacing w:after="0" w:line="240" w:lineRule="auto"/>
        <w:rPr>
          <w:rFonts w:ascii="Times New Roman" w:hAnsi="Times New Roman" w:cs="Times New Roman"/>
        </w:rPr>
      </w:pPr>
    </w:p>
    <w:p w14:paraId="53CB45C5"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U pacientov s predĺženým QT intervalom v anamnéze alebo s rizikovými faktormi preň a u pacientov liečených súbežne liekmi, ktoré môžu predlžovať QT interval (pozri časť 4.5), musí lekár pred začatím liečby Leuprorelinom Sandoz 5 mg implantát zhodnotiť pomer prínosu a rizika, vrátane potenciálu vzniku </w:t>
      </w:r>
      <w:r w:rsidRPr="002F1924">
        <w:rPr>
          <w:rFonts w:ascii="Times New Roman" w:hAnsi="Times New Roman" w:cs="Times New Roman"/>
          <w:i/>
        </w:rPr>
        <w:t>torsade de pointes</w:t>
      </w:r>
      <w:r w:rsidRPr="002F1924">
        <w:rPr>
          <w:rFonts w:ascii="Times New Roman" w:hAnsi="Times New Roman" w:cs="Times New Roman"/>
        </w:rPr>
        <w:t>.</w:t>
      </w:r>
    </w:p>
    <w:p w14:paraId="38407175" w14:textId="77777777" w:rsidR="00B52502" w:rsidRPr="002F1924" w:rsidRDefault="00B52502" w:rsidP="008A6EE7">
      <w:pPr>
        <w:spacing w:after="0" w:line="240" w:lineRule="auto"/>
        <w:rPr>
          <w:rFonts w:ascii="Times New Roman" w:hAnsi="Times New Roman" w:cs="Times New Roman"/>
          <w:kern w:val="32"/>
        </w:rPr>
      </w:pPr>
    </w:p>
    <w:p w14:paraId="1B4D55A5"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4.5</w:t>
      </w:r>
      <w:r w:rsidRPr="002F1924">
        <w:rPr>
          <w:rFonts w:ascii="Times New Roman" w:hAnsi="Times New Roman" w:cs="Times New Roman"/>
          <w:b/>
          <w:bCs/>
          <w:sz w:val="22"/>
          <w:szCs w:val="22"/>
          <w:u w:val="none"/>
          <w:lang w:val="sk-SK"/>
        </w:rPr>
        <w:tab/>
        <w:t>Liekové a iné interakcie</w:t>
      </w:r>
    </w:p>
    <w:p w14:paraId="00DB6101"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7B251078"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rPr>
        <w:t>Neuskutočnili sa žiadne interakčné štúdie.</w:t>
      </w:r>
    </w:p>
    <w:p w14:paraId="57F5B2C5"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07D81998"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rPr>
        <w:t xml:space="preserve">Keďže liečba potláčajúca androgény môže predĺžiť QT interval, súbežné použitie Leuprorelinu Sandoz 5 mg implantát s liekmi, o ktorých je známe, že predlžujú QT interval alebo s liekmi, ktoré môžu indukovať </w:t>
      </w:r>
      <w:r w:rsidRPr="002F1924">
        <w:rPr>
          <w:rFonts w:ascii="Times New Roman" w:hAnsi="Times New Roman" w:cs="Times New Roman"/>
          <w:i/>
        </w:rPr>
        <w:t>torsades de pointes</w:t>
      </w:r>
      <w:r w:rsidRPr="002F1924">
        <w:rPr>
          <w:rFonts w:ascii="Times New Roman" w:hAnsi="Times New Roman" w:cs="Times New Roman"/>
        </w:rPr>
        <w:t>,</w:t>
      </w:r>
      <w:r w:rsidRPr="002F1924">
        <w:rPr>
          <w:rFonts w:ascii="Times New Roman" w:hAnsi="Times New Roman" w:cs="Times New Roman"/>
          <w:i/>
        </w:rPr>
        <w:t xml:space="preserve"> </w:t>
      </w:r>
      <w:r w:rsidRPr="002F1924">
        <w:rPr>
          <w:rFonts w:ascii="Times New Roman" w:hAnsi="Times New Roman" w:cs="Times New Roman"/>
        </w:rPr>
        <w:t>akými sú trieda IA (napr. chinidín, disopyramid) alebo trieda III (napr. amiodaron, sotalol, dofetilid, ibutilid), antiarytmiká, metadón, moxifloxacín, antipsychotiká, atď., musí byť starostlivo zvážené (pozri časť 4.4).</w:t>
      </w:r>
    </w:p>
    <w:p w14:paraId="085A9086"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15670FEB"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4.6</w:t>
      </w:r>
      <w:r w:rsidRPr="002F1924">
        <w:rPr>
          <w:rFonts w:ascii="Times New Roman" w:hAnsi="Times New Roman" w:cs="Times New Roman"/>
          <w:b/>
          <w:bCs/>
          <w:sz w:val="22"/>
          <w:szCs w:val="22"/>
          <w:u w:val="none"/>
          <w:lang w:val="sk-SK"/>
        </w:rPr>
        <w:tab/>
        <w:t>Fertilita, gravidita a laktácia</w:t>
      </w:r>
    </w:p>
    <w:p w14:paraId="2DDA566E" w14:textId="77777777" w:rsidR="00B52502" w:rsidRPr="002F1924" w:rsidRDefault="00B52502" w:rsidP="008A6EE7">
      <w:pPr>
        <w:spacing w:after="0" w:line="240" w:lineRule="auto"/>
        <w:jc w:val="both"/>
        <w:rPr>
          <w:rFonts w:ascii="Times New Roman" w:hAnsi="Times New Roman" w:cs="Times New Roman"/>
        </w:rPr>
      </w:pPr>
    </w:p>
    <w:p w14:paraId="2C328C4F"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Leuprorelin Sandoz 5 mg implantát je určený len na použitie u pacientov mužského pohlavia.</w:t>
      </w:r>
    </w:p>
    <w:p w14:paraId="2A3D7E14" w14:textId="77777777" w:rsidR="00B52502" w:rsidRPr="002F1924" w:rsidRDefault="00B52502" w:rsidP="008A6EE7">
      <w:pPr>
        <w:spacing w:after="0" w:line="240" w:lineRule="auto"/>
        <w:jc w:val="both"/>
        <w:rPr>
          <w:rFonts w:ascii="Times New Roman" w:hAnsi="Times New Roman" w:cs="Times New Roman"/>
        </w:rPr>
      </w:pPr>
    </w:p>
    <w:p w14:paraId="141A94C4"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4.7</w:t>
      </w:r>
      <w:r w:rsidRPr="002F1924">
        <w:rPr>
          <w:rFonts w:ascii="Times New Roman" w:hAnsi="Times New Roman" w:cs="Times New Roman"/>
          <w:b/>
          <w:bCs/>
          <w:sz w:val="22"/>
          <w:szCs w:val="22"/>
          <w:u w:val="none"/>
          <w:lang w:val="sk-SK"/>
        </w:rPr>
        <w:tab/>
        <w:t>Ovplyvnenie schopnosti viesť vozidlá a obsluhovať stroje</w:t>
      </w:r>
    </w:p>
    <w:p w14:paraId="5AC9F253" w14:textId="77777777" w:rsidR="00B52502" w:rsidRPr="002F1924" w:rsidRDefault="00B52502" w:rsidP="008A6EE7">
      <w:pPr>
        <w:spacing w:after="0" w:line="240" w:lineRule="auto"/>
        <w:jc w:val="both"/>
        <w:rPr>
          <w:rFonts w:ascii="Times New Roman" w:hAnsi="Times New Roman" w:cs="Times New Roman"/>
        </w:rPr>
      </w:pPr>
    </w:p>
    <w:p w14:paraId="1062532A"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Tento liek môže natoľko pozmeniť schopnosť reagovať, dokonca aj pri správnom používaní, že schopnosť viesť vozidlá a obsluhovať stroje je narušená. Je to kvôli únave, ktorá sa u niektorých pacientov vyskytuje najmä na začiatku liečby, čo môže byť spôsobené aj prítomnosťou nádorového ochorenia. V ešte väčšej miere toto platí pri kombinácii tohto lieku s alkoholom.</w:t>
      </w:r>
    </w:p>
    <w:p w14:paraId="271D3326" w14:textId="77777777" w:rsidR="00B52502" w:rsidRPr="002F1924" w:rsidRDefault="00B52502" w:rsidP="008A6EE7">
      <w:pPr>
        <w:spacing w:after="0" w:line="240" w:lineRule="auto"/>
        <w:jc w:val="both"/>
        <w:rPr>
          <w:rFonts w:ascii="Times New Roman" w:hAnsi="Times New Roman" w:cs="Times New Roman"/>
        </w:rPr>
      </w:pPr>
    </w:p>
    <w:p w14:paraId="263FF7D2"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4.8</w:t>
      </w:r>
      <w:r w:rsidRPr="002F1924">
        <w:rPr>
          <w:rFonts w:ascii="Times New Roman" w:hAnsi="Times New Roman" w:cs="Times New Roman"/>
          <w:b/>
          <w:bCs/>
          <w:sz w:val="22"/>
          <w:szCs w:val="22"/>
          <w:u w:val="none"/>
          <w:lang w:val="sk-SK"/>
        </w:rPr>
        <w:tab/>
        <w:t>Nežiaduce účinky</w:t>
      </w:r>
    </w:p>
    <w:p w14:paraId="7F1303E9"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1789EC92"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Na začiatku obvykle nastane krátkodobý nárast koncentrácie testosterónu v sére, čo môže dočasne zhoršiť niektoré príznaky ochorenia (bolesť kostí alebo jej nárast, obštrukcia močových ciest s jej následkami, stiahnutie miechy, svalová slabosť v nohách, lymfatický edém). Tento nárast príznakov zvyčajne spontánne ustúpi bez toho, aby sa musela prerušiť liečba Leuprorelinom Sandoz 5 mg implantát.</w:t>
      </w:r>
    </w:p>
    <w:p w14:paraId="2145584F" w14:textId="77777777" w:rsidR="00B52502" w:rsidRPr="002F1924" w:rsidRDefault="00B52502" w:rsidP="008A6EE7">
      <w:pPr>
        <w:tabs>
          <w:tab w:val="left" w:pos="567"/>
        </w:tabs>
        <w:spacing w:after="0" w:line="240" w:lineRule="auto"/>
        <w:rPr>
          <w:rFonts w:ascii="Times New Roman" w:hAnsi="Times New Roman" w:cs="Times New Roman"/>
        </w:rPr>
      </w:pPr>
    </w:p>
    <w:p w14:paraId="7C599C2C"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rPr>
        <w:t>V dôsledku vysadenia pohlavných hormónov sa môžu vyskytnúť nežiaduce účinky .</w:t>
      </w:r>
    </w:p>
    <w:p w14:paraId="14C93D25"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073B8358"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rPr>
        <w:t>Zoznam vedľajších reakcií v tabuľke:</w:t>
      </w:r>
    </w:p>
    <w:p w14:paraId="112A84B6"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2732075F"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rPr>
        <w:t>Vedľajšie účinky sú zoradené do tried orgánových systémov a na základe frekvencie podľa konvencií MedDRA:</w:t>
      </w:r>
    </w:p>
    <w:p w14:paraId="45518567" w14:textId="77777777" w:rsidR="00B52502" w:rsidRPr="002F1924" w:rsidRDefault="00B52502" w:rsidP="008A6EE7">
      <w:pPr>
        <w:spacing w:after="0" w:line="240" w:lineRule="auto"/>
        <w:ind w:left="1620" w:hanging="1620"/>
        <w:rPr>
          <w:rFonts w:ascii="Times New Roman" w:hAnsi="Times New Roman" w:cs="Times New Roman"/>
        </w:rPr>
      </w:pPr>
      <w:r w:rsidRPr="002F1924">
        <w:rPr>
          <w:rFonts w:ascii="Times New Roman" w:hAnsi="Times New Roman" w:cs="Times New Roman"/>
        </w:rPr>
        <w:t>Veľmi časté:</w:t>
      </w:r>
      <w:r w:rsidRPr="002F1924">
        <w:rPr>
          <w:rFonts w:ascii="Times New Roman" w:hAnsi="Times New Roman" w:cs="Times New Roman"/>
        </w:rPr>
        <w:tab/>
      </w:r>
      <w:r w:rsidRPr="002F1924">
        <w:rPr>
          <w:rFonts w:ascii="Times New Roman" w:hAnsi="Times New Roman" w:cs="Times New Roman"/>
        </w:rPr>
        <w:sym w:font="Symbol" w:char="F0B3"/>
      </w:r>
      <w:r w:rsidRPr="002F1924">
        <w:rPr>
          <w:rFonts w:ascii="Times New Roman" w:hAnsi="Times New Roman" w:cs="Times New Roman"/>
        </w:rPr>
        <w:t> 1/10</w:t>
      </w:r>
    </w:p>
    <w:p w14:paraId="63779B9B" w14:textId="77777777" w:rsidR="00B52502" w:rsidRPr="002F1924" w:rsidRDefault="00B52502" w:rsidP="008A6EE7">
      <w:pPr>
        <w:tabs>
          <w:tab w:val="left" w:pos="1620"/>
        </w:tabs>
        <w:spacing w:after="0" w:line="240" w:lineRule="auto"/>
        <w:ind w:left="1440" w:hanging="1440"/>
        <w:rPr>
          <w:rFonts w:ascii="Times New Roman" w:hAnsi="Times New Roman" w:cs="Times New Roman"/>
        </w:rPr>
      </w:pPr>
      <w:r w:rsidRPr="002F1924">
        <w:rPr>
          <w:rFonts w:ascii="Times New Roman" w:hAnsi="Times New Roman" w:cs="Times New Roman"/>
        </w:rPr>
        <w:t>Časté:</w:t>
      </w:r>
      <w:r w:rsidRPr="002F1924">
        <w:rPr>
          <w:rFonts w:ascii="Times New Roman" w:hAnsi="Times New Roman" w:cs="Times New Roman"/>
        </w:rPr>
        <w:tab/>
      </w:r>
      <w:r w:rsidRPr="002F1924">
        <w:rPr>
          <w:rFonts w:ascii="Times New Roman" w:hAnsi="Times New Roman" w:cs="Times New Roman"/>
        </w:rPr>
        <w:tab/>
      </w:r>
      <w:r w:rsidRPr="002F1924">
        <w:rPr>
          <w:rFonts w:ascii="Times New Roman" w:hAnsi="Times New Roman" w:cs="Times New Roman"/>
        </w:rPr>
        <w:sym w:font="Symbol" w:char="F0B3"/>
      </w:r>
      <w:r w:rsidRPr="002F1924">
        <w:rPr>
          <w:rFonts w:ascii="Times New Roman" w:hAnsi="Times New Roman" w:cs="Times New Roman"/>
        </w:rPr>
        <w:t> 1/100 až &lt; 1/10</w:t>
      </w:r>
    </w:p>
    <w:p w14:paraId="7E996551" w14:textId="77777777" w:rsidR="00B52502" w:rsidRPr="002F1924" w:rsidRDefault="00B52502" w:rsidP="008A6EE7">
      <w:pPr>
        <w:tabs>
          <w:tab w:val="left" w:pos="1620"/>
        </w:tabs>
        <w:spacing w:after="0" w:line="240" w:lineRule="auto"/>
        <w:ind w:left="1440" w:hanging="1440"/>
        <w:rPr>
          <w:rFonts w:ascii="Times New Roman" w:hAnsi="Times New Roman" w:cs="Times New Roman"/>
        </w:rPr>
      </w:pPr>
      <w:r w:rsidRPr="002F1924">
        <w:rPr>
          <w:rFonts w:ascii="Times New Roman" w:hAnsi="Times New Roman" w:cs="Times New Roman"/>
        </w:rPr>
        <w:t>Menej časté:</w:t>
      </w:r>
      <w:r w:rsidRPr="002F1924">
        <w:rPr>
          <w:rFonts w:ascii="Times New Roman" w:hAnsi="Times New Roman" w:cs="Times New Roman"/>
        </w:rPr>
        <w:tab/>
      </w:r>
      <w:r w:rsidRPr="002F1924">
        <w:rPr>
          <w:rFonts w:ascii="Times New Roman" w:hAnsi="Times New Roman" w:cs="Times New Roman"/>
        </w:rPr>
        <w:tab/>
      </w:r>
      <w:r w:rsidRPr="002F1924">
        <w:rPr>
          <w:rFonts w:ascii="Times New Roman" w:hAnsi="Times New Roman" w:cs="Times New Roman"/>
        </w:rPr>
        <w:sym w:font="Symbol" w:char="F0B3"/>
      </w:r>
      <w:r w:rsidRPr="002F1924">
        <w:rPr>
          <w:rFonts w:ascii="Times New Roman" w:hAnsi="Times New Roman" w:cs="Times New Roman"/>
        </w:rPr>
        <w:t> 1/1000 až &lt; 1/100</w:t>
      </w:r>
    </w:p>
    <w:p w14:paraId="5DD0D6B9" w14:textId="77777777" w:rsidR="00B52502" w:rsidRPr="002F1924" w:rsidRDefault="00B52502" w:rsidP="008A6EE7">
      <w:pPr>
        <w:tabs>
          <w:tab w:val="left" w:pos="1620"/>
        </w:tabs>
        <w:spacing w:after="0" w:line="240" w:lineRule="auto"/>
        <w:ind w:left="1440" w:hanging="1440"/>
        <w:rPr>
          <w:rFonts w:ascii="Times New Roman" w:hAnsi="Times New Roman" w:cs="Times New Roman"/>
        </w:rPr>
      </w:pPr>
      <w:r w:rsidRPr="002F1924">
        <w:rPr>
          <w:rFonts w:ascii="Times New Roman" w:hAnsi="Times New Roman" w:cs="Times New Roman"/>
        </w:rPr>
        <w:t>Zriedkavé:</w:t>
      </w:r>
      <w:r w:rsidRPr="002F1924">
        <w:rPr>
          <w:rFonts w:ascii="Times New Roman" w:hAnsi="Times New Roman" w:cs="Times New Roman"/>
        </w:rPr>
        <w:tab/>
      </w:r>
      <w:r w:rsidRPr="002F1924">
        <w:rPr>
          <w:rFonts w:ascii="Times New Roman" w:hAnsi="Times New Roman" w:cs="Times New Roman"/>
        </w:rPr>
        <w:tab/>
      </w:r>
      <w:r w:rsidRPr="002F1924">
        <w:rPr>
          <w:rFonts w:ascii="Times New Roman" w:hAnsi="Times New Roman" w:cs="Times New Roman"/>
        </w:rPr>
        <w:sym w:font="Symbol" w:char="F0B3"/>
      </w:r>
      <w:r w:rsidRPr="002F1924">
        <w:rPr>
          <w:rFonts w:ascii="Times New Roman" w:hAnsi="Times New Roman" w:cs="Times New Roman"/>
        </w:rPr>
        <w:t> 1/10 000 až &lt; 1/1000</w:t>
      </w:r>
    </w:p>
    <w:p w14:paraId="2FCA729E" w14:textId="77777777" w:rsidR="00B52502" w:rsidRPr="002F1924" w:rsidRDefault="00B52502" w:rsidP="008A6EE7">
      <w:pPr>
        <w:spacing w:after="0" w:line="240" w:lineRule="auto"/>
        <w:ind w:left="1440" w:hanging="1440"/>
        <w:rPr>
          <w:rFonts w:ascii="Times New Roman" w:hAnsi="Times New Roman" w:cs="Times New Roman"/>
          <w:noProof/>
        </w:rPr>
      </w:pPr>
      <w:r w:rsidRPr="002F1924">
        <w:rPr>
          <w:rFonts w:ascii="Times New Roman" w:hAnsi="Times New Roman" w:cs="Times New Roman"/>
        </w:rPr>
        <w:t>Veľmi zriedkavé: &lt; 1/10 000</w:t>
      </w:r>
    </w:p>
    <w:p w14:paraId="049BD119" w14:textId="77777777" w:rsidR="00B52502" w:rsidRPr="002F1924" w:rsidRDefault="00B52502" w:rsidP="008A6EE7">
      <w:pPr>
        <w:tabs>
          <w:tab w:val="left" w:pos="1620"/>
        </w:tabs>
        <w:spacing w:after="0" w:line="240" w:lineRule="auto"/>
        <w:ind w:left="1440" w:hanging="1440"/>
        <w:rPr>
          <w:rFonts w:ascii="Times New Roman" w:hAnsi="Times New Roman" w:cs="Times New Roman"/>
        </w:rPr>
      </w:pPr>
      <w:r w:rsidRPr="002F1924">
        <w:rPr>
          <w:rFonts w:ascii="Times New Roman" w:hAnsi="Times New Roman" w:cs="Times New Roman"/>
          <w:noProof/>
        </w:rPr>
        <w:t>Neznáme:</w:t>
      </w:r>
      <w:r w:rsidRPr="002F1924">
        <w:rPr>
          <w:rFonts w:ascii="Times New Roman" w:hAnsi="Times New Roman" w:cs="Times New Roman"/>
          <w:noProof/>
        </w:rPr>
        <w:tab/>
      </w:r>
      <w:r w:rsidRPr="002F1924">
        <w:rPr>
          <w:rFonts w:ascii="Times New Roman" w:hAnsi="Times New Roman" w:cs="Times New Roman"/>
          <w:noProof/>
        </w:rPr>
        <w:tab/>
        <w:t>frekvenciu nemožno určiť z dostupných údajov</w:t>
      </w:r>
    </w:p>
    <w:p w14:paraId="68B15A50" w14:textId="77777777" w:rsidR="00B52502" w:rsidRPr="002F1924" w:rsidRDefault="00B52502" w:rsidP="008A6EE7">
      <w:pPr>
        <w:spacing w:after="0" w:line="240" w:lineRule="auto"/>
        <w:rPr>
          <w:rFonts w:ascii="Times New Roman" w:hAnsi="Times New Roman" w:cs="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992"/>
        <w:gridCol w:w="1418"/>
        <w:gridCol w:w="1701"/>
        <w:gridCol w:w="1417"/>
        <w:gridCol w:w="1276"/>
        <w:gridCol w:w="1134"/>
      </w:tblGrid>
      <w:tr w:rsidR="00B52502" w:rsidRPr="002F1924" w14:paraId="1D92A9A9" w14:textId="77777777" w:rsidTr="0009645E">
        <w:tc>
          <w:tcPr>
            <w:tcW w:w="1526" w:type="dxa"/>
          </w:tcPr>
          <w:p w14:paraId="76E28BAC" w14:textId="77777777" w:rsidR="00B52502" w:rsidRPr="002F1924" w:rsidRDefault="00B52502" w:rsidP="008A6EE7">
            <w:pPr>
              <w:spacing w:after="0" w:line="240" w:lineRule="auto"/>
              <w:rPr>
                <w:rFonts w:ascii="Times New Roman" w:hAnsi="Times New Roman" w:cs="Times New Roman"/>
              </w:rPr>
            </w:pPr>
          </w:p>
        </w:tc>
        <w:tc>
          <w:tcPr>
            <w:tcW w:w="992" w:type="dxa"/>
          </w:tcPr>
          <w:p w14:paraId="6C1532CD"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Veľmi časté</w:t>
            </w:r>
          </w:p>
        </w:tc>
        <w:tc>
          <w:tcPr>
            <w:tcW w:w="1418" w:type="dxa"/>
          </w:tcPr>
          <w:p w14:paraId="044AE347"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Časté</w:t>
            </w:r>
          </w:p>
        </w:tc>
        <w:tc>
          <w:tcPr>
            <w:tcW w:w="1701" w:type="dxa"/>
          </w:tcPr>
          <w:p w14:paraId="47FDD78F"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Menej časté</w:t>
            </w:r>
          </w:p>
        </w:tc>
        <w:tc>
          <w:tcPr>
            <w:tcW w:w="1417" w:type="dxa"/>
          </w:tcPr>
          <w:p w14:paraId="70436EB3"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Zriedkavé</w:t>
            </w:r>
          </w:p>
        </w:tc>
        <w:tc>
          <w:tcPr>
            <w:tcW w:w="1276" w:type="dxa"/>
          </w:tcPr>
          <w:p w14:paraId="65FABC7D"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Veľmi zriedkavé</w:t>
            </w:r>
          </w:p>
        </w:tc>
        <w:tc>
          <w:tcPr>
            <w:tcW w:w="1134" w:type="dxa"/>
          </w:tcPr>
          <w:p w14:paraId="5F1E042A"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Neznáme</w:t>
            </w:r>
          </w:p>
        </w:tc>
      </w:tr>
      <w:tr w:rsidR="00B52502" w:rsidRPr="002F1924" w14:paraId="030552AF" w14:textId="77777777" w:rsidTr="0009645E">
        <w:tc>
          <w:tcPr>
            <w:tcW w:w="1526" w:type="dxa"/>
          </w:tcPr>
          <w:p w14:paraId="1E83692D"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lastRenderedPageBreak/>
              <w:t>Poruchy imunitného systému</w:t>
            </w:r>
          </w:p>
        </w:tc>
        <w:tc>
          <w:tcPr>
            <w:tcW w:w="992" w:type="dxa"/>
          </w:tcPr>
          <w:p w14:paraId="3266A057" w14:textId="77777777" w:rsidR="00B52502" w:rsidRPr="002F1924" w:rsidRDefault="00B52502" w:rsidP="008A6EE7">
            <w:pPr>
              <w:spacing w:after="0" w:line="240" w:lineRule="auto"/>
              <w:rPr>
                <w:rFonts w:ascii="Times New Roman" w:hAnsi="Times New Roman" w:cs="Times New Roman"/>
              </w:rPr>
            </w:pPr>
          </w:p>
        </w:tc>
        <w:tc>
          <w:tcPr>
            <w:tcW w:w="1418" w:type="dxa"/>
          </w:tcPr>
          <w:p w14:paraId="2621FDE7" w14:textId="77777777" w:rsidR="00B52502" w:rsidRPr="002F1924" w:rsidRDefault="00B52502" w:rsidP="008A6EE7">
            <w:pPr>
              <w:spacing w:after="0" w:line="240" w:lineRule="auto"/>
              <w:rPr>
                <w:rFonts w:ascii="Times New Roman" w:hAnsi="Times New Roman" w:cs="Times New Roman"/>
              </w:rPr>
            </w:pPr>
          </w:p>
        </w:tc>
        <w:tc>
          <w:tcPr>
            <w:tcW w:w="1701" w:type="dxa"/>
          </w:tcPr>
          <w:p w14:paraId="011647A9"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celkové alergické reakcie (horúčka, svrbenie, eozinofília, kožná vyrážka)</w:t>
            </w:r>
          </w:p>
        </w:tc>
        <w:tc>
          <w:tcPr>
            <w:tcW w:w="1417" w:type="dxa"/>
          </w:tcPr>
          <w:p w14:paraId="4EC7CF79"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anafylaktické reakcie</w:t>
            </w:r>
          </w:p>
        </w:tc>
        <w:tc>
          <w:tcPr>
            <w:tcW w:w="1276" w:type="dxa"/>
          </w:tcPr>
          <w:p w14:paraId="626F2DD2" w14:textId="77777777" w:rsidR="00B52502" w:rsidRPr="002F1924" w:rsidRDefault="00B52502" w:rsidP="008A6EE7">
            <w:pPr>
              <w:spacing w:after="0" w:line="240" w:lineRule="auto"/>
              <w:rPr>
                <w:rFonts w:ascii="Times New Roman" w:hAnsi="Times New Roman" w:cs="Times New Roman"/>
              </w:rPr>
            </w:pPr>
          </w:p>
        </w:tc>
        <w:tc>
          <w:tcPr>
            <w:tcW w:w="1134" w:type="dxa"/>
          </w:tcPr>
          <w:p w14:paraId="5E3DC6ED" w14:textId="77777777" w:rsidR="00B52502" w:rsidRPr="002F1924" w:rsidRDefault="00B52502" w:rsidP="008A6EE7">
            <w:pPr>
              <w:spacing w:after="0" w:line="240" w:lineRule="auto"/>
              <w:rPr>
                <w:rFonts w:ascii="Times New Roman" w:hAnsi="Times New Roman" w:cs="Times New Roman"/>
              </w:rPr>
            </w:pPr>
          </w:p>
        </w:tc>
      </w:tr>
      <w:tr w:rsidR="00B52502" w:rsidRPr="002F1924" w14:paraId="133DEA39" w14:textId="77777777" w:rsidTr="0009645E">
        <w:tc>
          <w:tcPr>
            <w:tcW w:w="1526" w:type="dxa"/>
          </w:tcPr>
          <w:p w14:paraId="7E41BC37"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Poruchy metabolizmu a výživy</w:t>
            </w:r>
          </w:p>
        </w:tc>
        <w:tc>
          <w:tcPr>
            <w:tcW w:w="992" w:type="dxa"/>
          </w:tcPr>
          <w:p w14:paraId="3ADE9679" w14:textId="77777777" w:rsidR="00B52502" w:rsidRPr="002F1924" w:rsidRDefault="00B52502" w:rsidP="008A6EE7">
            <w:pPr>
              <w:spacing w:after="0" w:line="240" w:lineRule="auto"/>
              <w:rPr>
                <w:rFonts w:ascii="Times New Roman" w:hAnsi="Times New Roman" w:cs="Times New Roman"/>
              </w:rPr>
            </w:pPr>
          </w:p>
        </w:tc>
        <w:tc>
          <w:tcPr>
            <w:tcW w:w="1418" w:type="dxa"/>
          </w:tcPr>
          <w:p w14:paraId="083F808B" w14:textId="6865BDAA"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znížená chuť do jedla, zvýšená chuť do jedla </w:t>
            </w:r>
          </w:p>
        </w:tc>
        <w:tc>
          <w:tcPr>
            <w:tcW w:w="1701" w:type="dxa"/>
          </w:tcPr>
          <w:p w14:paraId="07330D25" w14:textId="77777777" w:rsidR="00B52502" w:rsidRPr="002F1924" w:rsidRDefault="00B52502" w:rsidP="008A6EE7">
            <w:pPr>
              <w:spacing w:after="0" w:line="240" w:lineRule="auto"/>
              <w:rPr>
                <w:rFonts w:ascii="Times New Roman" w:hAnsi="Times New Roman" w:cs="Times New Roman"/>
              </w:rPr>
            </w:pPr>
          </w:p>
        </w:tc>
        <w:tc>
          <w:tcPr>
            <w:tcW w:w="1417" w:type="dxa"/>
          </w:tcPr>
          <w:p w14:paraId="4C8C0434"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zmeny metabolické-ho stavu </w:t>
            </w:r>
          </w:p>
          <w:p w14:paraId="328A2ED6"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u diabetikov (zvýšenie alebo zníženie hladín glukózy </w:t>
            </w:r>
          </w:p>
          <w:p w14:paraId="7A338973"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v krvi)</w:t>
            </w:r>
          </w:p>
        </w:tc>
        <w:tc>
          <w:tcPr>
            <w:tcW w:w="1276" w:type="dxa"/>
          </w:tcPr>
          <w:p w14:paraId="262D0C72" w14:textId="77777777" w:rsidR="00B52502" w:rsidRPr="002F1924" w:rsidRDefault="00B52502" w:rsidP="008A6EE7">
            <w:pPr>
              <w:spacing w:after="0" w:line="240" w:lineRule="auto"/>
              <w:rPr>
                <w:rFonts w:ascii="Times New Roman" w:hAnsi="Times New Roman" w:cs="Times New Roman"/>
              </w:rPr>
            </w:pPr>
          </w:p>
        </w:tc>
        <w:tc>
          <w:tcPr>
            <w:tcW w:w="1134" w:type="dxa"/>
          </w:tcPr>
          <w:p w14:paraId="29433B12" w14:textId="77777777" w:rsidR="00B52502" w:rsidRPr="002F1924" w:rsidRDefault="00B52502" w:rsidP="008A6EE7">
            <w:pPr>
              <w:spacing w:after="0" w:line="240" w:lineRule="auto"/>
              <w:rPr>
                <w:rFonts w:ascii="Times New Roman" w:hAnsi="Times New Roman" w:cs="Times New Roman"/>
              </w:rPr>
            </w:pPr>
          </w:p>
        </w:tc>
      </w:tr>
      <w:tr w:rsidR="00B52502" w:rsidRPr="002F1924" w14:paraId="28AD23B2" w14:textId="77777777" w:rsidTr="0009645E">
        <w:tc>
          <w:tcPr>
            <w:tcW w:w="1526" w:type="dxa"/>
          </w:tcPr>
          <w:p w14:paraId="494F4787"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Psychické poruchy</w:t>
            </w:r>
          </w:p>
        </w:tc>
        <w:tc>
          <w:tcPr>
            <w:tcW w:w="992" w:type="dxa"/>
          </w:tcPr>
          <w:p w14:paraId="0177D014" w14:textId="77777777" w:rsidR="00B52502" w:rsidRPr="002F1924" w:rsidRDefault="00B52502" w:rsidP="008A6EE7">
            <w:pPr>
              <w:spacing w:after="0" w:line="240" w:lineRule="auto"/>
              <w:rPr>
                <w:rFonts w:ascii="Times New Roman" w:hAnsi="Times New Roman" w:cs="Times New Roman"/>
              </w:rPr>
            </w:pPr>
          </w:p>
        </w:tc>
        <w:tc>
          <w:tcPr>
            <w:tcW w:w="1418" w:type="dxa"/>
          </w:tcPr>
          <w:p w14:paraId="6C762E0F"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zmeny nálad, depresia, poruchy spánku</w:t>
            </w:r>
          </w:p>
        </w:tc>
        <w:tc>
          <w:tcPr>
            <w:tcW w:w="1701" w:type="dxa"/>
          </w:tcPr>
          <w:p w14:paraId="0CD1E865" w14:textId="77777777" w:rsidR="00B52502" w:rsidRPr="002F1924" w:rsidRDefault="00B52502" w:rsidP="008A6EE7">
            <w:pPr>
              <w:spacing w:after="0" w:line="240" w:lineRule="auto"/>
              <w:rPr>
                <w:rFonts w:ascii="Times New Roman" w:hAnsi="Times New Roman" w:cs="Times New Roman"/>
              </w:rPr>
            </w:pPr>
          </w:p>
        </w:tc>
        <w:tc>
          <w:tcPr>
            <w:tcW w:w="1417" w:type="dxa"/>
          </w:tcPr>
          <w:p w14:paraId="6BCD1BC4" w14:textId="77777777" w:rsidR="00B52502" w:rsidRPr="002F1924" w:rsidRDefault="00B52502" w:rsidP="008A6EE7">
            <w:pPr>
              <w:spacing w:after="0" w:line="240" w:lineRule="auto"/>
              <w:rPr>
                <w:rFonts w:ascii="Times New Roman" w:hAnsi="Times New Roman" w:cs="Times New Roman"/>
              </w:rPr>
            </w:pPr>
          </w:p>
        </w:tc>
        <w:tc>
          <w:tcPr>
            <w:tcW w:w="1276" w:type="dxa"/>
          </w:tcPr>
          <w:p w14:paraId="36AF2D6F" w14:textId="77777777" w:rsidR="00B52502" w:rsidRPr="002F1924" w:rsidRDefault="00B52502" w:rsidP="008A6EE7">
            <w:pPr>
              <w:spacing w:after="0" w:line="240" w:lineRule="auto"/>
              <w:rPr>
                <w:rFonts w:ascii="Times New Roman" w:hAnsi="Times New Roman" w:cs="Times New Roman"/>
              </w:rPr>
            </w:pPr>
          </w:p>
        </w:tc>
        <w:tc>
          <w:tcPr>
            <w:tcW w:w="1134" w:type="dxa"/>
          </w:tcPr>
          <w:p w14:paraId="796EBF48" w14:textId="77777777" w:rsidR="00B52502" w:rsidRPr="002F1924" w:rsidRDefault="00B52502" w:rsidP="008A6EE7">
            <w:pPr>
              <w:spacing w:after="0" w:line="240" w:lineRule="auto"/>
              <w:rPr>
                <w:rFonts w:ascii="Times New Roman" w:hAnsi="Times New Roman" w:cs="Times New Roman"/>
              </w:rPr>
            </w:pPr>
          </w:p>
        </w:tc>
      </w:tr>
      <w:tr w:rsidR="00B52502" w:rsidRPr="002F1924" w14:paraId="598B38F3" w14:textId="77777777" w:rsidTr="0009645E">
        <w:tc>
          <w:tcPr>
            <w:tcW w:w="1526" w:type="dxa"/>
          </w:tcPr>
          <w:p w14:paraId="153F24EE"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Poruchy nervového systému</w:t>
            </w:r>
          </w:p>
        </w:tc>
        <w:tc>
          <w:tcPr>
            <w:tcW w:w="992" w:type="dxa"/>
          </w:tcPr>
          <w:p w14:paraId="327879F5" w14:textId="77777777" w:rsidR="00B52502" w:rsidRPr="002F1924" w:rsidRDefault="00B52502" w:rsidP="008A6EE7">
            <w:pPr>
              <w:spacing w:after="0" w:line="240" w:lineRule="auto"/>
              <w:rPr>
                <w:rFonts w:ascii="Times New Roman" w:hAnsi="Times New Roman" w:cs="Times New Roman"/>
              </w:rPr>
            </w:pPr>
          </w:p>
        </w:tc>
        <w:tc>
          <w:tcPr>
            <w:tcW w:w="1418" w:type="dxa"/>
          </w:tcPr>
          <w:p w14:paraId="52EB6805"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bolesť hlavy, parestézia</w:t>
            </w:r>
          </w:p>
        </w:tc>
        <w:tc>
          <w:tcPr>
            <w:tcW w:w="1701" w:type="dxa"/>
          </w:tcPr>
          <w:p w14:paraId="2C02749D" w14:textId="77777777" w:rsidR="00B52502" w:rsidRPr="002F1924" w:rsidRDefault="00B52502" w:rsidP="008A6EE7">
            <w:pPr>
              <w:spacing w:after="0" w:line="240" w:lineRule="auto"/>
              <w:rPr>
                <w:rFonts w:ascii="Times New Roman" w:hAnsi="Times New Roman" w:cs="Times New Roman"/>
              </w:rPr>
            </w:pPr>
          </w:p>
        </w:tc>
        <w:tc>
          <w:tcPr>
            <w:tcW w:w="1417" w:type="dxa"/>
          </w:tcPr>
          <w:p w14:paraId="75407AFB"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vertigo, prechodná dysgeúzia</w:t>
            </w:r>
          </w:p>
        </w:tc>
        <w:tc>
          <w:tcPr>
            <w:tcW w:w="1276" w:type="dxa"/>
          </w:tcPr>
          <w:p w14:paraId="45BAE81E" w14:textId="222A21C4" w:rsidR="00B52502" w:rsidRPr="002F1924" w:rsidRDefault="00B52502" w:rsidP="007470BC">
            <w:pPr>
              <w:spacing w:after="0" w:line="240" w:lineRule="auto"/>
              <w:rPr>
                <w:rFonts w:ascii="Times New Roman" w:hAnsi="Times New Roman" w:cs="Times New Roman"/>
              </w:rPr>
            </w:pPr>
            <w:r w:rsidRPr="002F1924">
              <w:rPr>
                <w:rFonts w:ascii="Times New Roman" w:hAnsi="Times New Roman" w:cs="Times New Roman"/>
              </w:rPr>
              <w:t xml:space="preserve">Tak ako aj pri iných liekoch v tejto skupine liečiv, boli zaznamenané </w:t>
            </w:r>
            <w:r w:rsidR="007470BC" w:rsidRPr="002F1924">
              <w:rPr>
                <w:rFonts w:ascii="Times New Roman" w:hAnsi="Times New Roman" w:cs="Times New Roman"/>
              </w:rPr>
              <w:t xml:space="preserve">hlásenia </w:t>
            </w:r>
            <w:r w:rsidRPr="002F1924">
              <w:rPr>
                <w:rFonts w:ascii="Times New Roman" w:hAnsi="Times New Roman" w:cs="Times New Roman"/>
              </w:rPr>
              <w:t>o veľmi zriedka-vých prípadoch výskytu apoplexie hypofýzy po úvodnom podaní leuprorelí-nu u pacientov s adenó-mom hypofýzy.</w:t>
            </w:r>
          </w:p>
        </w:tc>
        <w:tc>
          <w:tcPr>
            <w:tcW w:w="1134" w:type="dxa"/>
          </w:tcPr>
          <w:p w14:paraId="2E67A755"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kŕče</w:t>
            </w:r>
          </w:p>
        </w:tc>
      </w:tr>
      <w:tr w:rsidR="00B52502" w:rsidRPr="002F1924" w14:paraId="3C9552CC" w14:textId="77777777" w:rsidTr="0009645E">
        <w:tc>
          <w:tcPr>
            <w:tcW w:w="1526" w:type="dxa"/>
          </w:tcPr>
          <w:p w14:paraId="4D14B0A5" w14:textId="77777777" w:rsidR="00B52502" w:rsidRPr="002F1924" w:rsidRDefault="00B52502" w:rsidP="008A6EE7">
            <w:pPr>
              <w:spacing w:after="0" w:line="240" w:lineRule="auto"/>
              <w:rPr>
                <w:rFonts w:ascii="Times New Roman" w:hAnsi="Times New Roman" w:cs="Times New Roman"/>
                <w:b/>
              </w:rPr>
            </w:pPr>
            <w:r w:rsidRPr="002F1924">
              <w:rPr>
                <w:rFonts w:ascii="Times New Roman" w:hAnsi="Times New Roman" w:cs="Times New Roman"/>
                <w:b/>
              </w:rPr>
              <w:t>Poruchy srdca a srdcovej činnosti</w:t>
            </w:r>
          </w:p>
        </w:tc>
        <w:tc>
          <w:tcPr>
            <w:tcW w:w="992" w:type="dxa"/>
          </w:tcPr>
          <w:p w14:paraId="2DC99923" w14:textId="77777777" w:rsidR="00B52502" w:rsidRPr="002F1924" w:rsidRDefault="00B52502" w:rsidP="008A6EE7">
            <w:pPr>
              <w:spacing w:after="0" w:line="240" w:lineRule="auto"/>
              <w:rPr>
                <w:rFonts w:ascii="Times New Roman" w:hAnsi="Times New Roman" w:cs="Times New Roman"/>
              </w:rPr>
            </w:pPr>
          </w:p>
        </w:tc>
        <w:tc>
          <w:tcPr>
            <w:tcW w:w="1418" w:type="dxa"/>
          </w:tcPr>
          <w:p w14:paraId="2A049C79" w14:textId="77777777" w:rsidR="00B52502" w:rsidRPr="002F1924" w:rsidRDefault="00B52502" w:rsidP="008A6EE7">
            <w:pPr>
              <w:spacing w:after="0" w:line="240" w:lineRule="auto"/>
              <w:rPr>
                <w:rFonts w:ascii="Times New Roman" w:hAnsi="Times New Roman" w:cs="Times New Roman"/>
              </w:rPr>
            </w:pPr>
          </w:p>
        </w:tc>
        <w:tc>
          <w:tcPr>
            <w:tcW w:w="1701" w:type="dxa"/>
          </w:tcPr>
          <w:p w14:paraId="0DF38FBF" w14:textId="77777777" w:rsidR="00B52502" w:rsidRPr="002F1924" w:rsidRDefault="00B52502" w:rsidP="008A6EE7">
            <w:pPr>
              <w:spacing w:after="0" w:line="240" w:lineRule="auto"/>
              <w:rPr>
                <w:rFonts w:ascii="Times New Roman" w:hAnsi="Times New Roman" w:cs="Times New Roman"/>
              </w:rPr>
            </w:pPr>
          </w:p>
        </w:tc>
        <w:tc>
          <w:tcPr>
            <w:tcW w:w="1417" w:type="dxa"/>
          </w:tcPr>
          <w:p w14:paraId="53DE584B" w14:textId="77777777" w:rsidR="00B52502" w:rsidRPr="002F1924" w:rsidRDefault="00B52502" w:rsidP="008A6EE7">
            <w:pPr>
              <w:spacing w:after="0" w:line="240" w:lineRule="auto"/>
              <w:rPr>
                <w:rFonts w:ascii="Times New Roman" w:hAnsi="Times New Roman" w:cs="Times New Roman"/>
              </w:rPr>
            </w:pPr>
          </w:p>
        </w:tc>
        <w:tc>
          <w:tcPr>
            <w:tcW w:w="1276" w:type="dxa"/>
          </w:tcPr>
          <w:p w14:paraId="13EE2125" w14:textId="77777777" w:rsidR="00B52502" w:rsidRPr="002F1924" w:rsidRDefault="00B52502" w:rsidP="008A6EE7">
            <w:pPr>
              <w:spacing w:after="0" w:line="240" w:lineRule="auto"/>
              <w:rPr>
                <w:rFonts w:ascii="Times New Roman" w:hAnsi="Times New Roman" w:cs="Times New Roman"/>
              </w:rPr>
            </w:pPr>
          </w:p>
        </w:tc>
        <w:tc>
          <w:tcPr>
            <w:tcW w:w="1134" w:type="dxa"/>
          </w:tcPr>
          <w:p w14:paraId="317A517F"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predĺže-nie QT intervalu (pozri časti 4.4 a 4.5)</w:t>
            </w:r>
          </w:p>
        </w:tc>
      </w:tr>
      <w:tr w:rsidR="00B52502" w:rsidRPr="002F1924" w14:paraId="18002758" w14:textId="77777777" w:rsidTr="0009645E">
        <w:tc>
          <w:tcPr>
            <w:tcW w:w="1526" w:type="dxa"/>
          </w:tcPr>
          <w:p w14:paraId="479637E5"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rPr>
              <w:t>Poruchy ciev</w:t>
            </w:r>
          </w:p>
        </w:tc>
        <w:tc>
          <w:tcPr>
            <w:tcW w:w="992" w:type="dxa"/>
          </w:tcPr>
          <w:p w14:paraId="68EB3996"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návaly horúča-vy</w:t>
            </w:r>
          </w:p>
        </w:tc>
        <w:tc>
          <w:tcPr>
            <w:tcW w:w="1418" w:type="dxa"/>
          </w:tcPr>
          <w:p w14:paraId="230D10D3" w14:textId="77777777" w:rsidR="00B52502" w:rsidRPr="002F1924" w:rsidRDefault="00B52502" w:rsidP="008A6EE7">
            <w:pPr>
              <w:spacing w:after="0" w:line="240" w:lineRule="auto"/>
              <w:rPr>
                <w:rFonts w:ascii="Times New Roman" w:hAnsi="Times New Roman" w:cs="Times New Roman"/>
              </w:rPr>
            </w:pPr>
          </w:p>
        </w:tc>
        <w:tc>
          <w:tcPr>
            <w:tcW w:w="1701" w:type="dxa"/>
          </w:tcPr>
          <w:p w14:paraId="474B469E" w14:textId="77777777" w:rsidR="00B52502" w:rsidRPr="002F1924" w:rsidRDefault="00B52502" w:rsidP="008A6EE7">
            <w:pPr>
              <w:spacing w:after="0" w:line="240" w:lineRule="auto"/>
              <w:rPr>
                <w:rFonts w:ascii="Times New Roman" w:hAnsi="Times New Roman" w:cs="Times New Roman"/>
              </w:rPr>
            </w:pPr>
          </w:p>
        </w:tc>
        <w:tc>
          <w:tcPr>
            <w:tcW w:w="1417" w:type="dxa"/>
          </w:tcPr>
          <w:p w14:paraId="2DE0FEAE"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noProof/>
              </w:rPr>
              <w:t>zmeny hodnôt krvného tlaku</w:t>
            </w:r>
            <w:r w:rsidRPr="002F1924">
              <w:rPr>
                <w:rFonts w:ascii="Times New Roman" w:hAnsi="Times New Roman" w:cs="Times New Roman"/>
              </w:rPr>
              <w:t xml:space="preserve"> </w:t>
            </w:r>
            <w:r w:rsidRPr="002F1924">
              <w:rPr>
                <w:rFonts w:ascii="Times New Roman" w:hAnsi="Times New Roman" w:cs="Times New Roman"/>
              </w:rPr>
              <w:lastRenderedPageBreak/>
              <w:t>(hypertenzia alebo hypotenzia), trombóza</w:t>
            </w:r>
          </w:p>
        </w:tc>
        <w:tc>
          <w:tcPr>
            <w:tcW w:w="1276" w:type="dxa"/>
          </w:tcPr>
          <w:p w14:paraId="2B97268A" w14:textId="77777777" w:rsidR="00B52502" w:rsidRPr="002F1924" w:rsidRDefault="00B52502" w:rsidP="008A6EE7">
            <w:pPr>
              <w:spacing w:after="0" w:line="240" w:lineRule="auto"/>
              <w:rPr>
                <w:rFonts w:ascii="Times New Roman" w:hAnsi="Times New Roman" w:cs="Times New Roman"/>
              </w:rPr>
            </w:pPr>
          </w:p>
        </w:tc>
        <w:tc>
          <w:tcPr>
            <w:tcW w:w="1134" w:type="dxa"/>
          </w:tcPr>
          <w:p w14:paraId="60AE40FE" w14:textId="77777777" w:rsidR="00B52502" w:rsidRPr="002F1924" w:rsidRDefault="00B52502" w:rsidP="008A6EE7">
            <w:pPr>
              <w:spacing w:after="0" w:line="240" w:lineRule="auto"/>
              <w:rPr>
                <w:rFonts w:ascii="Times New Roman" w:hAnsi="Times New Roman" w:cs="Times New Roman"/>
              </w:rPr>
            </w:pPr>
          </w:p>
        </w:tc>
      </w:tr>
      <w:tr w:rsidR="00B52502" w:rsidRPr="002F1924" w14:paraId="4B558224" w14:textId="77777777" w:rsidTr="0009645E">
        <w:tc>
          <w:tcPr>
            <w:tcW w:w="1526" w:type="dxa"/>
          </w:tcPr>
          <w:p w14:paraId="58F210FE"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bCs/>
                <w:noProof/>
              </w:rPr>
              <w:lastRenderedPageBreak/>
              <w:t>Poruchy dýchacej sústavy, hrudníka a mediastína</w:t>
            </w:r>
          </w:p>
        </w:tc>
        <w:tc>
          <w:tcPr>
            <w:tcW w:w="992" w:type="dxa"/>
          </w:tcPr>
          <w:p w14:paraId="5982B8B0" w14:textId="77777777" w:rsidR="00B52502" w:rsidRPr="002F1924" w:rsidRDefault="00B52502" w:rsidP="008A6EE7">
            <w:pPr>
              <w:spacing w:after="0" w:line="240" w:lineRule="auto"/>
              <w:rPr>
                <w:rFonts w:ascii="Times New Roman" w:hAnsi="Times New Roman" w:cs="Times New Roman"/>
              </w:rPr>
            </w:pPr>
          </w:p>
        </w:tc>
        <w:tc>
          <w:tcPr>
            <w:tcW w:w="1418" w:type="dxa"/>
          </w:tcPr>
          <w:p w14:paraId="06F41EAB" w14:textId="77777777" w:rsidR="00B52502" w:rsidRPr="002F1924" w:rsidRDefault="00B52502" w:rsidP="008A6EE7">
            <w:pPr>
              <w:spacing w:after="0" w:line="240" w:lineRule="auto"/>
              <w:rPr>
                <w:rFonts w:ascii="Times New Roman" w:hAnsi="Times New Roman" w:cs="Times New Roman"/>
              </w:rPr>
            </w:pPr>
          </w:p>
        </w:tc>
        <w:tc>
          <w:tcPr>
            <w:tcW w:w="1701" w:type="dxa"/>
          </w:tcPr>
          <w:p w14:paraId="5E493AB8" w14:textId="77777777" w:rsidR="00B52502" w:rsidRPr="002F1924" w:rsidRDefault="00B52502" w:rsidP="008A6EE7">
            <w:pPr>
              <w:spacing w:after="0" w:line="240" w:lineRule="auto"/>
              <w:rPr>
                <w:rFonts w:ascii="Times New Roman" w:hAnsi="Times New Roman" w:cs="Times New Roman"/>
              </w:rPr>
            </w:pPr>
          </w:p>
        </w:tc>
        <w:tc>
          <w:tcPr>
            <w:tcW w:w="1417" w:type="dxa"/>
          </w:tcPr>
          <w:p w14:paraId="3A5E9251"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pľúcna embólia</w:t>
            </w:r>
          </w:p>
        </w:tc>
        <w:tc>
          <w:tcPr>
            <w:tcW w:w="1276" w:type="dxa"/>
          </w:tcPr>
          <w:p w14:paraId="591FEF5D" w14:textId="77777777" w:rsidR="00B52502" w:rsidRPr="002F1924" w:rsidRDefault="00B52502" w:rsidP="008A6EE7">
            <w:pPr>
              <w:spacing w:after="0" w:line="240" w:lineRule="auto"/>
              <w:rPr>
                <w:rFonts w:ascii="Times New Roman" w:hAnsi="Times New Roman" w:cs="Times New Roman"/>
              </w:rPr>
            </w:pPr>
          </w:p>
        </w:tc>
        <w:tc>
          <w:tcPr>
            <w:tcW w:w="1134" w:type="dxa"/>
          </w:tcPr>
          <w:p w14:paraId="392E96A1"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intersti-ciálne ochorenie pľúc</w:t>
            </w:r>
          </w:p>
        </w:tc>
      </w:tr>
      <w:tr w:rsidR="00B52502" w:rsidRPr="002F1924" w14:paraId="7D607B5B" w14:textId="77777777" w:rsidTr="0009645E">
        <w:tc>
          <w:tcPr>
            <w:tcW w:w="1526" w:type="dxa"/>
          </w:tcPr>
          <w:p w14:paraId="2A6E8F3F"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b/>
                <w:bCs/>
                <w:noProof/>
              </w:rPr>
              <w:t>Poruchy gastrointestinálneho traktu</w:t>
            </w:r>
          </w:p>
        </w:tc>
        <w:tc>
          <w:tcPr>
            <w:tcW w:w="992" w:type="dxa"/>
          </w:tcPr>
          <w:p w14:paraId="6E7A3A80" w14:textId="77777777" w:rsidR="00B52502" w:rsidRPr="002F1924" w:rsidRDefault="00B52502" w:rsidP="008A6EE7">
            <w:pPr>
              <w:spacing w:after="0" w:line="240" w:lineRule="auto"/>
              <w:rPr>
                <w:rFonts w:ascii="Times New Roman" w:hAnsi="Times New Roman" w:cs="Times New Roman"/>
              </w:rPr>
            </w:pPr>
          </w:p>
        </w:tc>
        <w:tc>
          <w:tcPr>
            <w:tcW w:w="1418" w:type="dxa"/>
          </w:tcPr>
          <w:p w14:paraId="62233FCD"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nauzea/</w:t>
            </w:r>
          </w:p>
          <w:p w14:paraId="7D538CB0"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vracanie</w:t>
            </w:r>
          </w:p>
        </w:tc>
        <w:tc>
          <w:tcPr>
            <w:tcW w:w="1701" w:type="dxa"/>
          </w:tcPr>
          <w:p w14:paraId="09492763"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noProof/>
              </w:rPr>
              <w:t>hnačka</w:t>
            </w:r>
          </w:p>
        </w:tc>
        <w:tc>
          <w:tcPr>
            <w:tcW w:w="1417" w:type="dxa"/>
          </w:tcPr>
          <w:p w14:paraId="5678C6B9" w14:textId="77777777" w:rsidR="00B52502" w:rsidRPr="002F1924" w:rsidRDefault="00B52502" w:rsidP="008A6EE7">
            <w:pPr>
              <w:spacing w:after="0" w:line="240" w:lineRule="auto"/>
              <w:rPr>
                <w:rFonts w:ascii="Times New Roman" w:hAnsi="Times New Roman" w:cs="Times New Roman"/>
              </w:rPr>
            </w:pPr>
          </w:p>
        </w:tc>
        <w:tc>
          <w:tcPr>
            <w:tcW w:w="1276" w:type="dxa"/>
          </w:tcPr>
          <w:p w14:paraId="726C852A" w14:textId="77777777" w:rsidR="00B52502" w:rsidRPr="002F1924" w:rsidRDefault="00B52502" w:rsidP="008A6EE7">
            <w:pPr>
              <w:spacing w:after="0" w:line="240" w:lineRule="auto"/>
              <w:rPr>
                <w:rFonts w:ascii="Times New Roman" w:hAnsi="Times New Roman" w:cs="Times New Roman"/>
              </w:rPr>
            </w:pPr>
          </w:p>
        </w:tc>
        <w:tc>
          <w:tcPr>
            <w:tcW w:w="1134" w:type="dxa"/>
          </w:tcPr>
          <w:p w14:paraId="483D93EB" w14:textId="77777777" w:rsidR="00B52502" w:rsidRPr="002F1924" w:rsidRDefault="00B52502" w:rsidP="008A6EE7">
            <w:pPr>
              <w:spacing w:after="0" w:line="240" w:lineRule="auto"/>
              <w:rPr>
                <w:rFonts w:ascii="Times New Roman" w:hAnsi="Times New Roman" w:cs="Times New Roman"/>
              </w:rPr>
            </w:pPr>
          </w:p>
        </w:tc>
      </w:tr>
      <w:tr w:rsidR="00B52502" w:rsidRPr="002F1924" w14:paraId="498DFBCE" w14:textId="77777777" w:rsidTr="0009645E">
        <w:tc>
          <w:tcPr>
            <w:tcW w:w="1526" w:type="dxa"/>
          </w:tcPr>
          <w:p w14:paraId="79693BDB" w14:textId="77777777" w:rsidR="00B52502" w:rsidRPr="002F1924" w:rsidRDefault="00B52502" w:rsidP="008A6EE7">
            <w:pPr>
              <w:spacing w:after="0" w:line="240" w:lineRule="auto"/>
              <w:rPr>
                <w:rFonts w:ascii="Times New Roman" w:hAnsi="Times New Roman" w:cs="Times New Roman"/>
                <w:b/>
                <w:bCs/>
                <w:noProof/>
              </w:rPr>
            </w:pPr>
            <w:r w:rsidRPr="002F1924">
              <w:rPr>
                <w:rFonts w:ascii="Times New Roman" w:hAnsi="Times New Roman" w:cs="Times New Roman"/>
                <w:b/>
                <w:bCs/>
                <w:noProof/>
              </w:rPr>
              <w:t>Poruchy kože a podkožného tkaniva</w:t>
            </w:r>
          </w:p>
        </w:tc>
        <w:tc>
          <w:tcPr>
            <w:tcW w:w="992" w:type="dxa"/>
          </w:tcPr>
          <w:p w14:paraId="552A2CAE" w14:textId="77777777" w:rsidR="00B52502" w:rsidRPr="002F1924" w:rsidRDefault="00B52502" w:rsidP="008A6EE7">
            <w:pPr>
              <w:spacing w:after="0" w:line="240" w:lineRule="auto"/>
              <w:rPr>
                <w:rFonts w:ascii="Times New Roman" w:hAnsi="Times New Roman" w:cs="Times New Roman"/>
              </w:rPr>
            </w:pPr>
          </w:p>
        </w:tc>
        <w:tc>
          <w:tcPr>
            <w:tcW w:w="1418" w:type="dxa"/>
          </w:tcPr>
          <w:p w14:paraId="4E00ED3F" w14:textId="77777777" w:rsidR="00B52502" w:rsidRPr="002F1924" w:rsidRDefault="00B52502" w:rsidP="008A6EE7">
            <w:pPr>
              <w:spacing w:after="0" w:line="240" w:lineRule="auto"/>
              <w:rPr>
                <w:rFonts w:ascii="Times New Roman" w:hAnsi="Times New Roman" w:cs="Times New Roman"/>
              </w:rPr>
            </w:pPr>
          </w:p>
        </w:tc>
        <w:tc>
          <w:tcPr>
            <w:tcW w:w="1701" w:type="dxa"/>
          </w:tcPr>
          <w:p w14:paraId="149A6228" w14:textId="77777777" w:rsidR="00B52502" w:rsidRPr="002F1924" w:rsidRDefault="00B52502" w:rsidP="008A6EE7">
            <w:pPr>
              <w:spacing w:after="0" w:line="240" w:lineRule="auto"/>
              <w:rPr>
                <w:rFonts w:ascii="Times New Roman" w:hAnsi="Times New Roman" w:cs="Times New Roman"/>
                <w:noProof/>
              </w:rPr>
            </w:pPr>
            <w:r w:rsidRPr="002F1924">
              <w:rPr>
                <w:rFonts w:ascii="Times New Roman" w:hAnsi="Times New Roman" w:cs="Times New Roman"/>
                <w:noProof/>
              </w:rPr>
              <w:t>suchosť kože a slizníc, nočné potenie</w:t>
            </w:r>
          </w:p>
        </w:tc>
        <w:tc>
          <w:tcPr>
            <w:tcW w:w="1417" w:type="dxa"/>
          </w:tcPr>
          <w:p w14:paraId="01B44AF6"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alopécia</w:t>
            </w:r>
          </w:p>
        </w:tc>
        <w:tc>
          <w:tcPr>
            <w:tcW w:w="1276" w:type="dxa"/>
          </w:tcPr>
          <w:p w14:paraId="7CAC7C35" w14:textId="77777777" w:rsidR="00B52502" w:rsidRPr="002F1924" w:rsidRDefault="00B52502" w:rsidP="008A6EE7">
            <w:pPr>
              <w:spacing w:after="0" w:line="240" w:lineRule="auto"/>
              <w:rPr>
                <w:rFonts w:ascii="Times New Roman" w:hAnsi="Times New Roman" w:cs="Times New Roman"/>
              </w:rPr>
            </w:pPr>
          </w:p>
        </w:tc>
        <w:tc>
          <w:tcPr>
            <w:tcW w:w="1134" w:type="dxa"/>
          </w:tcPr>
          <w:p w14:paraId="0025E9FB" w14:textId="77777777" w:rsidR="00B52502" w:rsidRPr="002F1924" w:rsidRDefault="00B52502" w:rsidP="008A6EE7">
            <w:pPr>
              <w:spacing w:after="0" w:line="240" w:lineRule="auto"/>
              <w:rPr>
                <w:rFonts w:ascii="Times New Roman" w:hAnsi="Times New Roman" w:cs="Times New Roman"/>
              </w:rPr>
            </w:pPr>
          </w:p>
        </w:tc>
      </w:tr>
      <w:tr w:rsidR="00B52502" w:rsidRPr="002F1924" w14:paraId="756360FF" w14:textId="77777777" w:rsidTr="0009645E">
        <w:tc>
          <w:tcPr>
            <w:tcW w:w="1526" w:type="dxa"/>
          </w:tcPr>
          <w:p w14:paraId="6701DB76" w14:textId="77777777" w:rsidR="00B52502" w:rsidRPr="002F1924" w:rsidRDefault="00B52502" w:rsidP="008A6EE7">
            <w:pPr>
              <w:spacing w:after="0" w:line="240" w:lineRule="auto"/>
              <w:rPr>
                <w:rFonts w:ascii="Times New Roman" w:hAnsi="Times New Roman" w:cs="Times New Roman"/>
                <w:b/>
                <w:bCs/>
                <w:noProof/>
              </w:rPr>
            </w:pPr>
            <w:r w:rsidRPr="002F1924">
              <w:rPr>
                <w:rFonts w:ascii="Times New Roman" w:hAnsi="Times New Roman" w:cs="Times New Roman"/>
                <w:b/>
                <w:bCs/>
                <w:noProof/>
              </w:rPr>
              <w:t>Poruchy kostrovej a svalovej sústavy a spojivového tkaniva</w:t>
            </w:r>
          </w:p>
        </w:tc>
        <w:tc>
          <w:tcPr>
            <w:tcW w:w="992" w:type="dxa"/>
          </w:tcPr>
          <w:p w14:paraId="4D4D2CFC"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bolesť kostí</w:t>
            </w:r>
          </w:p>
        </w:tc>
        <w:tc>
          <w:tcPr>
            <w:tcW w:w="1418" w:type="dxa"/>
          </w:tcPr>
          <w:p w14:paraId="24C3A7B3"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bolesť kĺbov a/alebo chrbta, myasténia </w:t>
            </w:r>
          </w:p>
        </w:tc>
        <w:tc>
          <w:tcPr>
            <w:tcW w:w="1701" w:type="dxa"/>
          </w:tcPr>
          <w:p w14:paraId="010543F1" w14:textId="77777777" w:rsidR="00B52502" w:rsidRPr="002F1924" w:rsidRDefault="00B52502" w:rsidP="008A6EE7">
            <w:pPr>
              <w:spacing w:after="0" w:line="240" w:lineRule="auto"/>
              <w:rPr>
                <w:rFonts w:ascii="Times New Roman" w:hAnsi="Times New Roman" w:cs="Times New Roman"/>
                <w:noProof/>
              </w:rPr>
            </w:pPr>
          </w:p>
        </w:tc>
        <w:tc>
          <w:tcPr>
            <w:tcW w:w="1417" w:type="dxa"/>
          </w:tcPr>
          <w:p w14:paraId="420C13B9" w14:textId="77777777" w:rsidR="00B52502" w:rsidRPr="002F1924" w:rsidRDefault="00B52502" w:rsidP="008A6EE7">
            <w:pPr>
              <w:spacing w:after="0" w:line="240" w:lineRule="auto"/>
              <w:rPr>
                <w:rFonts w:ascii="Times New Roman" w:hAnsi="Times New Roman" w:cs="Times New Roman"/>
              </w:rPr>
            </w:pPr>
          </w:p>
        </w:tc>
        <w:tc>
          <w:tcPr>
            <w:tcW w:w="1276" w:type="dxa"/>
          </w:tcPr>
          <w:p w14:paraId="645D6943" w14:textId="77777777" w:rsidR="00B52502" w:rsidRPr="002F1924" w:rsidRDefault="00B52502" w:rsidP="008A6EE7">
            <w:pPr>
              <w:spacing w:after="0" w:line="240" w:lineRule="auto"/>
              <w:rPr>
                <w:rFonts w:ascii="Times New Roman" w:hAnsi="Times New Roman" w:cs="Times New Roman"/>
              </w:rPr>
            </w:pPr>
          </w:p>
        </w:tc>
        <w:tc>
          <w:tcPr>
            <w:tcW w:w="1134" w:type="dxa"/>
          </w:tcPr>
          <w:p w14:paraId="6E9C1876" w14:textId="7AA1DFBB"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demine-ralizácia kostí</w:t>
            </w:r>
            <w:r w:rsidR="00DE12A6" w:rsidRPr="002F1924">
              <w:rPr>
                <w:rFonts w:ascii="Times New Roman" w:hAnsi="Times New Roman" w:cs="Times New Roman"/>
              </w:rPr>
              <w:t xml:space="preserve"> (pozri časť 4.4)</w:t>
            </w:r>
          </w:p>
        </w:tc>
      </w:tr>
      <w:tr w:rsidR="00B52502" w:rsidRPr="002F1924" w14:paraId="63FE4C77" w14:textId="77777777" w:rsidTr="0009645E">
        <w:tc>
          <w:tcPr>
            <w:tcW w:w="1526" w:type="dxa"/>
          </w:tcPr>
          <w:p w14:paraId="008D19D7" w14:textId="77777777" w:rsidR="00B52502" w:rsidRPr="002F1924" w:rsidRDefault="00B52502" w:rsidP="008A6EE7">
            <w:pPr>
              <w:spacing w:after="0" w:line="240" w:lineRule="auto"/>
              <w:rPr>
                <w:rFonts w:ascii="Times New Roman" w:hAnsi="Times New Roman" w:cs="Times New Roman"/>
                <w:b/>
                <w:bCs/>
                <w:noProof/>
              </w:rPr>
            </w:pPr>
            <w:r w:rsidRPr="002F1924">
              <w:rPr>
                <w:rFonts w:ascii="Times New Roman" w:hAnsi="Times New Roman" w:cs="Times New Roman"/>
                <w:b/>
                <w:bCs/>
                <w:noProof/>
              </w:rPr>
              <w:t>Poruchy obličiek a močových ciest</w:t>
            </w:r>
          </w:p>
        </w:tc>
        <w:tc>
          <w:tcPr>
            <w:tcW w:w="992" w:type="dxa"/>
          </w:tcPr>
          <w:p w14:paraId="402502AE" w14:textId="77777777" w:rsidR="00B52502" w:rsidRPr="002F1924" w:rsidRDefault="00B52502" w:rsidP="008A6EE7">
            <w:pPr>
              <w:spacing w:after="0" w:line="240" w:lineRule="auto"/>
              <w:rPr>
                <w:rFonts w:ascii="Times New Roman" w:hAnsi="Times New Roman" w:cs="Times New Roman"/>
              </w:rPr>
            </w:pPr>
          </w:p>
        </w:tc>
        <w:tc>
          <w:tcPr>
            <w:tcW w:w="1418" w:type="dxa"/>
          </w:tcPr>
          <w:p w14:paraId="66E4A22E"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noProof/>
              </w:rPr>
              <w:t>noktúria, dyzúria, polakizúria</w:t>
            </w:r>
          </w:p>
        </w:tc>
        <w:tc>
          <w:tcPr>
            <w:tcW w:w="1701" w:type="dxa"/>
          </w:tcPr>
          <w:p w14:paraId="6C2EA343" w14:textId="77777777" w:rsidR="00B52502" w:rsidRPr="002F1924" w:rsidRDefault="00B52502" w:rsidP="008A6EE7">
            <w:pPr>
              <w:spacing w:after="0" w:line="240" w:lineRule="auto"/>
              <w:rPr>
                <w:rFonts w:ascii="Times New Roman" w:hAnsi="Times New Roman" w:cs="Times New Roman"/>
                <w:noProof/>
              </w:rPr>
            </w:pPr>
            <w:r w:rsidRPr="002F1924">
              <w:rPr>
                <w:rFonts w:ascii="Times New Roman" w:hAnsi="Times New Roman" w:cs="Times New Roman"/>
                <w:noProof/>
              </w:rPr>
              <w:t>retencia moču</w:t>
            </w:r>
          </w:p>
        </w:tc>
        <w:tc>
          <w:tcPr>
            <w:tcW w:w="1417" w:type="dxa"/>
          </w:tcPr>
          <w:p w14:paraId="543A3866" w14:textId="77777777" w:rsidR="00B52502" w:rsidRPr="002F1924" w:rsidRDefault="00B52502" w:rsidP="008A6EE7">
            <w:pPr>
              <w:spacing w:after="0" w:line="240" w:lineRule="auto"/>
              <w:rPr>
                <w:rFonts w:ascii="Times New Roman" w:hAnsi="Times New Roman" w:cs="Times New Roman"/>
              </w:rPr>
            </w:pPr>
          </w:p>
        </w:tc>
        <w:tc>
          <w:tcPr>
            <w:tcW w:w="1276" w:type="dxa"/>
          </w:tcPr>
          <w:p w14:paraId="58929305" w14:textId="77777777" w:rsidR="00B52502" w:rsidRPr="002F1924" w:rsidRDefault="00B52502" w:rsidP="008A6EE7">
            <w:pPr>
              <w:spacing w:after="0" w:line="240" w:lineRule="auto"/>
              <w:rPr>
                <w:rFonts w:ascii="Times New Roman" w:hAnsi="Times New Roman" w:cs="Times New Roman"/>
              </w:rPr>
            </w:pPr>
          </w:p>
        </w:tc>
        <w:tc>
          <w:tcPr>
            <w:tcW w:w="1134" w:type="dxa"/>
          </w:tcPr>
          <w:p w14:paraId="0A1F0B39" w14:textId="77777777" w:rsidR="00B52502" w:rsidRPr="002F1924" w:rsidRDefault="00B52502" w:rsidP="008A6EE7">
            <w:pPr>
              <w:spacing w:after="0" w:line="240" w:lineRule="auto"/>
              <w:rPr>
                <w:rFonts w:ascii="Times New Roman" w:hAnsi="Times New Roman" w:cs="Times New Roman"/>
              </w:rPr>
            </w:pPr>
          </w:p>
        </w:tc>
      </w:tr>
      <w:tr w:rsidR="00B52502" w:rsidRPr="002F1924" w14:paraId="1179D986" w14:textId="77777777" w:rsidTr="0009645E">
        <w:tc>
          <w:tcPr>
            <w:tcW w:w="1526" w:type="dxa"/>
          </w:tcPr>
          <w:p w14:paraId="2DC86B5D" w14:textId="77777777" w:rsidR="00B52502" w:rsidRPr="002F1924" w:rsidRDefault="00B52502" w:rsidP="008A6EE7">
            <w:pPr>
              <w:spacing w:after="0" w:line="240" w:lineRule="auto"/>
              <w:rPr>
                <w:rFonts w:ascii="Times New Roman" w:hAnsi="Times New Roman" w:cs="Times New Roman"/>
                <w:b/>
                <w:bCs/>
                <w:noProof/>
              </w:rPr>
            </w:pPr>
            <w:r w:rsidRPr="002F1924">
              <w:rPr>
                <w:rFonts w:ascii="Times New Roman" w:hAnsi="Times New Roman" w:cs="Times New Roman"/>
                <w:b/>
                <w:bCs/>
                <w:noProof/>
              </w:rPr>
              <w:t>Poruchy reprodukčného systému a prsníkov</w:t>
            </w:r>
          </w:p>
        </w:tc>
        <w:tc>
          <w:tcPr>
            <w:tcW w:w="992" w:type="dxa"/>
          </w:tcPr>
          <w:p w14:paraId="7CCBAB78"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zníženie alebo strata libida a po-hlavnej schop-nosti, zmenše-nie seme-nníkov</w:t>
            </w:r>
          </w:p>
        </w:tc>
        <w:tc>
          <w:tcPr>
            <w:tcW w:w="1418" w:type="dxa"/>
          </w:tcPr>
          <w:p w14:paraId="2C7E0EE2"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gynekomas-tia</w:t>
            </w:r>
          </w:p>
        </w:tc>
        <w:tc>
          <w:tcPr>
            <w:tcW w:w="1701" w:type="dxa"/>
          </w:tcPr>
          <w:p w14:paraId="7B0DCA57" w14:textId="77777777" w:rsidR="00B52502" w:rsidRPr="002F1924" w:rsidRDefault="00B52502" w:rsidP="008A6EE7">
            <w:pPr>
              <w:spacing w:after="0" w:line="240" w:lineRule="auto"/>
              <w:rPr>
                <w:rFonts w:ascii="Times New Roman" w:hAnsi="Times New Roman" w:cs="Times New Roman"/>
                <w:noProof/>
              </w:rPr>
            </w:pPr>
            <w:r w:rsidRPr="002F1924">
              <w:rPr>
                <w:rFonts w:ascii="Times New Roman" w:hAnsi="Times New Roman" w:cs="Times New Roman"/>
                <w:noProof/>
              </w:rPr>
              <w:t>bolesť semmeníkov</w:t>
            </w:r>
          </w:p>
        </w:tc>
        <w:tc>
          <w:tcPr>
            <w:tcW w:w="1417" w:type="dxa"/>
          </w:tcPr>
          <w:p w14:paraId="5B186E6E" w14:textId="77777777" w:rsidR="00B52502" w:rsidRPr="002F1924" w:rsidRDefault="00B52502" w:rsidP="008A6EE7">
            <w:pPr>
              <w:spacing w:after="0" w:line="240" w:lineRule="auto"/>
              <w:rPr>
                <w:rFonts w:ascii="Times New Roman" w:hAnsi="Times New Roman" w:cs="Times New Roman"/>
              </w:rPr>
            </w:pPr>
          </w:p>
        </w:tc>
        <w:tc>
          <w:tcPr>
            <w:tcW w:w="1276" w:type="dxa"/>
          </w:tcPr>
          <w:p w14:paraId="5351517E" w14:textId="77777777" w:rsidR="00B52502" w:rsidRPr="002F1924" w:rsidRDefault="00B52502" w:rsidP="008A6EE7">
            <w:pPr>
              <w:spacing w:after="0" w:line="240" w:lineRule="auto"/>
              <w:rPr>
                <w:rFonts w:ascii="Times New Roman" w:hAnsi="Times New Roman" w:cs="Times New Roman"/>
              </w:rPr>
            </w:pPr>
          </w:p>
        </w:tc>
        <w:tc>
          <w:tcPr>
            <w:tcW w:w="1134" w:type="dxa"/>
          </w:tcPr>
          <w:p w14:paraId="71B03F50" w14:textId="77777777" w:rsidR="00B52502" w:rsidRPr="002F1924" w:rsidRDefault="00B52502" w:rsidP="008A6EE7">
            <w:pPr>
              <w:spacing w:after="0" w:line="240" w:lineRule="auto"/>
              <w:rPr>
                <w:rFonts w:ascii="Times New Roman" w:hAnsi="Times New Roman" w:cs="Times New Roman"/>
              </w:rPr>
            </w:pPr>
          </w:p>
        </w:tc>
      </w:tr>
      <w:tr w:rsidR="00B52502" w:rsidRPr="002F1924" w14:paraId="3595E9AE" w14:textId="77777777" w:rsidTr="0009645E">
        <w:tc>
          <w:tcPr>
            <w:tcW w:w="1526" w:type="dxa"/>
          </w:tcPr>
          <w:p w14:paraId="0A9AAE18" w14:textId="77777777" w:rsidR="00B52502" w:rsidRPr="002F1924" w:rsidRDefault="00B52502" w:rsidP="008A6EE7">
            <w:pPr>
              <w:spacing w:after="0" w:line="240" w:lineRule="auto"/>
              <w:rPr>
                <w:rFonts w:ascii="Times New Roman" w:hAnsi="Times New Roman" w:cs="Times New Roman"/>
                <w:b/>
                <w:bCs/>
                <w:noProof/>
              </w:rPr>
            </w:pPr>
            <w:r w:rsidRPr="002F1924">
              <w:rPr>
                <w:rFonts w:ascii="Times New Roman" w:hAnsi="Times New Roman" w:cs="Times New Roman"/>
                <w:b/>
                <w:bCs/>
                <w:noProof/>
              </w:rPr>
              <w:t>Celkové poruchy a reakcie v mieste podania</w:t>
            </w:r>
          </w:p>
        </w:tc>
        <w:tc>
          <w:tcPr>
            <w:tcW w:w="992" w:type="dxa"/>
          </w:tcPr>
          <w:p w14:paraId="6B157BF9"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zvýšené potenie, reakcie v mieste podania injekcie, napr. začer-venanie, bolesť, edém, svrbenie ktoré zvyčaj-ne vymiznú aj počas </w:t>
            </w:r>
            <w:r w:rsidRPr="002F1924">
              <w:rPr>
                <w:rFonts w:ascii="Times New Roman" w:hAnsi="Times New Roman" w:cs="Times New Roman"/>
              </w:rPr>
              <w:lastRenderedPageBreak/>
              <w:t>liečby.</w:t>
            </w:r>
          </w:p>
        </w:tc>
        <w:tc>
          <w:tcPr>
            <w:tcW w:w="1418" w:type="dxa"/>
          </w:tcPr>
          <w:p w14:paraId="3241F492"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lastRenderedPageBreak/>
              <w:t>únava, periférny edém</w:t>
            </w:r>
          </w:p>
        </w:tc>
        <w:tc>
          <w:tcPr>
            <w:tcW w:w="1701" w:type="dxa"/>
          </w:tcPr>
          <w:p w14:paraId="27505B49" w14:textId="77777777" w:rsidR="00B52502" w:rsidRPr="002F1924" w:rsidRDefault="00B52502" w:rsidP="008A6EE7">
            <w:pPr>
              <w:spacing w:after="0" w:line="240" w:lineRule="auto"/>
              <w:rPr>
                <w:rFonts w:ascii="Times New Roman" w:hAnsi="Times New Roman" w:cs="Times New Roman"/>
                <w:noProof/>
              </w:rPr>
            </w:pPr>
          </w:p>
        </w:tc>
        <w:tc>
          <w:tcPr>
            <w:tcW w:w="1417" w:type="dxa"/>
          </w:tcPr>
          <w:p w14:paraId="50CAB59E" w14:textId="77777777" w:rsidR="00B52502" w:rsidRPr="002F1924" w:rsidRDefault="00B52502" w:rsidP="008A6EE7">
            <w:pPr>
              <w:spacing w:after="0" w:line="240" w:lineRule="auto"/>
              <w:rPr>
                <w:rFonts w:ascii="Times New Roman" w:hAnsi="Times New Roman" w:cs="Times New Roman"/>
              </w:rPr>
            </w:pPr>
          </w:p>
        </w:tc>
        <w:tc>
          <w:tcPr>
            <w:tcW w:w="1276" w:type="dxa"/>
          </w:tcPr>
          <w:p w14:paraId="0BA64DC9" w14:textId="77777777" w:rsidR="00B52502" w:rsidRPr="002F1924" w:rsidRDefault="00B52502" w:rsidP="008A6EE7">
            <w:pPr>
              <w:spacing w:after="0" w:line="240" w:lineRule="auto"/>
              <w:rPr>
                <w:rFonts w:ascii="Times New Roman" w:hAnsi="Times New Roman" w:cs="Times New Roman"/>
              </w:rPr>
            </w:pPr>
          </w:p>
        </w:tc>
        <w:tc>
          <w:tcPr>
            <w:tcW w:w="1134" w:type="dxa"/>
          </w:tcPr>
          <w:p w14:paraId="0602D444" w14:textId="77777777" w:rsidR="00B52502" w:rsidRPr="002F1924" w:rsidRDefault="00B52502" w:rsidP="008A6EE7">
            <w:pPr>
              <w:spacing w:after="0" w:line="240" w:lineRule="auto"/>
              <w:rPr>
                <w:rFonts w:ascii="Times New Roman" w:hAnsi="Times New Roman" w:cs="Times New Roman"/>
              </w:rPr>
            </w:pPr>
          </w:p>
        </w:tc>
      </w:tr>
      <w:tr w:rsidR="00B52502" w:rsidRPr="002F1924" w14:paraId="4E788D4F" w14:textId="77777777" w:rsidTr="0009645E">
        <w:tc>
          <w:tcPr>
            <w:tcW w:w="1526" w:type="dxa"/>
          </w:tcPr>
          <w:p w14:paraId="53327BCC" w14:textId="77777777" w:rsidR="00B52502" w:rsidRPr="002F1924" w:rsidRDefault="00B52502" w:rsidP="008A6EE7">
            <w:pPr>
              <w:spacing w:after="0" w:line="240" w:lineRule="auto"/>
              <w:rPr>
                <w:rFonts w:ascii="Times New Roman" w:hAnsi="Times New Roman" w:cs="Times New Roman"/>
                <w:b/>
                <w:bCs/>
                <w:noProof/>
              </w:rPr>
            </w:pPr>
            <w:r w:rsidRPr="002F1924">
              <w:rPr>
                <w:rFonts w:ascii="Times New Roman" w:hAnsi="Times New Roman" w:cs="Times New Roman"/>
                <w:b/>
                <w:bCs/>
                <w:noProof/>
              </w:rPr>
              <w:lastRenderedPageBreak/>
              <w:t>Laboratórne a funkčné vyšetrenia</w:t>
            </w:r>
          </w:p>
        </w:tc>
        <w:tc>
          <w:tcPr>
            <w:tcW w:w="992" w:type="dxa"/>
          </w:tcPr>
          <w:p w14:paraId="52C414CE"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nárast telesnej hmot-nosti</w:t>
            </w:r>
          </w:p>
        </w:tc>
        <w:tc>
          <w:tcPr>
            <w:tcW w:w="1418" w:type="dxa"/>
          </w:tcPr>
          <w:p w14:paraId="475EF88E"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úbytok telesnej hmotnosti, zvýšenie hladín LDH, transamináz (ALT, AST), gama glutamyl-transferázy a alkalickej fosfatázy, ktoré môže byť aj prejavom základného ochorenia</w:t>
            </w:r>
          </w:p>
        </w:tc>
        <w:tc>
          <w:tcPr>
            <w:tcW w:w="1701" w:type="dxa"/>
          </w:tcPr>
          <w:p w14:paraId="217231A2" w14:textId="77777777" w:rsidR="00B52502" w:rsidRPr="002F1924" w:rsidRDefault="00B52502" w:rsidP="008A6EE7">
            <w:pPr>
              <w:spacing w:after="0" w:line="240" w:lineRule="auto"/>
              <w:rPr>
                <w:rFonts w:ascii="Times New Roman" w:hAnsi="Times New Roman" w:cs="Times New Roman"/>
                <w:noProof/>
              </w:rPr>
            </w:pPr>
          </w:p>
        </w:tc>
        <w:tc>
          <w:tcPr>
            <w:tcW w:w="1417" w:type="dxa"/>
          </w:tcPr>
          <w:p w14:paraId="34E6E9B8" w14:textId="77777777" w:rsidR="00B52502" w:rsidRPr="002F1924" w:rsidRDefault="00B52502" w:rsidP="008A6EE7">
            <w:pPr>
              <w:spacing w:after="0" w:line="240" w:lineRule="auto"/>
              <w:rPr>
                <w:rFonts w:ascii="Times New Roman" w:hAnsi="Times New Roman" w:cs="Times New Roman"/>
              </w:rPr>
            </w:pPr>
          </w:p>
        </w:tc>
        <w:tc>
          <w:tcPr>
            <w:tcW w:w="1276" w:type="dxa"/>
          </w:tcPr>
          <w:p w14:paraId="19A117D4" w14:textId="77777777" w:rsidR="00B52502" w:rsidRPr="002F1924" w:rsidRDefault="00B52502" w:rsidP="008A6EE7">
            <w:pPr>
              <w:spacing w:after="0" w:line="240" w:lineRule="auto"/>
              <w:rPr>
                <w:rFonts w:ascii="Times New Roman" w:hAnsi="Times New Roman" w:cs="Times New Roman"/>
              </w:rPr>
            </w:pPr>
          </w:p>
        </w:tc>
        <w:tc>
          <w:tcPr>
            <w:tcW w:w="1134" w:type="dxa"/>
          </w:tcPr>
          <w:p w14:paraId="541BEDA4" w14:textId="77777777" w:rsidR="00B52502" w:rsidRPr="002F1924" w:rsidRDefault="00B52502" w:rsidP="008A6EE7">
            <w:pPr>
              <w:spacing w:after="0" w:line="240" w:lineRule="auto"/>
              <w:rPr>
                <w:rFonts w:ascii="Times New Roman" w:hAnsi="Times New Roman" w:cs="Times New Roman"/>
              </w:rPr>
            </w:pPr>
          </w:p>
        </w:tc>
      </w:tr>
    </w:tbl>
    <w:p w14:paraId="01D1FCA6"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6FD623D3"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 xml:space="preserve">Hlavne v Japonsku sa po uvedení lieku na trh vyskytli hlásenia o intersticiálnej pneumónii. </w:t>
      </w:r>
    </w:p>
    <w:p w14:paraId="0529465A" w14:textId="77777777" w:rsidR="00B52502" w:rsidRPr="002F1924" w:rsidRDefault="00B52502" w:rsidP="008A6EE7">
      <w:pPr>
        <w:tabs>
          <w:tab w:val="left" w:pos="567"/>
        </w:tabs>
        <w:spacing w:after="0" w:line="240" w:lineRule="auto"/>
        <w:rPr>
          <w:rFonts w:ascii="Times New Roman" w:hAnsi="Times New Roman" w:cs="Times New Roman"/>
        </w:rPr>
      </w:pPr>
    </w:p>
    <w:p w14:paraId="1B7C9615" w14:textId="77777777" w:rsidR="00B52502" w:rsidRPr="002F1924" w:rsidRDefault="00B52502" w:rsidP="008A6EE7">
      <w:pPr>
        <w:tabs>
          <w:tab w:val="left" w:pos="567"/>
        </w:tabs>
        <w:spacing w:after="0" w:line="240" w:lineRule="auto"/>
        <w:jc w:val="both"/>
        <w:rPr>
          <w:rFonts w:ascii="Times New Roman" w:hAnsi="Times New Roman" w:cs="Times New Roman"/>
          <w:u w:val="single"/>
        </w:rPr>
      </w:pPr>
      <w:r w:rsidRPr="002F1924">
        <w:rPr>
          <w:rFonts w:ascii="Times New Roman" w:hAnsi="Times New Roman" w:cs="Times New Roman"/>
          <w:u w:val="single"/>
        </w:rPr>
        <w:t>Osobitné poznámky</w:t>
      </w:r>
    </w:p>
    <w:p w14:paraId="15965DA0"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Odpoveď na liečbu Leuprorelinom Sandoz 5 mg implantát je možné monitorovať meraním sérových koncentrácií testosterónu, kyslej fosfatázy a PSA (prostatický špecifický antigén). Na začiatku liečby hladiny testosterónu najskôr stúpnu, ale následne v priebehu 2 týždňov poklesnú. Po 2 </w:t>
      </w:r>
      <w:r w:rsidRPr="002F1924">
        <w:rPr>
          <w:rFonts w:ascii="Times New Roman" w:hAnsi="Times New Roman" w:cs="Times New Roman"/>
        </w:rPr>
        <w:noBreakHyphen/>
        <w:t> 4 týždňoch sú dosiahnuté koncentrácie testosterónu porovnateľné s koncentráciami pozorovanými po bilaterálnej orchiektómii, a ostanú potom konštantné počas celého obdobia liečby.</w:t>
      </w:r>
    </w:p>
    <w:p w14:paraId="44928D3B" w14:textId="77777777" w:rsidR="00B52502" w:rsidRPr="002F1924" w:rsidRDefault="00B52502" w:rsidP="008A6EE7">
      <w:pPr>
        <w:spacing w:after="0" w:line="240" w:lineRule="auto"/>
        <w:rPr>
          <w:rFonts w:ascii="Times New Roman" w:hAnsi="Times New Roman" w:cs="Times New Roman"/>
        </w:rPr>
      </w:pPr>
    </w:p>
    <w:p w14:paraId="4540DC90"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V začiatočnej fáze liečby sa môže vyskytnúť prechodné zvýšenie hladín alkalickej fosfatázy. Normálne hladiny alebo hladiny blížiace sa k normálu sa zvyčajne opätovne dosiahnu po niekoľkých týždňoch.</w:t>
      </w:r>
    </w:p>
    <w:p w14:paraId="645A48C4" w14:textId="77777777" w:rsidR="00B52502" w:rsidRPr="002F1924" w:rsidRDefault="00B52502" w:rsidP="008A6EE7">
      <w:pPr>
        <w:spacing w:after="0" w:line="240" w:lineRule="auto"/>
        <w:rPr>
          <w:rFonts w:ascii="Times New Roman" w:hAnsi="Times New Roman" w:cs="Times New Roman"/>
        </w:rPr>
      </w:pPr>
    </w:p>
    <w:p w14:paraId="76A679D7" w14:textId="474F7812" w:rsidR="00B52502" w:rsidRPr="002F1924" w:rsidRDefault="00B52502" w:rsidP="008A6EE7">
      <w:pPr>
        <w:suppressLineNumbers/>
        <w:autoSpaceDE w:val="0"/>
        <w:autoSpaceDN w:val="0"/>
        <w:adjustRightInd w:val="0"/>
        <w:spacing w:after="0" w:line="240" w:lineRule="auto"/>
        <w:rPr>
          <w:rFonts w:ascii="Times New Roman" w:hAnsi="Times New Roman" w:cs="Times New Roman"/>
          <w:kern w:val="32"/>
        </w:rPr>
      </w:pPr>
      <w:r w:rsidRPr="002F1924">
        <w:rPr>
          <w:rFonts w:ascii="Times New Roman" w:hAnsi="Times New Roman" w:cs="Times New Roman"/>
          <w:kern w:val="32"/>
        </w:rPr>
        <w:t>V zriedkavých prípadoch sa vyskyt</w:t>
      </w:r>
      <w:r w:rsidR="001A41BD" w:rsidRPr="002F1924">
        <w:rPr>
          <w:rFonts w:ascii="Times New Roman" w:hAnsi="Times New Roman" w:cs="Times New Roman"/>
          <w:kern w:val="32"/>
        </w:rPr>
        <w:t>ol</w:t>
      </w:r>
      <w:r w:rsidRPr="002F1924">
        <w:rPr>
          <w:rFonts w:ascii="Times New Roman" w:hAnsi="Times New Roman" w:cs="Times New Roman"/>
          <w:kern w:val="32"/>
        </w:rPr>
        <w:t xml:space="preserve"> absces v mieste podania. V jednom prípade abscesu</w:t>
      </w:r>
      <w:r w:rsidR="00E625FF" w:rsidRPr="002F1924">
        <w:rPr>
          <w:rFonts w:ascii="Times New Roman" w:hAnsi="Times New Roman" w:cs="Times New Roman"/>
          <w:kern w:val="32"/>
        </w:rPr>
        <w:t xml:space="preserve"> v mieste podania</w:t>
      </w:r>
      <w:r w:rsidRPr="002F1924">
        <w:rPr>
          <w:rFonts w:ascii="Times New Roman" w:hAnsi="Times New Roman" w:cs="Times New Roman"/>
          <w:kern w:val="32"/>
        </w:rPr>
        <w:t xml:space="preserve"> sa pozorovala neadekvátna absorpcia leuprorelínu z depotnej formy. V týchto prípadoch sa má preto sledovať haldina testosterónu.</w:t>
      </w:r>
    </w:p>
    <w:p w14:paraId="0344DA95" w14:textId="77777777" w:rsidR="008A6EE7" w:rsidRPr="002F1924" w:rsidRDefault="008A6EE7" w:rsidP="008A6EE7">
      <w:pPr>
        <w:suppressLineNumbers/>
        <w:autoSpaceDE w:val="0"/>
        <w:autoSpaceDN w:val="0"/>
        <w:adjustRightInd w:val="0"/>
        <w:spacing w:after="0" w:line="240" w:lineRule="auto"/>
        <w:rPr>
          <w:rFonts w:ascii="Times New Roman" w:hAnsi="Times New Roman" w:cs="Times New Roman"/>
          <w:noProof/>
          <w:u w:val="single"/>
        </w:rPr>
      </w:pPr>
    </w:p>
    <w:p w14:paraId="6B9D29DC" w14:textId="77777777" w:rsidR="00B52502" w:rsidRPr="002F1924" w:rsidRDefault="00B52502" w:rsidP="008A6EE7">
      <w:pPr>
        <w:spacing w:after="0" w:line="240" w:lineRule="auto"/>
        <w:rPr>
          <w:rFonts w:ascii="Times New Roman" w:hAnsi="Times New Roman" w:cs="Times New Roman"/>
          <w:u w:val="single"/>
        </w:rPr>
      </w:pPr>
      <w:r w:rsidRPr="002F1924">
        <w:rPr>
          <w:rFonts w:ascii="Times New Roman" w:hAnsi="Times New Roman" w:cs="Times New Roman"/>
          <w:u w:val="single"/>
        </w:rPr>
        <w:t>Hlásenie podozrení na nežiaduce reakcie</w:t>
      </w:r>
    </w:p>
    <w:p w14:paraId="075BC766"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FD34E7">
        <w:rPr>
          <w:rFonts w:ascii="Times New Roman" w:hAnsi="Times New Roman" w:cs="Times New Roman"/>
          <w:highlight w:val="lightGray"/>
        </w:rPr>
        <w:t>národné centrum hlásenia uvedené v </w:t>
      </w:r>
      <w:hyperlink r:id="rId16" w:history="1">
        <w:r w:rsidRPr="00FD34E7">
          <w:rPr>
            <w:rStyle w:val="Hypertextovprepojenie"/>
            <w:rFonts w:ascii="Times New Roman" w:hAnsi="Times New Roman"/>
            <w:highlight w:val="lightGray"/>
          </w:rPr>
          <w:t>Prílohe V</w:t>
        </w:r>
      </w:hyperlink>
      <w:r w:rsidRPr="002F1924">
        <w:rPr>
          <w:rFonts w:ascii="Times New Roman" w:hAnsi="Times New Roman" w:cs="Times New Roman"/>
        </w:rPr>
        <w:t>.</w:t>
      </w:r>
    </w:p>
    <w:p w14:paraId="66FD4BE0" w14:textId="77777777" w:rsidR="00B52502" w:rsidRPr="002F1924" w:rsidRDefault="00B52502" w:rsidP="008A6EE7">
      <w:pPr>
        <w:spacing w:after="0" w:line="240" w:lineRule="auto"/>
        <w:jc w:val="both"/>
        <w:rPr>
          <w:rFonts w:ascii="Times New Roman" w:hAnsi="Times New Roman" w:cs="Times New Roman"/>
        </w:rPr>
      </w:pPr>
    </w:p>
    <w:p w14:paraId="1E54B694"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4.9</w:t>
      </w:r>
      <w:r w:rsidRPr="002F1924">
        <w:rPr>
          <w:rFonts w:ascii="Times New Roman" w:hAnsi="Times New Roman" w:cs="Times New Roman"/>
          <w:b/>
          <w:bCs/>
          <w:sz w:val="22"/>
          <w:szCs w:val="22"/>
          <w:u w:val="none"/>
          <w:lang w:val="sk-SK"/>
        </w:rPr>
        <w:tab/>
        <w:t>Predávkovanie</w:t>
      </w:r>
    </w:p>
    <w:p w14:paraId="32ED1C51" w14:textId="77777777" w:rsidR="00B52502" w:rsidRPr="002F1924" w:rsidRDefault="00B52502" w:rsidP="008A6EE7">
      <w:pPr>
        <w:spacing w:after="0" w:line="240" w:lineRule="auto"/>
        <w:jc w:val="both"/>
        <w:rPr>
          <w:rFonts w:ascii="Times New Roman" w:hAnsi="Times New Roman" w:cs="Times New Roman"/>
        </w:rPr>
      </w:pPr>
    </w:p>
    <w:p w14:paraId="4D640D04"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Doposiaľ neboli pozorované žiadne príznaky intoxikácie.</w:t>
      </w:r>
    </w:p>
    <w:p w14:paraId="12543822" w14:textId="77777777" w:rsidR="00B52502" w:rsidRPr="002F1924" w:rsidRDefault="00B52502" w:rsidP="008A6EE7">
      <w:pPr>
        <w:spacing w:after="0" w:line="240" w:lineRule="auto"/>
        <w:jc w:val="both"/>
        <w:rPr>
          <w:rFonts w:ascii="Times New Roman" w:hAnsi="Times New Roman" w:cs="Times New Roman"/>
        </w:rPr>
      </w:pPr>
    </w:p>
    <w:p w14:paraId="43FA367C"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Aj keď boli boli podané denné dávky leuprorelíniumacetátu do 20 mg po dobu dvoch rokov, ako v prípade prvých klinických štúdií, nespozorovali sa žiadne ďalšie alebo nové nežiaduce účinky než tie, ktoré sa vyskytli po podávaní dennej dávky 1 mg alebo po trojmesačnom podávaní dávky 11,25 mg.</w:t>
      </w:r>
    </w:p>
    <w:p w14:paraId="71090D7C" w14:textId="77777777" w:rsidR="00B52502" w:rsidRPr="002F1924" w:rsidRDefault="00B52502" w:rsidP="008A6EE7">
      <w:pPr>
        <w:spacing w:after="0" w:line="240" w:lineRule="auto"/>
        <w:jc w:val="both"/>
        <w:rPr>
          <w:rFonts w:ascii="Times New Roman" w:hAnsi="Times New Roman" w:cs="Times New Roman"/>
        </w:rPr>
      </w:pPr>
    </w:p>
    <w:p w14:paraId="0357311B" w14:textId="77777777" w:rsidR="00B52502" w:rsidRPr="002F1924" w:rsidRDefault="00B52502" w:rsidP="008A6EE7">
      <w:pPr>
        <w:spacing w:after="0" w:line="240" w:lineRule="auto"/>
        <w:jc w:val="both"/>
        <w:rPr>
          <w:rFonts w:ascii="Times New Roman" w:hAnsi="Times New Roman" w:cs="Times New Roman"/>
        </w:rPr>
      </w:pPr>
    </w:p>
    <w:p w14:paraId="43039161" w14:textId="77777777" w:rsidR="00B52502" w:rsidRPr="002F1924" w:rsidRDefault="00B52502" w:rsidP="008A6EE7">
      <w:pPr>
        <w:pStyle w:val="Nadpis1"/>
        <w:ind w:left="567" w:hanging="567"/>
        <w:jc w:val="both"/>
        <w:rPr>
          <w:rFonts w:ascii="Times New Roman" w:hAnsi="Times New Roman" w:cs="Times New Roman"/>
          <w:noProof/>
          <w:color w:val="auto"/>
          <w:sz w:val="22"/>
          <w:szCs w:val="22"/>
          <w:lang w:val="sk-SK"/>
        </w:rPr>
      </w:pPr>
      <w:r w:rsidRPr="002F1924">
        <w:rPr>
          <w:rFonts w:ascii="Times New Roman" w:hAnsi="Times New Roman" w:cs="Times New Roman"/>
          <w:noProof/>
          <w:color w:val="auto"/>
          <w:sz w:val="22"/>
          <w:szCs w:val="22"/>
          <w:lang w:val="sk-SK"/>
        </w:rPr>
        <w:t>5.</w:t>
      </w:r>
      <w:r w:rsidRPr="002F1924">
        <w:rPr>
          <w:rFonts w:ascii="Times New Roman" w:hAnsi="Times New Roman" w:cs="Times New Roman"/>
          <w:noProof/>
          <w:color w:val="auto"/>
          <w:sz w:val="22"/>
          <w:szCs w:val="22"/>
          <w:lang w:val="sk-SK"/>
        </w:rPr>
        <w:tab/>
        <w:t>FARMAKOLOGICKÉ VLASTNOSTI</w:t>
      </w:r>
    </w:p>
    <w:p w14:paraId="7AED1565" w14:textId="77777777" w:rsidR="00B52502" w:rsidRPr="002F1924" w:rsidRDefault="00B52502" w:rsidP="008A6EE7">
      <w:pPr>
        <w:spacing w:after="0" w:line="240" w:lineRule="auto"/>
        <w:jc w:val="both"/>
        <w:rPr>
          <w:rFonts w:ascii="Times New Roman" w:hAnsi="Times New Roman" w:cs="Times New Roman"/>
          <w:b/>
          <w:bCs/>
        </w:rPr>
      </w:pPr>
    </w:p>
    <w:p w14:paraId="745AB7C1"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5.1</w:t>
      </w:r>
      <w:r w:rsidRPr="002F1924">
        <w:rPr>
          <w:rFonts w:ascii="Times New Roman" w:hAnsi="Times New Roman" w:cs="Times New Roman"/>
          <w:b/>
          <w:bCs/>
          <w:sz w:val="22"/>
          <w:szCs w:val="22"/>
          <w:u w:val="none"/>
          <w:lang w:val="sk-SK"/>
        </w:rPr>
        <w:tab/>
        <w:t>Farmakodynamické vlastnosti</w:t>
      </w:r>
    </w:p>
    <w:p w14:paraId="57484EE3" w14:textId="77777777" w:rsidR="00B52502" w:rsidRPr="002F1924" w:rsidRDefault="00B52502" w:rsidP="008A6EE7">
      <w:pPr>
        <w:spacing w:after="0" w:line="240" w:lineRule="auto"/>
        <w:rPr>
          <w:rFonts w:ascii="Times New Roman" w:hAnsi="Times New Roman" w:cs="Times New Roman"/>
        </w:rPr>
      </w:pPr>
    </w:p>
    <w:p w14:paraId="0C074A56" w14:textId="77777777" w:rsidR="00B52502" w:rsidRPr="002F1924" w:rsidRDefault="00B52502" w:rsidP="008A6EE7">
      <w:pPr>
        <w:spacing w:after="0" w:line="240" w:lineRule="auto"/>
        <w:rPr>
          <w:rFonts w:ascii="Times New Roman" w:hAnsi="Times New Roman" w:cs="Times New Roman"/>
          <w:noProof/>
        </w:rPr>
      </w:pPr>
      <w:r w:rsidRPr="002F1924">
        <w:rPr>
          <w:rFonts w:ascii="Times New Roman" w:hAnsi="Times New Roman" w:cs="Times New Roman"/>
          <w:noProof/>
        </w:rPr>
        <w:t>Farmakoterapeutická skupina: Hormóny a príbuzné liečivá, analógy hormónu uvoľňujúceho gonadotropín</w:t>
      </w:r>
    </w:p>
    <w:p w14:paraId="0EBB7FFD"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ATC kód: L02AE02</w:t>
      </w:r>
    </w:p>
    <w:p w14:paraId="4A29CFF8" w14:textId="77777777" w:rsidR="00B52502" w:rsidRPr="002F1924" w:rsidRDefault="00B52502" w:rsidP="008A6EE7">
      <w:pPr>
        <w:spacing w:after="0" w:line="240" w:lineRule="auto"/>
        <w:rPr>
          <w:rFonts w:ascii="Times New Roman" w:hAnsi="Times New Roman" w:cs="Times New Roman"/>
        </w:rPr>
      </w:pPr>
    </w:p>
    <w:p w14:paraId="411C4CBD"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 xml:space="preserve">Leuprorelíniumacetát, liečivo lieku Leuprorelin Sandoz 5 mg implantát, je syntetický analóg prirodzene sa vyskytujúceho hypotalamového hormónu uvoľňujúceho luteinizačný hormón (LHRH), ktorý kontroluje uvoľňovanie gonadotropných hormónov </w:t>
      </w:r>
      <w:r w:rsidRPr="002F1924">
        <w:rPr>
          <w:rFonts w:ascii="Times New Roman" w:hAnsi="Times New Roman" w:cs="Times New Roman"/>
        </w:rPr>
        <w:noBreakHyphen/>
        <w:t> LH (luteinizačný hormón) a FSH (hormón stimulujúci folikuly) z predného laloku hypofýzy. Tieto hormóny postupne stimulujú syntézu gonádových steroidov.</w:t>
      </w:r>
    </w:p>
    <w:p w14:paraId="75B8BADC" w14:textId="77777777" w:rsidR="00B52502" w:rsidRPr="002F1924" w:rsidRDefault="00B52502" w:rsidP="008A6EE7">
      <w:pPr>
        <w:spacing w:after="0" w:line="240" w:lineRule="auto"/>
        <w:jc w:val="both"/>
        <w:rPr>
          <w:rFonts w:ascii="Times New Roman" w:hAnsi="Times New Roman" w:cs="Times New Roman"/>
        </w:rPr>
      </w:pPr>
    </w:p>
    <w:p w14:paraId="4AE57FB5"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Na rozdiel od fyziologického LHRH, ktorý sa pulzne uvoľňuje v hypotalame, leuprorelíniumacetát - známy aj ako agonista LHRH počas dlhodobej liečby kontinuálne blokuje receptory LHRH v hypofýze , a tým po úvodnej krátkodobej stimulácii vyvolá ich „down regulation“. V dôsledku toho dôjde k reverzibilnej supresii uvoľňovania gonadotropínu v hypofýze s následným znížením koncentrácií testosterónu. </w:t>
      </w:r>
    </w:p>
    <w:p w14:paraId="61613145" w14:textId="77777777" w:rsidR="00B52502" w:rsidRPr="002F1924" w:rsidRDefault="00B52502" w:rsidP="008A6EE7">
      <w:pPr>
        <w:spacing w:after="0" w:line="240" w:lineRule="auto"/>
        <w:rPr>
          <w:rFonts w:ascii="Times New Roman" w:hAnsi="Times New Roman" w:cs="Times New Roman"/>
        </w:rPr>
      </w:pPr>
    </w:p>
    <w:p w14:paraId="68AC2132"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Koncentrácia testosterónu je znížená a to ovplyvňuje rast karcinómu tkaniva prostaty, ktoré je prirodzene stimulované dihydrotestosterónom, tvoreným redukciou testosterónu v bunkách prostaty.</w:t>
      </w:r>
    </w:p>
    <w:p w14:paraId="2E82620B" w14:textId="77777777" w:rsidR="00B52502" w:rsidRPr="002F1924" w:rsidRDefault="00B52502" w:rsidP="008A6EE7">
      <w:pPr>
        <w:spacing w:after="0" w:line="240" w:lineRule="auto"/>
        <w:jc w:val="both"/>
        <w:rPr>
          <w:rFonts w:ascii="Times New Roman" w:hAnsi="Times New Roman" w:cs="Times New Roman"/>
        </w:rPr>
      </w:pPr>
    </w:p>
    <w:p w14:paraId="5AF80288" w14:textId="77777777" w:rsidR="00B52502" w:rsidRPr="002F1924" w:rsidRDefault="00B52502" w:rsidP="008A6EE7">
      <w:pPr>
        <w:spacing w:after="0" w:line="240" w:lineRule="auto"/>
        <w:rPr>
          <w:rFonts w:ascii="Times New Roman" w:hAnsi="Times New Roman" w:cs="Times New Roman"/>
          <w:snapToGrid w:val="0"/>
        </w:rPr>
      </w:pPr>
      <w:r w:rsidRPr="002F1924">
        <w:rPr>
          <w:rFonts w:ascii="Times New Roman" w:hAnsi="Times New Roman" w:cs="Times New Roman"/>
        </w:rPr>
        <w:t>Kontinuálne podávanie leuprorelíniumacetátu vedie k zníženiu počtu a/alebo citlivosti (tiež nazývané "down regulation") receptorov v hypofýze, a následne k zníženiu koncentrácií LH, FSH a DHT. Hladiny testosterónu postupne klesnú na hodnoty kastračnej úrovne.</w:t>
      </w:r>
    </w:p>
    <w:p w14:paraId="778600A2"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V skúšaniach na zvieratách sa dokázal antiandrogénny účinok a inhibícia rastu karcinómu prostaty.</w:t>
      </w:r>
    </w:p>
    <w:p w14:paraId="6AD32FE6" w14:textId="77777777" w:rsidR="00B52502" w:rsidRPr="002F1924" w:rsidRDefault="00B52502" w:rsidP="008A6EE7">
      <w:pPr>
        <w:spacing w:after="0" w:line="240" w:lineRule="auto"/>
        <w:jc w:val="both"/>
        <w:rPr>
          <w:rFonts w:ascii="Times New Roman" w:hAnsi="Times New Roman" w:cs="Times New Roman"/>
        </w:rPr>
      </w:pPr>
    </w:p>
    <w:p w14:paraId="42E17DDF"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Podľa predklinických a klinických štúdií mesačná liečba leuprorelíniumacetátom po úvodnej stimulácii inhibuje uvoľňovanie gonadotropínu.</w:t>
      </w:r>
    </w:p>
    <w:p w14:paraId="5FA69C77" w14:textId="77777777" w:rsidR="00B52502" w:rsidRPr="002F1924" w:rsidRDefault="00B52502" w:rsidP="008A6EE7">
      <w:pPr>
        <w:spacing w:after="0" w:line="240" w:lineRule="auto"/>
        <w:jc w:val="both"/>
        <w:rPr>
          <w:rFonts w:ascii="Times New Roman" w:hAnsi="Times New Roman" w:cs="Times New Roman"/>
        </w:rPr>
      </w:pPr>
    </w:p>
    <w:p w14:paraId="15CD73E0"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U mužov spôsobuje subkutánne podávanie leuprorelíniumacetátu úvodné zvýšenie hodnoty LH (luteinizačný hormón) a FSH (hormón stimulujúci folikuly), čo sa prejaví prechodným zvýšením koncentrácií testosterónu a dihydrotestosterónu.</w:t>
      </w:r>
    </w:p>
    <w:p w14:paraId="05E30868" w14:textId="77777777" w:rsidR="00B52502" w:rsidRPr="002F1924" w:rsidRDefault="00B52502" w:rsidP="008A6EE7">
      <w:pPr>
        <w:spacing w:after="0" w:line="240" w:lineRule="auto"/>
        <w:jc w:val="both"/>
        <w:rPr>
          <w:rFonts w:ascii="Times New Roman" w:hAnsi="Times New Roman" w:cs="Times New Roman"/>
        </w:rPr>
      </w:pPr>
    </w:p>
    <w:p w14:paraId="71C641D0"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Počas prvých 3 týždňov liečby sa v ojedinelých prípadoch pozorovalo pridružené krátkodobé zhoršenie ochorenia. U mužov s karcinómom prostaty sa má zvážiť adjuvantné podávanie antiandrogénov.</w:t>
      </w:r>
    </w:p>
    <w:p w14:paraId="5DD7C611" w14:textId="77777777" w:rsidR="00B52502" w:rsidRPr="002F1924" w:rsidRDefault="00B52502" w:rsidP="008A6EE7">
      <w:pPr>
        <w:spacing w:after="0" w:line="240" w:lineRule="auto"/>
        <w:jc w:val="both"/>
        <w:rPr>
          <w:rFonts w:ascii="Times New Roman" w:hAnsi="Times New Roman" w:cs="Times New Roman"/>
        </w:rPr>
      </w:pPr>
    </w:p>
    <w:p w14:paraId="39D65D9B"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Naopak dlhodobá liečba leuprorelíniumacetátom spôsobuje pokles koncentrácií LH a FSH u všetkých pacientov; výsledné dosiahnuté koncentrácie androgénov u mužov sú podobné tým, ktoré sa vyskytujú po bilaterálnej orchiektómii. Tieto zmeny sa vyskytujú zvyčajne 2 </w:t>
      </w:r>
      <w:r w:rsidRPr="002F1924">
        <w:rPr>
          <w:rFonts w:ascii="Times New Roman" w:hAnsi="Times New Roman" w:cs="Times New Roman"/>
        </w:rPr>
        <w:noBreakHyphen/>
        <w:t> 3 týždne po začatí liečby a prejavujú sa počas celého trvania liečby. Preto leuprorelíniumacetát možno použiť aj na zistenie hormonálnej citlivosti karcinómu prostaty a možnej prospešnosti liečby orchiektómiou. Ak je to potrebné, orchiektómiu je možné nahradiť mesačným podávaním leuprorelíniumacetátu. Doposiaľ bolo možné udržať kastračné hladiny testosterónu po kontinuálnom podávaní leuprorelíniumacetátu počas 5 rokov.</w:t>
      </w:r>
    </w:p>
    <w:p w14:paraId="6FD1DE92" w14:textId="77777777" w:rsidR="00B52502" w:rsidRPr="002F1924" w:rsidRDefault="00B52502" w:rsidP="008A6EE7">
      <w:pPr>
        <w:spacing w:after="0" w:line="240" w:lineRule="auto"/>
        <w:rPr>
          <w:rFonts w:ascii="Times New Roman" w:hAnsi="Times New Roman" w:cs="Times New Roman"/>
        </w:rPr>
      </w:pPr>
    </w:p>
    <w:p w14:paraId="61546A05" w14:textId="77777777" w:rsidR="00B52502" w:rsidRPr="002F1924" w:rsidRDefault="00B52502" w:rsidP="008A6EE7">
      <w:pPr>
        <w:spacing w:after="0" w:line="240" w:lineRule="auto"/>
        <w:rPr>
          <w:rFonts w:ascii="Times New Roman" w:hAnsi="Times New Roman" w:cs="Times New Roman"/>
          <w:u w:val="single"/>
        </w:rPr>
      </w:pPr>
      <w:r w:rsidRPr="002F1924">
        <w:rPr>
          <w:rFonts w:ascii="Times New Roman" w:hAnsi="Times New Roman" w:cs="Times New Roman"/>
          <w:u w:val="single"/>
        </w:rPr>
        <w:t>Klinická účinnosť</w:t>
      </w:r>
    </w:p>
    <w:p w14:paraId="7E7419B4"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V multicentrickej, randomizovanej štúdii fázy III s leuprorelíniumacetátom bolo hodnotených 263 pacientov s lokálne pokročilým karcinómom prostaty štádia T3</w:t>
      </w:r>
      <w:r w:rsidRPr="002F1924">
        <w:rPr>
          <w:rFonts w:ascii="Times New Roman" w:hAnsi="Times New Roman" w:cs="Times New Roman"/>
        </w:rPr>
        <w:noBreakHyphen/>
        <w:t>T4 alebo pT3, N0, M0. 133 pacientov dostávalo kombináciu rádioterapie s androgénnou depriváciou a 130 pacientov iba androgénnu depriváciu leuprorelíniumacetátom počas 3 rokov.</w:t>
      </w:r>
    </w:p>
    <w:p w14:paraId="470B1111"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Na základe ASTRO (Phoenix kritériá), bolo pozorované prežívanie bez progresie počas 5 rokov u 60,9% (64,7%) pri kombinovanej liečbe v porovnaní s 8,5% (15,4%) v skupine liečenej samotnou hormonálnou liečbou (p = 0,0001; [p = 0,0005]).</w:t>
      </w:r>
    </w:p>
    <w:p w14:paraId="0E9A8AA0"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Na základe kritérií ASTRO, riziko progresie bolo 3,8-krát vyššie v skupine so samotnou hormonálnou liečbou (95% interval spoľahlivosti IS [2,17; 6,49]).</w:t>
      </w:r>
    </w:p>
    <w:p w14:paraId="59C4E09C"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Medián klinického alebo biochemického prežívania bez progresie podľa kritérií ASTRO bol 641 dní (95% IS [626; 812]) v skupine so samotnou hormonálnou liečbou oproti 2804 dňom (95% IS [2090; –]; p &lt; 0,0001) v skupine s kombinovanou liečbou.</w:t>
      </w:r>
    </w:p>
    <w:p w14:paraId="70E99B42"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Neboli pozorované štatisticky významné rozdiely týkajúce sa lokoregionálnej progresie (pomer rizík, HR 3,6 [95% IS {1,9; 6,8}; p &lt; 0,0001]), progresie metastáz (p &lt; 0,018) ani prežívania bez metastáz (p = 0,018) medzi skupinou s kombinovanou liečbou a skupinou so samotnou androgénnou depriváciou.</w:t>
      </w:r>
    </w:p>
    <w:p w14:paraId="4CF623F8"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lastRenderedPageBreak/>
        <w:t>V tomto skúšaní sa jednoznačne preukázalo, že kombinácia androgénnej deprivácie s rádioterapiou počas 3 rokov je lepšia v porovnaní so samotnou androgénnou depriváciou.</w:t>
      </w:r>
    </w:p>
    <w:p w14:paraId="19CEB7A3" w14:textId="77777777" w:rsidR="00B52502" w:rsidRPr="002F1924" w:rsidRDefault="00B52502" w:rsidP="008A6EE7">
      <w:pPr>
        <w:spacing w:after="0" w:line="240" w:lineRule="auto"/>
        <w:jc w:val="both"/>
        <w:rPr>
          <w:rFonts w:ascii="Times New Roman" w:hAnsi="Times New Roman" w:cs="Times New Roman"/>
        </w:rPr>
      </w:pPr>
    </w:p>
    <w:p w14:paraId="2A67BA30"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Nasledujúce skúšania ukázali, že kombinovaná liečba s analógmi LHRH je tiež prínosnejšia v porovnaní so samotnou rádioterapiou u pacientov s lokálne pokročilým karcinómom prostaty.</w:t>
      </w:r>
    </w:p>
    <w:p w14:paraId="685E9256"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Do randomizovaného RTOG 85-31 skúšania bolo zaradených 977 pacientov s lokálne pokročilým karcinómom prostaty štádia T1-T3 s metastázami do lymfatických uzlín, s presahom nádoru cez puzdro prostaty alebo penetráciou karcinómu prostaty do semeníkov.</w:t>
      </w:r>
    </w:p>
    <w:p w14:paraId="0F20D15A"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488 pacientov dostávalo kombináciu rádioterapie s dlhodobou androgénnou depriváciou goserelínom, zatiaľ čo 489 pacientov dostávalo samotnú rádioterapiu.</w:t>
      </w:r>
    </w:p>
    <w:p w14:paraId="790C1094"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Výsledky boli jednoznačne v prospech kombinovanej terapie v porovnaní so samotnou rádioterapiou.</w:t>
      </w:r>
    </w:p>
    <w:p w14:paraId="5EE50862"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 xml:space="preserve">10-ročné prežívanie bez progresie sa pozorovalo u 37% oproti 23% </w:t>
      </w:r>
      <w:r w:rsidRPr="002F1924">
        <w:rPr>
          <w:rFonts w:ascii="Times New Roman" w:eastAsia="HelveticaNeueLTPro-Roman" w:hAnsi="Times New Roman" w:cs="Times New Roman"/>
        </w:rPr>
        <w:t>(p &lt; 0,001); prežívanie bez progresie s hodnotou PSA &lt; 1,5 ng/ml bolo 31% oproti 9%, opätovný lokálny výskyt u 23% oproti 38% (p &lt; 0,0001) a progresia s metastázami u 24% oproti 39% (p &lt; 0,0001).</w:t>
      </w:r>
    </w:p>
    <w:p w14:paraId="137F72F1" w14:textId="77777777" w:rsidR="00B52502" w:rsidRPr="002F1924" w:rsidRDefault="00B52502" w:rsidP="008A6EE7">
      <w:pPr>
        <w:spacing w:after="0" w:line="240" w:lineRule="auto"/>
        <w:jc w:val="both"/>
        <w:rPr>
          <w:rFonts w:ascii="Times New Roman" w:hAnsi="Times New Roman" w:cs="Times New Roman"/>
        </w:rPr>
      </w:pPr>
    </w:p>
    <w:p w14:paraId="1B694B23" w14:textId="77777777" w:rsidR="00B52502" w:rsidRPr="002F1924" w:rsidRDefault="00B52502" w:rsidP="008A6EE7">
      <w:pPr>
        <w:spacing w:after="0" w:line="240" w:lineRule="auto"/>
        <w:jc w:val="both"/>
        <w:rPr>
          <w:rFonts w:ascii="Times New Roman" w:eastAsia="HelveticaNeueLTPro-Roman" w:hAnsi="Times New Roman" w:cs="Times New Roman"/>
        </w:rPr>
      </w:pPr>
      <w:r w:rsidRPr="002F1924">
        <w:rPr>
          <w:rFonts w:ascii="Times New Roman" w:hAnsi="Times New Roman" w:cs="Times New Roman"/>
        </w:rPr>
        <w:t xml:space="preserve">Celkové prežívanie bolo 49% oproti 39% </w:t>
      </w:r>
      <w:r w:rsidRPr="002F1924">
        <w:rPr>
          <w:rFonts w:ascii="Times New Roman" w:eastAsia="HelveticaNeueLTPro-Roman" w:hAnsi="Times New Roman" w:cs="Times New Roman"/>
        </w:rPr>
        <w:t>(p = 0,002) a mortalita špecifická pre ochorenie bola 16% oproti 22% (p = 0,0052).</w:t>
      </w:r>
    </w:p>
    <w:p w14:paraId="31745169" w14:textId="77777777" w:rsidR="00B52502" w:rsidRPr="002F1924" w:rsidRDefault="00B52502" w:rsidP="008A6EE7">
      <w:pPr>
        <w:spacing w:after="0" w:line="240" w:lineRule="auto"/>
        <w:jc w:val="both"/>
        <w:rPr>
          <w:rFonts w:ascii="Times New Roman" w:eastAsia="HelveticaNeueLTPro-Roman" w:hAnsi="Times New Roman" w:cs="Times New Roman"/>
        </w:rPr>
      </w:pPr>
    </w:p>
    <w:p w14:paraId="5663FEDD"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V nasledujúcich klinických skúšaniach u pacientov s lokalizovaným karcinómom prostaty so stredne rizikovým profilom sa preukázal prospech v kombinácii rádioterapie a androgénnej deprivácie s analógmi LHRH oproti samotnej rádioterapii</w:t>
      </w:r>
      <w:r w:rsidRPr="002F1924">
        <w:rPr>
          <w:rFonts w:ascii="Times New Roman" w:hAnsi="Times New Roman" w:cs="Times New Roman"/>
        </w:rPr>
        <w:t>.</w:t>
      </w:r>
    </w:p>
    <w:p w14:paraId="55353655"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p>
    <w:p w14:paraId="757230BE"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Randomizované klinické skúšanie fázy III RTOG 94-08 bolo vykonané u pacientov s lokalizovaným karcinómom prostaty štádia T1b, T1c, T2a alebo T2b a hodnotou PSA ≤ 10 ng/ml.</w:t>
      </w:r>
    </w:p>
    <w:p w14:paraId="38C4EF5F"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V podskupine pacientov so stredne izikovým profilom definovaným podľa Gleasonovho skóre 6 spolu s PSA hodnotou v rozpätí od &gt; 10 ng/ml do 20 ng/ml alebo štádiom T2b bolo zahrnutých 524 pacientov do skupiny krátkodobo liečenej androgénnou depriváciou počas 4 mesiacov (2 mesiace pred a 2 mesiace v kombinácii s rádioterapiou) a 544 pacientov do skupiny so samotnou rádioterapiou.</w:t>
      </w:r>
    </w:p>
    <w:p w14:paraId="761FDD36"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V podskupine so stredne rizikovým profilom, v skupine dostávajúcej kombináciu rádioterapie a androgénnej deprivácie goserelínom alebo leuprorelíniumacetátom bol pozorovaný prospech oproti skupine liečenej samotnou rádioterapiou.</w:t>
      </w:r>
    </w:p>
    <w:p w14:paraId="3F764851"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p>
    <w:p w14:paraId="37C13440"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Celkové prežívanie po 10 rokoch bolo 61% oproti 54% (HR 1,23, 95% IS [1,02-1,49; p = 0,03]). Mortalita špecifická pre ochorenie bola zaznamenaná u 3% oproti 10% (HR 2,49, 95% IS [1,50-4,11; p = 0,004]) a biochemická progresia 28% oproti 45% (HR 1,79, 95% IS [1,45-2,21; p &lt; 0,001]).</w:t>
      </w:r>
    </w:p>
    <w:p w14:paraId="09FE5983"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 xml:space="preserve"> </w:t>
      </w:r>
    </w:p>
    <w:p w14:paraId="7DBCBD65"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U pacientov s lokalizovaným karcinómom prostaty s vysoko rizikovým profilom je použitie založené na publikovaných klinických skúšaniach kombinácie rádioterapie a liečbou agonistami LHRH, vrátane leuprorelíniumacetátu.</w:t>
      </w:r>
    </w:p>
    <w:p w14:paraId="4CBABE7B"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Klinické údaje uverejnené z piatich klinických skúšaní jasne preukázali výhody kombinácie rádioterapie s agonistami LHRH ((EORTC 22863, RTOG 85-31, RTOG 92-02, RTOG 8610 und D’Amico et al.,JAMA 2004). Nebola možná presná diferenciácia študovanej populácie medzi indikáciami lokálne pokročilého karcinómu prostaty a lokalizovaného karcinómu prostaty s vysoko rizikovým profilom.</w:t>
      </w:r>
    </w:p>
    <w:p w14:paraId="332A5904"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Klinické údaje preukázali, že by sa mala preferovať rádioterapia nasledovaná 3 ročnou androgénnou depriváciou oproti rádioterapii s následnou 6 mesačnou androgénnou depriváciou.</w:t>
      </w:r>
    </w:p>
    <w:p w14:paraId="7AA5AA3E"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p>
    <w:p w14:paraId="40810AC7"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r w:rsidRPr="002F1924">
        <w:rPr>
          <w:rFonts w:ascii="Times New Roman" w:eastAsia="HelveticaNeueLTPro-Roman" w:hAnsi="Times New Roman" w:cs="Times New Roman"/>
        </w:rPr>
        <w:t>V klinických smerniciach sa odporúča dĺžka androgénnej deprivácie 2-3 roky u pacientov so štádiom T3 až T4.</w:t>
      </w:r>
    </w:p>
    <w:p w14:paraId="318750AE" w14:textId="77777777" w:rsidR="00B52502" w:rsidRPr="002F1924" w:rsidRDefault="00B52502" w:rsidP="008A6EE7">
      <w:pPr>
        <w:autoSpaceDE w:val="0"/>
        <w:autoSpaceDN w:val="0"/>
        <w:adjustRightInd w:val="0"/>
        <w:spacing w:after="0" w:line="240" w:lineRule="auto"/>
        <w:rPr>
          <w:rFonts w:ascii="Times New Roman" w:eastAsia="HelveticaNeueLTPro-Roman" w:hAnsi="Times New Roman" w:cs="Times New Roman"/>
        </w:rPr>
      </w:pPr>
    </w:p>
    <w:p w14:paraId="2F2EFBA1" w14:textId="77777777" w:rsidR="00B52502" w:rsidRPr="002F1924" w:rsidRDefault="00B52502" w:rsidP="008A6EE7">
      <w:pPr>
        <w:spacing w:after="0" w:line="240" w:lineRule="auto"/>
        <w:jc w:val="both"/>
        <w:rPr>
          <w:rFonts w:ascii="Times New Roman" w:eastAsia="HelveticaNeueLTPro-Roman" w:hAnsi="Times New Roman" w:cs="Times New Roman"/>
        </w:rPr>
      </w:pPr>
      <w:r w:rsidRPr="002F1924">
        <w:rPr>
          <w:rFonts w:ascii="Times New Roman" w:eastAsia="HelveticaNeueLTPro-Roman" w:hAnsi="Times New Roman" w:cs="Times New Roman"/>
        </w:rPr>
        <w:t>U pacientov s metastázujúcim karcinómom prostaty rezistentným voči kastrácii sa ukázalo prínosom použitie ďalších látok, ako sú inhibítory syntézy androgénu (napr. abiraterónacetát), antiandrogénov (napr. enzalutamid), taxánov (npr. docetaxel alebo paklitaxel) alebo rádioterapeutických látok (napr. rádium-223) spolu s agonistami LHRH, ako je leuprorelíniumacetát.</w:t>
      </w:r>
    </w:p>
    <w:p w14:paraId="38780FDA" w14:textId="77777777" w:rsidR="00B52502" w:rsidRPr="002F1924" w:rsidRDefault="00B52502" w:rsidP="008A6EE7">
      <w:pPr>
        <w:spacing w:after="0" w:line="240" w:lineRule="auto"/>
        <w:jc w:val="both"/>
        <w:rPr>
          <w:rFonts w:ascii="Times New Roman" w:hAnsi="Times New Roman" w:cs="Times New Roman"/>
        </w:rPr>
      </w:pPr>
    </w:p>
    <w:p w14:paraId="7104F928"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lastRenderedPageBreak/>
        <w:t>5.2</w:t>
      </w:r>
      <w:r w:rsidRPr="002F1924">
        <w:rPr>
          <w:rFonts w:ascii="Times New Roman" w:hAnsi="Times New Roman" w:cs="Times New Roman"/>
          <w:b/>
          <w:bCs/>
          <w:sz w:val="22"/>
          <w:szCs w:val="22"/>
          <w:u w:val="none"/>
          <w:lang w:val="sk-SK"/>
        </w:rPr>
        <w:tab/>
        <w:t>Farmakokinetické vlastnosti</w:t>
      </w:r>
    </w:p>
    <w:p w14:paraId="66D76100" w14:textId="77777777" w:rsidR="00B52502" w:rsidRPr="002F1924" w:rsidRDefault="00B52502" w:rsidP="008A6EE7">
      <w:pPr>
        <w:spacing w:after="0" w:line="240" w:lineRule="auto"/>
        <w:jc w:val="both"/>
        <w:rPr>
          <w:rFonts w:ascii="Times New Roman" w:hAnsi="Times New Roman" w:cs="Times New Roman"/>
        </w:rPr>
      </w:pPr>
    </w:p>
    <w:p w14:paraId="6FB1255F"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Po zavedení Leuprorelinu Sandoz 5 mg implantát sa liečivo leuprorelíniumacetát priebežne uvoľňuje z polyméru kyseliny mliečnej počas obdobia 182 dní (26 týždňov). Polymér sa absorbuje rovnakým spôsobom ako chirurgický stehový materiál.</w:t>
      </w:r>
    </w:p>
    <w:p w14:paraId="79F3AEAF" w14:textId="77777777" w:rsidR="00B52502" w:rsidRPr="002F1924" w:rsidRDefault="00B52502" w:rsidP="008A6EE7">
      <w:pPr>
        <w:spacing w:after="0" w:line="240" w:lineRule="auto"/>
        <w:jc w:val="both"/>
        <w:rPr>
          <w:rFonts w:ascii="Times New Roman" w:hAnsi="Times New Roman" w:cs="Times New Roman"/>
        </w:rPr>
      </w:pPr>
    </w:p>
    <w:p w14:paraId="14817579"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V priebehu 2 hodín po jednorazovej subkutánnej aplikácii Leuprorelinu Sandoz 5 mg implantát sa namerali maximálne sérové hladiny leuprorelínu 5216 pg/ml (5,2 ng/ml).</w:t>
      </w:r>
    </w:p>
    <w:p w14:paraId="45846D36" w14:textId="77777777" w:rsidR="00B52502" w:rsidRPr="002F1924" w:rsidRDefault="00B52502" w:rsidP="008A6EE7">
      <w:pPr>
        <w:tabs>
          <w:tab w:val="left" w:pos="567"/>
        </w:tabs>
        <w:spacing w:after="0" w:line="240" w:lineRule="auto"/>
        <w:rPr>
          <w:rFonts w:ascii="Times New Roman" w:hAnsi="Times New Roman" w:cs="Times New Roman"/>
        </w:rPr>
      </w:pPr>
    </w:p>
    <w:p w14:paraId="045E8AAF" w14:textId="77777777" w:rsidR="00B52502" w:rsidRPr="002F1924" w:rsidRDefault="00B52502" w:rsidP="008A6EE7">
      <w:pPr>
        <w:tabs>
          <w:tab w:val="left" w:pos="567"/>
        </w:tabs>
        <w:spacing w:after="0" w:line="240" w:lineRule="auto"/>
        <w:rPr>
          <w:rFonts w:ascii="Times New Roman" w:hAnsi="Times New Roman" w:cs="Times New Roman"/>
        </w:rPr>
      </w:pPr>
      <w:r w:rsidRPr="002F1924">
        <w:rPr>
          <w:rFonts w:ascii="Times New Roman" w:hAnsi="Times New Roman" w:cs="Times New Roman"/>
        </w:rPr>
        <w:t>Plocha pod krivkou závislosti koncentrácie od času (AUC) počas 3-mesačnej liečby s Leuprorelinom Sandoz 5 mg implantát bola 32,4 ng/ml.d. Hladiny leuprorelínu v sére sú detekovateľné ešte 182 dní (26 týždňov) po jeho podaní.</w:t>
      </w:r>
    </w:p>
    <w:p w14:paraId="39FB1BCA" w14:textId="77777777" w:rsidR="00B52502" w:rsidRPr="002F1924" w:rsidRDefault="00B52502" w:rsidP="008A6EE7">
      <w:pPr>
        <w:spacing w:after="0" w:line="240" w:lineRule="auto"/>
        <w:jc w:val="both"/>
        <w:rPr>
          <w:rFonts w:ascii="Times New Roman" w:hAnsi="Times New Roman" w:cs="Times New Roman"/>
        </w:rPr>
      </w:pPr>
    </w:p>
    <w:p w14:paraId="7165E168"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Distribučný objem leuprorelínu u mužov je </w:t>
      </w:r>
      <w:smartTag w:uri="urn:schemas-microsoft-com:office:smarttags" w:element="metricconverter">
        <w:smartTagPr>
          <w:attr w:name="ProductID" w:val="36 l"/>
        </w:smartTagPr>
        <w:r w:rsidRPr="002F1924">
          <w:rPr>
            <w:rFonts w:ascii="Times New Roman" w:hAnsi="Times New Roman" w:cs="Times New Roman"/>
          </w:rPr>
          <w:t>36 l</w:t>
        </w:r>
      </w:smartTag>
      <w:r w:rsidRPr="002F1924">
        <w:rPr>
          <w:rFonts w:ascii="Times New Roman" w:hAnsi="Times New Roman" w:cs="Times New Roman"/>
        </w:rPr>
        <w:t>; celkový klírens je 139,6 ml/min.</w:t>
      </w:r>
    </w:p>
    <w:p w14:paraId="6C85487E" w14:textId="77777777" w:rsidR="00B52502" w:rsidRPr="002F1924" w:rsidRDefault="00B52502" w:rsidP="008A6EE7">
      <w:pPr>
        <w:spacing w:after="0" w:line="240" w:lineRule="auto"/>
        <w:jc w:val="both"/>
        <w:rPr>
          <w:rFonts w:ascii="Times New Roman" w:hAnsi="Times New Roman" w:cs="Times New Roman"/>
        </w:rPr>
      </w:pPr>
    </w:p>
    <w:p w14:paraId="503AF166"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U pacientov s poruchami funkcie obličiek alebo pečene boli namerané hladiny leuprorelínu v rámci rozsahu, ktorý sa pozoroval u pacientov s normálnou funkciou obličiek alebo pečene. U niektorých pacientov s chronickým renálnym zlyhaním boli namerané vyššie hladiny leuprorelínu. Toto zistenie sa však nezdá byť klinicky významné.</w:t>
      </w:r>
    </w:p>
    <w:p w14:paraId="004BB7FD" w14:textId="77777777" w:rsidR="00B52502" w:rsidRPr="002F1924" w:rsidRDefault="00B52502" w:rsidP="008A6EE7">
      <w:pPr>
        <w:spacing w:after="0" w:line="240" w:lineRule="auto"/>
        <w:jc w:val="both"/>
        <w:rPr>
          <w:rFonts w:ascii="Times New Roman" w:hAnsi="Times New Roman" w:cs="Times New Roman"/>
        </w:rPr>
      </w:pPr>
    </w:p>
    <w:p w14:paraId="73DE27E5"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5.3</w:t>
      </w:r>
      <w:r w:rsidRPr="002F1924">
        <w:rPr>
          <w:rFonts w:ascii="Times New Roman" w:hAnsi="Times New Roman" w:cs="Times New Roman"/>
          <w:b/>
          <w:bCs/>
          <w:sz w:val="22"/>
          <w:szCs w:val="22"/>
          <w:u w:val="none"/>
          <w:lang w:val="sk-SK"/>
        </w:rPr>
        <w:tab/>
        <w:t>Predklinické údaje o bezpečnosti</w:t>
      </w:r>
    </w:p>
    <w:p w14:paraId="2CAD64DF" w14:textId="77777777" w:rsidR="00B52502" w:rsidRPr="002F1924" w:rsidRDefault="00B52502" w:rsidP="008A6EE7">
      <w:pPr>
        <w:spacing w:after="0" w:line="240" w:lineRule="auto"/>
        <w:jc w:val="both"/>
        <w:rPr>
          <w:rFonts w:ascii="Times New Roman" w:hAnsi="Times New Roman" w:cs="Times New Roman"/>
        </w:rPr>
      </w:pPr>
    </w:p>
    <w:p w14:paraId="13037770"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Predklinické štúdie s leuprorelíniumacetátom preukázali účinky na reprodukčné orgány, čo sa predpokladalo na základe známych farmakologických vlastností leuprorelínu. </w:t>
      </w:r>
    </w:p>
    <w:p w14:paraId="0709AE8D" w14:textId="77777777" w:rsidR="00B52502" w:rsidRPr="002F1924" w:rsidRDefault="00B52502" w:rsidP="008A6EE7">
      <w:pPr>
        <w:spacing w:after="0" w:line="240" w:lineRule="auto"/>
        <w:jc w:val="both"/>
        <w:rPr>
          <w:rFonts w:ascii="Times New Roman" w:hAnsi="Times New Roman" w:cs="Times New Roman"/>
        </w:rPr>
      </w:pPr>
    </w:p>
    <w:p w14:paraId="197A06CE" w14:textId="77777777" w:rsidR="00B52502" w:rsidRPr="002F1924" w:rsidRDefault="00B52502" w:rsidP="008A6EE7">
      <w:pPr>
        <w:spacing w:after="0" w:line="240" w:lineRule="auto"/>
        <w:jc w:val="both"/>
        <w:rPr>
          <w:rFonts w:ascii="Times New Roman" w:hAnsi="Times New Roman" w:cs="Times New Roman"/>
          <w:i/>
          <w:iCs/>
        </w:rPr>
      </w:pPr>
      <w:r w:rsidRPr="002F1924">
        <w:rPr>
          <w:rFonts w:ascii="Times New Roman" w:hAnsi="Times New Roman" w:cs="Times New Roman"/>
          <w:i/>
          <w:iCs/>
        </w:rPr>
        <w:t>Karcinogenita</w:t>
      </w:r>
    </w:p>
    <w:p w14:paraId="7963CD6C"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U potkanov sa pozorovalo po subkutánnom injekčnom podaní dávok 0,6 </w:t>
      </w:r>
      <w:r w:rsidRPr="002F1924">
        <w:rPr>
          <w:rFonts w:ascii="Times New Roman" w:hAnsi="Times New Roman" w:cs="Times New Roman"/>
        </w:rPr>
        <w:noBreakHyphen/>
        <w:t xml:space="preserve"> 4 mg/kg/deň počas 12 a 24 mesiacov dávkovo-závislé zväčšenie adenómu hypofýzy. U myší sa tento účinok nepozoroval v priebehu 24 mesačného podávania. </w:t>
      </w:r>
    </w:p>
    <w:p w14:paraId="04CC981B" w14:textId="77777777" w:rsidR="00B52502" w:rsidRPr="002F1924" w:rsidRDefault="00B52502" w:rsidP="008A6EE7">
      <w:pPr>
        <w:spacing w:after="0" w:line="240" w:lineRule="auto"/>
        <w:jc w:val="both"/>
        <w:rPr>
          <w:rFonts w:ascii="Times New Roman" w:hAnsi="Times New Roman" w:cs="Times New Roman"/>
        </w:rPr>
      </w:pPr>
    </w:p>
    <w:p w14:paraId="37F3FEA1" w14:textId="77777777" w:rsidR="00B52502" w:rsidRPr="002F1924" w:rsidRDefault="00B52502" w:rsidP="008A6EE7">
      <w:pPr>
        <w:spacing w:after="0" w:line="240" w:lineRule="auto"/>
        <w:jc w:val="both"/>
        <w:rPr>
          <w:rFonts w:ascii="Times New Roman" w:hAnsi="Times New Roman" w:cs="Times New Roman"/>
          <w:i/>
          <w:iCs/>
        </w:rPr>
      </w:pPr>
      <w:r w:rsidRPr="002F1924">
        <w:rPr>
          <w:rFonts w:ascii="Times New Roman" w:hAnsi="Times New Roman" w:cs="Times New Roman"/>
          <w:i/>
          <w:iCs/>
        </w:rPr>
        <w:t>Mutagenita</w:t>
      </w:r>
    </w:p>
    <w:p w14:paraId="267C3085"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i/>
          <w:iCs/>
        </w:rPr>
        <w:t>In vitro</w:t>
      </w:r>
      <w:r w:rsidRPr="002F1924">
        <w:rPr>
          <w:rFonts w:ascii="Times New Roman" w:hAnsi="Times New Roman" w:cs="Times New Roman"/>
        </w:rPr>
        <w:t xml:space="preserve"> a </w:t>
      </w:r>
      <w:r w:rsidRPr="002F1924">
        <w:rPr>
          <w:rFonts w:ascii="Times New Roman" w:hAnsi="Times New Roman" w:cs="Times New Roman"/>
          <w:i/>
          <w:iCs/>
        </w:rPr>
        <w:t>in vivo</w:t>
      </w:r>
      <w:r w:rsidRPr="002F1924">
        <w:rPr>
          <w:rFonts w:ascii="Times New Roman" w:hAnsi="Times New Roman" w:cs="Times New Roman"/>
        </w:rPr>
        <w:t xml:space="preserve"> štúdie s leuprorelíniumacetátom zamerané na detekciu genetických a chromozómových mutácií neodhalili žiadny mutagénny potenciál. </w:t>
      </w:r>
    </w:p>
    <w:p w14:paraId="055E237B" w14:textId="77777777" w:rsidR="00B52502" w:rsidRPr="002F1924" w:rsidRDefault="00B52502" w:rsidP="008A6EE7">
      <w:pPr>
        <w:spacing w:after="0" w:line="240" w:lineRule="auto"/>
        <w:jc w:val="both"/>
        <w:rPr>
          <w:rFonts w:ascii="Times New Roman" w:hAnsi="Times New Roman" w:cs="Times New Roman"/>
        </w:rPr>
      </w:pPr>
    </w:p>
    <w:p w14:paraId="0783CBE7"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i/>
          <w:iCs/>
        </w:rPr>
        <w:t>Reprodukčná toxicita</w:t>
      </w:r>
    </w:p>
    <w:p w14:paraId="66320274"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V reprodukčných štúdiách toxicity na králikoch sa pozorovalo zvýšenie mortality pre plod a zníženie telesnej hmotnosti plodu. Účinky na fetálnu mortalitu sú predpokladaný následok farmakodynamického účinku tohto liečiva.</w:t>
      </w:r>
    </w:p>
    <w:p w14:paraId="27951C6B" w14:textId="77777777" w:rsidR="00B52502" w:rsidRPr="002F1924" w:rsidRDefault="00B52502" w:rsidP="008A6EE7">
      <w:pPr>
        <w:spacing w:after="0" w:line="240" w:lineRule="auto"/>
        <w:rPr>
          <w:rFonts w:ascii="Times New Roman" w:hAnsi="Times New Roman" w:cs="Times New Roman"/>
        </w:rPr>
      </w:pPr>
    </w:p>
    <w:p w14:paraId="1E700D83" w14:textId="77777777" w:rsidR="00B52502" w:rsidRPr="002F1924" w:rsidRDefault="00B52502" w:rsidP="008A6EE7">
      <w:pPr>
        <w:spacing w:after="0" w:line="240" w:lineRule="auto"/>
        <w:ind w:right="-500"/>
        <w:rPr>
          <w:rFonts w:ascii="Times New Roman" w:hAnsi="Times New Roman" w:cs="Times New Roman"/>
          <w:i/>
          <w:iCs/>
        </w:rPr>
      </w:pPr>
      <w:r w:rsidRPr="002F1924">
        <w:rPr>
          <w:rFonts w:ascii="Times New Roman" w:hAnsi="Times New Roman" w:cs="Times New Roman"/>
          <w:i/>
          <w:iCs/>
        </w:rPr>
        <w:t>Lokálna tolerancia</w:t>
      </w:r>
    </w:p>
    <w:p w14:paraId="4BC32FDC" w14:textId="77777777" w:rsidR="00B52502" w:rsidRPr="002F1924" w:rsidRDefault="00B52502" w:rsidP="008A6EE7">
      <w:pPr>
        <w:spacing w:after="0" w:line="240" w:lineRule="auto"/>
        <w:ind w:right="72"/>
        <w:rPr>
          <w:rFonts w:ascii="Times New Roman" w:hAnsi="Times New Roman" w:cs="Times New Roman"/>
        </w:rPr>
      </w:pPr>
      <w:r w:rsidRPr="002F1924">
        <w:rPr>
          <w:rFonts w:ascii="Times New Roman" w:hAnsi="Times New Roman" w:cs="Times New Roman"/>
        </w:rPr>
        <w:t>Predklinické štúdie na psoch a králikoch preukázali dobrú lokálnu znášanlivosť Leuprorelinu Sandoz 5 mg implantátu.</w:t>
      </w:r>
    </w:p>
    <w:p w14:paraId="1A0FD986" w14:textId="77777777" w:rsidR="00B52502" w:rsidRPr="002F1924" w:rsidRDefault="00B52502" w:rsidP="008A6EE7">
      <w:pPr>
        <w:spacing w:after="0" w:line="240" w:lineRule="auto"/>
        <w:jc w:val="both"/>
        <w:rPr>
          <w:rFonts w:ascii="Times New Roman" w:hAnsi="Times New Roman" w:cs="Times New Roman"/>
        </w:rPr>
      </w:pPr>
    </w:p>
    <w:p w14:paraId="6D18B1E8" w14:textId="77777777" w:rsidR="00B52502" w:rsidRPr="002F1924" w:rsidRDefault="00B52502" w:rsidP="008A6EE7">
      <w:pPr>
        <w:spacing w:after="0" w:line="240" w:lineRule="auto"/>
        <w:jc w:val="both"/>
        <w:rPr>
          <w:rFonts w:ascii="Times New Roman" w:hAnsi="Times New Roman" w:cs="Times New Roman"/>
        </w:rPr>
      </w:pPr>
    </w:p>
    <w:p w14:paraId="676E1561" w14:textId="77777777" w:rsidR="00B52502" w:rsidRPr="002F1924" w:rsidRDefault="00B52502" w:rsidP="008A6EE7">
      <w:pPr>
        <w:pStyle w:val="Nadpis1"/>
        <w:ind w:left="567" w:hanging="567"/>
        <w:jc w:val="both"/>
        <w:rPr>
          <w:rFonts w:ascii="Times New Roman" w:hAnsi="Times New Roman" w:cs="Times New Roman"/>
          <w:noProof/>
          <w:color w:val="auto"/>
          <w:sz w:val="22"/>
          <w:szCs w:val="22"/>
          <w:lang w:val="sk-SK"/>
        </w:rPr>
      </w:pPr>
      <w:r w:rsidRPr="002F1924">
        <w:rPr>
          <w:rFonts w:ascii="Times New Roman" w:hAnsi="Times New Roman" w:cs="Times New Roman"/>
          <w:noProof/>
          <w:color w:val="auto"/>
          <w:sz w:val="22"/>
          <w:szCs w:val="22"/>
          <w:lang w:val="sk-SK"/>
        </w:rPr>
        <w:t>6.</w:t>
      </w:r>
      <w:r w:rsidRPr="002F1924">
        <w:rPr>
          <w:rFonts w:ascii="Times New Roman" w:hAnsi="Times New Roman" w:cs="Times New Roman"/>
          <w:noProof/>
          <w:color w:val="auto"/>
          <w:sz w:val="22"/>
          <w:szCs w:val="22"/>
          <w:lang w:val="sk-SK"/>
        </w:rPr>
        <w:tab/>
        <w:t xml:space="preserve">FARMACEUTICKÉ </w:t>
      </w:r>
      <w:r w:rsidRPr="002F1924">
        <w:rPr>
          <w:rFonts w:ascii="Times New Roman" w:hAnsi="Times New Roman" w:cs="Times New Roman"/>
          <w:caps/>
          <w:noProof/>
          <w:color w:val="auto"/>
          <w:sz w:val="22"/>
          <w:szCs w:val="22"/>
          <w:lang w:val="sk-SK"/>
        </w:rPr>
        <w:t>INFORMÁCIE</w:t>
      </w:r>
    </w:p>
    <w:p w14:paraId="05370D13" w14:textId="77777777" w:rsidR="00B52502" w:rsidRPr="002F1924" w:rsidRDefault="00B52502" w:rsidP="008A6EE7">
      <w:pPr>
        <w:spacing w:after="0" w:line="240" w:lineRule="auto"/>
        <w:jc w:val="both"/>
        <w:rPr>
          <w:rFonts w:ascii="Times New Roman" w:hAnsi="Times New Roman" w:cs="Times New Roman"/>
          <w:b/>
          <w:bCs/>
        </w:rPr>
      </w:pPr>
    </w:p>
    <w:p w14:paraId="2BFD356B"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6.1</w:t>
      </w:r>
      <w:r w:rsidRPr="002F1924">
        <w:rPr>
          <w:rFonts w:ascii="Times New Roman" w:hAnsi="Times New Roman" w:cs="Times New Roman"/>
          <w:b/>
          <w:bCs/>
          <w:sz w:val="22"/>
          <w:szCs w:val="22"/>
          <w:u w:val="none"/>
          <w:lang w:val="sk-SK"/>
        </w:rPr>
        <w:tab/>
        <w:t>Zoznam pomocných látok</w:t>
      </w:r>
    </w:p>
    <w:p w14:paraId="2BF72775" w14:textId="77777777" w:rsidR="00B52502" w:rsidRPr="002F1924" w:rsidRDefault="00B52502" w:rsidP="008A6EE7">
      <w:pPr>
        <w:spacing w:after="0" w:line="240" w:lineRule="auto"/>
        <w:jc w:val="both"/>
        <w:rPr>
          <w:rFonts w:ascii="Times New Roman" w:hAnsi="Times New Roman" w:cs="Times New Roman"/>
        </w:rPr>
      </w:pPr>
    </w:p>
    <w:p w14:paraId="43B18853"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kyselina polymliečna</w:t>
      </w:r>
    </w:p>
    <w:p w14:paraId="0CC7A34F" w14:textId="77777777" w:rsidR="00B52502" w:rsidRPr="002F1924" w:rsidRDefault="00B52502" w:rsidP="008A6EE7">
      <w:pPr>
        <w:spacing w:after="0" w:line="240" w:lineRule="auto"/>
        <w:jc w:val="both"/>
        <w:rPr>
          <w:rFonts w:ascii="Times New Roman" w:hAnsi="Times New Roman" w:cs="Times New Roman"/>
        </w:rPr>
      </w:pPr>
    </w:p>
    <w:p w14:paraId="61D0C84B"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6.2</w:t>
      </w:r>
      <w:r w:rsidRPr="002F1924">
        <w:rPr>
          <w:rFonts w:ascii="Times New Roman" w:hAnsi="Times New Roman" w:cs="Times New Roman"/>
          <w:b/>
          <w:bCs/>
          <w:sz w:val="22"/>
          <w:szCs w:val="22"/>
          <w:u w:val="none"/>
          <w:lang w:val="sk-SK"/>
        </w:rPr>
        <w:tab/>
        <w:t>Inkompatibility</w:t>
      </w:r>
    </w:p>
    <w:p w14:paraId="21A0C0BC" w14:textId="77777777" w:rsidR="00B52502" w:rsidRPr="002F1924" w:rsidRDefault="00B52502" w:rsidP="008A6EE7">
      <w:pPr>
        <w:spacing w:after="0" w:line="240" w:lineRule="auto"/>
        <w:jc w:val="both"/>
        <w:rPr>
          <w:rFonts w:ascii="Times New Roman" w:hAnsi="Times New Roman" w:cs="Times New Roman"/>
        </w:rPr>
      </w:pPr>
    </w:p>
    <w:p w14:paraId="2F0EBDD2"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rPr>
        <w:t>Neaplikovateľné.</w:t>
      </w:r>
    </w:p>
    <w:p w14:paraId="6394ECBD" w14:textId="77777777" w:rsidR="00B52502" w:rsidRPr="002F1924" w:rsidRDefault="00B52502" w:rsidP="008A6EE7">
      <w:pPr>
        <w:spacing w:after="0" w:line="240" w:lineRule="auto"/>
        <w:jc w:val="both"/>
        <w:rPr>
          <w:rFonts w:ascii="Times New Roman" w:hAnsi="Times New Roman" w:cs="Times New Roman"/>
        </w:rPr>
      </w:pPr>
    </w:p>
    <w:p w14:paraId="634B0B7D"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lastRenderedPageBreak/>
        <w:t>6.3</w:t>
      </w:r>
      <w:r w:rsidRPr="002F1924">
        <w:rPr>
          <w:rFonts w:ascii="Times New Roman" w:hAnsi="Times New Roman" w:cs="Times New Roman"/>
          <w:b/>
          <w:bCs/>
          <w:sz w:val="22"/>
          <w:szCs w:val="22"/>
          <w:u w:val="none"/>
          <w:lang w:val="sk-SK"/>
        </w:rPr>
        <w:tab/>
        <w:t>Čas použiteľnosti</w:t>
      </w:r>
    </w:p>
    <w:p w14:paraId="5104ABC7"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3B3EC450"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4 roky.</w:t>
      </w:r>
    </w:p>
    <w:p w14:paraId="71FE14CA"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3B708085"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6.4</w:t>
      </w:r>
      <w:r w:rsidRPr="002F1924">
        <w:rPr>
          <w:rFonts w:ascii="Times New Roman" w:hAnsi="Times New Roman" w:cs="Times New Roman"/>
          <w:b/>
          <w:bCs/>
          <w:sz w:val="22"/>
          <w:szCs w:val="22"/>
          <w:u w:val="none"/>
          <w:lang w:val="sk-SK"/>
        </w:rPr>
        <w:tab/>
        <w:t>Špeciálne upozornenia na uchovávanie</w:t>
      </w:r>
    </w:p>
    <w:p w14:paraId="65FF40F6" w14:textId="77777777" w:rsidR="00B52502" w:rsidRPr="002F1924" w:rsidRDefault="00B52502" w:rsidP="008A6EE7">
      <w:pPr>
        <w:tabs>
          <w:tab w:val="left" w:pos="567"/>
        </w:tabs>
        <w:spacing w:after="0" w:line="240" w:lineRule="auto"/>
        <w:jc w:val="both"/>
        <w:rPr>
          <w:rFonts w:ascii="Times New Roman" w:hAnsi="Times New Roman" w:cs="Times New Roman"/>
        </w:rPr>
      </w:pPr>
    </w:p>
    <w:p w14:paraId="0C6C049F" w14:textId="77777777" w:rsidR="00B52502" w:rsidRPr="002F1924" w:rsidRDefault="00B52502" w:rsidP="008A6EE7">
      <w:pPr>
        <w:tabs>
          <w:tab w:val="left" w:pos="567"/>
        </w:tabs>
        <w:spacing w:after="0" w:line="240" w:lineRule="auto"/>
        <w:jc w:val="both"/>
        <w:rPr>
          <w:rFonts w:ascii="Times New Roman" w:hAnsi="Times New Roman" w:cs="Times New Roman"/>
        </w:rPr>
      </w:pPr>
      <w:r w:rsidRPr="002F1924">
        <w:rPr>
          <w:rFonts w:ascii="Times New Roman" w:hAnsi="Times New Roman" w:cs="Times New Roman"/>
        </w:rPr>
        <w:t xml:space="preserve">Uchovávajte pri teplote neprevyšujúcej </w:t>
      </w:r>
      <w:smartTag w:uri="urn:schemas-microsoft-com:office:smarttags" w:element="metricconverter">
        <w:smartTagPr>
          <w:attr w:name="ProductID" w:val="30 °C"/>
        </w:smartTagPr>
        <w:r w:rsidRPr="002F1924">
          <w:rPr>
            <w:rFonts w:ascii="Times New Roman" w:hAnsi="Times New Roman" w:cs="Times New Roman"/>
          </w:rPr>
          <w:t>30 °C</w:t>
        </w:r>
      </w:smartTag>
      <w:r w:rsidRPr="002F1924">
        <w:rPr>
          <w:rFonts w:ascii="Times New Roman" w:hAnsi="Times New Roman" w:cs="Times New Roman"/>
        </w:rPr>
        <w:t>.</w:t>
      </w:r>
    </w:p>
    <w:p w14:paraId="26FA06C7" w14:textId="77777777" w:rsidR="00B52502" w:rsidRPr="002F1924" w:rsidRDefault="00B52502" w:rsidP="008A6EE7">
      <w:pPr>
        <w:spacing w:after="0" w:line="240" w:lineRule="auto"/>
        <w:jc w:val="both"/>
        <w:rPr>
          <w:rFonts w:ascii="Times New Roman" w:hAnsi="Times New Roman" w:cs="Times New Roman"/>
        </w:rPr>
      </w:pPr>
    </w:p>
    <w:p w14:paraId="60E2D0EA"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6.5</w:t>
      </w:r>
      <w:r w:rsidRPr="002F1924">
        <w:rPr>
          <w:rFonts w:ascii="Times New Roman" w:hAnsi="Times New Roman" w:cs="Times New Roman"/>
          <w:b/>
          <w:bCs/>
          <w:sz w:val="22"/>
          <w:szCs w:val="22"/>
          <w:u w:val="none"/>
          <w:lang w:val="sk-SK"/>
        </w:rPr>
        <w:tab/>
        <w:t>Druh obalu a obsah balenia</w:t>
      </w:r>
    </w:p>
    <w:p w14:paraId="78758BED" w14:textId="77777777" w:rsidR="00B52502" w:rsidRPr="002F1924" w:rsidRDefault="00B52502" w:rsidP="008A6EE7">
      <w:pPr>
        <w:spacing w:after="0" w:line="240" w:lineRule="auto"/>
        <w:jc w:val="both"/>
        <w:rPr>
          <w:rFonts w:ascii="Times New Roman" w:hAnsi="Times New Roman" w:cs="Times New Roman"/>
        </w:rPr>
      </w:pPr>
    </w:p>
    <w:p w14:paraId="50860B04" w14:textId="77777777" w:rsidR="00B52502" w:rsidRPr="002F1924" w:rsidRDefault="00B52502" w:rsidP="008A6EE7">
      <w:pPr>
        <w:spacing w:after="0" w:line="240" w:lineRule="auto"/>
        <w:rPr>
          <w:rFonts w:ascii="Times New Roman" w:hAnsi="Times New Roman" w:cs="Times New Roman"/>
        </w:rPr>
      </w:pPr>
      <w:r w:rsidRPr="002F1924">
        <w:rPr>
          <w:rFonts w:ascii="Times New Roman" w:hAnsi="Times New Roman" w:cs="Times New Roman"/>
        </w:rPr>
        <w:t xml:space="preserve">Plastová naplnená injekčná striekačka (polykarbonát) s piestom (akrylonitril-butadién-styrénový kopolymér) a injekčnou ihlou uzavreté vo vrecku, ktoré je pokryté fóliou (polyetylén tereftalát/hliník/PE kompozit). </w:t>
      </w:r>
    </w:p>
    <w:p w14:paraId="41618579" w14:textId="77777777" w:rsidR="00B52502" w:rsidRPr="002F1924" w:rsidRDefault="00B52502" w:rsidP="008A6EE7">
      <w:pPr>
        <w:spacing w:after="0" w:line="240" w:lineRule="auto"/>
        <w:jc w:val="both"/>
        <w:rPr>
          <w:rFonts w:ascii="Times New Roman" w:hAnsi="Times New Roman" w:cs="Times New Roman"/>
        </w:rPr>
      </w:pPr>
    </w:p>
    <w:p w14:paraId="554A57CF" w14:textId="77777777" w:rsidR="00B52502" w:rsidRPr="002F1924" w:rsidRDefault="00B52502" w:rsidP="008A6EE7">
      <w:pPr>
        <w:tabs>
          <w:tab w:val="left" w:pos="1620"/>
        </w:tabs>
        <w:spacing w:after="0" w:line="240" w:lineRule="auto"/>
        <w:ind w:left="1418" w:hanging="1418"/>
        <w:jc w:val="both"/>
        <w:rPr>
          <w:rFonts w:ascii="Times New Roman" w:hAnsi="Times New Roman" w:cs="Times New Roman"/>
        </w:rPr>
      </w:pPr>
      <w:r w:rsidRPr="002F1924">
        <w:rPr>
          <w:rFonts w:ascii="Times New Roman" w:hAnsi="Times New Roman" w:cs="Times New Roman"/>
        </w:rPr>
        <w:t>Veľkosti balenia:</w:t>
      </w:r>
      <w:r w:rsidRPr="002F1924">
        <w:rPr>
          <w:rFonts w:ascii="Times New Roman" w:hAnsi="Times New Roman" w:cs="Times New Roman"/>
        </w:rPr>
        <w:tab/>
        <w:t>1 x 1 implantát s 5 mg leuprorelínu (vo forme acetátu)</w:t>
      </w:r>
    </w:p>
    <w:p w14:paraId="20178CC6" w14:textId="77777777" w:rsidR="00B52502" w:rsidRPr="002F1924" w:rsidRDefault="00B52502" w:rsidP="008A6EE7">
      <w:pPr>
        <w:spacing w:after="0" w:line="240" w:lineRule="auto"/>
        <w:ind w:left="1440" w:firstLine="180"/>
        <w:jc w:val="both"/>
        <w:rPr>
          <w:rFonts w:ascii="Times New Roman" w:hAnsi="Times New Roman" w:cs="Times New Roman"/>
        </w:rPr>
      </w:pPr>
      <w:r w:rsidRPr="002F1924">
        <w:rPr>
          <w:rFonts w:ascii="Times New Roman" w:hAnsi="Times New Roman" w:cs="Times New Roman"/>
        </w:rPr>
        <w:t>2 x 1 implantát s 5 mg leuprorelínu (vo forme acetátu)</w:t>
      </w:r>
    </w:p>
    <w:p w14:paraId="428042F9" w14:textId="77777777" w:rsidR="00B52502" w:rsidRPr="002F1924" w:rsidRDefault="00B52502" w:rsidP="008A6EE7">
      <w:pPr>
        <w:spacing w:after="0" w:line="240" w:lineRule="auto"/>
        <w:ind w:left="1418" w:firstLine="202"/>
        <w:jc w:val="both"/>
        <w:rPr>
          <w:rFonts w:ascii="Times New Roman" w:hAnsi="Times New Roman" w:cs="Times New Roman"/>
        </w:rPr>
      </w:pPr>
      <w:r w:rsidRPr="002F1924">
        <w:rPr>
          <w:rFonts w:ascii="Times New Roman" w:hAnsi="Times New Roman" w:cs="Times New Roman"/>
        </w:rPr>
        <w:t>3 x 1 implantát s 5 mg leuprorelínu (vo forme acetátu)</w:t>
      </w:r>
    </w:p>
    <w:p w14:paraId="4D962964" w14:textId="77777777" w:rsidR="00B52502" w:rsidRPr="002F1924" w:rsidRDefault="00B52502" w:rsidP="008A6EE7">
      <w:pPr>
        <w:spacing w:after="0" w:line="240" w:lineRule="auto"/>
        <w:ind w:left="1418" w:firstLine="202"/>
        <w:jc w:val="both"/>
        <w:rPr>
          <w:rFonts w:ascii="Times New Roman" w:hAnsi="Times New Roman" w:cs="Times New Roman"/>
        </w:rPr>
      </w:pPr>
      <w:r w:rsidRPr="002F1924">
        <w:rPr>
          <w:rFonts w:ascii="Times New Roman" w:hAnsi="Times New Roman" w:cs="Times New Roman"/>
        </w:rPr>
        <w:t>5 x 1 implantát s 5 mg leuprorelínu (vo forme acetátu)</w:t>
      </w:r>
    </w:p>
    <w:p w14:paraId="14BEC07D" w14:textId="77777777" w:rsidR="00B52502" w:rsidRPr="002F1924" w:rsidRDefault="00B52502" w:rsidP="008A6EE7">
      <w:pPr>
        <w:spacing w:after="0" w:line="240" w:lineRule="auto"/>
        <w:jc w:val="both"/>
        <w:rPr>
          <w:rFonts w:ascii="Times New Roman" w:hAnsi="Times New Roman" w:cs="Times New Roman"/>
        </w:rPr>
      </w:pPr>
    </w:p>
    <w:p w14:paraId="74EB491C"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Na trh</w:t>
      </w:r>
      <w:r w:rsidRPr="002F1924" w:rsidDel="005409F4">
        <w:rPr>
          <w:rFonts w:ascii="Times New Roman" w:hAnsi="Times New Roman" w:cs="Times New Roman"/>
        </w:rPr>
        <w:t xml:space="preserve"> </w:t>
      </w:r>
      <w:r w:rsidRPr="002F1924">
        <w:rPr>
          <w:rFonts w:ascii="Times New Roman" w:hAnsi="Times New Roman" w:cs="Times New Roman"/>
        </w:rPr>
        <w:t>nemusia byť uvedené všetky veľkosti balenia.</w:t>
      </w:r>
    </w:p>
    <w:p w14:paraId="01609EE0" w14:textId="77777777" w:rsidR="00B52502" w:rsidRPr="002F1924" w:rsidRDefault="00B52502" w:rsidP="008A6EE7">
      <w:pPr>
        <w:spacing w:after="0" w:line="240" w:lineRule="auto"/>
        <w:jc w:val="both"/>
        <w:rPr>
          <w:rFonts w:ascii="Times New Roman" w:hAnsi="Times New Roman" w:cs="Times New Roman"/>
        </w:rPr>
      </w:pPr>
    </w:p>
    <w:p w14:paraId="72BBB9D5" w14:textId="77777777" w:rsidR="00B52502" w:rsidRPr="002F1924" w:rsidRDefault="00B52502" w:rsidP="008A6EE7">
      <w:pPr>
        <w:pStyle w:val="Nadpis2"/>
        <w:ind w:hanging="540"/>
        <w:jc w:val="both"/>
        <w:rPr>
          <w:rFonts w:ascii="Times New Roman" w:hAnsi="Times New Roman" w:cs="Times New Roman"/>
          <w:b/>
          <w:bCs/>
          <w:sz w:val="22"/>
          <w:szCs w:val="22"/>
          <w:u w:val="none"/>
          <w:lang w:val="sk-SK"/>
        </w:rPr>
      </w:pPr>
      <w:r w:rsidRPr="002F1924">
        <w:rPr>
          <w:rFonts w:ascii="Times New Roman" w:hAnsi="Times New Roman" w:cs="Times New Roman"/>
          <w:b/>
          <w:bCs/>
          <w:sz w:val="22"/>
          <w:szCs w:val="22"/>
          <w:u w:val="none"/>
          <w:lang w:val="sk-SK"/>
        </w:rPr>
        <w:t>6.6</w:t>
      </w:r>
      <w:r w:rsidRPr="002F1924">
        <w:rPr>
          <w:rFonts w:ascii="Times New Roman" w:hAnsi="Times New Roman" w:cs="Times New Roman"/>
          <w:b/>
          <w:bCs/>
          <w:sz w:val="22"/>
          <w:szCs w:val="22"/>
          <w:u w:val="none"/>
          <w:lang w:val="sk-SK"/>
        </w:rPr>
        <w:tab/>
        <w:t>Špeciálne opatrenia na likvidáciu a iné zaobchádzanie s liekom</w:t>
      </w:r>
    </w:p>
    <w:p w14:paraId="26D52501" w14:textId="77777777" w:rsidR="00B52502" w:rsidRPr="002F1924" w:rsidRDefault="00B52502" w:rsidP="008A6EE7">
      <w:pPr>
        <w:spacing w:after="0" w:line="240" w:lineRule="auto"/>
        <w:jc w:val="both"/>
        <w:rPr>
          <w:rFonts w:ascii="Times New Roman" w:hAnsi="Times New Roman" w:cs="Times New Roman"/>
        </w:rPr>
      </w:pPr>
    </w:p>
    <w:p w14:paraId="59F969B5"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Žiadne zvláštne požiadavky na likvidáciu.</w:t>
      </w:r>
    </w:p>
    <w:p w14:paraId="5059367F" w14:textId="77777777" w:rsidR="00B52502" w:rsidRPr="002F1924" w:rsidRDefault="00B52502" w:rsidP="008A6EE7">
      <w:pPr>
        <w:spacing w:after="0" w:line="240" w:lineRule="auto"/>
        <w:jc w:val="both"/>
        <w:rPr>
          <w:rFonts w:ascii="Times New Roman" w:hAnsi="Times New Roman" w:cs="Times New Roman"/>
        </w:rPr>
      </w:pPr>
    </w:p>
    <w:p w14:paraId="098C75A4" w14:textId="77777777" w:rsidR="00B52502" w:rsidRPr="002F1924" w:rsidRDefault="00B52502" w:rsidP="008A6EE7">
      <w:pPr>
        <w:spacing w:after="0" w:line="240" w:lineRule="auto"/>
        <w:jc w:val="both"/>
        <w:rPr>
          <w:rFonts w:ascii="Times New Roman" w:hAnsi="Times New Roman" w:cs="Times New Roman"/>
        </w:rPr>
      </w:pPr>
    </w:p>
    <w:p w14:paraId="6C89BD56" w14:textId="77777777" w:rsidR="00B52502" w:rsidRPr="002F1924" w:rsidRDefault="00B52502" w:rsidP="008A6EE7">
      <w:pPr>
        <w:pStyle w:val="Nadpis1"/>
        <w:ind w:left="567" w:hanging="567"/>
        <w:jc w:val="both"/>
        <w:rPr>
          <w:rFonts w:ascii="Times New Roman" w:hAnsi="Times New Roman" w:cs="Times New Roman"/>
          <w:noProof/>
          <w:color w:val="auto"/>
          <w:sz w:val="22"/>
          <w:szCs w:val="22"/>
          <w:lang w:val="sk-SK"/>
        </w:rPr>
      </w:pPr>
      <w:r w:rsidRPr="002F1924">
        <w:rPr>
          <w:rFonts w:ascii="Times New Roman" w:hAnsi="Times New Roman" w:cs="Times New Roman"/>
          <w:noProof/>
          <w:color w:val="auto"/>
          <w:sz w:val="22"/>
          <w:szCs w:val="22"/>
          <w:lang w:val="sk-SK"/>
        </w:rPr>
        <w:t>7.</w:t>
      </w:r>
      <w:r w:rsidRPr="002F1924">
        <w:rPr>
          <w:rFonts w:ascii="Times New Roman" w:hAnsi="Times New Roman" w:cs="Times New Roman"/>
          <w:noProof/>
          <w:color w:val="auto"/>
          <w:sz w:val="22"/>
          <w:szCs w:val="22"/>
          <w:lang w:val="sk-SK"/>
        </w:rPr>
        <w:tab/>
        <w:t>DRŽITEĽ ROZHODNUTIA O REGISTRÁCII</w:t>
      </w:r>
    </w:p>
    <w:p w14:paraId="7B318540" w14:textId="77777777" w:rsidR="00B52502" w:rsidRPr="002F1924" w:rsidRDefault="00B52502" w:rsidP="008A6EE7">
      <w:pPr>
        <w:spacing w:after="0" w:line="240" w:lineRule="auto"/>
        <w:jc w:val="both"/>
        <w:rPr>
          <w:rFonts w:ascii="Times New Roman" w:hAnsi="Times New Roman" w:cs="Times New Roman"/>
        </w:rPr>
      </w:pPr>
    </w:p>
    <w:p w14:paraId="35D1CF94"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Sandoz Pharmaceuticals d.d.</w:t>
      </w:r>
    </w:p>
    <w:p w14:paraId="4D1526D3"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Verovškova 57</w:t>
      </w:r>
    </w:p>
    <w:p w14:paraId="3F7F401F"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1000 Ľubľana</w:t>
      </w:r>
    </w:p>
    <w:p w14:paraId="0FCBCC71"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Slovinsko</w:t>
      </w:r>
    </w:p>
    <w:p w14:paraId="186EC31A" w14:textId="77777777" w:rsidR="00B52502" w:rsidRPr="002F1924" w:rsidRDefault="00B52502" w:rsidP="008A6EE7">
      <w:pPr>
        <w:spacing w:after="0" w:line="240" w:lineRule="auto"/>
        <w:jc w:val="both"/>
        <w:rPr>
          <w:rFonts w:ascii="Times New Roman" w:hAnsi="Times New Roman" w:cs="Times New Roman"/>
        </w:rPr>
      </w:pPr>
    </w:p>
    <w:p w14:paraId="6C3F6AD3" w14:textId="77777777" w:rsidR="00B52502" w:rsidRPr="002F1924" w:rsidRDefault="00B52502" w:rsidP="008A6EE7">
      <w:pPr>
        <w:spacing w:after="0" w:line="240" w:lineRule="auto"/>
        <w:jc w:val="both"/>
        <w:rPr>
          <w:rFonts w:ascii="Times New Roman" w:hAnsi="Times New Roman" w:cs="Times New Roman"/>
        </w:rPr>
      </w:pPr>
    </w:p>
    <w:p w14:paraId="57F20B33" w14:textId="77777777" w:rsidR="00B52502" w:rsidRPr="002F1924" w:rsidRDefault="00B52502" w:rsidP="008A6EE7">
      <w:pPr>
        <w:pStyle w:val="Nadpis1"/>
        <w:ind w:left="567" w:hanging="567"/>
        <w:jc w:val="both"/>
        <w:rPr>
          <w:rFonts w:ascii="Times New Roman" w:hAnsi="Times New Roman" w:cs="Times New Roman"/>
          <w:noProof/>
          <w:color w:val="auto"/>
          <w:sz w:val="22"/>
          <w:szCs w:val="22"/>
          <w:lang w:val="sk-SK"/>
        </w:rPr>
      </w:pPr>
      <w:r w:rsidRPr="002F1924">
        <w:rPr>
          <w:rFonts w:ascii="Times New Roman" w:hAnsi="Times New Roman" w:cs="Times New Roman"/>
          <w:noProof/>
          <w:color w:val="auto"/>
          <w:sz w:val="22"/>
          <w:szCs w:val="22"/>
          <w:lang w:val="sk-SK"/>
        </w:rPr>
        <w:t>8.</w:t>
      </w:r>
      <w:r w:rsidRPr="002F1924">
        <w:rPr>
          <w:rFonts w:ascii="Times New Roman" w:hAnsi="Times New Roman" w:cs="Times New Roman"/>
          <w:noProof/>
          <w:color w:val="auto"/>
          <w:sz w:val="22"/>
          <w:szCs w:val="22"/>
          <w:lang w:val="sk-SK"/>
        </w:rPr>
        <w:tab/>
        <w:t xml:space="preserve">REGISTRAČNÉ ČÍSLO </w:t>
      </w:r>
    </w:p>
    <w:p w14:paraId="7BA488C1" w14:textId="77777777" w:rsidR="00B52502" w:rsidRPr="002F1924" w:rsidRDefault="00B52502" w:rsidP="008A6EE7">
      <w:pPr>
        <w:spacing w:after="0" w:line="240" w:lineRule="auto"/>
        <w:jc w:val="both"/>
        <w:rPr>
          <w:rFonts w:ascii="Times New Roman" w:hAnsi="Times New Roman" w:cs="Times New Roman"/>
        </w:rPr>
      </w:pPr>
    </w:p>
    <w:p w14:paraId="721F3D29"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56/0564/09-S</w:t>
      </w:r>
    </w:p>
    <w:p w14:paraId="337A4136" w14:textId="77777777" w:rsidR="00B52502" w:rsidRPr="002F1924" w:rsidRDefault="00B52502" w:rsidP="008A6EE7">
      <w:pPr>
        <w:spacing w:after="0" w:line="240" w:lineRule="auto"/>
        <w:jc w:val="both"/>
        <w:rPr>
          <w:rFonts w:ascii="Times New Roman" w:hAnsi="Times New Roman" w:cs="Times New Roman"/>
        </w:rPr>
      </w:pPr>
    </w:p>
    <w:p w14:paraId="74247D12" w14:textId="77777777" w:rsidR="00B52502" w:rsidRPr="002F1924" w:rsidRDefault="00B52502" w:rsidP="008A6EE7">
      <w:pPr>
        <w:spacing w:after="0" w:line="240" w:lineRule="auto"/>
        <w:jc w:val="both"/>
        <w:rPr>
          <w:rFonts w:ascii="Times New Roman" w:hAnsi="Times New Roman" w:cs="Times New Roman"/>
        </w:rPr>
      </w:pPr>
    </w:p>
    <w:p w14:paraId="36DF0E2E" w14:textId="77777777" w:rsidR="00B52502" w:rsidRPr="002F1924" w:rsidRDefault="00B52502" w:rsidP="008A6EE7">
      <w:pPr>
        <w:pStyle w:val="Nadpis1"/>
        <w:ind w:left="567" w:hanging="567"/>
        <w:jc w:val="both"/>
        <w:rPr>
          <w:rFonts w:ascii="Times New Roman" w:hAnsi="Times New Roman" w:cs="Times New Roman"/>
          <w:noProof/>
          <w:color w:val="auto"/>
          <w:sz w:val="22"/>
          <w:szCs w:val="22"/>
          <w:lang w:val="sk-SK"/>
        </w:rPr>
      </w:pPr>
      <w:r w:rsidRPr="002F1924">
        <w:rPr>
          <w:rFonts w:ascii="Times New Roman" w:hAnsi="Times New Roman" w:cs="Times New Roman"/>
          <w:noProof/>
          <w:color w:val="auto"/>
          <w:sz w:val="22"/>
          <w:szCs w:val="22"/>
          <w:lang w:val="sk-SK"/>
        </w:rPr>
        <w:t>9.</w:t>
      </w:r>
      <w:r w:rsidRPr="002F1924">
        <w:rPr>
          <w:rFonts w:ascii="Times New Roman" w:hAnsi="Times New Roman" w:cs="Times New Roman"/>
          <w:noProof/>
          <w:color w:val="auto"/>
          <w:sz w:val="22"/>
          <w:szCs w:val="22"/>
          <w:lang w:val="sk-SK"/>
        </w:rPr>
        <w:tab/>
        <w:t>DÁTUM PRVEJ REGISTRÁCIE/PREDĹŽENIA REGISTRÁCIE</w:t>
      </w:r>
    </w:p>
    <w:p w14:paraId="262FD141" w14:textId="77777777" w:rsidR="00B52502" w:rsidRPr="002F1924" w:rsidRDefault="00B52502" w:rsidP="008A6EE7">
      <w:pPr>
        <w:spacing w:after="0" w:line="240" w:lineRule="auto"/>
        <w:jc w:val="both"/>
        <w:rPr>
          <w:rFonts w:ascii="Times New Roman" w:hAnsi="Times New Roman" w:cs="Times New Roman"/>
        </w:rPr>
      </w:pPr>
    </w:p>
    <w:p w14:paraId="137B7C96"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Dátum prvej registrácie: 25. september 2009</w:t>
      </w:r>
    </w:p>
    <w:p w14:paraId="03675565" w14:textId="77777777" w:rsidR="00B52502" w:rsidRPr="002F1924" w:rsidRDefault="00B52502" w:rsidP="008A6EE7">
      <w:pPr>
        <w:spacing w:after="0" w:line="240" w:lineRule="auto"/>
        <w:jc w:val="both"/>
        <w:rPr>
          <w:rFonts w:ascii="Times New Roman" w:hAnsi="Times New Roman" w:cs="Times New Roman"/>
        </w:rPr>
      </w:pPr>
      <w:r w:rsidRPr="002F1924">
        <w:rPr>
          <w:rFonts w:ascii="Times New Roman" w:hAnsi="Times New Roman" w:cs="Times New Roman"/>
        </w:rPr>
        <w:t>Dátum posledného predĺženia registrácie: 02. november 2016</w:t>
      </w:r>
    </w:p>
    <w:p w14:paraId="2E43C16F" w14:textId="77777777" w:rsidR="00B52502" w:rsidRPr="002F1924" w:rsidRDefault="00B52502" w:rsidP="008A6EE7">
      <w:pPr>
        <w:spacing w:after="0" w:line="240" w:lineRule="auto"/>
        <w:jc w:val="both"/>
        <w:rPr>
          <w:rFonts w:ascii="Times New Roman" w:hAnsi="Times New Roman" w:cs="Times New Roman"/>
        </w:rPr>
      </w:pPr>
    </w:p>
    <w:p w14:paraId="78608C92" w14:textId="77777777" w:rsidR="00B52502" w:rsidRPr="002F1924" w:rsidRDefault="00B52502" w:rsidP="008A6EE7">
      <w:pPr>
        <w:spacing w:after="0" w:line="240" w:lineRule="auto"/>
        <w:jc w:val="both"/>
        <w:rPr>
          <w:rFonts w:ascii="Times New Roman" w:hAnsi="Times New Roman" w:cs="Times New Roman"/>
        </w:rPr>
      </w:pPr>
    </w:p>
    <w:p w14:paraId="2AFDC7A8" w14:textId="77777777" w:rsidR="00B52502" w:rsidRPr="002F1924" w:rsidRDefault="00B52502" w:rsidP="008A6EE7">
      <w:pPr>
        <w:pStyle w:val="Nadpis1"/>
        <w:ind w:left="567" w:hanging="567"/>
        <w:jc w:val="both"/>
        <w:rPr>
          <w:rFonts w:ascii="Times New Roman" w:hAnsi="Times New Roman" w:cs="Times New Roman"/>
          <w:noProof/>
          <w:color w:val="auto"/>
          <w:sz w:val="22"/>
          <w:szCs w:val="22"/>
          <w:lang w:val="sk-SK"/>
        </w:rPr>
      </w:pPr>
      <w:r w:rsidRPr="002F1924">
        <w:rPr>
          <w:rFonts w:ascii="Times New Roman" w:hAnsi="Times New Roman" w:cs="Times New Roman"/>
          <w:noProof/>
          <w:color w:val="auto"/>
          <w:sz w:val="22"/>
          <w:szCs w:val="22"/>
          <w:lang w:val="sk-SK"/>
        </w:rPr>
        <w:t>10.</w:t>
      </w:r>
      <w:r w:rsidRPr="002F1924">
        <w:rPr>
          <w:rFonts w:ascii="Times New Roman" w:hAnsi="Times New Roman" w:cs="Times New Roman"/>
          <w:noProof/>
          <w:color w:val="auto"/>
          <w:sz w:val="22"/>
          <w:szCs w:val="22"/>
          <w:lang w:val="sk-SK"/>
        </w:rPr>
        <w:tab/>
        <w:t>DÁTUM REVÍZIE TEXTU</w:t>
      </w:r>
    </w:p>
    <w:p w14:paraId="64E1535E" w14:textId="77777777" w:rsidR="00B52502" w:rsidRPr="002F1924" w:rsidRDefault="00B52502" w:rsidP="008A6EE7">
      <w:pPr>
        <w:spacing w:after="0" w:line="240" w:lineRule="auto"/>
        <w:jc w:val="both"/>
        <w:rPr>
          <w:rFonts w:ascii="Times New Roman" w:hAnsi="Times New Roman" w:cs="Times New Roman"/>
        </w:rPr>
      </w:pPr>
    </w:p>
    <w:p w14:paraId="6F0ACBF6" w14:textId="6198C938" w:rsidR="00970A2C" w:rsidRPr="008A6EE7" w:rsidRDefault="00E35D5B" w:rsidP="008A6EE7">
      <w:pPr>
        <w:spacing w:after="0" w:line="240" w:lineRule="auto"/>
        <w:rPr>
          <w:rFonts w:ascii="Times New Roman" w:hAnsi="Times New Roman" w:cs="Times New Roman"/>
        </w:rPr>
      </w:pPr>
      <w:r>
        <w:rPr>
          <w:rFonts w:ascii="Times New Roman" w:hAnsi="Times New Roman" w:cs="Times New Roman"/>
        </w:rPr>
        <w:t>11/2020</w:t>
      </w:r>
    </w:p>
    <w:sectPr w:rsidR="00970A2C" w:rsidRPr="008A6EE7" w:rsidSect="000F1EB7">
      <w:headerReference w:type="default" r:id="rId17"/>
      <w:footerReference w:type="default" r:id="rId18"/>
      <w:footerReference w:type="first" r:id="rId19"/>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5308A" w14:textId="77777777" w:rsidR="0012083E" w:rsidRDefault="0012083E">
      <w:pPr>
        <w:spacing w:after="0" w:line="240" w:lineRule="auto"/>
      </w:pPr>
      <w:r>
        <w:separator/>
      </w:r>
    </w:p>
  </w:endnote>
  <w:endnote w:type="continuationSeparator" w:id="0">
    <w:p w14:paraId="11D0B182" w14:textId="77777777" w:rsidR="0012083E" w:rsidRDefault="0012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Pro-Roman">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3BE96" w14:textId="470800A7" w:rsidR="00E843DD" w:rsidRPr="007679A7" w:rsidRDefault="00B52502">
    <w:pPr>
      <w:pStyle w:val="Pta"/>
      <w:rPr>
        <w:sz w:val="18"/>
        <w:szCs w:val="18"/>
        <w:lang w:val="de-DE"/>
      </w:rPr>
    </w:pPr>
    <w:r>
      <w:rPr>
        <w:rFonts w:ascii="AvantGarde" w:hAnsi="AvantGarde" w:cs="AvantGarde"/>
        <w:sz w:val="16"/>
        <w:szCs w:val="16"/>
        <w:lang w:val="de-DE"/>
      </w:rPr>
      <w:tab/>
    </w:r>
    <w:r w:rsidRPr="007679A7">
      <w:rPr>
        <w:rStyle w:val="slostrany"/>
        <w:sz w:val="18"/>
        <w:szCs w:val="18"/>
      </w:rPr>
      <w:fldChar w:fldCharType="begin"/>
    </w:r>
    <w:r w:rsidRPr="007679A7">
      <w:rPr>
        <w:rStyle w:val="slostrany"/>
        <w:sz w:val="18"/>
        <w:szCs w:val="18"/>
      </w:rPr>
      <w:instrText xml:space="preserve"> PAGE </w:instrText>
    </w:r>
    <w:r w:rsidRPr="007679A7">
      <w:rPr>
        <w:rStyle w:val="slostrany"/>
        <w:sz w:val="18"/>
        <w:szCs w:val="18"/>
      </w:rPr>
      <w:fldChar w:fldCharType="separate"/>
    </w:r>
    <w:r w:rsidR="00022B45">
      <w:rPr>
        <w:rStyle w:val="slostrany"/>
        <w:noProof/>
        <w:sz w:val="18"/>
        <w:szCs w:val="18"/>
      </w:rPr>
      <w:t>1</w:t>
    </w:r>
    <w:r w:rsidRPr="007679A7">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9382A" w14:textId="77777777" w:rsidR="00E843DD" w:rsidRPr="007679A7" w:rsidRDefault="00B52502">
    <w:pPr>
      <w:pStyle w:val="Pta"/>
      <w:jc w:val="center"/>
      <w:rPr>
        <w:sz w:val="18"/>
        <w:szCs w:val="18"/>
      </w:rPr>
    </w:pPr>
    <w:r w:rsidRPr="007679A7">
      <w:rPr>
        <w:sz w:val="18"/>
        <w:szCs w:val="18"/>
      </w:rPr>
      <w:fldChar w:fldCharType="begin"/>
    </w:r>
    <w:r w:rsidRPr="007679A7">
      <w:rPr>
        <w:sz w:val="18"/>
        <w:szCs w:val="18"/>
      </w:rPr>
      <w:instrText xml:space="preserve">PAGE   </w:instrText>
    </w:r>
    <w:r w:rsidRPr="00F56449">
      <w:rPr>
        <w:sz w:val="18"/>
        <w:szCs w:val="18"/>
      </w:rPr>
      <w:instrText>\</w:instrText>
    </w:r>
    <w:r w:rsidRPr="007679A7">
      <w:rPr>
        <w:sz w:val="18"/>
        <w:szCs w:val="18"/>
      </w:rPr>
      <w:instrText>* MERGEFORMAT</w:instrText>
    </w:r>
    <w:r w:rsidRPr="007679A7">
      <w:rPr>
        <w:sz w:val="18"/>
        <w:szCs w:val="18"/>
      </w:rPr>
      <w:fldChar w:fldCharType="separate"/>
    </w:r>
    <w:r w:rsidRPr="008E7F10">
      <w:rPr>
        <w:noProof/>
        <w:sz w:val="18"/>
        <w:szCs w:val="18"/>
        <w:lang w:val="sk-SK"/>
      </w:rPr>
      <w:t>1</w:t>
    </w:r>
    <w:r w:rsidRPr="007679A7">
      <w:rPr>
        <w:sz w:val="18"/>
        <w:szCs w:val="18"/>
      </w:rPr>
      <w:fldChar w:fldCharType="end"/>
    </w:r>
  </w:p>
  <w:p w14:paraId="5B9C5DA0" w14:textId="77777777" w:rsidR="00E843DD" w:rsidRDefault="0012083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5D443" w14:textId="77777777" w:rsidR="0012083E" w:rsidRDefault="0012083E">
      <w:pPr>
        <w:spacing w:after="0" w:line="240" w:lineRule="auto"/>
      </w:pPr>
      <w:r>
        <w:separator/>
      </w:r>
    </w:p>
  </w:footnote>
  <w:footnote w:type="continuationSeparator" w:id="0">
    <w:p w14:paraId="2E59EDE3" w14:textId="77777777" w:rsidR="0012083E" w:rsidRDefault="00120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D5104" w14:textId="58C9AF6D" w:rsidR="00E843DD" w:rsidRPr="000F1EB7" w:rsidRDefault="007A24A3">
    <w:pPr>
      <w:pStyle w:val="Hlavika"/>
      <w:rPr>
        <w:sz w:val="18"/>
        <w:szCs w:val="18"/>
        <w:lang w:val="sk-SK"/>
      </w:rPr>
    </w:pPr>
    <w:r>
      <w:rPr>
        <w:sz w:val="18"/>
        <w:szCs w:val="18"/>
      </w:rPr>
      <w:t>Príloha č.1 k notifikácii o zmene, ev.č.: 2020/04547-Z1B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6F9"/>
    <w:multiLevelType w:val="singleLevel"/>
    <w:tmpl w:val="04070007"/>
    <w:lvl w:ilvl="0">
      <w:start w:val="1"/>
      <w:numFmt w:val="bullet"/>
      <w:lvlText w:val="-"/>
      <w:lvlJc w:val="left"/>
      <w:pPr>
        <w:tabs>
          <w:tab w:val="num" w:pos="360"/>
        </w:tabs>
        <w:ind w:left="360" w:hanging="360"/>
      </w:pPr>
      <w:rPr>
        <w:sz w:val="16"/>
      </w:rPr>
    </w:lvl>
  </w:abstractNum>
  <w:abstractNum w:abstractNumId="1">
    <w:nsid w:val="08C22675"/>
    <w:multiLevelType w:val="singleLevel"/>
    <w:tmpl w:val="04070007"/>
    <w:lvl w:ilvl="0">
      <w:start w:val="1"/>
      <w:numFmt w:val="bullet"/>
      <w:lvlText w:val="-"/>
      <w:lvlJc w:val="left"/>
      <w:pPr>
        <w:tabs>
          <w:tab w:val="num" w:pos="360"/>
        </w:tabs>
        <w:ind w:left="360" w:hanging="360"/>
      </w:pPr>
      <w:rPr>
        <w:sz w:val="16"/>
      </w:rPr>
    </w:lvl>
  </w:abstractNum>
  <w:abstractNum w:abstractNumId="2">
    <w:nsid w:val="093E3559"/>
    <w:multiLevelType w:val="singleLevel"/>
    <w:tmpl w:val="04070007"/>
    <w:lvl w:ilvl="0">
      <w:start w:val="1"/>
      <w:numFmt w:val="bullet"/>
      <w:lvlText w:val="-"/>
      <w:lvlJc w:val="left"/>
      <w:pPr>
        <w:tabs>
          <w:tab w:val="num" w:pos="360"/>
        </w:tabs>
        <w:ind w:left="360" w:hanging="360"/>
      </w:pPr>
      <w:rPr>
        <w:sz w:val="16"/>
      </w:rPr>
    </w:lvl>
  </w:abstractNum>
  <w:abstractNum w:abstractNumId="3">
    <w:nsid w:val="1F1056B3"/>
    <w:multiLevelType w:val="singleLevel"/>
    <w:tmpl w:val="04070007"/>
    <w:lvl w:ilvl="0">
      <w:start w:val="1"/>
      <w:numFmt w:val="bullet"/>
      <w:lvlText w:val="-"/>
      <w:lvlJc w:val="left"/>
      <w:pPr>
        <w:tabs>
          <w:tab w:val="num" w:pos="360"/>
        </w:tabs>
        <w:ind w:left="360" w:hanging="360"/>
      </w:pPr>
      <w:rPr>
        <w:sz w:val="16"/>
      </w:rPr>
    </w:lvl>
  </w:abstractNum>
  <w:abstractNum w:abstractNumId="4">
    <w:nsid w:val="236B6BEF"/>
    <w:multiLevelType w:val="singleLevel"/>
    <w:tmpl w:val="04070007"/>
    <w:lvl w:ilvl="0">
      <w:start w:val="1"/>
      <w:numFmt w:val="bullet"/>
      <w:lvlText w:val="-"/>
      <w:lvlJc w:val="left"/>
      <w:pPr>
        <w:tabs>
          <w:tab w:val="num" w:pos="360"/>
        </w:tabs>
        <w:ind w:left="360" w:hanging="360"/>
      </w:pPr>
      <w:rPr>
        <w:sz w:val="16"/>
      </w:rPr>
    </w:lvl>
  </w:abstractNum>
  <w:abstractNum w:abstractNumId="5">
    <w:nsid w:val="25237032"/>
    <w:multiLevelType w:val="singleLevel"/>
    <w:tmpl w:val="04070007"/>
    <w:lvl w:ilvl="0">
      <w:start w:val="1"/>
      <w:numFmt w:val="bullet"/>
      <w:lvlText w:val="-"/>
      <w:lvlJc w:val="left"/>
      <w:pPr>
        <w:tabs>
          <w:tab w:val="num" w:pos="360"/>
        </w:tabs>
        <w:ind w:left="360" w:hanging="360"/>
      </w:pPr>
      <w:rPr>
        <w:sz w:val="16"/>
      </w:rPr>
    </w:lvl>
  </w:abstractNum>
  <w:abstractNum w:abstractNumId="6">
    <w:nsid w:val="259C7C15"/>
    <w:multiLevelType w:val="singleLevel"/>
    <w:tmpl w:val="04070007"/>
    <w:lvl w:ilvl="0">
      <w:start w:val="1"/>
      <w:numFmt w:val="bullet"/>
      <w:lvlText w:val="-"/>
      <w:lvlJc w:val="left"/>
      <w:pPr>
        <w:tabs>
          <w:tab w:val="num" w:pos="360"/>
        </w:tabs>
        <w:ind w:left="360" w:hanging="360"/>
      </w:pPr>
      <w:rPr>
        <w:sz w:val="16"/>
      </w:rPr>
    </w:lvl>
  </w:abstractNum>
  <w:abstractNum w:abstractNumId="7">
    <w:nsid w:val="320C39A9"/>
    <w:multiLevelType w:val="singleLevel"/>
    <w:tmpl w:val="B0E0ED02"/>
    <w:lvl w:ilvl="0">
      <w:start w:val="1"/>
      <w:numFmt w:val="decimal"/>
      <w:lvlText w:val="%1."/>
      <w:lvlJc w:val="left"/>
      <w:pPr>
        <w:tabs>
          <w:tab w:val="num" w:pos="900"/>
        </w:tabs>
        <w:ind w:left="900" w:hanging="360"/>
      </w:pPr>
      <w:rPr>
        <w:rFonts w:cs="Times New Roman" w:hint="default"/>
      </w:rPr>
    </w:lvl>
  </w:abstractNum>
  <w:abstractNum w:abstractNumId="8">
    <w:nsid w:val="331D13C7"/>
    <w:multiLevelType w:val="singleLevel"/>
    <w:tmpl w:val="04070007"/>
    <w:lvl w:ilvl="0">
      <w:start w:val="1"/>
      <w:numFmt w:val="bullet"/>
      <w:lvlText w:val="-"/>
      <w:lvlJc w:val="left"/>
      <w:pPr>
        <w:tabs>
          <w:tab w:val="num" w:pos="360"/>
        </w:tabs>
        <w:ind w:left="360" w:hanging="360"/>
      </w:pPr>
      <w:rPr>
        <w:sz w:val="16"/>
      </w:rPr>
    </w:lvl>
  </w:abstractNum>
  <w:abstractNum w:abstractNumId="9">
    <w:nsid w:val="35425F6F"/>
    <w:multiLevelType w:val="singleLevel"/>
    <w:tmpl w:val="04070007"/>
    <w:lvl w:ilvl="0">
      <w:start w:val="1"/>
      <w:numFmt w:val="bullet"/>
      <w:lvlText w:val="-"/>
      <w:lvlJc w:val="left"/>
      <w:pPr>
        <w:tabs>
          <w:tab w:val="num" w:pos="360"/>
        </w:tabs>
        <w:ind w:left="360" w:hanging="360"/>
      </w:pPr>
      <w:rPr>
        <w:sz w:val="16"/>
      </w:rPr>
    </w:lvl>
  </w:abstractNum>
  <w:abstractNum w:abstractNumId="10">
    <w:nsid w:val="3F4F7C0E"/>
    <w:multiLevelType w:val="singleLevel"/>
    <w:tmpl w:val="04070007"/>
    <w:lvl w:ilvl="0">
      <w:start w:val="1"/>
      <w:numFmt w:val="bullet"/>
      <w:lvlText w:val="-"/>
      <w:lvlJc w:val="left"/>
      <w:pPr>
        <w:tabs>
          <w:tab w:val="num" w:pos="360"/>
        </w:tabs>
        <w:ind w:left="360" w:hanging="360"/>
      </w:pPr>
      <w:rPr>
        <w:sz w:val="16"/>
      </w:rPr>
    </w:lvl>
  </w:abstractNum>
  <w:abstractNum w:abstractNumId="11">
    <w:nsid w:val="41440866"/>
    <w:multiLevelType w:val="singleLevel"/>
    <w:tmpl w:val="04070007"/>
    <w:lvl w:ilvl="0">
      <w:start w:val="1"/>
      <w:numFmt w:val="bullet"/>
      <w:lvlText w:val="-"/>
      <w:lvlJc w:val="left"/>
      <w:pPr>
        <w:tabs>
          <w:tab w:val="num" w:pos="360"/>
        </w:tabs>
        <w:ind w:left="360" w:hanging="360"/>
      </w:pPr>
      <w:rPr>
        <w:sz w:val="16"/>
      </w:rPr>
    </w:lvl>
  </w:abstractNum>
  <w:abstractNum w:abstractNumId="12">
    <w:nsid w:val="44AA7D67"/>
    <w:multiLevelType w:val="singleLevel"/>
    <w:tmpl w:val="04070007"/>
    <w:lvl w:ilvl="0">
      <w:start w:val="1"/>
      <w:numFmt w:val="bullet"/>
      <w:lvlText w:val="-"/>
      <w:lvlJc w:val="left"/>
      <w:pPr>
        <w:tabs>
          <w:tab w:val="num" w:pos="360"/>
        </w:tabs>
        <w:ind w:left="360" w:hanging="360"/>
      </w:pPr>
      <w:rPr>
        <w:sz w:val="16"/>
      </w:rPr>
    </w:lvl>
  </w:abstractNum>
  <w:abstractNum w:abstractNumId="13">
    <w:nsid w:val="4D3B0669"/>
    <w:multiLevelType w:val="hybridMultilevel"/>
    <w:tmpl w:val="3BB045B8"/>
    <w:lvl w:ilvl="0" w:tplc="0409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4">
    <w:nsid w:val="51BB27A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5">
    <w:nsid w:val="5373354D"/>
    <w:multiLevelType w:val="multilevel"/>
    <w:tmpl w:val="1E60942C"/>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5835831"/>
    <w:multiLevelType w:val="singleLevel"/>
    <w:tmpl w:val="04070007"/>
    <w:lvl w:ilvl="0">
      <w:start w:val="1"/>
      <w:numFmt w:val="bullet"/>
      <w:lvlText w:val="-"/>
      <w:lvlJc w:val="left"/>
      <w:pPr>
        <w:tabs>
          <w:tab w:val="num" w:pos="360"/>
        </w:tabs>
        <w:ind w:left="360" w:hanging="360"/>
      </w:pPr>
      <w:rPr>
        <w:sz w:val="16"/>
      </w:rPr>
    </w:lvl>
  </w:abstractNum>
  <w:abstractNum w:abstractNumId="17">
    <w:nsid w:val="564739D3"/>
    <w:multiLevelType w:val="singleLevel"/>
    <w:tmpl w:val="04070007"/>
    <w:lvl w:ilvl="0">
      <w:start w:val="1"/>
      <w:numFmt w:val="bullet"/>
      <w:lvlText w:val="-"/>
      <w:lvlJc w:val="left"/>
      <w:pPr>
        <w:tabs>
          <w:tab w:val="num" w:pos="360"/>
        </w:tabs>
        <w:ind w:left="360" w:hanging="360"/>
      </w:pPr>
      <w:rPr>
        <w:sz w:val="16"/>
      </w:rPr>
    </w:lvl>
  </w:abstractNum>
  <w:abstractNum w:abstractNumId="18">
    <w:nsid w:val="5ADB591B"/>
    <w:multiLevelType w:val="singleLevel"/>
    <w:tmpl w:val="04070007"/>
    <w:lvl w:ilvl="0">
      <w:start w:val="1"/>
      <w:numFmt w:val="bullet"/>
      <w:lvlText w:val="-"/>
      <w:lvlJc w:val="left"/>
      <w:pPr>
        <w:tabs>
          <w:tab w:val="num" w:pos="360"/>
        </w:tabs>
        <w:ind w:left="360" w:hanging="360"/>
      </w:pPr>
      <w:rPr>
        <w:sz w:val="16"/>
      </w:rPr>
    </w:lvl>
  </w:abstractNum>
  <w:abstractNum w:abstractNumId="19">
    <w:nsid w:val="5BEC2C0D"/>
    <w:multiLevelType w:val="singleLevel"/>
    <w:tmpl w:val="04070007"/>
    <w:lvl w:ilvl="0">
      <w:start w:val="1"/>
      <w:numFmt w:val="bullet"/>
      <w:lvlText w:val="-"/>
      <w:lvlJc w:val="left"/>
      <w:pPr>
        <w:tabs>
          <w:tab w:val="num" w:pos="360"/>
        </w:tabs>
        <w:ind w:left="360" w:hanging="360"/>
      </w:pPr>
      <w:rPr>
        <w:sz w:val="16"/>
      </w:rPr>
    </w:lvl>
  </w:abstractNum>
  <w:abstractNum w:abstractNumId="20">
    <w:nsid w:val="60317B69"/>
    <w:multiLevelType w:val="multilevel"/>
    <w:tmpl w:val="66542D7E"/>
    <w:lvl w:ilvl="0">
      <w:start w:val="1"/>
      <w:numFmt w:val="decimal"/>
      <w:lvlText w:val="%1."/>
      <w:lvlJc w:val="left"/>
      <w:pPr>
        <w:tabs>
          <w:tab w:val="num" w:pos="1305"/>
        </w:tabs>
        <w:ind w:left="1305" w:hanging="1305"/>
      </w:pPr>
      <w:rPr>
        <w:rFonts w:cs="Times New Roman" w:hint="default"/>
        <w:b/>
        <w:bCs/>
      </w:rPr>
    </w:lvl>
    <w:lvl w:ilvl="1">
      <w:start w:val="5"/>
      <w:numFmt w:val="decimal"/>
      <w:lvlText w:val="%1.%2."/>
      <w:lvlJc w:val="left"/>
      <w:pPr>
        <w:tabs>
          <w:tab w:val="num" w:pos="1305"/>
        </w:tabs>
        <w:ind w:left="1305" w:hanging="1305"/>
      </w:pPr>
      <w:rPr>
        <w:rFonts w:cs="Times New Roman" w:hint="default"/>
        <w:b/>
        <w:bCs/>
      </w:rPr>
    </w:lvl>
    <w:lvl w:ilvl="2">
      <w:start w:val="1"/>
      <w:numFmt w:val="decimal"/>
      <w:lvlText w:val="%1.%2.%3."/>
      <w:lvlJc w:val="left"/>
      <w:pPr>
        <w:tabs>
          <w:tab w:val="num" w:pos="1305"/>
        </w:tabs>
        <w:ind w:left="1305" w:hanging="1305"/>
      </w:pPr>
      <w:rPr>
        <w:rFonts w:cs="Times New Roman" w:hint="default"/>
        <w:b/>
        <w:bCs/>
      </w:rPr>
    </w:lvl>
    <w:lvl w:ilvl="3">
      <w:start w:val="1"/>
      <w:numFmt w:val="decimal"/>
      <w:lvlText w:val="%1.%2.%3.%4."/>
      <w:lvlJc w:val="left"/>
      <w:pPr>
        <w:tabs>
          <w:tab w:val="num" w:pos="1305"/>
        </w:tabs>
        <w:ind w:left="1305" w:hanging="1305"/>
      </w:pPr>
      <w:rPr>
        <w:rFonts w:cs="Times New Roman" w:hint="default"/>
        <w:b/>
        <w:bCs/>
      </w:rPr>
    </w:lvl>
    <w:lvl w:ilvl="4">
      <w:start w:val="1"/>
      <w:numFmt w:val="decimal"/>
      <w:lvlText w:val="%1.%2.%3.%4.%5."/>
      <w:lvlJc w:val="left"/>
      <w:pPr>
        <w:tabs>
          <w:tab w:val="num" w:pos="1305"/>
        </w:tabs>
        <w:ind w:left="1305" w:hanging="1305"/>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1">
    <w:nsid w:val="60BE11F7"/>
    <w:multiLevelType w:val="singleLevel"/>
    <w:tmpl w:val="04070007"/>
    <w:lvl w:ilvl="0">
      <w:start w:val="1"/>
      <w:numFmt w:val="bullet"/>
      <w:lvlText w:val="-"/>
      <w:lvlJc w:val="left"/>
      <w:pPr>
        <w:tabs>
          <w:tab w:val="num" w:pos="360"/>
        </w:tabs>
        <w:ind w:left="360" w:hanging="360"/>
      </w:pPr>
      <w:rPr>
        <w:sz w:val="16"/>
      </w:rPr>
    </w:lvl>
  </w:abstractNum>
  <w:abstractNum w:abstractNumId="22">
    <w:nsid w:val="61054B70"/>
    <w:multiLevelType w:val="singleLevel"/>
    <w:tmpl w:val="04070007"/>
    <w:lvl w:ilvl="0">
      <w:start w:val="1"/>
      <w:numFmt w:val="bullet"/>
      <w:lvlText w:val="-"/>
      <w:lvlJc w:val="left"/>
      <w:pPr>
        <w:tabs>
          <w:tab w:val="num" w:pos="360"/>
        </w:tabs>
        <w:ind w:left="360" w:hanging="360"/>
      </w:pPr>
      <w:rPr>
        <w:sz w:val="16"/>
      </w:rPr>
    </w:lvl>
  </w:abstractNum>
  <w:abstractNum w:abstractNumId="23">
    <w:nsid w:val="688637D1"/>
    <w:multiLevelType w:val="singleLevel"/>
    <w:tmpl w:val="04070007"/>
    <w:lvl w:ilvl="0">
      <w:start w:val="1"/>
      <w:numFmt w:val="bullet"/>
      <w:lvlText w:val="-"/>
      <w:lvlJc w:val="left"/>
      <w:pPr>
        <w:tabs>
          <w:tab w:val="num" w:pos="360"/>
        </w:tabs>
        <w:ind w:left="360" w:hanging="360"/>
      </w:pPr>
      <w:rPr>
        <w:sz w:val="16"/>
      </w:rPr>
    </w:lvl>
  </w:abstractNum>
  <w:abstractNum w:abstractNumId="24">
    <w:nsid w:val="6E0B77EC"/>
    <w:multiLevelType w:val="singleLevel"/>
    <w:tmpl w:val="04070007"/>
    <w:lvl w:ilvl="0">
      <w:start w:val="1"/>
      <w:numFmt w:val="bullet"/>
      <w:lvlText w:val="-"/>
      <w:lvlJc w:val="left"/>
      <w:pPr>
        <w:tabs>
          <w:tab w:val="num" w:pos="360"/>
        </w:tabs>
        <w:ind w:left="360" w:hanging="360"/>
      </w:pPr>
      <w:rPr>
        <w:sz w:val="16"/>
      </w:rPr>
    </w:lvl>
  </w:abstractNum>
  <w:abstractNum w:abstractNumId="25">
    <w:nsid w:val="6E160BB8"/>
    <w:multiLevelType w:val="singleLevel"/>
    <w:tmpl w:val="04070007"/>
    <w:lvl w:ilvl="0">
      <w:start w:val="1"/>
      <w:numFmt w:val="bullet"/>
      <w:lvlText w:val="-"/>
      <w:lvlJc w:val="left"/>
      <w:pPr>
        <w:tabs>
          <w:tab w:val="num" w:pos="360"/>
        </w:tabs>
        <w:ind w:left="360" w:hanging="360"/>
      </w:pPr>
      <w:rPr>
        <w:sz w:val="16"/>
      </w:rPr>
    </w:lvl>
  </w:abstractNum>
  <w:abstractNum w:abstractNumId="26">
    <w:nsid w:val="6EDC3570"/>
    <w:multiLevelType w:val="singleLevel"/>
    <w:tmpl w:val="04070007"/>
    <w:lvl w:ilvl="0">
      <w:start w:val="1"/>
      <w:numFmt w:val="bullet"/>
      <w:lvlText w:val="-"/>
      <w:lvlJc w:val="left"/>
      <w:pPr>
        <w:tabs>
          <w:tab w:val="num" w:pos="360"/>
        </w:tabs>
        <w:ind w:left="360" w:hanging="360"/>
      </w:pPr>
      <w:rPr>
        <w:sz w:val="16"/>
      </w:rPr>
    </w:lvl>
  </w:abstractNum>
  <w:abstractNum w:abstractNumId="27">
    <w:nsid w:val="730B3DAD"/>
    <w:multiLevelType w:val="singleLevel"/>
    <w:tmpl w:val="04070007"/>
    <w:lvl w:ilvl="0">
      <w:start w:val="1"/>
      <w:numFmt w:val="bullet"/>
      <w:lvlText w:val="-"/>
      <w:lvlJc w:val="left"/>
      <w:pPr>
        <w:tabs>
          <w:tab w:val="num" w:pos="360"/>
        </w:tabs>
        <w:ind w:left="360" w:hanging="360"/>
      </w:pPr>
      <w:rPr>
        <w:sz w:val="16"/>
      </w:rPr>
    </w:lvl>
  </w:abstractNum>
  <w:abstractNum w:abstractNumId="28">
    <w:nsid w:val="75AB754D"/>
    <w:multiLevelType w:val="singleLevel"/>
    <w:tmpl w:val="04070007"/>
    <w:lvl w:ilvl="0">
      <w:start w:val="1"/>
      <w:numFmt w:val="bullet"/>
      <w:lvlText w:val="-"/>
      <w:lvlJc w:val="left"/>
      <w:pPr>
        <w:tabs>
          <w:tab w:val="num" w:pos="360"/>
        </w:tabs>
        <w:ind w:left="360" w:hanging="360"/>
      </w:pPr>
      <w:rPr>
        <w:sz w:val="16"/>
      </w:rPr>
    </w:lvl>
  </w:abstractNum>
  <w:abstractNum w:abstractNumId="29">
    <w:nsid w:val="770543F3"/>
    <w:multiLevelType w:val="hybridMultilevel"/>
    <w:tmpl w:val="001230B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71126B4"/>
    <w:multiLevelType w:val="singleLevel"/>
    <w:tmpl w:val="04070007"/>
    <w:lvl w:ilvl="0">
      <w:start w:val="1"/>
      <w:numFmt w:val="bullet"/>
      <w:lvlText w:val="-"/>
      <w:lvlJc w:val="left"/>
      <w:pPr>
        <w:tabs>
          <w:tab w:val="num" w:pos="360"/>
        </w:tabs>
        <w:ind w:left="360" w:hanging="360"/>
      </w:pPr>
      <w:rPr>
        <w:sz w:val="16"/>
      </w:rPr>
    </w:lvl>
  </w:abstractNum>
  <w:num w:numId="1">
    <w:abstractNumId w:val="7"/>
  </w:num>
  <w:num w:numId="2">
    <w:abstractNumId w:val="8"/>
  </w:num>
  <w:num w:numId="3">
    <w:abstractNumId w:val="3"/>
  </w:num>
  <w:num w:numId="4">
    <w:abstractNumId w:val="17"/>
  </w:num>
  <w:num w:numId="5">
    <w:abstractNumId w:val="2"/>
  </w:num>
  <w:num w:numId="6">
    <w:abstractNumId w:val="22"/>
  </w:num>
  <w:num w:numId="7">
    <w:abstractNumId w:val="12"/>
  </w:num>
  <w:num w:numId="8">
    <w:abstractNumId w:val="10"/>
  </w:num>
  <w:num w:numId="9">
    <w:abstractNumId w:val="28"/>
  </w:num>
  <w:num w:numId="10">
    <w:abstractNumId w:val="24"/>
  </w:num>
  <w:num w:numId="11">
    <w:abstractNumId w:val="18"/>
  </w:num>
  <w:num w:numId="12">
    <w:abstractNumId w:val="5"/>
  </w:num>
  <w:num w:numId="13">
    <w:abstractNumId w:val="25"/>
  </w:num>
  <w:num w:numId="14">
    <w:abstractNumId w:val="9"/>
  </w:num>
  <w:num w:numId="15">
    <w:abstractNumId w:val="21"/>
  </w:num>
  <w:num w:numId="16">
    <w:abstractNumId w:val="19"/>
  </w:num>
  <w:num w:numId="17">
    <w:abstractNumId w:val="4"/>
  </w:num>
  <w:num w:numId="18">
    <w:abstractNumId w:val="26"/>
  </w:num>
  <w:num w:numId="19">
    <w:abstractNumId w:val="11"/>
  </w:num>
  <w:num w:numId="20">
    <w:abstractNumId w:val="16"/>
  </w:num>
  <w:num w:numId="21">
    <w:abstractNumId w:val="6"/>
  </w:num>
  <w:num w:numId="22">
    <w:abstractNumId w:val="27"/>
  </w:num>
  <w:num w:numId="23">
    <w:abstractNumId w:val="23"/>
  </w:num>
  <w:num w:numId="24">
    <w:abstractNumId w:val="0"/>
  </w:num>
  <w:num w:numId="25">
    <w:abstractNumId w:val="30"/>
  </w:num>
  <w:num w:numId="26">
    <w:abstractNumId w:val="1"/>
  </w:num>
  <w:num w:numId="27">
    <w:abstractNumId w:val="20"/>
  </w:num>
  <w:num w:numId="28">
    <w:abstractNumId w:val="14"/>
  </w:num>
  <w:num w:numId="29">
    <w:abstractNumId w:val="29"/>
  </w:num>
  <w:num w:numId="30">
    <w:abstractNumId w:val="15"/>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yjidakova, Adriana">
    <w15:presenceInfo w15:providerId="AD" w15:userId="S-1-5-21-329068152-854245398-839522115-1574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5B"/>
    <w:rsid w:val="00007991"/>
    <w:rsid w:val="00022B45"/>
    <w:rsid w:val="0012083E"/>
    <w:rsid w:val="001A41BD"/>
    <w:rsid w:val="00211D8F"/>
    <w:rsid w:val="002F1924"/>
    <w:rsid w:val="00353E31"/>
    <w:rsid w:val="004517D3"/>
    <w:rsid w:val="0055139F"/>
    <w:rsid w:val="007470BC"/>
    <w:rsid w:val="007A24A3"/>
    <w:rsid w:val="007D1BD5"/>
    <w:rsid w:val="008A6EE7"/>
    <w:rsid w:val="00970A2C"/>
    <w:rsid w:val="00B52502"/>
    <w:rsid w:val="00DA4E87"/>
    <w:rsid w:val="00DB0B5B"/>
    <w:rsid w:val="00DE12A6"/>
    <w:rsid w:val="00E3498D"/>
    <w:rsid w:val="00E35D5B"/>
    <w:rsid w:val="00E625FF"/>
    <w:rsid w:val="00FD1A8A"/>
    <w:rsid w:val="00FD34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F0A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9"/>
    <w:qFormat/>
    <w:rsid w:val="00B52502"/>
    <w:pPr>
      <w:keepNext/>
      <w:spacing w:after="0" w:line="240" w:lineRule="auto"/>
      <w:ind w:left="540"/>
      <w:outlineLvl w:val="0"/>
    </w:pPr>
    <w:rPr>
      <w:rFonts w:ascii="AvantGarde" w:eastAsia="Times New Roman" w:hAnsi="AvantGarde" w:cs="AvantGarde"/>
      <w:b/>
      <w:bCs/>
      <w:color w:val="FF0000"/>
      <w:sz w:val="24"/>
      <w:szCs w:val="24"/>
      <w:lang w:val="en-US" w:eastAsia="fi-FI"/>
    </w:rPr>
  </w:style>
  <w:style w:type="paragraph" w:styleId="Nadpis2">
    <w:name w:val="heading 2"/>
    <w:basedOn w:val="Normlny"/>
    <w:next w:val="Normlny"/>
    <w:link w:val="Nadpis2Char"/>
    <w:uiPriority w:val="99"/>
    <w:qFormat/>
    <w:rsid w:val="00B52502"/>
    <w:pPr>
      <w:keepNext/>
      <w:spacing w:after="0" w:line="240" w:lineRule="auto"/>
      <w:ind w:left="540"/>
      <w:outlineLvl w:val="1"/>
    </w:pPr>
    <w:rPr>
      <w:rFonts w:ascii="AvantGarde" w:eastAsia="Times New Roman" w:hAnsi="AvantGarde" w:cs="AvantGarde"/>
      <w:sz w:val="24"/>
      <w:szCs w:val="24"/>
      <w:u w:val="single"/>
      <w:lang w:val="en-US" w:eastAsia="fi-FI"/>
    </w:rPr>
  </w:style>
  <w:style w:type="paragraph" w:styleId="Nadpis6">
    <w:name w:val="heading 6"/>
    <w:basedOn w:val="Normlny"/>
    <w:next w:val="Normlny"/>
    <w:link w:val="Nadpis6Char"/>
    <w:uiPriority w:val="99"/>
    <w:qFormat/>
    <w:rsid w:val="00B52502"/>
    <w:pPr>
      <w:keepNext/>
      <w:pBdr>
        <w:left w:val="single" w:sz="6" w:space="1" w:color="auto"/>
        <w:right w:val="single" w:sz="6" w:space="1" w:color="auto"/>
      </w:pBdr>
      <w:shd w:val="pct30" w:color="auto" w:fill="auto"/>
      <w:tabs>
        <w:tab w:val="left" w:pos="6220"/>
      </w:tabs>
      <w:spacing w:after="0" w:line="240" w:lineRule="auto"/>
      <w:ind w:right="-220"/>
      <w:jc w:val="center"/>
      <w:outlineLvl w:val="5"/>
    </w:pPr>
    <w:rPr>
      <w:rFonts w:ascii="Helvetica" w:eastAsia="Times New Roman" w:hAnsi="Helvetica" w:cs="Helvetica"/>
      <w:b/>
      <w:bCs/>
      <w:sz w:val="32"/>
      <w:szCs w:val="32"/>
      <w:lang w:val="en-GB" w:eastAsia="fi-FI"/>
    </w:rPr>
  </w:style>
  <w:style w:type="paragraph" w:styleId="Nadpis9">
    <w:name w:val="heading 9"/>
    <w:basedOn w:val="Normlny"/>
    <w:next w:val="Normlny"/>
    <w:link w:val="Nadpis9Char"/>
    <w:uiPriority w:val="99"/>
    <w:qFormat/>
    <w:rsid w:val="00B52502"/>
    <w:pPr>
      <w:keepNext/>
      <w:spacing w:after="0" w:line="240" w:lineRule="auto"/>
      <w:ind w:left="426"/>
      <w:outlineLvl w:val="8"/>
    </w:pPr>
    <w:rPr>
      <w:rFonts w:ascii="Times New Roman" w:eastAsia="Times New Roman" w:hAnsi="Times New Roman" w:cs="Times New Roman"/>
      <w:sz w:val="24"/>
      <w:szCs w:val="24"/>
      <w:lang w:val="en-GB" w:eastAsia="fi-F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52502"/>
    <w:rPr>
      <w:rFonts w:ascii="AvantGarde" w:eastAsia="Times New Roman" w:hAnsi="AvantGarde" w:cs="AvantGarde"/>
      <w:b/>
      <w:bCs/>
      <w:color w:val="FF0000"/>
      <w:sz w:val="24"/>
      <w:szCs w:val="24"/>
      <w:lang w:val="en-US" w:eastAsia="fi-FI"/>
    </w:rPr>
  </w:style>
  <w:style w:type="character" w:customStyle="1" w:styleId="Nadpis2Char">
    <w:name w:val="Nadpis 2 Char"/>
    <w:basedOn w:val="Predvolenpsmoodseku"/>
    <w:link w:val="Nadpis2"/>
    <w:uiPriority w:val="99"/>
    <w:rsid w:val="00B52502"/>
    <w:rPr>
      <w:rFonts w:ascii="AvantGarde" w:eastAsia="Times New Roman" w:hAnsi="AvantGarde" w:cs="AvantGarde"/>
      <w:sz w:val="24"/>
      <w:szCs w:val="24"/>
      <w:u w:val="single"/>
      <w:lang w:val="en-US" w:eastAsia="fi-FI"/>
    </w:rPr>
  </w:style>
  <w:style w:type="character" w:customStyle="1" w:styleId="Nadpis6Char">
    <w:name w:val="Nadpis 6 Char"/>
    <w:basedOn w:val="Predvolenpsmoodseku"/>
    <w:link w:val="Nadpis6"/>
    <w:uiPriority w:val="99"/>
    <w:rsid w:val="00B52502"/>
    <w:rPr>
      <w:rFonts w:ascii="Helvetica" w:eastAsia="Times New Roman" w:hAnsi="Helvetica" w:cs="Helvetica"/>
      <w:b/>
      <w:bCs/>
      <w:sz w:val="32"/>
      <w:szCs w:val="32"/>
      <w:shd w:val="pct30" w:color="auto" w:fill="auto"/>
      <w:lang w:val="en-GB" w:eastAsia="fi-FI"/>
    </w:rPr>
  </w:style>
  <w:style w:type="character" w:customStyle="1" w:styleId="Nadpis9Char">
    <w:name w:val="Nadpis 9 Char"/>
    <w:basedOn w:val="Predvolenpsmoodseku"/>
    <w:link w:val="Nadpis9"/>
    <w:uiPriority w:val="99"/>
    <w:rsid w:val="00B52502"/>
    <w:rPr>
      <w:rFonts w:ascii="Times New Roman" w:eastAsia="Times New Roman" w:hAnsi="Times New Roman" w:cs="Times New Roman"/>
      <w:sz w:val="24"/>
      <w:szCs w:val="24"/>
      <w:lang w:val="en-GB" w:eastAsia="fi-FI"/>
    </w:rPr>
  </w:style>
  <w:style w:type="paragraph" w:styleId="Textbubliny">
    <w:name w:val="Balloon Text"/>
    <w:basedOn w:val="Normlny"/>
    <w:link w:val="TextbublinyChar"/>
    <w:uiPriority w:val="99"/>
    <w:semiHidden/>
    <w:rsid w:val="00B52502"/>
    <w:pPr>
      <w:spacing w:after="0" w:line="240" w:lineRule="auto"/>
    </w:pPr>
    <w:rPr>
      <w:rFonts w:ascii="Tahoma" w:eastAsia="Times New Roman" w:hAnsi="Tahoma" w:cs="Tahoma"/>
      <w:sz w:val="16"/>
      <w:szCs w:val="16"/>
      <w:lang w:val="en-US" w:eastAsia="fi-FI"/>
    </w:rPr>
  </w:style>
  <w:style w:type="character" w:customStyle="1" w:styleId="TextbublinyChar">
    <w:name w:val="Text bubliny Char"/>
    <w:basedOn w:val="Predvolenpsmoodseku"/>
    <w:link w:val="Textbubliny"/>
    <w:uiPriority w:val="99"/>
    <w:semiHidden/>
    <w:rsid w:val="00B52502"/>
    <w:rPr>
      <w:rFonts w:ascii="Tahoma" w:eastAsia="Times New Roman" w:hAnsi="Tahoma" w:cs="Tahoma"/>
      <w:sz w:val="16"/>
      <w:szCs w:val="16"/>
      <w:lang w:val="en-US" w:eastAsia="fi-FI"/>
    </w:rPr>
  </w:style>
  <w:style w:type="character" w:customStyle="1" w:styleId="copy">
    <w:name w:val="copy"/>
    <w:uiPriority w:val="99"/>
    <w:rsid w:val="00B52502"/>
  </w:style>
  <w:style w:type="paragraph" w:customStyle="1" w:styleId="leipa">
    <w:name w:val="leipa"/>
    <w:basedOn w:val="Normlny"/>
    <w:uiPriority w:val="99"/>
    <w:rsid w:val="00B52502"/>
    <w:pPr>
      <w:spacing w:before="100" w:beforeAutospacing="1" w:after="100" w:afterAutospacing="1" w:line="240" w:lineRule="auto"/>
    </w:pPr>
    <w:rPr>
      <w:rFonts w:ascii="Arial Unicode MS" w:eastAsia="Times New Roman" w:hAnsi="Times New Roman" w:cs="Arial Unicode MS"/>
      <w:sz w:val="24"/>
      <w:szCs w:val="24"/>
      <w:lang w:val="fi-FI" w:eastAsia="fi-FI"/>
    </w:rPr>
  </w:style>
  <w:style w:type="paragraph" w:styleId="Nzov">
    <w:name w:val="Title"/>
    <w:basedOn w:val="Normlny"/>
    <w:link w:val="NzovChar"/>
    <w:uiPriority w:val="99"/>
    <w:qFormat/>
    <w:rsid w:val="00B52502"/>
    <w:pPr>
      <w:spacing w:after="0" w:line="240" w:lineRule="auto"/>
      <w:ind w:right="-220"/>
      <w:jc w:val="center"/>
    </w:pPr>
    <w:rPr>
      <w:rFonts w:ascii="Helvetica" w:eastAsia="Times New Roman" w:hAnsi="Helvetica" w:cs="Helvetica"/>
      <w:b/>
      <w:bCs/>
      <w:sz w:val="28"/>
      <w:szCs w:val="28"/>
      <w:lang w:val="en-US" w:eastAsia="fi-FI"/>
    </w:rPr>
  </w:style>
  <w:style w:type="character" w:customStyle="1" w:styleId="NzovChar">
    <w:name w:val="Názov Char"/>
    <w:basedOn w:val="Predvolenpsmoodseku"/>
    <w:link w:val="Nzov"/>
    <w:uiPriority w:val="99"/>
    <w:rsid w:val="00B52502"/>
    <w:rPr>
      <w:rFonts w:ascii="Helvetica" w:eastAsia="Times New Roman" w:hAnsi="Helvetica" w:cs="Helvetica"/>
      <w:b/>
      <w:bCs/>
      <w:sz w:val="28"/>
      <w:szCs w:val="28"/>
      <w:lang w:val="en-US" w:eastAsia="fi-FI"/>
    </w:rPr>
  </w:style>
  <w:style w:type="paragraph" w:styleId="Pta">
    <w:name w:val="footer"/>
    <w:basedOn w:val="Normlny"/>
    <w:link w:val="PtaChar"/>
    <w:uiPriority w:val="99"/>
    <w:rsid w:val="00B5250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PtaChar">
    <w:name w:val="Päta Char"/>
    <w:basedOn w:val="Predvolenpsmoodseku"/>
    <w:link w:val="Pta"/>
    <w:uiPriority w:val="99"/>
    <w:rsid w:val="00B52502"/>
    <w:rPr>
      <w:rFonts w:ascii="Times New Roman" w:eastAsia="Times New Roman" w:hAnsi="Times New Roman" w:cs="Times New Roman"/>
      <w:sz w:val="24"/>
      <w:szCs w:val="24"/>
      <w:lang w:val="en-US" w:eastAsia="fi-FI"/>
    </w:rPr>
  </w:style>
  <w:style w:type="paragraph" w:styleId="Hlavika">
    <w:name w:val="header"/>
    <w:basedOn w:val="Normlny"/>
    <w:link w:val="HlavikaChar"/>
    <w:uiPriority w:val="99"/>
    <w:rsid w:val="00B5250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HlavikaChar">
    <w:name w:val="Hlavička Char"/>
    <w:basedOn w:val="Predvolenpsmoodseku"/>
    <w:link w:val="Hlavika"/>
    <w:uiPriority w:val="99"/>
    <w:rsid w:val="00B52502"/>
    <w:rPr>
      <w:rFonts w:ascii="Times New Roman" w:eastAsia="Times New Roman" w:hAnsi="Times New Roman" w:cs="Times New Roman"/>
      <w:sz w:val="24"/>
      <w:szCs w:val="24"/>
      <w:lang w:val="en-US" w:eastAsia="fi-FI"/>
    </w:rPr>
  </w:style>
  <w:style w:type="character" w:styleId="slostrany">
    <w:name w:val="page number"/>
    <w:basedOn w:val="Predvolenpsmoodseku"/>
    <w:uiPriority w:val="99"/>
    <w:rsid w:val="00B52502"/>
    <w:rPr>
      <w:rFonts w:cs="Times New Roman"/>
    </w:rPr>
  </w:style>
  <w:style w:type="paragraph" w:styleId="Zkladntext">
    <w:name w:val="Body Text"/>
    <w:basedOn w:val="Normlny"/>
    <w:link w:val="ZkladntextChar"/>
    <w:uiPriority w:val="99"/>
    <w:rsid w:val="00B52502"/>
    <w:pPr>
      <w:spacing w:after="0" w:line="240" w:lineRule="auto"/>
    </w:pPr>
    <w:rPr>
      <w:rFonts w:ascii="Times New Roman" w:eastAsia="Times New Roman" w:hAnsi="Times New Roman" w:cs="Times New Roman"/>
      <w:sz w:val="24"/>
      <w:szCs w:val="24"/>
      <w:lang w:val="en-GB" w:eastAsia="fi-FI"/>
    </w:rPr>
  </w:style>
  <w:style w:type="character" w:customStyle="1" w:styleId="ZkladntextChar">
    <w:name w:val="Základný text Char"/>
    <w:basedOn w:val="Predvolenpsmoodseku"/>
    <w:link w:val="Zkladntext"/>
    <w:uiPriority w:val="99"/>
    <w:rsid w:val="00B52502"/>
    <w:rPr>
      <w:rFonts w:ascii="Times New Roman" w:eastAsia="Times New Roman" w:hAnsi="Times New Roman" w:cs="Times New Roman"/>
      <w:sz w:val="24"/>
      <w:szCs w:val="24"/>
      <w:lang w:val="en-GB" w:eastAsia="fi-FI"/>
    </w:rPr>
  </w:style>
  <w:style w:type="paragraph" w:styleId="Zarkazkladnhotextu2">
    <w:name w:val="Body Text Indent 2"/>
    <w:basedOn w:val="Normlny"/>
    <w:link w:val="Zarkazkladnhotextu2Char"/>
    <w:uiPriority w:val="99"/>
    <w:rsid w:val="00B52502"/>
    <w:pPr>
      <w:spacing w:after="0" w:line="240" w:lineRule="auto"/>
      <w:ind w:left="540"/>
    </w:pPr>
    <w:rPr>
      <w:rFonts w:ascii="AvantGarde" w:eastAsia="Times New Roman" w:hAnsi="AvantGarde" w:cs="AvantGarde"/>
      <w:sz w:val="24"/>
      <w:szCs w:val="24"/>
      <w:lang w:val="en-GB" w:eastAsia="fi-FI"/>
    </w:rPr>
  </w:style>
  <w:style w:type="character" w:customStyle="1" w:styleId="Zarkazkladnhotextu2Char">
    <w:name w:val="Zarážka základného textu 2 Char"/>
    <w:basedOn w:val="Predvolenpsmoodseku"/>
    <w:link w:val="Zarkazkladnhotextu2"/>
    <w:uiPriority w:val="99"/>
    <w:rsid w:val="00B52502"/>
    <w:rPr>
      <w:rFonts w:ascii="AvantGarde" w:eastAsia="Times New Roman" w:hAnsi="AvantGarde" w:cs="AvantGarde"/>
      <w:sz w:val="24"/>
      <w:szCs w:val="24"/>
      <w:lang w:val="en-GB" w:eastAsia="fi-FI"/>
    </w:rPr>
  </w:style>
  <w:style w:type="paragraph" w:styleId="Zkladntext2">
    <w:name w:val="Body Text 2"/>
    <w:basedOn w:val="Normlny"/>
    <w:link w:val="Zkladntext2Char"/>
    <w:uiPriority w:val="99"/>
    <w:rsid w:val="00B52502"/>
    <w:pPr>
      <w:spacing w:after="0" w:line="240" w:lineRule="auto"/>
      <w:ind w:left="540"/>
      <w:jc w:val="both"/>
    </w:pPr>
    <w:rPr>
      <w:rFonts w:ascii="AvantGarde" w:eastAsia="Times New Roman" w:hAnsi="AvantGarde" w:cs="AvantGarde"/>
      <w:color w:val="FF0000"/>
      <w:sz w:val="24"/>
      <w:szCs w:val="24"/>
      <w:lang w:val="en-US" w:eastAsia="fi-FI"/>
    </w:rPr>
  </w:style>
  <w:style w:type="character" w:customStyle="1" w:styleId="Zkladntext2Char">
    <w:name w:val="Základný text 2 Char"/>
    <w:basedOn w:val="Predvolenpsmoodseku"/>
    <w:link w:val="Zkladntext2"/>
    <w:uiPriority w:val="99"/>
    <w:rsid w:val="00B52502"/>
    <w:rPr>
      <w:rFonts w:ascii="AvantGarde" w:eastAsia="Times New Roman" w:hAnsi="AvantGarde" w:cs="AvantGarde"/>
      <w:color w:val="FF0000"/>
      <w:sz w:val="24"/>
      <w:szCs w:val="24"/>
      <w:lang w:val="en-US" w:eastAsia="fi-FI"/>
    </w:rPr>
  </w:style>
  <w:style w:type="paragraph" w:styleId="Zarkazkladnhotextu3">
    <w:name w:val="Body Text Indent 3"/>
    <w:basedOn w:val="Normlny"/>
    <w:link w:val="Zarkazkladnhotextu3Char"/>
    <w:uiPriority w:val="99"/>
    <w:rsid w:val="00B52502"/>
    <w:pPr>
      <w:spacing w:after="0" w:line="240" w:lineRule="auto"/>
      <w:ind w:left="360"/>
    </w:pPr>
    <w:rPr>
      <w:rFonts w:ascii="AvantGarde" w:eastAsia="Times New Roman" w:hAnsi="AvantGarde" w:cs="AvantGarde"/>
      <w:sz w:val="24"/>
      <w:szCs w:val="24"/>
      <w:lang w:val="en-GB" w:eastAsia="fi-FI"/>
    </w:rPr>
  </w:style>
  <w:style w:type="character" w:customStyle="1" w:styleId="Zarkazkladnhotextu3Char">
    <w:name w:val="Zarážka základného textu 3 Char"/>
    <w:basedOn w:val="Predvolenpsmoodseku"/>
    <w:link w:val="Zarkazkladnhotextu3"/>
    <w:uiPriority w:val="99"/>
    <w:rsid w:val="00B52502"/>
    <w:rPr>
      <w:rFonts w:ascii="AvantGarde" w:eastAsia="Times New Roman" w:hAnsi="AvantGarde" w:cs="AvantGarde"/>
      <w:sz w:val="24"/>
      <w:szCs w:val="24"/>
      <w:lang w:val="en-GB" w:eastAsia="fi-FI"/>
    </w:rPr>
  </w:style>
  <w:style w:type="paragraph" w:styleId="Obyajntext">
    <w:name w:val="Plain Text"/>
    <w:basedOn w:val="Normlny"/>
    <w:link w:val="ObyajntextChar"/>
    <w:uiPriority w:val="99"/>
    <w:rsid w:val="00B52502"/>
    <w:pPr>
      <w:spacing w:after="0" w:line="240" w:lineRule="auto"/>
    </w:pPr>
    <w:rPr>
      <w:rFonts w:ascii="Courier New" w:eastAsia="Times New Roman" w:hAnsi="Courier New" w:cs="Courier New"/>
      <w:sz w:val="20"/>
      <w:szCs w:val="20"/>
      <w:lang w:val="de-DE" w:eastAsia="fi-FI"/>
    </w:rPr>
  </w:style>
  <w:style w:type="character" w:customStyle="1" w:styleId="ObyajntextChar">
    <w:name w:val="Obyčajný text Char"/>
    <w:basedOn w:val="Predvolenpsmoodseku"/>
    <w:link w:val="Obyajntext"/>
    <w:uiPriority w:val="99"/>
    <w:rsid w:val="00B52502"/>
    <w:rPr>
      <w:rFonts w:ascii="Courier New" w:eastAsia="Times New Roman" w:hAnsi="Courier New" w:cs="Courier New"/>
      <w:sz w:val="20"/>
      <w:szCs w:val="20"/>
      <w:lang w:val="de-DE" w:eastAsia="fi-FI"/>
    </w:rPr>
  </w:style>
  <w:style w:type="paragraph" w:styleId="Zkladntext3">
    <w:name w:val="Body Text 3"/>
    <w:basedOn w:val="Normlny"/>
    <w:link w:val="Zkladntext3Char"/>
    <w:uiPriority w:val="99"/>
    <w:rsid w:val="00B52502"/>
    <w:pPr>
      <w:spacing w:after="120" w:line="240" w:lineRule="auto"/>
    </w:pPr>
    <w:rPr>
      <w:rFonts w:ascii="Times New Roman" w:eastAsia="Times New Roman" w:hAnsi="Times New Roman" w:cs="Times New Roman"/>
      <w:sz w:val="16"/>
      <w:szCs w:val="16"/>
      <w:lang w:val="en-US" w:eastAsia="fi-FI"/>
    </w:rPr>
  </w:style>
  <w:style w:type="character" w:customStyle="1" w:styleId="Zkladntext3Char">
    <w:name w:val="Základný text 3 Char"/>
    <w:basedOn w:val="Predvolenpsmoodseku"/>
    <w:link w:val="Zkladntext3"/>
    <w:uiPriority w:val="99"/>
    <w:rsid w:val="00B52502"/>
    <w:rPr>
      <w:rFonts w:ascii="Times New Roman" w:eastAsia="Times New Roman" w:hAnsi="Times New Roman" w:cs="Times New Roman"/>
      <w:sz w:val="16"/>
      <w:szCs w:val="16"/>
      <w:lang w:val="en-US" w:eastAsia="fi-FI"/>
    </w:rPr>
  </w:style>
  <w:style w:type="paragraph" w:customStyle="1" w:styleId="Text">
    <w:name w:val="Text"/>
    <w:uiPriority w:val="99"/>
    <w:rsid w:val="00B52502"/>
    <w:pPr>
      <w:autoSpaceDE w:val="0"/>
      <w:autoSpaceDN w:val="0"/>
      <w:spacing w:after="0" w:line="200" w:lineRule="exact"/>
      <w:ind w:left="283" w:right="56"/>
      <w:jc w:val="both"/>
    </w:pPr>
    <w:rPr>
      <w:rFonts w:ascii="Helvetica" w:eastAsia="Times New Roman" w:hAnsi="Helvetica" w:cs="Helvetica"/>
      <w:noProof/>
      <w:sz w:val="16"/>
      <w:szCs w:val="16"/>
      <w:lang w:val="en-US"/>
    </w:rPr>
  </w:style>
  <w:style w:type="character" w:styleId="Odkaznakomentr">
    <w:name w:val="annotation reference"/>
    <w:basedOn w:val="Predvolenpsmoodseku"/>
    <w:uiPriority w:val="99"/>
    <w:semiHidden/>
    <w:rsid w:val="00B52502"/>
    <w:rPr>
      <w:rFonts w:cs="Times New Roman"/>
      <w:sz w:val="16"/>
    </w:rPr>
  </w:style>
  <w:style w:type="paragraph" w:styleId="Textkomentra">
    <w:name w:val="annotation text"/>
    <w:basedOn w:val="Normlny"/>
    <w:link w:val="TextkomentraChar"/>
    <w:uiPriority w:val="99"/>
    <w:semiHidden/>
    <w:rsid w:val="00B52502"/>
    <w:pPr>
      <w:spacing w:after="0" w:line="240" w:lineRule="auto"/>
    </w:pPr>
    <w:rPr>
      <w:rFonts w:ascii="Times New Roman" w:eastAsia="Times New Roman" w:hAnsi="Times New Roman" w:cs="Times New Roman"/>
      <w:sz w:val="20"/>
      <w:szCs w:val="20"/>
      <w:lang w:val="en-US" w:eastAsia="fi-FI"/>
    </w:rPr>
  </w:style>
  <w:style w:type="character" w:customStyle="1" w:styleId="TextkomentraChar">
    <w:name w:val="Text komentára Char"/>
    <w:basedOn w:val="Predvolenpsmoodseku"/>
    <w:link w:val="Textkomentra"/>
    <w:uiPriority w:val="99"/>
    <w:semiHidden/>
    <w:rsid w:val="00B52502"/>
    <w:rPr>
      <w:rFonts w:ascii="Times New Roman" w:eastAsia="Times New Roman" w:hAnsi="Times New Roman" w:cs="Times New Roman"/>
      <w:sz w:val="20"/>
      <w:szCs w:val="20"/>
      <w:lang w:val="en-US" w:eastAsia="fi-FI"/>
    </w:rPr>
  </w:style>
  <w:style w:type="paragraph" w:styleId="Predmetkomentra">
    <w:name w:val="annotation subject"/>
    <w:basedOn w:val="Textkomentra"/>
    <w:next w:val="Textkomentra"/>
    <w:link w:val="PredmetkomentraChar"/>
    <w:uiPriority w:val="99"/>
    <w:semiHidden/>
    <w:rsid w:val="00B52502"/>
    <w:rPr>
      <w:b/>
      <w:bCs/>
    </w:rPr>
  </w:style>
  <w:style w:type="character" w:customStyle="1" w:styleId="PredmetkomentraChar">
    <w:name w:val="Predmet komentára Char"/>
    <w:basedOn w:val="TextkomentraChar"/>
    <w:link w:val="Predmetkomentra"/>
    <w:uiPriority w:val="99"/>
    <w:semiHidden/>
    <w:rsid w:val="00B52502"/>
    <w:rPr>
      <w:rFonts w:ascii="Times New Roman" w:eastAsia="Times New Roman" w:hAnsi="Times New Roman" w:cs="Times New Roman"/>
      <w:b/>
      <w:bCs/>
      <w:sz w:val="20"/>
      <w:szCs w:val="20"/>
      <w:lang w:val="en-US" w:eastAsia="fi-FI"/>
    </w:rPr>
  </w:style>
  <w:style w:type="character" w:customStyle="1" w:styleId="hps">
    <w:name w:val="hps"/>
    <w:uiPriority w:val="99"/>
    <w:rsid w:val="00B52502"/>
  </w:style>
  <w:style w:type="table" w:styleId="Mriekatabuky">
    <w:name w:val="Table Grid"/>
    <w:basedOn w:val="Normlnatabuka"/>
    <w:uiPriority w:val="99"/>
    <w:rsid w:val="00B52502"/>
    <w:pPr>
      <w:spacing w:after="0" w:line="240" w:lineRule="auto"/>
    </w:pPr>
    <w:rPr>
      <w:rFonts w:ascii="Times New Roman" w:eastAsia="Times New Roman"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B52502"/>
    <w:rPr>
      <w:rFonts w:cs="Times New Roman"/>
      <w:color w:val="0000FF"/>
      <w:u w:val="single"/>
    </w:rPr>
  </w:style>
  <w:style w:type="paragraph" w:styleId="Revzia">
    <w:name w:val="Revision"/>
    <w:hidden/>
    <w:uiPriority w:val="99"/>
    <w:semiHidden/>
    <w:rsid w:val="00B52502"/>
    <w:pPr>
      <w:spacing w:after="0" w:line="240" w:lineRule="auto"/>
    </w:pPr>
    <w:rPr>
      <w:rFonts w:ascii="Times New Roman" w:eastAsia="Times New Roman" w:hAnsi="Times New Roman" w:cs="Times New Roman"/>
      <w:sz w:val="24"/>
      <w:szCs w:val="24"/>
      <w:lang w:val="en-US"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9"/>
    <w:qFormat/>
    <w:rsid w:val="00B52502"/>
    <w:pPr>
      <w:keepNext/>
      <w:spacing w:after="0" w:line="240" w:lineRule="auto"/>
      <w:ind w:left="540"/>
      <w:outlineLvl w:val="0"/>
    </w:pPr>
    <w:rPr>
      <w:rFonts w:ascii="AvantGarde" w:eastAsia="Times New Roman" w:hAnsi="AvantGarde" w:cs="AvantGarde"/>
      <w:b/>
      <w:bCs/>
      <w:color w:val="FF0000"/>
      <w:sz w:val="24"/>
      <w:szCs w:val="24"/>
      <w:lang w:val="en-US" w:eastAsia="fi-FI"/>
    </w:rPr>
  </w:style>
  <w:style w:type="paragraph" w:styleId="Nadpis2">
    <w:name w:val="heading 2"/>
    <w:basedOn w:val="Normlny"/>
    <w:next w:val="Normlny"/>
    <w:link w:val="Nadpis2Char"/>
    <w:uiPriority w:val="99"/>
    <w:qFormat/>
    <w:rsid w:val="00B52502"/>
    <w:pPr>
      <w:keepNext/>
      <w:spacing w:after="0" w:line="240" w:lineRule="auto"/>
      <w:ind w:left="540"/>
      <w:outlineLvl w:val="1"/>
    </w:pPr>
    <w:rPr>
      <w:rFonts w:ascii="AvantGarde" w:eastAsia="Times New Roman" w:hAnsi="AvantGarde" w:cs="AvantGarde"/>
      <w:sz w:val="24"/>
      <w:szCs w:val="24"/>
      <w:u w:val="single"/>
      <w:lang w:val="en-US" w:eastAsia="fi-FI"/>
    </w:rPr>
  </w:style>
  <w:style w:type="paragraph" w:styleId="Nadpis6">
    <w:name w:val="heading 6"/>
    <w:basedOn w:val="Normlny"/>
    <w:next w:val="Normlny"/>
    <w:link w:val="Nadpis6Char"/>
    <w:uiPriority w:val="99"/>
    <w:qFormat/>
    <w:rsid w:val="00B52502"/>
    <w:pPr>
      <w:keepNext/>
      <w:pBdr>
        <w:left w:val="single" w:sz="6" w:space="1" w:color="auto"/>
        <w:right w:val="single" w:sz="6" w:space="1" w:color="auto"/>
      </w:pBdr>
      <w:shd w:val="pct30" w:color="auto" w:fill="auto"/>
      <w:tabs>
        <w:tab w:val="left" w:pos="6220"/>
      </w:tabs>
      <w:spacing w:after="0" w:line="240" w:lineRule="auto"/>
      <w:ind w:right="-220"/>
      <w:jc w:val="center"/>
      <w:outlineLvl w:val="5"/>
    </w:pPr>
    <w:rPr>
      <w:rFonts w:ascii="Helvetica" w:eastAsia="Times New Roman" w:hAnsi="Helvetica" w:cs="Helvetica"/>
      <w:b/>
      <w:bCs/>
      <w:sz w:val="32"/>
      <w:szCs w:val="32"/>
      <w:lang w:val="en-GB" w:eastAsia="fi-FI"/>
    </w:rPr>
  </w:style>
  <w:style w:type="paragraph" w:styleId="Nadpis9">
    <w:name w:val="heading 9"/>
    <w:basedOn w:val="Normlny"/>
    <w:next w:val="Normlny"/>
    <w:link w:val="Nadpis9Char"/>
    <w:uiPriority w:val="99"/>
    <w:qFormat/>
    <w:rsid w:val="00B52502"/>
    <w:pPr>
      <w:keepNext/>
      <w:spacing w:after="0" w:line="240" w:lineRule="auto"/>
      <w:ind w:left="426"/>
      <w:outlineLvl w:val="8"/>
    </w:pPr>
    <w:rPr>
      <w:rFonts w:ascii="Times New Roman" w:eastAsia="Times New Roman" w:hAnsi="Times New Roman" w:cs="Times New Roman"/>
      <w:sz w:val="24"/>
      <w:szCs w:val="24"/>
      <w:lang w:val="en-GB" w:eastAsia="fi-F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52502"/>
    <w:rPr>
      <w:rFonts w:ascii="AvantGarde" w:eastAsia="Times New Roman" w:hAnsi="AvantGarde" w:cs="AvantGarde"/>
      <w:b/>
      <w:bCs/>
      <w:color w:val="FF0000"/>
      <w:sz w:val="24"/>
      <w:szCs w:val="24"/>
      <w:lang w:val="en-US" w:eastAsia="fi-FI"/>
    </w:rPr>
  </w:style>
  <w:style w:type="character" w:customStyle="1" w:styleId="Nadpis2Char">
    <w:name w:val="Nadpis 2 Char"/>
    <w:basedOn w:val="Predvolenpsmoodseku"/>
    <w:link w:val="Nadpis2"/>
    <w:uiPriority w:val="99"/>
    <w:rsid w:val="00B52502"/>
    <w:rPr>
      <w:rFonts w:ascii="AvantGarde" w:eastAsia="Times New Roman" w:hAnsi="AvantGarde" w:cs="AvantGarde"/>
      <w:sz w:val="24"/>
      <w:szCs w:val="24"/>
      <w:u w:val="single"/>
      <w:lang w:val="en-US" w:eastAsia="fi-FI"/>
    </w:rPr>
  </w:style>
  <w:style w:type="character" w:customStyle="1" w:styleId="Nadpis6Char">
    <w:name w:val="Nadpis 6 Char"/>
    <w:basedOn w:val="Predvolenpsmoodseku"/>
    <w:link w:val="Nadpis6"/>
    <w:uiPriority w:val="99"/>
    <w:rsid w:val="00B52502"/>
    <w:rPr>
      <w:rFonts w:ascii="Helvetica" w:eastAsia="Times New Roman" w:hAnsi="Helvetica" w:cs="Helvetica"/>
      <w:b/>
      <w:bCs/>
      <w:sz w:val="32"/>
      <w:szCs w:val="32"/>
      <w:shd w:val="pct30" w:color="auto" w:fill="auto"/>
      <w:lang w:val="en-GB" w:eastAsia="fi-FI"/>
    </w:rPr>
  </w:style>
  <w:style w:type="character" w:customStyle="1" w:styleId="Nadpis9Char">
    <w:name w:val="Nadpis 9 Char"/>
    <w:basedOn w:val="Predvolenpsmoodseku"/>
    <w:link w:val="Nadpis9"/>
    <w:uiPriority w:val="99"/>
    <w:rsid w:val="00B52502"/>
    <w:rPr>
      <w:rFonts w:ascii="Times New Roman" w:eastAsia="Times New Roman" w:hAnsi="Times New Roman" w:cs="Times New Roman"/>
      <w:sz w:val="24"/>
      <w:szCs w:val="24"/>
      <w:lang w:val="en-GB" w:eastAsia="fi-FI"/>
    </w:rPr>
  </w:style>
  <w:style w:type="paragraph" w:styleId="Textbubliny">
    <w:name w:val="Balloon Text"/>
    <w:basedOn w:val="Normlny"/>
    <w:link w:val="TextbublinyChar"/>
    <w:uiPriority w:val="99"/>
    <w:semiHidden/>
    <w:rsid w:val="00B52502"/>
    <w:pPr>
      <w:spacing w:after="0" w:line="240" w:lineRule="auto"/>
    </w:pPr>
    <w:rPr>
      <w:rFonts w:ascii="Tahoma" w:eastAsia="Times New Roman" w:hAnsi="Tahoma" w:cs="Tahoma"/>
      <w:sz w:val="16"/>
      <w:szCs w:val="16"/>
      <w:lang w:val="en-US" w:eastAsia="fi-FI"/>
    </w:rPr>
  </w:style>
  <w:style w:type="character" w:customStyle="1" w:styleId="TextbublinyChar">
    <w:name w:val="Text bubliny Char"/>
    <w:basedOn w:val="Predvolenpsmoodseku"/>
    <w:link w:val="Textbubliny"/>
    <w:uiPriority w:val="99"/>
    <w:semiHidden/>
    <w:rsid w:val="00B52502"/>
    <w:rPr>
      <w:rFonts w:ascii="Tahoma" w:eastAsia="Times New Roman" w:hAnsi="Tahoma" w:cs="Tahoma"/>
      <w:sz w:val="16"/>
      <w:szCs w:val="16"/>
      <w:lang w:val="en-US" w:eastAsia="fi-FI"/>
    </w:rPr>
  </w:style>
  <w:style w:type="character" w:customStyle="1" w:styleId="copy">
    <w:name w:val="copy"/>
    <w:uiPriority w:val="99"/>
    <w:rsid w:val="00B52502"/>
  </w:style>
  <w:style w:type="paragraph" w:customStyle="1" w:styleId="leipa">
    <w:name w:val="leipa"/>
    <w:basedOn w:val="Normlny"/>
    <w:uiPriority w:val="99"/>
    <w:rsid w:val="00B52502"/>
    <w:pPr>
      <w:spacing w:before="100" w:beforeAutospacing="1" w:after="100" w:afterAutospacing="1" w:line="240" w:lineRule="auto"/>
    </w:pPr>
    <w:rPr>
      <w:rFonts w:ascii="Arial Unicode MS" w:eastAsia="Times New Roman" w:hAnsi="Times New Roman" w:cs="Arial Unicode MS"/>
      <w:sz w:val="24"/>
      <w:szCs w:val="24"/>
      <w:lang w:val="fi-FI" w:eastAsia="fi-FI"/>
    </w:rPr>
  </w:style>
  <w:style w:type="paragraph" w:styleId="Nzov">
    <w:name w:val="Title"/>
    <w:basedOn w:val="Normlny"/>
    <w:link w:val="NzovChar"/>
    <w:uiPriority w:val="99"/>
    <w:qFormat/>
    <w:rsid w:val="00B52502"/>
    <w:pPr>
      <w:spacing w:after="0" w:line="240" w:lineRule="auto"/>
      <w:ind w:right="-220"/>
      <w:jc w:val="center"/>
    </w:pPr>
    <w:rPr>
      <w:rFonts w:ascii="Helvetica" w:eastAsia="Times New Roman" w:hAnsi="Helvetica" w:cs="Helvetica"/>
      <w:b/>
      <w:bCs/>
      <w:sz w:val="28"/>
      <w:szCs w:val="28"/>
      <w:lang w:val="en-US" w:eastAsia="fi-FI"/>
    </w:rPr>
  </w:style>
  <w:style w:type="character" w:customStyle="1" w:styleId="NzovChar">
    <w:name w:val="Názov Char"/>
    <w:basedOn w:val="Predvolenpsmoodseku"/>
    <w:link w:val="Nzov"/>
    <w:uiPriority w:val="99"/>
    <w:rsid w:val="00B52502"/>
    <w:rPr>
      <w:rFonts w:ascii="Helvetica" w:eastAsia="Times New Roman" w:hAnsi="Helvetica" w:cs="Helvetica"/>
      <w:b/>
      <w:bCs/>
      <w:sz w:val="28"/>
      <w:szCs w:val="28"/>
      <w:lang w:val="en-US" w:eastAsia="fi-FI"/>
    </w:rPr>
  </w:style>
  <w:style w:type="paragraph" w:styleId="Pta">
    <w:name w:val="footer"/>
    <w:basedOn w:val="Normlny"/>
    <w:link w:val="PtaChar"/>
    <w:uiPriority w:val="99"/>
    <w:rsid w:val="00B5250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PtaChar">
    <w:name w:val="Päta Char"/>
    <w:basedOn w:val="Predvolenpsmoodseku"/>
    <w:link w:val="Pta"/>
    <w:uiPriority w:val="99"/>
    <w:rsid w:val="00B52502"/>
    <w:rPr>
      <w:rFonts w:ascii="Times New Roman" w:eastAsia="Times New Roman" w:hAnsi="Times New Roman" w:cs="Times New Roman"/>
      <w:sz w:val="24"/>
      <w:szCs w:val="24"/>
      <w:lang w:val="en-US" w:eastAsia="fi-FI"/>
    </w:rPr>
  </w:style>
  <w:style w:type="paragraph" w:styleId="Hlavika">
    <w:name w:val="header"/>
    <w:basedOn w:val="Normlny"/>
    <w:link w:val="HlavikaChar"/>
    <w:uiPriority w:val="99"/>
    <w:rsid w:val="00B5250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HlavikaChar">
    <w:name w:val="Hlavička Char"/>
    <w:basedOn w:val="Predvolenpsmoodseku"/>
    <w:link w:val="Hlavika"/>
    <w:uiPriority w:val="99"/>
    <w:rsid w:val="00B52502"/>
    <w:rPr>
      <w:rFonts w:ascii="Times New Roman" w:eastAsia="Times New Roman" w:hAnsi="Times New Roman" w:cs="Times New Roman"/>
      <w:sz w:val="24"/>
      <w:szCs w:val="24"/>
      <w:lang w:val="en-US" w:eastAsia="fi-FI"/>
    </w:rPr>
  </w:style>
  <w:style w:type="character" w:styleId="slostrany">
    <w:name w:val="page number"/>
    <w:basedOn w:val="Predvolenpsmoodseku"/>
    <w:uiPriority w:val="99"/>
    <w:rsid w:val="00B52502"/>
    <w:rPr>
      <w:rFonts w:cs="Times New Roman"/>
    </w:rPr>
  </w:style>
  <w:style w:type="paragraph" w:styleId="Zkladntext">
    <w:name w:val="Body Text"/>
    <w:basedOn w:val="Normlny"/>
    <w:link w:val="ZkladntextChar"/>
    <w:uiPriority w:val="99"/>
    <w:rsid w:val="00B52502"/>
    <w:pPr>
      <w:spacing w:after="0" w:line="240" w:lineRule="auto"/>
    </w:pPr>
    <w:rPr>
      <w:rFonts w:ascii="Times New Roman" w:eastAsia="Times New Roman" w:hAnsi="Times New Roman" w:cs="Times New Roman"/>
      <w:sz w:val="24"/>
      <w:szCs w:val="24"/>
      <w:lang w:val="en-GB" w:eastAsia="fi-FI"/>
    </w:rPr>
  </w:style>
  <w:style w:type="character" w:customStyle="1" w:styleId="ZkladntextChar">
    <w:name w:val="Základný text Char"/>
    <w:basedOn w:val="Predvolenpsmoodseku"/>
    <w:link w:val="Zkladntext"/>
    <w:uiPriority w:val="99"/>
    <w:rsid w:val="00B52502"/>
    <w:rPr>
      <w:rFonts w:ascii="Times New Roman" w:eastAsia="Times New Roman" w:hAnsi="Times New Roman" w:cs="Times New Roman"/>
      <w:sz w:val="24"/>
      <w:szCs w:val="24"/>
      <w:lang w:val="en-GB" w:eastAsia="fi-FI"/>
    </w:rPr>
  </w:style>
  <w:style w:type="paragraph" w:styleId="Zarkazkladnhotextu2">
    <w:name w:val="Body Text Indent 2"/>
    <w:basedOn w:val="Normlny"/>
    <w:link w:val="Zarkazkladnhotextu2Char"/>
    <w:uiPriority w:val="99"/>
    <w:rsid w:val="00B52502"/>
    <w:pPr>
      <w:spacing w:after="0" w:line="240" w:lineRule="auto"/>
      <w:ind w:left="540"/>
    </w:pPr>
    <w:rPr>
      <w:rFonts w:ascii="AvantGarde" w:eastAsia="Times New Roman" w:hAnsi="AvantGarde" w:cs="AvantGarde"/>
      <w:sz w:val="24"/>
      <w:szCs w:val="24"/>
      <w:lang w:val="en-GB" w:eastAsia="fi-FI"/>
    </w:rPr>
  </w:style>
  <w:style w:type="character" w:customStyle="1" w:styleId="Zarkazkladnhotextu2Char">
    <w:name w:val="Zarážka základného textu 2 Char"/>
    <w:basedOn w:val="Predvolenpsmoodseku"/>
    <w:link w:val="Zarkazkladnhotextu2"/>
    <w:uiPriority w:val="99"/>
    <w:rsid w:val="00B52502"/>
    <w:rPr>
      <w:rFonts w:ascii="AvantGarde" w:eastAsia="Times New Roman" w:hAnsi="AvantGarde" w:cs="AvantGarde"/>
      <w:sz w:val="24"/>
      <w:szCs w:val="24"/>
      <w:lang w:val="en-GB" w:eastAsia="fi-FI"/>
    </w:rPr>
  </w:style>
  <w:style w:type="paragraph" w:styleId="Zkladntext2">
    <w:name w:val="Body Text 2"/>
    <w:basedOn w:val="Normlny"/>
    <w:link w:val="Zkladntext2Char"/>
    <w:uiPriority w:val="99"/>
    <w:rsid w:val="00B52502"/>
    <w:pPr>
      <w:spacing w:after="0" w:line="240" w:lineRule="auto"/>
      <w:ind w:left="540"/>
      <w:jc w:val="both"/>
    </w:pPr>
    <w:rPr>
      <w:rFonts w:ascii="AvantGarde" w:eastAsia="Times New Roman" w:hAnsi="AvantGarde" w:cs="AvantGarde"/>
      <w:color w:val="FF0000"/>
      <w:sz w:val="24"/>
      <w:szCs w:val="24"/>
      <w:lang w:val="en-US" w:eastAsia="fi-FI"/>
    </w:rPr>
  </w:style>
  <w:style w:type="character" w:customStyle="1" w:styleId="Zkladntext2Char">
    <w:name w:val="Základný text 2 Char"/>
    <w:basedOn w:val="Predvolenpsmoodseku"/>
    <w:link w:val="Zkladntext2"/>
    <w:uiPriority w:val="99"/>
    <w:rsid w:val="00B52502"/>
    <w:rPr>
      <w:rFonts w:ascii="AvantGarde" w:eastAsia="Times New Roman" w:hAnsi="AvantGarde" w:cs="AvantGarde"/>
      <w:color w:val="FF0000"/>
      <w:sz w:val="24"/>
      <w:szCs w:val="24"/>
      <w:lang w:val="en-US" w:eastAsia="fi-FI"/>
    </w:rPr>
  </w:style>
  <w:style w:type="paragraph" w:styleId="Zarkazkladnhotextu3">
    <w:name w:val="Body Text Indent 3"/>
    <w:basedOn w:val="Normlny"/>
    <w:link w:val="Zarkazkladnhotextu3Char"/>
    <w:uiPriority w:val="99"/>
    <w:rsid w:val="00B52502"/>
    <w:pPr>
      <w:spacing w:after="0" w:line="240" w:lineRule="auto"/>
      <w:ind w:left="360"/>
    </w:pPr>
    <w:rPr>
      <w:rFonts w:ascii="AvantGarde" w:eastAsia="Times New Roman" w:hAnsi="AvantGarde" w:cs="AvantGarde"/>
      <w:sz w:val="24"/>
      <w:szCs w:val="24"/>
      <w:lang w:val="en-GB" w:eastAsia="fi-FI"/>
    </w:rPr>
  </w:style>
  <w:style w:type="character" w:customStyle="1" w:styleId="Zarkazkladnhotextu3Char">
    <w:name w:val="Zarážka základného textu 3 Char"/>
    <w:basedOn w:val="Predvolenpsmoodseku"/>
    <w:link w:val="Zarkazkladnhotextu3"/>
    <w:uiPriority w:val="99"/>
    <w:rsid w:val="00B52502"/>
    <w:rPr>
      <w:rFonts w:ascii="AvantGarde" w:eastAsia="Times New Roman" w:hAnsi="AvantGarde" w:cs="AvantGarde"/>
      <w:sz w:val="24"/>
      <w:szCs w:val="24"/>
      <w:lang w:val="en-GB" w:eastAsia="fi-FI"/>
    </w:rPr>
  </w:style>
  <w:style w:type="paragraph" w:styleId="Obyajntext">
    <w:name w:val="Plain Text"/>
    <w:basedOn w:val="Normlny"/>
    <w:link w:val="ObyajntextChar"/>
    <w:uiPriority w:val="99"/>
    <w:rsid w:val="00B52502"/>
    <w:pPr>
      <w:spacing w:after="0" w:line="240" w:lineRule="auto"/>
    </w:pPr>
    <w:rPr>
      <w:rFonts w:ascii="Courier New" w:eastAsia="Times New Roman" w:hAnsi="Courier New" w:cs="Courier New"/>
      <w:sz w:val="20"/>
      <w:szCs w:val="20"/>
      <w:lang w:val="de-DE" w:eastAsia="fi-FI"/>
    </w:rPr>
  </w:style>
  <w:style w:type="character" w:customStyle="1" w:styleId="ObyajntextChar">
    <w:name w:val="Obyčajný text Char"/>
    <w:basedOn w:val="Predvolenpsmoodseku"/>
    <w:link w:val="Obyajntext"/>
    <w:uiPriority w:val="99"/>
    <w:rsid w:val="00B52502"/>
    <w:rPr>
      <w:rFonts w:ascii="Courier New" w:eastAsia="Times New Roman" w:hAnsi="Courier New" w:cs="Courier New"/>
      <w:sz w:val="20"/>
      <w:szCs w:val="20"/>
      <w:lang w:val="de-DE" w:eastAsia="fi-FI"/>
    </w:rPr>
  </w:style>
  <w:style w:type="paragraph" w:styleId="Zkladntext3">
    <w:name w:val="Body Text 3"/>
    <w:basedOn w:val="Normlny"/>
    <w:link w:val="Zkladntext3Char"/>
    <w:uiPriority w:val="99"/>
    <w:rsid w:val="00B52502"/>
    <w:pPr>
      <w:spacing w:after="120" w:line="240" w:lineRule="auto"/>
    </w:pPr>
    <w:rPr>
      <w:rFonts w:ascii="Times New Roman" w:eastAsia="Times New Roman" w:hAnsi="Times New Roman" w:cs="Times New Roman"/>
      <w:sz w:val="16"/>
      <w:szCs w:val="16"/>
      <w:lang w:val="en-US" w:eastAsia="fi-FI"/>
    </w:rPr>
  </w:style>
  <w:style w:type="character" w:customStyle="1" w:styleId="Zkladntext3Char">
    <w:name w:val="Základný text 3 Char"/>
    <w:basedOn w:val="Predvolenpsmoodseku"/>
    <w:link w:val="Zkladntext3"/>
    <w:uiPriority w:val="99"/>
    <w:rsid w:val="00B52502"/>
    <w:rPr>
      <w:rFonts w:ascii="Times New Roman" w:eastAsia="Times New Roman" w:hAnsi="Times New Roman" w:cs="Times New Roman"/>
      <w:sz w:val="16"/>
      <w:szCs w:val="16"/>
      <w:lang w:val="en-US" w:eastAsia="fi-FI"/>
    </w:rPr>
  </w:style>
  <w:style w:type="paragraph" w:customStyle="1" w:styleId="Text">
    <w:name w:val="Text"/>
    <w:uiPriority w:val="99"/>
    <w:rsid w:val="00B52502"/>
    <w:pPr>
      <w:autoSpaceDE w:val="0"/>
      <w:autoSpaceDN w:val="0"/>
      <w:spacing w:after="0" w:line="200" w:lineRule="exact"/>
      <w:ind w:left="283" w:right="56"/>
      <w:jc w:val="both"/>
    </w:pPr>
    <w:rPr>
      <w:rFonts w:ascii="Helvetica" w:eastAsia="Times New Roman" w:hAnsi="Helvetica" w:cs="Helvetica"/>
      <w:noProof/>
      <w:sz w:val="16"/>
      <w:szCs w:val="16"/>
      <w:lang w:val="en-US"/>
    </w:rPr>
  </w:style>
  <w:style w:type="character" w:styleId="Odkaznakomentr">
    <w:name w:val="annotation reference"/>
    <w:basedOn w:val="Predvolenpsmoodseku"/>
    <w:uiPriority w:val="99"/>
    <w:semiHidden/>
    <w:rsid w:val="00B52502"/>
    <w:rPr>
      <w:rFonts w:cs="Times New Roman"/>
      <w:sz w:val="16"/>
    </w:rPr>
  </w:style>
  <w:style w:type="paragraph" w:styleId="Textkomentra">
    <w:name w:val="annotation text"/>
    <w:basedOn w:val="Normlny"/>
    <w:link w:val="TextkomentraChar"/>
    <w:uiPriority w:val="99"/>
    <w:semiHidden/>
    <w:rsid w:val="00B52502"/>
    <w:pPr>
      <w:spacing w:after="0" w:line="240" w:lineRule="auto"/>
    </w:pPr>
    <w:rPr>
      <w:rFonts w:ascii="Times New Roman" w:eastAsia="Times New Roman" w:hAnsi="Times New Roman" w:cs="Times New Roman"/>
      <w:sz w:val="20"/>
      <w:szCs w:val="20"/>
      <w:lang w:val="en-US" w:eastAsia="fi-FI"/>
    </w:rPr>
  </w:style>
  <w:style w:type="character" w:customStyle="1" w:styleId="TextkomentraChar">
    <w:name w:val="Text komentára Char"/>
    <w:basedOn w:val="Predvolenpsmoodseku"/>
    <w:link w:val="Textkomentra"/>
    <w:uiPriority w:val="99"/>
    <w:semiHidden/>
    <w:rsid w:val="00B52502"/>
    <w:rPr>
      <w:rFonts w:ascii="Times New Roman" w:eastAsia="Times New Roman" w:hAnsi="Times New Roman" w:cs="Times New Roman"/>
      <w:sz w:val="20"/>
      <w:szCs w:val="20"/>
      <w:lang w:val="en-US" w:eastAsia="fi-FI"/>
    </w:rPr>
  </w:style>
  <w:style w:type="paragraph" w:styleId="Predmetkomentra">
    <w:name w:val="annotation subject"/>
    <w:basedOn w:val="Textkomentra"/>
    <w:next w:val="Textkomentra"/>
    <w:link w:val="PredmetkomentraChar"/>
    <w:uiPriority w:val="99"/>
    <w:semiHidden/>
    <w:rsid w:val="00B52502"/>
    <w:rPr>
      <w:b/>
      <w:bCs/>
    </w:rPr>
  </w:style>
  <w:style w:type="character" w:customStyle="1" w:styleId="PredmetkomentraChar">
    <w:name w:val="Predmet komentára Char"/>
    <w:basedOn w:val="TextkomentraChar"/>
    <w:link w:val="Predmetkomentra"/>
    <w:uiPriority w:val="99"/>
    <w:semiHidden/>
    <w:rsid w:val="00B52502"/>
    <w:rPr>
      <w:rFonts w:ascii="Times New Roman" w:eastAsia="Times New Roman" w:hAnsi="Times New Roman" w:cs="Times New Roman"/>
      <w:b/>
      <w:bCs/>
      <w:sz w:val="20"/>
      <w:szCs w:val="20"/>
      <w:lang w:val="en-US" w:eastAsia="fi-FI"/>
    </w:rPr>
  </w:style>
  <w:style w:type="character" w:customStyle="1" w:styleId="hps">
    <w:name w:val="hps"/>
    <w:uiPriority w:val="99"/>
    <w:rsid w:val="00B52502"/>
  </w:style>
  <w:style w:type="table" w:styleId="Mriekatabuky">
    <w:name w:val="Table Grid"/>
    <w:basedOn w:val="Normlnatabuka"/>
    <w:uiPriority w:val="99"/>
    <w:rsid w:val="00B52502"/>
    <w:pPr>
      <w:spacing w:after="0" w:line="240" w:lineRule="auto"/>
    </w:pPr>
    <w:rPr>
      <w:rFonts w:ascii="Times New Roman" w:eastAsia="Times New Roman"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B52502"/>
    <w:rPr>
      <w:rFonts w:cs="Times New Roman"/>
      <w:color w:val="0000FF"/>
      <w:u w:val="single"/>
    </w:rPr>
  </w:style>
  <w:style w:type="paragraph" w:styleId="Revzia">
    <w:name w:val="Revision"/>
    <w:hidden/>
    <w:uiPriority w:val="99"/>
    <w:semiHidden/>
    <w:rsid w:val="00B52502"/>
    <w:pPr>
      <w:spacing w:after="0" w:line="240" w:lineRule="auto"/>
    </w:pPr>
    <w:rPr>
      <w:rFonts w:ascii="Times New Roman" w:eastAsia="Times New Roman" w:hAnsi="Times New Roman" w:cs="Times New Roman"/>
      <w:sz w:val="24"/>
      <w:szCs w:val="24"/>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F0E542FCAEE4E91F54C22E7B9E84C" ma:contentTypeVersion="13" ma:contentTypeDescription="Create a new document." ma:contentTypeScope="" ma:versionID="4d337208306c876f54d6afc40f3c4b40">
  <xsd:schema xmlns:xsd="http://www.w3.org/2001/XMLSchema" xmlns:xs="http://www.w3.org/2001/XMLSchema" xmlns:p="http://schemas.microsoft.com/office/2006/metadata/properties" xmlns:ns3="1d789dc2-9a23-4bc6-9039-3b3cc87c5411" xmlns:ns4="e0d34b62-d2c1-498e-a514-87514c54aecd" targetNamespace="http://schemas.microsoft.com/office/2006/metadata/properties" ma:root="true" ma:fieldsID="304dedb10d7ff0d583436ad8c7bf936f" ns3:_="" ns4:_="">
    <xsd:import namespace="1d789dc2-9a23-4bc6-9039-3b3cc87c5411"/>
    <xsd:import namespace="e0d34b62-d2c1-498e-a514-87514c54ae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89dc2-9a23-4bc6-9039-3b3cc87c54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34b62-d2c1-498e-a514-87514c54ae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581DE-32DC-495A-B5CC-60CB224C4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89dc2-9a23-4bc6-9039-3b3cc87c5411"/>
    <ds:schemaRef ds:uri="e0d34b62-d2c1-498e-a514-87514c54a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765C2-6519-49A2-828F-C419BBB5672B}">
  <ds:schemaRefs>
    <ds:schemaRef ds:uri="http://schemas.microsoft.com/sharepoint/v3/contenttype/forms"/>
  </ds:schemaRefs>
</ds:datastoreItem>
</file>

<file path=customXml/itemProps3.xml><?xml version="1.0" encoding="utf-8"?>
<ds:datastoreItem xmlns:ds="http://schemas.openxmlformats.org/officeDocument/2006/customXml" ds:itemID="{3C12799C-3685-4964-8C2A-B7550B905F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3759</Words>
  <Characters>21427</Characters>
  <Application>Microsoft Office Word</Application>
  <DocSecurity>0</DocSecurity>
  <Lines>178</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Valovičová, Monika</cp:lastModifiedBy>
  <cp:revision>20</cp:revision>
  <cp:lastPrinted>2020-09-16T10:14:00Z</cp:lastPrinted>
  <dcterms:created xsi:type="dcterms:W3CDTF">2020-09-14T12:06:00Z</dcterms:created>
  <dcterms:modified xsi:type="dcterms:W3CDTF">2020-11-13T13:30:00Z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0x010100CF9F0E542FCAEE4E91F54C22E7B9E84C</vt:lpwstr>
  </property>
  <property fmtid="{D5CDD505-2E9C-101B-9397-08002B2CF9AE}" pid="3" name="MSIP_Label_4929bff8-5b33-42aa-95d2-28f72e792cb0_Enabled">
    <vt:lpwstr>true</vt:lpwstr>
  </property>
  <property fmtid="{D5CDD505-2E9C-101B-9397-08002B2CF9AE}" pid="4" name="MSIP_Label_4929bff8-5b33-42aa-95d2-28f72e792cb0_SetDate">
    <vt:lpwstr>2020-11-12T14:03:05Z</vt:lpwstr>
  </property>
  <property fmtid="{D5CDD505-2E9C-101B-9397-08002B2CF9AE}" pid="5" name="MSIP_Label_4929bff8-5b33-42aa-95d2-28f72e792cb0_Method">
    <vt:lpwstr>Privileged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c66b33cd-018c-46d3-9093-6a740c9ad955</vt:lpwstr>
  </property>
  <property fmtid="{D5CDD505-2E9C-101B-9397-08002B2CF9AE}" pid="9" name="MSIP_Label_4929bff8-5b33-42aa-95d2-28f72e792cb0_ContentBits">
    <vt:lpwstr>0</vt:lpwstr>
  </property>
</Properties>
</file>