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441AD" w14:textId="77777777" w:rsidR="00EA4159" w:rsidRPr="003C065E" w:rsidRDefault="00EA4159" w:rsidP="00EA415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SÚHRN CHARAKTERISTICKÝCH VLASTNOSTÍ LIEKU</w:t>
      </w:r>
    </w:p>
    <w:p w14:paraId="099870B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829521C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43FBB0A" w14:textId="77777777" w:rsidR="00EA4159" w:rsidRPr="003C065E" w:rsidRDefault="00EA4159" w:rsidP="00EA4159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NÁZOV LIEKU</w:t>
      </w:r>
    </w:p>
    <w:p w14:paraId="3BF73152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161885C" w14:textId="77777777" w:rsidR="00DE571A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Vipharm 250 mg </w:t>
      </w:r>
    </w:p>
    <w:p w14:paraId="4FC6F8AA" w14:textId="25B9091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injekčný </w:t>
      </w:r>
      <w:r w:rsidRPr="00E901C7">
        <w:rPr>
          <w:rFonts w:ascii="Times New Roman" w:hAnsi="Times New Roman"/>
          <w:lang w:val="sk-SK"/>
        </w:rPr>
        <w:t xml:space="preserve">roztok </w:t>
      </w:r>
      <w:r w:rsidR="0050297D" w:rsidRPr="0028207B">
        <w:rPr>
          <w:rFonts w:ascii="Times New Roman" w:hAnsi="Times New Roman"/>
          <w:lang w:val="sk-SK"/>
        </w:rPr>
        <w:t>v naplnenej injekčnej striekačke</w:t>
      </w:r>
    </w:p>
    <w:p w14:paraId="1F3E5F50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6DB3377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25226F0" w14:textId="77777777" w:rsidR="00EA4159" w:rsidRPr="003C065E" w:rsidRDefault="00EA4159" w:rsidP="00EA4159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KVALITATÍVNE A KVANTITATÍVNE ZLOŽENIE</w:t>
      </w:r>
    </w:p>
    <w:p w14:paraId="182ABD18" w14:textId="72CE7866" w:rsidR="00EA4159" w:rsidRPr="003C065E" w:rsidRDefault="00A4151A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br/>
        <w:t>Jedna naplnená injekčná striekačka obsahuje 250 mg fulvestrantu v 5 ml roztoku.</w:t>
      </w:r>
    </w:p>
    <w:p w14:paraId="698CA0B9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2FEDA75" w14:textId="64947C69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Pomocné látky so známym účinkom</w:t>
      </w:r>
      <w:r w:rsidR="00A4151A" w:rsidRPr="003C065E">
        <w:rPr>
          <w:rFonts w:ascii="Times New Roman" w:hAnsi="Times New Roman"/>
          <w:u w:val="single"/>
          <w:lang w:val="sk-SK"/>
        </w:rPr>
        <w:t xml:space="preserve"> (na 5 ml)</w:t>
      </w:r>
    </w:p>
    <w:p w14:paraId="1A69D3C6" w14:textId="25AED0CD" w:rsidR="00A4151A" w:rsidRPr="003C065E" w:rsidRDefault="00A4151A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Etanol 96 % (alkohol), 500 mg</w:t>
      </w:r>
    </w:p>
    <w:p w14:paraId="3E8D1C2B" w14:textId="4F08B54A" w:rsidR="00A4151A" w:rsidRPr="003C065E" w:rsidRDefault="00A4151A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Benzylalkohol (E1519), 500 mg</w:t>
      </w:r>
    </w:p>
    <w:p w14:paraId="1C1FA669" w14:textId="4DF2ADE3" w:rsidR="00A4151A" w:rsidRPr="003C065E" w:rsidRDefault="00A4151A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281C7D">
        <w:rPr>
          <w:rFonts w:ascii="Times New Roman" w:hAnsi="Times New Roman"/>
          <w:lang w:val="sk-SK"/>
        </w:rPr>
        <w:t>Benzyl</w:t>
      </w:r>
      <w:r w:rsidR="00281C7D">
        <w:rPr>
          <w:rFonts w:ascii="Times New Roman" w:hAnsi="Times New Roman"/>
          <w:lang w:val="sk-SK"/>
        </w:rPr>
        <w:t>-</w:t>
      </w:r>
      <w:r w:rsidRPr="00281C7D">
        <w:rPr>
          <w:rFonts w:ascii="Times New Roman" w:hAnsi="Times New Roman"/>
          <w:lang w:val="sk-SK"/>
        </w:rPr>
        <w:t>benzoát</w:t>
      </w:r>
      <w:r w:rsidRPr="003C065E">
        <w:rPr>
          <w:rFonts w:ascii="Times New Roman" w:hAnsi="Times New Roman"/>
          <w:lang w:val="sk-SK"/>
        </w:rPr>
        <w:t>, 750 mg</w:t>
      </w:r>
    </w:p>
    <w:p w14:paraId="70A08FC8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</w:p>
    <w:p w14:paraId="5AB8E57D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Úplný zoznam pomocných látok , pozri časť 6.1.</w:t>
      </w:r>
    </w:p>
    <w:p w14:paraId="3EEFBFA5" w14:textId="7476F78B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3038DE7" w14:textId="77777777" w:rsidR="001A3673" w:rsidRPr="003C065E" w:rsidRDefault="001A3673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E97E973" w14:textId="77777777" w:rsidR="00EA4159" w:rsidRPr="003C065E" w:rsidRDefault="00EA4159" w:rsidP="00EA4159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LIEKOVÁ FORMA</w:t>
      </w:r>
    </w:p>
    <w:p w14:paraId="74E39659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A0BCFAA" w14:textId="79347F6A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Injekčný roztok </w:t>
      </w:r>
      <w:r w:rsidR="007A5B6C" w:rsidRPr="003C065E">
        <w:rPr>
          <w:rFonts w:ascii="Times New Roman" w:hAnsi="Times New Roman"/>
          <w:lang w:val="sk-SK"/>
        </w:rPr>
        <w:t xml:space="preserve">v </w:t>
      </w:r>
      <w:r w:rsidRPr="003C065E">
        <w:rPr>
          <w:rFonts w:ascii="Times New Roman" w:hAnsi="Times New Roman"/>
          <w:lang w:val="sk-SK"/>
        </w:rPr>
        <w:t>naplnen</w:t>
      </w:r>
      <w:r w:rsidR="007A5B6C" w:rsidRPr="003C065E">
        <w:rPr>
          <w:rFonts w:ascii="Times New Roman" w:hAnsi="Times New Roman"/>
          <w:lang w:val="sk-SK"/>
        </w:rPr>
        <w:t>ej</w:t>
      </w:r>
      <w:r w:rsidRPr="003C065E">
        <w:rPr>
          <w:rFonts w:ascii="Times New Roman" w:hAnsi="Times New Roman"/>
          <w:lang w:val="sk-SK"/>
        </w:rPr>
        <w:t xml:space="preserve"> injekčnej striekačke</w:t>
      </w:r>
    </w:p>
    <w:p w14:paraId="619A4D59" w14:textId="77777777" w:rsidR="00A4151A" w:rsidRPr="003C065E" w:rsidRDefault="00A4151A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22A8600" w14:textId="354FEFBB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Číry, bezfarebný až žltý viskózny roztok</w:t>
      </w:r>
      <w:r w:rsidR="00DA1BA7" w:rsidRPr="003C065E">
        <w:rPr>
          <w:rFonts w:ascii="Times New Roman" w:hAnsi="Times New Roman"/>
          <w:lang w:val="sk-SK"/>
        </w:rPr>
        <w:t xml:space="preserve">, </w:t>
      </w:r>
      <w:r w:rsidRPr="00281C7D">
        <w:rPr>
          <w:rFonts w:ascii="Times New Roman" w:hAnsi="Times New Roman"/>
          <w:lang w:val="sk-SK"/>
        </w:rPr>
        <w:t>bez viditeľných častíc</w:t>
      </w:r>
      <w:r w:rsidRPr="003C065E">
        <w:rPr>
          <w:rFonts w:ascii="Times New Roman" w:hAnsi="Times New Roman"/>
          <w:lang w:val="sk-SK"/>
        </w:rPr>
        <w:t>.</w:t>
      </w:r>
    </w:p>
    <w:p w14:paraId="04636E4B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58AE0E0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BE1E2F7" w14:textId="77777777" w:rsidR="00EA4159" w:rsidRPr="003C065E" w:rsidRDefault="00EA4159" w:rsidP="00EA4159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KLINICKÉ ÚDAJE</w:t>
      </w:r>
    </w:p>
    <w:p w14:paraId="53CD05A8" w14:textId="77777777" w:rsidR="00EA4159" w:rsidRPr="003C065E" w:rsidRDefault="00EA4159" w:rsidP="00EA4159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7B5ED578" w14:textId="77777777" w:rsidR="00EA4159" w:rsidRPr="003C065E" w:rsidRDefault="00EA4159" w:rsidP="00EA4159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4.1 </w:t>
      </w:r>
      <w:r w:rsidRPr="003C065E">
        <w:rPr>
          <w:rFonts w:ascii="Times New Roman" w:hAnsi="Times New Roman"/>
          <w:b/>
          <w:bCs/>
          <w:lang w:val="sk-SK"/>
        </w:rPr>
        <w:tab/>
        <w:t>Terapeutické indikácie</w:t>
      </w:r>
    </w:p>
    <w:p w14:paraId="00305BD4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5A3F719C" w14:textId="4CFEF76C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E96C61">
        <w:rPr>
          <w:rFonts w:ascii="Times New Roman" w:hAnsi="Times New Roman"/>
          <w:lang w:val="sk-SK"/>
        </w:rPr>
        <w:t>Fulvestrant</w:t>
      </w:r>
      <w:r w:rsidRPr="003C065E">
        <w:rPr>
          <w:rFonts w:ascii="Times New Roman" w:hAnsi="Times New Roman"/>
          <w:lang w:val="sk-SK"/>
        </w:rPr>
        <w:t xml:space="preserve"> je indikovaný:</w:t>
      </w:r>
    </w:p>
    <w:p w14:paraId="4EF66436" w14:textId="0CA4DA6B" w:rsidR="00EA4159" w:rsidRPr="003C065E" w:rsidRDefault="00EA4159" w:rsidP="0014305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monoterapii na liečbu lokálne pokročilého alebo metastatického karcinómu prsníka s pozitivitou estrogénových receptorov u postmenopauzálnych žien:</w:t>
      </w:r>
    </w:p>
    <w:p w14:paraId="5D6F3B1D" w14:textId="5882C53B" w:rsidR="00EA4159" w:rsidRPr="003C065E" w:rsidRDefault="00EA4159" w:rsidP="00143055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bez predchádzajúcej endokrinnej liečby, alebo</w:t>
      </w:r>
    </w:p>
    <w:p w14:paraId="01CF61D4" w14:textId="4A5F84BF" w:rsidR="00EA4159" w:rsidRPr="003C065E" w:rsidRDefault="00EA4159" w:rsidP="00143055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 relapsom ochorenia počas alebo po adjuvantnej antiestrogénovej liečbe alebo pri progresii ochorenia počas antiestrogénovej liečby.</w:t>
      </w:r>
    </w:p>
    <w:p w14:paraId="0BE8C2E8" w14:textId="77777777" w:rsidR="00EA4159" w:rsidRPr="003C065E" w:rsidRDefault="00EA4159" w:rsidP="0014305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kombinácií s palbociklibom na liečbu lokálne pokročilého alebo metastatického karcinómu</w:t>
      </w:r>
    </w:p>
    <w:p w14:paraId="7B89FD4C" w14:textId="77777777" w:rsidR="00EA4159" w:rsidRPr="003C065E" w:rsidRDefault="00EA4159" w:rsidP="00143055">
      <w:pPr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prsníka s pozitivitou hormonálnych receptorov (HR) a negativitou receptora </w:t>
      </w:r>
      <w:r w:rsidRPr="00216400">
        <w:rPr>
          <w:rFonts w:ascii="Times New Roman" w:eastAsia="TimesNewRoman" w:hAnsi="Times New Roman"/>
          <w:lang w:val="sk-SK"/>
        </w:rPr>
        <w:t>2</w:t>
      </w:r>
      <w:r w:rsidRPr="003C065E">
        <w:rPr>
          <w:rFonts w:ascii="Times New Roman" w:eastAsia="TimesNewRoman" w:hAnsi="Times New Roman"/>
          <w:lang w:val="sk-SK"/>
        </w:rPr>
        <w:t xml:space="preserve"> pre ľudský</w:t>
      </w:r>
    </w:p>
    <w:p w14:paraId="77C73439" w14:textId="77777777" w:rsidR="00EA4159" w:rsidRPr="003C065E" w:rsidRDefault="00EA4159" w:rsidP="00143055">
      <w:pPr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epidermálny rastový faktor (HER2) u žien, ktoré predtým podstúpili endokrinnú liečbu (pozri</w:t>
      </w:r>
    </w:p>
    <w:p w14:paraId="302B67B8" w14:textId="3DC204E9" w:rsidR="00EA4159" w:rsidRPr="003C065E" w:rsidRDefault="00EA4159" w:rsidP="00143055">
      <w:pPr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časť 5.1).</w:t>
      </w:r>
      <w:r w:rsidR="00143055" w:rsidRPr="003C065E">
        <w:rPr>
          <w:rFonts w:ascii="Times New Roman" w:eastAsia="TimesNewRoman" w:hAnsi="Times New Roman"/>
          <w:lang w:val="sk-SK"/>
        </w:rPr>
        <w:t xml:space="preserve"> </w:t>
      </w:r>
    </w:p>
    <w:p w14:paraId="0C36BECF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2B42D12F" w14:textId="01EE3EE8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U pre- alebo perimenopauzálnych žien sa má kombinovaná liečba</w:t>
      </w:r>
      <w:r w:rsidR="00E96C61">
        <w:rPr>
          <w:rFonts w:ascii="Times New Roman" w:eastAsia="TimesNewRoman" w:hAnsi="Times New Roman"/>
          <w:lang w:val="sk-SK"/>
        </w:rPr>
        <w:t xml:space="preserve"> s</w:t>
      </w:r>
      <w:r w:rsidRPr="003C065E">
        <w:rPr>
          <w:rFonts w:ascii="Times New Roman" w:eastAsia="TimesNewRoman" w:hAnsi="Times New Roman"/>
          <w:lang w:val="sk-SK"/>
        </w:rPr>
        <w:t xml:space="preserve"> palbociklibom kombinovať</w:t>
      </w:r>
    </w:p>
    <w:p w14:paraId="3D5FC494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 agonistom hormónu uvoľňujúceho luteinizačný hormón (LHRH).</w:t>
      </w:r>
    </w:p>
    <w:p w14:paraId="1E0526B4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6AA7F10" w14:textId="77777777" w:rsidR="00EA4159" w:rsidRPr="003C065E" w:rsidRDefault="00EA4159" w:rsidP="00EA4159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4.2 </w:t>
      </w:r>
      <w:r w:rsidRPr="003C065E">
        <w:rPr>
          <w:rFonts w:ascii="Times New Roman" w:hAnsi="Times New Roman"/>
          <w:b/>
          <w:bCs/>
          <w:lang w:val="sk-SK"/>
        </w:rPr>
        <w:tab/>
        <w:t>Dávkovanie a spôsob podávania</w:t>
      </w:r>
    </w:p>
    <w:p w14:paraId="15D96115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4F6E150E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Dávkovanie</w:t>
      </w:r>
    </w:p>
    <w:p w14:paraId="4D2A9D4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b/>
          <w:i/>
          <w:lang w:val="sk-SK"/>
        </w:rPr>
      </w:pPr>
    </w:p>
    <w:p w14:paraId="76E10C9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Dospelé ženy (vrátane starších žien)</w:t>
      </w:r>
    </w:p>
    <w:p w14:paraId="32AD5F4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Odporúčaná dávka je 500 mg v jednomesačných intervaloch s ďalšou 500 mg dávkou podanou dva</w:t>
      </w:r>
    </w:p>
    <w:p w14:paraId="402D70B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týždne po začiatočnej dávke.</w:t>
      </w:r>
    </w:p>
    <w:p w14:paraId="2A4A570E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0FA7281" w14:textId="38F2D274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lastRenderedPageBreak/>
        <w:t xml:space="preserve">Pri použití </w:t>
      </w:r>
      <w:r w:rsidR="00961A89" w:rsidRPr="003C065E">
        <w:rPr>
          <w:rFonts w:ascii="Times New Roman" w:hAnsi="Times New Roman"/>
          <w:lang w:val="sk-SK"/>
        </w:rPr>
        <w:t>fulvestrantu</w:t>
      </w:r>
      <w:r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v kombinácií s palbociklibom pozri tiež súhrn charakteristických vlastností palbociklibu.</w:t>
      </w:r>
    </w:p>
    <w:p w14:paraId="23077E1B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717D90F9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Pred začatím liečby kombináciou </w:t>
      </w:r>
      <w:r w:rsidRPr="003C065E">
        <w:rPr>
          <w:rFonts w:ascii="Times New Roman" w:hAnsi="Times New Roman"/>
          <w:lang w:val="sk-SK"/>
        </w:rPr>
        <w:t xml:space="preserve">fulvestrant </w:t>
      </w:r>
      <w:r w:rsidRPr="003C065E">
        <w:rPr>
          <w:rFonts w:ascii="Times New Roman" w:eastAsia="TimesNewRoman" w:hAnsi="Times New Roman"/>
          <w:lang w:val="sk-SK"/>
        </w:rPr>
        <w:t>plus palbociklib a počas jej trvania musia byť pre/perimenopauzálne ženy liečené agonistom LHRH podľa lokálnej klinickej praxe.</w:t>
      </w:r>
    </w:p>
    <w:p w14:paraId="792F8A84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FE1DB52" w14:textId="56808D2C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Osobitné populácie</w:t>
      </w:r>
    </w:p>
    <w:p w14:paraId="1CB4B371" w14:textId="77777777" w:rsidR="00961A89" w:rsidRPr="003C065E" w:rsidRDefault="00961A8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</w:p>
    <w:p w14:paraId="06A7ABE3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Porucha funkcie obličiek</w:t>
      </w:r>
    </w:p>
    <w:p w14:paraId="6979E7CC" w14:textId="6E5D126B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U pacien</w:t>
      </w:r>
      <w:r w:rsidRPr="00B80C07">
        <w:rPr>
          <w:rFonts w:ascii="Times New Roman" w:hAnsi="Times New Roman"/>
          <w:lang w:val="sk-SK"/>
        </w:rPr>
        <w:t>t</w:t>
      </w:r>
      <w:r w:rsidR="00281C7D" w:rsidRPr="00B80C07">
        <w:rPr>
          <w:rFonts w:ascii="Times New Roman" w:hAnsi="Times New Roman"/>
          <w:lang w:val="sk-SK"/>
        </w:rPr>
        <w:t>o</w:t>
      </w:r>
      <w:r w:rsidRPr="00B80C07">
        <w:rPr>
          <w:rFonts w:ascii="Times New Roman" w:hAnsi="Times New Roman"/>
          <w:lang w:val="sk-SK"/>
        </w:rPr>
        <w:t>k</w:t>
      </w:r>
      <w:r w:rsidRPr="003C065E">
        <w:rPr>
          <w:rFonts w:ascii="Times New Roman" w:hAnsi="Times New Roman"/>
          <w:lang w:val="sk-SK"/>
        </w:rPr>
        <w:t xml:space="preserve"> s</w:t>
      </w:r>
      <w:r w:rsidR="00A7578D" w:rsidRPr="003C065E">
        <w:rPr>
          <w:rFonts w:ascii="Times New Roman" w:hAnsi="Times New Roman"/>
          <w:lang w:val="sk-SK"/>
        </w:rPr>
        <w:t> miernou až stredne závažnou</w:t>
      </w:r>
      <w:r w:rsidRPr="003C065E">
        <w:rPr>
          <w:rFonts w:ascii="Times New Roman" w:hAnsi="Times New Roman"/>
          <w:lang w:val="sk-SK"/>
        </w:rPr>
        <w:t xml:space="preserve"> poruchou funkcie obličiek (klírens kreatinínu ≥ 30 ml/min) sa neodporúča žiadna úprava dávky. U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s</w:t>
      </w:r>
      <w:r w:rsidR="00A7578D" w:rsidRPr="003C065E">
        <w:rPr>
          <w:rFonts w:ascii="Times New Roman" w:hAnsi="Times New Roman"/>
          <w:lang w:val="sk-SK"/>
        </w:rPr>
        <w:t>o závažnou</w:t>
      </w:r>
      <w:r w:rsidRPr="003C065E">
        <w:rPr>
          <w:rFonts w:ascii="Times New Roman" w:hAnsi="Times New Roman"/>
          <w:lang w:val="sk-SK"/>
        </w:rPr>
        <w:t xml:space="preserve"> poruchou funkcie obličiek (klírens kreatinínu &lt; 30 ml/min) bezpečnosť a účinnosť nebola hodnotená, u týchto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je preto potrebná zvýšená opatrnosť (pozri časť 4.4).</w:t>
      </w:r>
    </w:p>
    <w:p w14:paraId="04BE7021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8E04E80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Porucha funkcie pečene</w:t>
      </w:r>
    </w:p>
    <w:p w14:paraId="703033ED" w14:textId="037AC3D8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U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 xml:space="preserve">s </w:t>
      </w:r>
      <w:r w:rsidR="00A7578D" w:rsidRPr="003C065E">
        <w:rPr>
          <w:rFonts w:ascii="Times New Roman" w:hAnsi="Times New Roman"/>
          <w:lang w:val="sk-SK"/>
        </w:rPr>
        <w:t xml:space="preserve">miernou až stredne závažnou </w:t>
      </w:r>
      <w:r w:rsidRPr="003C065E">
        <w:rPr>
          <w:rFonts w:ascii="Times New Roman" w:hAnsi="Times New Roman"/>
          <w:lang w:val="sk-SK"/>
        </w:rPr>
        <w:t>poruchou funkcie pečene nie je potrebná úprava dávky.</w:t>
      </w:r>
    </w:p>
    <w:p w14:paraId="04450A7B" w14:textId="629FF7D6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Keďže však expozícia fulvestrantu môže byť zvýšená, </w:t>
      </w:r>
      <w:r w:rsidR="005A46AE" w:rsidRPr="003C065E">
        <w:rPr>
          <w:rFonts w:ascii="Times New Roman" w:hAnsi="Times New Roman"/>
          <w:lang w:val="sk-SK"/>
        </w:rPr>
        <w:t>f</w:t>
      </w:r>
      <w:r w:rsidRPr="003C065E">
        <w:rPr>
          <w:rFonts w:ascii="Times New Roman" w:hAnsi="Times New Roman"/>
          <w:lang w:val="sk-SK"/>
        </w:rPr>
        <w:t xml:space="preserve">ulvestrant sa má u týchto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 xml:space="preserve">podávať s opatrnosťou. Nie sú údaje u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s</w:t>
      </w:r>
      <w:r w:rsidR="00A7578D" w:rsidRPr="003C065E">
        <w:rPr>
          <w:rFonts w:ascii="Times New Roman" w:hAnsi="Times New Roman"/>
          <w:lang w:val="sk-SK"/>
        </w:rPr>
        <w:t>o závažnou</w:t>
      </w:r>
      <w:r w:rsidRPr="003C065E">
        <w:rPr>
          <w:rFonts w:ascii="Times New Roman" w:hAnsi="Times New Roman"/>
          <w:lang w:val="sk-SK"/>
        </w:rPr>
        <w:t xml:space="preserve"> poruchou funkcie pečene (pozri časti 4.3, 4.4 a 5.2).</w:t>
      </w:r>
    </w:p>
    <w:p w14:paraId="67AFBC11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BCEB888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i/>
          <w:lang w:val="sk-SK"/>
        </w:rPr>
      </w:pPr>
      <w:r w:rsidRPr="003C065E">
        <w:rPr>
          <w:rFonts w:ascii="Times New Roman" w:hAnsi="Times New Roman"/>
          <w:i/>
          <w:lang w:val="sk-SK"/>
        </w:rPr>
        <w:t>Pediatrická populácia</w:t>
      </w:r>
    </w:p>
    <w:p w14:paraId="248A29E0" w14:textId="3B7E4AF4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Bezpečnosť a účinnosť </w:t>
      </w:r>
      <w:r w:rsidR="005A46AE" w:rsidRPr="003C065E">
        <w:rPr>
          <w:rFonts w:ascii="Times New Roman" w:hAnsi="Times New Roman"/>
          <w:lang w:val="sk-SK"/>
        </w:rPr>
        <w:t>f</w:t>
      </w:r>
      <w:r w:rsidRPr="003C065E">
        <w:rPr>
          <w:rFonts w:ascii="Times New Roman" w:hAnsi="Times New Roman"/>
          <w:lang w:val="sk-SK"/>
        </w:rPr>
        <w:t xml:space="preserve">ulvestrantu u detí od narodenia do veku 18 rokov nebola preukázaná. </w:t>
      </w:r>
      <w:r w:rsidR="005A46AE" w:rsidRPr="003C065E">
        <w:rPr>
          <w:rFonts w:ascii="Times New Roman" w:hAnsi="Times New Roman"/>
          <w:lang w:val="sk-SK"/>
        </w:rPr>
        <w:br/>
      </w:r>
      <w:r w:rsidRPr="003C065E">
        <w:rPr>
          <w:rFonts w:ascii="Times New Roman" w:hAnsi="Times New Roman"/>
          <w:lang w:val="sk-SK"/>
        </w:rPr>
        <w:t>V súčasnosti sú dostupné údaje opísané v častiach 5.1 a 5.2, ale nemôže sa vydať žiadne odporúčanie na dávkovanie.</w:t>
      </w:r>
    </w:p>
    <w:p w14:paraId="63754280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4851752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Spôsob podávania</w:t>
      </w:r>
    </w:p>
    <w:p w14:paraId="20DC7111" w14:textId="2AF3AD62" w:rsidR="00EA4159" w:rsidRPr="003C065E" w:rsidRDefault="00EA4159" w:rsidP="00EA4159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Fulvestrant sa má podávať formou dvoch následných 5 ml injekcií pomalou vnútrosvalovou injekciou (1-2 minúty/injekcia) do každého sedacieho svalu</w:t>
      </w:r>
      <w:r w:rsidRPr="003C065E">
        <w:rPr>
          <w:rFonts w:ascii="Times New Roman" w:eastAsia="TimesNewRoman" w:hAnsi="Times New Roman"/>
          <w:lang w:val="sk-SK"/>
        </w:rPr>
        <w:t xml:space="preserve"> (gluteálna oblasť).</w:t>
      </w:r>
    </w:p>
    <w:p w14:paraId="43EA6F91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3C6F814" w14:textId="047D74D4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Opatrnosť je potrebná pri injekčnom podávaní </w:t>
      </w:r>
      <w:r w:rsidR="005A46AE" w:rsidRPr="003C065E">
        <w:rPr>
          <w:rFonts w:ascii="Times New Roman" w:hAnsi="Times New Roman"/>
          <w:lang w:val="sk-SK"/>
        </w:rPr>
        <w:t>f</w:t>
      </w:r>
      <w:r w:rsidRPr="003C065E">
        <w:rPr>
          <w:rFonts w:ascii="Times New Roman" w:hAnsi="Times New Roman"/>
          <w:lang w:val="sk-SK"/>
        </w:rPr>
        <w:t xml:space="preserve">ulvestrantu </w:t>
      </w:r>
      <w:r w:rsidRPr="003C065E">
        <w:rPr>
          <w:rFonts w:ascii="Times New Roman" w:eastAsia="TimesNewRoman" w:hAnsi="Times New Roman"/>
          <w:lang w:val="sk-SK"/>
        </w:rPr>
        <w:t>do dorzogluteálnej oblasti z dôvodu blízkosti sedacieho nervu.</w:t>
      </w:r>
    </w:p>
    <w:p w14:paraId="5327C80B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3832315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Podrobné pokyny na podávanie, pozri časť 6.6.</w:t>
      </w:r>
    </w:p>
    <w:p w14:paraId="789C1DFD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</w:p>
    <w:p w14:paraId="18375A04" w14:textId="77777777" w:rsidR="00EA4159" w:rsidRPr="003C065E" w:rsidRDefault="00EA4159" w:rsidP="00EA4159">
      <w:pPr>
        <w:pStyle w:val="Odsekzoznamu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Kontraindikácie</w:t>
      </w:r>
    </w:p>
    <w:p w14:paraId="1E84FC89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ED8C645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Precitlivenosť na liečivo alebo na ktorúkoľvek z pomocných látok uvedených v časti 6.1.</w:t>
      </w:r>
    </w:p>
    <w:p w14:paraId="0D3B2F3E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Gravidita a laktácia (pozri časť 4.6).</w:t>
      </w:r>
    </w:p>
    <w:p w14:paraId="32901FD6" w14:textId="7EF62ED2" w:rsidR="00EA4159" w:rsidRPr="003C065E" w:rsidRDefault="00A7578D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Závažná</w:t>
      </w:r>
      <w:r w:rsidR="00EA4159" w:rsidRPr="003C065E">
        <w:rPr>
          <w:rFonts w:ascii="Times New Roman" w:hAnsi="Times New Roman"/>
          <w:lang w:val="sk-SK"/>
        </w:rPr>
        <w:t xml:space="preserve"> porucha funkcie pečene (pozri časť 4.4 a 5.2).</w:t>
      </w:r>
    </w:p>
    <w:p w14:paraId="5E222510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EF4CC39" w14:textId="77777777" w:rsidR="00EA4159" w:rsidRPr="003C065E" w:rsidRDefault="00EA4159" w:rsidP="00EA4159">
      <w:pPr>
        <w:pStyle w:val="Odsekzoznamu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Osobitné upozornenia a opatrenia pri používaní</w:t>
      </w:r>
    </w:p>
    <w:p w14:paraId="704B98BF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F2FC2C3" w14:textId="390BAA47" w:rsidR="00EA4159" w:rsidRPr="003C065E" w:rsidRDefault="0017278C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Fulvestrant sa má podávať so zvýšenou opatrnosťou u</w:t>
      </w:r>
      <w:r w:rsidR="00EA4159" w:rsidRPr="003C065E">
        <w:rPr>
          <w:rFonts w:ascii="Times New Roman" w:hAnsi="Times New Roman"/>
          <w:lang w:val="sk-SK"/>
        </w:rPr>
        <w:t xml:space="preserve">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="00EA4159" w:rsidRPr="003C065E">
        <w:rPr>
          <w:rFonts w:ascii="Times New Roman" w:hAnsi="Times New Roman"/>
          <w:lang w:val="sk-SK"/>
        </w:rPr>
        <w:t xml:space="preserve">s </w:t>
      </w:r>
      <w:r w:rsidR="00A7578D" w:rsidRPr="003C065E">
        <w:rPr>
          <w:rFonts w:ascii="Times New Roman" w:hAnsi="Times New Roman"/>
          <w:lang w:val="sk-SK"/>
        </w:rPr>
        <w:t xml:space="preserve">miernou až stredne závažnou </w:t>
      </w:r>
      <w:r w:rsidR="00EA4159" w:rsidRPr="003C065E">
        <w:rPr>
          <w:rFonts w:ascii="Times New Roman" w:hAnsi="Times New Roman"/>
          <w:lang w:val="sk-SK"/>
        </w:rPr>
        <w:t>poruchou funkcie pečene (pozri časti 4.2, 4.3 a 5.2).</w:t>
      </w:r>
    </w:p>
    <w:p w14:paraId="064F718F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0C42FB3" w14:textId="66B770EE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sa má podávať so zvýšenou opatrnosťou u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s</w:t>
      </w:r>
      <w:r w:rsidR="00A7578D" w:rsidRPr="003C065E">
        <w:rPr>
          <w:rFonts w:ascii="Times New Roman" w:hAnsi="Times New Roman"/>
          <w:lang w:val="sk-SK"/>
        </w:rPr>
        <w:t>o závažnou</w:t>
      </w:r>
      <w:r w:rsidRPr="003C065E">
        <w:rPr>
          <w:rFonts w:ascii="Times New Roman" w:hAnsi="Times New Roman"/>
          <w:lang w:val="sk-SK"/>
        </w:rPr>
        <w:t xml:space="preserve"> poruchou funkcie obličiek (klírens kreatinínu menej ako 30 ml/min).</w:t>
      </w:r>
    </w:p>
    <w:p w14:paraId="7166BB11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D23819A" w14:textId="032D9AD9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Vzhľadom na intramuskulárny spôsob pod</w:t>
      </w:r>
      <w:r w:rsidR="00E96C61">
        <w:rPr>
          <w:rFonts w:ascii="Times New Roman" w:hAnsi="Times New Roman"/>
          <w:lang w:val="sk-SK"/>
        </w:rPr>
        <w:t>áva</w:t>
      </w:r>
      <w:r w:rsidRPr="003C065E">
        <w:rPr>
          <w:rFonts w:ascii="Times New Roman" w:hAnsi="Times New Roman"/>
          <w:lang w:val="sk-SK"/>
        </w:rPr>
        <w:t>nia sa má fulvestrant používať opatrne u 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="002D1E98" w:rsidRPr="003C065E">
        <w:rPr>
          <w:rFonts w:ascii="Times New Roman" w:hAnsi="Times New Roman"/>
          <w:lang w:val="sk-SK"/>
        </w:rPr>
        <w:br/>
      </w:r>
      <w:r w:rsidRPr="003C065E">
        <w:rPr>
          <w:rFonts w:ascii="Times New Roman" w:hAnsi="Times New Roman"/>
          <w:lang w:val="sk-SK"/>
        </w:rPr>
        <w:t xml:space="preserve">s hemoragickou diatézou, trombocytopéniou alebo u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liečených antikoagulanciami.</w:t>
      </w:r>
    </w:p>
    <w:p w14:paraId="262F9F54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C001DB4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U žien s pokročilou rakovinou prsníka sa často vyskytli tromboembolické príhody, ktoré boli</w:t>
      </w:r>
    </w:p>
    <w:p w14:paraId="7B80411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pozorované v klinických štúdiách s fulvestrantom (pozri časť 4.8). Pri predpisovaní fulvestrantu rizikovým pacientkám sa má na to brať ohľad.</w:t>
      </w:r>
    </w:p>
    <w:p w14:paraId="024E83ED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674B75B" w14:textId="2F0F2928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lastRenderedPageBreak/>
        <w:t>V súvislosti s injekciou fulvestrantu sa zaznamenali udalosti súvisiace s miestom podania injekcie ako je</w:t>
      </w:r>
      <w:r w:rsidR="0017278C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ischias, neuralgia, neuropatická bolesť a periférna neuropatia. Opatrnosť je potrebná pri injekčnom</w:t>
      </w:r>
    </w:p>
    <w:p w14:paraId="66AAE34A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podávaní </w:t>
      </w:r>
      <w:r w:rsidRPr="003C065E">
        <w:rPr>
          <w:rFonts w:ascii="Times New Roman" w:hAnsi="Times New Roman"/>
          <w:lang w:val="sk-SK"/>
        </w:rPr>
        <w:t xml:space="preserve">fulvestrantu </w:t>
      </w:r>
      <w:r w:rsidRPr="003C065E">
        <w:rPr>
          <w:rFonts w:ascii="Times New Roman" w:eastAsia="TimesNewRoman" w:hAnsi="Times New Roman"/>
          <w:lang w:val="sk-SK"/>
        </w:rPr>
        <w:t>do dorzogluteálnej oblasti z dôvodu blízkosti sedacieho nervu (pozri časti 4.2 a 4.8).</w:t>
      </w:r>
    </w:p>
    <w:p w14:paraId="44DE87CB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78C79B54" w14:textId="5A479BBA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Zatiaľ nie sú k dispozícii dlhodobé údaje o pôsobení fulvestrantu na kosti. Vzhľadom na mechanizmus</w:t>
      </w:r>
      <w:r w:rsidR="0017278C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účinku fulvestrantu existuje potenciálne riziko vzniku osteoporózy.</w:t>
      </w:r>
    </w:p>
    <w:p w14:paraId="162A7DAA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Účinnosť a bezpečnosť fulvestrantu (buď v monoterapii alebo v kombinácii s palbociklibom) sa</w:t>
      </w:r>
    </w:p>
    <w:p w14:paraId="7723B33A" w14:textId="5EBE9553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u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s kritickým viscerálnym ochorením neskúmala.</w:t>
      </w:r>
    </w:p>
    <w:p w14:paraId="2F9FBB6C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DE5E1BF" w14:textId="1231CDA1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Pri použití </w:t>
      </w:r>
      <w:r w:rsidR="0017278C" w:rsidRPr="003C065E">
        <w:rPr>
          <w:rFonts w:ascii="Times New Roman" w:hAnsi="Times New Roman"/>
          <w:lang w:val="sk-SK"/>
        </w:rPr>
        <w:t>f</w:t>
      </w:r>
      <w:r w:rsidRPr="003C065E">
        <w:rPr>
          <w:rFonts w:ascii="Times New Roman" w:hAnsi="Times New Roman"/>
          <w:lang w:val="sk-SK"/>
        </w:rPr>
        <w:t>ulvestrantu</w:t>
      </w:r>
      <w:r w:rsidRPr="003C065E">
        <w:rPr>
          <w:rFonts w:ascii="Times New Roman" w:eastAsia="TimesNewRoman" w:hAnsi="Times New Roman"/>
          <w:lang w:val="sk-SK"/>
        </w:rPr>
        <w:t xml:space="preserve"> v kombinácií s palbociklibom pozri tiež súhrn charakteristických vlastností palbociklibu.</w:t>
      </w:r>
    </w:p>
    <w:p w14:paraId="1712291E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EC01760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Interferencia s hodnotením protilátok proti estradiolu</w:t>
      </w:r>
    </w:p>
    <w:p w14:paraId="1A4D8F8D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Vzhľadom na štrukturálnu podobnosť fulvestrantu a estradiolu, môže fulvestrant interferovať</w:t>
      </w:r>
    </w:p>
    <w:p w14:paraId="2C88C740" w14:textId="77777777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 hodnotením protilátok proti estradiolu a môže mať za následok falošne zvýšené hladiny estradiolu.</w:t>
      </w:r>
    </w:p>
    <w:p w14:paraId="7473509E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6E8B85C" w14:textId="3BF50149" w:rsidR="00EA4159" w:rsidRPr="003C065E" w:rsidRDefault="0017278C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Etanol</w:t>
      </w:r>
    </w:p>
    <w:p w14:paraId="489FBC6F" w14:textId="2C51083D" w:rsidR="00660092" w:rsidRPr="003C065E" w:rsidRDefault="00660092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Tento liek obsahuje 500 mg alkoholu (etanol) v jednej injekcii, čo zodpovedá 100 mg/ml (10 % w/v). Množstvo v jednej injekcii tohto lieku zodpovedá 13 ml piva alebo 5 ml vína. </w:t>
      </w:r>
    </w:p>
    <w:p w14:paraId="2843D888" w14:textId="77777777" w:rsidR="00660092" w:rsidRPr="003C065E" w:rsidRDefault="00660092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BB5E4E0" w14:textId="7B4EB0BB" w:rsidR="00660092" w:rsidRDefault="00660092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E20969">
        <w:rPr>
          <w:rFonts w:ascii="Times New Roman" w:hAnsi="Times New Roman"/>
          <w:lang w:val="sk-SK"/>
        </w:rPr>
        <w:t>Dávka 500 mg tohto lieku (2 injekčné striekačky) podaná dospelým ženám s hmotnosťou 70 kg</w:t>
      </w:r>
      <w:r w:rsidR="007650D8" w:rsidRPr="00E20969">
        <w:rPr>
          <w:rFonts w:ascii="Times New Roman" w:hAnsi="Times New Roman"/>
          <w:lang w:val="sk-SK"/>
        </w:rPr>
        <w:t>,</w:t>
      </w:r>
      <w:r w:rsidRPr="00E20969">
        <w:rPr>
          <w:rFonts w:ascii="Times New Roman" w:hAnsi="Times New Roman"/>
          <w:lang w:val="sk-SK"/>
        </w:rPr>
        <w:t xml:space="preserve"> </w:t>
      </w:r>
      <w:r w:rsidR="007650D8" w:rsidRPr="00E20969">
        <w:rPr>
          <w:rFonts w:ascii="Times New Roman" w:hAnsi="Times New Roman"/>
          <w:lang w:val="sk-SK"/>
        </w:rPr>
        <w:t>má</w:t>
      </w:r>
      <w:r w:rsidRPr="00E20969">
        <w:rPr>
          <w:rFonts w:ascii="Times New Roman" w:hAnsi="Times New Roman"/>
          <w:lang w:val="sk-SK"/>
        </w:rPr>
        <w:t xml:space="preserve"> za následok expozíciu etanol</w:t>
      </w:r>
      <w:r w:rsidR="00EB2564" w:rsidRPr="00E20969">
        <w:rPr>
          <w:rFonts w:ascii="Times New Roman" w:hAnsi="Times New Roman"/>
          <w:lang w:val="sk-SK"/>
        </w:rPr>
        <w:t>om</w:t>
      </w:r>
      <w:r w:rsidRPr="00E20969">
        <w:rPr>
          <w:rFonts w:ascii="Times New Roman" w:hAnsi="Times New Roman"/>
          <w:lang w:val="sk-SK"/>
        </w:rPr>
        <w:t xml:space="preserve"> 14,3 mg/kg, čo môže zvýšiť hladinu alkoholu v krvi (blood alcohol concetration, BAC) o</w:t>
      </w:r>
      <w:r w:rsidR="00EB2564" w:rsidRPr="00E20969">
        <w:rPr>
          <w:rFonts w:ascii="Times New Roman" w:hAnsi="Times New Roman"/>
          <w:lang w:val="sk-SK"/>
        </w:rPr>
        <w:t xml:space="preserve"> približne </w:t>
      </w:r>
      <w:r w:rsidRPr="00E20969">
        <w:rPr>
          <w:rFonts w:ascii="Times New Roman" w:hAnsi="Times New Roman"/>
          <w:lang w:val="sk-SK"/>
        </w:rPr>
        <w:t xml:space="preserve">2,4 mg/ 100 ml (pozri </w:t>
      </w:r>
      <w:r w:rsidR="00EE7E27" w:rsidRPr="00E20969">
        <w:rPr>
          <w:rFonts w:ascii="Times New Roman" w:hAnsi="Times New Roman"/>
          <w:lang w:val="sk-SK"/>
        </w:rPr>
        <w:t>Príloha</w:t>
      </w:r>
      <w:r w:rsidRPr="00E20969">
        <w:rPr>
          <w:rFonts w:ascii="Times New Roman" w:hAnsi="Times New Roman"/>
          <w:lang w:val="sk-SK"/>
        </w:rPr>
        <w:t xml:space="preserve"> I</w:t>
      </w:r>
      <w:r w:rsidR="00EE7E27" w:rsidRPr="00E20969">
        <w:rPr>
          <w:rFonts w:ascii="Times New Roman" w:hAnsi="Times New Roman"/>
          <w:lang w:val="sk-SK"/>
        </w:rPr>
        <w:t> v hlásení</w:t>
      </w:r>
      <w:r w:rsidRPr="00E20969">
        <w:rPr>
          <w:rFonts w:ascii="Times New Roman" w:hAnsi="Times New Roman"/>
          <w:lang w:val="sk-SK"/>
        </w:rPr>
        <w:t xml:space="preserve"> EMA/CHMP/43486/2018). Na porovnanie, </w:t>
      </w:r>
      <w:r w:rsidR="003C065E" w:rsidRPr="00E20969">
        <w:rPr>
          <w:rFonts w:ascii="Times New Roman" w:hAnsi="Times New Roman"/>
          <w:lang w:val="sk-SK"/>
        </w:rPr>
        <w:t>u dospelého, ktorý vypije pohár vína alebo 500 ml piva, bude BAC približne 50 mg/ 100 ml.</w:t>
      </w:r>
      <w:r w:rsidR="003C065E">
        <w:rPr>
          <w:rFonts w:ascii="Times New Roman" w:hAnsi="Times New Roman"/>
          <w:lang w:val="sk-SK"/>
        </w:rPr>
        <w:t xml:space="preserve"> </w:t>
      </w:r>
    </w:p>
    <w:p w14:paraId="4AEEA20B" w14:textId="3FCB5497" w:rsidR="003C065E" w:rsidRDefault="003C065E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6790177" w14:textId="296A34D3" w:rsidR="003C065E" w:rsidRPr="003C065E" w:rsidRDefault="003C065E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Súbežné podávanie s inými liekmi obsahujúcimi napr. propylénglykol alebo etanol môže viesť k akumulácii etanolu a vyvolať ne</w:t>
      </w:r>
      <w:r w:rsidR="00516696">
        <w:rPr>
          <w:rFonts w:ascii="Times New Roman" w:hAnsi="Times New Roman"/>
          <w:lang w:val="sk-SK"/>
        </w:rPr>
        <w:t>žiaduce</w:t>
      </w:r>
      <w:r>
        <w:rPr>
          <w:rFonts w:ascii="Times New Roman" w:hAnsi="Times New Roman"/>
          <w:lang w:val="sk-SK"/>
        </w:rPr>
        <w:t xml:space="preserve"> účinky.</w:t>
      </w:r>
    </w:p>
    <w:p w14:paraId="6734084F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22FBB4E" w14:textId="601ADE4A" w:rsidR="00EA4159" w:rsidRPr="003C065E" w:rsidRDefault="00EC0F04" w:rsidP="00EA4159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B</w:t>
      </w:r>
      <w:r w:rsidR="00EA4159" w:rsidRPr="003C065E">
        <w:rPr>
          <w:rFonts w:ascii="Times New Roman" w:hAnsi="Times New Roman"/>
          <w:i/>
          <w:iCs/>
          <w:lang w:val="sk-SK"/>
        </w:rPr>
        <w:t>enzylalkohol</w:t>
      </w:r>
    </w:p>
    <w:p w14:paraId="0C317BCD" w14:textId="39BC1800" w:rsidR="00EA4159" w:rsidRPr="003C065E" w:rsidRDefault="00EA4159" w:rsidP="00EA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F02021">
        <w:rPr>
          <w:rFonts w:ascii="Times New Roman" w:hAnsi="Times New Roman"/>
          <w:lang w:val="sk-SK"/>
        </w:rPr>
        <w:t>Tento liek</w:t>
      </w:r>
      <w:r w:rsidRPr="00F02021">
        <w:rPr>
          <w:rFonts w:ascii="Times New Roman" w:eastAsia="TimesNewRoman" w:hAnsi="Times New Roman"/>
          <w:lang w:val="sk-SK"/>
        </w:rPr>
        <w:t xml:space="preserve"> </w:t>
      </w:r>
      <w:r w:rsidRPr="00F02021">
        <w:rPr>
          <w:rFonts w:ascii="Times New Roman" w:hAnsi="Times New Roman"/>
          <w:lang w:val="sk-SK"/>
        </w:rPr>
        <w:t>obsahuje benzylalkohol</w:t>
      </w:r>
      <w:r w:rsidR="00EC0F04" w:rsidRPr="00F02021">
        <w:rPr>
          <w:rFonts w:ascii="Times New Roman" w:hAnsi="Times New Roman"/>
          <w:lang w:val="sk-SK"/>
        </w:rPr>
        <w:t xml:space="preserve"> ako pomocnú látku, ktorá</w:t>
      </w:r>
      <w:r w:rsidRPr="00F02021">
        <w:rPr>
          <w:rFonts w:ascii="Times New Roman" w:hAnsi="Times New Roman"/>
          <w:lang w:val="sk-SK"/>
        </w:rPr>
        <w:t xml:space="preserve"> môže spôsobiť alergické reakcie.</w:t>
      </w:r>
      <w:r w:rsidRPr="003C065E">
        <w:rPr>
          <w:rFonts w:ascii="Times New Roman" w:hAnsi="Times New Roman"/>
          <w:lang w:val="sk-SK"/>
        </w:rPr>
        <w:t xml:space="preserve"> </w:t>
      </w:r>
    </w:p>
    <w:p w14:paraId="646554CD" w14:textId="1E731976" w:rsidR="0017278C" w:rsidRPr="003C065E" w:rsidRDefault="0017278C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2E78119" w14:textId="77777777" w:rsidR="0017278C" w:rsidRPr="003C065E" w:rsidRDefault="0017278C" w:rsidP="0017278C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Pediatrická populácia</w:t>
      </w:r>
    </w:p>
    <w:p w14:paraId="40A4874E" w14:textId="14DEE102" w:rsidR="0017278C" w:rsidRPr="003C065E" w:rsidRDefault="0017278C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sa neodporúča používať u detí a </w:t>
      </w:r>
      <w:r w:rsidR="00EB2564">
        <w:rPr>
          <w:rFonts w:ascii="Times New Roman" w:hAnsi="Times New Roman"/>
          <w:lang w:val="sk-SK"/>
        </w:rPr>
        <w:t>dospievajúcich</w:t>
      </w:r>
      <w:r w:rsidRPr="003C065E">
        <w:rPr>
          <w:rFonts w:ascii="Times New Roman" w:hAnsi="Times New Roman"/>
          <w:lang w:val="sk-SK"/>
        </w:rPr>
        <w:t xml:space="preserve">, pretože bezpečnosť a účinnosť u tejto skupiny pacientov nebola stanovená (pozri časť 5.1). </w:t>
      </w:r>
    </w:p>
    <w:p w14:paraId="5896C95A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BB75564" w14:textId="77777777" w:rsidR="00EA4159" w:rsidRPr="003C065E" w:rsidRDefault="00EA4159" w:rsidP="00EA4159">
      <w:pPr>
        <w:pStyle w:val="Odsekzoznamu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Liekové a iné interakcie</w:t>
      </w:r>
    </w:p>
    <w:p w14:paraId="3353B30C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D08A568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Klinická interakčná štúdia s midazolamom (substrátom CYP3A4) preukázala, že fulvestrant</w:t>
      </w:r>
    </w:p>
    <w:p w14:paraId="3FBE5CA6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neinhibuje CYP3A4. Klinické interakčné štúdie s rifampicínom (induktor CYP3A4) a ketokonazolom</w:t>
      </w:r>
    </w:p>
    <w:p w14:paraId="2293C692" w14:textId="77777777" w:rsidR="00431F6D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(inhibítor CYP3A4) nepreukázali žiadne klinicky významné zmeny klírensu fulvestrantu. </w:t>
      </w:r>
    </w:p>
    <w:p w14:paraId="38A1BBF6" w14:textId="3C194BEC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Pacientkam,</w:t>
      </w:r>
      <w:r w:rsidR="00431F6D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ktorým sa podáva fulvestrant súbežne s inhibítormi alebo induktormi CYP3A4, nie je preto potrebné</w:t>
      </w:r>
      <w:r w:rsidR="00431F6D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upravovať dávku.</w:t>
      </w:r>
    </w:p>
    <w:p w14:paraId="2FB492F3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D76522A" w14:textId="77777777" w:rsidR="00EA4159" w:rsidRPr="003C065E" w:rsidRDefault="00EA4159" w:rsidP="00EA4159">
      <w:pPr>
        <w:pStyle w:val="Odsekzoznamu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Fertilita, gravidita a laktácia</w:t>
      </w:r>
    </w:p>
    <w:p w14:paraId="7F3ADF95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</w:p>
    <w:p w14:paraId="10A05E87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Ženy vo fertilnom veku</w:t>
      </w:r>
    </w:p>
    <w:p w14:paraId="73571D35" w14:textId="2E2AE00F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Pacientk</w:t>
      </w:r>
      <w:r w:rsidR="00431F6D" w:rsidRPr="003C065E">
        <w:rPr>
          <w:rFonts w:ascii="Times New Roman" w:hAnsi="Times New Roman"/>
          <w:lang w:val="sk-SK"/>
        </w:rPr>
        <w:t>y</w:t>
      </w:r>
      <w:r w:rsidRPr="003C065E">
        <w:rPr>
          <w:rFonts w:ascii="Times New Roman" w:hAnsi="Times New Roman"/>
          <w:lang w:val="sk-SK"/>
        </w:rPr>
        <w:t xml:space="preserve"> vo fertilnom veku </w:t>
      </w:r>
      <w:r w:rsidR="00431F6D" w:rsidRPr="003C065E">
        <w:rPr>
          <w:rFonts w:ascii="Times New Roman" w:hAnsi="Times New Roman"/>
          <w:lang w:val="sk-SK"/>
        </w:rPr>
        <w:t>počas liečby Fulvestrantom Vipharm a</w:t>
      </w:r>
      <w:r w:rsidR="00EB2564">
        <w:rPr>
          <w:rFonts w:ascii="Times New Roman" w:hAnsi="Times New Roman"/>
          <w:lang w:val="sk-SK"/>
        </w:rPr>
        <w:t xml:space="preserve"> počas </w:t>
      </w:r>
      <w:r w:rsidR="00431F6D" w:rsidRPr="003C065E">
        <w:rPr>
          <w:rFonts w:ascii="Times New Roman" w:hAnsi="Times New Roman"/>
          <w:lang w:val="sk-SK"/>
        </w:rPr>
        <w:t>2 rok</w:t>
      </w:r>
      <w:r w:rsidR="00EB2564">
        <w:rPr>
          <w:rFonts w:ascii="Times New Roman" w:hAnsi="Times New Roman"/>
          <w:lang w:val="sk-SK"/>
        </w:rPr>
        <w:t>ov</w:t>
      </w:r>
      <w:r w:rsidR="00431F6D" w:rsidRPr="003C065E">
        <w:rPr>
          <w:rFonts w:ascii="Times New Roman" w:hAnsi="Times New Roman"/>
          <w:lang w:val="sk-SK"/>
        </w:rPr>
        <w:t xml:space="preserve"> po poslednej dávke majú </w:t>
      </w:r>
      <w:r w:rsidRPr="003C065E">
        <w:rPr>
          <w:rFonts w:ascii="Times New Roman" w:hAnsi="Times New Roman"/>
          <w:lang w:val="sk-SK"/>
        </w:rPr>
        <w:t>používa</w:t>
      </w:r>
      <w:r w:rsidR="00431F6D" w:rsidRPr="003C065E">
        <w:rPr>
          <w:rFonts w:ascii="Times New Roman" w:hAnsi="Times New Roman"/>
          <w:lang w:val="sk-SK"/>
        </w:rPr>
        <w:t>ť</w:t>
      </w:r>
      <w:r w:rsidRPr="003C065E">
        <w:rPr>
          <w:rFonts w:ascii="Times New Roman" w:hAnsi="Times New Roman"/>
          <w:lang w:val="sk-SK"/>
        </w:rPr>
        <w:t xml:space="preserve"> účinn</w:t>
      </w:r>
      <w:r w:rsidR="00431F6D" w:rsidRPr="003C065E">
        <w:rPr>
          <w:rFonts w:ascii="Times New Roman" w:hAnsi="Times New Roman"/>
          <w:lang w:val="sk-SK"/>
        </w:rPr>
        <w:t>ú</w:t>
      </w:r>
      <w:r w:rsidRPr="003C065E">
        <w:rPr>
          <w:rFonts w:ascii="Times New Roman" w:hAnsi="Times New Roman"/>
          <w:lang w:val="sk-SK"/>
        </w:rPr>
        <w:t xml:space="preserve"> antikoncepci</w:t>
      </w:r>
      <w:r w:rsidR="00431F6D" w:rsidRPr="003C065E">
        <w:rPr>
          <w:rFonts w:ascii="Times New Roman" w:hAnsi="Times New Roman"/>
          <w:lang w:val="sk-SK"/>
        </w:rPr>
        <w:t>u.</w:t>
      </w:r>
    </w:p>
    <w:p w14:paraId="700874FC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F7CD5C5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Gravidita</w:t>
      </w:r>
    </w:p>
    <w:p w14:paraId="4321A189" w14:textId="614CAB28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je kontraindikovaný </w:t>
      </w:r>
      <w:r w:rsidR="00EB2564">
        <w:rPr>
          <w:rFonts w:ascii="Times New Roman" w:hAnsi="Times New Roman"/>
          <w:lang w:val="sk-SK"/>
        </w:rPr>
        <w:t>počas</w:t>
      </w:r>
      <w:r w:rsidRPr="003C065E">
        <w:rPr>
          <w:rFonts w:ascii="Times New Roman" w:hAnsi="Times New Roman"/>
          <w:lang w:val="sk-SK"/>
        </w:rPr>
        <w:t xml:space="preserve"> gravidit</w:t>
      </w:r>
      <w:r w:rsidR="00EB2564">
        <w:rPr>
          <w:rFonts w:ascii="Times New Roman" w:hAnsi="Times New Roman"/>
          <w:lang w:val="sk-SK"/>
        </w:rPr>
        <w:t>y</w:t>
      </w:r>
      <w:r w:rsidRPr="003C065E">
        <w:rPr>
          <w:rFonts w:ascii="Times New Roman" w:hAnsi="Times New Roman"/>
          <w:lang w:val="sk-SK"/>
        </w:rPr>
        <w:t xml:space="preserve"> (pozri časť 4.3). Preukázalo sa, že fulvestrant prechádza placentou po jednorazovej dávke u potkanov a králikov. Štúdie na zvieratách preukázali reprodukčnú toxicitu, vrátane zvýšeného výskytu abnormalít a úmrtí plodu (pozri časť 5.3). Ak dôjde </w:t>
      </w:r>
      <w:r w:rsidRPr="003C065E">
        <w:rPr>
          <w:rFonts w:ascii="Times New Roman" w:hAnsi="Times New Roman"/>
          <w:lang w:val="sk-SK"/>
        </w:rPr>
        <w:lastRenderedPageBreak/>
        <w:t xml:space="preserve">ku gravidite </w:t>
      </w:r>
      <w:r w:rsidR="00F02021" w:rsidRPr="00AD2DD9">
        <w:rPr>
          <w:rFonts w:ascii="Times New Roman" w:hAnsi="Times New Roman"/>
          <w:lang w:val="sk-SK"/>
        </w:rPr>
        <w:t>počas</w:t>
      </w:r>
      <w:r w:rsidRPr="003C065E">
        <w:rPr>
          <w:rFonts w:ascii="Times New Roman" w:hAnsi="Times New Roman"/>
          <w:lang w:val="sk-SK"/>
        </w:rPr>
        <w:t xml:space="preserve"> užívaní </w:t>
      </w:r>
      <w:r w:rsidR="00AC7E01" w:rsidRPr="003C065E">
        <w:rPr>
          <w:rFonts w:ascii="Times New Roman" w:hAnsi="Times New Roman"/>
          <w:lang w:val="sk-SK"/>
        </w:rPr>
        <w:t>f</w:t>
      </w:r>
      <w:r w:rsidRPr="003C065E">
        <w:rPr>
          <w:rFonts w:ascii="Times New Roman" w:hAnsi="Times New Roman"/>
          <w:lang w:val="sk-SK"/>
        </w:rPr>
        <w:t>ulvestrantu, musí byť pacientka informovaná o potenciálnom riziku pre plod a potenciálnom riziku potratu.</w:t>
      </w:r>
    </w:p>
    <w:p w14:paraId="7C3EDCBB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2A6FB94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Dojčenie</w:t>
      </w:r>
    </w:p>
    <w:p w14:paraId="2B0E2A2B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Počas liečby fulvestrantom sa musí dojčenie ukončiť. Fulvestrant sa u samíc potkanov vylučuje do materského mlieka. Nie je známe, či sa fulvestrant vylučuje do materského mlieka aj u ľudí.</w:t>
      </w:r>
    </w:p>
    <w:p w14:paraId="654A31B9" w14:textId="554F1903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Vzhľadom k možnosti závažných nežiaducich </w:t>
      </w:r>
      <w:r w:rsidR="00C252C5">
        <w:rPr>
          <w:rFonts w:ascii="Times New Roman" w:hAnsi="Times New Roman"/>
          <w:lang w:val="sk-SK"/>
        </w:rPr>
        <w:t>reakcií</w:t>
      </w:r>
      <w:r w:rsidRPr="003C065E">
        <w:rPr>
          <w:rFonts w:ascii="Times New Roman" w:hAnsi="Times New Roman"/>
          <w:lang w:val="sk-SK"/>
        </w:rPr>
        <w:t xml:space="preserve"> fulvestrantu u dojčených detí je používanie</w:t>
      </w:r>
      <w:r w:rsidR="00AC7E01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počas laktácie kontraindikované (pozri časť 4.3).</w:t>
      </w:r>
    </w:p>
    <w:p w14:paraId="6A6262F7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B7B98FC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Fertilita</w:t>
      </w:r>
    </w:p>
    <w:p w14:paraId="2FA8F408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Účinky fulvestrantu na plodnosť ľudí sa nehodnotili.</w:t>
      </w:r>
    </w:p>
    <w:p w14:paraId="7FA6B3BD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94A5BE3" w14:textId="77777777" w:rsidR="00EA4159" w:rsidRPr="003C065E" w:rsidRDefault="00EA4159" w:rsidP="00EA4159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4.7 </w:t>
      </w:r>
      <w:r w:rsidRPr="003C065E">
        <w:rPr>
          <w:rFonts w:ascii="Times New Roman" w:hAnsi="Times New Roman"/>
          <w:b/>
          <w:bCs/>
          <w:lang w:val="sk-SK"/>
        </w:rPr>
        <w:tab/>
        <w:t>Ovplyvnenie schopnosti viesť vozidlá a obsluhovať stroje</w:t>
      </w:r>
    </w:p>
    <w:p w14:paraId="74B3E19D" w14:textId="77777777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3E32F2F" w14:textId="2ECD3903" w:rsidR="00EA4159" w:rsidRPr="003C065E" w:rsidRDefault="00EA4159" w:rsidP="00EA415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nemá žiadny alebo má zanedbateľný vplyv na schopnosť viesť vozidlá alebo obsluhovať stroje. Vzhľadom na to, že sa počas </w:t>
      </w:r>
      <w:r w:rsidR="00C252C5">
        <w:rPr>
          <w:rFonts w:ascii="Times New Roman" w:hAnsi="Times New Roman"/>
          <w:lang w:val="sk-SK"/>
        </w:rPr>
        <w:t>po</w:t>
      </w:r>
      <w:r w:rsidRPr="003C065E">
        <w:rPr>
          <w:rFonts w:ascii="Times New Roman" w:hAnsi="Times New Roman"/>
          <w:lang w:val="sk-SK"/>
        </w:rPr>
        <w:t>užívania fulvestrantu veľmi často vyskytli prípady asténie, musí sa venovať zvýšená opatrnosť pacientkam, u ktorých sa vyskyt</w:t>
      </w:r>
      <w:r w:rsidR="00044819">
        <w:rPr>
          <w:rFonts w:ascii="Times New Roman" w:hAnsi="Times New Roman"/>
          <w:lang w:val="sk-SK"/>
        </w:rPr>
        <w:t>la</w:t>
      </w:r>
      <w:r w:rsidRPr="003C065E">
        <w:rPr>
          <w:rFonts w:ascii="Times New Roman" w:hAnsi="Times New Roman"/>
          <w:lang w:val="sk-SK"/>
        </w:rPr>
        <w:t xml:space="preserve"> t</w:t>
      </w:r>
      <w:r w:rsidR="00044819">
        <w:rPr>
          <w:rFonts w:ascii="Times New Roman" w:hAnsi="Times New Roman"/>
          <w:lang w:val="sk-SK"/>
        </w:rPr>
        <w:t>á</w:t>
      </w:r>
      <w:r w:rsidRPr="003C065E">
        <w:rPr>
          <w:rFonts w:ascii="Times New Roman" w:hAnsi="Times New Roman"/>
          <w:lang w:val="sk-SK"/>
        </w:rPr>
        <w:t>to nežiaduc</w:t>
      </w:r>
      <w:r w:rsidR="00044819">
        <w:rPr>
          <w:rFonts w:ascii="Times New Roman" w:hAnsi="Times New Roman"/>
          <w:lang w:val="sk-SK"/>
        </w:rPr>
        <w:t>a</w:t>
      </w:r>
      <w:r w:rsidRPr="003C065E">
        <w:rPr>
          <w:rFonts w:ascii="Times New Roman" w:hAnsi="Times New Roman"/>
          <w:lang w:val="sk-SK"/>
        </w:rPr>
        <w:t xml:space="preserve"> </w:t>
      </w:r>
      <w:r w:rsidR="00044819">
        <w:rPr>
          <w:rFonts w:ascii="Times New Roman" w:hAnsi="Times New Roman"/>
          <w:lang w:val="sk-SK"/>
        </w:rPr>
        <w:t>reakcia</w:t>
      </w:r>
      <w:r w:rsidRPr="003C065E">
        <w:rPr>
          <w:rFonts w:ascii="Times New Roman" w:hAnsi="Times New Roman"/>
          <w:lang w:val="sk-SK"/>
        </w:rPr>
        <w:t xml:space="preserve"> počas vedenia motorových vozidiel alebo obsluhy strojov.</w:t>
      </w:r>
    </w:p>
    <w:p w14:paraId="3099D7BC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8F61F44" w14:textId="77777777" w:rsidR="00417AB0" w:rsidRPr="003C065E" w:rsidRDefault="00417AB0" w:rsidP="00417AB0">
      <w:pPr>
        <w:pStyle w:val="Odsekzoznamu"/>
        <w:numPr>
          <w:ilvl w:val="1"/>
          <w:numId w:val="6"/>
        </w:numPr>
        <w:spacing w:after="0" w:line="240" w:lineRule="auto"/>
        <w:ind w:left="340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     Nežiaduce účinky</w:t>
      </w:r>
    </w:p>
    <w:p w14:paraId="351A309F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8C81116" w14:textId="451B6255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3C065E">
        <w:rPr>
          <w:rFonts w:ascii="Times New Roman" w:eastAsia="TimesNewRoman" w:hAnsi="Times New Roman"/>
          <w:u w:val="single"/>
          <w:lang w:val="sk-SK"/>
        </w:rPr>
        <w:t>Súhrn bezpečnostného profilu</w:t>
      </w:r>
    </w:p>
    <w:p w14:paraId="3E446437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3C065E">
        <w:rPr>
          <w:rFonts w:ascii="Times New Roman" w:eastAsia="TimesNewRoman" w:hAnsi="Times New Roman"/>
          <w:i/>
          <w:iCs/>
          <w:lang w:val="sk-SK"/>
        </w:rPr>
        <w:t>Monoterapia</w:t>
      </w:r>
    </w:p>
    <w:p w14:paraId="60C5690C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tejto časti sa nachádzajú informácie, vychádzajúce zo všetkých nežiaducich reakcií z klinických</w:t>
      </w:r>
    </w:p>
    <w:p w14:paraId="105BCDC0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štúdií, postmarketingových štúdií alebo zo spontánnych hlásení. V súhrnnom súbore údajov</w:t>
      </w:r>
    </w:p>
    <w:p w14:paraId="2CF0F0CE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z monoterapie fulvestrantom boli najčastejšie hlásenými nežiaducimi reakciami reakcie v mieste</w:t>
      </w:r>
    </w:p>
    <w:p w14:paraId="3252CF33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podania injekcie, asténia, nauzea a zvýšenie hepatálnych enzýmov (ALT, AST, ALP).</w:t>
      </w:r>
    </w:p>
    <w:p w14:paraId="2DE3B27E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34352E2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tabuľke 1 boli zistené nasledujúce kategórie frekvencie nežiaducich reakcií (adverse drug reactions,</w:t>
      </w:r>
    </w:p>
    <w:p w14:paraId="18CF6A0B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ADRs), ktoré sú založené na združených analýzach bezpečnosti v liečebnej skupine užívajúcej</w:t>
      </w:r>
    </w:p>
    <w:p w14:paraId="0C7BE561" w14:textId="3C7C5CC2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</w:t>
      </w:r>
      <w:r w:rsidRPr="003C065E">
        <w:rPr>
          <w:rFonts w:ascii="Times New Roman" w:eastAsia="TimesNewRoman" w:hAnsi="Times New Roman"/>
          <w:lang w:val="sk-SK"/>
        </w:rPr>
        <w:t xml:space="preserve">500 mg v štúdiách porovnávajúcich </w:t>
      </w:r>
      <w:r w:rsidRPr="003C065E">
        <w:rPr>
          <w:rFonts w:ascii="Times New Roman" w:hAnsi="Times New Roman"/>
          <w:lang w:val="sk-SK"/>
        </w:rPr>
        <w:t xml:space="preserve">fulvestrant </w:t>
      </w:r>
      <w:r w:rsidRPr="003C065E">
        <w:rPr>
          <w:rFonts w:ascii="Times New Roman" w:eastAsia="TimesNewRoman" w:hAnsi="Times New Roman"/>
          <w:lang w:val="sk-SK"/>
        </w:rPr>
        <w:t xml:space="preserve">500 mg s </w:t>
      </w:r>
      <w:r w:rsidRPr="003C065E">
        <w:rPr>
          <w:rFonts w:ascii="Times New Roman" w:hAnsi="Times New Roman"/>
          <w:lang w:val="sk-SK"/>
        </w:rPr>
        <w:t xml:space="preserve">fulvestrantom </w:t>
      </w:r>
      <w:r w:rsidRPr="003C065E">
        <w:rPr>
          <w:rFonts w:ascii="Times New Roman" w:eastAsia="TimesNewRoman" w:hAnsi="Times New Roman"/>
          <w:lang w:val="sk-SK"/>
        </w:rPr>
        <w:t>250 mg [CONFIRM</w:t>
      </w:r>
      <w:r w:rsidR="00D8682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(Štúdia D6997C00002), FINDER 1 (Štúdia D6997C00004), FINDER 2 (Štúdia D6997C00006)</w:t>
      </w:r>
      <w:r w:rsidR="00D8682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a NEWEST (Štúdia D6997C00003)], alebo zo samotnej štúdie FALCON (Štúdia D699BC00001),</w:t>
      </w:r>
      <w:r w:rsidR="00D8682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ktorá porovnávala </w:t>
      </w:r>
      <w:r w:rsidRPr="003C065E">
        <w:rPr>
          <w:rFonts w:ascii="Times New Roman" w:hAnsi="Times New Roman"/>
          <w:lang w:val="sk-SK"/>
        </w:rPr>
        <w:t xml:space="preserve">fulvestrant </w:t>
      </w:r>
      <w:r w:rsidRPr="003C065E">
        <w:rPr>
          <w:rFonts w:ascii="Times New Roman" w:eastAsia="TimesNewRoman" w:hAnsi="Times New Roman"/>
          <w:lang w:val="sk-SK"/>
        </w:rPr>
        <w:t>500 mg s anastrozolom 1 mg. Pri rozdieloch vo frekvenciách pri</w:t>
      </w:r>
      <w:r w:rsidR="00D8682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združených analýzach bezpečnosti a štúdii FALCON sa uvádza najvyššia frekvencia. V tabuľke 1 sú</w:t>
      </w:r>
      <w:r w:rsidR="00D8682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frekvencie založené na všetkých hlásených nežiaducich reakciách bez ohľadu na hodnotenie kauzality</w:t>
      </w:r>
      <w:r w:rsidR="00D8682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skúšajúcim. Medián trvania liečby fulvestrantom 500 mg v združenom súbore údajov (vrátane štúdií</w:t>
      </w:r>
      <w:r w:rsidR="0048173D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uvedených vyššie plus FALCON) bol 6,5 mesiacov.</w:t>
      </w:r>
    </w:p>
    <w:p w14:paraId="081B63FA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DD727F8" w14:textId="2F7F2A09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3C065E">
        <w:rPr>
          <w:rFonts w:ascii="Times New Roman" w:eastAsia="TimesNewRoman" w:hAnsi="Times New Roman"/>
          <w:u w:val="single"/>
          <w:lang w:val="sk-SK"/>
        </w:rPr>
        <w:t>Tabuľkový zoznam nežiaducich reakcií</w:t>
      </w:r>
    </w:p>
    <w:p w14:paraId="622506C5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Nižšie uvedené nežiaduce reakcie sú klasifikované podľa frekvencie a triedy orgánových systémov</w:t>
      </w:r>
    </w:p>
    <w:p w14:paraId="41819DD1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(System Organ Class – SOC). Skupiny frekvencií sú definované nasledovne: veľmi časté (≥ 1/10),</w:t>
      </w:r>
    </w:p>
    <w:p w14:paraId="24902422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časté (≥ 1/100 až &lt; 1/10), menej časté (≥ 1/1 000 až &lt; 1/100). V rámci jednotlivých skupín frekvencií</w:t>
      </w:r>
    </w:p>
    <w:p w14:paraId="48C6F196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sú nežiaduce reakcie usporiadané v poradí klesajúcej závažnosti.</w:t>
      </w:r>
    </w:p>
    <w:p w14:paraId="132EDB0A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795D66B" w14:textId="09FF4EE1" w:rsidR="00417AB0" w:rsidRPr="003C065E" w:rsidRDefault="00417AB0" w:rsidP="00417AB0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Tabuľka 1 </w:t>
      </w:r>
      <w:r w:rsidR="0048173D" w:rsidRPr="003C065E">
        <w:rPr>
          <w:rFonts w:ascii="Times New Roman" w:eastAsia="TimesNewRoman,Bold" w:hAnsi="Times New Roman"/>
          <w:b/>
          <w:bCs/>
          <w:lang w:val="sk-SK"/>
        </w:rPr>
        <w:tab/>
      </w:r>
      <w:r w:rsidRPr="003C065E">
        <w:rPr>
          <w:rFonts w:ascii="Times New Roman" w:eastAsia="TimesNewRoman,Bold" w:hAnsi="Times New Roman"/>
          <w:b/>
          <w:bCs/>
          <w:lang w:val="sk-SK"/>
        </w:rPr>
        <w:t>Nežiaduce reakcie hlásené pacientkami liečenými fulvestrantom v monoterapii</w:t>
      </w:r>
    </w:p>
    <w:p w14:paraId="1A4F7ACD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156"/>
        <w:gridCol w:w="2254"/>
        <w:gridCol w:w="3606"/>
      </w:tblGrid>
      <w:tr w:rsidR="00417AB0" w:rsidRPr="003C065E" w14:paraId="469CCD19" w14:textId="77777777" w:rsidTr="00F534CF">
        <w:tc>
          <w:tcPr>
            <w:tcW w:w="5000" w:type="pct"/>
            <w:gridSpan w:val="3"/>
            <w:hideMark/>
          </w:tcPr>
          <w:p w14:paraId="7626B93A" w14:textId="67111470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lang w:val="sk-SK"/>
              </w:rPr>
              <w:t xml:space="preserve">Nežiaduce reakcie podľa </w:t>
            </w:r>
            <w:r w:rsidR="005B0DC9" w:rsidRPr="003C065E">
              <w:rPr>
                <w:rFonts w:ascii="Times New Roman" w:hAnsi="Times New Roman"/>
                <w:b/>
                <w:bCs/>
                <w:lang w:val="sk-SK"/>
              </w:rPr>
              <w:t xml:space="preserve">triedy </w:t>
            </w:r>
            <w:r w:rsidRPr="003C065E">
              <w:rPr>
                <w:rFonts w:ascii="Times New Roman" w:hAnsi="Times New Roman"/>
                <w:b/>
                <w:bCs/>
                <w:lang w:val="sk-SK"/>
              </w:rPr>
              <w:t>orgánových systémov a frekvencie</w:t>
            </w:r>
          </w:p>
        </w:tc>
      </w:tr>
      <w:tr w:rsidR="00417AB0" w:rsidRPr="003C065E" w14:paraId="33041C11" w14:textId="77777777" w:rsidTr="00F534CF">
        <w:tc>
          <w:tcPr>
            <w:tcW w:w="1750" w:type="pct"/>
            <w:hideMark/>
          </w:tcPr>
          <w:p w14:paraId="087508A2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Infekcie a nákazy</w:t>
            </w:r>
          </w:p>
        </w:tc>
        <w:tc>
          <w:tcPr>
            <w:tcW w:w="1250" w:type="pct"/>
            <w:hideMark/>
          </w:tcPr>
          <w:p w14:paraId="0CD8EC72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hideMark/>
          </w:tcPr>
          <w:p w14:paraId="78F390BA" w14:textId="1210F4D2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F02021">
              <w:rPr>
                <w:rFonts w:ascii="Times New Roman" w:hAnsi="Times New Roman"/>
                <w:lang w:val="sk-SK"/>
              </w:rPr>
              <w:t xml:space="preserve">Infekcie </w:t>
            </w:r>
            <w:r w:rsidR="00F02021" w:rsidRPr="00F02021">
              <w:rPr>
                <w:rFonts w:ascii="Times New Roman" w:hAnsi="Times New Roman"/>
                <w:lang w:val="sk-SK"/>
              </w:rPr>
              <w:t>močových ciest</w:t>
            </w:r>
          </w:p>
        </w:tc>
      </w:tr>
      <w:tr w:rsidR="00417AB0" w:rsidRPr="003C065E" w14:paraId="127AB74E" w14:textId="77777777" w:rsidTr="00F534CF">
        <w:tc>
          <w:tcPr>
            <w:tcW w:w="1750" w:type="pct"/>
            <w:hideMark/>
          </w:tcPr>
          <w:p w14:paraId="3FB5929D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Poruchy krvi a lymfatického systému</w:t>
            </w:r>
          </w:p>
        </w:tc>
        <w:tc>
          <w:tcPr>
            <w:tcW w:w="1250" w:type="pct"/>
            <w:hideMark/>
          </w:tcPr>
          <w:p w14:paraId="33C67417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hideMark/>
          </w:tcPr>
          <w:p w14:paraId="5F607523" w14:textId="051536BF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Zníženie počtu krvných dostičiek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417AB0" w:rsidRPr="003C065E" w14:paraId="1A61CB1F" w14:textId="77777777" w:rsidTr="00F534CF">
        <w:trPr>
          <w:trHeight w:val="128"/>
        </w:trPr>
        <w:tc>
          <w:tcPr>
            <w:tcW w:w="1750" w:type="pct"/>
            <w:vMerge w:val="restart"/>
            <w:hideMark/>
          </w:tcPr>
          <w:p w14:paraId="08D6DAEB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Poruchy imunitného systému</w:t>
            </w:r>
          </w:p>
        </w:tc>
        <w:tc>
          <w:tcPr>
            <w:tcW w:w="1250" w:type="pct"/>
            <w:hideMark/>
          </w:tcPr>
          <w:p w14:paraId="359929F6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hideMark/>
          </w:tcPr>
          <w:p w14:paraId="4FEB8BDF" w14:textId="19E1EA92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Hypersenzitívne reakcie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417AB0" w:rsidRPr="003C065E" w14:paraId="5B238477" w14:textId="77777777" w:rsidTr="00F534CF">
        <w:trPr>
          <w:trHeight w:val="127"/>
        </w:trPr>
        <w:tc>
          <w:tcPr>
            <w:tcW w:w="0" w:type="auto"/>
            <w:vMerge/>
            <w:hideMark/>
          </w:tcPr>
          <w:p w14:paraId="34BA2753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hideMark/>
          </w:tcPr>
          <w:p w14:paraId="6483646E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hideMark/>
          </w:tcPr>
          <w:p w14:paraId="1FB0C287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Anafylaktické reakcie</w:t>
            </w:r>
          </w:p>
        </w:tc>
      </w:tr>
      <w:tr w:rsidR="00417AB0" w:rsidRPr="003C065E" w14:paraId="3AC9B2A8" w14:textId="77777777" w:rsidTr="00F534CF">
        <w:tc>
          <w:tcPr>
            <w:tcW w:w="1750" w:type="pct"/>
            <w:hideMark/>
          </w:tcPr>
          <w:p w14:paraId="7C9DB7BF" w14:textId="2F8CCFC4" w:rsidR="00417AB0" w:rsidRPr="003C065E" w:rsidRDefault="002164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Poruchy metabolizmu a výživy</w:t>
            </w:r>
          </w:p>
        </w:tc>
        <w:tc>
          <w:tcPr>
            <w:tcW w:w="1250" w:type="pct"/>
            <w:hideMark/>
          </w:tcPr>
          <w:p w14:paraId="499F1784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hideMark/>
          </w:tcPr>
          <w:p w14:paraId="775609FA" w14:textId="0AF0AAD3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Anorexia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417AB0" w:rsidRPr="003C065E" w14:paraId="277CB0F4" w14:textId="77777777" w:rsidTr="00F534CF">
        <w:tc>
          <w:tcPr>
            <w:tcW w:w="1750" w:type="pct"/>
            <w:hideMark/>
          </w:tcPr>
          <w:p w14:paraId="66D7B42A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lastRenderedPageBreak/>
              <w:t>Poruchy nervového systému</w:t>
            </w:r>
          </w:p>
        </w:tc>
        <w:tc>
          <w:tcPr>
            <w:tcW w:w="1250" w:type="pct"/>
            <w:hideMark/>
          </w:tcPr>
          <w:p w14:paraId="7C27A6FD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hideMark/>
          </w:tcPr>
          <w:p w14:paraId="183E4228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Bolesť hlavy</w:t>
            </w:r>
          </w:p>
        </w:tc>
      </w:tr>
      <w:tr w:rsidR="00417AB0" w:rsidRPr="003C065E" w14:paraId="6D0BF08D" w14:textId="77777777" w:rsidTr="00F534CF">
        <w:trPr>
          <w:trHeight w:val="383"/>
        </w:trPr>
        <w:tc>
          <w:tcPr>
            <w:tcW w:w="1750" w:type="pct"/>
            <w:vMerge w:val="restart"/>
            <w:hideMark/>
          </w:tcPr>
          <w:p w14:paraId="759D51DC" w14:textId="480B63E0" w:rsidR="00417AB0" w:rsidRPr="003C065E" w:rsidRDefault="002164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Poruchy ciev</w:t>
            </w:r>
          </w:p>
        </w:tc>
        <w:tc>
          <w:tcPr>
            <w:tcW w:w="1250" w:type="pct"/>
            <w:hideMark/>
          </w:tcPr>
          <w:p w14:paraId="2F5A613B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hideMark/>
          </w:tcPr>
          <w:p w14:paraId="3950D519" w14:textId="4DD61494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Návaly tepla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417AB0" w:rsidRPr="003C065E" w14:paraId="7F07B346" w14:textId="77777777" w:rsidTr="00140D2F">
        <w:trPr>
          <w:trHeight w:val="315"/>
        </w:trPr>
        <w:tc>
          <w:tcPr>
            <w:tcW w:w="0" w:type="auto"/>
            <w:vMerge/>
            <w:hideMark/>
          </w:tcPr>
          <w:p w14:paraId="7E185492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hideMark/>
          </w:tcPr>
          <w:p w14:paraId="06714EEB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</w:tcPr>
          <w:p w14:paraId="43ED33CF" w14:textId="28E046E3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Venózna tromboembólia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  <w:p w14:paraId="7DE96D01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417AB0" w:rsidRPr="003C065E" w14:paraId="78E3CCA7" w14:textId="77777777" w:rsidTr="00F534CF">
        <w:tc>
          <w:tcPr>
            <w:tcW w:w="1750" w:type="pct"/>
            <w:vMerge w:val="restart"/>
            <w:hideMark/>
          </w:tcPr>
          <w:p w14:paraId="657584A1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Poruchy gastrointestinálneho traktu</w:t>
            </w:r>
          </w:p>
        </w:tc>
        <w:tc>
          <w:tcPr>
            <w:tcW w:w="1250" w:type="pct"/>
            <w:hideMark/>
          </w:tcPr>
          <w:p w14:paraId="686E0C99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hideMark/>
          </w:tcPr>
          <w:p w14:paraId="60E629F0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lang w:val="sk-SK"/>
              </w:rPr>
              <w:t xml:space="preserve">Nauzea </w:t>
            </w:r>
          </w:p>
        </w:tc>
      </w:tr>
      <w:tr w:rsidR="00417AB0" w:rsidRPr="003C065E" w14:paraId="2E96CCDA" w14:textId="77777777" w:rsidTr="00F534CF">
        <w:tc>
          <w:tcPr>
            <w:tcW w:w="0" w:type="auto"/>
            <w:vMerge/>
            <w:hideMark/>
          </w:tcPr>
          <w:p w14:paraId="562F1528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hideMark/>
          </w:tcPr>
          <w:p w14:paraId="674B8E59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hideMark/>
          </w:tcPr>
          <w:p w14:paraId="58A0DEF9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Vracanie, hnačka</w:t>
            </w:r>
          </w:p>
        </w:tc>
      </w:tr>
      <w:tr w:rsidR="00417AB0" w:rsidRPr="003C065E" w14:paraId="1D3A95AC" w14:textId="77777777" w:rsidTr="00F534CF">
        <w:tc>
          <w:tcPr>
            <w:tcW w:w="1750" w:type="pct"/>
            <w:vMerge w:val="restart"/>
            <w:hideMark/>
          </w:tcPr>
          <w:p w14:paraId="6A3D8B3A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Poruchy pečene a žlčových ciest</w:t>
            </w:r>
          </w:p>
        </w:tc>
        <w:tc>
          <w:tcPr>
            <w:tcW w:w="1250" w:type="pct"/>
            <w:hideMark/>
          </w:tcPr>
          <w:p w14:paraId="56132D93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hideMark/>
          </w:tcPr>
          <w:p w14:paraId="38C843C2" w14:textId="34CA6A6E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Zvýšen</w:t>
            </w:r>
            <w:r w:rsidR="00044819">
              <w:rPr>
                <w:rFonts w:ascii="Times New Roman" w:hAnsi="Times New Roman"/>
                <w:lang w:val="sk-SK"/>
              </w:rPr>
              <w:t>é</w:t>
            </w:r>
            <w:r w:rsidRPr="003C065E">
              <w:rPr>
                <w:rFonts w:ascii="Times New Roman" w:hAnsi="Times New Roman"/>
                <w:lang w:val="sk-SK"/>
              </w:rPr>
              <w:t xml:space="preserve"> hlad</w:t>
            </w:r>
            <w:r w:rsidR="00044819">
              <w:rPr>
                <w:rFonts w:ascii="Times New Roman" w:hAnsi="Times New Roman"/>
                <w:lang w:val="sk-SK"/>
              </w:rPr>
              <w:t>i</w:t>
            </w:r>
            <w:r w:rsidRPr="003C065E">
              <w:rPr>
                <w:rFonts w:ascii="Times New Roman" w:hAnsi="Times New Roman"/>
                <w:lang w:val="sk-SK"/>
              </w:rPr>
              <w:t>n</w:t>
            </w:r>
            <w:r w:rsidR="00044819">
              <w:rPr>
                <w:rFonts w:ascii="Times New Roman" w:hAnsi="Times New Roman"/>
                <w:lang w:val="sk-SK"/>
              </w:rPr>
              <w:t>y</w:t>
            </w:r>
            <w:r w:rsidRPr="003C065E">
              <w:rPr>
                <w:rFonts w:ascii="Times New Roman" w:hAnsi="Times New Roman"/>
                <w:lang w:val="sk-SK"/>
              </w:rPr>
              <w:t xml:space="preserve"> pečeňových</w:t>
            </w:r>
          </w:p>
          <w:p w14:paraId="75DC3DC5" w14:textId="3F0C3321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enzýmov (ALT, AST, ALP)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417AB0" w:rsidRPr="003C065E" w14:paraId="203A2BA9" w14:textId="77777777" w:rsidTr="00F534CF">
        <w:tc>
          <w:tcPr>
            <w:tcW w:w="0" w:type="auto"/>
            <w:vMerge/>
            <w:hideMark/>
          </w:tcPr>
          <w:p w14:paraId="6B8C988F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hideMark/>
          </w:tcPr>
          <w:p w14:paraId="0BC5A52E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hideMark/>
          </w:tcPr>
          <w:p w14:paraId="385E99AC" w14:textId="52124976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Zvýšený bilirubín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417AB0" w:rsidRPr="003C065E" w14:paraId="2021B5F0" w14:textId="77777777" w:rsidTr="00F534CF">
        <w:tc>
          <w:tcPr>
            <w:tcW w:w="0" w:type="auto"/>
            <w:vMerge/>
            <w:hideMark/>
          </w:tcPr>
          <w:p w14:paraId="72A9B381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hideMark/>
          </w:tcPr>
          <w:p w14:paraId="73585625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hideMark/>
          </w:tcPr>
          <w:p w14:paraId="1EEDB411" w14:textId="59B75065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vertAlign w:val="superscript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Zlyhanie pečene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c,</w:t>
            </w:r>
            <w:r w:rsidR="00EC0851"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 xml:space="preserve"> 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Pr="003C065E">
              <w:rPr>
                <w:rFonts w:ascii="Times New Roman" w:hAnsi="Times New Roman"/>
                <w:color w:val="000000"/>
                <w:lang w:val="sk-SK"/>
              </w:rPr>
              <w:t>, hepatitída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Pr="003C065E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r w:rsidRPr="003C065E">
              <w:rPr>
                <w:rFonts w:ascii="Times New Roman" w:hAnsi="Times New Roman"/>
                <w:lang w:val="sk-SK"/>
              </w:rPr>
              <w:t>zvýšené gama-GT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f</w:t>
            </w:r>
          </w:p>
        </w:tc>
      </w:tr>
      <w:tr w:rsidR="00417AB0" w:rsidRPr="003C065E" w14:paraId="26506113" w14:textId="77777777" w:rsidTr="00F534CF">
        <w:tc>
          <w:tcPr>
            <w:tcW w:w="1750" w:type="pct"/>
            <w:hideMark/>
          </w:tcPr>
          <w:p w14:paraId="484D6FC9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Poruchy kože a podkožných tkanív</w:t>
            </w:r>
          </w:p>
        </w:tc>
        <w:tc>
          <w:tcPr>
            <w:tcW w:w="1250" w:type="pct"/>
            <w:hideMark/>
          </w:tcPr>
          <w:p w14:paraId="5DC64351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hideMark/>
          </w:tcPr>
          <w:p w14:paraId="1A115757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Vyrážka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417AB0" w:rsidRPr="003C065E" w14:paraId="67E8B31C" w14:textId="77777777" w:rsidTr="00F534CF">
        <w:trPr>
          <w:trHeight w:val="255"/>
        </w:trPr>
        <w:tc>
          <w:tcPr>
            <w:tcW w:w="1750" w:type="pct"/>
            <w:vMerge w:val="restart"/>
            <w:hideMark/>
          </w:tcPr>
          <w:p w14:paraId="74A8DFC7" w14:textId="5461C9B6" w:rsidR="00417AB0" w:rsidRPr="003C065E" w:rsidRDefault="00417AB0" w:rsidP="0021640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216400">
              <w:rPr>
                <w:rFonts w:ascii="Times New Roman" w:hAnsi="Times New Roman"/>
                <w:lang w:val="sk-SK"/>
              </w:rPr>
              <w:t xml:space="preserve">Poruchy </w:t>
            </w:r>
            <w:r w:rsidR="00216400">
              <w:rPr>
                <w:rFonts w:ascii="Times New Roman" w:hAnsi="Times New Roman"/>
                <w:lang w:val="sk-SK"/>
              </w:rPr>
              <w:t>kostrovej a svalovej sústavy a spojivového tkaniva</w:t>
            </w:r>
          </w:p>
        </w:tc>
        <w:tc>
          <w:tcPr>
            <w:tcW w:w="1250" w:type="pct"/>
            <w:hideMark/>
          </w:tcPr>
          <w:p w14:paraId="0D9DD93F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hideMark/>
          </w:tcPr>
          <w:p w14:paraId="7BA3F46A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lang w:val="sk-SK"/>
              </w:rPr>
              <w:t xml:space="preserve">Bolesť kĺbov a </w:t>
            </w:r>
          </w:p>
          <w:p w14:paraId="5BE47EFE" w14:textId="689410A6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lang w:val="sk-SK"/>
              </w:rPr>
              <w:t>muskuloskeletálna bolesť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d</w:t>
            </w:r>
          </w:p>
        </w:tc>
      </w:tr>
      <w:tr w:rsidR="00417AB0" w:rsidRPr="003C065E" w14:paraId="67696822" w14:textId="77777777" w:rsidTr="00F534CF">
        <w:trPr>
          <w:trHeight w:val="255"/>
        </w:trPr>
        <w:tc>
          <w:tcPr>
            <w:tcW w:w="0" w:type="auto"/>
            <w:vMerge/>
            <w:hideMark/>
          </w:tcPr>
          <w:p w14:paraId="652C1508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hideMark/>
          </w:tcPr>
          <w:p w14:paraId="672FC845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hideMark/>
          </w:tcPr>
          <w:p w14:paraId="2F22DC47" w14:textId="71EB8BA4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Bolesť chrbta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417AB0" w:rsidRPr="003C065E" w14:paraId="49A47DDA" w14:textId="77777777" w:rsidTr="00F534CF">
        <w:trPr>
          <w:trHeight w:val="255"/>
        </w:trPr>
        <w:tc>
          <w:tcPr>
            <w:tcW w:w="1750" w:type="pct"/>
            <w:vMerge w:val="restart"/>
            <w:hideMark/>
          </w:tcPr>
          <w:p w14:paraId="51CCC01C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Poruchy reprodukčného systému a prsníkov</w:t>
            </w:r>
          </w:p>
        </w:tc>
        <w:tc>
          <w:tcPr>
            <w:tcW w:w="1250" w:type="pct"/>
            <w:hideMark/>
          </w:tcPr>
          <w:p w14:paraId="36F2D142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  <w:p w14:paraId="1C5297B6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</w:tc>
        <w:tc>
          <w:tcPr>
            <w:tcW w:w="2000" w:type="pct"/>
            <w:hideMark/>
          </w:tcPr>
          <w:p w14:paraId="2792E694" w14:textId="214ADB3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Vagin</w:t>
            </w:r>
            <w:r w:rsidR="006B0679" w:rsidRPr="003C065E">
              <w:rPr>
                <w:rFonts w:ascii="Times New Roman" w:hAnsi="Times New Roman"/>
                <w:lang w:val="sk-SK"/>
              </w:rPr>
              <w:t>á</w:t>
            </w:r>
            <w:r w:rsidRPr="003C065E">
              <w:rPr>
                <w:rFonts w:ascii="Times New Roman" w:hAnsi="Times New Roman"/>
                <w:lang w:val="sk-SK"/>
              </w:rPr>
              <w:t>lne krvácani</w:t>
            </w:r>
            <w:r w:rsidR="005D01F1" w:rsidRPr="003C065E">
              <w:rPr>
                <w:rFonts w:ascii="Times New Roman" w:hAnsi="Times New Roman"/>
                <w:lang w:val="sk-SK"/>
              </w:rPr>
              <w:t>e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417AB0" w:rsidRPr="003C065E" w14:paraId="4C517029" w14:textId="77777777" w:rsidTr="00F534CF">
        <w:trPr>
          <w:trHeight w:val="255"/>
        </w:trPr>
        <w:tc>
          <w:tcPr>
            <w:tcW w:w="0" w:type="auto"/>
            <w:vMerge/>
            <w:hideMark/>
          </w:tcPr>
          <w:p w14:paraId="467CF5FA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hideMark/>
          </w:tcPr>
          <w:p w14:paraId="42F5533C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hideMark/>
          </w:tcPr>
          <w:p w14:paraId="5886EF59" w14:textId="13CB871A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Vaginálna moniliáza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3C065E">
              <w:rPr>
                <w:rFonts w:ascii="Times New Roman" w:hAnsi="Times New Roman"/>
                <w:lang w:val="sk-SK"/>
              </w:rPr>
              <w:t>, leukorea</w:t>
            </w:r>
            <w:r w:rsidRPr="003C065E">
              <w:rPr>
                <w:rFonts w:ascii="Times New Roman" w:hAnsi="Times New Roman"/>
                <w:vertAlign w:val="superscript"/>
                <w:lang w:val="sk-SK"/>
              </w:rPr>
              <w:t>f</w:t>
            </w:r>
          </w:p>
          <w:p w14:paraId="4B991F45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  <w:tr w:rsidR="00417AB0" w:rsidRPr="003C065E" w14:paraId="4FDFFB5B" w14:textId="77777777" w:rsidTr="00F534CF">
        <w:trPr>
          <w:trHeight w:val="255"/>
        </w:trPr>
        <w:tc>
          <w:tcPr>
            <w:tcW w:w="1750" w:type="pct"/>
            <w:vMerge w:val="restart"/>
            <w:hideMark/>
          </w:tcPr>
          <w:p w14:paraId="6B48A36B" w14:textId="4FC88E64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 xml:space="preserve">Celkové poruchy a reakcie </w:t>
            </w:r>
            <w:r w:rsidR="006B0679" w:rsidRPr="003C065E">
              <w:rPr>
                <w:rFonts w:ascii="Times New Roman" w:hAnsi="Times New Roman"/>
                <w:lang w:val="sk-SK"/>
              </w:rPr>
              <w:br/>
            </w:r>
            <w:r w:rsidRPr="003C065E">
              <w:rPr>
                <w:rFonts w:ascii="Times New Roman" w:hAnsi="Times New Roman"/>
                <w:lang w:val="sk-SK"/>
              </w:rPr>
              <w:t>v mieste podania</w:t>
            </w:r>
          </w:p>
        </w:tc>
        <w:tc>
          <w:tcPr>
            <w:tcW w:w="1250" w:type="pct"/>
            <w:hideMark/>
          </w:tcPr>
          <w:p w14:paraId="5CB2277F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hideMark/>
          </w:tcPr>
          <w:p w14:paraId="39A21512" w14:textId="020AAEB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lang w:val="sk-SK"/>
              </w:rPr>
              <w:t>Asténia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  <w:r w:rsidRPr="003C065E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r w:rsidRPr="003C065E">
              <w:rPr>
                <w:rFonts w:ascii="Times New Roman" w:hAnsi="Times New Roman"/>
                <w:lang w:val="sk-SK"/>
              </w:rPr>
              <w:t>reakcie v mieste podania</w:t>
            </w:r>
          </w:p>
          <w:p w14:paraId="1A0F1687" w14:textId="408BB967" w:rsidR="00417AB0" w:rsidRPr="003C065E" w:rsidRDefault="006B067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injekcie</w:t>
            </w:r>
            <w:r w:rsidR="00417AB0"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b</w:t>
            </w:r>
          </w:p>
        </w:tc>
      </w:tr>
      <w:tr w:rsidR="00417AB0" w:rsidRPr="003C065E" w14:paraId="47D9579C" w14:textId="77777777" w:rsidTr="00F534CF">
        <w:trPr>
          <w:trHeight w:val="255"/>
        </w:trPr>
        <w:tc>
          <w:tcPr>
            <w:tcW w:w="0" w:type="auto"/>
            <w:vMerge/>
            <w:hideMark/>
          </w:tcPr>
          <w:p w14:paraId="5EBAA261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hideMark/>
          </w:tcPr>
          <w:p w14:paraId="38F458A7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</w:tcPr>
          <w:p w14:paraId="10F9CA59" w14:textId="36E40369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lang w:val="sk-SK"/>
              </w:rPr>
              <w:t>Periférna neuropatia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  <w:r w:rsidRPr="003C065E">
              <w:rPr>
                <w:rFonts w:ascii="Times New Roman" w:hAnsi="Times New Roman"/>
                <w:color w:val="000000"/>
                <w:lang w:val="sk-SK"/>
              </w:rPr>
              <w:t>, ischias</w:t>
            </w:r>
            <w:r w:rsidRPr="003C065E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</w:p>
          <w:p w14:paraId="59D47D57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417AB0" w:rsidRPr="003C065E" w14:paraId="0960AF7E" w14:textId="77777777" w:rsidTr="00B80C07">
        <w:trPr>
          <w:trHeight w:val="651"/>
        </w:trPr>
        <w:tc>
          <w:tcPr>
            <w:tcW w:w="0" w:type="auto"/>
            <w:vMerge/>
            <w:hideMark/>
          </w:tcPr>
          <w:p w14:paraId="7802CFD0" w14:textId="77777777" w:rsidR="00417AB0" w:rsidRPr="003C065E" w:rsidRDefault="00417AB0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hideMark/>
          </w:tcPr>
          <w:p w14:paraId="1EEB5E18" w14:textId="77777777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shd w:val="clear" w:color="auto" w:fill="auto"/>
            <w:hideMark/>
          </w:tcPr>
          <w:p w14:paraId="46857830" w14:textId="5A369263" w:rsidR="00417AB0" w:rsidRPr="003C065E" w:rsidRDefault="00417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3C065E">
              <w:rPr>
                <w:rFonts w:ascii="Times New Roman" w:hAnsi="Times New Roman"/>
                <w:lang w:val="sk-SK"/>
              </w:rPr>
              <w:t xml:space="preserve">Krvácanie v mieste </w:t>
            </w:r>
            <w:r w:rsidR="00044819" w:rsidRPr="00F02021">
              <w:rPr>
                <w:rFonts w:ascii="Times New Roman" w:hAnsi="Times New Roman"/>
                <w:lang w:val="sk-SK"/>
              </w:rPr>
              <w:t>podania injekcie</w:t>
            </w:r>
            <w:r w:rsidRPr="00F02021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F02021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F02021">
              <w:rPr>
                <w:rFonts w:ascii="Times New Roman" w:hAnsi="Times New Roman"/>
                <w:lang w:val="sk-SK"/>
              </w:rPr>
              <w:t xml:space="preserve"> hematóm v mieste </w:t>
            </w:r>
            <w:r w:rsidR="00AD2DD9">
              <w:rPr>
                <w:rFonts w:ascii="Times New Roman" w:hAnsi="Times New Roman"/>
                <w:lang w:val="sk-SK"/>
              </w:rPr>
              <w:t>podania injekcie</w:t>
            </w:r>
            <w:r w:rsidRPr="00216400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Pr="00216400">
              <w:rPr>
                <w:rFonts w:ascii="Times New Roman" w:hAnsi="Times New Roman"/>
                <w:color w:val="000000"/>
                <w:lang w:val="sk-SK"/>
              </w:rPr>
              <w:t>, neuralgia</w:t>
            </w:r>
            <w:r w:rsidRPr="00216400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  <w:r w:rsidR="00EC0851" w:rsidRPr="00216400">
              <w:rPr>
                <w:rFonts w:ascii="Times New Roman" w:hAnsi="Times New Roman"/>
                <w:color w:val="000000"/>
                <w:vertAlign w:val="superscript"/>
                <w:lang w:val="sk-SK"/>
              </w:rPr>
              <w:t xml:space="preserve">, </w:t>
            </w:r>
            <w:r w:rsidRPr="00216400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</w:p>
        </w:tc>
      </w:tr>
    </w:tbl>
    <w:p w14:paraId="5D393762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highlight w:val="yellow"/>
          <w:lang w:val="sk-SK"/>
        </w:rPr>
      </w:pPr>
    </w:p>
    <w:p w14:paraId="770E96CC" w14:textId="12AFA05F" w:rsidR="00417AB0" w:rsidRPr="003C065E" w:rsidRDefault="00417AB0" w:rsidP="00FA4EB3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vertAlign w:val="superscript"/>
          <w:lang w:val="sk-SK"/>
        </w:rPr>
        <w:t>a</w:t>
      </w:r>
      <w:r w:rsidRPr="003C065E">
        <w:rPr>
          <w:rFonts w:ascii="Times New Roman" w:hAnsi="Times New Roman"/>
          <w:lang w:val="sk-SK"/>
        </w:rPr>
        <w:t xml:space="preserve"> </w:t>
      </w:r>
      <w:r w:rsidR="00FA4EB3" w:rsidRPr="003C065E">
        <w:rPr>
          <w:rFonts w:ascii="Times New Roman" w:hAnsi="Times New Roman"/>
          <w:lang w:val="sk-SK"/>
        </w:rPr>
        <w:tab/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Vrátane nežiaducich reakcií, pre ktoré presný rozsah závažnosti </w:t>
      </w:r>
      <w:r w:rsidR="00044819">
        <w:rPr>
          <w:rFonts w:ascii="Times New Roman" w:hAnsi="Times New Roman"/>
          <w:sz w:val="20"/>
          <w:szCs w:val="20"/>
          <w:lang w:val="sk-SK"/>
        </w:rPr>
        <w:t>po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užívania fulvestrantu nemôže byť </w:t>
      </w:r>
      <w:r w:rsidR="00FA4EB3" w:rsidRPr="003C065E">
        <w:rPr>
          <w:rFonts w:ascii="Times New Roman" w:hAnsi="Times New Roman"/>
          <w:sz w:val="20"/>
          <w:szCs w:val="20"/>
          <w:lang w:val="sk-SK"/>
        </w:rPr>
        <w:t xml:space="preserve">   </w:t>
      </w:r>
      <w:r w:rsidRPr="003C065E">
        <w:rPr>
          <w:rFonts w:ascii="Times New Roman" w:hAnsi="Times New Roman"/>
          <w:sz w:val="20"/>
          <w:szCs w:val="20"/>
          <w:lang w:val="sk-SK"/>
        </w:rPr>
        <w:t>stanovený vzhľadom na základné ochorenie.</w:t>
      </w:r>
    </w:p>
    <w:p w14:paraId="05BBF50B" w14:textId="7296CAF6" w:rsidR="00417AB0" w:rsidRPr="003C065E" w:rsidRDefault="00417AB0" w:rsidP="00FA4EB3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vertAlign w:val="superscript"/>
          <w:lang w:val="sk-SK"/>
        </w:rPr>
        <w:t>b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FA4EB3" w:rsidRPr="003C065E">
        <w:rPr>
          <w:rFonts w:ascii="Times New Roman" w:hAnsi="Times New Roman"/>
          <w:sz w:val="20"/>
          <w:szCs w:val="20"/>
          <w:lang w:val="sk-SK"/>
        </w:rPr>
        <w:tab/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Termín reakcie v mieste </w:t>
      </w:r>
      <w:r w:rsidR="00913B26" w:rsidRPr="003C065E">
        <w:rPr>
          <w:rFonts w:ascii="Times New Roman" w:hAnsi="Times New Roman"/>
          <w:sz w:val="20"/>
          <w:szCs w:val="20"/>
          <w:lang w:val="sk-SK"/>
        </w:rPr>
        <w:t>podania injekcie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nezahŕňa </w:t>
      </w:r>
      <w:r w:rsidR="00913B26" w:rsidRPr="003C065E">
        <w:rPr>
          <w:rFonts w:ascii="Times New Roman" w:hAnsi="Times New Roman"/>
          <w:sz w:val="20"/>
          <w:szCs w:val="20"/>
          <w:lang w:val="sk-SK"/>
        </w:rPr>
        <w:t>termíny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krvácanie v mieste </w:t>
      </w:r>
      <w:r w:rsidR="00913B26" w:rsidRPr="003C065E">
        <w:rPr>
          <w:rFonts w:ascii="Times New Roman" w:hAnsi="Times New Roman"/>
          <w:sz w:val="20"/>
          <w:szCs w:val="20"/>
          <w:lang w:val="sk-SK"/>
        </w:rPr>
        <w:t xml:space="preserve">podania injekcie, 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hematóm</w:t>
      </w:r>
      <w:r w:rsidR="00913B26" w:rsidRPr="003C065E">
        <w:rPr>
          <w:rFonts w:ascii="Times New Roman" w:hAnsi="Times New Roman"/>
          <w:sz w:val="20"/>
          <w:szCs w:val="20"/>
          <w:lang w:val="sk-SK"/>
        </w:rPr>
        <w:t xml:space="preserve"> v mieste podania injekcie, ischias, neuralgia a periférna neuropatia.</w:t>
      </w:r>
    </w:p>
    <w:p w14:paraId="16B44DE3" w14:textId="39CA54C1" w:rsidR="00417AB0" w:rsidRPr="003C065E" w:rsidRDefault="00417AB0" w:rsidP="00FA4EB3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vertAlign w:val="superscript"/>
          <w:lang w:val="sk-SK"/>
        </w:rPr>
        <w:t>c</w:t>
      </w:r>
      <w:r w:rsidRPr="003C065E">
        <w:rPr>
          <w:rFonts w:ascii="Times New Roman" w:hAnsi="Times New Roman"/>
          <w:lang w:val="sk-SK"/>
        </w:rPr>
        <w:t xml:space="preserve"> </w:t>
      </w:r>
      <w:r w:rsidR="00FA4EB3" w:rsidRPr="003C065E">
        <w:rPr>
          <w:rFonts w:ascii="Times New Roman" w:hAnsi="Times New Roman"/>
          <w:lang w:val="sk-SK"/>
        </w:rPr>
        <w:tab/>
      </w:r>
      <w:r w:rsidRPr="003C065E">
        <w:rPr>
          <w:rFonts w:ascii="Times New Roman" w:hAnsi="Times New Roman"/>
          <w:sz w:val="20"/>
          <w:szCs w:val="20"/>
          <w:lang w:val="sk-SK"/>
        </w:rPr>
        <w:t>Udalosť sa nepozorovala vo veľkých klinických štúdiách (CONFIRM, FINDER 1, FINDER 2</w:t>
      </w:r>
      <w:r w:rsidR="001D7DDF" w:rsidRPr="003C065E">
        <w:rPr>
          <w:rFonts w:ascii="Times New Roman" w:hAnsi="Times New Roman"/>
          <w:sz w:val="20"/>
          <w:szCs w:val="20"/>
          <w:lang w:val="sk-SK"/>
        </w:rPr>
        <w:t>,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NEWEST). Frekvencia sa vypočítala pomocou hornej hranice 95% intervalu spoľahlivosti pre odhad bodu. Počíta sa ako 3/56</w:t>
      </w:r>
      <w:r w:rsidR="001D7DDF" w:rsidRPr="003C065E">
        <w:rPr>
          <w:rFonts w:ascii="Times New Roman" w:hAnsi="Times New Roman"/>
          <w:sz w:val="20"/>
          <w:szCs w:val="20"/>
          <w:lang w:val="sk-SK"/>
        </w:rPr>
        <w:t>0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(kde 56</w:t>
      </w:r>
      <w:r w:rsidR="001D7DDF" w:rsidRPr="003C065E">
        <w:rPr>
          <w:rFonts w:ascii="Times New Roman" w:hAnsi="Times New Roman"/>
          <w:sz w:val="20"/>
          <w:szCs w:val="20"/>
          <w:lang w:val="sk-SK"/>
        </w:rPr>
        <w:t>0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je počet pacientov vo veľkých klinických štúdiách), čo zodpovedá na frekvenciu kategórie "menej časté“.</w:t>
      </w:r>
    </w:p>
    <w:p w14:paraId="1E1CBB5C" w14:textId="22D59D29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vertAlign w:val="superscript"/>
          <w:lang w:val="sk-SK"/>
        </w:rPr>
        <w:t>d</w:t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="00FA4EB3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Zahŕňa: artralgiu a menej častú muskuloskeletálnu bolesť, myalgiu a bolesť v končatinách.</w:t>
      </w:r>
    </w:p>
    <w:p w14:paraId="4F4C6D3F" w14:textId="77FAF17A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vertAlign w:val="superscript"/>
          <w:lang w:val="sk-SK"/>
        </w:rPr>
        <w:t>e</w:t>
      </w:r>
      <w:r w:rsidRPr="003C065E">
        <w:rPr>
          <w:rFonts w:ascii="Times New Roman" w:eastAsia="TimesNewRoman" w:hAnsi="Times New Roman"/>
          <w:lang w:val="sk-SK"/>
        </w:rPr>
        <w:t xml:space="preserve"> </w:t>
      </w:r>
      <w:r w:rsidR="00FA4EB3" w:rsidRPr="003C065E">
        <w:rPr>
          <w:rFonts w:ascii="Times New Roman" w:eastAsia="TimesNewRoman" w:hAnsi="Times New Roman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Kategória frekvencie je rozdielna medzi údajmi zo združených analýz bezpečnosti a štúdiou FALCON.</w:t>
      </w:r>
    </w:p>
    <w:p w14:paraId="4207E5E6" w14:textId="710ECF60" w:rsidR="00417AB0" w:rsidRPr="003C065E" w:rsidRDefault="00417AB0" w:rsidP="00417AB0">
      <w:pPr>
        <w:spacing w:after="0" w:line="240" w:lineRule="auto"/>
        <w:contextualSpacing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vertAlign w:val="superscript"/>
          <w:lang w:val="sk-SK"/>
        </w:rPr>
        <w:t>f</w:t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="00FA4EB3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ADR sa v štúdii FALCON nepozorovala.</w:t>
      </w:r>
    </w:p>
    <w:p w14:paraId="440B847E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8E6AABF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3C065E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14:paraId="1431141E" w14:textId="65A82774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Opis uvádzaný nižšie je založený na bezpečnostnej analýze súboru 228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ktoré dostali aspoň</w:t>
      </w:r>
    </w:p>
    <w:p w14:paraId="39DD7540" w14:textId="060102A4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jednu (1) dávku fulvestrantu a 232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ktoré dostali aspoň jednu (1) dávku anastrozolu vo fáze</w:t>
      </w:r>
    </w:p>
    <w:p w14:paraId="7FE7F47C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3 štúdie FALCON.</w:t>
      </w:r>
    </w:p>
    <w:p w14:paraId="009B29E5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</w:p>
    <w:p w14:paraId="5BA2D895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3C065E">
        <w:rPr>
          <w:rFonts w:ascii="Times New Roman" w:eastAsia="TimesNewRoman" w:hAnsi="Times New Roman"/>
          <w:i/>
          <w:iCs/>
          <w:lang w:val="sk-SK"/>
        </w:rPr>
        <w:t>Bolesť kĺbov a muskuloskeletálna bolesť</w:t>
      </w:r>
    </w:p>
    <w:p w14:paraId="115BB449" w14:textId="60CCE020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V štúdii FALCON bol počet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ktoré hlásili nežiaducu reakciu bolesť kĺbov</w:t>
      </w:r>
    </w:p>
    <w:p w14:paraId="061FFF88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a muskuloskeletálnu bolesť 65 (31,2%) v skupine s fulvestrantom a 48 (24,1%) v skupine</w:t>
      </w:r>
    </w:p>
    <w:p w14:paraId="7E135E2E" w14:textId="242B98B4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s anastrozolom. Zo 65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v skupine s</w:t>
      </w:r>
      <w:r w:rsidR="008A3852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fulvestrantom</w:t>
      </w:r>
      <w:r w:rsidR="008A3852" w:rsidRPr="003C065E">
        <w:rPr>
          <w:rFonts w:ascii="Times New Roman" w:eastAsia="TimesNewRoman" w:hAnsi="Times New Roman"/>
          <w:lang w:val="sk-SK"/>
        </w:rPr>
        <w:t>,</w:t>
      </w:r>
      <w:r w:rsidRPr="003C065E">
        <w:rPr>
          <w:rFonts w:ascii="Times New Roman" w:eastAsia="TimesNewRoman" w:hAnsi="Times New Roman"/>
          <w:lang w:val="sk-SK"/>
        </w:rPr>
        <w:t xml:space="preserve"> 40% (26/65)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hlásilo bolesť kĺbov</w:t>
      </w:r>
      <w:r w:rsidR="009A4E0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a muskuloskeletálnu bolesť počas prvého mesiaca liečby a 66,2% (43/65)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počas prvých 3</w:t>
      </w:r>
      <w:r w:rsidR="009A4E0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mesiacov liečby. Žiadna pacientka nehlásila udalosť stupňa ≥ 3 podľa CTCAE, alebo udalosť</w:t>
      </w:r>
      <w:r w:rsidR="009A4E0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vyžadujúcu zníženie dávky, prerušenie dávkovania alebo ukončenie liečby z dôvodu týchto</w:t>
      </w:r>
    </w:p>
    <w:p w14:paraId="481117A7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nežiaducich reakcií.</w:t>
      </w:r>
    </w:p>
    <w:p w14:paraId="52C52EC5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</w:p>
    <w:p w14:paraId="71A011E2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3C065E">
        <w:rPr>
          <w:rFonts w:ascii="Times New Roman" w:eastAsia="TimesNewRoman" w:hAnsi="Times New Roman"/>
          <w:i/>
          <w:iCs/>
          <w:lang w:val="sk-SK"/>
        </w:rPr>
        <w:lastRenderedPageBreak/>
        <w:t>Kombinovaná liečba s palbociklibom</w:t>
      </w:r>
    </w:p>
    <w:p w14:paraId="24DAEE89" w14:textId="6CA0DADE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Celkový bezpečnostný profil fulvestrantu pri použití v kombinácii s</w:t>
      </w:r>
      <w:r w:rsidR="008A3852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palbociklibom</w:t>
      </w:r>
      <w:r w:rsidR="008A3852" w:rsidRPr="003C065E">
        <w:rPr>
          <w:rFonts w:ascii="Times New Roman" w:eastAsia="TimesNewRoman" w:hAnsi="Times New Roman"/>
          <w:lang w:val="sk-SK"/>
        </w:rPr>
        <w:t>,</w:t>
      </w:r>
      <w:r w:rsidRPr="003C065E">
        <w:rPr>
          <w:rFonts w:ascii="Times New Roman" w:eastAsia="TimesNewRoman" w:hAnsi="Times New Roman"/>
          <w:lang w:val="sk-SK"/>
        </w:rPr>
        <w:t xml:space="preserve"> je založený na</w:t>
      </w:r>
    </w:p>
    <w:p w14:paraId="7DFDB2BE" w14:textId="51095BC5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údajoch od 517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s HR-pozitívnym, HER2-negatívnym pokročilým alebo metastatickým</w:t>
      </w:r>
    </w:p>
    <w:p w14:paraId="08BF0CFA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karcinómom prsníka v randomizovanej štúdii PALOMA3 (pozri časť 5.1). Najčastejšími (≥ 20%)</w:t>
      </w:r>
    </w:p>
    <w:p w14:paraId="2461804E" w14:textId="3345A063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nežiaducimi reakciami akéhokoľvek stupňa, hlásenými u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dostávajúcich fulvestrant</w:t>
      </w:r>
    </w:p>
    <w:p w14:paraId="4B83EDA0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kombinácii s palbociklibom, boli neutropénia, leukopénia, infekcie, únava, nauzea, anémia,</w:t>
      </w:r>
    </w:p>
    <w:p w14:paraId="75CB2ADC" w14:textId="54255700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stomatitída, hnačka</w:t>
      </w:r>
      <w:r w:rsidR="008A3852" w:rsidRPr="003C065E">
        <w:rPr>
          <w:rFonts w:ascii="Times New Roman" w:eastAsia="TimesNewRoman" w:hAnsi="Times New Roman"/>
          <w:lang w:val="sk-SK"/>
        </w:rPr>
        <w:t xml:space="preserve">, </w:t>
      </w:r>
      <w:r w:rsidRPr="003C065E">
        <w:rPr>
          <w:rFonts w:ascii="Times New Roman" w:eastAsia="TimesNewRoman" w:hAnsi="Times New Roman"/>
          <w:lang w:val="sk-SK"/>
        </w:rPr>
        <w:t>trombocytopénia</w:t>
      </w:r>
      <w:r w:rsidR="008A3852" w:rsidRPr="003C065E">
        <w:rPr>
          <w:rFonts w:ascii="Times New Roman" w:eastAsia="TimesNewRoman" w:hAnsi="Times New Roman"/>
          <w:lang w:val="sk-SK"/>
        </w:rPr>
        <w:t xml:space="preserve"> a zvracanie</w:t>
      </w:r>
      <w:r w:rsidRPr="003C065E">
        <w:rPr>
          <w:rFonts w:ascii="Times New Roman" w:eastAsia="TimesNewRoman" w:hAnsi="Times New Roman"/>
          <w:lang w:val="sk-SK"/>
        </w:rPr>
        <w:t>. Najčastejšími (≥ 2%) nežiaducimi reakciami stupňa ≥ 3 boli</w:t>
      </w:r>
      <w:r w:rsidR="008A3852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neutropénia, leukopénia, anémia, infekcie, zvýšená hladina AST, trombocytopénia a únava.</w:t>
      </w:r>
    </w:p>
    <w:p w14:paraId="0E38393A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DF830ED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tabuľke 2 sú uvedené nežiaduce reakcie zo štúdie PALOMA3.</w:t>
      </w:r>
    </w:p>
    <w:p w14:paraId="5579B92E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Medián trvania expozície fulvestrantu bol v skupine s fulvestrantom + palbociklibom 11,2 mesiacov</w:t>
      </w:r>
    </w:p>
    <w:p w14:paraId="39C205AF" w14:textId="2FD66394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a 4,</w:t>
      </w:r>
      <w:r w:rsidR="008A3852" w:rsidRPr="003C065E">
        <w:rPr>
          <w:rFonts w:ascii="Times New Roman" w:eastAsia="TimesNewRoman" w:hAnsi="Times New Roman"/>
          <w:lang w:val="sk-SK"/>
        </w:rPr>
        <w:t>8</w:t>
      </w:r>
      <w:r w:rsidRPr="003C065E">
        <w:rPr>
          <w:rFonts w:ascii="Times New Roman" w:eastAsia="TimesNewRoman" w:hAnsi="Times New Roman"/>
          <w:lang w:val="sk-SK"/>
        </w:rPr>
        <w:t xml:space="preserve"> mesiacov v skupine s fulvestrantom + placebo. Medián trvania expozície palbociklibu v skupine</w:t>
      </w:r>
    </w:p>
    <w:p w14:paraId="6360DA99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 fulvestrantom + palbociklib bol 10,8 mesiacov.</w:t>
      </w:r>
    </w:p>
    <w:p w14:paraId="15AEF920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</w:p>
    <w:p w14:paraId="7497F66C" w14:textId="1776A0D6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Tabuľka 2 </w:t>
      </w:r>
      <w:r w:rsidR="009A4E00" w:rsidRPr="003C065E">
        <w:rPr>
          <w:rFonts w:ascii="Times New Roman" w:eastAsia="TimesNewRoman,Bold" w:hAnsi="Times New Roman"/>
          <w:b/>
          <w:bCs/>
          <w:lang w:val="sk-SK"/>
        </w:rPr>
        <w:tab/>
      </w:r>
      <w:r w:rsidRPr="003C065E">
        <w:rPr>
          <w:rFonts w:ascii="Times New Roman" w:eastAsia="TimesNewRoman,Bold" w:hAnsi="Times New Roman"/>
          <w:b/>
          <w:bCs/>
          <w:lang w:val="sk-SK"/>
        </w:rPr>
        <w:t>Nežiaduce reakcie zo štúdie PALOMA3 (N=517)</w:t>
      </w:r>
    </w:p>
    <w:p w14:paraId="04D5771D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  <w:sz w:val="23"/>
          <w:szCs w:val="23"/>
          <w:lang w:val="sk-SK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1276"/>
        <w:gridCol w:w="1559"/>
        <w:gridCol w:w="1305"/>
      </w:tblGrid>
      <w:tr w:rsidR="00417AB0" w:rsidRPr="003C065E" w14:paraId="528B6508" w14:textId="77777777" w:rsidTr="008F7E26">
        <w:trPr>
          <w:trHeight w:val="388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39F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Trieda orgánových systémov</w:t>
            </w:r>
          </w:p>
          <w:p w14:paraId="7894A37C" w14:textId="77777777" w:rsidR="00002823" w:rsidRPr="003C065E" w:rsidRDefault="0000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  <w:p w14:paraId="2387E644" w14:textId="4749AC87" w:rsidR="00417AB0" w:rsidRPr="003C065E" w:rsidRDefault="0000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    </w:t>
            </w:r>
            <w:r w:rsidR="00417AB0"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Frekvencia</w:t>
            </w:r>
          </w:p>
          <w:p w14:paraId="2D3C939D" w14:textId="77777777" w:rsidR="00002823" w:rsidRPr="003C065E" w:rsidRDefault="0000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  <w:p w14:paraId="2F998C41" w14:textId="75E96FE2" w:rsidR="00417AB0" w:rsidRPr="003C065E" w:rsidRDefault="0000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         </w:t>
            </w:r>
            <w:r w:rsidR="00417AB0"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Preferovaný termín</w:t>
            </w:r>
            <w:r w:rsidR="00417AB0" w:rsidRPr="003C065E">
              <w:rPr>
                <w:rFonts w:ascii="Times New Roman" w:eastAsia="TimesNewRoman,Bold" w:hAnsi="Times New Roman"/>
                <w:b/>
                <w:bCs/>
                <w:vertAlign w:val="superscript"/>
                <w:lang w:val="sk-SK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361" w14:textId="6193DA41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 xml:space="preserve">Fulvestrant + </w:t>
            </w:r>
            <w:r w:rsidR="008F7E26"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</w:t>
            </w: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albociclib</w:t>
            </w:r>
          </w:p>
          <w:p w14:paraId="7CA51AF0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(N=345)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6D0F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 xml:space="preserve">Fulvestrant + placebo </w:t>
            </w:r>
          </w:p>
          <w:p w14:paraId="68EFCCA9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(N=172)</w:t>
            </w:r>
          </w:p>
        </w:tc>
      </w:tr>
      <w:tr w:rsidR="00417AB0" w:rsidRPr="003C065E" w14:paraId="3C8AC3FB" w14:textId="77777777" w:rsidTr="008F7E26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C47D" w14:textId="77777777" w:rsidR="00417AB0" w:rsidRPr="003C065E" w:rsidRDefault="00417AB0">
            <w:pPr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CE6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Všetky stupne</w:t>
            </w:r>
          </w:p>
          <w:p w14:paraId="3828C500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5A9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Stupeň ≥ 3</w:t>
            </w:r>
          </w:p>
          <w:p w14:paraId="0111C7D8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6869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Všetky stupne</w:t>
            </w:r>
          </w:p>
          <w:p w14:paraId="1CAE4DC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85A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Stupeň ≥ 3</w:t>
            </w:r>
          </w:p>
          <w:p w14:paraId="17734780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</w:tr>
      <w:tr w:rsidR="00417AB0" w:rsidRPr="003C065E" w14:paraId="6F61EB98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3CCA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Infekcie a nákazy</w:t>
            </w:r>
          </w:p>
        </w:tc>
      </w:tr>
      <w:tr w:rsidR="00417AB0" w:rsidRPr="003C065E" w14:paraId="2A26E8F4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AB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328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C9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5F8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383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6F327078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B39B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Infekcie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86B" w14:textId="4AD86C3B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</w:t>
            </w:r>
            <w:r w:rsidR="008F7E26"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88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(</w:t>
            </w:r>
            <w:r w:rsidR="008F7E26"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54,5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B2CE" w14:textId="0D816BBE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</w:t>
            </w:r>
            <w:r w:rsidR="008F7E26"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(</w:t>
            </w:r>
            <w:r w:rsidR="008F7E26"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5,5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830B" w14:textId="3095ABE1" w:rsidR="00417AB0" w:rsidRPr="003C065E" w:rsidRDefault="008F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60 (34,9)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20A6" w14:textId="0833659E" w:rsidR="00417AB0" w:rsidRPr="003C065E" w:rsidRDefault="008F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 (3,5)</w:t>
            </w:r>
          </w:p>
        </w:tc>
      </w:tr>
      <w:tr w:rsidR="00417AB0" w:rsidRPr="003C065E" w14:paraId="297FC84A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A8A5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krvi a lymfatického systému</w:t>
            </w:r>
          </w:p>
        </w:tc>
      </w:tr>
      <w:tr w:rsidR="00417AB0" w:rsidRPr="003C065E" w14:paraId="154FDD6F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8C96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7D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08D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E5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2F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42261BB1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94A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Neutropénia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E09" w14:textId="72324F85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290 (84,1)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D87" w14:textId="6AEBB896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240 (69,6)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9FF" w14:textId="60EF3611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 (3,5)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6B9" w14:textId="53FA2150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2E89A666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2FE4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Leukopénia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876" w14:textId="3DCBADE1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207 (60,0)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470C" w14:textId="2B31E820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132 (38,3)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954" w14:textId="26A52674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 (5,2)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0C7" w14:textId="5301F470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(0,6)</w:t>
            </w:r>
          </w:p>
        </w:tc>
      </w:tr>
      <w:tr w:rsidR="00417AB0" w:rsidRPr="003C065E" w14:paraId="207C5D22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644E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Anémia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898" w14:textId="462FBC2D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109 (31,6)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431" w14:textId="5045C1A2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15 (4,3)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5C0" w14:textId="59F62548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24 (14,0)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1A72" w14:textId="3E61E577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 (2,3)</w:t>
            </w:r>
          </w:p>
        </w:tc>
      </w:tr>
      <w:tr w:rsidR="00417AB0" w:rsidRPr="003C065E" w14:paraId="484D0F19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B366" w14:textId="1126BF3F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Trombocytopénia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5EC" w14:textId="06A9C974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88 (25,5)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EB8" w14:textId="42345171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 (2,9)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679" w14:textId="6C253E81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A53" w14:textId="6BDBCEA0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34B76B70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0FF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Menej 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76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7B44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22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6C4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2DE101E4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7AA1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Febrilná neutropénia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59C" w14:textId="646446B3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(0,9)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D14" w14:textId="7074141A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(0,9)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866" w14:textId="303414AB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C9F" w14:textId="5909BB43" w:rsidR="00417AB0" w:rsidRPr="003C065E" w:rsidRDefault="00A1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5573AEBC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4F29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metabolizmu a výživy</w:t>
            </w:r>
          </w:p>
        </w:tc>
      </w:tr>
      <w:tr w:rsidR="00417AB0" w:rsidRPr="003C065E" w14:paraId="6FF61D6D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5024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9DB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C2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66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BC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01137D20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C0E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Znížená chuť do jedla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3C0" w14:textId="6275B8E2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60 (17,4)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A75" w14:textId="67092E09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 (1,2)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CB4" w14:textId="094883A0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18 (10,5)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02D5" w14:textId="4D84FE2B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(0,6)</w:t>
            </w:r>
          </w:p>
        </w:tc>
      </w:tr>
      <w:tr w:rsidR="00417AB0" w:rsidRPr="003C065E" w14:paraId="062432E9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DCA3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nervového systému</w:t>
            </w:r>
          </w:p>
        </w:tc>
      </w:tr>
      <w:tr w:rsidR="00417AB0" w:rsidRPr="003C065E" w14:paraId="2C11E0FE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BD7B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14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3B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F69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29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74C2EBAB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2D5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Dysgeúzia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DDE" w14:textId="4B273285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27 (7,8)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0A2" w14:textId="39C9E558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861" w14:textId="4767BCE9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 (3,5)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D8E" w14:textId="71C72144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1A37A9D6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E9F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oka</w:t>
            </w:r>
          </w:p>
        </w:tc>
      </w:tr>
      <w:tr w:rsidR="00417AB0" w:rsidRPr="003C065E" w14:paraId="3A0EFC59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2904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A1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C9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B73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883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5989107A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A564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Zvýšené slzenie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CF8" w14:textId="41199857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25 (7,2)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8CF" w14:textId="0DF605DE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CAA3" w14:textId="7AFBD1A4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(1,2)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61A" w14:textId="29A68521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7337E488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F886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Rozmazané videnie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594" w14:textId="740126B7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24 (7,0)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CDA" w14:textId="6B371DC2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F83" w14:textId="1DAE472F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(1,7)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46C" w14:textId="41ED99F6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1DAE9F92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DEE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Suché oko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0B6" w14:textId="75101D18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15 (4,3)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A5F" w14:textId="063911AA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9B3" w14:textId="15FA95A2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(1,7)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40B" w14:textId="494B3374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782B1AD0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7902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dýchacej sústavy, hrudníka a mediastína</w:t>
            </w:r>
          </w:p>
        </w:tc>
      </w:tr>
      <w:tr w:rsidR="00417AB0" w:rsidRPr="003C065E" w14:paraId="7DF407DC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CA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BD1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B68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D64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92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1B2E8333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E26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Epistaxa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896" w14:textId="3662DF27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25 (7,2)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F7C" w14:textId="0A17BDC7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C58" w14:textId="1FE7AC93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 (2,3)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CB5" w14:textId="15D45108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63BF53E2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FC6A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gastrointestinálneho traktu</w:t>
            </w:r>
          </w:p>
        </w:tc>
      </w:tr>
      <w:tr w:rsidR="00417AB0" w:rsidRPr="003C065E" w14:paraId="3D8EEB82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FC17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2E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C92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BD56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AB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3EE675DA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B292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Nauzea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FE5" w14:textId="1E5DB744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124 (35,9)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19F" w14:textId="78F6C8D3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(0,6)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D4C" w14:textId="4C2B822E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53 (30,8)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2F7" w14:textId="727CA595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(0,6)</w:t>
            </w:r>
          </w:p>
        </w:tc>
      </w:tr>
      <w:tr w:rsidR="00417AB0" w:rsidRPr="003C065E" w14:paraId="67DEAFFF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07E9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Stomatitída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5B6" w14:textId="2CB8232C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104 (30,1)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4635" w14:textId="055D00EF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(0,9)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6D9" w14:textId="4BEA17BF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24 (14,0)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345" w14:textId="6E9DCC8B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4149DE87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B2F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Hnačka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639" w14:textId="21FBD304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94 (27,2)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907" w14:textId="54DAF354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6F4" w14:textId="65CD1C3C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35 (20,3)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00C2" w14:textId="49749C39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(1,2)</w:t>
            </w:r>
          </w:p>
        </w:tc>
      </w:tr>
      <w:tr w:rsidR="00417AB0" w:rsidRPr="003C065E" w14:paraId="7737CFBC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C8E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Vracanie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997" w14:textId="45833DA2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75 (21,7)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BE0" w14:textId="6335597F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(0,6)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7EF" w14:textId="79D5D4B2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28 (16,3)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135" w14:textId="09C5C73C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(0,6)</w:t>
            </w:r>
          </w:p>
        </w:tc>
      </w:tr>
      <w:tr w:rsidR="00417AB0" w:rsidRPr="003C065E" w14:paraId="51509091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4533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kože a podkožného tkaniva</w:t>
            </w:r>
          </w:p>
        </w:tc>
      </w:tr>
      <w:tr w:rsidR="00417AB0" w:rsidRPr="003C065E" w14:paraId="264F6AE6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D8C1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lastRenderedPageBreak/>
              <w:t>Veľmi 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21EE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BAF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258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E588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3ACD479E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C0E3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Alopécia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B4E" w14:textId="4FD6FFD6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67 (19,4)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D2F" w14:textId="51EBCA57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27D" w14:textId="3F393FC3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11 (6,4)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B04" w14:textId="1DFEA380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NA</w:t>
            </w:r>
          </w:p>
        </w:tc>
      </w:tr>
      <w:tr w:rsidR="00417AB0" w:rsidRPr="003C065E" w14:paraId="7926AAC8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56F5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Vyrážka</w:t>
            </w:r>
            <w:r w:rsidRPr="003C065E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7B0" w14:textId="76049ACB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63 (18,3)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6F4" w14:textId="3688EFEA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(0,9)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B71" w14:textId="0215ED71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 (5,8)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7A3" w14:textId="1E42ACFE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7E4FD3FF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C14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08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214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D3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A3F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7DDA936F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7EB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Suchá koža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CFF" w14:textId="0A0D0D30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28 (8,1)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852" w14:textId="31BFA7CE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8C8" w14:textId="33788174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(1,7)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613" w14:textId="310B01E7" w:rsidR="00417AB0" w:rsidRPr="003C065E" w:rsidRDefault="00CC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38F55C45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160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Celkové poruchy a reakcie v mieste podania</w:t>
            </w:r>
          </w:p>
        </w:tc>
      </w:tr>
      <w:tr w:rsidR="00417AB0" w:rsidRPr="003C065E" w14:paraId="35E7ECF3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865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8E1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5F1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F1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60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0618E96E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0368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Únava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EDE" w14:textId="3CD3711B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152 (44,1)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C6F" w14:textId="6DFA8DAF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 (2,6)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373" w14:textId="5407E644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54 (31,4)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44C" w14:textId="6218F7C4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(1,2)</w:t>
            </w:r>
          </w:p>
        </w:tc>
      </w:tr>
      <w:tr w:rsidR="00417AB0" w:rsidRPr="003C065E" w14:paraId="058260D0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D12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Pyrexia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40D" w14:textId="6996146C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47 (13,6)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59F" w14:textId="1408CDE9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(0,3)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8DE" w14:textId="4AFA3186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 (5,8)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9E6" w14:textId="7B4ABA51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417AB0" w:rsidRPr="003C065E" w14:paraId="4E7CE914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C062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1FA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FC3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A73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081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6101DBC3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8F1D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Asténia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61F" w14:textId="6E6EFCAB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27 (7,8)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441" w14:textId="6DDDFD16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(0,3)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828" w14:textId="1863171A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13 (7,6)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880" w14:textId="336A43FF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(1,2)</w:t>
            </w:r>
          </w:p>
        </w:tc>
      </w:tr>
      <w:tr w:rsidR="00417AB0" w:rsidRPr="003C065E" w14:paraId="27CC100A" w14:textId="77777777" w:rsidTr="008F7E26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AC05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Laboratórne vyšetrenia</w:t>
            </w:r>
          </w:p>
        </w:tc>
      </w:tr>
      <w:tr w:rsidR="00417AB0" w:rsidRPr="003C065E" w14:paraId="718D5A11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0967" w14:textId="4DDDFAD3" w:rsidR="00417AB0" w:rsidRPr="00EE7E27" w:rsidRDefault="0052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</w:t>
            </w:r>
            <w:r w:rsidR="00417AB0" w:rsidRPr="003C065E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FFB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8AC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C2F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78E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1721206C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22F4" w14:textId="77777777" w:rsidR="00417AB0" w:rsidRPr="003C065E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Zvýšená hladina AST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051" w14:textId="7D40A063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40 (11,6)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FEC" w14:textId="4B4C1E6C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11 (3,2)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B2C" w14:textId="658BEBBF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13 (7,6)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AA09" w14:textId="54F4B9CF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 (2,3)</w:t>
            </w:r>
          </w:p>
        </w:tc>
      </w:tr>
      <w:tr w:rsidR="005259A8" w:rsidRPr="003C065E" w14:paraId="51827C1A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83E" w14:textId="3283278F" w:rsidR="005259A8" w:rsidRPr="003C065E" w:rsidRDefault="0052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i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i/>
                <w:iCs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271" w14:textId="77777777" w:rsidR="005259A8" w:rsidRPr="003C065E" w:rsidRDefault="0052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A34" w14:textId="77777777" w:rsidR="005259A8" w:rsidRPr="003C065E" w:rsidRDefault="0052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8CB9" w14:textId="77777777" w:rsidR="005259A8" w:rsidRPr="003C065E" w:rsidRDefault="0052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B42" w14:textId="77777777" w:rsidR="005259A8" w:rsidRPr="003C065E" w:rsidRDefault="0052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17AB0" w:rsidRPr="003C065E" w14:paraId="09FDD42B" w14:textId="77777777" w:rsidTr="008F7E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A2A" w14:textId="77777777" w:rsidR="00417AB0" w:rsidRPr="00EE7E27" w:rsidRDefault="0041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Zvýšená hladina ALT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088" w14:textId="6B8D9FB1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30 (8,7)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43D" w14:textId="5CBC4C60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7 (2,0)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20B" w14:textId="456D0893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 (5,8)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738" w14:textId="67D61179" w:rsidR="00417AB0" w:rsidRPr="003C065E" w:rsidRDefault="008B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(0,6)</w:t>
            </w:r>
          </w:p>
        </w:tc>
      </w:tr>
    </w:tbl>
    <w:p w14:paraId="6693BFFE" w14:textId="77777777" w:rsidR="008A3852" w:rsidRPr="003C065E" w:rsidRDefault="008A3852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</w:p>
    <w:p w14:paraId="69C11A69" w14:textId="2EDCB683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>ALT=alanínaminotransferáza; AST=aspartátaminotransferáza; N/n=počet pacientov</w:t>
      </w:r>
      <w:r w:rsidR="00004D15" w:rsidRPr="003C065E">
        <w:rPr>
          <w:rFonts w:ascii="Times New Roman" w:eastAsia="TimesNewRoman" w:hAnsi="Times New Roman"/>
          <w:sz w:val="20"/>
          <w:szCs w:val="20"/>
          <w:lang w:val="sk-SK"/>
        </w:rPr>
        <w:t>; NA=neaplikovateľné</w:t>
      </w:r>
    </w:p>
    <w:p w14:paraId="301F0F1A" w14:textId="0E54CEB1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a 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Preferované termíny (Preferred Terms, PTs) sú uvedené podľa MedDRA 17.1.</w:t>
      </w:r>
    </w:p>
    <w:p w14:paraId="329333EF" w14:textId="668A129F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b 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Infekcie zahŕňajú všetky PTs, ktoré sú súčasťou triedy orgánových systémov „Infekcie a nákazy”.</w:t>
      </w:r>
    </w:p>
    <w:p w14:paraId="543C2958" w14:textId="59F9520D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c 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Neutropénia zahŕňa nasledujúce PTs: neutropénia, znížený počet neutrofilov.</w:t>
      </w:r>
    </w:p>
    <w:p w14:paraId="230B06C9" w14:textId="7F281DF5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>d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Leukopénia zahŕňa nasledujúce PTs: leukopénia, znížený počet bielych krviniek.</w:t>
      </w:r>
    </w:p>
    <w:p w14:paraId="7910237C" w14:textId="6904DEB0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e 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Anémia zahŕňa nasledujúce PTs: anémia, znížený hemoglobín, znížený hematokrit.</w:t>
      </w:r>
    </w:p>
    <w:p w14:paraId="7B2E3D69" w14:textId="7AE0022A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f 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Trombocytopénia zahŕňa nasledujúce PTs: trombocytopénia, znížený počet krvných doštičiek.</w:t>
      </w:r>
    </w:p>
    <w:p w14:paraId="14C6A4B9" w14:textId="41122BC0" w:rsidR="00417AB0" w:rsidRPr="003C065E" w:rsidRDefault="00417AB0" w:rsidP="00CC17D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g 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Stomatitída zahŕňa nasledujúce PTs: aftózna stomatitída, cheilitída, glositída, glosodýnia, ulcerácia </w:t>
      </w:r>
      <w:r w:rsidR="00983D47" w:rsidRPr="003C065E">
        <w:rPr>
          <w:rFonts w:ascii="Times New Roman" w:eastAsia="TimesNewRoman" w:hAnsi="Times New Roman"/>
          <w:sz w:val="20"/>
          <w:szCs w:val="20"/>
          <w:lang w:val="sk-SK"/>
        </w:rPr>
        <w:br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v ústach,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zápal sliznice, bolesť v ústach, orofaryngeálny diskomfort, orofaryngeálna bolesť, stomatitída.</w:t>
      </w:r>
    </w:p>
    <w:p w14:paraId="4AFA75FB" w14:textId="70E070D7" w:rsidR="00417AB0" w:rsidRPr="003C065E" w:rsidRDefault="00417AB0" w:rsidP="00CC17D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h 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ab/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Vyrážka zahŕňa nasledujúce PTs: vyrážka, makulopapulárna vyrážka, svrbiaca vyrážka, erytematózna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vyrážka,</w:t>
      </w:r>
      <w:r w:rsidR="00CC17D7"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papulárna vyrážka, dermatitída, akneiformná dermatitída, toxická kožná erupcia.</w:t>
      </w:r>
    </w:p>
    <w:p w14:paraId="058CF45B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eastAsia="TimesNewRoman" w:hAnsi="Times New Roman"/>
          <w:sz w:val="20"/>
          <w:szCs w:val="20"/>
          <w:lang w:val="sk-SK"/>
        </w:rPr>
      </w:pPr>
    </w:p>
    <w:p w14:paraId="0B86F631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3C065E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14:paraId="539F72F1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3C065E">
        <w:rPr>
          <w:rFonts w:ascii="Times New Roman" w:eastAsia="TimesNewRoman" w:hAnsi="Times New Roman"/>
          <w:i/>
          <w:iCs/>
          <w:lang w:val="sk-SK"/>
        </w:rPr>
        <w:t>Neutropénia</w:t>
      </w:r>
    </w:p>
    <w:p w14:paraId="270969C9" w14:textId="1430FDD1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U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ktoré v štúdii PALOMA3 dostávali fulvestrant v kombinácii s</w:t>
      </w:r>
      <w:r w:rsidR="00925566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palbociklibom</w:t>
      </w:r>
      <w:r w:rsidR="00925566" w:rsidRPr="003C065E">
        <w:rPr>
          <w:rFonts w:ascii="Times New Roman" w:eastAsia="TimesNewRoman" w:hAnsi="Times New Roman"/>
          <w:lang w:val="sk-SK"/>
        </w:rPr>
        <w:t>,</w:t>
      </w:r>
      <w:r w:rsidRPr="003C065E">
        <w:rPr>
          <w:rFonts w:ascii="Times New Roman" w:eastAsia="TimesNewRoman" w:hAnsi="Times New Roman"/>
          <w:lang w:val="sk-SK"/>
        </w:rPr>
        <w:t xml:space="preserve"> sa</w:t>
      </w:r>
    </w:p>
    <w:p w14:paraId="2F2BFC84" w14:textId="3E90D13A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neutropénia akéhokoľvek stupňa hlásila u 2</w:t>
      </w:r>
      <w:r w:rsidR="00925566" w:rsidRPr="003C065E">
        <w:rPr>
          <w:rFonts w:ascii="Times New Roman" w:eastAsia="TimesNewRoman" w:hAnsi="Times New Roman"/>
          <w:lang w:val="sk-SK"/>
        </w:rPr>
        <w:t>90</w:t>
      </w:r>
      <w:r w:rsidRPr="003C065E">
        <w:rPr>
          <w:rFonts w:ascii="Times New Roman" w:eastAsia="TimesNewRoman" w:hAnsi="Times New Roman"/>
          <w:lang w:val="sk-SK"/>
        </w:rPr>
        <w:t xml:space="preserve"> (8</w:t>
      </w:r>
      <w:r w:rsidR="00925566" w:rsidRPr="003C065E">
        <w:rPr>
          <w:rFonts w:ascii="Times New Roman" w:eastAsia="TimesNewRoman" w:hAnsi="Times New Roman"/>
          <w:lang w:val="sk-SK"/>
        </w:rPr>
        <w:t>4,1</w:t>
      </w:r>
      <w:r w:rsidRPr="003C065E">
        <w:rPr>
          <w:rFonts w:ascii="Times New Roman" w:eastAsia="TimesNewRoman" w:hAnsi="Times New Roman"/>
          <w:lang w:val="sk-SK"/>
        </w:rPr>
        <w:t xml:space="preserve">%)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neutropénia stupňa 3 sa hlásila</w:t>
      </w:r>
    </w:p>
    <w:p w14:paraId="45832C25" w14:textId="2D5ACD7E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u </w:t>
      </w:r>
      <w:r w:rsidR="00925566" w:rsidRPr="003C065E">
        <w:rPr>
          <w:rFonts w:ascii="Times New Roman" w:eastAsia="TimesNewRoman" w:hAnsi="Times New Roman"/>
          <w:lang w:val="sk-SK"/>
        </w:rPr>
        <w:t>200</w:t>
      </w:r>
      <w:r w:rsidRPr="003C065E">
        <w:rPr>
          <w:rFonts w:ascii="Times New Roman" w:eastAsia="TimesNewRoman" w:hAnsi="Times New Roman"/>
          <w:lang w:val="sk-SK"/>
        </w:rPr>
        <w:t xml:space="preserve"> (5</w:t>
      </w:r>
      <w:r w:rsidR="00925566" w:rsidRPr="003C065E">
        <w:rPr>
          <w:rFonts w:ascii="Times New Roman" w:eastAsia="TimesNewRoman" w:hAnsi="Times New Roman"/>
          <w:lang w:val="sk-SK"/>
        </w:rPr>
        <w:t>8,0</w:t>
      </w:r>
      <w:r w:rsidRPr="003C065E">
        <w:rPr>
          <w:rFonts w:ascii="Times New Roman" w:eastAsia="TimesNewRoman" w:hAnsi="Times New Roman"/>
          <w:lang w:val="sk-SK"/>
        </w:rPr>
        <w:t xml:space="preserve">%)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 xml:space="preserve">a neutropénia stupňa 4 sa hlásila u </w:t>
      </w:r>
      <w:r w:rsidR="00925566" w:rsidRPr="003C065E">
        <w:rPr>
          <w:rFonts w:ascii="Times New Roman" w:eastAsia="TimesNewRoman" w:hAnsi="Times New Roman"/>
          <w:lang w:val="sk-SK"/>
        </w:rPr>
        <w:t>40</w:t>
      </w:r>
      <w:r w:rsidRPr="003C065E">
        <w:rPr>
          <w:rFonts w:ascii="Times New Roman" w:eastAsia="TimesNewRoman" w:hAnsi="Times New Roman"/>
          <w:lang w:val="sk-SK"/>
        </w:rPr>
        <w:t xml:space="preserve"> (1</w:t>
      </w:r>
      <w:r w:rsidR="00925566" w:rsidRPr="003C065E">
        <w:rPr>
          <w:rFonts w:ascii="Times New Roman" w:eastAsia="TimesNewRoman" w:hAnsi="Times New Roman"/>
          <w:lang w:val="sk-SK"/>
        </w:rPr>
        <w:t>1,6</w:t>
      </w:r>
      <w:r w:rsidRPr="003C065E">
        <w:rPr>
          <w:rFonts w:ascii="Times New Roman" w:eastAsia="TimesNewRoman" w:hAnsi="Times New Roman"/>
          <w:lang w:val="sk-SK"/>
        </w:rPr>
        <w:t xml:space="preserve">%)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. V skupine</w:t>
      </w:r>
    </w:p>
    <w:p w14:paraId="2745D41B" w14:textId="0F8A257B" w:rsidR="00417AB0" w:rsidRPr="003C065E" w:rsidRDefault="00417AB0" w:rsidP="0092556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s fulvestrantom + placebo (n=172) sa neutropénia akéhokoľvek stupňa hlásila u </w:t>
      </w:r>
      <w:r w:rsidR="00925566" w:rsidRPr="003C065E">
        <w:rPr>
          <w:rFonts w:ascii="Times New Roman" w:eastAsia="TimesNewRoman" w:hAnsi="Times New Roman"/>
          <w:lang w:val="sk-SK"/>
        </w:rPr>
        <w:t>6</w:t>
      </w:r>
      <w:r w:rsidRPr="003C065E">
        <w:rPr>
          <w:rFonts w:ascii="Times New Roman" w:eastAsia="TimesNewRoman" w:hAnsi="Times New Roman"/>
          <w:lang w:val="sk-SK"/>
        </w:rPr>
        <w:t xml:space="preserve"> (</w:t>
      </w:r>
      <w:r w:rsidR="00925566" w:rsidRPr="003C065E">
        <w:rPr>
          <w:rFonts w:ascii="Times New Roman" w:eastAsia="TimesNewRoman" w:hAnsi="Times New Roman"/>
          <w:lang w:val="sk-SK"/>
        </w:rPr>
        <w:t>3,5</w:t>
      </w:r>
      <w:r w:rsidRPr="003C065E">
        <w:rPr>
          <w:rFonts w:ascii="Times New Roman" w:eastAsia="TimesNewRoman" w:hAnsi="Times New Roman"/>
          <w:lang w:val="sk-SK"/>
        </w:rPr>
        <w:t>%) pacient</w:t>
      </w:r>
      <w:r w:rsidR="002D1E98" w:rsidRPr="003C065E">
        <w:rPr>
          <w:rFonts w:ascii="Times New Roman" w:eastAsia="TimesNewRoman" w:hAnsi="Times New Roman"/>
          <w:lang w:val="sk-SK"/>
        </w:rPr>
        <w:t>o</w:t>
      </w:r>
      <w:r w:rsidRPr="003C065E">
        <w:rPr>
          <w:rFonts w:ascii="Times New Roman" w:eastAsia="TimesNewRoman" w:hAnsi="Times New Roman"/>
          <w:lang w:val="sk-SK"/>
        </w:rPr>
        <w:t xml:space="preserve">k. </w:t>
      </w:r>
      <w:r w:rsidR="00925566" w:rsidRPr="003C065E">
        <w:rPr>
          <w:rFonts w:ascii="Times New Roman" w:eastAsia="TimesNewRoman" w:hAnsi="Times New Roman"/>
          <w:lang w:val="sk-SK"/>
        </w:rPr>
        <w:br/>
      </w:r>
      <w:r w:rsidRPr="003C065E">
        <w:rPr>
          <w:rFonts w:ascii="Times New Roman" w:eastAsia="TimesNewRoman" w:hAnsi="Times New Roman"/>
          <w:lang w:val="sk-SK"/>
        </w:rPr>
        <w:t>V skupine s fulvestrantom + placebo sa nehlásila žiadna</w:t>
      </w:r>
      <w:r w:rsidR="0092556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neutropénia stupňa </w:t>
      </w:r>
      <w:r w:rsidR="00925566" w:rsidRPr="003C065E">
        <w:rPr>
          <w:rFonts w:ascii="Times New Roman" w:eastAsia="TimesNewRoman" w:hAnsi="Times New Roman"/>
          <w:lang w:val="sk-SK"/>
        </w:rPr>
        <w:t xml:space="preserve">3 a </w:t>
      </w:r>
      <w:r w:rsidRPr="003C065E">
        <w:rPr>
          <w:rFonts w:ascii="Times New Roman" w:eastAsia="TimesNewRoman" w:hAnsi="Times New Roman"/>
          <w:lang w:val="sk-SK"/>
        </w:rPr>
        <w:t>4.</w:t>
      </w:r>
    </w:p>
    <w:p w14:paraId="3CE6DC50" w14:textId="77777777" w:rsidR="00417AB0" w:rsidRPr="003C065E" w:rsidRDefault="00417AB0" w:rsidP="00417AB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3CC7F969" w14:textId="4E431C60" w:rsidR="00417AB0" w:rsidRPr="003C065E" w:rsidRDefault="00417AB0" w:rsidP="009255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U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dostávajúcich fulvestrant v kombinácii s palbociklibom bol medián času do prvej epizódy</w:t>
      </w:r>
      <w:r w:rsidR="002D1E98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neutropénie akéhokoľvek stupňa 15 dní (rozsah: 13 </w:t>
      </w:r>
      <w:r w:rsidR="00925566" w:rsidRPr="003C065E">
        <w:rPr>
          <w:rFonts w:ascii="Times New Roman" w:eastAsia="TimesNewRoman" w:hAnsi="Times New Roman"/>
          <w:lang w:val="sk-SK"/>
        </w:rPr>
        <w:t>–</w:t>
      </w:r>
      <w:r w:rsidRPr="003C065E">
        <w:rPr>
          <w:rFonts w:ascii="Times New Roman" w:eastAsia="TimesNewRoman" w:hAnsi="Times New Roman"/>
          <w:lang w:val="sk-SK"/>
        </w:rPr>
        <w:t xml:space="preserve"> </w:t>
      </w:r>
      <w:r w:rsidR="00925566" w:rsidRPr="003C065E">
        <w:rPr>
          <w:rFonts w:ascii="Times New Roman" w:eastAsia="TimesNewRoman" w:hAnsi="Times New Roman"/>
          <w:lang w:val="sk-SK"/>
        </w:rPr>
        <w:t>512 dní</w:t>
      </w:r>
      <w:r w:rsidRPr="003C065E">
        <w:rPr>
          <w:rFonts w:ascii="Times New Roman" w:eastAsia="TimesNewRoman" w:hAnsi="Times New Roman"/>
          <w:lang w:val="sk-SK"/>
        </w:rPr>
        <w:t>) a medián trvania neutropénie stupňa ≥ 3 bol</w:t>
      </w:r>
      <w:r w:rsidR="00004D15" w:rsidRPr="003C065E">
        <w:rPr>
          <w:rFonts w:ascii="Times New Roman" w:eastAsia="TimesNewRoman" w:hAnsi="Times New Roman"/>
          <w:lang w:val="sk-SK"/>
        </w:rPr>
        <w:t xml:space="preserve"> </w:t>
      </w:r>
      <w:r w:rsidR="00925566" w:rsidRPr="003C065E">
        <w:rPr>
          <w:rFonts w:ascii="Times New Roman" w:eastAsia="TimesNewRoman" w:hAnsi="Times New Roman"/>
          <w:lang w:val="sk-SK"/>
        </w:rPr>
        <w:t>16</w:t>
      </w:r>
      <w:r w:rsidRPr="003C065E">
        <w:rPr>
          <w:rFonts w:ascii="Times New Roman" w:eastAsia="TimesNewRoman" w:hAnsi="Times New Roman"/>
          <w:lang w:val="sk-SK"/>
        </w:rPr>
        <w:t xml:space="preserve"> dní. Febrilná neutropénia sa hlásila u</w:t>
      </w:r>
      <w:r w:rsidR="00925566" w:rsidRPr="003C065E">
        <w:rPr>
          <w:rFonts w:ascii="Times New Roman" w:eastAsia="TimesNewRoman" w:hAnsi="Times New Roman"/>
          <w:lang w:val="sk-SK"/>
        </w:rPr>
        <w:t xml:space="preserve"> 3</w:t>
      </w:r>
      <w:r w:rsidRPr="003C065E">
        <w:rPr>
          <w:rFonts w:ascii="Times New Roman" w:eastAsia="TimesNewRoman" w:hAnsi="Times New Roman"/>
          <w:lang w:val="sk-SK"/>
        </w:rPr>
        <w:t xml:space="preserve"> </w:t>
      </w:r>
      <w:r w:rsidR="00925566" w:rsidRPr="003C065E">
        <w:rPr>
          <w:rFonts w:ascii="Times New Roman" w:eastAsia="TimesNewRoman" w:hAnsi="Times New Roman"/>
          <w:lang w:val="sk-SK"/>
        </w:rPr>
        <w:t>(</w:t>
      </w:r>
      <w:r w:rsidRPr="003C065E">
        <w:rPr>
          <w:rFonts w:ascii="Times New Roman" w:eastAsia="TimesNewRoman" w:hAnsi="Times New Roman"/>
          <w:lang w:val="sk-SK"/>
        </w:rPr>
        <w:t>0,9%</w:t>
      </w:r>
      <w:r w:rsidR="00925566" w:rsidRPr="003C065E">
        <w:rPr>
          <w:rFonts w:ascii="Times New Roman" w:eastAsia="TimesNewRoman" w:hAnsi="Times New Roman"/>
          <w:lang w:val="sk-SK"/>
        </w:rPr>
        <w:t>)</w:t>
      </w:r>
      <w:r w:rsidRPr="003C065E">
        <w:rPr>
          <w:rFonts w:ascii="Times New Roman" w:eastAsia="TimesNewRoman" w:hAnsi="Times New Roman"/>
          <w:lang w:val="sk-SK"/>
        </w:rPr>
        <w:t xml:space="preserve">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dostávajúcich fulvestrant v</w:t>
      </w:r>
      <w:r w:rsidR="00925566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kombinácii</w:t>
      </w:r>
      <w:r w:rsidR="0092556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s palbociklibom.</w:t>
      </w:r>
    </w:p>
    <w:p w14:paraId="5EB81060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6592DE8" w14:textId="77777777" w:rsidR="00417AB0" w:rsidRPr="003C065E" w:rsidRDefault="00417AB0" w:rsidP="00417AB0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Hlásenie podozrení na nežiaduce reakcie</w:t>
      </w:r>
    </w:p>
    <w:p w14:paraId="364300DD" w14:textId="77777777" w:rsidR="00417AB0" w:rsidRPr="00EE7E27" w:rsidRDefault="00417AB0" w:rsidP="00417AB0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3C065E">
        <w:rPr>
          <w:rFonts w:ascii="Times New Roman" w:hAnsi="Times New Roman"/>
          <w:highlight w:val="lightGray"/>
          <w:lang w:val="sk-SK"/>
        </w:rPr>
        <w:t>národné centrum hlásenia uvedené v </w:t>
      </w:r>
      <w:hyperlink r:id="rId8" w:history="1">
        <w:r w:rsidRPr="003C065E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3C065E">
        <w:rPr>
          <w:rFonts w:ascii="Times New Roman" w:hAnsi="Times New Roman"/>
          <w:lang w:val="sk-SK"/>
        </w:rPr>
        <w:t>.</w:t>
      </w:r>
    </w:p>
    <w:p w14:paraId="007C2D93" w14:textId="51BF05E9" w:rsidR="003B04B4" w:rsidRPr="0028207B" w:rsidRDefault="003B04B4">
      <w:pPr>
        <w:rPr>
          <w:lang w:val="sk-SK"/>
        </w:rPr>
      </w:pPr>
    </w:p>
    <w:p w14:paraId="03406798" w14:textId="77777777" w:rsidR="00E65EE1" w:rsidRPr="003C065E" w:rsidRDefault="00E65EE1" w:rsidP="00E65EE1">
      <w:pPr>
        <w:pStyle w:val="Odsekzoznamu"/>
        <w:numPr>
          <w:ilvl w:val="1"/>
          <w:numId w:val="7"/>
        </w:numPr>
        <w:spacing w:after="0" w:line="240" w:lineRule="auto"/>
        <w:ind w:left="340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    Predávkovanie</w:t>
      </w:r>
    </w:p>
    <w:p w14:paraId="58D2E11F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D13573B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Sú známe jednotlivé hlásenia predávkovania fulvestrantom u ľudí. V prípade predávkovania sa</w:t>
      </w:r>
    </w:p>
    <w:p w14:paraId="5A062B4E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odporúča symptomatická podporná liečba. Štúdie na zvieratách udávajú, že okrem účinkov priamo</w:t>
      </w:r>
    </w:p>
    <w:p w14:paraId="39B82401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alebo nepriamo spojených s antiestrogénnou aktivitou, sa pri vyšších dávkach fulvestrantu</w:t>
      </w:r>
    </w:p>
    <w:p w14:paraId="684A1DF1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nepreukázali žiadne iné účinky (pozri časť 5.3).</w:t>
      </w:r>
    </w:p>
    <w:p w14:paraId="7E6B8FBF" w14:textId="77777777" w:rsidR="00E65EE1" w:rsidRPr="003C065E" w:rsidRDefault="00E65EE1" w:rsidP="00E65EE1">
      <w:pPr>
        <w:spacing w:after="0" w:line="240" w:lineRule="auto"/>
        <w:contextualSpacing/>
        <w:rPr>
          <w:rFonts w:ascii="TimesNewRoman" w:eastAsia="TimesNewRoman" w:cs="TimesNewRoman"/>
          <w:lang w:val="sk-SK"/>
        </w:rPr>
      </w:pPr>
    </w:p>
    <w:p w14:paraId="7F76937C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304FB0E" w14:textId="77777777" w:rsidR="00E65EE1" w:rsidRPr="003C065E" w:rsidRDefault="00E65EE1" w:rsidP="00E65EE1">
      <w:pPr>
        <w:pStyle w:val="Odsekzoznamu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FARMAKOLOGICKÉ VLASTNOSTI</w:t>
      </w:r>
    </w:p>
    <w:p w14:paraId="711FF710" w14:textId="77777777" w:rsidR="00E65EE1" w:rsidRPr="003C065E" w:rsidRDefault="00E65EE1" w:rsidP="00E65EE1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72561CBE" w14:textId="77777777" w:rsidR="00E65EE1" w:rsidRPr="003C065E" w:rsidRDefault="00E65EE1" w:rsidP="00E65EE1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5.1 </w:t>
      </w:r>
      <w:r w:rsidRPr="003C065E">
        <w:rPr>
          <w:rFonts w:ascii="Times New Roman" w:hAnsi="Times New Roman"/>
          <w:b/>
          <w:bCs/>
          <w:lang w:val="sk-SK"/>
        </w:rPr>
        <w:tab/>
        <w:t>Farmakodynamické vlastnosti</w:t>
      </w:r>
    </w:p>
    <w:p w14:paraId="6C99A692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5D98317D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Farmakoterapeutická skupina: Endokrinná liečba, antiestrogény, ATC kód: L02BA03</w:t>
      </w:r>
    </w:p>
    <w:p w14:paraId="32AF6B64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EB7B326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Mechanizmus účinku a farmakodynamické účinky</w:t>
      </w:r>
    </w:p>
    <w:p w14:paraId="386067C9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Fulvestrant je kompetitívny antagonista estrogénového receptora (ER) s afinitou porovnateľnou</w:t>
      </w:r>
    </w:p>
    <w:p w14:paraId="657A5F96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s estradiolom. Fulvestrant blokuje trofický účinok estrogénov bez akejkoľvek čiastočnej agonistickej</w:t>
      </w:r>
    </w:p>
    <w:p w14:paraId="22B1E7F8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(estrogénu podobnej) aktivity. Mechanizmus účinku je spojený s potlačením hladín proteínu</w:t>
      </w:r>
    </w:p>
    <w:p w14:paraId="1E1CCCD8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estrogénového receptora. </w:t>
      </w:r>
    </w:p>
    <w:p w14:paraId="51EB3357" w14:textId="191A24BA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Klinické skúšky u postmenopauzálnych žien s primárnym karcinómom prsníka preukázali, že fulvestrant významne znižuje hladinu proteínu ER v ER pozitívnych nádoroch v porovnaní s placebom. Taktiež sa pozorovalo významné zníženie expresie progesterónového receptora </w:t>
      </w:r>
      <w:r w:rsidRPr="00B36322">
        <w:rPr>
          <w:rFonts w:ascii="Times New Roman" w:hAnsi="Times New Roman"/>
          <w:lang w:val="sk-SK"/>
        </w:rPr>
        <w:t>v súlade  s chýbajúcim vnútorným agonistickým estrogénovým účinkom</w:t>
      </w:r>
      <w:r w:rsidR="00957933" w:rsidRPr="003C065E">
        <w:rPr>
          <w:rFonts w:ascii="Times New Roman" w:hAnsi="Times New Roman"/>
          <w:lang w:val="sk-SK"/>
        </w:rPr>
        <w:t>.</w:t>
      </w:r>
      <w:r w:rsidRPr="003C065E">
        <w:rPr>
          <w:rFonts w:ascii="Times New Roman" w:hAnsi="Times New Roman"/>
          <w:lang w:val="sk-SK"/>
        </w:rPr>
        <w:t xml:space="preserve"> Tiež sa preukázalo, že fulvestrant 500 mg znižuje počet ER a proliferáciu markeru Ki67, vo väčšej miere ako fulvestrant 250 mg v nádoroch prsníka v postmenopauzálnej neoadjuvantnej liečbe.</w:t>
      </w:r>
    </w:p>
    <w:p w14:paraId="471D6546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F96BFED" w14:textId="64A20000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 xml:space="preserve">Klinická </w:t>
      </w:r>
      <w:r w:rsidR="00F02021">
        <w:rPr>
          <w:rFonts w:ascii="Times New Roman" w:hAnsi="Times New Roman"/>
          <w:u w:val="single"/>
          <w:lang w:val="sk-SK"/>
        </w:rPr>
        <w:t xml:space="preserve">účinnosť a </w:t>
      </w:r>
      <w:r w:rsidRPr="003C065E">
        <w:rPr>
          <w:rFonts w:ascii="Times New Roman" w:hAnsi="Times New Roman"/>
          <w:u w:val="single"/>
          <w:lang w:val="sk-SK"/>
        </w:rPr>
        <w:t>bezpečnosť pri pokročilom karcinóme prsníka</w:t>
      </w:r>
    </w:p>
    <w:p w14:paraId="654DC1D5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i/>
          <w:lang w:val="sk-SK"/>
        </w:rPr>
      </w:pPr>
      <w:r w:rsidRPr="003C065E">
        <w:rPr>
          <w:rFonts w:ascii="Times New Roman" w:hAnsi="Times New Roman"/>
          <w:i/>
          <w:lang w:val="sk-SK"/>
        </w:rPr>
        <w:t>Monoterapia</w:t>
      </w:r>
    </w:p>
    <w:p w14:paraId="7312074E" w14:textId="576668A9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Klinickú štúdiu fázy </w:t>
      </w:r>
      <w:r w:rsidR="0030494F" w:rsidRPr="003C065E">
        <w:rPr>
          <w:rFonts w:ascii="Times New Roman" w:hAnsi="Times New Roman"/>
          <w:lang w:val="sk-SK"/>
        </w:rPr>
        <w:t>3</w:t>
      </w:r>
      <w:r w:rsidRPr="003C065E">
        <w:rPr>
          <w:rFonts w:ascii="Times New Roman" w:hAnsi="Times New Roman"/>
          <w:lang w:val="sk-SK"/>
        </w:rPr>
        <w:t xml:space="preserve"> ukončilo 736 postmenopauzálnych žien s pokročilým karcinómom prsníka,</w:t>
      </w:r>
    </w:p>
    <w:p w14:paraId="15AF3001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ktoré mali rekurenciu ochorenia počas alebo po adjuvantnej endokrinnej liečbe alebo progresii</w:t>
      </w:r>
    </w:p>
    <w:p w14:paraId="6F99BCD1" w14:textId="0ED7E63C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následnej endokrinnej liečby pokročilého ochorenia. Štúdia zahŕňala 423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>k</w:t>
      </w:r>
      <w:r w:rsidRPr="003C065E">
        <w:rPr>
          <w:rFonts w:ascii="Times New Roman" w:hAnsi="Times New Roman"/>
          <w:lang w:val="sk-SK"/>
        </w:rPr>
        <w:t>, ktor</w:t>
      </w:r>
      <w:r w:rsidR="0030494F" w:rsidRPr="003C065E">
        <w:rPr>
          <w:rFonts w:ascii="Times New Roman" w:hAnsi="Times New Roman"/>
          <w:lang w:val="sk-SK"/>
        </w:rPr>
        <w:t>é</w:t>
      </w:r>
      <w:r w:rsidRPr="003C065E">
        <w:rPr>
          <w:rFonts w:ascii="Times New Roman" w:hAnsi="Times New Roman"/>
          <w:lang w:val="sk-SK"/>
        </w:rPr>
        <w:t xml:space="preserve"> recidivovali</w:t>
      </w:r>
      <w:r w:rsidR="002D1E98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 xml:space="preserve">alebo mali progresiu počas antiestrogénnej liečby (AE podskupina) a 313 </w:t>
      </w:r>
      <w:r w:rsidR="003F5D5F" w:rsidRPr="003C065E">
        <w:rPr>
          <w:rFonts w:ascii="Times New Roman" w:hAnsi="Times New Roman"/>
          <w:lang w:val="sk-SK"/>
        </w:rPr>
        <w:t>pacient</w:t>
      </w:r>
      <w:r w:rsidR="003F5D5F">
        <w:rPr>
          <w:rFonts w:ascii="Times New Roman" w:hAnsi="Times New Roman"/>
          <w:lang w:val="sk-SK"/>
        </w:rPr>
        <w:t>o</w:t>
      </w:r>
      <w:r w:rsidR="003F5D5F" w:rsidRPr="003C065E">
        <w:rPr>
          <w:rFonts w:ascii="Times New Roman" w:hAnsi="Times New Roman"/>
          <w:lang w:val="sk-SK"/>
        </w:rPr>
        <w:t>k</w:t>
      </w:r>
      <w:r w:rsidRPr="003C065E">
        <w:rPr>
          <w:rFonts w:ascii="Times New Roman" w:hAnsi="Times New Roman"/>
          <w:lang w:val="sk-SK"/>
        </w:rPr>
        <w:t>, ktor</w:t>
      </w:r>
      <w:r w:rsidR="0030494F" w:rsidRPr="003C065E">
        <w:rPr>
          <w:rFonts w:ascii="Times New Roman" w:hAnsi="Times New Roman"/>
          <w:lang w:val="sk-SK"/>
        </w:rPr>
        <w:t xml:space="preserve">é </w:t>
      </w:r>
      <w:r w:rsidRPr="003C065E">
        <w:rPr>
          <w:rFonts w:ascii="Times New Roman" w:hAnsi="Times New Roman"/>
          <w:lang w:val="sk-SK"/>
        </w:rPr>
        <w:t>recidivovali</w:t>
      </w:r>
      <w:r w:rsidR="0030494F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alebo mali progresiu počas liečby inhibítorom aromatázy (AI podskupina). Táto štúdia porovnávala</w:t>
      </w:r>
      <w:r w:rsidR="0030494F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účinnosť a bezpečnosť fulvestrantu 500 mg (n=362) s fulvestrantom 250 mg (n=374). Prežitie bez progresie (Progression-free survival,</w:t>
      </w:r>
      <w:r w:rsidR="0030494F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 xml:space="preserve">PFS) bolo primárnym cieľom, kľúčové sekundárne ciele </w:t>
      </w:r>
      <w:r w:rsidR="0064283C">
        <w:rPr>
          <w:rFonts w:ascii="Times New Roman" w:hAnsi="Times New Roman"/>
          <w:lang w:val="sk-SK"/>
        </w:rPr>
        <w:t>účinnosti</w:t>
      </w:r>
      <w:r w:rsidRPr="003C065E">
        <w:rPr>
          <w:rFonts w:ascii="Times New Roman" w:hAnsi="Times New Roman"/>
          <w:lang w:val="sk-SK"/>
        </w:rPr>
        <w:t xml:space="preserve"> zahŕňali objektívnu mieru</w:t>
      </w:r>
      <w:r w:rsidR="0030494F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odpovede (objective response rate, ORR), mieru klinického úžitku (clinical benefit rate, CBR)</w:t>
      </w:r>
      <w:r w:rsidR="0030494F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a celkové prežívanie (overall survival, OS). Výsledky účinnosti pre CONFIRM štúdiu sú zhrnuté v tabuľke 3.</w:t>
      </w:r>
    </w:p>
    <w:p w14:paraId="77ED7E5B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8269016" w14:textId="78F0A695" w:rsidR="00E65EE1" w:rsidRPr="003C065E" w:rsidRDefault="00E65EE1" w:rsidP="00957933">
      <w:pPr>
        <w:spacing w:after="0" w:line="240" w:lineRule="auto"/>
        <w:ind w:left="1701" w:hanging="1701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Tabuľka 3 </w:t>
      </w:r>
      <w:r w:rsidRPr="003C065E">
        <w:rPr>
          <w:rFonts w:ascii="Times New Roman" w:hAnsi="Times New Roman"/>
          <w:b/>
          <w:bCs/>
          <w:lang w:val="sk-SK"/>
        </w:rPr>
        <w:tab/>
        <w:t>Prehľad výsledkov primárneho cieľa účinnosti (PFS - primary efficacy</w:t>
      </w:r>
      <w:r w:rsidR="003E583E" w:rsidRPr="003C065E">
        <w:rPr>
          <w:rFonts w:ascii="Times New Roman" w:hAnsi="Times New Roman"/>
          <w:b/>
          <w:bCs/>
          <w:lang w:val="sk-SK"/>
        </w:rPr>
        <w:t xml:space="preserve"> </w:t>
      </w:r>
      <w:r w:rsidRPr="003C065E">
        <w:rPr>
          <w:rFonts w:ascii="Times New Roman" w:hAnsi="Times New Roman"/>
          <w:b/>
          <w:bCs/>
          <w:lang w:val="sk-SK"/>
        </w:rPr>
        <w:t>endpoint)</w:t>
      </w:r>
      <w:r w:rsidR="00957933" w:rsidRPr="003C065E">
        <w:rPr>
          <w:rFonts w:ascii="Times New Roman" w:hAnsi="Times New Roman"/>
          <w:b/>
          <w:bCs/>
          <w:lang w:val="sk-SK"/>
        </w:rPr>
        <w:t xml:space="preserve"> </w:t>
      </w:r>
      <w:r w:rsidRPr="003C065E">
        <w:rPr>
          <w:rFonts w:ascii="Times New Roman" w:hAnsi="Times New Roman"/>
          <w:b/>
          <w:bCs/>
          <w:lang w:val="sk-SK"/>
        </w:rPr>
        <w:t>a kľúčových sekundárnych cieľov účinnosti v štúdii CONFIRM</w:t>
      </w:r>
    </w:p>
    <w:p w14:paraId="40294A7E" w14:textId="3DCCCB47" w:rsidR="00957933" w:rsidRPr="003C065E" w:rsidRDefault="00957933" w:rsidP="00957933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tbl>
      <w:tblPr>
        <w:tblW w:w="51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1"/>
        <w:gridCol w:w="1423"/>
        <w:gridCol w:w="1263"/>
        <w:gridCol w:w="1263"/>
        <w:gridCol w:w="1263"/>
        <w:gridCol w:w="1263"/>
        <w:gridCol w:w="1259"/>
      </w:tblGrid>
      <w:tr w:rsidR="00E65EE1" w:rsidRPr="003C065E" w14:paraId="41E37431" w14:textId="77777777" w:rsidTr="00136856">
        <w:trPr>
          <w:tblCellSpacing w:w="0" w:type="dxa"/>
        </w:trPr>
        <w:tc>
          <w:tcPr>
            <w:tcW w:w="879" w:type="pct"/>
            <w:vMerge w:val="restart"/>
            <w:tcBorders>
              <w:top w:val="single" w:sz="12" w:space="0" w:color="auto"/>
            </w:tcBorders>
            <w:hideMark/>
          </w:tcPr>
          <w:p w14:paraId="2A728E1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tcBorders>
              <w:top w:val="single" w:sz="12" w:space="0" w:color="auto"/>
            </w:tcBorders>
            <w:hideMark/>
          </w:tcPr>
          <w:p w14:paraId="07C2942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Typ odhadu;</w:t>
            </w:r>
          </w:p>
          <w:p w14:paraId="4EBA56B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porovnanie</w:t>
            </w:r>
          </w:p>
          <w:p w14:paraId="5D9C727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tcBorders>
              <w:top w:val="single" w:sz="12" w:space="0" w:color="auto"/>
            </w:tcBorders>
            <w:hideMark/>
          </w:tcPr>
          <w:p w14:paraId="55DFC82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fulvestrant 500 mg</w:t>
            </w: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050E24E3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(N=362)</w:t>
            </w:r>
          </w:p>
        </w:tc>
        <w:tc>
          <w:tcPr>
            <w:tcW w:w="673" w:type="pct"/>
            <w:vMerge w:val="restart"/>
            <w:tcBorders>
              <w:top w:val="single" w:sz="12" w:space="0" w:color="auto"/>
            </w:tcBorders>
            <w:hideMark/>
          </w:tcPr>
          <w:p w14:paraId="0AA9CC18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fulvestrant 250 mg</w:t>
            </w: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2F076DF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(N=374)</w:t>
            </w:r>
          </w:p>
        </w:tc>
        <w:tc>
          <w:tcPr>
            <w:tcW w:w="2017" w:type="pct"/>
            <w:gridSpan w:val="3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B126DE1" w14:textId="77777777" w:rsidR="00E65EE1" w:rsidRPr="003C065E" w:rsidRDefault="00E65EE1" w:rsidP="00D145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Porovnanie medzi skupinami</w:t>
            </w:r>
          </w:p>
          <w:p w14:paraId="1D0E1FB7" w14:textId="6C32D763" w:rsidR="00E65EE1" w:rsidRPr="003C065E" w:rsidRDefault="00E65EE1" w:rsidP="00D145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(fulvestrant 500 mg</w:t>
            </w:r>
            <w:r w:rsidR="0086358E"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/fulvestrant 250 mg)</w:t>
            </w:r>
          </w:p>
        </w:tc>
      </w:tr>
      <w:tr w:rsidR="00E65EE1" w:rsidRPr="003C065E" w14:paraId="2F2E2E02" w14:textId="77777777" w:rsidTr="00584C27">
        <w:trPr>
          <w:trHeight w:val="497"/>
          <w:tblCellSpacing w:w="0" w:type="dxa"/>
        </w:trPr>
        <w:tc>
          <w:tcPr>
            <w:tcW w:w="879" w:type="pct"/>
            <w:vMerge/>
            <w:vAlign w:val="center"/>
            <w:hideMark/>
          </w:tcPr>
          <w:p w14:paraId="4DED44E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14:paraId="227A431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6CA10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6A2A96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5CF09A4D" w14:textId="40BBAC39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Hazard </w:t>
            </w:r>
            <w:r w:rsidR="00904347"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br/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155C65B3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95% CI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14B642D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p-hodnota</w:t>
            </w:r>
          </w:p>
        </w:tc>
      </w:tr>
      <w:tr w:rsidR="00E65EE1" w:rsidRPr="003C065E" w14:paraId="0B3A4B84" w14:textId="77777777" w:rsidTr="00584C27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19A7D3A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PFS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566F67BD" w14:textId="5D2C6E46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K</w:t>
            </w:r>
            <w:r w:rsidR="00CB0D49"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-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M medián v mesiacoch;</w:t>
            </w:r>
          </w:p>
          <w:p w14:paraId="0AEB8EB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hazard 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09CF8A4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9F99B2A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7C2896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D1D1019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5EFF826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4FF62AEC" w14:textId="77777777" w:rsidTr="00584C27">
        <w:trPr>
          <w:tblCellSpacing w:w="0" w:type="dxa"/>
        </w:trPr>
        <w:tc>
          <w:tcPr>
            <w:tcW w:w="1637" w:type="pct"/>
            <w:gridSpan w:val="2"/>
            <w:hideMark/>
          </w:tcPr>
          <w:p w14:paraId="566FACD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14:paraId="1547970B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6,5</w:t>
            </w:r>
          </w:p>
        </w:tc>
        <w:tc>
          <w:tcPr>
            <w:tcW w:w="673" w:type="pct"/>
            <w:hideMark/>
          </w:tcPr>
          <w:p w14:paraId="767A450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5,5</w:t>
            </w:r>
          </w:p>
        </w:tc>
        <w:tc>
          <w:tcPr>
            <w:tcW w:w="673" w:type="pct"/>
            <w:hideMark/>
          </w:tcPr>
          <w:p w14:paraId="4BB71B0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0,80</w:t>
            </w:r>
          </w:p>
        </w:tc>
        <w:tc>
          <w:tcPr>
            <w:tcW w:w="673" w:type="pct"/>
            <w:hideMark/>
          </w:tcPr>
          <w:p w14:paraId="4A957ECA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0,68; 0,94</w:t>
            </w:r>
          </w:p>
        </w:tc>
        <w:tc>
          <w:tcPr>
            <w:tcW w:w="671" w:type="pct"/>
            <w:hideMark/>
          </w:tcPr>
          <w:p w14:paraId="642DE6A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0,006</w:t>
            </w:r>
          </w:p>
        </w:tc>
      </w:tr>
      <w:tr w:rsidR="00E65EE1" w:rsidRPr="003C065E" w14:paraId="03E7FD9A" w14:textId="77777777" w:rsidTr="00584C27">
        <w:trPr>
          <w:tblCellSpacing w:w="0" w:type="dxa"/>
        </w:trPr>
        <w:tc>
          <w:tcPr>
            <w:tcW w:w="1637" w:type="pct"/>
            <w:gridSpan w:val="2"/>
            <w:hideMark/>
          </w:tcPr>
          <w:p w14:paraId="31D9778D" w14:textId="77777777" w:rsidR="00E65EE1" w:rsidRPr="006330DA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EE7E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  (n=423)</w:t>
            </w:r>
          </w:p>
        </w:tc>
        <w:tc>
          <w:tcPr>
            <w:tcW w:w="673" w:type="pct"/>
            <w:hideMark/>
          </w:tcPr>
          <w:p w14:paraId="7ECC319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8,6</w:t>
            </w:r>
          </w:p>
        </w:tc>
        <w:tc>
          <w:tcPr>
            <w:tcW w:w="673" w:type="pct"/>
            <w:hideMark/>
          </w:tcPr>
          <w:p w14:paraId="7A965D3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5,8</w:t>
            </w:r>
          </w:p>
        </w:tc>
        <w:tc>
          <w:tcPr>
            <w:tcW w:w="673" w:type="pct"/>
            <w:hideMark/>
          </w:tcPr>
          <w:p w14:paraId="7583FE2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0,76</w:t>
            </w:r>
          </w:p>
        </w:tc>
        <w:tc>
          <w:tcPr>
            <w:tcW w:w="673" w:type="pct"/>
            <w:hideMark/>
          </w:tcPr>
          <w:p w14:paraId="63B9BD9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0,62; 0,94</w:t>
            </w:r>
          </w:p>
        </w:tc>
        <w:tc>
          <w:tcPr>
            <w:tcW w:w="671" w:type="pct"/>
            <w:hideMark/>
          </w:tcPr>
          <w:p w14:paraId="67AA1B58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0,013</w:t>
            </w:r>
          </w:p>
        </w:tc>
      </w:tr>
      <w:tr w:rsidR="00E65EE1" w:rsidRPr="003C065E" w14:paraId="3D6D80A1" w14:textId="77777777" w:rsidTr="00584C27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75F8AF5E" w14:textId="77777777" w:rsidR="00E65EE1" w:rsidRPr="006330DA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EE7E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   (n=313)</w:t>
            </w:r>
            <w:r w:rsidRPr="006330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06CB2B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5,4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45110334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4,1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8B4AAD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0,85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60C03B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0,67; 1,08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15F6F04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0,195</w:t>
            </w:r>
          </w:p>
        </w:tc>
      </w:tr>
      <w:tr w:rsidR="00E65EE1" w:rsidRPr="003C065E" w14:paraId="6D275EE6" w14:textId="77777777" w:rsidTr="00CA3CC2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2CEC8558" w14:textId="77777777" w:rsidR="00E65EE1" w:rsidRPr="00EE7E27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OS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b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08C4472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K-M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medián v</w:t>
            </w:r>
          </w:p>
          <w:p w14:paraId="6CEB6AC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mesiacoch; 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hazard ratio</w:t>
            </w: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1E6B4D0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1577A499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29F22FE4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4B23FB0B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3E62BE3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403CAFAD" w14:textId="77777777" w:rsidTr="00584C27">
        <w:trPr>
          <w:tblCellSpacing w:w="0" w:type="dxa"/>
        </w:trPr>
        <w:tc>
          <w:tcPr>
            <w:tcW w:w="879" w:type="pct"/>
            <w:hideMark/>
          </w:tcPr>
          <w:p w14:paraId="1A709C7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Všetci pacienti</w:t>
            </w:r>
          </w:p>
        </w:tc>
        <w:tc>
          <w:tcPr>
            <w:tcW w:w="758" w:type="pct"/>
            <w:hideMark/>
          </w:tcPr>
          <w:p w14:paraId="6D300F7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67CF5BCB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26,4 </w:t>
            </w:r>
          </w:p>
        </w:tc>
        <w:tc>
          <w:tcPr>
            <w:tcW w:w="673" w:type="pct"/>
            <w:hideMark/>
          </w:tcPr>
          <w:p w14:paraId="190160E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22,3 </w:t>
            </w:r>
          </w:p>
        </w:tc>
        <w:tc>
          <w:tcPr>
            <w:tcW w:w="673" w:type="pct"/>
            <w:hideMark/>
          </w:tcPr>
          <w:p w14:paraId="64EE3AF4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0,81 </w:t>
            </w:r>
          </w:p>
        </w:tc>
        <w:tc>
          <w:tcPr>
            <w:tcW w:w="673" w:type="pct"/>
            <w:hideMark/>
          </w:tcPr>
          <w:p w14:paraId="22588AB8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0,69; 0,96 </w:t>
            </w:r>
          </w:p>
        </w:tc>
        <w:tc>
          <w:tcPr>
            <w:tcW w:w="671" w:type="pct"/>
            <w:hideMark/>
          </w:tcPr>
          <w:p w14:paraId="39CE73C9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0,016</w:t>
            </w:r>
            <w:r w:rsidRPr="003C065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E65EE1" w:rsidRPr="003C065E" w14:paraId="398A9E4E" w14:textId="77777777" w:rsidTr="00584C27">
        <w:trPr>
          <w:tblCellSpacing w:w="0" w:type="dxa"/>
        </w:trPr>
        <w:tc>
          <w:tcPr>
            <w:tcW w:w="1637" w:type="pct"/>
            <w:gridSpan w:val="2"/>
            <w:hideMark/>
          </w:tcPr>
          <w:p w14:paraId="732C4886" w14:textId="77777777" w:rsidR="00E65EE1" w:rsidRPr="00EE7E27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04E7443B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30,6 </w:t>
            </w:r>
          </w:p>
        </w:tc>
        <w:tc>
          <w:tcPr>
            <w:tcW w:w="673" w:type="pct"/>
            <w:hideMark/>
          </w:tcPr>
          <w:p w14:paraId="37312F2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23,9 </w:t>
            </w:r>
          </w:p>
        </w:tc>
        <w:tc>
          <w:tcPr>
            <w:tcW w:w="673" w:type="pct"/>
            <w:hideMark/>
          </w:tcPr>
          <w:p w14:paraId="74EB9D79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0,79 </w:t>
            </w:r>
          </w:p>
        </w:tc>
        <w:tc>
          <w:tcPr>
            <w:tcW w:w="673" w:type="pct"/>
            <w:hideMark/>
          </w:tcPr>
          <w:p w14:paraId="0E0519C8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0,63; 0,99 </w:t>
            </w:r>
          </w:p>
        </w:tc>
        <w:tc>
          <w:tcPr>
            <w:tcW w:w="671" w:type="pct"/>
            <w:hideMark/>
          </w:tcPr>
          <w:p w14:paraId="74BAB3A4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0,038</w:t>
            </w:r>
            <w:r w:rsidRPr="003C065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E65EE1" w:rsidRPr="003C065E" w14:paraId="056927B7" w14:textId="77777777" w:rsidTr="00CA3CC2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15E7D667" w14:textId="77777777" w:rsidR="00E65EE1" w:rsidRPr="006330DA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EE7E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A18EC8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24,1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9360ED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20,8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9E34EC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0,86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4052F75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0,67; 1,11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49E8DCB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0,241</w:t>
            </w:r>
            <w:r w:rsidRPr="003C065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E65EE1" w:rsidRPr="003C065E" w14:paraId="2139D35A" w14:textId="77777777" w:rsidTr="00490630">
        <w:trPr>
          <w:tblCellSpacing w:w="0" w:type="dxa"/>
        </w:trPr>
        <w:tc>
          <w:tcPr>
            <w:tcW w:w="879" w:type="pct"/>
            <w:vMerge w:val="restart"/>
            <w:tcBorders>
              <w:top w:val="single" w:sz="4" w:space="0" w:color="auto"/>
            </w:tcBorders>
            <w:hideMark/>
          </w:tcPr>
          <w:p w14:paraId="2E253DE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</w:tcBorders>
            <w:hideMark/>
          </w:tcPr>
          <w:p w14:paraId="65C5412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Typ odhadu;</w:t>
            </w:r>
          </w:p>
          <w:p w14:paraId="5B624F43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lastRenderedPageBreak/>
              <w:t>porovnanie</w:t>
            </w:r>
          </w:p>
          <w:p w14:paraId="6587971A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1DBCB184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 xml:space="preserve">fulvestrant 500 mg </w:t>
            </w:r>
          </w:p>
          <w:p w14:paraId="6AF2CC19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(N=362) 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7F8CCF4B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fulvestrant 250 mg </w:t>
            </w:r>
          </w:p>
          <w:p w14:paraId="57F965F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(N=374) 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5C94FA2" w14:textId="77777777" w:rsidR="00E65EE1" w:rsidRPr="003C065E" w:rsidRDefault="00E65EE1" w:rsidP="00D145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Porovnanie medzi skupinami</w:t>
            </w:r>
          </w:p>
          <w:p w14:paraId="6700B558" w14:textId="757DE1A7" w:rsidR="00E65EE1" w:rsidRPr="003C065E" w:rsidRDefault="00E65EE1" w:rsidP="00D145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(fulvestrant 500 mg</w:t>
            </w:r>
            <w:r w:rsidR="0086358E"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/fulvestrant 250 mg)</w:t>
            </w:r>
          </w:p>
        </w:tc>
      </w:tr>
      <w:tr w:rsidR="00E65EE1" w:rsidRPr="003C065E" w14:paraId="06239DC5" w14:textId="77777777" w:rsidTr="00584C27">
        <w:trPr>
          <w:tblCellSpacing w:w="0" w:type="dxa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6DEA2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BBC3F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7758A0C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1E1C12C3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608860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Absolútny rozdiel v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00B77F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95% CI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53051C83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23D9FE2C" w14:textId="77777777" w:rsidTr="00CA3CC2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1F6836F4" w14:textId="77777777" w:rsidR="00E65EE1" w:rsidRPr="00EE7E27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ORR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d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7C1104C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%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pacientov s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OR;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absolútny</w:t>
            </w:r>
          </w:p>
          <w:p w14:paraId="33F24EB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rozdiel v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%</w:t>
            </w: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1C1BFE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30EB03F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4302E8E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61AEA4A9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03EFDC1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2071C94E" w14:textId="77777777" w:rsidTr="00584C27">
        <w:trPr>
          <w:tblCellSpacing w:w="0" w:type="dxa"/>
        </w:trPr>
        <w:tc>
          <w:tcPr>
            <w:tcW w:w="1637" w:type="pct"/>
            <w:gridSpan w:val="2"/>
            <w:hideMark/>
          </w:tcPr>
          <w:p w14:paraId="7CF8A5D6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14:paraId="69FF0A5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13,8 </w:t>
            </w:r>
          </w:p>
        </w:tc>
        <w:tc>
          <w:tcPr>
            <w:tcW w:w="673" w:type="pct"/>
            <w:hideMark/>
          </w:tcPr>
          <w:p w14:paraId="783D62E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14,6 </w:t>
            </w:r>
          </w:p>
        </w:tc>
        <w:tc>
          <w:tcPr>
            <w:tcW w:w="673" w:type="pct"/>
            <w:hideMark/>
          </w:tcPr>
          <w:p w14:paraId="660939C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-0,8 </w:t>
            </w:r>
          </w:p>
        </w:tc>
        <w:tc>
          <w:tcPr>
            <w:tcW w:w="673" w:type="pct"/>
            <w:hideMark/>
          </w:tcPr>
          <w:p w14:paraId="0AFB3256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-5,8; 6,3 </w:t>
            </w:r>
          </w:p>
        </w:tc>
        <w:tc>
          <w:tcPr>
            <w:tcW w:w="671" w:type="pct"/>
            <w:hideMark/>
          </w:tcPr>
          <w:p w14:paraId="61C6BDF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1FA0FE0F" w14:textId="77777777" w:rsidTr="00584C27">
        <w:trPr>
          <w:tblCellSpacing w:w="0" w:type="dxa"/>
        </w:trPr>
        <w:tc>
          <w:tcPr>
            <w:tcW w:w="1637" w:type="pct"/>
            <w:gridSpan w:val="2"/>
            <w:hideMark/>
          </w:tcPr>
          <w:p w14:paraId="48446763" w14:textId="77777777" w:rsidR="00E65EE1" w:rsidRPr="006330DA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EE7E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(n=296) </w:t>
            </w:r>
          </w:p>
        </w:tc>
        <w:tc>
          <w:tcPr>
            <w:tcW w:w="673" w:type="pct"/>
            <w:hideMark/>
          </w:tcPr>
          <w:p w14:paraId="033F27B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18,1 </w:t>
            </w:r>
          </w:p>
        </w:tc>
        <w:tc>
          <w:tcPr>
            <w:tcW w:w="673" w:type="pct"/>
            <w:hideMark/>
          </w:tcPr>
          <w:p w14:paraId="28E28C44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19,1 </w:t>
            </w:r>
          </w:p>
        </w:tc>
        <w:tc>
          <w:tcPr>
            <w:tcW w:w="673" w:type="pct"/>
            <w:hideMark/>
          </w:tcPr>
          <w:p w14:paraId="162BD3D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-1,0 </w:t>
            </w:r>
          </w:p>
        </w:tc>
        <w:tc>
          <w:tcPr>
            <w:tcW w:w="673" w:type="pct"/>
            <w:hideMark/>
          </w:tcPr>
          <w:p w14:paraId="2A69AB8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-8,2; 9,3 </w:t>
            </w:r>
          </w:p>
        </w:tc>
        <w:tc>
          <w:tcPr>
            <w:tcW w:w="671" w:type="pct"/>
            <w:hideMark/>
          </w:tcPr>
          <w:p w14:paraId="32E53EA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1F14ECA3" w14:textId="77777777" w:rsidTr="00584C27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7E3F4F2D" w14:textId="77777777" w:rsidR="00E65EE1" w:rsidRPr="006330DA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EE7E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(n=205)</w:t>
            </w:r>
            <w:r w:rsidRPr="006330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DCD675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7,3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C03118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8,3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CC56C53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-1,0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CD969A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-5,5; 9,8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0BB7A3D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6F5AE618" w14:textId="77777777" w:rsidTr="00092DD4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00C6DCEB" w14:textId="77777777" w:rsidR="00E65EE1" w:rsidRPr="00EE7E27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>CBR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e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6815E39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%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pacientov s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CB;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absolútny</w:t>
            </w:r>
          </w:p>
          <w:p w14:paraId="2AC8BE8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rozdiel v</w:t>
            </w: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241CF2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61B40485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521E52E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06074E3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3F710F0B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5BD77361" w14:textId="77777777" w:rsidTr="00584C27">
        <w:trPr>
          <w:tblCellSpacing w:w="0" w:type="dxa"/>
        </w:trPr>
        <w:tc>
          <w:tcPr>
            <w:tcW w:w="879" w:type="pct"/>
            <w:hideMark/>
          </w:tcPr>
          <w:p w14:paraId="0D3A236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Všetci pacienti</w:t>
            </w:r>
          </w:p>
        </w:tc>
        <w:tc>
          <w:tcPr>
            <w:tcW w:w="758" w:type="pct"/>
            <w:hideMark/>
          </w:tcPr>
          <w:p w14:paraId="0A6CE37D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0E5FE75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45,6 </w:t>
            </w:r>
          </w:p>
        </w:tc>
        <w:tc>
          <w:tcPr>
            <w:tcW w:w="673" w:type="pct"/>
            <w:hideMark/>
          </w:tcPr>
          <w:p w14:paraId="1039A4A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39,6 </w:t>
            </w:r>
          </w:p>
        </w:tc>
        <w:tc>
          <w:tcPr>
            <w:tcW w:w="673" w:type="pct"/>
            <w:hideMark/>
          </w:tcPr>
          <w:p w14:paraId="0E6F7F08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6,0 </w:t>
            </w:r>
          </w:p>
        </w:tc>
        <w:tc>
          <w:tcPr>
            <w:tcW w:w="673" w:type="pct"/>
            <w:hideMark/>
          </w:tcPr>
          <w:p w14:paraId="666904E2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-1,1; 13,3 </w:t>
            </w:r>
          </w:p>
        </w:tc>
        <w:tc>
          <w:tcPr>
            <w:tcW w:w="671" w:type="pct"/>
            <w:hideMark/>
          </w:tcPr>
          <w:p w14:paraId="65ED4E08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72195492" w14:textId="77777777" w:rsidTr="00584C27">
        <w:trPr>
          <w:tblCellSpacing w:w="0" w:type="dxa"/>
        </w:trPr>
        <w:tc>
          <w:tcPr>
            <w:tcW w:w="1637" w:type="pct"/>
            <w:gridSpan w:val="2"/>
            <w:hideMark/>
          </w:tcPr>
          <w:p w14:paraId="73722E58" w14:textId="77777777" w:rsidR="00E65EE1" w:rsidRPr="006330DA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EE7E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7E68EB9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52,4 </w:t>
            </w:r>
          </w:p>
        </w:tc>
        <w:tc>
          <w:tcPr>
            <w:tcW w:w="673" w:type="pct"/>
            <w:hideMark/>
          </w:tcPr>
          <w:p w14:paraId="1A21EE6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45,1 </w:t>
            </w:r>
          </w:p>
        </w:tc>
        <w:tc>
          <w:tcPr>
            <w:tcW w:w="673" w:type="pct"/>
            <w:hideMark/>
          </w:tcPr>
          <w:p w14:paraId="22C4697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7,3 </w:t>
            </w:r>
          </w:p>
        </w:tc>
        <w:tc>
          <w:tcPr>
            <w:tcW w:w="673" w:type="pct"/>
            <w:hideMark/>
          </w:tcPr>
          <w:p w14:paraId="640FF2D1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-2,2; 16,6 </w:t>
            </w:r>
          </w:p>
        </w:tc>
        <w:tc>
          <w:tcPr>
            <w:tcW w:w="671" w:type="pct"/>
            <w:hideMark/>
          </w:tcPr>
          <w:p w14:paraId="52E33948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E65EE1" w:rsidRPr="003C065E" w14:paraId="5AC493C4" w14:textId="77777777" w:rsidTr="00092DD4">
        <w:trPr>
          <w:tblCellSpacing w:w="0" w:type="dxa"/>
        </w:trPr>
        <w:tc>
          <w:tcPr>
            <w:tcW w:w="1637" w:type="pct"/>
            <w:gridSpan w:val="2"/>
            <w:tcBorders>
              <w:bottom w:val="single" w:sz="12" w:space="0" w:color="auto"/>
            </w:tcBorders>
            <w:hideMark/>
          </w:tcPr>
          <w:p w14:paraId="50CE67F0" w14:textId="77777777" w:rsidR="00E65EE1" w:rsidRPr="006330DA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3C065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EE7E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6330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hideMark/>
          </w:tcPr>
          <w:p w14:paraId="1976489E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36,2 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hideMark/>
          </w:tcPr>
          <w:p w14:paraId="69CC947C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32,3 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hideMark/>
          </w:tcPr>
          <w:p w14:paraId="68695700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3,9 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hideMark/>
          </w:tcPr>
          <w:p w14:paraId="32B73FAF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-6,1; 15,2 </w:t>
            </w:r>
          </w:p>
          <w:p w14:paraId="2C3B81CE" w14:textId="6CD49724" w:rsidR="00E07759" w:rsidRPr="003C065E" w:rsidRDefault="00E07759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tcBorders>
              <w:bottom w:val="single" w:sz="12" w:space="0" w:color="auto"/>
            </w:tcBorders>
            <w:hideMark/>
          </w:tcPr>
          <w:p w14:paraId="08ED6E67" w14:textId="77777777" w:rsidR="00E65EE1" w:rsidRPr="003C065E" w:rsidRDefault="00E65EE1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  <w:p w14:paraId="01EF7768" w14:textId="4E2F556F" w:rsidR="00092DD4" w:rsidRPr="003C065E" w:rsidRDefault="00092DD4" w:rsidP="00584C2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D93D7B3" w14:textId="77777777" w:rsidR="00092DD4" w:rsidRPr="003C065E" w:rsidRDefault="00092DD4" w:rsidP="00D63C42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sk-SK"/>
        </w:rPr>
      </w:pPr>
    </w:p>
    <w:p w14:paraId="4265AEE1" w14:textId="3AF91C06" w:rsidR="00E65EE1" w:rsidRPr="003C065E" w:rsidRDefault="00E65EE1" w:rsidP="00E65EE1">
      <w:pPr>
        <w:spacing w:after="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szCs w:val="20"/>
          <w:lang w:val="sk-SK"/>
        </w:rPr>
        <w:t xml:space="preserve">a </w:t>
      </w:r>
      <w:r w:rsidRPr="003C065E">
        <w:rPr>
          <w:rFonts w:ascii="Times New Roman" w:hAnsi="Times New Roman"/>
          <w:sz w:val="20"/>
          <w:szCs w:val="20"/>
          <w:lang w:val="sk-SK"/>
        </w:rPr>
        <w:tab/>
        <w:t xml:space="preserve">Fulvestrant je indikovaný u 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>pacient</w:t>
      </w:r>
      <w:r w:rsidR="003F5D5F">
        <w:rPr>
          <w:rFonts w:ascii="Times New Roman" w:hAnsi="Times New Roman"/>
          <w:sz w:val="20"/>
          <w:szCs w:val="20"/>
          <w:lang w:val="sk-SK"/>
        </w:rPr>
        <w:t>o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>k</w:t>
      </w:r>
      <w:r w:rsidRPr="003C065E">
        <w:rPr>
          <w:rFonts w:ascii="Times New Roman" w:hAnsi="Times New Roman"/>
          <w:sz w:val="20"/>
          <w:szCs w:val="20"/>
          <w:lang w:val="sk-SK"/>
        </w:rPr>
        <w:t>, ktor</w:t>
      </w:r>
      <w:r w:rsidR="002A1039" w:rsidRPr="003C065E">
        <w:rPr>
          <w:rFonts w:ascii="Times New Roman" w:hAnsi="Times New Roman"/>
          <w:sz w:val="20"/>
          <w:szCs w:val="20"/>
          <w:lang w:val="sk-SK"/>
        </w:rPr>
        <w:t>é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recidivovali alebo mali progresiu počas antiestrogénnej liečby. Výsledky v AI podskupine sú nepresvedčivé.</w:t>
      </w:r>
    </w:p>
    <w:p w14:paraId="51F2D510" w14:textId="77777777" w:rsidR="00E65EE1" w:rsidRPr="003C065E" w:rsidRDefault="00E65EE1" w:rsidP="00E65EE1">
      <w:pPr>
        <w:spacing w:after="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szCs w:val="20"/>
          <w:lang w:val="sk-SK"/>
        </w:rPr>
        <w:t xml:space="preserve">b </w:t>
      </w:r>
      <w:r w:rsidRPr="003C065E">
        <w:rPr>
          <w:rFonts w:ascii="Times New Roman" w:hAnsi="Times New Roman"/>
          <w:sz w:val="20"/>
          <w:szCs w:val="20"/>
          <w:lang w:val="sk-SK"/>
        </w:rPr>
        <w:tab/>
        <w:t>OS je uvádzané pre finálnu analýzu celkového prežitia pri 75% úplnosti dát.</w:t>
      </w:r>
    </w:p>
    <w:p w14:paraId="6BE4B328" w14:textId="77777777" w:rsidR="00E65EE1" w:rsidRPr="003C065E" w:rsidRDefault="00E65EE1" w:rsidP="00E65EE1">
      <w:pPr>
        <w:spacing w:after="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szCs w:val="20"/>
          <w:lang w:val="sk-SK"/>
        </w:rPr>
        <w:t xml:space="preserve">c </w:t>
      </w:r>
      <w:r w:rsidRPr="003C065E">
        <w:rPr>
          <w:rFonts w:ascii="Times New Roman" w:hAnsi="Times New Roman"/>
          <w:sz w:val="20"/>
          <w:szCs w:val="20"/>
          <w:lang w:val="sk-SK"/>
        </w:rPr>
        <w:tab/>
        <w:t>Nominálna hodnota p bez úpravy na opakované hodnoty medzi pôvodnou analýzou celkového prežitia pri 50% úplnosti dát a aktualizovanou analýzou celkového prežitia pri 75% úplnosti dát.</w:t>
      </w:r>
    </w:p>
    <w:p w14:paraId="3FB9F866" w14:textId="6FBD70B1" w:rsidR="00E65EE1" w:rsidRPr="003C065E" w:rsidRDefault="00E65EE1" w:rsidP="00E65EE1">
      <w:pPr>
        <w:spacing w:after="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szCs w:val="20"/>
          <w:lang w:val="sk-SK"/>
        </w:rPr>
        <w:t xml:space="preserve">d </w:t>
      </w:r>
      <w:r w:rsidRPr="003C065E">
        <w:rPr>
          <w:rFonts w:ascii="Times New Roman" w:hAnsi="Times New Roman"/>
          <w:sz w:val="20"/>
          <w:szCs w:val="20"/>
          <w:lang w:val="sk-SK"/>
        </w:rPr>
        <w:tab/>
        <w:t xml:space="preserve">ORR bol stanovený u 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>pacient</w:t>
      </w:r>
      <w:r w:rsidR="003F5D5F">
        <w:rPr>
          <w:rFonts w:ascii="Times New Roman" w:hAnsi="Times New Roman"/>
          <w:sz w:val="20"/>
          <w:szCs w:val="20"/>
          <w:lang w:val="sk-SK"/>
        </w:rPr>
        <w:t>o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>k</w:t>
      </w:r>
      <w:r w:rsidRPr="003C065E">
        <w:rPr>
          <w:rFonts w:ascii="Times New Roman" w:hAnsi="Times New Roman"/>
          <w:sz w:val="20"/>
          <w:szCs w:val="20"/>
          <w:lang w:val="sk-SK"/>
        </w:rPr>
        <w:t>, u ktorých bola dostupná základná odpoveď (t.j., u ktorých bolo</w:t>
      </w:r>
    </w:p>
    <w:p w14:paraId="5C7B2610" w14:textId="06F07F6C" w:rsidR="00E65EE1" w:rsidRPr="003C065E" w:rsidRDefault="00E65EE1" w:rsidP="00E65EE1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szCs w:val="20"/>
          <w:lang w:val="sk-SK"/>
        </w:rPr>
        <w:t xml:space="preserve">merateľné základné ochorenie: skupina 240 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>pacient</w:t>
      </w:r>
      <w:r w:rsidR="003F5D5F">
        <w:rPr>
          <w:rFonts w:ascii="Times New Roman" w:hAnsi="Times New Roman"/>
          <w:sz w:val="20"/>
          <w:szCs w:val="20"/>
          <w:lang w:val="sk-SK"/>
        </w:rPr>
        <w:t>o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 xml:space="preserve">k 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na fulvestrante 500 mg a skupina 261 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>pacient</w:t>
      </w:r>
      <w:r w:rsidR="003F5D5F">
        <w:rPr>
          <w:rFonts w:ascii="Times New Roman" w:hAnsi="Times New Roman"/>
          <w:sz w:val="20"/>
          <w:szCs w:val="20"/>
          <w:lang w:val="sk-SK"/>
        </w:rPr>
        <w:t>o</w:t>
      </w:r>
      <w:r w:rsidR="003F5D5F" w:rsidRPr="003C065E">
        <w:rPr>
          <w:rFonts w:ascii="Times New Roman" w:hAnsi="Times New Roman"/>
          <w:sz w:val="20"/>
          <w:szCs w:val="20"/>
          <w:lang w:val="sk-SK"/>
        </w:rPr>
        <w:t xml:space="preserve">k </w:t>
      </w:r>
      <w:r w:rsidRPr="003C065E">
        <w:rPr>
          <w:rFonts w:ascii="Times New Roman" w:hAnsi="Times New Roman"/>
          <w:sz w:val="20"/>
          <w:szCs w:val="20"/>
          <w:lang w:val="sk-SK"/>
        </w:rPr>
        <w:t>na fulvestrante 250 mg).</w:t>
      </w:r>
    </w:p>
    <w:p w14:paraId="1674DE13" w14:textId="28282D59" w:rsidR="00E65EE1" w:rsidRPr="003C065E" w:rsidRDefault="00E65EE1" w:rsidP="00D63C42">
      <w:pPr>
        <w:spacing w:after="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szCs w:val="20"/>
          <w:lang w:val="sk-SK"/>
        </w:rPr>
        <w:t xml:space="preserve">e </w:t>
      </w:r>
      <w:r w:rsidRPr="003C065E">
        <w:rPr>
          <w:rFonts w:ascii="Times New Roman" w:hAnsi="Times New Roman"/>
          <w:sz w:val="20"/>
          <w:szCs w:val="20"/>
          <w:lang w:val="sk-SK"/>
        </w:rPr>
        <w:tab/>
        <w:t>Pacient</w:t>
      </w:r>
      <w:r w:rsidR="002A1039" w:rsidRPr="003C065E">
        <w:rPr>
          <w:rFonts w:ascii="Times New Roman" w:hAnsi="Times New Roman"/>
          <w:sz w:val="20"/>
          <w:szCs w:val="20"/>
          <w:lang w:val="sk-SK"/>
        </w:rPr>
        <w:t>ky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s najlepšou objektívnou odpoveďou kompletnej odpoved</w:t>
      </w:r>
      <w:r w:rsidR="002A1039" w:rsidRPr="003C065E">
        <w:rPr>
          <w:rFonts w:ascii="Times New Roman" w:hAnsi="Times New Roman"/>
          <w:sz w:val="20"/>
          <w:szCs w:val="20"/>
          <w:lang w:val="sk-SK"/>
        </w:rPr>
        <w:t>e</w:t>
      </w:r>
      <w:r w:rsidRPr="003C065E">
        <w:rPr>
          <w:rFonts w:ascii="Times New Roman" w:hAnsi="Times New Roman"/>
          <w:sz w:val="20"/>
          <w:szCs w:val="20"/>
          <w:lang w:val="sk-SK"/>
        </w:rPr>
        <w:t>, čiastočnou odpoveďou alebo stabilizovaným ochorením ≥24 týždňov.</w:t>
      </w:r>
    </w:p>
    <w:p w14:paraId="1C7831C8" w14:textId="037C4ECF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szCs w:val="20"/>
          <w:lang w:val="sk-SK"/>
        </w:rPr>
        <w:t>PFS: Prež</w:t>
      </w:r>
      <w:r w:rsidR="0064283C">
        <w:rPr>
          <w:rFonts w:ascii="Times New Roman" w:hAnsi="Times New Roman"/>
          <w:sz w:val="20"/>
          <w:szCs w:val="20"/>
          <w:lang w:val="sk-SK"/>
        </w:rPr>
        <w:t>ívanie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bez progresie; ORR: Objektívna miera odpovede; OR: Objektívna odpoveď; CBR:</w:t>
      </w:r>
      <w:r w:rsidR="002A1039" w:rsidRPr="003C065E">
        <w:rPr>
          <w:rFonts w:ascii="Times New 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hAnsi="Times New Roman"/>
          <w:sz w:val="20"/>
          <w:szCs w:val="20"/>
          <w:lang w:val="sk-SK"/>
        </w:rPr>
        <w:t>Miera klinick</w:t>
      </w:r>
      <w:r w:rsidR="00AD2DD9">
        <w:rPr>
          <w:rFonts w:ascii="Times New Roman" w:hAnsi="Times New Roman"/>
          <w:sz w:val="20"/>
          <w:szCs w:val="20"/>
          <w:lang w:val="sk-SK"/>
        </w:rPr>
        <w:t>ého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64283C">
        <w:rPr>
          <w:rFonts w:ascii="Times New Roman" w:hAnsi="Times New Roman"/>
          <w:sz w:val="20"/>
          <w:szCs w:val="20"/>
          <w:lang w:val="sk-SK"/>
        </w:rPr>
        <w:t>prínosu</w:t>
      </w:r>
      <w:r w:rsidRPr="003C065E">
        <w:rPr>
          <w:rFonts w:ascii="Times New Roman" w:hAnsi="Times New Roman"/>
          <w:sz w:val="20"/>
          <w:szCs w:val="20"/>
          <w:lang w:val="sk-SK"/>
        </w:rPr>
        <w:t>; CB:</w:t>
      </w:r>
      <w:r w:rsidR="002A1039" w:rsidRPr="003C065E">
        <w:rPr>
          <w:rFonts w:ascii="Times New 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hAnsi="Times New Roman"/>
          <w:sz w:val="20"/>
          <w:szCs w:val="20"/>
          <w:lang w:val="sk-SK"/>
        </w:rPr>
        <w:t>Klinick</w:t>
      </w:r>
      <w:r w:rsidR="0064283C">
        <w:rPr>
          <w:rFonts w:ascii="Times New Roman" w:hAnsi="Times New Roman"/>
          <w:sz w:val="20"/>
          <w:szCs w:val="20"/>
          <w:lang w:val="sk-SK"/>
        </w:rPr>
        <w:t>ý</w:t>
      </w:r>
      <w:r w:rsidRPr="003C065E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64283C">
        <w:rPr>
          <w:rFonts w:ascii="Times New Roman" w:hAnsi="Times New Roman"/>
          <w:sz w:val="20"/>
          <w:szCs w:val="20"/>
          <w:lang w:val="sk-SK"/>
        </w:rPr>
        <w:t>prínos</w:t>
      </w:r>
      <w:r w:rsidRPr="003C065E">
        <w:rPr>
          <w:rFonts w:ascii="Times New Roman" w:hAnsi="Times New Roman"/>
          <w:sz w:val="20"/>
          <w:szCs w:val="20"/>
          <w:lang w:val="sk-SK"/>
        </w:rPr>
        <w:t>; OS:Celkové prežívanie; K-M:</w:t>
      </w:r>
      <w:r w:rsidR="002A1039" w:rsidRPr="003C065E">
        <w:rPr>
          <w:rFonts w:ascii="Times New 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hAnsi="Times New Roman"/>
          <w:sz w:val="20"/>
          <w:szCs w:val="20"/>
          <w:lang w:val="sk-SK"/>
        </w:rPr>
        <w:t>Kaplan-Meier; CI:</w:t>
      </w:r>
      <w:r w:rsidR="002A1039" w:rsidRPr="003C065E">
        <w:rPr>
          <w:rFonts w:ascii="Times New 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hAnsi="Times New Roman"/>
          <w:sz w:val="20"/>
          <w:szCs w:val="20"/>
          <w:lang w:val="sk-SK"/>
        </w:rPr>
        <w:t>Interval spoľahlivosti; AI: inhibítor aromatázy; AE: antiestrogén.</w:t>
      </w:r>
    </w:p>
    <w:p w14:paraId="4A1A85F2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69168E8" w14:textId="5078BEAE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Randomizovaná, dvojito zaslepená</w:t>
      </w:r>
      <w:r w:rsidR="001F6343" w:rsidRPr="003C065E">
        <w:rPr>
          <w:rFonts w:ascii="Times New Roman" w:eastAsia="TimesNewRoman" w:hAnsi="Times New Roman"/>
          <w:lang w:val="sk-SK"/>
        </w:rPr>
        <w:t>,</w:t>
      </w:r>
      <w:r w:rsidRPr="003C065E">
        <w:rPr>
          <w:rFonts w:ascii="Times New Roman" w:eastAsia="TimesNewRoman" w:hAnsi="Times New Roman"/>
          <w:lang w:val="sk-SK"/>
        </w:rPr>
        <w:t xml:space="preserve"> „double-dummy“ multicentrická štúdia fázy </w:t>
      </w:r>
      <w:r w:rsidR="00DF4946" w:rsidRPr="003C065E">
        <w:rPr>
          <w:rFonts w:ascii="Times New Roman" w:eastAsia="TimesNewRoman" w:hAnsi="Times New Roman"/>
          <w:lang w:val="sk-SK"/>
        </w:rPr>
        <w:t>3</w:t>
      </w:r>
      <w:r w:rsidRPr="003C065E">
        <w:rPr>
          <w:rFonts w:ascii="Times New Roman" w:eastAsia="TimesNewRoman" w:hAnsi="Times New Roman"/>
          <w:lang w:val="sk-SK"/>
        </w:rPr>
        <w:t xml:space="preserve"> fulvestrant 500 mg</w:t>
      </w:r>
    </w:p>
    <w:p w14:paraId="43727DDF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oproti anastrozolu 1 mg sa uskutočnila u postmenopauzálnych žien s lokálne pokročilým alebo</w:t>
      </w:r>
    </w:p>
    <w:p w14:paraId="3C3DC27C" w14:textId="51B91E4A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metastatickým karcinómom prsníka s pozitivitou estrogénových</w:t>
      </w:r>
      <w:r w:rsidR="001F6343" w:rsidRPr="003C065E">
        <w:rPr>
          <w:rFonts w:ascii="Times New Roman" w:eastAsia="TimesNewRoman" w:hAnsi="Times New Roman"/>
          <w:lang w:val="sk-SK"/>
        </w:rPr>
        <w:t xml:space="preserve"> (ER)</w:t>
      </w:r>
      <w:r w:rsidRPr="003C065E">
        <w:rPr>
          <w:rFonts w:ascii="Times New Roman" w:eastAsia="TimesNewRoman" w:hAnsi="Times New Roman"/>
          <w:lang w:val="sk-SK"/>
        </w:rPr>
        <w:t xml:space="preserve"> a/alebo progesterónových </w:t>
      </w:r>
      <w:r w:rsidR="001F6343" w:rsidRPr="003C065E">
        <w:rPr>
          <w:rFonts w:ascii="Times New Roman" w:eastAsia="TimesNewRoman" w:hAnsi="Times New Roman"/>
          <w:lang w:val="sk-SK"/>
        </w:rPr>
        <w:t xml:space="preserve">(PgR) </w:t>
      </w:r>
      <w:r w:rsidRPr="003C065E">
        <w:rPr>
          <w:rFonts w:ascii="Times New Roman" w:eastAsia="TimesNewRoman" w:hAnsi="Times New Roman"/>
          <w:lang w:val="sk-SK"/>
        </w:rPr>
        <w:t>receptorov,</w:t>
      </w:r>
      <w:r w:rsidR="001F6343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ktoré neboli v minulosti liečené žiadnou hormonálnou liečbou. Celkovo 462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bolo postupne</w:t>
      </w:r>
      <w:r w:rsidR="001F6343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randomizovaných 1:1 na podávanie fulvestrantu 500 mg alebo na užívanie anastrozolu 1 mg.</w:t>
      </w:r>
    </w:p>
    <w:p w14:paraId="3FF61D0C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Randomizácia bola stratifikovaná podľa typu ochorenia (lokálne pokročilé alebo metastatické),</w:t>
      </w:r>
    </w:p>
    <w:p w14:paraId="5FC5223C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predchádzajúcej chemoterapie pokročilého ochorenia a merateľného ochorenia.</w:t>
      </w:r>
    </w:p>
    <w:p w14:paraId="28BF3F93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4BF6B3D5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Primárnym cieľom účinnosti v štúdii bolo prežívanie bez progresie (PFS) hodnotené skúšajúcim</w:t>
      </w:r>
    </w:p>
    <w:p w14:paraId="525DCC84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pomocou kritérií na hodnotenie odpovede pri solídnych nádoroch (Response Evaluation Criteria in</w:t>
      </w:r>
    </w:p>
    <w:p w14:paraId="737BD17F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Solid Tumours, RECIST verzia 1.1). Kľúčové sekundárne ciele účinnosti zahŕňali celkové prežívanie</w:t>
      </w:r>
    </w:p>
    <w:p w14:paraId="7020E467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(OS) a objektívnu mieru odpovede (ORR).</w:t>
      </w:r>
    </w:p>
    <w:p w14:paraId="38E73995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998CDD7" w14:textId="4FE170F9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Medián veku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zaradených do tejto štúdie bol 63 rokov (rozsah 36-90). Väčšina z týchto</w:t>
      </w:r>
    </w:p>
    <w:p w14:paraId="161D7A3D" w14:textId="7B840316" w:rsidR="00E65EE1" w:rsidRPr="003C065E" w:rsidRDefault="003F5D5F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pacient</w:t>
      </w:r>
      <w:r>
        <w:rPr>
          <w:rFonts w:ascii="Times New Roman" w:eastAsia="TimesNewRoman" w:hAnsi="Times New Roman"/>
          <w:lang w:val="sk-SK"/>
        </w:rPr>
        <w:t>o</w:t>
      </w:r>
      <w:r w:rsidRPr="003C065E">
        <w:rPr>
          <w:rFonts w:ascii="Times New Roman" w:eastAsia="TimesNewRoman" w:hAnsi="Times New Roman"/>
          <w:lang w:val="sk-SK"/>
        </w:rPr>
        <w:t xml:space="preserve">k </w:t>
      </w:r>
      <w:r w:rsidR="00E65EE1" w:rsidRPr="003C065E">
        <w:rPr>
          <w:rFonts w:ascii="Times New Roman" w:eastAsia="TimesNewRoman" w:hAnsi="Times New Roman"/>
          <w:lang w:val="sk-SK"/>
        </w:rPr>
        <w:t xml:space="preserve">(87,0%) mala metastatické ochorenie na začiatku. Päťdesiatpäť percent (55,0%) </w:t>
      </w:r>
      <w:r w:rsidRPr="003C065E">
        <w:rPr>
          <w:rFonts w:ascii="Times New Roman" w:eastAsia="TimesNewRoman" w:hAnsi="Times New Roman"/>
          <w:lang w:val="sk-SK"/>
        </w:rPr>
        <w:t>pacient</w:t>
      </w:r>
      <w:r>
        <w:rPr>
          <w:rFonts w:ascii="Times New Roman" w:eastAsia="TimesNewRoman" w:hAnsi="Times New Roman"/>
          <w:lang w:val="sk-SK"/>
        </w:rPr>
        <w:t>o</w:t>
      </w:r>
      <w:r w:rsidRPr="003C065E">
        <w:rPr>
          <w:rFonts w:ascii="Times New Roman" w:eastAsia="TimesNewRoman" w:hAnsi="Times New Roman"/>
          <w:lang w:val="sk-SK"/>
        </w:rPr>
        <w:t>k</w:t>
      </w:r>
    </w:p>
    <w:p w14:paraId="03E7346E" w14:textId="44FA9925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malo viscerálne metastázy na začiatku. Celkovo 17,1%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dostalo predchádzajúci režim</w:t>
      </w:r>
    </w:p>
    <w:p w14:paraId="57D31143" w14:textId="32BF2271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chemoterapie na liečbu pokročilého ochorenia; 84,2%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malo merateľné ochorenie.</w:t>
      </w:r>
    </w:p>
    <w:p w14:paraId="574A251C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27E80FB" w14:textId="038561E2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Konzistentné výsledky sa pozorovali naprieč väčšiny vopred špecifikovaných podskupín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.</w:t>
      </w:r>
    </w:p>
    <w:p w14:paraId="5A2706E8" w14:textId="4A75CA09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V podskupine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s len neviscerálnymi metastázami (n=208) bol HR 0,592 (95% CI: 0,419;</w:t>
      </w:r>
    </w:p>
    <w:p w14:paraId="271129B5" w14:textId="6EE015C8" w:rsidR="00E65EE1" w:rsidRPr="003C065E" w:rsidRDefault="00E65EE1" w:rsidP="001F634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0,837) v skupine s fulvestrantom oproti skupine s anastrozolom. V podskupine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s</w:t>
      </w:r>
      <w:r w:rsidR="001F6343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viscerálnymi</w:t>
      </w:r>
      <w:r w:rsidR="001F6343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metastázami (n=254) bol HR 0,993 (95% CI: 0,740; 1,331) v skupine s fulvestrantom </w:t>
      </w:r>
      <w:r w:rsidRPr="003C065E">
        <w:rPr>
          <w:rFonts w:ascii="Times New Roman" w:eastAsia="TimesNewRoman" w:hAnsi="Times New Roman"/>
          <w:lang w:val="sk-SK"/>
        </w:rPr>
        <w:lastRenderedPageBreak/>
        <w:t>oproti skupine</w:t>
      </w:r>
      <w:r w:rsidR="001F6343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s anastrozolom. Výsledky účinnosti zo štúdie FALCON sú uvedené v tabuľke 4 a na obrázku 1.</w:t>
      </w:r>
    </w:p>
    <w:p w14:paraId="519A75B9" w14:textId="77777777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DA32894" w14:textId="6FECF7A5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Tabuľka 4 </w:t>
      </w:r>
      <w:r w:rsidR="001F6343" w:rsidRPr="003C065E">
        <w:rPr>
          <w:rFonts w:ascii="Times New Roman" w:eastAsia="TimesNewRoman,Bold" w:hAnsi="Times New Roman"/>
          <w:b/>
          <w:bCs/>
          <w:lang w:val="sk-SK"/>
        </w:rPr>
        <w:tab/>
      </w:r>
      <w:r w:rsidRPr="003C065E">
        <w:rPr>
          <w:rFonts w:ascii="Times New Roman" w:eastAsia="TimesNewRoman,Bold" w:hAnsi="Times New Roman"/>
          <w:b/>
          <w:bCs/>
          <w:lang w:val="sk-SK"/>
        </w:rPr>
        <w:t>Súhrn výsledkov primárneho cieľa účinnosti (PFS) a kľúčových sekundárnych</w:t>
      </w:r>
    </w:p>
    <w:p w14:paraId="3F97D765" w14:textId="15CF34F5" w:rsidR="00E65EE1" w:rsidRPr="003C065E" w:rsidRDefault="00E65EE1" w:rsidP="001F634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cieľov účinnosti (hodnotené skúšajúcim v populácii podľa liečebného zámeru) </w:t>
      </w:r>
      <w:r w:rsidRPr="003C065E">
        <w:rPr>
          <w:rFonts w:ascii="Times New Roman" w:eastAsia="TimesNewRoman,Bold" w:hAnsi="Times New Roman" w:hint="eastAsia"/>
          <w:b/>
          <w:bCs/>
          <w:lang w:val="sk-SK"/>
        </w:rPr>
        <w:t>─</w:t>
      </w:r>
      <w:r w:rsidRPr="003C065E">
        <w:rPr>
          <w:rFonts w:ascii="Times New Roman" w:eastAsia="TimesNewRoman,Bold" w:hAnsi="Times New Roman"/>
          <w:b/>
          <w:bCs/>
          <w:lang w:val="sk-SK"/>
        </w:rPr>
        <w:t xml:space="preserve"> štúdia</w:t>
      </w:r>
      <w:r w:rsidR="001F6343" w:rsidRPr="003C065E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Pr="003C065E">
        <w:rPr>
          <w:rFonts w:ascii="Times New Roman" w:eastAsia="TimesNewRoman,Bold" w:hAnsi="Times New Roman"/>
          <w:b/>
          <w:bCs/>
          <w:lang w:val="sk-SK"/>
        </w:rPr>
        <w:t>FALCON</w:t>
      </w:r>
    </w:p>
    <w:p w14:paraId="492F5EAA" w14:textId="77777777" w:rsidR="001F6343" w:rsidRPr="003C065E" w:rsidRDefault="001F6343" w:rsidP="001F634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NewRoman,Bold" w:hAnsi="Times New Roman"/>
          <w:b/>
          <w:bCs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3007"/>
        <w:gridCol w:w="3007"/>
      </w:tblGrid>
      <w:tr w:rsidR="00E65EE1" w:rsidRPr="003C065E" w14:paraId="3D6B18CC" w14:textId="77777777" w:rsidTr="00584C27">
        <w:tc>
          <w:tcPr>
            <w:tcW w:w="3070" w:type="dxa"/>
            <w:shd w:val="clear" w:color="auto" w:fill="auto"/>
          </w:tcPr>
          <w:p w14:paraId="3F2F039A" w14:textId="77777777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14:paraId="09A9F07B" w14:textId="77777777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  <w:t>Fulvestrant</w:t>
            </w:r>
            <w:r w:rsidRPr="0028207B"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  <w:br/>
              <w:t>500 mg</w:t>
            </w:r>
            <w:r w:rsidRPr="0028207B"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  <w:br/>
              <w:t>(N=230)</w:t>
            </w:r>
          </w:p>
        </w:tc>
        <w:tc>
          <w:tcPr>
            <w:tcW w:w="3071" w:type="dxa"/>
            <w:shd w:val="clear" w:color="auto" w:fill="auto"/>
          </w:tcPr>
          <w:p w14:paraId="577B67BD" w14:textId="77777777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  <w:t>Anastrozol</w:t>
            </w:r>
          </w:p>
          <w:p w14:paraId="34479B52" w14:textId="77777777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  <w:t>1 mg</w:t>
            </w:r>
          </w:p>
          <w:p w14:paraId="3A1E7494" w14:textId="77777777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bCs/>
                <w:color w:val="000000"/>
                <w:sz w:val="20"/>
                <w:szCs w:val="20"/>
                <w:lang w:val="sk-SK"/>
              </w:rPr>
              <w:t>(N=232)</w:t>
            </w:r>
          </w:p>
        </w:tc>
      </w:tr>
      <w:tr w:rsidR="00E65EE1" w:rsidRPr="003C065E" w14:paraId="1EC66605" w14:textId="77777777" w:rsidTr="00584C27">
        <w:tc>
          <w:tcPr>
            <w:tcW w:w="9212" w:type="dxa"/>
            <w:gridSpan w:val="3"/>
            <w:shd w:val="clear" w:color="auto" w:fill="auto"/>
          </w:tcPr>
          <w:p w14:paraId="50A32B71" w14:textId="77777777" w:rsidR="00E65EE1" w:rsidRPr="00BC5DE4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Prež</w:t>
            </w:r>
            <w:r w:rsidRPr="006330DA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ívanie bez progresie</w:t>
            </w:r>
          </w:p>
        </w:tc>
      </w:tr>
      <w:tr w:rsidR="00E65EE1" w:rsidRPr="003C065E" w14:paraId="3CE6D39D" w14:textId="77777777" w:rsidTr="00584C27">
        <w:tc>
          <w:tcPr>
            <w:tcW w:w="3070" w:type="dxa"/>
            <w:shd w:val="clear" w:color="auto" w:fill="auto"/>
          </w:tcPr>
          <w:p w14:paraId="3C448ABC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Počet PFS udalostí (%)</w:t>
            </w:r>
          </w:p>
        </w:tc>
        <w:tc>
          <w:tcPr>
            <w:tcW w:w="3071" w:type="dxa"/>
            <w:shd w:val="clear" w:color="auto" w:fill="auto"/>
          </w:tcPr>
          <w:p w14:paraId="2C8B1BA0" w14:textId="1E2BAD63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143 (62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2%)</w:t>
            </w:r>
          </w:p>
        </w:tc>
        <w:tc>
          <w:tcPr>
            <w:tcW w:w="3071" w:type="dxa"/>
            <w:shd w:val="clear" w:color="auto" w:fill="auto"/>
          </w:tcPr>
          <w:p w14:paraId="6FAF8DFB" w14:textId="0FFEF21E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166 (71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6%)</w:t>
            </w:r>
          </w:p>
        </w:tc>
      </w:tr>
      <w:tr w:rsidR="00E65EE1" w:rsidRPr="003C065E" w14:paraId="104A6A05" w14:textId="77777777" w:rsidTr="00584C27">
        <w:tc>
          <w:tcPr>
            <w:tcW w:w="3070" w:type="dxa"/>
            <w:shd w:val="clear" w:color="auto" w:fill="auto"/>
          </w:tcPr>
          <w:p w14:paraId="7E510A91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PFS pomer rizika (95% CI)</w:t>
            </w:r>
          </w:p>
          <w:p w14:paraId="060F6965" w14:textId="77777777" w:rsidR="00E65EE1" w:rsidRPr="003C065E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184AFFF7" w14:textId="54DAD279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HR 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797 (0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637 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–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 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999)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br/>
              <w:t>p = 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0486</w:t>
            </w:r>
          </w:p>
        </w:tc>
      </w:tr>
      <w:tr w:rsidR="00E65EE1" w:rsidRPr="003C065E" w14:paraId="2704C9D4" w14:textId="77777777" w:rsidTr="00584C27">
        <w:tc>
          <w:tcPr>
            <w:tcW w:w="3070" w:type="dxa"/>
            <w:shd w:val="clear" w:color="auto" w:fill="auto"/>
          </w:tcPr>
          <w:p w14:paraId="11D1F9A4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Medián PFS [mesiace (95% CI)]</w:t>
            </w:r>
          </w:p>
        </w:tc>
        <w:tc>
          <w:tcPr>
            <w:tcW w:w="3071" w:type="dxa"/>
            <w:shd w:val="clear" w:color="auto" w:fill="auto"/>
          </w:tcPr>
          <w:p w14:paraId="3F62C86B" w14:textId="311D848C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16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6 (13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8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;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 21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0)</w:t>
            </w:r>
          </w:p>
        </w:tc>
        <w:tc>
          <w:tcPr>
            <w:tcW w:w="3071" w:type="dxa"/>
            <w:shd w:val="clear" w:color="auto" w:fill="auto"/>
          </w:tcPr>
          <w:p w14:paraId="4BAF816B" w14:textId="2E692720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13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8 (12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;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 16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6)</w:t>
            </w:r>
          </w:p>
        </w:tc>
      </w:tr>
      <w:tr w:rsidR="00E65EE1" w:rsidRPr="003C065E" w14:paraId="44E89F19" w14:textId="77777777" w:rsidTr="00584C27">
        <w:tc>
          <w:tcPr>
            <w:tcW w:w="3070" w:type="dxa"/>
            <w:shd w:val="clear" w:color="auto" w:fill="auto"/>
          </w:tcPr>
          <w:p w14:paraId="7DBF8954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Počet OS udalostí*</w:t>
            </w:r>
          </w:p>
        </w:tc>
        <w:tc>
          <w:tcPr>
            <w:tcW w:w="3071" w:type="dxa"/>
            <w:shd w:val="clear" w:color="auto" w:fill="auto"/>
          </w:tcPr>
          <w:p w14:paraId="38044803" w14:textId="385ACE2F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67 (29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1%)</w:t>
            </w:r>
          </w:p>
        </w:tc>
        <w:tc>
          <w:tcPr>
            <w:tcW w:w="3071" w:type="dxa"/>
            <w:shd w:val="clear" w:color="auto" w:fill="auto"/>
          </w:tcPr>
          <w:p w14:paraId="174B7588" w14:textId="5CC0E16D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75 (32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3%)</w:t>
            </w:r>
          </w:p>
        </w:tc>
      </w:tr>
      <w:tr w:rsidR="00E65EE1" w:rsidRPr="003C065E" w14:paraId="030C1499" w14:textId="77777777" w:rsidTr="00584C27">
        <w:tc>
          <w:tcPr>
            <w:tcW w:w="3070" w:type="dxa"/>
            <w:shd w:val="clear" w:color="auto" w:fill="auto"/>
          </w:tcPr>
          <w:p w14:paraId="2B2C60DE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OS</w:t>
            </w:r>
            <w:r w:rsidRPr="006330DA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 xml:space="preserve"> pomer rizika (95% CI)</w:t>
            </w:r>
          </w:p>
          <w:p w14:paraId="608CF5DE" w14:textId="77777777" w:rsidR="00E65EE1" w:rsidRPr="003C065E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1AC141F5" w14:textId="7D171C24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HR 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875 (0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629 – 1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217) 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br/>
              <w:t>p = 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4277</w:t>
            </w:r>
          </w:p>
        </w:tc>
      </w:tr>
      <w:tr w:rsidR="00E65EE1" w:rsidRPr="003C065E" w14:paraId="346E5F98" w14:textId="77777777" w:rsidTr="00584C27">
        <w:tc>
          <w:tcPr>
            <w:tcW w:w="3070" w:type="dxa"/>
            <w:shd w:val="clear" w:color="auto" w:fill="auto"/>
          </w:tcPr>
          <w:p w14:paraId="017ED4BA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ORR**</w:t>
            </w:r>
          </w:p>
        </w:tc>
        <w:tc>
          <w:tcPr>
            <w:tcW w:w="3071" w:type="dxa"/>
            <w:shd w:val="clear" w:color="auto" w:fill="auto"/>
          </w:tcPr>
          <w:p w14:paraId="79B39E50" w14:textId="57785EC3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89 (46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1%)</w:t>
            </w:r>
          </w:p>
        </w:tc>
        <w:tc>
          <w:tcPr>
            <w:tcW w:w="3071" w:type="dxa"/>
            <w:shd w:val="clear" w:color="auto" w:fill="auto"/>
          </w:tcPr>
          <w:p w14:paraId="7ACD637B" w14:textId="643FC5AD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88 (44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9%)</w:t>
            </w:r>
          </w:p>
        </w:tc>
      </w:tr>
      <w:tr w:rsidR="00E65EE1" w:rsidRPr="003C065E" w14:paraId="1343A9E5" w14:textId="77777777" w:rsidTr="00584C27">
        <w:tc>
          <w:tcPr>
            <w:tcW w:w="3070" w:type="dxa"/>
            <w:shd w:val="clear" w:color="auto" w:fill="auto"/>
          </w:tcPr>
          <w:p w14:paraId="09561214" w14:textId="77777777" w:rsidR="00E65EE1" w:rsidRPr="003C065E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ORR Odds Ratio (95% CI) 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46004429" w14:textId="5E8FD034" w:rsidR="00E65EE1" w:rsidRPr="0028207B" w:rsidRDefault="00E65EE1" w:rsidP="00584C27">
            <w:pPr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OR 1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074 (0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716 – 1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614) 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br/>
              <w:t>p = 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7290</w:t>
            </w:r>
          </w:p>
        </w:tc>
      </w:tr>
      <w:tr w:rsidR="00E65EE1" w:rsidRPr="003C065E" w14:paraId="5EDF98A4" w14:textId="77777777" w:rsidTr="00584C27">
        <w:tc>
          <w:tcPr>
            <w:tcW w:w="3070" w:type="dxa"/>
            <w:shd w:val="clear" w:color="auto" w:fill="auto"/>
          </w:tcPr>
          <w:p w14:paraId="25D9773B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sz w:val="20"/>
                <w:szCs w:val="20"/>
                <w:lang w:val="sk-SK"/>
              </w:rPr>
              <w:t>Medián DoR (mesiace)</w:t>
            </w:r>
          </w:p>
        </w:tc>
        <w:tc>
          <w:tcPr>
            <w:tcW w:w="3071" w:type="dxa"/>
            <w:shd w:val="clear" w:color="auto" w:fill="auto"/>
          </w:tcPr>
          <w:p w14:paraId="22BFDF63" w14:textId="1CF0C1D1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20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3071" w:type="dxa"/>
            <w:shd w:val="clear" w:color="auto" w:fill="auto"/>
          </w:tcPr>
          <w:p w14:paraId="35E9A159" w14:textId="7A315184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13</w:t>
            </w:r>
            <w:r w:rsidR="0008662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2</w:t>
            </w:r>
          </w:p>
        </w:tc>
      </w:tr>
      <w:tr w:rsidR="00E65EE1" w:rsidRPr="003C065E" w14:paraId="56F6E0AA" w14:textId="77777777" w:rsidTr="00584C27">
        <w:tc>
          <w:tcPr>
            <w:tcW w:w="3070" w:type="dxa"/>
            <w:shd w:val="clear" w:color="auto" w:fill="auto"/>
          </w:tcPr>
          <w:p w14:paraId="42EFA617" w14:textId="77777777" w:rsidR="00E65EE1" w:rsidRPr="006330DA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CBR</w:t>
            </w:r>
          </w:p>
        </w:tc>
        <w:tc>
          <w:tcPr>
            <w:tcW w:w="3071" w:type="dxa"/>
            <w:shd w:val="clear" w:color="auto" w:fill="auto"/>
          </w:tcPr>
          <w:p w14:paraId="7EC3AA60" w14:textId="05219C8A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180 (78</w:t>
            </w:r>
            <w:r w:rsidR="00F03D3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3%)</w:t>
            </w:r>
          </w:p>
        </w:tc>
        <w:tc>
          <w:tcPr>
            <w:tcW w:w="3071" w:type="dxa"/>
            <w:shd w:val="clear" w:color="auto" w:fill="auto"/>
          </w:tcPr>
          <w:p w14:paraId="336C25E7" w14:textId="240F244E" w:rsidR="00E65EE1" w:rsidRPr="0028207B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172 (74</w:t>
            </w:r>
            <w:r w:rsidR="00F03D3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1%)</w:t>
            </w:r>
          </w:p>
        </w:tc>
      </w:tr>
      <w:tr w:rsidR="00E65EE1" w:rsidRPr="003C065E" w14:paraId="7A8B817D" w14:textId="77777777" w:rsidTr="00584C27">
        <w:tc>
          <w:tcPr>
            <w:tcW w:w="3070" w:type="dxa"/>
            <w:shd w:val="clear" w:color="auto" w:fill="auto"/>
          </w:tcPr>
          <w:p w14:paraId="5815BA1D" w14:textId="77777777" w:rsidR="00E65EE1" w:rsidRPr="003C065E" w:rsidRDefault="00E65EE1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CBR Odds Ratio (95%</w:t>
            </w:r>
            <w:r w:rsidRPr="006330DA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 CI) 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5491DB00" w14:textId="4CEED641" w:rsidR="00E65EE1" w:rsidRPr="0028207B" w:rsidRDefault="00E65EE1" w:rsidP="00584C27">
            <w:pPr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</w:pP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OR 1</w:t>
            </w:r>
            <w:r w:rsidR="00F03D3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253 (0</w:t>
            </w:r>
            <w:r w:rsidR="00F03D3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815 – 1</w:t>
            </w:r>
            <w:r w:rsidR="00F03D3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 xml:space="preserve">932) 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br/>
              <w:t>p = 0</w:t>
            </w:r>
            <w:r w:rsidR="00F03D3E"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,</w:t>
            </w:r>
            <w:r w:rsidRPr="0028207B">
              <w:rPr>
                <w:rFonts w:ascii="Times New Roman" w:eastAsia="TimesNewRoman,Bold" w:hAnsi="Times New Roman"/>
                <w:color w:val="000000"/>
                <w:sz w:val="20"/>
                <w:szCs w:val="20"/>
                <w:lang w:val="sk-SK"/>
              </w:rPr>
              <w:t>3045</w:t>
            </w:r>
          </w:p>
        </w:tc>
      </w:tr>
    </w:tbl>
    <w:p w14:paraId="54F3873A" w14:textId="77777777" w:rsidR="00E65EE1" w:rsidRPr="003C065E" w:rsidRDefault="00E65EE1" w:rsidP="00E65EE1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sz w:val="20"/>
          <w:szCs w:val="20"/>
          <w:lang w:val="sk-SK"/>
        </w:rPr>
      </w:pPr>
      <w:r w:rsidRPr="003C065E">
        <w:rPr>
          <w:rFonts w:ascii="Times New Roman" w:eastAsia="TimesNewRoman,Bold" w:hAnsi="Times New Roman"/>
          <w:bCs/>
          <w:sz w:val="20"/>
          <w:szCs w:val="20"/>
          <w:lang w:val="sk-SK"/>
        </w:rPr>
        <w:t>*(31% úplnosť dát) – nie konečná analýza OS</w:t>
      </w:r>
    </w:p>
    <w:p w14:paraId="1D97AECA" w14:textId="411FD069" w:rsidR="00E65EE1" w:rsidRPr="003C065E" w:rsidRDefault="00E65EE1" w:rsidP="00E65EE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eastAsia="TimesNewRoman,Bold" w:hAnsi="Times New Roman"/>
          <w:bCs/>
          <w:sz w:val="20"/>
          <w:szCs w:val="20"/>
          <w:lang w:val="sk-SK"/>
        </w:rPr>
        <w:t xml:space="preserve">**u </w:t>
      </w:r>
      <w:r w:rsidR="003F5D5F" w:rsidRPr="003C065E">
        <w:rPr>
          <w:rFonts w:ascii="Times New Roman" w:eastAsia="TimesNewRoman,Bold" w:hAnsi="Times New Roman"/>
          <w:bCs/>
          <w:sz w:val="20"/>
          <w:szCs w:val="20"/>
          <w:lang w:val="sk-SK"/>
        </w:rPr>
        <w:t>pacient</w:t>
      </w:r>
      <w:r w:rsidR="003F5D5F">
        <w:rPr>
          <w:rFonts w:ascii="Times New Roman" w:eastAsia="TimesNewRoman,Bold" w:hAnsi="Times New Roman"/>
          <w:bCs/>
          <w:sz w:val="20"/>
          <w:szCs w:val="20"/>
          <w:lang w:val="sk-SK"/>
        </w:rPr>
        <w:t>o</w:t>
      </w:r>
      <w:r w:rsidR="003F5D5F" w:rsidRPr="003C065E">
        <w:rPr>
          <w:rFonts w:ascii="Times New Roman" w:eastAsia="TimesNewRoman,Bold" w:hAnsi="Times New Roman"/>
          <w:bCs/>
          <w:sz w:val="20"/>
          <w:szCs w:val="20"/>
          <w:lang w:val="sk-SK"/>
        </w:rPr>
        <w:t xml:space="preserve">k </w:t>
      </w:r>
      <w:r w:rsidRPr="003C065E">
        <w:rPr>
          <w:rFonts w:ascii="Times New Roman" w:eastAsia="TimesNewRoman,Bold" w:hAnsi="Times New Roman"/>
          <w:bCs/>
          <w:sz w:val="20"/>
          <w:szCs w:val="20"/>
          <w:lang w:val="sk-SK"/>
        </w:rPr>
        <w:t>s merateľným ochorením</w:t>
      </w:r>
    </w:p>
    <w:p w14:paraId="2852958F" w14:textId="50314ADD" w:rsidR="00E65EE1" w:rsidRPr="0028207B" w:rsidRDefault="00E65EE1">
      <w:pPr>
        <w:rPr>
          <w:lang w:val="sk-SK"/>
        </w:rPr>
      </w:pPr>
    </w:p>
    <w:p w14:paraId="623677B8" w14:textId="58303C3C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Obrázok 1 </w:t>
      </w:r>
      <w:r w:rsidRPr="003C065E">
        <w:rPr>
          <w:rFonts w:ascii="Times New Roman" w:eastAsia="TimesNewRoman,Bold" w:hAnsi="Times New Roman"/>
          <w:b/>
          <w:bCs/>
          <w:lang w:val="sk-SK"/>
        </w:rPr>
        <w:tab/>
        <w:t>Kaplanova-Meierova krivka prežívania bez progresie (hodnotené skúšajúcim</w:t>
      </w:r>
    </w:p>
    <w:p w14:paraId="61779446" w14:textId="5BF9CC2B" w:rsidR="00924AFA" w:rsidRPr="003C065E" w:rsidRDefault="001F757B" w:rsidP="00113685">
      <w:pPr>
        <w:spacing w:after="0" w:line="240" w:lineRule="auto"/>
        <w:ind w:left="720" w:firstLine="720"/>
        <w:contextualSpacing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v populácii podľa liečebného zámeru) </w:t>
      </w:r>
      <w:r w:rsidRPr="003C065E">
        <w:rPr>
          <w:rFonts w:ascii="Times New Roman" w:eastAsia="TimesNewRoman,Bold" w:hAnsi="Times New Roman" w:hint="eastAsia"/>
          <w:b/>
          <w:bCs/>
          <w:lang w:val="sk-SK"/>
        </w:rPr>
        <w:t>─</w:t>
      </w:r>
      <w:r w:rsidRPr="003C065E">
        <w:rPr>
          <w:rFonts w:ascii="Times New Roman" w:eastAsia="TimesNewRoman,Bold" w:hAnsi="Times New Roman"/>
          <w:b/>
          <w:bCs/>
          <w:lang w:val="sk-SK"/>
        </w:rPr>
        <w:t xml:space="preserve"> štúdia FALCON</w:t>
      </w:r>
    </w:p>
    <w:p w14:paraId="13E2AD00" w14:textId="2EAF9A4E" w:rsidR="00924AFA" w:rsidRPr="003C065E" w:rsidRDefault="00D147DE" w:rsidP="001F757B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noProof/>
          <w:lang w:val="sk-SK" w:eastAsia="sk-SK"/>
        </w:rPr>
        <w:drawing>
          <wp:inline distT="0" distB="0" distL="0" distR="0" wp14:anchorId="27F3F825" wp14:editId="1800DC30">
            <wp:extent cx="5303520" cy="28433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428" cy="284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F791B" w14:textId="77777777" w:rsidR="00D147DE" w:rsidRPr="003C065E" w:rsidRDefault="00D147DE" w:rsidP="001F757B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6F6B405B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Vykonali sa dve klinické štúdie fázy 3 u celkovo 851 postmenopauzálnych žien s pokročilým</w:t>
      </w:r>
    </w:p>
    <w:p w14:paraId="0090E5D0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karcinómom prsníka, u ktorých došlo k návratu ochorenia počas alebo po adjuvantnej endokrinnej</w:t>
      </w:r>
    </w:p>
    <w:p w14:paraId="51CD0EB0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liečbe, alebo k progresii ochorenia po endokrinnej liečbe pokročilého ochorenia. Sedemdesiatsedem</w:t>
      </w:r>
    </w:p>
    <w:p w14:paraId="42B963A2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percent (77%) populácie v štúdii malo karcinóm prsníka s pozitivitou estrogénových receptorov.</w:t>
      </w:r>
    </w:p>
    <w:p w14:paraId="1A4E845D" w14:textId="3114F55E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týchto štúdiách sa porovnávala bezpečnosť a účinnosť podávania fulvestrantu 250 mg raz do mesiaca</w:t>
      </w:r>
      <w:r w:rsidR="008511E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s každodenným podávaním 1 mg anastrozolu (inhibítora aromatázy). Celkovo bol fulvestrant</w:t>
      </w:r>
    </w:p>
    <w:p w14:paraId="5138917E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lastRenderedPageBreak/>
        <w:t>v mesačnej dávke 250 mg minimálne rovnako účinný ako anastrozol z hľadiska prežívania bez</w:t>
      </w:r>
    </w:p>
    <w:p w14:paraId="023260F9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progresie, objektívnej reakcie a doby do úmrtia. Medzi oboma liečebnými skupinami neboli</w:t>
      </w:r>
    </w:p>
    <w:p w14:paraId="61BEEDE6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 konečných ukazovateľoch zaznamenané žiadne štatisticky významné rozdiely. Primárnym cieľom</w:t>
      </w:r>
    </w:p>
    <w:p w14:paraId="74B9684C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štúdie bolo prežívanie bez progresie. Kombinovaná analýza oboch štúdií preukázala, že k progresii</w:t>
      </w:r>
    </w:p>
    <w:p w14:paraId="07E310FE" w14:textId="701BE1C8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došlo u 83%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ktorým sa podával fulvestrant</w:t>
      </w:r>
      <w:r w:rsidR="008511E6" w:rsidRPr="003C065E">
        <w:rPr>
          <w:rFonts w:ascii="Times New Roman" w:eastAsia="TimesNewRoman" w:hAnsi="Times New Roman"/>
          <w:lang w:val="sk-SK"/>
        </w:rPr>
        <w:t>,</w:t>
      </w:r>
      <w:r w:rsidRPr="003C065E">
        <w:rPr>
          <w:rFonts w:ascii="Times New Roman" w:eastAsia="TimesNewRoman" w:hAnsi="Times New Roman"/>
          <w:lang w:val="sk-SK"/>
        </w:rPr>
        <w:t xml:space="preserve"> oproti 85%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ktoré užívali anastrozol.</w:t>
      </w:r>
    </w:p>
    <w:p w14:paraId="310CDB2C" w14:textId="61AF2A2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Kombinovaná analýza oboch štúdií poukázala na to, že pomer rizika fulvestrantu 250 mg a</w:t>
      </w:r>
      <w:r w:rsidR="008511E6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anastrozolu</w:t>
      </w:r>
      <w:r w:rsidR="008511E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z hľadiska prežívania bez progresie predstavoval 0,95 (95% CI 0,82 až 1,10). Objektívna miera</w:t>
      </w:r>
      <w:r w:rsidR="008511E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odpovede bola pre fulvestrant 250 mg 19,2% v porovnaní so 16,5% pre anastrozol. Medián času do</w:t>
      </w:r>
      <w:r w:rsidR="008511E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úmrtia bol 27,4 mesiacov u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 xml:space="preserve">liečených fulvestrantom a 27,6 mesiacov u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liečených</w:t>
      </w:r>
      <w:r w:rsidR="008511E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anastrozolom. Pomer rizika pre fulvestrant 250 mg k anastrozolu v čase do úmrtia bol 1,01 (95% CI</w:t>
      </w:r>
      <w:r w:rsidR="008511E6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0,86 až 1,19).</w:t>
      </w:r>
    </w:p>
    <w:p w14:paraId="5540E327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3557238A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3C065E">
        <w:rPr>
          <w:rFonts w:ascii="Times New Roman" w:eastAsia="TimesNewRoman" w:hAnsi="Times New Roman"/>
          <w:i/>
          <w:iCs/>
          <w:lang w:val="sk-SK"/>
        </w:rPr>
        <w:t>Kombinovaná liečba s palbociklibom</w:t>
      </w:r>
    </w:p>
    <w:p w14:paraId="6AFB2CD6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Medzinárodná, randomizovaná, dvojito-zaslepená, multicentrická štúdia fázy 3 s paralelnými</w:t>
      </w:r>
    </w:p>
    <w:p w14:paraId="40F4076D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skupinami porovnávajúca fulvestrant 500 mg plus palbociklib 125 mg oproti fulvestrantu 500 mg plus</w:t>
      </w:r>
    </w:p>
    <w:p w14:paraId="6CCDB9D6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placebo sa vykonala u žien s HR-pozitívnym, HER2-negatívnym lokálne pokročilým karcinómom</w:t>
      </w:r>
    </w:p>
    <w:p w14:paraId="2B5F2D65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prsníka nevhodným na resekciu alebo rádioterapiu s kuratívnym zámerom alebo s metastatickým</w:t>
      </w:r>
    </w:p>
    <w:p w14:paraId="7D5D4FD5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karcinómom prsníka, nezávisle od ich menopauzálneho stavu, s progresiou ochorenia po</w:t>
      </w:r>
    </w:p>
    <w:p w14:paraId="7FCC9DE7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predchádzajúcej endokrinnej liečbe v (neo)adjuvantnom použití alebo použití pri metastatickom</w:t>
      </w:r>
    </w:p>
    <w:p w14:paraId="67D2AD1D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ochorení.</w:t>
      </w:r>
    </w:p>
    <w:p w14:paraId="184817AA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3D2BD989" w14:textId="17F0F8CF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Celkovo 521 pre/peri</w:t>
      </w:r>
      <w:r w:rsidR="002F3DE1" w:rsidRPr="003C065E">
        <w:rPr>
          <w:rFonts w:ascii="Times New Roman" w:eastAsia="TimesNewRoman" w:hAnsi="Times New Roman"/>
          <w:lang w:val="sk-SK"/>
        </w:rPr>
        <w:t>- a post</w:t>
      </w:r>
      <w:r w:rsidRPr="003C065E">
        <w:rPr>
          <w:rFonts w:ascii="Times New Roman" w:eastAsia="TimesNewRoman" w:hAnsi="Times New Roman"/>
          <w:lang w:val="sk-SK"/>
        </w:rPr>
        <w:t>menopauzálnych žien, ktorých ochorenie progre</w:t>
      </w:r>
      <w:r w:rsidR="0064283C">
        <w:rPr>
          <w:rFonts w:ascii="Times New Roman" w:eastAsia="TimesNewRoman" w:hAnsi="Times New Roman"/>
          <w:lang w:val="sk-SK"/>
        </w:rPr>
        <w:t>d</w:t>
      </w:r>
      <w:r w:rsidRPr="003C065E">
        <w:rPr>
          <w:rFonts w:ascii="Times New Roman" w:eastAsia="TimesNewRoman" w:hAnsi="Times New Roman"/>
          <w:lang w:val="sk-SK"/>
        </w:rPr>
        <w:t>ovalo v priebehu 12 mesiacov</w:t>
      </w:r>
      <w:r w:rsidR="002F3DE1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od ukončenia adjuvantnej endokrinnej liečby alebo počas nej, či v rámci 1 mesiaca po endokrinnej</w:t>
      </w:r>
      <w:r w:rsidR="002F3DE1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liečbe pokročilého ochorenia, alebo počas nej, bolo randomizovaných v pomere 2:1 do skupín</w:t>
      </w:r>
      <w:r w:rsidR="002F3DE1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fulvestrant plus palbociklib alebo fulvestrant plus placebo a stratifikovaných podľa zdokumentovanej</w:t>
      </w:r>
      <w:r w:rsidR="002F3DE1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citlivosti na predchádzajúcu hormonálnu liečbu, menopauzálneho stavu pri vstupe do štúdie (pre/perimenopauzálne oproti postmenopauzálnym) a prítomnosti viscerálnych metastáz.</w:t>
      </w:r>
    </w:p>
    <w:p w14:paraId="32E11A38" w14:textId="53AE990D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Pre/perimenopauzálne ženy dostali agonistu LHRH, goserelín. </w:t>
      </w:r>
      <w:r w:rsidR="0014199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Pacientky</w:t>
      </w:r>
      <w:r w:rsidR="0014199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s</w:t>
      </w:r>
      <w:r w:rsidR="00141990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pokročilým</w:t>
      </w:r>
      <w:r w:rsidR="00141990" w:rsidRPr="003C065E">
        <w:rPr>
          <w:rFonts w:ascii="Times New Roman" w:eastAsia="TimesNewRoman" w:hAnsi="Times New Roman"/>
          <w:lang w:val="sk-SK"/>
        </w:rPr>
        <w:t xml:space="preserve">/ metastatickým, </w:t>
      </w:r>
      <w:r w:rsidRPr="003C065E">
        <w:rPr>
          <w:rFonts w:ascii="Times New Roman" w:eastAsia="TimesNewRoman" w:hAnsi="Times New Roman"/>
          <w:lang w:val="sk-SK"/>
        </w:rPr>
        <w:t xml:space="preserve">symptomatickým, viscerálnym </w:t>
      </w:r>
      <w:r w:rsidRPr="00B36322">
        <w:rPr>
          <w:rFonts w:ascii="Times New Roman" w:eastAsia="TimesNewRoman" w:hAnsi="Times New Roman"/>
          <w:lang w:val="sk-SK"/>
        </w:rPr>
        <w:t>rozsevom</w:t>
      </w:r>
      <w:r w:rsidRPr="003C065E">
        <w:rPr>
          <w:rFonts w:ascii="Times New Roman" w:eastAsia="TimesNewRoman" w:hAnsi="Times New Roman"/>
          <w:lang w:val="sk-SK"/>
        </w:rPr>
        <w:t>, ktoré mali riziko život ohrozujúcich komplikácií</w:t>
      </w:r>
      <w:r w:rsidR="0014199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v krátkej dobe (vrátane </w:t>
      </w:r>
      <w:r w:rsidR="003F5D5F" w:rsidRPr="003C065E">
        <w:rPr>
          <w:rFonts w:ascii="Times New Roman" w:eastAsia="TimesNewRoman" w:hAnsi="Times New Roman"/>
          <w:lang w:val="sk-SK"/>
        </w:rPr>
        <w:t>pacient</w:t>
      </w:r>
      <w:r w:rsidR="003F5D5F">
        <w:rPr>
          <w:rFonts w:ascii="Times New Roman" w:eastAsia="TimesNewRoman" w:hAnsi="Times New Roman"/>
          <w:lang w:val="sk-SK"/>
        </w:rPr>
        <w:t>o</w:t>
      </w:r>
      <w:r w:rsidR="003F5D5F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s</w:t>
      </w:r>
      <w:r w:rsidR="00141990" w:rsidRPr="003C065E">
        <w:rPr>
          <w:rFonts w:ascii="Times New Roman" w:eastAsia="TimesNewRoman" w:hAnsi="Times New Roman"/>
          <w:lang w:val="sk-SK"/>
        </w:rPr>
        <w:t> </w:t>
      </w:r>
      <w:r w:rsidRPr="003C065E">
        <w:rPr>
          <w:rFonts w:ascii="Times New Roman" w:eastAsia="TimesNewRoman" w:hAnsi="Times New Roman"/>
          <w:lang w:val="sk-SK"/>
        </w:rPr>
        <w:t>masívnymi</w:t>
      </w:r>
      <w:r w:rsidR="0014199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nekontrolovanými výpotkami [pleurálny,</w:t>
      </w:r>
      <w:r w:rsidR="0014199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perikardiálny, peritoneálny], pľúcnou lymfangitídou a viac ako 50% postihnutím pečene), neboli</w:t>
      </w:r>
      <w:r w:rsidR="00141990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vhodné pre zaradenie do štúdie.</w:t>
      </w:r>
    </w:p>
    <w:p w14:paraId="00B7B043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21F1AC9E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Pacientky pokračovali v užívaní priradenej liečby, kým nedošlo k objektívnej progresii ochorenia,</w:t>
      </w:r>
    </w:p>
    <w:p w14:paraId="4F77FEAB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symptomatickému zhoršeniu, neprijateľnej toxicite, úmrtiu alebo zrušeniu súhlasu, podľa toho, čo sa</w:t>
      </w:r>
    </w:p>
    <w:p w14:paraId="4971C039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vyskytlo ako prvé. Prestup z jednej liečebnej skupiny do druhej nebol povolený.</w:t>
      </w:r>
    </w:p>
    <w:p w14:paraId="5AC1EFB8" w14:textId="77777777" w:rsidR="00141990" w:rsidRPr="003C065E" w:rsidRDefault="00141990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2BE821A0" w14:textId="3D78C2AE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Rozdelenie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podľa vstupných demografických a prognostických charakteristík do skupiny</w:t>
      </w:r>
    </w:p>
    <w:p w14:paraId="035EC594" w14:textId="10E3AC38" w:rsidR="001F757B" w:rsidRPr="003C065E" w:rsidRDefault="001F757B" w:rsidP="001F757B">
      <w:pPr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</w:t>
      </w:r>
      <w:r w:rsidRPr="003C065E">
        <w:rPr>
          <w:rFonts w:ascii="Times New Roman" w:eastAsia="TimesNewRoman" w:hAnsi="Times New Roman"/>
          <w:lang w:val="sk-SK"/>
        </w:rPr>
        <w:t xml:space="preserve">plus palbociklib a skupiny </w:t>
      </w:r>
      <w:r w:rsidRPr="003C065E">
        <w:rPr>
          <w:rFonts w:ascii="Times New Roman" w:hAnsi="Times New Roman"/>
          <w:lang w:val="sk-SK"/>
        </w:rPr>
        <w:t xml:space="preserve">fulvestrant </w:t>
      </w:r>
      <w:r w:rsidRPr="003C065E">
        <w:rPr>
          <w:rFonts w:ascii="Times New Roman" w:eastAsia="TimesNewRoman" w:hAnsi="Times New Roman"/>
          <w:lang w:val="sk-SK"/>
        </w:rPr>
        <w:t xml:space="preserve">plus placebo bolo vyvážené. Medián veku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>k</w:t>
      </w:r>
    </w:p>
    <w:p w14:paraId="65CE790F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zaradených do tejto štúdie bol 57 rokov (rozsah 29 až 88). V každej liečebnej skupine bola väčšina</w:t>
      </w:r>
    </w:p>
    <w:p w14:paraId="3D071A6D" w14:textId="6CD42B69" w:rsidR="001F757B" w:rsidRPr="003C065E" w:rsidRDefault="00F3176D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pacient</w:t>
      </w:r>
      <w:r>
        <w:rPr>
          <w:rFonts w:ascii="Times New Roman" w:eastAsia="TimesNewRoman" w:hAnsi="Times New Roman"/>
          <w:lang w:val="sk-SK"/>
        </w:rPr>
        <w:t>o</w:t>
      </w:r>
      <w:r w:rsidRPr="003C065E">
        <w:rPr>
          <w:rFonts w:ascii="Times New Roman" w:eastAsia="TimesNewRoman" w:hAnsi="Times New Roman"/>
          <w:lang w:val="sk-SK"/>
        </w:rPr>
        <w:t xml:space="preserve">k </w:t>
      </w:r>
      <w:r w:rsidR="001F757B" w:rsidRPr="003C065E">
        <w:rPr>
          <w:rFonts w:ascii="Times New Roman" w:eastAsia="TimesNewRoman" w:hAnsi="Times New Roman"/>
          <w:lang w:val="sk-SK"/>
        </w:rPr>
        <w:t>bielej rasy s dokumentovanou citlivosťou na predchádzajúcu hormonálnu liečbu a po</w:t>
      </w:r>
    </w:p>
    <w:p w14:paraId="1735DDED" w14:textId="77777777" w:rsidR="002E6619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menopauze. </w:t>
      </w:r>
    </w:p>
    <w:p w14:paraId="5C64DE5B" w14:textId="2D1798B9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Približne 20%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bolo pre/perimenopauzálnych. Všetky pacientky dostali</w:t>
      </w:r>
      <w:r w:rsidR="002E661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predchádzajúcu systémovú liečbu a väčšina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v každej z liečebných skupín dostala</w:t>
      </w:r>
      <w:r w:rsidR="002E661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predchádzajúcu chemoterapiu kvôli primárnej diagnóze. ECOG skóre PS = 0 mala viac ako polovica</w:t>
      </w:r>
      <w:r w:rsidR="002E661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(62%)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, 60% malo viscerálne metastázy a 60% dostalo viac ako 1 predchádzajúcu</w:t>
      </w:r>
      <w:r w:rsidR="002E661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hormonálnu liečbu kvôli ich primárnej diagnóze.</w:t>
      </w:r>
    </w:p>
    <w:p w14:paraId="24B3267F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07D89D06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Primárnym cieľom štúdie bolo skúšajúcim lekárom hodnotené PFS podľa kritérií RECIST 1.1.</w:t>
      </w:r>
    </w:p>
    <w:p w14:paraId="1C0C9C37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Podporné PFS analýzy boli založené na nezávislej centrálnej rádiologickej kontrole. Sekundárne ciele</w:t>
      </w:r>
    </w:p>
    <w:p w14:paraId="2AD1A3D4" w14:textId="6B976592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zahŕňali OR, CBR, </w:t>
      </w:r>
      <w:r w:rsidR="00584C27" w:rsidRPr="003C065E">
        <w:rPr>
          <w:rFonts w:ascii="Times New Roman" w:eastAsia="TimesNewRoman" w:hAnsi="Times New Roman"/>
          <w:lang w:val="sk-SK"/>
        </w:rPr>
        <w:t xml:space="preserve">celkové prežívanie (overall survival, </w:t>
      </w:r>
      <w:r w:rsidRPr="003C065E">
        <w:rPr>
          <w:rFonts w:ascii="Times New Roman" w:eastAsia="TimesNewRoman" w:hAnsi="Times New Roman"/>
          <w:lang w:val="sk-SK"/>
        </w:rPr>
        <w:t>OS</w:t>
      </w:r>
      <w:r w:rsidR="00584C27" w:rsidRPr="003C065E">
        <w:rPr>
          <w:rFonts w:ascii="Times New Roman" w:eastAsia="TimesNewRoman" w:hAnsi="Times New Roman"/>
          <w:lang w:val="sk-SK"/>
        </w:rPr>
        <w:t>)</w:t>
      </w:r>
      <w:r w:rsidRPr="003C065E">
        <w:rPr>
          <w:rFonts w:ascii="Times New Roman" w:eastAsia="TimesNewRoman" w:hAnsi="Times New Roman"/>
          <w:lang w:val="sk-SK"/>
        </w:rPr>
        <w:t>, bezpečnosť a čas do zhoršenia bolesti (time-to-deterioration, TTD).</w:t>
      </w:r>
    </w:p>
    <w:p w14:paraId="4786B82F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654B772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Štúdia splnila svoj primárny cieľ, predĺženie PFS hodnotené skúšajúcim lekárom pri predbežnej</w:t>
      </w:r>
    </w:p>
    <w:p w14:paraId="4B0E581F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analýze vykonanej pri 82% plánovaných PFS udalostí; výsledky prekročili vopred špecifikovanú</w:t>
      </w:r>
    </w:p>
    <w:p w14:paraId="00577096" w14:textId="2A20716D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lastRenderedPageBreak/>
        <w:t>Haybittle-Petovu hranicu účinnosti (α = 0,00135)</w:t>
      </w:r>
      <w:r w:rsidR="00584C27" w:rsidRPr="003C065E">
        <w:rPr>
          <w:rFonts w:ascii="Times New Roman" w:eastAsia="TimesNewRoman" w:hAnsi="Times New Roman"/>
          <w:lang w:val="sk-SK"/>
        </w:rPr>
        <w:t>,</w:t>
      </w:r>
      <w:r w:rsidRPr="003C065E">
        <w:rPr>
          <w:rFonts w:ascii="Times New Roman" w:eastAsia="TimesNewRoman" w:hAnsi="Times New Roman"/>
          <w:lang w:val="sk-SK"/>
        </w:rPr>
        <w:t xml:space="preserve"> dokazujúc tak štatisticky významné predĺženie PFS</w:t>
      </w:r>
    </w:p>
    <w:p w14:paraId="3586DD5F" w14:textId="39AC1EEA" w:rsidR="001F757B" w:rsidRPr="003C065E" w:rsidRDefault="001F757B" w:rsidP="001F75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a klinicky významný účinok liečby. Novšia aktualizácia údajov o účinnosti je uvedená v tabuľke 5.</w:t>
      </w:r>
    </w:p>
    <w:p w14:paraId="1B2AD951" w14:textId="55DFB7E4" w:rsidR="00584C27" w:rsidRPr="003C065E" w:rsidRDefault="00584C27" w:rsidP="001F75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029E79E7" w14:textId="6FDFF47A" w:rsidR="00584C27" w:rsidRPr="003C065E" w:rsidRDefault="00584C27" w:rsidP="001F75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Finálna analýza OS sa uskutočnila po uplynutí mediánu doby sledovania 45 mesiacov vychádzajúc z 310 udalostí (60% randomizovaných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>k</w:t>
      </w:r>
      <w:r w:rsidRPr="003C065E">
        <w:rPr>
          <w:rFonts w:ascii="Times New Roman" w:eastAsia="TimesNewRoman" w:hAnsi="Times New Roman"/>
          <w:lang w:val="sk-SK"/>
        </w:rPr>
        <w:t>). V skupine s palbociklibom plus fulvestrant sa pozoroval 6,9-mesačný rozdiel v mediáne OS v porovnaní s placebom plus fulvestrant; tento výsledok nebol štatisticky významný vo vopred špecifikovanej hladine významnosti 0,</w:t>
      </w:r>
      <w:r w:rsidR="004B3368" w:rsidRPr="003C065E">
        <w:rPr>
          <w:rFonts w:ascii="Times New Roman" w:eastAsia="TimesNewRoman" w:hAnsi="Times New Roman"/>
          <w:lang w:val="sk-SK"/>
        </w:rPr>
        <w:t>0</w:t>
      </w:r>
      <w:r w:rsidRPr="003C065E">
        <w:rPr>
          <w:rFonts w:ascii="Times New Roman" w:eastAsia="TimesNewRoman" w:hAnsi="Times New Roman"/>
          <w:lang w:val="sk-SK"/>
        </w:rPr>
        <w:t xml:space="preserve">235 (1-stranný). V skupine s placebom plus fulvestrant 15,5% randomizovaných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dostávalo palbociklib a iné inhibítory CDK ako následnú liečbu po progresii.</w:t>
      </w:r>
    </w:p>
    <w:p w14:paraId="11E745CE" w14:textId="7DB2E207" w:rsidR="001F757B" w:rsidRPr="003C065E" w:rsidRDefault="00584C27" w:rsidP="001F75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Výsledky PFS a finálneho OS hodnotené skúšajúcim </w:t>
      </w:r>
      <w:r w:rsidR="00BB473D" w:rsidRPr="003C065E">
        <w:rPr>
          <w:rFonts w:ascii="Times New Roman" w:eastAsia="TimesNewRoman" w:hAnsi="Times New Roman"/>
          <w:lang w:val="sk-SK"/>
        </w:rPr>
        <w:t xml:space="preserve">lekárom </w:t>
      </w:r>
      <w:r w:rsidRPr="003C065E">
        <w:rPr>
          <w:rFonts w:ascii="Times New Roman" w:eastAsia="TimesNewRoman" w:hAnsi="Times New Roman"/>
          <w:lang w:val="sk-SK"/>
        </w:rPr>
        <w:t>zo štúdie PALOMA3 sú uvedené v tabuľke 5. Príslušné Kaplanove-Meierove krivky sú znázornené na obrázk</w:t>
      </w:r>
      <w:r w:rsidR="004B3368" w:rsidRPr="003C065E">
        <w:rPr>
          <w:rFonts w:ascii="Times New Roman" w:eastAsia="TimesNewRoman" w:hAnsi="Times New Roman"/>
          <w:lang w:val="sk-SK"/>
        </w:rPr>
        <w:t>och</w:t>
      </w:r>
      <w:r w:rsidRPr="003C065E">
        <w:rPr>
          <w:rFonts w:ascii="Times New Roman" w:eastAsia="TimesNewRoman" w:hAnsi="Times New Roman"/>
          <w:lang w:val="sk-SK"/>
        </w:rPr>
        <w:t xml:space="preserve"> 2 a 3. </w:t>
      </w:r>
    </w:p>
    <w:p w14:paraId="1F914FCB" w14:textId="77777777" w:rsidR="00364247" w:rsidRPr="003C065E" w:rsidRDefault="00364247" w:rsidP="001F757B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3A66B6FE" w14:textId="3DD43F45" w:rsidR="001F757B" w:rsidRPr="003C065E" w:rsidRDefault="001F757B" w:rsidP="002E661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Tabuľka 5 </w:t>
      </w:r>
      <w:r w:rsidR="002E6619" w:rsidRPr="003C065E">
        <w:rPr>
          <w:rFonts w:ascii="Times New Roman" w:eastAsia="TimesNewRoman,Bold" w:hAnsi="Times New Roman"/>
          <w:b/>
          <w:bCs/>
          <w:lang w:val="sk-SK"/>
        </w:rPr>
        <w:tab/>
      </w:r>
      <w:r w:rsidRPr="003C065E">
        <w:rPr>
          <w:rFonts w:ascii="Times New Roman" w:eastAsia="TimesNewRoman,Bold" w:hAnsi="Times New Roman"/>
          <w:b/>
          <w:bCs/>
          <w:lang w:val="sk-SK"/>
        </w:rPr>
        <w:t xml:space="preserve">Výsledky účinnosti – štúdia PALOMA3 (hodnotené skúšajúcim </w:t>
      </w:r>
      <w:r w:rsidR="00BB473D" w:rsidRPr="003C065E">
        <w:rPr>
          <w:rFonts w:ascii="Times New Roman" w:eastAsia="TimesNewRoman,Bold" w:hAnsi="Times New Roman"/>
          <w:b/>
          <w:bCs/>
          <w:lang w:val="sk-SK"/>
        </w:rPr>
        <w:t xml:space="preserve">lekárom </w:t>
      </w:r>
      <w:r w:rsidR="00BB473D" w:rsidRPr="003C065E">
        <w:rPr>
          <w:rFonts w:ascii="Times New Roman" w:eastAsia="TimesNewRoman,Bold" w:hAnsi="Times New Roman"/>
          <w:b/>
          <w:bCs/>
          <w:lang w:val="sk-SK"/>
        </w:rPr>
        <w:br/>
      </w:r>
      <w:r w:rsidRPr="003C065E">
        <w:rPr>
          <w:rFonts w:ascii="Times New Roman" w:eastAsia="TimesNewRoman,Bold" w:hAnsi="Times New Roman"/>
          <w:b/>
          <w:bCs/>
          <w:lang w:val="sk-SK"/>
        </w:rPr>
        <w:t>v populácii podľa</w:t>
      </w:r>
      <w:r w:rsidR="002E6619" w:rsidRPr="003C065E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Pr="003C065E">
        <w:rPr>
          <w:rFonts w:ascii="Times New Roman" w:eastAsia="TimesNewRoman,Bold" w:hAnsi="Times New Roman"/>
          <w:b/>
          <w:bCs/>
          <w:lang w:val="sk-SK"/>
        </w:rPr>
        <w:t>liečebného zámeru)</w:t>
      </w:r>
    </w:p>
    <w:p w14:paraId="1186FE3A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3007"/>
        <w:gridCol w:w="3007"/>
      </w:tblGrid>
      <w:tr w:rsidR="001F757B" w:rsidRPr="003C065E" w14:paraId="2306A3A9" w14:textId="77777777" w:rsidTr="00C34288">
        <w:tc>
          <w:tcPr>
            <w:tcW w:w="3002" w:type="dxa"/>
            <w:vMerge w:val="restart"/>
            <w:shd w:val="clear" w:color="auto" w:fill="auto"/>
          </w:tcPr>
          <w:p w14:paraId="02D3A348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6014" w:type="dxa"/>
            <w:gridSpan w:val="2"/>
            <w:shd w:val="clear" w:color="auto" w:fill="auto"/>
          </w:tcPr>
          <w:p w14:paraId="0C2BBB14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Aktualizovaná analýza</w:t>
            </w:r>
          </w:p>
          <w:p w14:paraId="04B4B168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(ukončenie zberu údajov 23. októbra 2015)</w:t>
            </w:r>
          </w:p>
        </w:tc>
      </w:tr>
      <w:tr w:rsidR="001F757B" w:rsidRPr="003C065E" w14:paraId="3ACB333E" w14:textId="77777777" w:rsidTr="00C34288">
        <w:tc>
          <w:tcPr>
            <w:tcW w:w="3002" w:type="dxa"/>
            <w:vMerge/>
            <w:shd w:val="clear" w:color="auto" w:fill="auto"/>
          </w:tcPr>
          <w:p w14:paraId="50C16084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007" w:type="dxa"/>
            <w:shd w:val="clear" w:color="auto" w:fill="auto"/>
          </w:tcPr>
          <w:p w14:paraId="25A07DE6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 palbociclib</w:t>
            </w:r>
          </w:p>
          <w:p w14:paraId="190AA125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(N=347)</w:t>
            </w:r>
          </w:p>
        </w:tc>
        <w:tc>
          <w:tcPr>
            <w:tcW w:w="3007" w:type="dxa"/>
            <w:shd w:val="clear" w:color="auto" w:fill="auto"/>
          </w:tcPr>
          <w:p w14:paraId="47D4D1F2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 placebo</w:t>
            </w:r>
          </w:p>
          <w:p w14:paraId="4A871205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(N=174)</w:t>
            </w:r>
          </w:p>
        </w:tc>
      </w:tr>
      <w:tr w:rsidR="001F757B" w:rsidRPr="003C065E" w14:paraId="4733FF9B" w14:textId="77777777" w:rsidTr="00C34288">
        <w:tc>
          <w:tcPr>
            <w:tcW w:w="3002" w:type="dxa"/>
            <w:shd w:val="clear" w:color="auto" w:fill="auto"/>
          </w:tcPr>
          <w:p w14:paraId="20799ACE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Prežívanie bez progresie</w:t>
            </w:r>
          </w:p>
        </w:tc>
        <w:tc>
          <w:tcPr>
            <w:tcW w:w="3007" w:type="dxa"/>
            <w:shd w:val="clear" w:color="auto" w:fill="auto"/>
          </w:tcPr>
          <w:p w14:paraId="74349D09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</w:p>
        </w:tc>
        <w:tc>
          <w:tcPr>
            <w:tcW w:w="3007" w:type="dxa"/>
            <w:shd w:val="clear" w:color="auto" w:fill="auto"/>
          </w:tcPr>
          <w:p w14:paraId="2179580F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</w:tr>
      <w:tr w:rsidR="001F757B" w:rsidRPr="003C065E" w14:paraId="56C4A707" w14:textId="77777777" w:rsidTr="00C34288">
        <w:tc>
          <w:tcPr>
            <w:tcW w:w="3002" w:type="dxa"/>
            <w:shd w:val="clear" w:color="auto" w:fill="auto"/>
          </w:tcPr>
          <w:p w14:paraId="30E1B414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Medián [mesiace (95% CI)]</w:t>
            </w:r>
          </w:p>
        </w:tc>
        <w:tc>
          <w:tcPr>
            <w:tcW w:w="3007" w:type="dxa"/>
            <w:shd w:val="clear" w:color="auto" w:fill="auto"/>
          </w:tcPr>
          <w:p w14:paraId="5DC623C7" w14:textId="453FB97B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11,2 (9,5</w:t>
            </w:r>
            <w:r w:rsidR="006D692E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12,9)</w:t>
            </w:r>
          </w:p>
        </w:tc>
        <w:tc>
          <w:tcPr>
            <w:tcW w:w="3007" w:type="dxa"/>
            <w:shd w:val="clear" w:color="auto" w:fill="auto"/>
          </w:tcPr>
          <w:p w14:paraId="15577232" w14:textId="09FC842D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4,6 (3,5</w:t>
            </w:r>
            <w:r w:rsidR="006D692E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5,6)</w:t>
            </w:r>
          </w:p>
        </w:tc>
      </w:tr>
      <w:tr w:rsidR="001F757B" w:rsidRPr="003C065E" w14:paraId="27763BAD" w14:textId="77777777" w:rsidTr="00C34288">
        <w:tc>
          <w:tcPr>
            <w:tcW w:w="3002" w:type="dxa"/>
            <w:shd w:val="clear" w:color="auto" w:fill="auto"/>
          </w:tcPr>
          <w:p w14:paraId="5148A097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Pomer rizika (95% CI) </w:t>
            </w:r>
          </w:p>
          <w:p w14:paraId="6A45B405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a hodnota p</w:t>
            </w:r>
          </w:p>
        </w:tc>
        <w:tc>
          <w:tcPr>
            <w:tcW w:w="6014" w:type="dxa"/>
            <w:gridSpan w:val="2"/>
            <w:shd w:val="clear" w:color="auto" w:fill="auto"/>
          </w:tcPr>
          <w:p w14:paraId="0F1804A1" w14:textId="3882A7AE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0,497 (0,398</w:t>
            </w:r>
            <w:r w:rsidR="00C3428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0,620), p &lt;0.000001</w:t>
            </w:r>
          </w:p>
        </w:tc>
      </w:tr>
      <w:tr w:rsidR="001F757B" w:rsidRPr="003C065E" w14:paraId="040192BE" w14:textId="77777777" w:rsidTr="00C34288">
        <w:tc>
          <w:tcPr>
            <w:tcW w:w="9016" w:type="dxa"/>
            <w:gridSpan w:val="3"/>
            <w:shd w:val="clear" w:color="auto" w:fill="auto"/>
          </w:tcPr>
          <w:p w14:paraId="7DDC359C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Sekundárne ciele*</w:t>
            </w:r>
          </w:p>
        </w:tc>
      </w:tr>
      <w:tr w:rsidR="001F757B" w:rsidRPr="003C065E" w14:paraId="022CF63E" w14:textId="77777777" w:rsidTr="00C34288">
        <w:tc>
          <w:tcPr>
            <w:tcW w:w="3002" w:type="dxa"/>
            <w:shd w:val="clear" w:color="auto" w:fill="auto"/>
          </w:tcPr>
          <w:p w14:paraId="4B673A3F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OR [% (95% CI)]</w:t>
            </w:r>
          </w:p>
        </w:tc>
        <w:tc>
          <w:tcPr>
            <w:tcW w:w="3007" w:type="dxa"/>
            <w:shd w:val="clear" w:color="auto" w:fill="auto"/>
          </w:tcPr>
          <w:p w14:paraId="523257B4" w14:textId="165AEE93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26,2 (21,7</w:t>
            </w:r>
            <w:r w:rsidR="006D692E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31,2)</w:t>
            </w:r>
          </w:p>
        </w:tc>
        <w:tc>
          <w:tcPr>
            <w:tcW w:w="3007" w:type="dxa"/>
            <w:shd w:val="clear" w:color="auto" w:fill="auto"/>
          </w:tcPr>
          <w:p w14:paraId="705B85E8" w14:textId="28E025A4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13,8 (9,0</w:t>
            </w:r>
            <w:r w:rsidR="006D692E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19,8)</w:t>
            </w:r>
          </w:p>
        </w:tc>
      </w:tr>
      <w:tr w:rsidR="001F757B" w:rsidRPr="003C065E" w14:paraId="704797FC" w14:textId="77777777" w:rsidTr="00C34288">
        <w:tc>
          <w:tcPr>
            <w:tcW w:w="3002" w:type="dxa"/>
            <w:shd w:val="clear" w:color="auto" w:fill="auto"/>
          </w:tcPr>
          <w:p w14:paraId="11EF5DCD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OR (merateľné ochorenie) [% </w:t>
            </w:r>
          </w:p>
          <w:p w14:paraId="26EE3A92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(95% CI)]</w:t>
            </w:r>
          </w:p>
        </w:tc>
        <w:tc>
          <w:tcPr>
            <w:tcW w:w="3007" w:type="dxa"/>
            <w:shd w:val="clear" w:color="auto" w:fill="auto"/>
          </w:tcPr>
          <w:p w14:paraId="1C49CD41" w14:textId="61E17E1F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33,7 (28,1</w:t>
            </w:r>
            <w:r w:rsidR="006D692E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39,7)</w:t>
            </w:r>
          </w:p>
        </w:tc>
        <w:tc>
          <w:tcPr>
            <w:tcW w:w="3007" w:type="dxa"/>
            <w:shd w:val="clear" w:color="auto" w:fill="auto"/>
          </w:tcPr>
          <w:p w14:paraId="565404C3" w14:textId="2FD352DA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17,4 (11,5</w:t>
            </w:r>
            <w:r w:rsidR="006D692E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24,8)</w:t>
            </w:r>
          </w:p>
        </w:tc>
      </w:tr>
      <w:tr w:rsidR="00C34288" w:rsidRPr="003C065E" w14:paraId="1CCF68E3" w14:textId="77777777" w:rsidTr="00C34288">
        <w:tc>
          <w:tcPr>
            <w:tcW w:w="3002" w:type="dxa"/>
            <w:shd w:val="clear" w:color="auto" w:fill="auto"/>
          </w:tcPr>
          <w:p w14:paraId="029DAF9C" w14:textId="091EC6A6" w:rsidR="00C34288" w:rsidRPr="006330DA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CBR [% (95% </w:t>
            </w:r>
            <w:r w:rsidRPr="006330DA">
              <w:rPr>
                <w:rFonts w:ascii="Times New Roman" w:eastAsia="TimesNewRoman,Bold" w:hAnsi="Times New Roman"/>
                <w:color w:val="000000"/>
                <w:lang w:val="sk-SK"/>
              </w:rPr>
              <w:t>CI)]</w:t>
            </w:r>
          </w:p>
        </w:tc>
        <w:tc>
          <w:tcPr>
            <w:tcW w:w="3007" w:type="dxa"/>
            <w:shd w:val="clear" w:color="auto" w:fill="auto"/>
          </w:tcPr>
          <w:p w14:paraId="7666A9C4" w14:textId="4BBE404D" w:rsidR="00C34288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68,0 (62,8; 72,9)</w:t>
            </w:r>
          </w:p>
        </w:tc>
        <w:tc>
          <w:tcPr>
            <w:tcW w:w="3007" w:type="dxa"/>
            <w:shd w:val="clear" w:color="auto" w:fill="auto"/>
          </w:tcPr>
          <w:p w14:paraId="5B8BC9F3" w14:textId="07EA1010" w:rsidR="00C34288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39,7 (32,3; 47,3)</w:t>
            </w:r>
          </w:p>
        </w:tc>
      </w:tr>
      <w:tr w:rsidR="00C34288" w:rsidRPr="003C065E" w14:paraId="66521BAE" w14:textId="77777777" w:rsidTr="00605700">
        <w:tc>
          <w:tcPr>
            <w:tcW w:w="9016" w:type="dxa"/>
            <w:gridSpan w:val="3"/>
            <w:shd w:val="clear" w:color="auto" w:fill="auto"/>
          </w:tcPr>
          <w:p w14:paraId="395608B8" w14:textId="77777777" w:rsidR="00C34288" w:rsidRPr="006330DA" w:rsidRDefault="00C34288" w:rsidP="00C3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Finálne celkové prežívanie (OS)</w:t>
            </w:r>
          </w:p>
          <w:p w14:paraId="781204E1" w14:textId="22C91286" w:rsidR="00C34288" w:rsidRPr="003C065E" w:rsidRDefault="00C34288" w:rsidP="00C3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(ukončenie zberu údajov 13. apríla 2018)</w:t>
            </w:r>
          </w:p>
        </w:tc>
      </w:tr>
      <w:tr w:rsidR="001F757B" w:rsidRPr="003C065E" w14:paraId="2FFFF687" w14:textId="77777777" w:rsidTr="00C34288">
        <w:tc>
          <w:tcPr>
            <w:tcW w:w="3002" w:type="dxa"/>
            <w:shd w:val="clear" w:color="auto" w:fill="auto"/>
          </w:tcPr>
          <w:p w14:paraId="76FCCA6F" w14:textId="2BBF4BA3" w:rsidR="001F757B" w:rsidRPr="006330DA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Počet udalostí (%)</w:t>
            </w:r>
          </w:p>
        </w:tc>
        <w:tc>
          <w:tcPr>
            <w:tcW w:w="3007" w:type="dxa"/>
            <w:shd w:val="clear" w:color="auto" w:fill="auto"/>
          </w:tcPr>
          <w:p w14:paraId="5AEEF790" w14:textId="508774A4" w:rsidR="001F757B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201 (57,9)</w:t>
            </w:r>
          </w:p>
        </w:tc>
        <w:tc>
          <w:tcPr>
            <w:tcW w:w="3007" w:type="dxa"/>
            <w:shd w:val="clear" w:color="auto" w:fill="auto"/>
          </w:tcPr>
          <w:p w14:paraId="1C9C373E" w14:textId="54A73514" w:rsidR="001F757B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109 (62,6)</w:t>
            </w:r>
          </w:p>
        </w:tc>
      </w:tr>
      <w:tr w:rsidR="00C34288" w:rsidRPr="003C065E" w14:paraId="2F3D5A2A" w14:textId="77777777" w:rsidTr="00C34288">
        <w:tc>
          <w:tcPr>
            <w:tcW w:w="3002" w:type="dxa"/>
            <w:shd w:val="clear" w:color="auto" w:fill="auto"/>
          </w:tcPr>
          <w:p w14:paraId="5078570E" w14:textId="70B8FF8A" w:rsidR="00C34288" w:rsidRPr="006330DA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Medián </w:t>
            </w:r>
            <w:r w:rsidRPr="006330DA">
              <w:rPr>
                <w:rFonts w:ascii="Times New Roman" w:eastAsia="TimesNewRoman,Bold" w:hAnsi="Times New Roman"/>
                <w:color w:val="000000"/>
                <w:lang w:val="sk-SK"/>
              </w:rPr>
              <w:t>[mesiace (95% CI)]</w:t>
            </w:r>
          </w:p>
        </w:tc>
        <w:tc>
          <w:tcPr>
            <w:tcW w:w="3007" w:type="dxa"/>
            <w:shd w:val="clear" w:color="auto" w:fill="auto"/>
          </w:tcPr>
          <w:p w14:paraId="33B096B1" w14:textId="55E5B748" w:rsidR="00C34288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34,9 (28,8; 40,0)</w:t>
            </w:r>
          </w:p>
        </w:tc>
        <w:tc>
          <w:tcPr>
            <w:tcW w:w="3007" w:type="dxa"/>
            <w:shd w:val="clear" w:color="auto" w:fill="auto"/>
          </w:tcPr>
          <w:p w14:paraId="1891DFA4" w14:textId="17BCF37E" w:rsidR="00C34288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28,0 (23,6; 34,6)</w:t>
            </w:r>
          </w:p>
        </w:tc>
      </w:tr>
      <w:tr w:rsidR="00C34288" w:rsidRPr="003C065E" w14:paraId="11345950" w14:textId="77777777" w:rsidTr="00605700">
        <w:tc>
          <w:tcPr>
            <w:tcW w:w="3002" w:type="dxa"/>
            <w:shd w:val="clear" w:color="auto" w:fill="auto"/>
          </w:tcPr>
          <w:p w14:paraId="719AEADB" w14:textId="77777777" w:rsidR="00C34288" w:rsidRPr="006330DA" w:rsidRDefault="00C34288" w:rsidP="00C3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Pomer rizika (95% CI) </w:t>
            </w:r>
          </w:p>
          <w:p w14:paraId="12601797" w14:textId="7E64EDF8" w:rsidR="00C34288" w:rsidRPr="003C065E" w:rsidRDefault="00C34288" w:rsidP="00C3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6330DA">
              <w:rPr>
                <w:rFonts w:ascii="Times New Roman" w:eastAsia="TimesNewRoman,Bold" w:hAnsi="Times New Roman"/>
                <w:color w:val="000000"/>
                <w:lang w:val="sk-SK"/>
              </w:rPr>
              <w:t>a p-hodnota</w:t>
            </w:r>
            <w:r w:rsidRPr="0028207B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†</w:t>
            </w:r>
          </w:p>
        </w:tc>
        <w:tc>
          <w:tcPr>
            <w:tcW w:w="6014" w:type="dxa"/>
            <w:gridSpan w:val="2"/>
            <w:shd w:val="clear" w:color="auto" w:fill="auto"/>
          </w:tcPr>
          <w:p w14:paraId="166669C4" w14:textId="77777777" w:rsidR="00C34288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0,814 (0,644; 1,029)</w:t>
            </w:r>
          </w:p>
          <w:p w14:paraId="3F1E872B" w14:textId="3439B72B" w:rsidR="00C34288" w:rsidRPr="003C065E" w:rsidRDefault="00C34288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p=0,0429</w:t>
            </w:r>
            <w:r w:rsidRPr="0028207B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†</w:t>
            </w:r>
          </w:p>
        </w:tc>
      </w:tr>
    </w:tbl>
    <w:p w14:paraId="2881615C" w14:textId="6E73F797" w:rsidR="00C34288" w:rsidRPr="00BC5DE4" w:rsidRDefault="00C34288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CBR = miera klinického prínosu; CI = interval spoľahlivosti; N = počet </w:t>
      </w:r>
      <w:r w:rsidR="00F3176D" w:rsidRPr="003C065E">
        <w:rPr>
          <w:rFonts w:ascii="Times New Roman" w:eastAsia="TimesNewRoman" w:hAnsi="Times New Roman"/>
          <w:sz w:val="20"/>
          <w:szCs w:val="20"/>
          <w:lang w:val="sk-SK"/>
        </w:rPr>
        <w:t>pacient</w:t>
      </w:r>
      <w:r w:rsidR="00F3176D">
        <w:rPr>
          <w:rFonts w:ascii="Times New Roman" w:eastAsia="TimesNewRoman" w:hAnsi="Times New Roman"/>
          <w:sz w:val="20"/>
          <w:szCs w:val="20"/>
          <w:lang w:val="sk-SK"/>
        </w:rPr>
        <w:t>o</w:t>
      </w:r>
      <w:r w:rsidR="00F3176D" w:rsidRPr="006330DA">
        <w:rPr>
          <w:rFonts w:ascii="Times New Roman" w:eastAsia="TimesNewRoman" w:hAnsi="Times New Roman"/>
          <w:sz w:val="20"/>
          <w:szCs w:val="20"/>
          <w:lang w:val="sk-SK"/>
        </w:rPr>
        <w:t>k</w:t>
      </w:r>
      <w:r w:rsidRPr="006330DA">
        <w:rPr>
          <w:rFonts w:ascii="Times New Roman" w:eastAsia="TimesNewRoman" w:hAnsi="Times New Roman"/>
          <w:sz w:val="20"/>
          <w:szCs w:val="20"/>
          <w:lang w:val="sk-SK"/>
        </w:rPr>
        <w:t>; OR = objektívna odpoveď</w:t>
      </w:r>
    </w:p>
    <w:p w14:paraId="6EAAA249" w14:textId="11310455" w:rsidR="00C34288" w:rsidRPr="003C065E" w:rsidRDefault="00C34288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>Výsledky sekundárnych cieľov založené na potvrdených a nepotvrdených odpovediach podľa RECIST 1.1.</w:t>
      </w:r>
    </w:p>
    <w:p w14:paraId="003C6465" w14:textId="20F30E8A" w:rsidR="00C34288" w:rsidRPr="003C065E" w:rsidRDefault="00407F63" w:rsidP="00407F6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>* Nie je štatisticky významný.</w:t>
      </w:r>
    </w:p>
    <w:p w14:paraId="0EDEC1EA" w14:textId="191A61EB" w:rsidR="001F757B" w:rsidRPr="003C065E" w:rsidRDefault="00407F63" w:rsidP="0011368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hAnsi="Times New Roman"/>
          <w:sz w:val="20"/>
          <w:lang w:val="sk-SK"/>
        </w:rPr>
        <w:t xml:space="preserve">† 1-stranná p-hodnota z log-rank testu stratifikovaného na základe prítomnosti viscerálnych metastáz a senzitivity na predchádzajúcu endokrinnú liečbu pri randomizácii. </w:t>
      </w:r>
    </w:p>
    <w:p w14:paraId="28348AE5" w14:textId="77777777" w:rsidR="00D147DE" w:rsidRPr="003C065E" w:rsidRDefault="00D147DE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</w:p>
    <w:p w14:paraId="12C1D486" w14:textId="2178BBE3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Obrázok 2 </w:t>
      </w:r>
      <w:r w:rsidR="00407F63" w:rsidRPr="003C065E">
        <w:rPr>
          <w:rFonts w:ascii="Times New Roman" w:eastAsia="TimesNewRoman,Bold" w:hAnsi="Times New Roman"/>
          <w:b/>
          <w:bCs/>
          <w:lang w:val="sk-SK"/>
        </w:rPr>
        <w:tab/>
      </w:r>
      <w:r w:rsidRPr="003C065E">
        <w:rPr>
          <w:rFonts w:ascii="Times New Roman" w:eastAsia="TimesNewRoman,Bold" w:hAnsi="Times New Roman"/>
          <w:b/>
          <w:bCs/>
          <w:lang w:val="sk-SK"/>
        </w:rPr>
        <w:t>Kaplanova-Meierova krivka prežívania bez progresie ochorenia (hodnotenie</w:t>
      </w:r>
    </w:p>
    <w:p w14:paraId="708BB834" w14:textId="3585A54D" w:rsidR="009903A5" w:rsidRPr="003C065E" w:rsidRDefault="001F757B" w:rsidP="009903A5">
      <w:pPr>
        <w:spacing w:after="0" w:line="240" w:lineRule="auto"/>
        <w:ind w:left="1440"/>
        <w:contextualSpacing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>skúšajúcim lekárom v populácii podľa liečebného zámeru) – štúdia PALOMA3</w:t>
      </w:r>
      <w:r w:rsidR="00364247" w:rsidRPr="003C065E">
        <w:rPr>
          <w:rFonts w:ascii="Times New Roman" w:eastAsia="TimesNewRoman,Bold" w:hAnsi="Times New Roman"/>
          <w:b/>
          <w:bCs/>
          <w:lang w:val="sk-SK"/>
        </w:rPr>
        <w:t xml:space="preserve"> (ukončenie zberu údajov 23. októbra 2015)</w:t>
      </w:r>
    </w:p>
    <w:p w14:paraId="4F0EE6FE" w14:textId="2D7A781D" w:rsidR="00113685" w:rsidRPr="003C065E" w:rsidRDefault="00D147DE" w:rsidP="00113685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noProof/>
          <w:lang w:val="sk-SK" w:eastAsia="sk-SK"/>
        </w:rPr>
        <w:lastRenderedPageBreak/>
        <w:drawing>
          <wp:inline distT="0" distB="0" distL="0" distR="0" wp14:anchorId="7CFC4C4E" wp14:editId="05218902">
            <wp:extent cx="4175760" cy="3414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" r="5122" b="5946"/>
                    <a:stretch/>
                  </pic:blipFill>
                  <pic:spPr bwMode="auto">
                    <a:xfrm>
                      <a:off x="0" y="0"/>
                      <a:ext cx="4189051" cy="3424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EB9AA" w14:textId="4E177234" w:rsidR="009903A5" w:rsidRPr="003C065E" w:rsidRDefault="009903A5" w:rsidP="00113685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sk-SK"/>
        </w:rPr>
      </w:pPr>
      <w:r w:rsidRPr="003C065E">
        <w:rPr>
          <w:rFonts w:ascii="Times New Roman" w:hAnsi="Times New Roman"/>
          <w:sz w:val="18"/>
          <w:szCs w:val="18"/>
          <w:lang w:val="sk-SK"/>
        </w:rPr>
        <w:t>FUL=fulvestrant; PAL=palbociklib; PCB=placebo.</w:t>
      </w:r>
    </w:p>
    <w:p w14:paraId="2E4BE8D7" w14:textId="77777777" w:rsidR="001C48AB" w:rsidRPr="003C065E" w:rsidRDefault="001C48A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37B69312" w14:textId="6908F0C8" w:rsidR="00E20301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Zníženie rizika progresie ochorenia alebo úmrtia v skupine fulvestrant plus palbociklib sa pozorovalo vo</w:t>
      </w:r>
      <w:r w:rsidR="00E20301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všetkých podskupinách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 xml:space="preserve">definovaných stratifikačnými faktormi a vstupnými charakteristikami. Bolo to evidentné u pre/perimenopauzálnych žien (HR 0,46 [95% CI: 0,28; 0,75]) a postmenopauzálnych žien (HR 0,52 [95% CI: 0,40; 0,66]) a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 xml:space="preserve">s viscerálnymi metastatickými ložiskami (HR 0,50 [95% CI: 0,38; 0,65]) a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 xml:space="preserve">s neviscerálnymi metastatickými ložiskami (HR 0,48 [95% CI: 0,33; 0,71]). Prínos bol tiež pozorovaný nezávisle od počtu línií predchádzajúcej liečby pre metastatické ochorenie, či bol počet 0 (HR 0,59 [95% CI: 0,37; 0,93]), 1 (HR 0,46 [95% CI: 0,32; 0,64]), 2 (HR 0,48 [95% CI: 0,30; 0,76]) alebo ≥ 3 línie (HR 0,59 [95% CI: 0,28; 1,22]). </w:t>
      </w:r>
    </w:p>
    <w:p w14:paraId="3C9D90C7" w14:textId="77777777" w:rsidR="00FB53C6" w:rsidRPr="003C065E" w:rsidRDefault="00FB53C6" w:rsidP="0011368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bCs/>
          <w:lang w:val="sk-SK"/>
        </w:rPr>
      </w:pPr>
    </w:p>
    <w:p w14:paraId="7A4E2921" w14:textId="77777777" w:rsidR="00D147DE" w:rsidRPr="003C065E" w:rsidRDefault="00D147DE" w:rsidP="0011368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NewRoman" w:hAnsi="Times New Roman"/>
          <w:lang w:val="sk-SK"/>
        </w:rPr>
      </w:pPr>
    </w:p>
    <w:p w14:paraId="1A765AF6" w14:textId="275B72C1" w:rsidR="00E20301" w:rsidRPr="003C065E" w:rsidRDefault="00E20301" w:rsidP="0011368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Obrázok 3 </w:t>
      </w:r>
      <w:r w:rsidRPr="003C065E">
        <w:rPr>
          <w:rFonts w:ascii="Times New Roman" w:eastAsia="TimesNewRoman" w:hAnsi="Times New Roman"/>
          <w:lang w:val="sk-SK"/>
        </w:rPr>
        <w:tab/>
        <w:t>Kaplanova-Meierova krivka celkového prežívania (populácia podľa liečebného zámeru) – štúdia PALOMA3 (ukončenie zberu údajov 13. apríla 2018)</w:t>
      </w:r>
    </w:p>
    <w:p w14:paraId="24FB897F" w14:textId="77777777" w:rsidR="00E20301" w:rsidRPr="003C065E" w:rsidRDefault="00E20301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A2A7E6F" w14:textId="77777777" w:rsidR="00CF36AA" w:rsidRPr="003C065E" w:rsidRDefault="00CF36AA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noProof/>
          <w:lang w:val="sk-SK"/>
        </w:rPr>
      </w:pPr>
    </w:p>
    <w:p w14:paraId="3024408C" w14:textId="49570AFA" w:rsidR="00E20301" w:rsidRPr="003C065E" w:rsidRDefault="00D147DE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noProof/>
          <w:lang w:val="sk-SK"/>
        </w:rPr>
      </w:pPr>
      <w:r w:rsidRPr="003C065E">
        <w:rPr>
          <w:rFonts w:ascii="Times New Roman" w:eastAsia="TimesNewRoman" w:hAnsi="Times New Roman"/>
          <w:noProof/>
          <w:lang w:val="sk-SK" w:eastAsia="sk-SK"/>
        </w:rPr>
        <w:lastRenderedPageBreak/>
        <w:drawing>
          <wp:inline distT="0" distB="0" distL="0" distR="0" wp14:anchorId="79D260C7" wp14:editId="64528BF3">
            <wp:extent cx="4837975" cy="336042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6"/>
                    <a:stretch/>
                  </pic:blipFill>
                  <pic:spPr bwMode="auto">
                    <a:xfrm>
                      <a:off x="0" y="0"/>
                      <a:ext cx="4851221" cy="336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CFB94" w14:textId="703021F7" w:rsidR="00CF36AA" w:rsidRPr="003C065E" w:rsidRDefault="00CF36AA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noProof/>
          <w:sz w:val="18"/>
          <w:szCs w:val="18"/>
          <w:lang w:val="sk-SK"/>
        </w:rPr>
      </w:pPr>
      <w:r w:rsidRPr="003C065E">
        <w:rPr>
          <w:rFonts w:ascii="Times New Roman" w:eastAsia="TimesNewRoman" w:hAnsi="Times New Roman"/>
          <w:noProof/>
          <w:sz w:val="18"/>
          <w:szCs w:val="18"/>
          <w:lang w:val="sk-SK"/>
        </w:rPr>
        <w:t>FUL=fulvestrant; PAL=palbociklib; PCB=placebo.</w:t>
      </w:r>
    </w:p>
    <w:p w14:paraId="07DF7945" w14:textId="77777777" w:rsidR="00E20301" w:rsidRPr="003C065E" w:rsidRDefault="00E20301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8D514E2" w14:textId="15B5E3BC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 xml:space="preserve">Ďalšie ukazovatele účinnosti (OR a TTR) hodnotené v podskupinách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s viscerálnym ochorením alebo bez neho</w:t>
      </w:r>
      <w:r w:rsidR="00C63BB8" w:rsidRPr="003C065E">
        <w:rPr>
          <w:rFonts w:ascii="Times New Roman" w:eastAsia="TimesNewRoman" w:hAnsi="Times New Roman"/>
          <w:lang w:val="sk-SK"/>
        </w:rPr>
        <w:t>,</w:t>
      </w:r>
      <w:r w:rsidRPr="003C065E">
        <w:rPr>
          <w:rFonts w:ascii="Times New Roman" w:eastAsia="TimesNewRoman" w:hAnsi="Times New Roman"/>
          <w:lang w:val="sk-SK"/>
        </w:rPr>
        <w:t xml:space="preserve"> sú zobrazené v tabuľke 6.</w:t>
      </w:r>
    </w:p>
    <w:p w14:paraId="418EE862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2275DFFB" w14:textId="2FCCAAD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 xml:space="preserve">Tabuľka 6 </w:t>
      </w:r>
      <w:r w:rsidR="003328A3" w:rsidRPr="003C065E">
        <w:rPr>
          <w:rFonts w:ascii="Times New Roman" w:eastAsia="TimesNewRoman,Bold" w:hAnsi="Times New Roman"/>
          <w:b/>
          <w:bCs/>
          <w:lang w:val="sk-SK"/>
        </w:rPr>
        <w:tab/>
      </w:r>
      <w:r w:rsidRPr="003C065E">
        <w:rPr>
          <w:rFonts w:ascii="Times New Roman" w:eastAsia="TimesNewRoman,Bold" w:hAnsi="Times New Roman"/>
          <w:b/>
          <w:bCs/>
          <w:lang w:val="sk-SK"/>
        </w:rPr>
        <w:t>Výsledky účinnosti na viscerálne a neviscerálne ochorenie zo štúdie PALOMA3</w:t>
      </w:r>
    </w:p>
    <w:p w14:paraId="1F1E54A3" w14:textId="65DF2DCF" w:rsidR="001F757B" w:rsidRPr="003C065E" w:rsidRDefault="001F757B" w:rsidP="003328A3">
      <w:pPr>
        <w:spacing w:after="0" w:line="240" w:lineRule="auto"/>
        <w:ind w:left="720" w:firstLine="720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eastAsia="TimesNewRoman,Bold" w:hAnsi="Times New Roman"/>
          <w:b/>
          <w:bCs/>
          <w:lang w:val="sk-SK"/>
        </w:rPr>
        <w:t>(populácia podľa liečebného zámeru)</w:t>
      </w:r>
    </w:p>
    <w:p w14:paraId="69A1AA62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2"/>
        <w:gridCol w:w="1843"/>
      </w:tblGrid>
      <w:tr w:rsidR="001F757B" w:rsidRPr="003C065E" w14:paraId="64F1CA1D" w14:textId="77777777" w:rsidTr="00584C27">
        <w:tc>
          <w:tcPr>
            <w:tcW w:w="1951" w:type="dxa"/>
            <w:shd w:val="clear" w:color="auto" w:fill="auto"/>
          </w:tcPr>
          <w:p w14:paraId="7A126224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E4BF88A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Viscerálne ochorenie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8A8A8B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bCs/>
                <w:lang w:val="sk-SK"/>
              </w:rPr>
              <w:t>Neviscerálne ochorenie</w:t>
            </w:r>
          </w:p>
        </w:tc>
      </w:tr>
      <w:tr w:rsidR="001F757B" w:rsidRPr="003C065E" w14:paraId="36894171" w14:textId="77777777" w:rsidTr="00584C27">
        <w:tc>
          <w:tcPr>
            <w:tcW w:w="1951" w:type="dxa"/>
            <w:shd w:val="clear" w:color="auto" w:fill="auto"/>
          </w:tcPr>
          <w:p w14:paraId="2AE3AFA6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1843" w:type="dxa"/>
            <w:shd w:val="clear" w:color="auto" w:fill="auto"/>
          </w:tcPr>
          <w:p w14:paraId="7BD64978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</w:t>
            </w:r>
          </w:p>
          <w:p w14:paraId="66CD7C73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palbociclib</w:t>
            </w:r>
          </w:p>
          <w:p w14:paraId="742C2B5B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(N=206)</w:t>
            </w:r>
          </w:p>
        </w:tc>
        <w:tc>
          <w:tcPr>
            <w:tcW w:w="1843" w:type="dxa"/>
            <w:shd w:val="clear" w:color="auto" w:fill="auto"/>
          </w:tcPr>
          <w:p w14:paraId="5D882B42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Fulvestrant plus </w:t>
            </w:r>
          </w:p>
          <w:p w14:paraId="4BF05DB7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</w:p>
          <w:p w14:paraId="5F480E0B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(N=105)</w:t>
            </w:r>
          </w:p>
        </w:tc>
        <w:tc>
          <w:tcPr>
            <w:tcW w:w="1842" w:type="dxa"/>
            <w:shd w:val="clear" w:color="auto" w:fill="auto"/>
          </w:tcPr>
          <w:p w14:paraId="6A4FB0A8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Fulvestrant plus </w:t>
            </w:r>
          </w:p>
          <w:p w14:paraId="0E39161E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palbociclib</w:t>
            </w:r>
          </w:p>
          <w:p w14:paraId="3F1244C1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(N=141)</w:t>
            </w:r>
          </w:p>
        </w:tc>
        <w:tc>
          <w:tcPr>
            <w:tcW w:w="1843" w:type="dxa"/>
            <w:shd w:val="clear" w:color="auto" w:fill="auto"/>
          </w:tcPr>
          <w:p w14:paraId="3AE4815F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Fulvestrant plus </w:t>
            </w:r>
          </w:p>
          <w:p w14:paraId="6B43EA82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</w:p>
          <w:p w14:paraId="278864A1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(N=69)</w:t>
            </w:r>
          </w:p>
        </w:tc>
      </w:tr>
      <w:tr w:rsidR="001F757B" w:rsidRPr="003C065E" w14:paraId="7E5B0707" w14:textId="77777777" w:rsidTr="00584C27">
        <w:tc>
          <w:tcPr>
            <w:tcW w:w="1951" w:type="dxa"/>
            <w:shd w:val="clear" w:color="auto" w:fill="auto"/>
          </w:tcPr>
          <w:p w14:paraId="4AA0546E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 [% (95% CI)]</w:t>
            </w:r>
          </w:p>
        </w:tc>
        <w:tc>
          <w:tcPr>
            <w:tcW w:w="1843" w:type="dxa"/>
            <w:shd w:val="clear" w:color="auto" w:fill="auto"/>
          </w:tcPr>
          <w:p w14:paraId="03D3EBA3" w14:textId="03C886DE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35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</w:p>
          <w:p w14:paraId="7403805D" w14:textId="6C767C9E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(28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41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9)</w:t>
            </w:r>
          </w:p>
        </w:tc>
        <w:tc>
          <w:tcPr>
            <w:tcW w:w="1843" w:type="dxa"/>
            <w:shd w:val="clear" w:color="auto" w:fill="auto"/>
          </w:tcPr>
          <w:p w14:paraId="456059CF" w14:textId="15ADEB28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13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</w:p>
          <w:p w14:paraId="1C6234F1" w14:textId="3D4C80DE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(7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21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4)</w:t>
            </w:r>
          </w:p>
        </w:tc>
        <w:tc>
          <w:tcPr>
            <w:tcW w:w="1842" w:type="dxa"/>
            <w:shd w:val="clear" w:color="auto" w:fill="auto"/>
          </w:tcPr>
          <w:p w14:paraId="7E95B3C0" w14:textId="3B48AED2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1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</w:p>
          <w:p w14:paraId="501DC16A" w14:textId="01E77F0B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(8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20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2)</w:t>
            </w:r>
          </w:p>
        </w:tc>
        <w:tc>
          <w:tcPr>
            <w:tcW w:w="1843" w:type="dxa"/>
            <w:shd w:val="clear" w:color="auto" w:fill="auto"/>
          </w:tcPr>
          <w:p w14:paraId="2091D24E" w14:textId="15C70130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14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</w:p>
          <w:p w14:paraId="153DC92A" w14:textId="25369DBF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(7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2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25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0)</w:t>
            </w:r>
          </w:p>
        </w:tc>
      </w:tr>
      <w:tr w:rsidR="001F757B" w:rsidRPr="003C065E" w14:paraId="1C1F4C15" w14:textId="77777777" w:rsidTr="00584C27">
        <w:tc>
          <w:tcPr>
            <w:tcW w:w="1951" w:type="dxa"/>
            <w:shd w:val="clear" w:color="auto" w:fill="auto"/>
          </w:tcPr>
          <w:p w14:paraId="05298F48" w14:textId="77777777" w:rsidR="001F757B" w:rsidRPr="006330DA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TTR*, Medián </w:t>
            </w:r>
          </w:p>
          <w:p w14:paraId="266A7AD3" w14:textId="77777777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[mesiace (rozsah)]</w:t>
            </w:r>
          </w:p>
        </w:tc>
        <w:tc>
          <w:tcPr>
            <w:tcW w:w="1843" w:type="dxa"/>
            <w:shd w:val="clear" w:color="auto" w:fill="auto"/>
          </w:tcPr>
          <w:p w14:paraId="5DF6B6EF" w14:textId="0D22F871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8</w:t>
            </w:r>
          </w:p>
          <w:p w14:paraId="5CD4D733" w14:textId="1E689554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16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1843" w:type="dxa"/>
            <w:shd w:val="clear" w:color="auto" w:fill="auto"/>
          </w:tcPr>
          <w:p w14:paraId="6C509A57" w14:textId="6C8C2E1C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4</w:t>
            </w:r>
          </w:p>
          <w:p w14:paraId="6B3DDB23" w14:textId="64F193BB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16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1842" w:type="dxa"/>
            <w:shd w:val="clear" w:color="auto" w:fill="auto"/>
          </w:tcPr>
          <w:p w14:paraId="3F0CBE55" w14:textId="77481F66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7</w:t>
            </w:r>
          </w:p>
          <w:p w14:paraId="66EE9D04" w14:textId="6B8BAC9B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(1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9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1843" w:type="dxa"/>
            <w:shd w:val="clear" w:color="auto" w:fill="auto"/>
          </w:tcPr>
          <w:p w14:paraId="6B0A8FFF" w14:textId="01879CAF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6</w:t>
            </w:r>
          </w:p>
          <w:p w14:paraId="0F4318E9" w14:textId="619118C9" w:rsidR="001F757B" w:rsidRPr="003C065E" w:rsidRDefault="001F757B" w:rsidP="0058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(3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4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3</w:t>
            </w:r>
            <w:r w:rsidR="00C63BB8"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3C065E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</w:tr>
    </w:tbl>
    <w:p w14:paraId="77B68643" w14:textId="77777777" w:rsidR="001F757B" w:rsidRPr="006330DA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>*Výsledky odpovedí založené na potvrdených a nepotvrdených odpovediach.</w:t>
      </w:r>
    </w:p>
    <w:p w14:paraId="13AD271D" w14:textId="61351FCE" w:rsidR="001F757B" w:rsidRPr="003C065E" w:rsidRDefault="001F757B" w:rsidP="00BB44D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N = počet </w:t>
      </w:r>
      <w:r w:rsidR="00F3176D" w:rsidRPr="003C065E">
        <w:rPr>
          <w:rFonts w:ascii="Times New Roman" w:eastAsia="TimesNewRoman" w:hAnsi="Times New Roman"/>
          <w:sz w:val="20"/>
          <w:szCs w:val="20"/>
          <w:lang w:val="sk-SK"/>
        </w:rPr>
        <w:t>pacient</w:t>
      </w:r>
      <w:r w:rsidR="00F3176D">
        <w:rPr>
          <w:rFonts w:ascii="Times New Roman" w:eastAsia="TimesNewRoman" w:hAnsi="Times New Roman"/>
          <w:sz w:val="20"/>
          <w:szCs w:val="20"/>
          <w:lang w:val="sk-SK"/>
        </w:rPr>
        <w:t>o</w:t>
      </w:r>
      <w:r w:rsidR="00F3176D" w:rsidRPr="003C065E">
        <w:rPr>
          <w:rFonts w:ascii="Times New Roman" w:eastAsia="TimesNewRoman" w:hAnsi="Times New Roman"/>
          <w:sz w:val="20"/>
          <w:szCs w:val="20"/>
          <w:lang w:val="sk-SK"/>
        </w:rPr>
        <w:t>k</w:t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; CI = interval spoľahlivosti; OR = objektívna odpoveď; TTR = čas do prvej odpovede</w:t>
      </w:r>
      <w:r w:rsidR="00BB44DE" w:rsidRPr="003C065E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C065E">
        <w:rPr>
          <w:rFonts w:ascii="Times New Roman" w:eastAsia="TimesNewRoman" w:hAnsi="Times New Roman"/>
          <w:sz w:val="20"/>
          <w:szCs w:val="20"/>
          <w:lang w:val="sk-SK"/>
        </w:rPr>
        <w:t>nádoru.</w:t>
      </w:r>
    </w:p>
    <w:p w14:paraId="74C23B6E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5A6ED821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Pacientkami hlásené príznaky boli hodnotené pomocou dotazníka kvality života (quality of life</w:t>
      </w:r>
    </w:p>
    <w:p w14:paraId="6F76D276" w14:textId="4B4A6B54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questionnaire, QLQ)-C30 Európskej organizácie pre výskum a liečbu rakoviny</w:t>
      </w:r>
      <w:r w:rsidR="00B46AF9" w:rsidRPr="003C065E">
        <w:rPr>
          <w:rFonts w:ascii="Times New Roman" w:eastAsia="TimesNewRoman" w:hAnsi="Times New Roman"/>
          <w:lang w:val="sk-SK"/>
        </w:rPr>
        <w:t xml:space="preserve"> (</w:t>
      </w:r>
      <w:r w:rsidR="00D16D15" w:rsidRPr="003C065E">
        <w:rPr>
          <w:rFonts w:ascii="Times New Roman" w:eastAsia="TimesNewRoman" w:hAnsi="Times New Roman"/>
          <w:lang w:val="sk-SK"/>
        </w:rPr>
        <w:t xml:space="preserve">European Organisation for Research and Treatment of Cancer, </w:t>
      </w:r>
      <w:r w:rsidR="00B46AF9" w:rsidRPr="003C065E">
        <w:rPr>
          <w:rFonts w:ascii="Times New Roman" w:eastAsia="TimesNewRoman" w:hAnsi="Times New Roman"/>
          <w:lang w:val="sk-SK"/>
        </w:rPr>
        <w:t>EORTC)</w:t>
      </w:r>
      <w:r w:rsidRPr="003C065E">
        <w:rPr>
          <w:rFonts w:ascii="Times New Roman" w:eastAsia="TimesNewRoman" w:hAnsi="Times New Roman"/>
          <w:lang w:val="sk-SK"/>
        </w:rPr>
        <w:t xml:space="preserve"> a jeho modulu</w:t>
      </w:r>
      <w:r w:rsidR="00B46AF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rakoviny prsníka (EORTC QLQ</w:t>
      </w:r>
      <w:r w:rsidR="00D16D15" w:rsidRPr="003C065E">
        <w:rPr>
          <w:rFonts w:ascii="Times New Roman" w:eastAsia="TimesNewRoman" w:hAnsi="Times New Roman"/>
          <w:lang w:val="sk-SK"/>
        </w:rPr>
        <w:t>-</w:t>
      </w:r>
      <w:r w:rsidRPr="003C065E">
        <w:rPr>
          <w:rFonts w:ascii="Times New Roman" w:eastAsia="TimesNewRoman" w:hAnsi="Times New Roman"/>
          <w:lang w:val="sk-SK"/>
        </w:rPr>
        <w:t xml:space="preserve">BR23). Celkovo 335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v skupine fulvestrant plus palbociklib</w:t>
      </w:r>
      <w:r w:rsidR="00B46AF9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 xml:space="preserve">a 166 </w:t>
      </w:r>
      <w:r w:rsidR="00F3176D" w:rsidRPr="003C065E">
        <w:rPr>
          <w:rFonts w:ascii="Times New Roman" w:eastAsia="TimesNewRoman" w:hAnsi="Times New Roman"/>
          <w:lang w:val="sk-SK"/>
        </w:rPr>
        <w:t>pacient</w:t>
      </w:r>
      <w:r w:rsidR="00F3176D">
        <w:rPr>
          <w:rFonts w:ascii="Times New Roman" w:eastAsia="TimesNewRoman" w:hAnsi="Times New Roman"/>
          <w:lang w:val="sk-SK"/>
        </w:rPr>
        <w:t>o</w:t>
      </w:r>
      <w:r w:rsidR="00F3176D" w:rsidRPr="003C065E">
        <w:rPr>
          <w:rFonts w:ascii="Times New Roman" w:eastAsia="TimesNewRoman" w:hAnsi="Times New Roman"/>
          <w:lang w:val="sk-SK"/>
        </w:rPr>
        <w:t xml:space="preserve">k </w:t>
      </w:r>
      <w:r w:rsidRPr="003C065E">
        <w:rPr>
          <w:rFonts w:ascii="Times New Roman" w:eastAsia="TimesNewRoman" w:hAnsi="Times New Roman"/>
          <w:lang w:val="sk-SK"/>
        </w:rPr>
        <w:t>v skupine fulvestrant plus placebo vyplnilo dotazník pri vstupe do štúdie a aspoň raz na</w:t>
      </w:r>
      <w:r w:rsidR="00BB44DE" w:rsidRPr="003C065E">
        <w:rPr>
          <w:rFonts w:ascii="Times New Roman" w:eastAsia="TimesNewRoman" w:hAnsi="Times New Roman"/>
          <w:lang w:val="sk-SK"/>
        </w:rPr>
        <w:t xml:space="preserve"> </w:t>
      </w:r>
      <w:r w:rsidRPr="003C065E">
        <w:rPr>
          <w:rFonts w:ascii="Times New Roman" w:eastAsia="TimesNewRoman" w:hAnsi="Times New Roman"/>
          <w:lang w:val="sk-SK"/>
        </w:rPr>
        <w:t>ďalšej návšteve.</w:t>
      </w:r>
    </w:p>
    <w:p w14:paraId="3C74F805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Čas do zhoršenia bol vopred špecifikovaný ako čas medzi vstupom do štúdie a prvým výskytom</w:t>
      </w:r>
    </w:p>
    <w:p w14:paraId="6E5BBB18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≥ 10-bodového vzostupu oproti počiatočnej hodnote skóre príznakov bolesti. Pridanie palbociklibu</w:t>
      </w:r>
    </w:p>
    <w:p w14:paraId="50257B68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k fulvestrantu viedlo k prínosu, pokiaľ ide o príznaky, pretože významne predĺžilo čas do zhoršenia</w:t>
      </w:r>
    </w:p>
    <w:p w14:paraId="48FC3001" w14:textId="77777777" w:rsidR="001F757B" w:rsidRPr="003C065E" w:rsidRDefault="001F757B" w:rsidP="001F75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príznakov bolesti v porovnaní so skupinou fulvestrant plus placebo (medián 8,0 mesiacov oproti 2,8</w:t>
      </w:r>
    </w:p>
    <w:p w14:paraId="0DCA6D6F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mesiacov; HR = 0,64 [95% CI: 0,49; 0,85]; p &lt; 0,001).</w:t>
      </w:r>
    </w:p>
    <w:p w14:paraId="29D4F159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693BBBBF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Účinky na endometrium po menopauze</w:t>
      </w:r>
    </w:p>
    <w:p w14:paraId="339E751D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Predklinické údaje nenaznačujú stimulačný účinok fulvestrantu na endometrium po menopauze (pozri</w:t>
      </w:r>
    </w:p>
    <w:p w14:paraId="60FFB47F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lastRenderedPageBreak/>
        <w:t>časť 5.3). Dvojtýždňová štúdia u zdravých postmenopauzálnych dobrovoľníčok liečených 20 μg</w:t>
      </w:r>
    </w:p>
    <w:p w14:paraId="08E76F85" w14:textId="7FDBAE3B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etinylestradiolu denne preukázala, že predliečenie fulvestrantom 250 mg malo za následok signifikantne</w:t>
      </w:r>
      <w:r w:rsidR="00BB44DE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redukovanú stimuláciu postmenopauzálneho endometria v porovnaní s predliečením placebom,</w:t>
      </w:r>
      <w:r w:rsidR="00BB44DE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hodnotenú na základe ultrasonografického merania hrúbky endometria.</w:t>
      </w:r>
    </w:p>
    <w:p w14:paraId="31ADFEAF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B105058" w14:textId="098A5E1D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Neoadjuvantná liečba trvajúca až 16 týždňov u </w:t>
      </w:r>
      <w:r w:rsidR="00F3176D" w:rsidRPr="003C065E">
        <w:rPr>
          <w:rFonts w:ascii="Times New Roman" w:hAnsi="Times New Roman"/>
          <w:lang w:val="sk-SK"/>
        </w:rPr>
        <w:t>pacient</w:t>
      </w:r>
      <w:r w:rsidR="00F3176D">
        <w:rPr>
          <w:rFonts w:ascii="Times New Roman" w:hAnsi="Times New Roman"/>
          <w:lang w:val="sk-SK"/>
        </w:rPr>
        <w:t>o</w:t>
      </w:r>
      <w:r w:rsidR="00F3176D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s karcinómom prsníka liečených buď fulvestrantom 500 mg alebo 250 mg fulvestrantom</w:t>
      </w:r>
      <w:r w:rsidR="00D16D15" w:rsidRPr="003C065E">
        <w:rPr>
          <w:rFonts w:ascii="Times New Roman" w:hAnsi="Times New Roman"/>
          <w:lang w:val="sk-SK"/>
        </w:rPr>
        <w:t>,</w:t>
      </w:r>
      <w:r w:rsidRPr="003C065E">
        <w:rPr>
          <w:rFonts w:ascii="Times New Roman" w:hAnsi="Times New Roman"/>
          <w:lang w:val="sk-SK"/>
        </w:rPr>
        <w:t xml:space="preserve"> neviedla ku klinicky významným zmenám v hrúbke endometria, čo ukazuje na nedostatočný agonistický účinok. Neexistujú žiadne dôkazy o nepriaznivých účinkoch na endometrium u sledovaných </w:t>
      </w:r>
      <w:r w:rsidR="00F3176D" w:rsidRPr="003C065E">
        <w:rPr>
          <w:rFonts w:ascii="Times New Roman" w:hAnsi="Times New Roman"/>
          <w:lang w:val="sk-SK"/>
        </w:rPr>
        <w:t>pacient</w:t>
      </w:r>
      <w:r w:rsidR="00F3176D">
        <w:rPr>
          <w:rFonts w:ascii="Times New Roman" w:hAnsi="Times New Roman"/>
          <w:lang w:val="sk-SK"/>
        </w:rPr>
        <w:t>o</w:t>
      </w:r>
      <w:r w:rsidR="00F3176D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s karcinómom prsníka. Nie sú k dispozícii údaje týkajúce sa endometriálnej morfológie.</w:t>
      </w:r>
    </w:p>
    <w:p w14:paraId="3BE738D4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07BF668" w14:textId="1C493233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V dvoch krátkodobých štúdiách (1 a 12 týždňov) u premenopauzálnych </w:t>
      </w:r>
      <w:r w:rsidR="00F3176D" w:rsidRPr="003C065E">
        <w:rPr>
          <w:rFonts w:ascii="Times New Roman" w:hAnsi="Times New Roman"/>
          <w:lang w:val="sk-SK"/>
        </w:rPr>
        <w:t>pacient</w:t>
      </w:r>
      <w:r w:rsidR="00F3176D">
        <w:rPr>
          <w:rFonts w:ascii="Times New Roman" w:hAnsi="Times New Roman"/>
          <w:lang w:val="sk-SK"/>
        </w:rPr>
        <w:t>o</w:t>
      </w:r>
      <w:r w:rsidR="00F3176D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s benígnym</w:t>
      </w:r>
    </w:p>
    <w:p w14:paraId="1EA8C202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gynekologickým ochorením sa nepozorovali žiadne signifikantné zmeny v hrúbke endometria</w:t>
      </w:r>
    </w:p>
    <w:p w14:paraId="4B27927B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ultrazvukovým meraním pri porovnaní skupín, ktorým sa podával fulvestrant a placebo.</w:t>
      </w:r>
    </w:p>
    <w:p w14:paraId="482B44A9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EF5E847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Účinky na kosti</w:t>
      </w:r>
    </w:p>
    <w:p w14:paraId="7ADCC04F" w14:textId="37655621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Nie sú k dispozícii dlhodobé údaje o účinku fulvestrantu na kosti. Neoadjuvantná liečba trvajúca až 16 týždňov u </w:t>
      </w:r>
      <w:r w:rsidR="00F3176D" w:rsidRPr="003C065E">
        <w:rPr>
          <w:rFonts w:ascii="Times New Roman" w:hAnsi="Times New Roman"/>
          <w:lang w:val="sk-SK"/>
        </w:rPr>
        <w:t>pacient</w:t>
      </w:r>
      <w:r w:rsidR="00F3176D">
        <w:rPr>
          <w:rFonts w:ascii="Times New Roman" w:hAnsi="Times New Roman"/>
          <w:lang w:val="sk-SK"/>
        </w:rPr>
        <w:t>o</w:t>
      </w:r>
      <w:r w:rsidR="00F3176D" w:rsidRPr="003C065E">
        <w:rPr>
          <w:rFonts w:ascii="Times New Roman" w:hAnsi="Times New Roman"/>
          <w:lang w:val="sk-SK"/>
        </w:rPr>
        <w:t xml:space="preserve">k </w:t>
      </w:r>
      <w:r w:rsidRPr="003C065E">
        <w:rPr>
          <w:rFonts w:ascii="Times New Roman" w:hAnsi="Times New Roman"/>
          <w:lang w:val="sk-SK"/>
        </w:rPr>
        <w:t>s karcinómom prsníka buď fulvestrantom 500 mg alebo 250 mg fulvestrantom neviedla ku klinicky významným zmenám markerov kostného obratu v sére.</w:t>
      </w:r>
    </w:p>
    <w:p w14:paraId="01CA92B6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36AF4E8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Pediatrická populácia</w:t>
      </w:r>
    </w:p>
    <w:p w14:paraId="4942493E" w14:textId="45A602A2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Fulvestrant nie je indikovaný na použitie u detí. Európska lieková agentúra udelila výnimku z povinnosti predložiť výsledky štúdi</w:t>
      </w:r>
      <w:r w:rsidR="0064283C">
        <w:rPr>
          <w:rFonts w:ascii="Times New Roman" w:hAnsi="Times New Roman"/>
          <w:lang w:val="sk-SK"/>
        </w:rPr>
        <w:t>í</w:t>
      </w:r>
      <w:r w:rsidRPr="003C065E">
        <w:rPr>
          <w:rFonts w:ascii="Times New Roman" w:hAnsi="Times New Roman"/>
          <w:lang w:val="sk-SK"/>
        </w:rPr>
        <w:t xml:space="preserve"> s fulvestrantom vo všetkých podskupinách pediatrickej populácie pri karcinóme prsníka (pozri časť 4.2 pre informáciu o pediatrickom použití).</w:t>
      </w:r>
    </w:p>
    <w:p w14:paraId="0F009BA7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5601E20" w14:textId="7B9314CA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Otvorená štúdia fázy </w:t>
      </w:r>
      <w:r w:rsidR="00D16D15" w:rsidRPr="003C065E">
        <w:rPr>
          <w:rFonts w:ascii="Times New Roman" w:hAnsi="Times New Roman"/>
          <w:lang w:val="sk-SK"/>
        </w:rPr>
        <w:t>2</w:t>
      </w:r>
      <w:r w:rsidRPr="003C065E">
        <w:rPr>
          <w:rFonts w:ascii="Times New Roman" w:hAnsi="Times New Roman"/>
          <w:lang w:val="sk-SK"/>
        </w:rPr>
        <w:t xml:space="preserve"> skúmala bezpečnosť, účinnosť a farmakokinetiku fulvestrantu u 30 dievčat vo</w:t>
      </w:r>
    </w:p>
    <w:p w14:paraId="73707DE6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veku od 1 do 8 rokov s progresívnou predčasnou pubertou spojenou s McCune Albrightovým</w:t>
      </w:r>
    </w:p>
    <w:p w14:paraId="3D9ADD50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syndrómom (MAS). Detské pacientky dostali intramuskulárnu dávku fulvestrantu 4 mg/kg mesačne.</w:t>
      </w:r>
    </w:p>
    <w:p w14:paraId="79290A2B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Táto 12 mesačná štúdia skúmala škálu cieľov MAS a ukázala zníženie frekvencie vaginálneho</w:t>
      </w:r>
    </w:p>
    <w:p w14:paraId="36781818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krvácania a zníženie rýchlosti vzostupu kostného veku. V tejto štúdii bol u detí rovnovážny stav</w:t>
      </w:r>
    </w:p>
    <w:p w14:paraId="38412FF4" w14:textId="77777777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koncentrácie fulvestrantu v súlade s dospelými (pozri časť 5.2). Z tejto malej štúdie sa nezistili žiadne</w:t>
      </w:r>
    </w:p>
    <w:p w14:paraId="37D9784F" w14:textId="6E938523" w:rsidR="001F757B" w:rsidRPr="003C065E" w:rsidRDefault="001F757B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nové vyplývajúce obavy týkajúce sa bezpečnosti, ale 5-ročné údaje zatiaľ nie sú k dispozícii.</w:t>
      </w:r>
    </w:p>
    <w:p w14:paraId="477A5A6C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BEBAFD6" w14:textId="77777777" w:rsidR="00FE3076" w:rsidRPr="003C065E" w:rsidRDefault="00FE3076" w:rsidP="00FE3076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5.2 </w:t>
      </w:r>
      <w:r w:rsidRPr="003C065E">
        <w:rPr>
          <w:rFonts w:ascii="Times New Roman" w:hAnsi="Times New Roman"/>
          <w:b/>
          <w:bCs/>
          <w:lang w:val="sk-SK"/>
        </w:rPr>
        <w:tab/>
        <w:t>Farmakokinetické vlastnosti</w:t>
      </w:r>
    </w:p>
    <w:p w14:paraId="5BC56CF9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3FF26A31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Absorpcia</w:t>
      </w:r>
    </w:p>
    <w:p w14:paraId="7B059DEF" w14:textId="1F747208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Po podaní fulvestrantu vo forme dlhodobo pôsobiacej intramuskulárnej injekcie</w:t>
      </w:r>
      <w:r w:rsidR="00605700" w:rsidRPr="003C065E">
        <w:rPr>
          <w:rFonts w:ascii="Times New Roman" w:hAnsi="Times New Roman"/>
          <w:lang w:val="sk-SK"/>
        </w:rPr>
        <w:t>,</w:t>
      </w:r>
      <w:r w:rsidRPr="003C065E">
        <w:rPr>
          <w:rFonts w:ascii="Times New Roman" w:hAnsi="Times New Roman"/>
          <w:lang w:val="sk-SK"/>
        </w:rPr>
        <w:t xml:space="preserve"> sa fulvestrant pomaly</w:t>
      </w:r>
      <w:r w:rsidR="00605700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vstrebáva a maximálne plazmatické koncentrácie (Cmax) sa dosiahnu približne po 5 dňoch. Podaním</w:t>
      </w:r>
      <w:r w:rsidR="00605700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fulvestrantu v režime 500 mg sa dosiahnu hladiny expozície zodpovedajúce alebo blízke rovnovážnemu</w:t>
      </w:r>
      <w:r w:rsidR="00495237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stavu počas prvého mesiaca dávkovania (priemer [CV]: AUC 475 [33,4%] ng.dní/ml, C</w:t>
      </w:r>
      <w:r w:rsidRPr="003C065E">
        <w:rPr>
          <w:rFonts w:ascii="Times New Roman" w:hAnsi="Times New Roman"/>
          <w:vertAlign w:val="subscript"/>
          <w:lang w:val="sk-SK"/>
        </w:rPr>
        <w:t>max</w:t>
      </w:r>
      <w:r w:rsidRPr="003C065E">
        <w:rPr>
          <w:rFonts w:ascii="Times New Roman" w:hAnsi="Times New Roman"/>
          <w:lang w:val="sk-SK"/>
        </w:rPr>
        <w:t xml:space="preserve"> 25,1</w:t>
      </w:r>
      <w:r w:rsidR="00495237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[35,3%] ng/ml, C</w:t>
      </w:r>
      <w:r w:rsidRPr="003C065E">
        <w:rPr>
          <w:rFonts w:ascii="Times New Roman" w:hAnsi="Times New Roman"/>
          <w:vertAlign w:val="subscript"/>
          <w:lang w:val="sk-SK"/>
        </w:rPr>
        <w:t>min</w:t>
      </w:r>
      <w:r w:rsidRPr="003C065E">
        <w:rPr>
          <w:rFonts w:ascii="Times New Roman" w:hAnsi="Times New Roman"/>
          <w:lang w:val="sk-SK"/>
        </w:rPr>
        <w:t xml:space="preserve"> 16,3 [25,9%] ng/ml). V rovnovážnom stave sa plazmatické koncentrácie</w:t>
      </w:r>
      <w:r w:rsidR="00495237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fulvestrantu udržiavajú v relatívne úzkom rozmedzí s až približne 3-násobným rozdielom medzi</w:t>
      </w:r>
      <w:r w:rsidR="00495237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maximálnou a minimálnou koncentráciou. Po intramuskulárnom podaní je expozícia v rozsahu dávok 50 až 500 mg približne úmerná dávke.</w:t>
      </w:r>
    </w:p>
    <w:p w14:paraId="2188E42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BA51EE9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Distribúcia</w:t>
      </w:r>
    </w:p>
    <w:p w14:paraId="289F7E5A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Fulvestrant sa extenzívne a rýchlo distribuuje. </w:t>
      </w:r>
      <w:r w:rsidRPr="00B36322">
        <w:rPr>
          <w:rFonts w:ascii="Times New Roman" w:hAnsi="Times New Roman"/>
          <w:lang w:val="sk-SK"/>
        </w:rPr>
        <w:t>Veľký zdanlivý</w:t>
      </w:r>
      <w:r w:rsidRPr="003C065E">
        <w:rPr>
          <w:rFonts w:ascii="Times New Roman" w:hAnsi="Times New Roman"/>
          <w:lang w:val="sk-SK"/>
        </w:rPr>
        <w:t xml:space="preserve"> distribučný objem v ustálenom stave</w:t>
      </w:r>
    </w:p>
    <w:p w14:paraId="7D78F418" w14:textId="24392C24" w:rsidR="00A503D2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(volume of distribution at steady state</w:t>
      </w:r>
      <w:r w:rsidR="00A503D2" w:rsidRPr="003C065E">
        <w:rPr>
          <w:rFonts w:ascii="Times New Roman" w:hAnsi="Times New Roman"/>
          <w:lang w:val="sk-SK"/>
        </w:rPr>
        <w:t>,</w:t>
      </w:r>
      <w:r w:rsidRPr="003C065E">
        <w:rPr>
          <w:rFonts w:ascii="Times New Roman" w:hAnsi="Times New Roman"/>
          <w:lang w:val="sk-SK"/>
        </w:rPr>
        <w:t xml:space="preserve"> Vdss) je približne 3 až 5 l/kg, čo naznačuje, že distribúcia je väčšinou extravaskulárna. </w:t>
      </w:r>
    </w:p>
    <w:p w14:paraId="09BF14E5" w14:textId="37008030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Fulvestrant sa vo vysokej miere (99%) viaže na plazmatické bielkoviny. Hlavnými zložkami väzby sú lipoproteínové frakcie veľmi nízkej denzity (v</w:t>
      </w:r>
      <w:r w:rsidRPr="003C065E">
        <w:rPr>
          <w:rFonts w:ascii="Times New Roman" w:eastAsia="TimesNewRoman,Bold" w:hAnsi="Times New Roman"/>
          <w:color w:val="000000"/>
          <w:lang w:val="sk-SK"/>
        </w:rPr>
        <w:t>ery low</w:t>
      </w:r>
      <w:r w:rsidR="00A503D2" w:rsidRPr="003C065E">
        <w:rPr>
          <w:rFonts w:ascii="Times New Roman" w:eastAsia="TimesNewRoman,Bold" w:hAnsi="Times New Roman"/>
          <w:color w:val="000000"/>
          <w:lang w:val="sk-SK"/>
        </w:rPr>
        <w:t>-</w:t>
      </w:r>
      <w:r w:rsidRPr="003C065E">
        <w:rPr>
          <w:rFonts w:ascii="Times New Roman" w:eastAsia="TimesNewRoman,Bold" w:hAnsi="Times New Roman"/>
          <w:color w:val="000000"/>
          <w:lang w:val="sk-SK"/>
        </w:rPr>
        <w:t>density lipoprotein</w:t>
      </w:r>
      <w:r w:rsidR="00A503D2" w:rsidRPr="003C065E">
        <w:rPr>
          <w:rFonts w:ascii="Times New Roman" w:eastAsia="TimesNewRoman,Bold" w:hAnsi="Times New Roman"/>
          <w:color w:val="000000"/>
          <w:lang w:val="sk-SK"/>
        </w:rPr>
        <w:t>,</w:t>
      </w:r>
      <w:r w:rsidRPr="003C065E">
        <w:rPr>
          <w:rFonts w:ascii="Times New Roman" w:eastAsia="TimesNewRoman,Bold" w:hAnsi="Times New Roman"/>
          <w:color w:val="000000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VLDL), nízkej denzity (</w:t>
      </w:r>
      <w:r w:rsidRPr="003C065E">
        <w:rPr>
          <w:rFonts w:ascii="Times New Roman" w:eastAsia="TimesNewRoman,Bold" w:hAnsi="Times New Roman"/>
          <w:color w:val="000000"/>
          <w:lang w:val="sk-SK"/>
        </w:rPr>
        <w:t>low</w:t>
      </w:r>
      <w:r w:rsidR="00A503D2" w:rsidRPr="003C065E">
        <w:rPr>
          <w:rFonts w:ascii="Times New Roman" w:eastAsia="TimesNewRoman,Bold" w:hAnsi="Times New Roman"/>
          <w:color w:val="000000"/>
          <w:lang w:val="sk-SK"/>
        </w:rPr>
        <w:t xml:space="preserve"> </w:t>
      </w:r>
      <w:r w:rsidRPr="003C065E">
        <w:rPr>
          <w:rFonts w:ascii="Times New Roman" w:eastAsia="TimesNewRoman,Bold" w:hAnsi="Times New Roman"/>
          <w:color w:val="000000"/>
          <w:lang w:val="sk-SK"/>
        </w:rPr>
        <w:t>density lipoprotein</w:t>
      </w:r>
      <w:r w:rsidR="00A503D2" w:rsidRPr="003C065E">
        <w:rPr>
          <w:rFonts w:ascii="Times New Roman" w:eastAsia="TimesNewRoman,Bold" w:hAnsi="Times New Roman"/>
          <w:color w:val="000000"/>
          <w:lang w:val="sk-SK"/>
        </w:rPr>
        <w:t>,</w:t>
      </w:r>
      <w:r w:rsidRPr="003C065E">
        <w:rPr>
          <w:rFonts w:ascii="Times New Roman" w:eastAsia="TimesNewRoman,Bold" w:hAnsi="Times New Roman"/>
          <w:color w:val="000000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LDL) a vysokej denzity (</w:t>
      </w:r>
      <w:r w:rsidRPr="003C065E">
        <w:rPr>
          <w:rFonts w:ascii="Times New Roman" w:eastAsia="TimesNewRoman,Bold" w:hAnsi="Times New Roman"/>
          <w:color w:val="000000"/>
          <w:lang w:val="sk-SK"/>
        </w:rPr>
        <w:t>high</w:t>
      </w:r>
      <w:r w:rsidR="00A503D2" w:rsidRPr="003C065E">
        <w:rPr>
          <w:rFonts w:ascii="Times New Roman" w:eastAsia="TimesNewRoman,Bold" w:hAnsi="Times New Roman"/>
          <w:color w:val="000000"/>
          <w:lang w:val="sk-SK"/>
        </w:rPr>
        <w:t>-</w:t>
      </w:r>
      <w:r w:rsidRPr="003C065E">
        <w:rPr>
          <w:rFonts w:ascii="Times New Roman" w:eastAsia="TimesNewRoman,Bold" w:hAnsi="Times New Roman"/>
          <w:color w:val="000000"/>
          <w:lang w:val="sk-SK"/>
        </w:rPr>
        <w:t>density lipoprotein</w:t>
      </w:r>
      <w:r w:rsidR="00A503D2" w:rsidRPr="003C065E">
        <w:rPr>
          <w:rFonts w:ascii="Times New Roman" w:eastAsia="TimesNewRoman,Bold" w:hAnsi="Times New Roman"/>
          <w:color w:val="000000"/>
          <w:lang w:val="sk-SK"/>
        </w:rPr>
        <w:t>,</w:t>
      </w:r>
      <w:r w:rsidRPr="003C065E">
        <w:rPr>
          <w:rFonts w:ascii="Times New Roman" w:hAnsi="Times New Roman"/>
          <w:lang w:val="sk-SK"/>
        </w:rPr>
        <w:t xml:space="preserve"> HDL). Neboli uskutočnené žiadne štúdie interakcie ohľadom kompetitívnej väzby na bielkoviny. Úloha globulínu, ktorý viaže pohlavné hormóny (sex hormone-binding globulin</w:t>
      </w:r>
      <w:r w:rsidR="00A503D2" w:rsidRPr="003C065E">
        <w:rPr>
          <w:rFonts w:ascii="Times New Roman" w:hAnsi="Times New Roman"/>
          <w:lang w:val="sk-SK"/>
        </w:rPr>
        <w:t>,</w:t>
      </w:r>
      <w:r w:rsidRPr="003C065E">
        <w:rPr>
          <w:rFonts w:ascii="Times New Roman" w:hAnsi="Times New Roman"/>
          <w:lang w:val="sk-SK"/>
        </w:rPr>
        <w:t xml:space="preserve"> SHBG), nebola stanovená.</w:t>
      </w:r>
    </w:p>
    <w:p w14:paraId="029152A3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C1BE898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lastRenderedPageBreak/>
        <w:t>Biotransformácia</w:t>
      </w:r>
    </w:p>
    <w:p w14:paraId="75B6DD98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Metabolizmus fulvestrantu nebol plne hodnotený, ale zahŕňa kombinácie celého radu možných</w:t>
      </w:r>
    </w:p>
    <w:p w14:paraId="036000EA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biotransformačných ciest, ktoré sú analogické cestám endogénnych steroidov. Identifikované</w:t>
      </w:r>
    </w:p>
    <w:p w14:paraId="150FCBAE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metabolity (vrátane metabolitov typu 17-ketón, sulfón, 3-síran, 3- a 17-glukuronid) sú v</w:t>
      </w:r>
    </w:p>
    <w:p w14:paraId="1A058E4E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antiestrogénových modeloch buď menej účinné, alebo vykazujú podobný účinok ako fulvestrant.</w:t>
      </w:r>
    </w:p>
    <w:p w14:paraId="14125F5C" w14:textId="49022B23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Skúšky na preparátoch ľudskej pečene a rekombinantných ľudských enzýmoch udávajú, že na oxidácii</w:t>
      </w:r>
      <w:r w:rsidR="00495237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 xml:space="preserve">fulvestrantu sa podieľa z P-450 izoenzýmov iba CYP3A4, </w:t>
      </w:r>
      <w:r w:rsidRPr="003C065E">
        <w:rPr>
          <w:rFonts w:ascii="Times New Roman" w:hAnsi="Times New Roman"/>
          <w:i/>
          <w:iCs/>
          <w:lang w:val="sk-SK"/>
        </w:rPr>
        <w:t xml:space="preserve">in vivo </w:t>
      </w:r>
      <w:r w:rsidRPr="003C065E">
        <w:rPr>
          <w:rFonts w:ascii="Times New Roman" w:hAnsi="Times New Roman"/>
          <w:lang w:val="sk-SK"/>
        </w:rPr>
        <w:t>sa však zdá, že prevládajú cesty</w:t>
      </w:r>
      <w:r w:rsidR="00495237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 xml:space="preserve">nevyužívajúce P-450. Údaje </w:t>
      </w:r>
      <w:r w:rsidRPr="003C065E">
        <w:rPr>
          <w:rFonts w:ascii="Times New Roman" w:hAnsi="Times New Roman"/>
          <w:i/>
          <w:iCs/>
          <w:lang w:val="sk-SK"/>
        </w:rPr>
        <w:t xml:space="preserve">in vitro </w:t>
      </w:r>
      <w:r w:rsidRPr="003C065E">
        <w:rPr>
          <w:rFonts w:ascii="Times New Roman" w:hAnsi="Times New Roman"/>
          <w:lang w:val="sk-SK"/>
        </w:rPr>
        <w:t>naznačujú, že fulvestrant neinhibuje izoenzýmy CYP450.</w:t>
      </w:r>
    </w:p>
    <w:p w14:paraId="1FE102D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6360730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>Eliminácia</w:t>
      </w:r>
    </w:p>
    <w:p w14:paraId="31BE683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Fulvestrant sa eliminuje predovšetkým v metabolizovanej forme. Hlavnou cestou vylučovania je</w:t>
      </w:r>
    </w:p>
    <w:p w14:paraId="70B022FF" w14:textId="3C9A9210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stolica, močom sa vylučuje menej ako 1%. Fulvestrant má vysoký klírens, 11±1,7</w:t>
      </w:r>
      <w:r w:rsidR="005B229E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ml/min/kg, čo</w:t>
      </w:r>
    </w:p>
    <w:p w14:paraId="303B92DD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naznačuje vysoký podiel extrakcie pečeňou. Terminálny polčas (t</w:t>
      </w:r>
      <w:r w:rsidRPr="003C065E">
        <w:rPr>
          <w:rFonts w:ascii="Times New Roman" w:hAnsi="Times New Roman"/>
          <w:vertAlign w:val="subscript"/>
          <w:lang w:val="sk-SK"/>
        </w:rPr>
        <w:t>1/2</w:t>
      </w:r>
      <w:r w:rsidRPr="003C065E">
        <w:rPr>
          <w:rFonts w:ascii="Times New Roman" w:hAnsi="Times New Roman"/>
          <w:lang w:val="sk-SK"/>
        </w:rPr>
        <w:t>) po intramuskulárnom podaní sa</w:t>
      </w:r>
    </w:p>
    <w:p w14:paraId="787DF66F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riadi rýchlosťou absorpcie a odhaduje sa na 50 dní.</w:t>
      </w:r>
    </w:p>
    <w:p w14:paraId="1363EB7A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B4D5134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3C065E">
        <w:rPr>
          <w:rFonts w:ascii="Times New Roman" w:hAnsi="Times New Roman"/>
          <w:u w:val="single"/>
          <w:lang w:val="sk-SK"/>
        </w:rPr>
        <w:t xml:space="preserve">Osobitné skupiny </w:t>
      </w:r>
    </w:p>
    <w:p w14:paraId="60312655" w14:textId="4C058F6B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Farmakokinetická analýza populácie, podľa údajov zo štúdií fázy </w:t>
      </w:r>
      <w:r w:rsidR="00261EDF" w:rsidRPr="003C065E">
        <w:rPr>
          <w:rFonts w:ascii="Times New Roman" w:hAnsi="Times New Roman"/>
          <w:lang w:val="sk-SK"/>
        </w:rPr>
        <w:t>3</w:t>
      </w:r>
      <w:r w:rsidRPr="003C065E">
        <w:rPr>
          <w:rFonts w:ascii="Times New Roman" w:hAnsi="Times New Roman"/>
          <w:lang w:val="sk-SK"/>
        </w:rPr>
        <w:t>, nezaznamenala pri fulvestrante</w:t>
      </w:r>
    </w:p>
    <w:p w14:paraId="6DA1075F" w14:textId="1D28E2A5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žiadne rozdiely vo farmakokinetickom profile pokiaľ ide o vek (rozsah 33 až 89 rokov), hmotnosť (40-127 kg) alebo rasu.</w:t>
      </w:r>
    </w:p>
    <w:p w14:paraId="55A4A7CB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8C6005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Porucha funkcie obličiek</w:t>
      </w:r>
    </w:p>
    <w:p w14:paraId="4F072101" w14:textId="6B6DD805" w:rsidR="00FE3076" w:rsidRPr="003C065E" w:rsidRDefault="00A7578D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Mierna</w:t>
      </w:r>
      <w:r w:rsidR="00FE3076" w:rsidRPr="003C065E">
        <w:rPr>
          <w:rFonts w:ascii="Times New Roman" w:hAnsi="Times New Roman"/>
          <w:lang w:val="sk-SK"/>
        </w:rPr>
        <w:t xml:space="preserve"> až stredne </w:t>
      </w:r>
      <w:r w:rsidRPr="003C065E">
        <w:rPr>
          <w:rFonts w:ascii="Times New Roman" w:hAnsi="Times New Roman"/>
          <w:lang w:val="sk-SK"/>
        </w:rPr>
        <w:t>závažná</w:t>
      </w:r>
      <w:r w:rsidR="00FE3076" w:rsidRPr="003C065E">
        <w:rPr>
          <w:rFonts w:ascii="Times New Roman" w:hAnsi="Times New Roman"/>
          <w:lang w:val="sk-SK"/>
        </w:rPr>
        <w:t xml:space="preserve"> porucha funkcie obličiek neovplyvnila v žiadnom klinicky významnom</w:t>
      </w:r>
    </w:p>
    <w:p w14:paraId="5F8A0DAF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rozsahu farmakokinetiku fulvestrantu.</w:t>
      </w:r>
    </w:p>
    <w:p w14:paraId="4E3BE91C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B6ABEA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Porucha funkcie pečene</w:t>
      </w:r>
    </w:p>
    <w:p w14:paraId="7920BA39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Farmakokinetika fulvestrantu bola hodnotená v klinickom skúšaní s podaním jednorazovej dávky</w:t>
      </w:r>
    </w:p>
    <w:p w14:paraId="77950754" w14:textId="45DA56BB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pacient</w:t>
      </w:r>
      <w:r w:rsidR="004D7941" w:rsidRPr="003C065E">
        <w:rPr>
          <w:rFonts w:ascii="Times New Roman" w:hAnsi="Times New Roman"/>
          <w:lang w:val="sk-SK"/>
        </w:rPr>
        <w:t>kám</w:t>
      </w:r>
      <w:r w:rsidRPr="003C065E">
        <w:rPr>
          <w:rFonts w:ascii="Times New Roman" w:hAnsi="Times New Roman"/>
          <w:lang w:val="sk-SK"/>
        </w:rPr>
        <w:t xml:space="preserve"> s</w:t>
      </w:r>
      <w:r w:rsidR="003D69A8" w:rsidRPr="003C065E">
        <w:rPr>
          <w:rFonts w:ascii="Times New Roman" w:hAnsi="Times New Roman"/>
          <w:lang w:val="sk-SK"/>
        </w:rPr>
        <w:t> miernou až stredne závažnou</w:t>
      </w:r>
      <w:r w:rsidRPr="003C065E">
        <w:rPr>
          <w:rFonts w:ascii="Times New Roman" w:hAnsi="Times New Roman"/>
          <w:lang w:val="sk-SK"/>
        </w:rPr>
        <w:t xml:space="preserve"> poruchou funkcie pečene (v štádiu A a B podľa Child</w:t>
      </w:r>
      <w:r w:rsidR="004D7941" w:rsidRPr="003C065E">
        <w:rPr>
          <w:rFonts w:ascii="Times New Roman" w:hAnsi="Times New Roman"/>
          <w:lang w:val="sk-SK"/>
        </w:rPr>
        <w:t>ovej</w:t>
      </w:r>
      <w:r w:rsidRPr="003C065E">
        <w:rPr>
          <w:rFonts w:ascii="Times New Roman" w:hAnsi="Times New Roman"/>
          <w:lang w:val="sk-SK"/>
        </w:rPr>
        <w:t>-</w:t>
      </w:r>
    </w:p>
    <w:p w14:paraId="2B470DA4" w14:textId="284D7FD9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Pughovej klasifikácie</w:t>
      </w:r>
      <w:r w:rsidR="004D7941" w:rsidRPr="003C065E">
        <w:rPr>
          <w:rFonts w:ascii="Times New Roman" w:hAnsi="Times New Roman"/>
          <w:lang w:val="sk-SK"/>
        </w:rPr>
        <w:t>)</w:t>
      </w:r>
      <w:r w:rsidRPr="003C065E">
        <w:rPr>
          <w:rFonts w:ascii="Times New Roman" w:hAnsi="Times New Roman"/>
          <w:lang w:val="sk-SK"/>
        </w:rPr>
        <w:t>. Bola použitá vysoká dávka lieku v krátkodobo pôsobiacej intramuskulárnej</w:t>
      </w:r>
    </w:p>
    <w:p w14:paraId="5FE30440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injekcii. U žien s poruchou funkcie pečene bolo až 2,5-násobné zvýšenie AUC v porovnaní so</w:t>
      </w:r>
    </w:p>
    <w:p w14:paraId="2326E385" w14:textId="3736F94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zdravými subjektami. Predpokladá sa, že u </w:t>
      </w:r>
      <w:r w:rsidR="00F3176D" w:rsidRPr="003C065E">
        <w:rPr>
          <w:rFonts w:ascii="Times New Roman" w:hAnsi="Times New Roman"/>
          <w:lang w:val="sk-SK"/>
        </w:rPr>
        <w:t>pacient</w:t>
      </w:r>
      <w:r w:rsidR="00F3176D">
        <w:rPr>
          <w:rFonts w:ascii="Times New Roman" w:hAnsi="Times New Roman"/>
          <w:lang w:val="sk-SK"/>
        </w:rPr>
        <w:t>o</w:t>
      </w:r>
      <w:r w:rsidR="00F3176D" w:rsidRPr="003C065E">
        <w:rPr>
          <w:rFonts w:ascii="Times New Roman" w:hAnsi="Times New Roman"/>
          <w:lang w:val="sk-SK"/>
        </w:rPr>
        <w:t>k</w:t>
      </w:r>
      <w:r w:rsidRPr="003C065E">
        <w:rPr>
          <w:rFonts w:ascii="Times New Roman" w:hAnsi="Times New Roman"/>
          <w:lang w:val="sk-SK"/>
        </w:rPr>
        <w:t xml:space="preserve">, ktorým sa podáva </w:t>
      </w:r>
      <w:r w:rsidR="00F7592E" w:rsidRPr="003C065E">
        <w:rPr>
          <w:rFonts w:ascii="Times New Roman" w:hAnsi="Times New Roman"/>
          <w:lang w:val="sk-SK"/>
        </w:rPr>
        <w:t>f</w:t>
      </w:r>
      <w:r w:rsidRPr="003C065E">
        <w:rPr>
          <w:rFonts w:ascii="Times New Roman" w:hAnsi="Times New Roman"/>
          <w:lang w:val="sk-SK"/>
        </w:rPr>
        <w:t>ulvestrant, bude takéto</w:t>
      </w:r>
    </w:p>
    <w:p w14:paraId="25F317BF" w14:textId="2ED2DC53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zvýšenie expozície dobre tolerované. Ženy s</w:t>
      </w:r>
      <w:r w:rsidR="00F7592E" w:rsidRPr="003C065E">
        <w:rPr>
          <w:rFonts w:ascii="Times New Roman" w:hAnsi="Times New Roman"/>
          <w:lang w:val="sk-SK"/>
        </w:rPr>
        <w:t>o závažnou</w:t>
      </w:r>
      <w:r w:rsidRPr="003C065E">
        <w:rPr>
          <w:rFonts w:ascii="Times New Roman" w:hAnsi="Times New Roman"/>
          <w:lang w:val="sk-SK"/>
        </w:rPr>
        <w:t xml:space="preserve"> poruchou funkcie pečene (štádium C podľa</w:t>
      </w:r>
    </w:p>
    <w:p w14:paraId="79E2B73A" w14:textId="0603AF3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Child</w:t>
      </w:r>
      <w:r w:rsidR="004D7941" w:rsidRPr="003C065E">
        <w:rPr>
          <w:rFonts w:ascii="Times New Roman" w:hAnsi="Times New Roman"/>
          <w:lang w:val="sk-SK"/>
        </w:rPr>
        <w:t>ovej</w:t>
      </w:r>
      <w:r w:rsidRPr="003C065E">
        <w:rPr>
          <w:rFonts w:ascii="Times New Roman" w:hAnsi="Times New Roman"/>
          <w:lang w:val="sk-SK"/>
        </w:rPr>
        <w:t>-Pughovej klasifikácie) neboli hodnotené.</w:t>
      </w:r>
    </w:p>
    <w:p w14:paraId="099C18CB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46FECCD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Pediatrická populácia</w:t>
      </w:r>
    </w:p>
    <w:p w14:paraId="14DC5223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Farmakokinetika fulvestrantu sa hodnotila v klinickom skúšaní vykonanom u 30 dievčat s</w:t>
      </w:r>
    </w:p>
    <w:p w14:paraId="6347BE23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progresívnou predčasnou pubertou spojenou s McCune Albrightovým syndrómom (pozri časť 5.1).</w:t>
      </w:r>
    </w:p>
    <w:p w14:paraId="5256321C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Detské pacientky boli vo veku 1 až 8 rokov a dostali intramuskulárnu dávku fulvestrantu 4 mg/kg</w:t>
      </w:r>
    </w:p>
    <w:p w14:paraId="4FCD3D81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mesačne. Geometrický priemer (smerodajná odchýlka) rovnovážneho stavu koncentrácie (C min, ss)</w:t>
      </w:r>
    </w:p>
    <w:p w14:paraId="0FBD55D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 AUCss bol 4,2 (0,9) ng/ml a 3680 (1020) ng*hod/ml, v uvedenom poradí. Hoci sú zozbierané údaje</w:t>
      </w:r>
    </w:p>
    <w:p w14:paraId="6D92894B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obmedzené, rovnovážny stav koncentrácie fulvestrantu u detí sa zdá byť v súlade s dospelými.</w:t>
      </w:r>
    </w:p>
    <w:p w14:paraId="29A9F5F0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84CBD0B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5.3      Predklinické údaje o bezpečnosti</w:t>
      </w:r>
    </w:p>
    <w:p w14:paraId="32FD4C6D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A69CE2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Akútna toxicita fulvestrantu je nízka.</w:t>
      </w:r>
    </w:p>
    <w:p w14:paraId="0815D4B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88DDBE0" w14:textId="44622F1F" w:rsidR="00FE3076" w:rsidRPr="003C065E" w:rsidRDefault="00F2079A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Referenčný liek</w:t>
      </w:r>
      <w:r w:rsidR="00BC5DE4">
        <w:rPr>
          <w:rFonts w:ascii="Times New Roman" w:hAnsi="Times New Roman"/>
          <w:lang w:val="sk-SK"/>
        </w:rPr>
        <w:t xml:space="preserve"> </w:t>
      </w:r>
      <w:r w:rsidR="0016391F" w:rsidRPr="00BC5DE4">
        <w:rPr>
          <w:rFonts w:ascii="Times New Roman" w:hAnsi="Times New Roman"/>
          <w:lang w:val="sk-SK"/>
        </w:rPr>
        <w:t xml:space="preserve">a iné formy fulvestrantu </w:t>
      </w:r>
      <w:r w:rsidR="00FE3076" w:rsidRPr="00BC5DE4">
        <w:rPr>
          <w:rFonts w:ascii="Times New Roman" w:hAnsi="Times New Roman"/>
          <w:lang w:val="sk-SK"/>
        </w:rPr>
        <w:t>bol</w:t>
      </w:r>
      <w:r w:rsidR="0016391F" w:rsidRPr="00BC5DE4">
        <w:rPr>
          <w:rFonts w:ascii="Times New Roman" w:hAnsi="Times New Roman"/>
          <w:lang w:val="sk-SK"/>
        </w:rPr>
        <w:t>i</w:t>
      </w:r>
      <w:r w:rsidR="00FE3076" w:rsidRPr="00BC5DE4">
        <w:rPr>
          <w:rFonts w:ascii="Times New Roman" w:hAnsi="Times New Roman"/>
          <w:lang w:val="sk-SK"/>
        </w:rPr>
        <w:t xml:space="preserve"> dobre tolerovan</w:t>
      </w:r>
      <w:r w:rsidR="0016391F" w:rsidRPr="00BC5DE4">
        <w:rPr>
          <w:rFonts w:ascii="Times New Roman" w:hAnsi="Times New Roman"/>
          <w:lang w:val="sk-SK"/>
        </w:rPr>
        <w:t>é</w:t>
      </w:r>
      <w:r w:rsidR="00FE3076" w:rsidRPr="00BC5DE4">
        <w:rPr>
          <w:rFonts w:ascii="Times New Roman" w:hAnsi="Times New Roman"/>
          <w:lang w:val="sk-SK"/>
        </w:rPr>
        <w:t xml:space="preserve"> u všetkých zvieracích druhov v</w:t>
      </w:r>
      <w:r w:rsidR="00FE3076" w:rsidRPr="003C065E">
        <w:rPr>
          <w:rFonts w:ascii="Times New Roman" w:hAnsi="Times New Roman"/>
          <w:lang w:val="sk-SK"/>
        </w:rPr>
        <w:t> </w:t>
      </w:r>
      <w:r w:rsidR="0016391F" w:rsidRPr="003C065E">
        <w:rPr>
          <w:rFonts w:ascii="Times New Roman" w:hAnsi="Times New Roman"/>
          <w:lang w:val="sk-SK"/>
        </w:rPr>
        <w:t>štúdiách</w:t>
      </w:r>
      <w:r w:rsidR="00FE3076" w:rsidRPr="003C065E">
        <w:rPr>
          <w:rFonts w:ascii="Times New Roman" w:hAnsi="Times New Roman"/>
          <w:lang w:val="sk-SK"/>
        </w:rPr>
        <w:t xml:space="preserve"> s podávaním opakovaných dávok. Miestne reakcie</w:t>
      </w:r>
      <w:r w:rsidR="003736FD" w:rsidRPr="003C065E">
        <w:rPr>
          <w:rFonts w:ascii="Times New Roman" w:hAnsi="Times New Roman"/>
          <w:lang w:val="sk-SK"/>
        </w:rPr>
        <w:t>,</w:t>
      </w:r>
      <w:r w:rsidR="00FE3076" w:rsidRPr="003C065E">
        <w:rPr>
          <w:rFonts w:ascii="Times New Roman" w:hAnsi="Times New Roman"/>
          <w:lang w:val="sk-SK"/>
        </w:rPr>
        <w:t xml:space="preserve"> vrátane myozitídy a tvorby granulómov v mieste podania injekcie</w:t>
      </w:r>
      <w:r w:rsidR="003736FD" w:rsidRPr="003C065E">
        <w:rPr>
          <w:rFonts w:ascii="Times New Roman" w:hAnsi="Times New Roman"/>
          <w:lang w:val="sk-SK"/>
        </w:rPr>
        <w:t>,</w:t>
      </w:r>
      <w:r w:rsidR="00FE3076" w:rsidRPr="003C065E">
        <w:rPr>
          <w:rFonts w:ascii="Times New Roman" w:hAnsi="Times New Roman"/>
          <w:lang w:val="sk-SK"/>
        </w:rPr>
        <w:t xml:space="preserve"> sa pripisovali vehikulu, avšak závažnosť myozitídy u králikov sa pri fulvestrante zvyšovala v porovnaní so skupinou, ktorej bol podávaný fyziologický roztok. V </w:t>
      </w:r>
      <w:r w:rsidR="0064283C">
        <w:rPr>
          <w:rFonts w:ascii="Times New Roman" w:hAnsi="Times New Roman"/>
          <w:lang w:val="sk-SK"/>
        </w:rPr>
        <w:t>štúdiách</w:t>
      </w:r>
      <w:r w:rsidR="00FE3076" w:rsidRPr="003C065E">
        <w:rPr>
          <w:rFonts w:ascii="Times New Roman" w:hAnsi="Times New Roman"/>
          <w:lang w:val="sk-SK"/>
        </w:rPr>
        <w:t xml:space="preserve"> toxicity s opakovanými intramuskulárnymi dávkami fulvestrantu potkanom a</w:t>
      </w:r>
      <w:r w:rsidR="003736FD" w:rsidRPr="003C065E">
        <w:rPr>
          <w:rFonts w:ascii="Times New Roman" w:hAnsi="Times New Roman"/>
          <w:lang w:val="sk-SK"/>
        </w:rPr>
        <w:t> </w:t>
      </w:r>
      <w:r w:rsidR="00FE3076" w:rsidRPr="003C065E">
        <w:rPr>
          <w:rFonts w:ascii="Times New Roman" w:hAnsi="Times New Roman"/>
          <w:lang w:val="sk-SK"/>
        </w:rPr>
        <w:t>psom</w:t>
      </w:r>
      <w:r w:rsidR="003736FD" w:rsidRPr="003C065E">
        <w:rPr>
          <w:rFonts w:ascii="Times New Roman" w:hAnsi="Times New Roman"/>
          <w:lang w:val="sk-SK"/>
        </w:rPr>
        <w:t>,</w:t>
      </w:r>
      <w:r w:rsidR="00FE3076" w:rsidRPr="003C065E">
        <w:rPr>
          <w:rFonts w:ascii="Times New Roman" w:hAnsi="Times New Roman"/>
          <w:lang w:val="sk-SK"/>
        </w:rPr>
        <w:t xml:space="preserve"> bola antiestrogénová aktivita fulvestrantu zodpovedná za väčšinu prejavených účinkov, a to predovšetkým na ženský reprodukčný systém, ale aj na iné orgány citlivé na hormóny u obidvoch pohlaví.</w:t>
      </w:r>
      <w:r w:rsidR="003736FD" w:rsidRPr="003C065E">
        <w:rPr>
          <w:rFonts w:ascii="Times New Roman" w:hAnsi="Times New Roman"/>
          <w:lang w:val="sk-SK"/>
        </w:rPr>
        <w:t xml:space="preserve"> </w:t>
      </w:r>
      <w:r w:rsidR="00FE3076" w:rsidRPr="003C065E">
        <w:rPr>
          <w:rFonts w:ascii="Times New Roman" w:hAnsi="Times New Roman"/>
          <w:lang w:val="sk-SK"/>
        </w:rPr>
        <w:t>U niektorých psov sa pozorovala arteritída v rade rôznych tkanív po chronickom (12 mesačnom) dávkovaní.</w:t>
      </w:r>
    </w:p>
    <w:p w14:paraId="3B836AD7" w14:textId="77777777" w:rsidR="005D198D" w:rsidRPr="003C065E" w:rsidRDefault="005D198D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538FC17" w14:textId="05B68F2F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lastRenderedPageBreak/>
        <w:t xml:space="preserve">V </w:t>
      </w:r>
      <w:r w:rsidR="0090664F">
        <w:rPr>
          <w:rFonts w:ascii="Times New Roman" w:hAnsi="Times New Roman"/>
          <w:lang w:val="sk-SK"/>
        </w:rPr>
        <w:t>štúdiách</w:t>
      </w:r>
      <w:r w:rsidRPr="003C065E">
        <w:rPr>
          <w:rFonts w:ascii="Times New Roman" w:hAnsi="Times New Roman"/>
          <w:lang w:val="sk-SK"/>
        </w:rPr>
        <w:t xml:space="preserve"> na psoch pri perorálnom a intravenóznom podaní boli pozorované účinky na</w:t>
      </w:r>
    </w:p>
    <w:p w14:paraId="762BBE6B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kardiovaskulárny systém (mierne zvýšenie S-T segmentu EKG pri perorálnom podaní</w:t>
      </w:r>
    </w:p>
    <w:p w14:paraId="0734F454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 zastavenie sínusového uzla u jedného psa pri intravenóznom podaní). Tieto účinky sa vyskytli pri</w:t>
      </w:r>
    </w:p>
    <w:p w14:paraId="009F7E92" w14:textId="37B02E33" w:rsidR="00FE3076" w:rsidRPr="003C065E" w:rsidRDefault="00C434E1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B36322">
        <w:rPr>
          <w:rFonts w:ascii="Times New Roman" w:hAnsi="Times New Roman"/>
          <w:lang w:val="sk-SK"/>
        </w:rPr>
        <w:t>expozičných hladinách</w:t>
      </w:r>
      <w:r w:rsidR="00FE3076" w:rsidRPr="003C065E">
        <w:rPr>
          <w:rFonts w:ascii="Times New Roman" w:hAnsi="Times New Roman"/>
          <w:lang w:val="sk-SK"/>
        </w:rPr>
        <w:t xml:space="preserve"> vyšš</w:t>
      </w:r>
      <w:r w:rsidRPr="003C065E">
        <w:rPr>
          <w:rFonts w:ascii="Times New Roman" w:hAnsi="Times New Roman"/>
          <w:lang w:val="sk-SK"/>
        </w:rPr>
        <w:t>ích</w:t>
      </w:r>
      <w:r w:rsidR="00FE3076" w:rsidRPr="003C065E">
        <w:rPr>
          <w:rFonts w:ascii="Times New Roman" w:hAnsi="Times New Roman"/>
          <w:lang w:val="sk-SK"/>
        </w:rPr>
        <w:t xml:space="preserve"> ako u </w:t>
      </w:r>
      <w:r w:rsidR="00F3176D" w:rsidRPr="003C065E">
        <w:rPr>
          <w:rFonts w:ascii="Times New Roman" w:hAnsi="Times New Roman"/>
          <w:lang w:val="sk-SK"/>
        </w:rPr>
        <w:t>pacient</w:t>
      </w:r>
      <w:r w:rsidR="00F3176D">
        <w:rPr>
          <w:rFonts w:ascii="Times New Roman" w:hAnsi="Times New Roman"/>
          <w:lang w:val="sk-SK"/>
        </w:rPr>
        <w:t>o</w:t>
      </w:r>
      <w:r w:rsidR="00F3176D" w:rsidRPr="003C065E">
        <w:rPr>
          <w:rFonts w:ascii="Times New Roman" w:hAnsi="Times New Roman"/>
          <w:lang w:val="sk-SK"/>
        </w:rPr>
        <w:t xml:space="preserve">k </w:t>
      </w:r>
      <w:r w:rsidR="00FE3076" w:rsidRPr="003C065E">
        <w:rPr>
          <w:rFonts w:ascii="Times New Roman" w:hAnsi="Times New Roman"/>
          <w:lang w:val="sk-SK"/>
        </w:rPr>
        <w:t>(C</w:t>
      </w:r>
      <w:r w:rsidR="00FE3076" w:rsidRPr="003C065E">
        <w:rPr>
          <w:rFonts w:ascii="Times New Roman" w:hAnsi="Times New Roman"/>
          <w:vertAlign w:val="subscript"/>
          <w:lang w:val="sk-SK"/>
        </w:rPr>
        <w:t>max</w:t>
      </w:r>
      <w:r w:rsidR="00FE3076" w:rsidRPr="003C065E">
        <w:rPr>
          <w:rFonts w:ascii="Times New Roman" w:hAnsi="Times New Roman"/>
          <w:lang w:val="sk-SK"/>
        </w:rPr>
        <w:t xml:space="preserve"> &gt; 15 krát), a pre bezpečnosť u človeka majú pri</w:t>
      </w:r>
      <w:r w:rsidR="003736FD" w:rsidRPr="003C065E">
        <w:rPr>
          <w:rFonts w:ascii="Times New Roman" w:hAnsi="Times New Roman"/>
          <w:lang w:val="sk-SK"/>
        </w:rPr>
        <w:t xml:space="preserve"> </w:t>
      </w:r>
      <w:r w:rsidR="00FE3076" w:rsidRPr="003C065E">
        <w:rPr>
          <w:rFonts w:ascii="Times New Roman" w:hAnsi="Times New Roman"/>
          <w:lang w:val="sk-SK"/>
        </w:rPr>
        <w:t>podaní klinickej dávky pravdepodobne len obmedzený význam.</w:t>
      </w:r>
    </w:p>
    <w:p w14:paraId="01C75A5E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7E28BE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Fulvestrant nepreukázal žiadny genotoxický potenciál.</w:t>
      </w:r>
    </w:p>
    <w:p w14:paraId="291D4A3C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3B5A4F4" w14:textId="2F2E15DB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Účinky fulvestrantu na reprodukciu a vývoj embrya/plodu preukázali pri dávkach</w:t>
      </w:r>
      <w:r w:rsidR="007B2A93" w:rsidRPr="003C065E">
        <w:rPr>
          <w:rFonts w:ascii="Times New Roman" w:hAnsi="Times New Roman"/>
          <w:lang w:val="sk-SK"/>
        </w:rPr>
        <w:t>,</w:t>
      </w:r>
      <w:r w:rsidRPr="003C065E">
        <w:rPr>
          <w:rFonts w:ascii="Times New Roman" w:hAnsi="Times New Roman"/>
          <w:lang w:val="sk-SK"/>
        </w:rPr>
        <w:t xml:space="preserve"> podobných dávkam</w:t>
      </w:r>
    </w:p>
    <w:p w14:paraId="15437B09" w14:textId="518D5B08" w:rsidR="00FE3076" w:rsidRPr="003C065E" w:rsidRDefault="007B2A93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klinickým,</w:t>
      </w:r>
      <w:r w:rsidR="00FE3076" w:rsidRPr="003C065E">
        <w:rPr>
          <w:rFonts w:ascii="Times New Roman" w:hAnsi="Times New Roman"/>
          <w:lang w:val="sk-SK"/>
        </w:rPr>
        <w:t xml:space="preserve"> jeho antiestrogénny účinok. U potkanov sa pozoroval reverzibilný pokles plodnosti samíc a</w:t>
      </w:r>
      <w:r w:rsidRPr="003C065E">
        <w:rPr>
          <w:rFonts w:ascii="Times New Roman" w:hAnsi="Times New Roman"/>
          <w:lang w:val="sk-SK"/>
        </w:rPr>
        <w:t xml:space="preserve"> </w:t>
      </w:r>
      <w:r w:rsidR="00FE3076" w:rsidRPr="003C065E">
        <w:rPr>
          <w:rFonts w:ascii="Times New Roman" w:hAnsi="Times New Roman"/>
          <w:lang w:val="sk-SK"/>
        </w:rPr>
        <w:t>prežití embryí, dystokia a zvýšený výskyt abnormalít plodu vrátane tarzálnej flexúry. Fulvestrant</w:t>
      </w:r>
    </w:p>
    <w:p w14:paraId="58D3BBD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podávaný králikom mal za následok potrat. Bolo pozorované zvýšenie hmotnosti placenty a postimplantačná strata plodov. U králikov došlo k zvýšenému výskytu zmien plodu (dorzálny posun</w:t>
      </w:r>
    </w:p>
    <w:p w14:paraId="4DD93FEE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panvového pletenca a 27. presakrálneho stavca).</w:t>
      </w:r>
    </w:p>
    <w:p w14:paraId="227662BB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2B66E89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Dvojročná štúdia onkogenicity na potkanoch (intramuskulárne podanie fulvestrantu) ukázala zvýšený</w:t>
      </w:r>
    </w:p>
    <w:p w14:paraId="1BBB4601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výskyt benígnych bunkových nádorov granulózy vaječníkov u potkaních samíc pri vysokých dávkach</w:t>
      </w:r>
    </w:p>
    <w:p w14:paraId="1A5B4E0E" w14:textId="67E57A62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10 mg</w:t>
      </w:r>
      <w:r w:rsidR="00BA2A1E" w:rsidRPr="003C065E">
        <w:rPr>
          <w:rFonts w:ascii="Times New Roman" w:hAnsi="Times New Roman"/>
          <w:lang w:val="sk-SK"/>
        </w:rPr>
        <w:t>/potkan/</w:t>
      </w:r>
      <w:r w:rsidRPr="003C065E">
        <w:rPr>
          <w:rFonts w:ascii="Times New Roman" w:hAnsi="Times New Roman"/>
          <w:lang w:val="sk-SK"/>
        </w:rPr>
        <w:t xml:space="preserve">15 dní a zvýšený výskyt testikulárnych Leydigových bunkových nádorov u samcov. </w:t>
      </w:r>
      <w:r w:rsidR="00BA2A1E" w:rsidRPr="003C065E">
        <w:rPr>
          <w:rFonts w:ascii="Times New Roman" w:hAnsi="Times New Roman"/>
          <w:lang w:val="sk-SK"/>
        </w:rPr>
        <w:br/>
      </w:r>
      <w:r w:rsidRPr="003C065E">
        <w:rPr>
          <w:rFonts w:ascii="Times New Roman" w:hAnsi="Times New Roman"/>
          <w:lang w:val="sk-SK"/>
        </w:rPr>
        <w:t>V</w:t>
      </w:r>
      <w:r w:rsidR="00BA2A1E"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dvojročnej štúdii onkogenicity na myšiach (perorálne podanie denne) bola zvýšená incidencia</w:t>
      </w:r>
    </w:p>
    <w:p w14:paraId="3BCE3226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zväzkových stromálnych nádorov vaječníkov u samíc (benígnych aj malígnych) v dávkach 150</w:t>
      </w:r>
    </w:p>
    <w:p w14:paraId="7066A515" w14:textId="45A73F44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 500 mg/kg/deň. S ohľadom na tieto nálezy pre úroveň nulového účinku (</w:t>
      </w:r>
      <w:r w:rsidRPr="003C065E">
        <w:rPr>
          <w:rFonts w:ascii="Times New Roman" w:hAnsi="Times New Roman"/>
          <w:i/>
          <w:iCs/>
          <w:lang w:val="sk-SK"/>
        </w:rPr>
        <w:t>'the no-effect level')</w:t>
      </w:r>
      <w:r w:rsidR="00C9104E" w:rsidRPr="003C065E">
        <w:rPr>
          <w:rFonts w:ascii="Times New Roman" w:hAnsi="Times New Roman"/>
          <w:lang w:val="sk-SK"/>
        </w:rPr>
        <w:t>,</w:t>
      </w:r>
      <w:r w:rsidRPr="003C065E">
        <w:rPr>
          <w:rFonts w:ascii="Times New Roman" w:hAnsi="Times New Roman"/>
          <w:i/>
          <w:iCs/>
          <w:lang w:val="sk-SK"/>
        </w:rPr>
        <w:t xml:space="preserve"> </w:t>
      </w:r>
      <w:r w:rsidRPr="003C065E">
        <w:rPr>
          <w:rFonts w:ascii="Times New Roman" w:hAnsi="Times New Roman"/>
          <w:lang w:val="sk-SK"/>
        </w:rPr>
        <w:t>bola</w:t>
      </w:r>
    </w:p>
    <w:p w14:paraId="2CD8093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systémová expozícia (AUC) u potkanov približne 1,5-krát vyššia než očakávaná expozícia u žien</w:t>
      </w:r>
    </w:p>
    <w:p w14:paraId="76E592A9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 0,8-krát vyššia než expozícia u mužov a u myší približne 0,8-krát vyššia než očakávaná expozícia</w:t>
      </w:r>
    </w:p>
    <w:p w14:paraId="603852E1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u mužov či žien. Vyvolanie týchto nádorov zodpovedá farmakologicky vyvolaným endokrinným</w:t>
      </w:r>
    </w:p>
    <w:p w14:paraId="6BD07ABF" w14:textId="3C32E7EC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spätne väzbovým zmenám v hladinách gonadotropínov</w:t>
      </w:r>
      <w:r w:rsidR="00C9104E" w:rsidRPr="003C065E">
        <w:rPr>
          <w:rFonts w:ascii="Times New Roman" w:hAnsi="Times New Roman"/>
          <w:lang w:val="sk-SK"/>
        </w:rPr>
        <w:t>,</w:t>
      </w:r>
      <w:r w:rsidRPr="003C065E">
        <w:rPr>
          <w:rFonts w:ascii="Times New Roman" w:hAnsi="Times New Roman"/>
          <w:lang w:val="sk-SK"/>
        </w:rPr>
        <w:t xml:space="preserve"> spôsobených antiestrogénmi u cyklujúcich</w:t>
      </w:r>
    </w:p>
    <w:p w14:paraId="3801D8A4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zvierat. Preto tieto poznatky nie sú považované za dôležité pre použitie fulvestrantu</w:t>
      </w:r>
    </w:p>
    <w:p w14:paraId="39E0CABE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u postmenopauzálnych žien s pokročilým karcinómom prsníka.</w:t>
      </w:r>
    </w:p>
    <w:p w14:paraId="7FCEB994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8B26BCF" w14:textId="712FEE82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Hodnotenie environmentálneho rizika (</w:t>
      </w:r>
      <w:r w:rsidR="00C9104E" w:rsidRPr="003C065E">
        <w:rPr>
          <w:rFonts w:ascii="Times New Roman" w:eastAsia="TimesNewRoman" w:hAnsi="Times New Roman"/>
          <w:lang w:val="sk-SK"/>
        </w:rPr>
        <w:t xml:space="preserve">Environmental Risk Assessment, </w:t>
      </w:r>
      <w:r w:rsidRPr="003C065E">
        <w:rPr>
          <w:rFonts w:ascii="Times New Roman" w:eastAsia="TimesNewRoman" w:hAnsi="Times New Roman"/>
          <w:lang w:val="sk-SK"/>
        </w:rPr>
        <w:t>ERA)</w:t>
      </w:r>
    </w:p>
    <w:p w14:paraId="2FDEC695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Štúdie hodnotenia environmentálneho rizika preukázali, že fulvestrant má potenciál nepriaznivo</w:t>
      </w:r>
    </w:p>
    <w:p w14:paraId="10750891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ovplyvňovať vodné prostredie (pozri časť 6.6).</w:t>
      </w:r>
    </w:p>
    <w:p w14:paraId="74D64C42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C3878E9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D836313" w14:textId="77777777" w:rsidR="00FE3076" w:rsidRPr="003C065E" w:rsidRDefault="00FE3076" w:rsidP="00FE3076">
      <w:pPr>
        <w:pStyle w:val="Odsekzoznamu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FARMACEUTICKÉ INFORMÁCIE</w:t>
      </w:r>
    </w:p>
    <w:p w14:paraId="347CC757" w14:textId="77777777" w:rsidR="00FE3076" w:rsidRPr="003C065E" w:rsidRDefault="00FE3076" w:rsidP="00FE3076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31F81CC3" w14:textId="77777777" w:rsidR="00FE3076" w:rsidRPr="003C065E" w:rsidRDefault="00FE3076" w:rsidP="00FE3076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6.1 </w:t>
      </w:r>
      <w:r w:rsidRPr="003C065E">
        <w:rPr>
          <w:rFonts w:ascii="Times New Roman" w:hAnsi="Times New Roman"/>
          <w:b/>
          <w:bCs/>
          <w:lang w:val="sk-SK"/>
        </w:rPr>
        <w:tab/>
        <w:t>Zoznam pomocných látok</w:t>
      </w:r>
    </w:p>
    <w:p w14:paraId="16743B9C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041F9030" w14:textId="30D0E3D8" w:rsidR="00FE3076" w:rsidRPr="003C065E" w:rsidRDefault="009B0FAE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E</w:t>
      </w:r>
      <w:r w:rsidR="00FE3076" w:rsidRPr="003C065E">
        <w:rPr>
          <w:rFonts w:ascii="Times New Roman" w:hAnsi="Times New Roman"/>
          <w:lang w:val="sk-SK"/>
        </w:rPr>
        <w:t xml:space="preserve">tanol </w:t>
      </w:r>
      <w:r w:rsidRPr="003C065E">
        <w:rPr>
          <w:rFonts w:ascii="Times New Roman" w:hAnsi="Times New Roman"/>
          <w:lang w:val="sk-SK"/>
        </w:rPr>
        <w:t>(</w:t>
      </w:r>
      <w:r w:rsidR="00FE3076" w:rsidRPr="003C065E">
        <w:rPr>
          <w:rFonts w:ascii="Times New Roman" w:hAnsi="Times New Roman"/>
          <w:lang w:val="sk-SK"/>
        </w:rPr>
        <w:t>96 %</w:t>
      </w:r>
      <w:r w:rsidRPr="003C065E">
        <w:rPr>
          <w:rFonts w:ascii="Times New Roman" w:hAnsi="Times New Roman"/>
          <w:lang w:val="sk-SK"/>
        </w:rPr>
        <w:t>)</w:t>
      </w:r>
    </w:p>
    <w:p w14:paraId="49EB43F9" w14:textId="05CD2338" w:rsidR="00FE3076" w:rsidRPr="003C065E" w:rsidRDefault="009B0FAE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B</w:t>
      </w:r>
      <w:r w:rsidR="00FE3076" w:rsidRPr="003C065E">
        <w:rPr>
          <w:rFonts w:ascii="Times New Roman" w:hAnsi="Times New Roman"/>
          <w:lang w:val="sk-SK"/>
        </w:rPr>
        <w:t>enzylalkohol</w:t>
      </w:r>
      <w:r w:rsidRPr="003C065E">
        <w:rPr>
          <w:rFonts w:ascii="Times New Roman" w:hAnsi="Times New Roman"/>
          <w:lang w:val="sk-SK"/>
        </w:rPr>
        <w:t xml:space="preserve"> (E1519)</w:t>
      </w:r>
    </w:p>
    <w:p w14:paraId="619B8CAF" w14:textId="14E5EF9F" w:rsidR="00FE3076" w:rsidRPr="003C065E" w:rsidRDefault="009B0FAE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B</w:t>
      </w:r>
      <w:r w:rsidR="00FE3076" w:rsidRPr="003C065E">
        <w:rPr>
          <w:rFonts w:ascii="Times New Roman" w:hAnsi="Times New Roman"/>
          <w:lang w:val="sk-SK"/>
        </w:rPr>
        <w:t>enzylbenzoát</w:t>
      </w:r>
    </w:p>
    <w:p w14:paraId="2770FEA0" w14:textId="6099CE39" w:rsidR="00FE3076" w:rsidRPr="003C065E" w:rsidRDefault="009B0FAE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R</w:t>
      </w:r>
      <w:r w:rsidR="00FE3076" w:rsidRPr="003C065E">
        <w:rPr>
          <w:rFonts w:ascii="Times New Roman" w:hAnsi="Times New Roman"/>
          <w:lang w:val="sk-SK"/>
        </w:rPr>
        <w:t>icínový olej, rafinovaný</w:t>
      </w:r>
    </w:p>
    <w:p w14:paraId="34E50CED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22DC0E7" w14:textId="77777777" w:rsidR="00FE3076" w:rsidRPr="003C065E" w:rsidRDefault="00FE3076" w:rsidP="00FE3076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6.2 </w:t>
      </w:r>
      <w:r w:rsidRPr="003C065E">
        <w:rPr>
          <w:rFonts w:ascii="Times New Roman" w:hAnsi="Times New Roman"/>
          <w:b/>
          <w:bCs/>
          <w:lang w:val="sk-SK"/>
        </w:rPr>
        <w:tab/>
        <w:t>Inkompatibility</w:t>
      </w:r>
    </w:p>
    <w:p w14:paraId="404E51D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17A6322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Nevykonali sa štúdie kompatibility, preto sa tento liek nesmie miešať s inými liekmi.</w:t>
      </w:r>
    </w:p>
    <w:p w14:paraId="5DDE802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BE6E8F4" w14:textId="77777777" w:rsidR="00FE3076" w:rsidRPr="003C065E" w:rsidRDefault="00FE3076" w:rsidP="00FE307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6.3    Čas použiteľnosti</w:t>
      </w:r>
    </w:p>
    <w:p w14:paraId="2483A67E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996FF0C" w14:textId="521384F8" w:rsidR="00FE3076" w:rsidRPr="003C065E" w:rsidRDefault="007940AF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2</w:t>
      </w:r>
      <w:r w:rsidR="00FE3076" w:rsidRPr="003C065E">
        <w:rPr>
          <w:rFonts w:ascii="Times New Roman" w:hAnsi="Times New Roman"/>
          <w:lang w:val="sk-SK"/>
        </w:rPr>
        <w:t xml:space="preserve"> roky</w:t>
      </w:r>
      <w:r w:rsidRPr="003C065E">
        <w:rPr>
          <w:rFonts w:ascii="Times New Roman" w:hAnsi="Times New Roman"/>
          <w:lang w:val="sk-SK"/>
        </w:rPr>
        <w:t>.</w:t>
      </w:r>
    </w:p>
    <w:p w14:paraId="60C34FF1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FDEAF8F" w14:textId="77777777" w:rsidR="00FE3076" w:rsidRPr="003C065E" w:rsidRDefault="00FE3076" w:rsidP="00FE307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6.4    Špeciálne upozornenia na uchovávanie</w:t>
      </w:r>
    </w:p>
    <w:p w14:paraId="5D01E713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D0AB3D9" w14:textId="7CE93C88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i/>
          <w:iCs/>
          <w:lang w:val="sk-SK"/>
        </w:rPr>
      </w:pPr>
      <w:r w:rsidRPr="003C065E">
        <w:rPr>
          <w:rFonts w:ascii="Times New Roman" w:hAnsi="Times New Roman"/>
          <w:i/>
          <w:iCs/>
          <w:lang w:val="sk-SK"/>
        </w:rPr>
        <w:t>Uchovávajte a prepravujte v chlad</w:t>
      </w:r>
      <w:r w:rsidR="00F02021">
        <w:rPr>
          <w:rFonts w:ascii="Times New Roman" w:hAnsi="Times New Roman"/>
          <w:i/>
          <w:iCs/>
          <w:lang w:val="sk-SK"/>
        </w:rPr>
        <w:t>e</w:t>
      </w:r>
      <w:r w:rsidRPr="003C065E">
        <w:rPr>
          <w:rFonts w:ascii="Times New Roman" w:hAnsi="Times New Roman"/>
          <w:i/>
          <w:iCs/>
          <w:lang w:val="sk-SK"/>
        </w:rPr>
        <w:t xml:space="preserve"> (2°C – 8°C). </w:t>
      </w:r>
    </w:p>
    <w:p w14:paraId="0385B2CE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358EB6AB" w14:textId="1AC41DBA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lastRenderedPageBreak/>
        <w:t xml:space="preserve">Má sa zamedziť teplotným odchýlkam mimo rozsahu 2°C – 8°C. </w:t>
      </w:r>
      <w:r w:rsidRPr="003C065E">
        <w:rPr>
          <w:rFonts w:ascii="Times New Roman" w:eastAsia="Times New Roman" w:hAnsi="Times New Roman"/>
          <w:lang w:val="sk-SK" w:bidi="sk-SK"/>
        </w:rPr>
        <w:t>Vyhnite sa uchovávaniu pri teplote prevyšujúcej 30°C a</w:t>
      </w:r>
      <w:r w:rsidR="005B4545" w:rsidRPr="003C065E">
        <w:rPr>
          <w:rFonts w:ascii="Times New Roman" w:eastAsia="Times New Roman" w:hAnsi="Times New Roman"/>
          <w:lang w:val="sk-SK" w:bidi="sk-SK"/>
        </w:rPr>
        <w:t> presahujúcej 28-dňové obdobie, kedy priemerná</w:t>
      </w:r>
      <w:r w:rsidRPr="003C065E">
        <w:rPr>
          <w:rFonts w:ascii="Times New Roman" w:eastAsia="Times New Roman" w:hAnsi="Times New Roman"/>
          <w:lang w:val="sk-SK" w:bidi="sk-SK"/>
        </w:rPr>
        <w:t xml:space="preserve"> teplot</w:t>
      </w:r>
      <w:r w:rsidR="005B4545" w:rsidRPr="003C065E">
        <w:rPr>
          <w:rFonts w:ascii="Times New Roman" w:eastAsia="Times New Roman" w:hAnsi="Times New Roman"/>
          <w:lang w:val="sk-SK" w:bidi="sk-SK"/>
        </w:rPr>
        <w:t>a uchovávania pre tento liek je nižšia</w:t>
      </w:r>
      <w:r w:rsidRPr="003C065E">
        <w:rPr>
          <w:rFonts w:ascii="Times New Roman" w:eastAsia="Times New Roman" w:hAnsi="Times New Roman"/>
          <w:lang w:val="sk-SK" w:bidi="sk-SK"/>
        </w:rPr>
        <w:t xml:space="preserve"> ako 25°C (ale nad rozsah 2°C </w:t>
      </w:r>
      <w:r w:rsidR="005B4545" w:rsidRPr="003C065E">
        <w:rPr>
          <w:rFonts w:ascii="Times New Roman" w:hAnsi="Times New Roman"/>
          <w:lang w:val="sk-SK"/>
        </w:rPr>
        <w:t>–</w:t>
      </w:r>
      <w:r w:rsidRPr="003C065E">
        <w:rPr>
          <w:rFonts w:ascii="Times New Roman" w:eastAsia="Times New Roman" w:hAnsi="Times New Roman"/>
          <w:lang w:val="sk-SK" w:bidi="sk-SK"/>
        </w:rPr>
        <w:t xml:space="preserve"> 8°C). </w:t>
      </w:r>
      <w:r w:rsidRPr="003C065E">
        <w:rPr>
          <w:rFonts w:ascii="Times New Roman" w:hAnsi="Times New Roman"/>
          <w:lang w:val="sk-SK"/>
        </w:rPr>
        <w:t>Po teplotných odchýlkach sa má liek ihneď vrátiť do odporúčaných podmienok uchovávania (uchovávanie a preprava v chlad</w:t>
      </w:r>
      <w:r w:rsidR="00013B13">
        <w:rPr>
          <w:rFonts w:ascii="Times New Roman" w:hAnsi="Times New Roman"/>
          <w:lang w:val="sk-SK"/>
        </w:rPr>
        <w:t>e</w:t>
      </w:r>
      <w:r w:rsidRPr="003C065E">
        <w:rPr>
          <w:rFonts w:ascii="Times New Roman" w:hAnsi="Times New Roman"/>
          <w:lang w:val="sk-SK"/>
        </w:rPr>
        <w:t xml:space="preserve"> 2°C – 8°C). Teplotné odchýlky majú kumulatívny účinok na kvalitu lieku a 28-dňová lehota sa nesmie prekročiť počas</w:t>
      </w:r>
      <w:r w:rsidR="005B7AD6">
        <w:rPr>
          <w:rFonts w:ascii="Times New Roman" w:hAnsi="Times New Roman"/>
          <w:lang w:val="sk-SK"/>
        </w:rPr>
        <w:t xml:space="preserve"> trvania</w:t>
      </w:r>
      <w:r w:rsidRPr="003C065E">
        <w:rPr>
          <w:rFonts w:ascii="Times New Roman" w:hAnsi="Times New Roman"/>
          <w:lang w:val="sk-SK"/>
        </w:rPr>
        <w:t xml:space="preserve"> </w:t>
      </w:r>
      <w:r w:rsidR="00C74325" w:rsidRPr="003C065E">
        <w:rPr>
          <w:rFonts w:ascii="Times New Roman" w:hAnsi="Times New Roman"/>
          <w:lang w:val="sk-SK"/>
        </w:rPr>
        <w:t>2-</w:t>
      </w:r>
      <w:r w:rsidRPr="003C065E">
        <w:rPr>
          <w:rFonts w:ascii="Times New Roman" w:hAnsi="Times New Roman"/>
          <w:lang w:val="sk-SK"/>
        </w:rPr>
        <w:t xml:space="preserve">ročného času použiteľnosti </w:t>
      </w:r>
      <w:r w:rsidR="00C74325" w:rsidRPr="003C065E">
        <w:rPr>
          <w:rFonts w:ascii="Times New Roman" w:hAnsi="Times New Roman"/>
          <w:lang w:val="sk-SK"/>
        </w:rPr>
        <w:t>f</w:t>
      </w:r>
      <w:r w:rsidRPr="003C065E">
        <w:rPr>
          <w:rFonts w:ascii="Times New Roman" w:hAnsi="Times New Roman"/>
          <w:lang w:val="sk-SK"/>
        </w:rPr>
        <w:t xml:space="preserve">ulvestrantu (pozri časť 6.3). Vystavením teplotám nižším ako </w:t>
      </w:r>
      <w:r w:rsidR="00963564" w:rsidRPr="003C065E">
        <w:rPr>
          <w:rFonts w:ascii="Times New Roman" w:hAnsi="Times New Roman"/>
          <w:lang w:val="sk-SK"/>
        </w:rPr>
        <w:br/>
      </w:r>
      <w:r w:rsidRPr="003C065E">
        <w:rPr>
          <w:rFonts w:ascii="Times New Roman" w:hAnsi="Times New Roman"/>
          <w:lang w:val="sk-SK"/>
        </w:rPr>
        <w:t>2°C nedôjde k poškodeniu lieku za predpokladu, že nie je uchovávaný pod -20°C.</w:t>
      </w:r>
      <w:r w:rsidR="00963564" w:rsidRPr="003C065E">
        <w:rPr>
          <w:rFonts w:ascii="Times New Roman" w:hAnsi="Times New Roman"/>
          <w:lang w:val="sk-SK"/>
        </w:rPr>
        <w:t xml:space="preserve"> </w:t>
      </w:r>
    </w:p>
    <w:p w14:paraId="3F029F4E" w14:textId="414992F6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</w:p>
    <w:p w14:paraId="60E148A5" w14:textId="77777777" w:rsidR="003F4E6D" w:rsidRPr="003C065E" w:rsidRDefault="003F4E6D" w:rsidP="003F4E6D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Naplnenú injekčnú striekačku uchovávajte v pôvodnom obale na ochranu pred svetlom.</w:t>
      </w:r>
    </w:p>
    <w:p w14:paraId="3E97CEB2" w14:textId="3DACD4CF" w:rsidR="003F4E6D" w:rsidRPr="003C065E" w:rsidRDefault="003F4E6D" w:rsidP="00FE3076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</w:p>
    <w:p w14:paraId="2A6CCE23" w14:textId="77777777" w:rsidR="003F4E6D" w:rsidRPr="003C065E" w:rsidRDefault="003F4E6D" w:rsidP="00FE3076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</w:p>
    <w:p w14:paraId="62A63D5D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6.5    Druh obalu a obsah balenia</w:t>
      </w:r>
    </w:p>
    <w:p w14:paraId="1E8D044F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1142537" w14:textId="2006D21C" w:rsidR="00647BE5" w:rsidRPr="003C065E" w:rsidRDefault="00647BE5" w:rsidP="00E472B3">
      <w:p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Balenie s naplnenou injekčnou striekačkou obsahuje:</w:t>
      </w:r>
    </w:p>
    <w:p w14:paraId="40B73E8F" w14:textId="77777777" w:rsidR="003C1CC6" w:rsidRPr="003C065E" w:rsidRDefault="003C1CC6" w:rsidP="00E472B3">
      <w:pPr>
        <w:spacing w:after="0" w:line="240" w:lineRule="auto"/>
        <w:rPr>
          <w:rFonts w:ascii="Times New Roman" w:hAnsi="Times New Roman"/>
          <w:lang w:val="sk-SK"/>
        </w:rPr>
      </w:pPr>
    </w:p>
    <w:p w14:paraId="1CE46814" w14:textId="6D317358" w:rsidR="00647BE5" w:rsidRPr="003C065E" w:rsidRDefault="00647BE5" w:rsidP="00E472B3">
      <w:p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Jednu naplnenú injekčnú striekačku z číreho skla typu 1 s </w:t>
      </w:r>
      <w:r w:rsidRPr="00750CC1">
        <w:rPr>
          <w:rFonts w:ascii="Times New Roman" w:hAnsi="Times New Roman"/>
          <w:lang w:val="sk-SK"/>
        </w:rPr>
        <w:t>polystyrénovou piestovou tyčinkou</w:t>
      </w:r>
      <w:r w:rsidRPr="003C065E">
        <w:rPr>
          <w:rFonts w:ascii="Times New Roman" w:hAnsi="Times New Roman"/>
          <w:lang w:val="sk-SK"/>
        </w:rPr>
        <w:t xml:space="preserve"> a elastomérovou piestovou zátkou, vybavenú plastovým krytom hrotu, obsahujúcu 5 ml injekčného roztoku fulvestrantu. Priložená je tiež bezpečnostná ihla (BD SafetyGlide) na pripojenie k nádobke injekčnej striekačky. </w:t>
      </w:r>
    </w:p>
    <w:p w14:paraId="1D22DCA6" w14:textId="77777777" w:rsidR="00E472B3" w:rsidRPr="003C065E" w:rsidRDefault="00E472B3" w:rsidP="00E472B3">
      <w:pPr>
        <w:spacing w:after="0" w:line="240" w:lineRule="auto"/>
        <w:rPr>
          <w:rFonts w:ascii="Times New Roman" w:hAnsi="Times New Roman"/>
          <w:lang w:val="sk-SK"/>
        </w:rPr>
      </w:pPr>
    </w:p>
    <w:p w14:paraId="01798A7B" w14:textId="5D779283" w:rsidR="00647BE5" w:rsidRPr="003C065E" w:rsidRDefault="00647BE5" w:rsidP="00E472B3">
      <w:p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Alebo</w:t>
      </w:r>
    </w:p>
    <w:p w14:paraId="4F3C8CFF" w14:textId="77777777" w:rsidR="00E472B3" w:rsidRPr="003C065E" w:rsidRDefault="00E472B3" w:rsidP="00E472B3">
      <w:pPr>
        <w:spacing w:after="0" w:line="240" w:lineRule="auto"/>
        <w:rPr>
          <w:rFonts w:ascii="Times New Roman" w:hAnsi="Times New Roman"/>
          <w:lang w:val="sk-SK"/>
        </w:rPr>
      </w:pPr>
    </w:p>
    <w:p w14:paraId="2EC2418A" w14:textId="60F9F192" w:rsidR="00647BE5" w:rsidRPr="003C065E" w:rsidRDefault="00647BE5" w:rsidP="00E472B3">
      <w:p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Dve naplnené injekčné striekačky z číreho skla typu 1 s polystyrénovou piestovou tyčinkou a elastomérovou piestovou zátkou, vybavené plastovým krytom hrotu, každá obsahujúca 5 ml injekčného roztoku fulvestrantu. Priložené je tiež dve bezpečnostné ihly (BD SafetyGlide) na pripojenie ku každej nádobke injekčnej striekačky. </w:t>
      </w:r>
    </w:p>
    <w:p w14:paraId="6FB54D32" w14:textId="77777777" w:rsidR="00E472B3" w:rsidRPr="003C065E" w:rsidRDefault="00E472B3" w:rsidP="00E472B3">
      <w:pPr>
        <w:spacing w:after="0" w:line="240" w:lineRule="auto"/>
        <w:rPr>
          <w:rFonts w:ascii="Times New Roman" w:hAnsi="Times New Roman"/>
          <w:lang w:val="sk-SK"/>
        </w:rPr>
      </w:pPr>
    </w:p>
    <w:p w14:paraId="6D590F17" w14:textId="195F6B3B" w:rsidR="00647BE5" w:rsidRPr="003C065E" w:rsidRDefault="00647BE5" w:rsidP="00E472B3">
      <w:p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Alebo</w:t>
      </w:r>
    </w:p>
    <w:p w14:paraId="7CA177D8" w14:textId="77777777" w:rsidR="00E472B3" w:rsidRPr="003C065E" w:rsidRDefault="00E472B3" w:rsidP="00E472B3">
      <w:pPr>
        <w:spacing w:after="0" w:line="240" w:lineRule="auto"/>
        <w:rPr>
          <w:rFonts w:ascii="Times New Roman" w:hAnsi="Times New Roman"/>
          <w:lang w:val="sk-SK"/>
        </w:rPr>
      </w:pPr>
    </w:p>
    <w:p w14:paraId="0CA4E766" w14:textId="597F8943" w:rsidR="00647BE5" w:rsidRPr="003C065E" w:rsidRDefault="00647BE5" w:rsidP="00E472B3">
      <w:p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 xml:space="preserve">Šesť naplnených injekčných striekačiek z číreho skla typu 1 s polystyrénovou piestovou tyčinkou a elastomérovou piestovou zátkou, vybavených plastovým krytom hrotu, každá obsahujúca 5 ml injekčného roztoku fulvestrantu. Priložených je tiež šesť bezpečnostných ihiel (BD SafetyGlide) na pripojenie ku každej nádobke injekčnej striekačky. </w:t>
      </w:r>
    </w:p>
    <w:p w14:paraId="0CC1A97B" w14:textId="77777777" w:rsidR="00E472B3" w:rsidRPr="003C065E" w:rsidRDefault="00E472B3" w:rsidP="00E472B3">
      <w:pPr>
        <w:spacing w:after="0" w:line="240" w:lineRule="auto"/>
        <w:rPr>
          <w:rFonts w:ascii="Times New Roman" w:hAnsi="Times New Roman"/>
          <w:lang w:val="sk-SK"/>
        </w:rPr>
      </w:pPr>
    </w:p>
    <w:p w14:paraId="4AC6B6E3" w14:textId="77777777" w:rsidR="00FE3076" w:rsidRPr="003C065E" w:rsidRDefault="00FE3076" w:rsidP="00E472B3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Na trh nemusia byť uvedené všetky veľkosti balenia.</w:t>
      </w:r>
    </w:p>
    <w:p w14:paraId="44630C1D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6D492B9" w14:textId="77777777" w:rsidR="00FE3076" w:rsidRPr="003C065E" w:rsidRDefault="00FE3076" w:rsidP="00FE3076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highlight w:val="yellow"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6.6 </w:t>
      </w:r>
      <w:r w:rsidRPr="003C065E">
        <w:rPr>
          <w:rFonts w:ascii="Times New Roman" w:hAnsi="Times New Roman"/>
          <w:b/>
          <w:bCs/>
          <w:lang w:val="sk-SK"/>
        </w:rPr>
        <w:tab/>
        <w:t>Špeciálne opatrenia na likvidáciu a iné zaobchádzanie s liekom</w:t>
      </w:r>
    </w:p>
    <w:p w14:paraId="3FF92F3C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eastAsia="TimesNewRoman" w:hAnsi="Times New Roman"/>
          <w:u w:val="single"/>
          <w:lang w:val="sk-SK"/>
        </w:rPr>
      </w:pPr>
    </w:p>
    <w:p w14:paraId="5595F679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3C065E">
        <w:rPr>
          <w:rFonts w:ascii="Times New Roman" w:eastAsia="TimesNewRoman" w:hAnsi="Times New Roman"/>
          <w:u w:val="single"/>
          <w:lang w:val="sk-SK"/>
        </w:rPr>
        <w:t>Pokyny na podávanie</w:t>
      </w:r>
    </w:p>
    <w:p w14:paraId="751D6C73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Injekciu podávajte podľa lokálnych postupov na podávanie intramuskulárnych injekcií s veľkým</w:t>
      </w:r>
    </w:p>
    <w:p w14:paraId="04D67895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objemom.</w:t>
      </w:r>
    </w:p>
    <w:p w14:paraId="32DCA8E6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6483EF1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POZNÁMKA: Vzhľadom na blízkosť sedacieho nervu je potrebná opatrnosť pri injekčnom podávaní</w:t>
      </w:r>
    </w:p>
    <w:p w14:paraId="2CA39704" w14:textId="2F7F6BB5" w:rsidR="00FE3076" w:rsidRPr="003C065E" w:rsidRDefault="00B0077D" w:rsidP="00FE307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f</w:t>
      </w:r>
      <w:r w:rsidR="00FE3076" w:rsidRPr="003C065E">
        <w:rPr>
          <w:rFonts w:ascii="Times New Roman" w:hAnsi="Times New Roman"/>
          <w:lang w:val="sk-SK"/>
        </w:rPr>
        <w:t xml:space="preserve">ulvestrantu </w:t>
      </w:r>
      <w:r w:rsidR="00FE3076" w:rsidRPr="003C065E">
        <w:rPr>
          <w:rFonts w:ascii="Times New Roman" w:eastAsia="TimesNewRoman" w:hAnsi="Times New Roman"/>
          <w:lang w:val="sk-SK"/>
        </w:rPr>
        <w:t>do dorzogluteálnej oblasti (pozri časť 4.4).</w:t>
      </w:r>
    </w:p>
    <w:p w14:paraId="1AE54AC6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69724AFE" w14:textId="79BB28FC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Upozornenie: Bezpečnostnú ihlu (BD SafetyGlide</w:t>
      </w:r>
      <w:r w:rsidR="007F31DB" w:rsidRPr="003C065E">
        <w:rPr>
          <w:rFonts w:ascii="Times New Roman" w:hAnsi="Times New Roman"/>
          <w:lang w:val="sk-SK"/>
        </w:rPr>
        <w:t>®</w:t>
      </w:r>
      <w:r w:rsidRPr="003C065E">
        <w:rPr>
          <w:rFonts w:ascii="Times New Roman" w:eastAsia="TimesNewRoman" w:hAnsi="Times New Roman"/>
          <w:lang w:val="sk-SK"/>
        </w:rPr>
        <w:t xml:space="preserve"> chránená hypodermická ihla) pred použitím</w:t>
      </w:r>
    </w:p>
    <w:p w14:paraId="60B3F3E6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neautoklávujte. Počas použitia aj pri likvidácii musia byť ruky stále za ihlou.</w:t>
      </w:r>
    </w:p>
    <w:p w14:paraId="72A0A188" w14:textId="77777777" w:rsidR="00FE3076" w:rsidRPr="003C065E" w:rsidRDefault="00FE3076" w:rsidP="00FE30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761DC97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t>Pre každú z oboch injekčných striekačiek:</w:t>
      </w:r>
    </w:p>
    <w:p w14:paraId="20583BD6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</w:p>
    <w:p w14:paraId="73FC564F" w14:textId="243E97FB" w:rsidR="00FE3076" w:rsidRPr="003C065E" w:rsidRDefault="00FE3076" w:rsidP="00FE3076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Vyberte sklenenú injekčnú striekačku z</w:t>
      </w:r>
      <w:r w:rsidR="00B0077D" w:rsidRPr="003C065E">
        <w:rPr>
          <w:rFonts w:ascii="Times New Roman" w:hAnsi="Times New Roman"/>
          <w:lang w:val="sk-SK"/>
        </w:rPr>
        <w:t> puzdra</w:t>
      </w:r>
      <w:r w:rsidRPr="003C065E">
        <w:rPr>
          <w:rFonts w:ascii="Times New Roman" w:hAnsi="Times New Roman"/>
          <w:lang w:val="sk-SK"/>
        </w:rPr>
        <w:t xml:space="preserve"> a skontrolujte, či nie je poškodená.</w:t>
      </w:r>
    </w:p>
    <w:p w14:paraId="3287FF2C" w14:textId="77777777" w:rsidR="00FE3076" w:rsidRPr="003C065E" w:rsidRDefault="00FE3076" w:rsidP="00FE3076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Opatrne vyberte bezpečnostnú ihlu (SafetyGlide) z vonkajšieho obalu.</w:t>
      </w:r>
    </w:p>
    <w:p w14:paraId="2655192C" w14:textId="77777777" w:rsidR="00FE3076" w:rsidRPr="003C065E" w:rsidRDefault="00FE3076" w:rsidP="00FE307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r w:rsidRPr="003C065E">
        <w:rPr>
          <w:rFonts w:ascii="Times New Roman" w:hAnsi="Times New Roman"/>
          <w:lang w:val="sk-SK"/>
        </w:rPr>
        <w:t>Parenterálne roztoky sa musia pred podávaním vizuálne skontrolovať, či neobsahujú častice a či nedošlo k zmene ich zafarbenia.</w:t>
      </w:r>
    </w:p>
    <w:p w14:paraId="6362AB33" w14:textId="63FB4A42" w:rsidR="00FE3076" w:rsidRPr="003C065E" w:rsidRDefault="00FE3076" w:rsidP="0083220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3C065E">
        <w:rPr>
          <w:rFonts w:ascii="Times New Roman" w:eastAsia="TimesNewRoman" w:hAnsi="Times New Roman"/>
          <w:lang w:val="sk-SK"/>
        </w:rPr>
        <w:lastRenderedPageBreak/>
        <w:t>Injekčnú striekačku držte vo zvislej polohe</w:t>
      </w:r>
      <w:r w:rsidR="00832204" w:rsidRPr="003C065E">
        <w:rPr>
          <w:rFonts w:ascii="Times New Roman" w:eastAsia="TimesNewRoman" w:hAnsi="Times New Roman"/>
          <w:lang w:val="sk-SK"/>
        </w:rPr>
        <w:t xml:space="preserve"> na rebrovanej časti (C). </w:t>
      </w:r>
      <w:r w:rsidRPr="003C065E">
        <w:rPr>
          <w:rFonts w:ascii="Times New Roman" w:eastAsia="TimesNewRoman" w:hAnsi="Times New Roman"/>
          <w:lang w:val="sk-SK"/>
        </w:rPr>
        <w:t>Druhou rukou držte kryt</w:t>
      </w:r>
      <w:r w:rsidR="00832204" w:rsidRPr="003C065E">
        <w:rPr>
          <w:rFonts w:ascii="Times New Roman" w:eastAsia="TimesNewRoman" w:hAnsi="Times New Roman"/>
          <w:lang w:val="sk-SK"/>
        </w:rPr>
        <w:t xml:space="preserve"> (A)</w:t>
      </w:r>
      <w:r w:rsidRPr="003C065E">
        <w:rPr>
          <w:rFonts w:ascii="Times New Roman" w:eastAsia="TimesNewRoman" w:hAnsi="Times New Roman"/>
          <w:lang w:val="sk-SK"/>
        </w:rPr>
        <w:t xml:space="preserve"> a</w:t>
      </w:r>
      <w:r w:rsidR="00832204" w:rsidRPr="003C065E">
        <w:rPr>
          <w:rFonts w:ascii="Times New Roman" w:eastAsia="TimesNewRoman" w:hAnsi="Times New Roman"/>
          <w:lang w:val="sk-SK"/>
        </w:rPr>
        <w:t> opatrne otáčajte plastovým krytom hrotu proti smeru hodinových ručičiek</w:t>
      </w:r>
      <w:r w:rsidRPr="003C065E">
        <w:rPr>
          <w:rFonts w:ascii="Times New Roman" w:eastAsia="TimesNewRoman" w:hAnsi="Times New Roman"/>
          <w:lang w:val="sk-SK"/>
        </w:rPr>
        <w:t xml:space="preserve"> (pozri obrázok 1)</w:t>
      </w:r>
      <w:r w:rsidR="002B7CD8" w:rsidRPr="003C065E">
        <w:rPr>
          <w:rFonts w:ascii="Times New Roman" w:eastAsia="TimesNewRoman" w:hAnsi="Times New Roman"/>
          <w:lang w:val="sk-SK"/>
        </w:rPr>
        <w:t>:</w:t>
      </w:r>
    </w:p>
    <w:p w14:paraId="5B4EA77B" w14:textId="0BE33395" w:rsidR="00FE3076" w:rsidRPr="003C065E" w:rsidRDefault="00647BE5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28207B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AEDC4A1" wp14:editId="4D956839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2216150" cy="2125980"/>
            <wp:effectExtent l="0" t="0" r="0" b="762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81" cy="2127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009CF" w14:textId="019D556F" w:rsidR="00FE3076" w:rsidRPr="003C065E" w:rsidRDefault="008272A7" w:rsidP="002B7CD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br w:type="textWrapping" w:clear="all"/>
      </w:r>
      <w:r w:rsidR="00FE3076" w:rsidRPr="003C065E">
        <w:rPr>
          <w:rFonts w:ascii="Times New Roman" w:hAnsi="Times New Roman"/>
          <w:lang w:val="sk-SK"/>
        </w:rPr>
        <w:t>Obrázok 1</w:t>
      </w:r>
    </w:p>
    <w:p w14:paraId="76652D54" w14:textId="77777777" w:rsidR="00FE3076" w:rsidRPr="003C065E" w:rsidRDefault="00FE3076" w:rsidP="00FE307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14:paraId="33A90D0F" w14:textId="0921075B" w:rsidR="000D77EF" w:rsidRPr="003C065E" w:rsidRDefault="008272A7" w:rsidP="000D77EF">
      <w:pPr>
        <w:pStyle w:val="Odsekzoznamu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Odstráňte kryt (A) priamo smerom nahor. Kvôli zachovaniu sterility sa nedotýkajte hrotu injekčnej striekačky (B) (pozri obrázok 2).</w:t>
      </w:r>
    </w:p>
    <w:p w14:paraId="5323D22C" w14:textId="77777777" w:rsidR="00000E02" w:rsidRPr="003C065E" w:rsidRDefault="00000E02" w:rsidP="00000E02">
      <w:pPr>
        <w:pStyle w:val="Odsekzoznamu"/>
        <w:widowControl w:val="0"/>
        <w:tabs>
          <w:tab w:val="left" w:pos="567"/>
        </w:tabs>
        <w:spacing w:after="0" w:line="240" w:lineRule="auto"/>
        <w:ind w:left="502"/>
        <w:rPr>
          <w:rFonts w:ascii="Times New Roman" w:hAnsi="Times New Roman"/>
          <w:lang w:val="sk-SK"/>
        </w:rPr>
      </w:pPr>
    </w:p>
    <w:p w14:paraId="0C31AA1F" w14:textId="77777777" w:rsidR="008272A7" w:rsidRPr="003C065E" w:rsidRDefault="008272A7" w:rsidP="008272A7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28207B">
        <w:rPr>
          <w:noProof/>
          <w:lang w:val="sk-SK" w:eastAsia="sk-SK"/>
        </w:rPr>
        <w:drawing>
          <wp:inline distT="0" distB="0" distL="0" distR="0" wp14:anchorId="0E8B7AC9" wp14:editId="3E8E6C20">
            <wp:extent cx="2171700" cy="221449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2844" cy="226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BE68D" w14:textId="69340FE1" w:rsidR="00FE3076" w:rsidRPr="003C065E" w:rsidRDefault="00FE3076" w:rsidP="00FE307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3C065E">
        <w:rPr>
          <w:rFonts w:ascii="Times New Roman" w:hAnsi="Times New Roman"/>
          <w:lang w:val="sk-SK"/>
        </w:rPr>
        <w:t>Obrázok 2</w:t>
      </w:r>
    </w:p>
    <w:p w14:paraId="0D522360" w14:textId="77777777" w:rsidR="00AB4DFF" w:rsidRPr="003C065E" w:rsidRDefault="00AB4DFF" w:rsidP="00FE307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14:paraId="606872E2" w14:textId="28BE7705" w:rsidR="00FE3076" w:rsidRPr="003C065E" w:rsidRDefault="00AB4DFF" w:rsidP="00E8743C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>Pripojte bezpečnostnú ihlu k </w:t>
      </w:r>
      <w:r w:rsidR="00693978" w:rsidRPr="003C065E">
        <w:rPr>
          <w:rFonts w:eastAsia="Calibri"/>
          <w:sz w:val="22"/>
          <w:szCs w:val="22"/>
          <w:lang w:val="sk-SK" w:eastAsia="en-US"/>
        </w:rPr>
        <w:t>l</w:t>
      </w:r>
      <w:r w:rsidRPr="003C065E">
        <w:rPr>
          <w:rFonts w:eastAsia="Calibri"/>
          <w:sz w:val="22"/>
          <w:szCs w:val="22"/>
          <w:lang w:val="sk-SK" w:eastAsia="en-US"/>
        </w:rPr>
        <w:t>uer-</w:t>
      </w:r>
      <w:r w:rsidR="00693978" w:rsidRPr="003C065E">
        <w:rPr>
          <w:rFonts w:eastAsia="Calibri"/>
          <w:sz w:val="22"/>
          <w:szCs w:val="22"/>
          <w:lang w:val="sk-SK" w:eastAsia="en-US"/>
        </w:rPr>
        <w:t>l</w:t>
      </w:r>
      <w:r w:rsidRPr="003C065E">
        <w:rPr>
          <w:rFonts w:eastAsia="Calibri"/>
          <w:sz w:val="22"/>
          <w:szCs w:val="22"/>
          <w:lang w:val="sk-SK" w:eastAsia="en-US"/>
        </w:rPr>
        <w:t>o</w:t>
      </w:r>
      <w:r w:rsidR="00B107B0" w:rsidRPr="003C065E">
        <w:rPr>
          <w:rFonts w:eastAsia="Calibri"/>
          <w:sz w:val="22"/>
          <w:szCs w:val="22"/>
          <w:lang w:val="sk-SK" w:eastAsia="en-US"/>
        </w:rPr>
        <w:t>c</w:t>
      </w:r>
      <w:r w:rsidRPr="003C065E">
        <w:rPr>
          <w:rFonts w:eastAsia="Calibri"/>
          <w:sz w:val="22"/>
          <w:szCs w:val="22"/>
          <w:lang w:val="sk-SK" w:eastAsia="en-US"/>
        </w:rPr>
        <w:t>k koncovke injekčnej striekačky a otáčajte ňou, kým nezapadne (pozri obrázok 3).</w:t>
      </w:r>
    </w:p>
    <w:p w14:paraId="63659398" w14:textId="6E6C2BDD" w:rsidR="00AB4DFF" w:rsidRPr="003C065E" w:rsidRDefault="00AB4DFF" w:rsidP="00AB4DFF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>Skontrolujte, či je ihla zafixovaná k luerovému konektoru predtým</w:t>
      </w:r>
      <w:r w:rsidR="008B7AF9" w:rsidRPr="003C065E">
        <w:rPr>
          <w:rFonts w:eastAsia="Calibri"/>
          <w:sz w:val="22"/>
          <w:szCs w:val="22"/>
          <w:lang w:val="sk-SK" w:eastAsia="en-US"/>
        </w:rPr>
        <w:t>,</w:t>
      </w:r>
      <w:r w:rsidRPr="003C065E">
        <w:rPr>
          <w:rFonts w:eastAsia="Calibri"/>
          <w:sz w:val="22"/>
          <w:szCs w:val="22"/>
          <w:lang w:val="sk-SK" w:eastAsia="en-US"/>
        </w:rPr>
        <w:t xml:space="preserve"> ako ju otočíte z vertikálnej roviny.</w:t>
      </w:r>
    </w:p>
    <w:p w14:paraId="220C22C5" w14:textId="77777777" w:rsidR="00FE3076" w:rsidRPr="003C065E" w:rsidRDefault="00FE3076" w:rsidP="00E8743C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 xml:space="preserve">Priamym pohybom stiahnite z ihly kryt tak, aby sa nepoškodil hrot ihly. </w:t>
      </w:r>
    </w:p>
    <w:p w14:paraId="469EA1CE" w14:textId="77777777" w:rsidR="00FE3076" w:rsidRPr="003C065E" w:rsidRDefault="00FE3076" w:rsidP="00E8743C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 xml:space="preserve">Preneste naplnenú injekčnú striekačku na miesto podania. </w:t>
      </w:r>
    </w:p>
    <w:p w14:paraId="4EB22531" w14:textId="77777777" w:rsidR="00FE3076" w:rsidRPr="003C065E" w:rsidRDefault="00FE3076" w:rsidP="00E8743C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 xml:space="preserve">Odstráňte kryt z ihly. </w:t>
      </w:r>
    </w:p>
    <w:p w14:paraId="23499BF9" w14:textId="55EFDA7A" w:rsidR="00FE3076" w:rsidRPr="003C065E" w:rsidRDefault="00FE3076" w:rsidP="00E8743C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 xml:space="preserve">Vytlačte z injekčnej striekačky prebytočný </w:t>
      </w:r>
      <w:r w:rsidRPr="00E20969">
        <w:rPr>
          <w:rFonts w:eastAsia="Calibri"/>
          <w:sz w:val="22"/>
          <w:szCs w:val="22"/>
          <w:lang w:val="sk-SK" w:eastAsia="en-US"/>
        </w:rPr>
        <w:t>plyn</w:t>
      </w:r>
      <w:r w:rsidRPr="003C065E">
        <w:rPr>
          <w:rFonts w:eastAsia="Calibri"/>
          <w:sz w:val="22"/>
          <w:szCs w:val="22"/>
          <w:lang w:val="sk-SK" w:eastAsia="en-US"/>
        </w:rPr>
        <w:t>.</w:t>
      </w:r>
    </w:p>
    <w:p w14:paraId="6D9D7054" w14:textId="77777777" w:rsidR="004A5454" w:rsidRPr="003C065E" w:rsidRDefault="004A5454" w:rsidP="004A5454">
      <w:pPr>
        <w:pStyle w:val="TableText"/>
        <w:widowControl w:val="0"/>
        <w:tabs>
          <w:tab w:val="left" w:pos="567"/>
        </w:tabs>
        <w:ind w:left="502"/>
        <w:rPr>
          <w:rFonts w:eastAsia="Calibri"/>
          <w:sz w:val="22"/>
          <w:szCs w:val="22"/>
          <w:lang w:val="sk-SK" w:eastAsia="en-US"/>
        </w:rPr>
      </w:pPr>
    </w:p>
    <w:p w14:paraId="084F4BA1" w14:textId="5984C7BF" w:rsidR="008B7AF9" w:rsidRPr="003C065E" w:rsidRDefault="004A5454" w:rsidP="008B7AF9">
      <w:pPr>
        <w:pStyle w:val="TableText"/>
        <w:widowControl w:val="0"/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28207B">
        <w:rPr>
          <w:noProof/>
          <w:lang w:val="sk-SK" w:eastAsia="sk-SK"/>
        </w:rPr>
        <w:lastRenderedPageBreak/>
        <w:drawing>
          <wp:inline distT="0" distB="0" distL="0" distR="0" wp14:anchorId="62654575" wp14:editId="49A783F2">
            <wp:extent cx="1646791" cy="2125980"/>
            <wp:effectExtent l="0" t="0" r="0" b="762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3979" cy="2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2B02" w14:textId="48FD412C" w:rsidR="008B7AF9" w:rsidRPr="003C065E" w:rsidRDefault="008B7AF9" w:rsidP="008B7AF9">
      <w:pPr>
        <w:pStyle w:val="TableText"/>
        <w:widowControl w:val="0"/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>Obrázok 3</w:t>
      </w:r>
    </w:p>
    <w:p w14:paraId="56E1098C" w14:textId="77777777" w:rsidR="00AB4DFF" w:rsidRPr="003C065E" w:rsidRDefault="00AB4DFF" w:rsidP="00AB4DFF">
      <w:pPr>
        <w:pStyle w:val="TableText"/>
        <w:widowControl w:val="0"/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</w:p>
    <w:p w14:paraId="59F16AC2" w14:textId="1CBDAEDC" w:rsidR="00FE3076" w:rsidRPr="003C065E" w:rsidRDefault="00FE3076" w:rsidP="00E8743C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3C065E">
        <w:rPr>
          <w:rFonts w:eastAsia="Calibri"/>
          <w:sz w:val="22"/>
          <w:szCs w:val="22"/>
          <w:lang w:val="sk-SK" w:eastAsia="en-US"/>
        </w:rPr>
        <w:t>Podávajte pomaly</w:t>
      </w:r>
      <w:r w:rsidR="00AB4DFF" w:rsidRPr="003C065E">
        <w:rPr>
          <w:rFonts w:eastAsia="Calibri"/>
          <w:sz w:val="22"/>
          <w:szCs w:val="22"/>
          <w:lang w:val="sk-SK" w:eastAsia="en-US"/>
        </w:rPr>
        <w:t>,</w:t>
      </w:r>
      <w:r w:rsidRPr="003C065E">
        <w:rPr>
          <w:rFonts w:eastAsia="Calibri"/>
          <w:sz w:val="22"/>
          <w:szCs w:val="22"/>
          <w:lang w:val="sk-SK" w:eastAsia="en-US"/>
        </w:rPr>
        <w:t xml:space="preserve"> intramuskulárne (1-2 minúty/injekcia) do sedacieho svalu (gluteálna oblasť). Na uľahčenie podávania je skosená strana ihly orientovaná k ramenu páčky (pozri obrázok </w:t>
      </w:r>
      <w:r w:rsidR="00AB4DFF" w:rsidRPr="003C065E">
        <w:rPr>
          <w:rFonts w:eastAsia="Calibri"/>
          <w:sz w:val="22"/>
          <w:szCs w:val="22"/>
          <w:lang w:val="sk-SK" w:eastAsia="en-US"/>
        </w:rPr>
        <w:t>4</w:t>
      </w:r>
      <w:r w:rsidRPr="003C065E">
        <w:rPr>
          <w:rFonts w:eastAsia="Calibri"/>
          <w:sz w:val="22"/>
          <w:szCs w:val="22"/>
          <w:lang w:val="sk-SK" w:eastAsia="en-US"/>
        </w:rPr>
        <w:t>).</w:t>
      </w:r>
    </w:p>
    <w:p w14:paraId="33E9F062" w14:textId="77777777" w:rsidR="008B7AF9" w:rsidRPr="003C065E" w:rsidRDefault="008B7AF9" w:rsidP="008B7AF9">
      <w:pPr>
        <w:pStyle w:val="TableText"/>
        <w:widowControl w:val="0"/>
        <w:tabs>
          <w:tab w:val="left" w:pos="567"/>
        </w:tabs>
        <w:ind w:left="142"/>
        <w:rPr>
          <w:rFonts w:eastAsia="Calibri"/>
          <w:sz w:val="22"/>
          <w:szCs w:val="22"/>
          <w:lang w:val="sk-SK" w:eastAsia="en-US"/>
        </w:rPr>
      </w:pPr>
    </w:p>
    <w:p w14:paraId="1D530E36" w14:textId="1654E631" w:rsidR="008B7AF9" w:rsidRPr="003C065E" w:rsidRDefault="008B7AF9" w:rsidP="008B7AF9">
      <w:pPr>
        <w:pStyle w:val="TableText"/>
        <w:widowControl w:val="0"/>
        <w:tabs>
          <w:tab w:val="left" w:pos="567"/>
        </w:tabs>
        <w:ind w:left="142"/>
        <w:rPr>
          <w:rFonts w:eastAsia="Calibri"/>
          <w:sz w:val="22"/>
          <w:szCs w:val="22"/>
          <w:lang w:val="sk-SK" w:eastAsia="en-US"/>
        </w:rPr>
      </w:pPr>
      <w:r w:rsidRPr="0028207B">
        <w:rPr>
          <w:noProof/>
          <w:lang w:val="sk-SK" w:eastAsia="sk-SK"/>
        </w:rPr>
        <w:drawing>
          <wp:inline distT="0" distB="0" distL="0" distR="0" wp14:anchorId="520F9E98" wp14:editId="067E2773">
            <wp:extent cx="2270760" cy="1504289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2129" cy="154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32BF" w14:textId="13FB8E18" w:rsidR="00FE3076" w:rsidRPr="003C065E" w:rsidRDefault="00FE3076" w:rsidP="008B7AF9">
      <w:pPr>
        <w:pStyle w:val="TableText"/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3C065E">
        <w:rPr>
          <w:sz w:val="22"/>
          <w:szCs w:val="22"/>
          <w:lang w:val="sk-SK" w:eastAsia="en-US"/>
        </w:rPr>
        <w:t xml:space="preserve">Obrázok </w:t>
      </w:r>
      <w:r w:rsidR="008B7AF9" w:rsidRPr="003C065E">
        <w:rPr>
          <w:sz w:val="22"/>
          <w:szCs w:val="22"/>
          <w:lang w:val="sk-SK" w:eastAsia="en-US"/>
        </w:rPr>
        <w:t>4</w:t>
      </w:r>
    </w:p>
    <w:p w14:paraId="1FE2B429" w14:textId="77777777" w:rsidR="00FE3076" w:rsidRPr="003C065E" w:rsidRDefault="00FE3076" w:rsidP="00FE3076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</w:p>
    <w:p w14:paraId="57265C83" w14:textId="6FCAB904" w:rsidR="00FE3076" w:rsidRPr="003C065E" w:rsidRDefault="00FE3076" w:rsidP="008B7AF9">
      <w:pPr>
        <w:pStyle w:val="Odsekzoznamu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  <w:r w:rsidRPr="003C065E">
        <w:rPr>
          <w:rFonts w:ascii="Times New Roman" w:eastAsia="Times New Roman" w:hAnsi="Times New Roman"/>
          <w:lang w:val="sk-SK"/>
        </w:rPr>
        <w:t xml:space="preserve">Po podaní injekcie ihneď využite ťah jedného prsta na aktiváciu ramena páčky, ktorá aktivuje ochranný mechanizmus (pozri obrázok </w:t>
      </w:r>
      <w:r w:rsidR="00AB4DFF" w:rsidRPr="003C065E">
        <w:rPr>
          <w:rFonts w:ascii="Times New Roman" w:eastAsia="Times New Roman" w:hAnsi="Times New Roman"/>
          <w:lang w:val="sk-SK"/>
        </w:rPr>
        <w:t>5</w:t>
      </w:r>
      <w:r w:rsidRPr="003C065E">
        <w:rPr>
          <w:rFonts w:ascii="Times New Roman" w:eastAsia="Times New Roman" w:hAnsi="Times New Roman"/>
          <w:lang w:val="sk-SK"/>
        </w:rPr>
        <w:t xml:space="preserve">). </w:t>
      </w:r>
    </w:p>
    <w:p w14:paraId="65F11069" w14:textId="77777777" w:rsidR="008B7AF9" w:rsidRPr="003C065E" w:rsidRDefault="008B7AF9" w:rsidP="008B7AF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</w:p>
    <w:p w14:paraId="75B802B3" w14:textId="18D76432" w:rsidR="00FE3076" w:rsidRPr="003C065E" w:rsidRDefault="00FE3076" w:rsidP="008B7AF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  <w:r w:rsidRPr="003C065E">
        <w:rPr>
          <w:rFonts w:ascii="Times New Roman" w:eastAsia="Times New Roman" w:hAnsi="Times New Roman"/>
          <w:lang w:val="sk-SK"/>
        </w:rPr>
        <w:t>POZNÁMKA: Aktivujte mechanizmus smerom od seba a iných ľudí. Dávajte pozor na kliknutie a vizuálne sa presvedčte, že hrot ihly je úplne zakrytý.</w:t>
      </w:r>
    </w:p>
    <w:p w14:paraId="1A2BA111" w14:textId="16CEC6EB" w:rsidR="00F048D7" w:rsidRPr="003C065E" w:rsidRDefault="00F048D7" w:rsidP="008B7AF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</w:p>
    <w:p w14:paraId="15B1F2A0" w14:textId="66B5A204" w:rsidR="00F048D7" w:rsidRPr="003C065E" w:rsidRDefault="00F048D7" w:rsidP="008B7AF9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28207B">
        <w:rPr>
          <w:noProof/>
          <w:lang w:val="sk-SK" w:eastAsia="sk-SK"/>
        </w:rPr>
        <w:drawing>
          <wp:inline distT="0" distB="0" distL="0" distR="0" wp14:anchorId="61154EA4" wp14:editId="41B3C6E8">
            <wp:extent cx="1638300" cy="21844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AE8F4" w14:textId="496EC904" w:rsidR="00FE3076" w:rsidRPr="003C065E" w:rsidRDefault="00FE3076" w:rsidP="00E26F30">
      <w:pPr>
        <w:pStyle w:val="TableText"/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3C065E">
        <w:rPr>
          <w:sz w:val="22"/>
          <w:szCs w:val="22"/>
          <w:lang w:val="sk-SK" w:eastAsia="en-US"/>
        </w:rPr>
        <w:t xml:space="preserve">Obrázok </w:t>
      </w:r>
      <w:r w:rsidR="00F048D7" w:rsidRPr="003C065E">
        <w:rPr>
          <w:sz w:val="22"/>
          <w:szCs w:val="22"/>
          <w:lang w:val="sk-SK" w:eastAsia="en-US"/>
        </w:rPr>
        <w:t>5</w:t>
      </w:r>
    </w:p>
    <w:p w14:paraId="62878140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B658134" w14:textId="77777777" w:rsidR="00F97F49" w:rsidRPr="003C065E" w:rsidRDefault="00F97F49" w:rsidP="00FE3076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</w:p>
    <w:p w14:paraId="03765F54" w14:textId="6AB70C73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3C065E">
        <w:rPr>
          <w:rFonts w:ascii="Times New Roman" w:hAnsi="Times New Roman"/>
          <w:bCs/>
          <w:u w:val="single"/>
          <w:lang w:val="sk-SK"/>
        </w:rPr>
        <w:t>Likvidácia</w:t>
      </w:r>
    </w:p>
    <w:p w14:paraId="6F33BC48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3C065E">
        <w:rPr>
          <w:rFonts w:ascii="Times New Roman" w:hAnsi="Times New Roman"/>
          <w:bCs/>
          <w:lang w:val="sk-SK"/>
        </w:rPr>
        <w:t xml:space="preserve">Naplnené striekačky sú určené </w:t>
      </w:r>
      <w:r w:rsidRPr="003C065E">
        <w:rPr>
          <w:rFonts w:ascii="Times New Roman" w:hAnsi="Times New Roman"/>
          <w:b/>
          <w:bCs/>
          <w:lang w:val="sk-SK"/>
        </w:rPr>
        <w:t xml:space="preserve">len </w:t>
      </w:r>
      <w:r w:rsidRPr="003C065E">
        <w:rPr>
          <w:rFonts w:ascii="Times New Roman" w:hAnsi="Times New Roman"/>
          <w:bCs/>
          <w:lang w:val="sk-SK"/>
        </w:rPr>
        <w:t>na jednorazové použitie.</w:t>
      </w:r>
    </w:p>
    <w:p w14:paraId="2ECAFAC9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3C065E">
        <w:rPr>
          <w:rFonts w:ascii="Times New Roman" w:hAnsi="Times New Roman"/>
          <w:lang w:val="sk-SK" w:eastAsia="sk-SK"/>
        </w:rPr>
        <w:lastRenderedPageBreak/>
        <w:t>Tento liek môže predstavovať riziko pre vodné prostredie.</w:t>
      </w:r>
      <w:r w:rsidRPr="003C065E">
        <w:rPr>
          <w:rFonts w:ascii="Times New Roman" w:hAnsi="Times New Roman"/>
          <w:lang w:val="sk-SK"/>
        </w:rPr>
        <w:t xml:space="preserve"> </w:t>
      </w:r>
      <w:r w:rsidRPr="003C065E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 (pozri časť 5.3).</w:t>
      </w:r>
    </w:p>
    <w:p w14:paraId="7839AF36" w14:textId="77777777" w:rsidR="00FE3076" w:rsidRPr="003C065E" w:rsidRDefault="00FE3076" w:rsidP="00FE3076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</w:p>
    <w:p w14:paraId="5803AAAB" w14:textId="77777777" w:rsidR="00FE3076" w:rsidRPr="003C065E" w:rsidRDefault="00FE3076" w:rsidP="00FE3076">
      <w:pPr>
        <w:pStyle w:val="Odsekzoznamu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DRŽITEĽ ROZHODNUTIA O REGISTRÁCII</w:t>
      </w:r>
    </w:p>
    <w:p w14:paraId="1FB74C4C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A52D152" w14:textId="77777777" w:rsidR="00684B36" w:rsidRPr="003C065E" w:rsidRDefault="00684B36" w:rsidP="00684B36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3C065E">
        <w:rPr>
          <w:rFonts w:ascii="Times New Roman" w:hAnsi="Times New Roman"/>
          <w:color w:val="222222"/>
          <w:shd w:val="clear" w:color="auto" w:fill="FFFFFF"/>
          <w:lang w:val="sk-SK"/>
        </w:rPr>
        <w:t xml:space="preserve">Vipharm S.A </w:t>
      </w:r>
    </w:p>
    <w:p w14:paraId="36350DA2" w14:textId="77777777" w:rsidR="00684B36" w:rsidRPr="003C065E" w:rsidRDefault="00684B36" w:rsidP="00684B36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3C065E">
        <w:rPr>
          <w:rFonts w:ascii="Times New Roman" w:hAnsi="Times New Roman"/>
          <w:color w:val="222222"/>
          <w:shd w:val="clear" w:color="auto" w:fill="FFFFFF"/>
          <w:lang w:val="sk-SK"/>
        </w:rPr>
        <w:t xml:space="preserve">ul. A. i F. Radziwiłłów 9 </w:t>
      </w:r>
    </w:p>
    <w:p w14:paraId="2C58C756" w14:textId="77777777" w:rsidR="00684B36" w:rsidRPr="003C065E" w:rsidRDefault="00684B36" w:rsidP="00684B36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3C065E">
        <w:rPr>
          <w:rFonts w:ascii="Times New Roman" w:hAnsi="Times New Roman"/>
          <w:color w:val="222222"/>
          <w:shd w:val="clear" w:color="auto" w:fill="FFFFFF"/>
          <w:lang w:val="sk-SK"/>
        </w:rPr>
        <w:t>05-850 Ożarów Mazowiecki</w:t>
      </w:r>
    </w:p>
    <w:p w14:paraId="7C80D01D" w14:textId="16FACEA3" w:rsidR="00693978" w:rsidRPr="003C065E" w:rsidRDefault="00684B36" w:rsidP="00FE3076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3C065E">
        <w:rPr>
          <w:rFonts w:ascii="Times New Roman" w:hAnsi="Times New Roman"/>
          <w:color w:val="222222"/>
          <w:shd w:val="clear" w:color="auto" w:fill="FFFFFF"/>
          <w:lang w:val="sk-SK"/>
        </w:rPr>
        <w:t>Poľsko</w:t>
      </w:r>
    </w:p>
    <w:p w14:paraId="007638E0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270A3F8" w14:textId="77777777" w:rsidR="00FE3076" w:rsidRPr="003C065E" w:rsidRDefault="00FE3076" w:rsidP="00FE3076">
      <w:pPr>
        <w:pStyle w:val="Odsekzoznamu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REGISTRAČNÉ ČÍSLO</w:t>
      </w:r>
    </w:p>
    <w:p w14:paraId="464F3C9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3D51200" w14:textId="4673F343" w:rsidR="000137A5" w:rsidRPr="003C065E" w:rsidRDefault="000137A5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137A5">
        <w:rPr>
          <w:rFonts w:ascii="Times New Roman" w:hAnsi="Times New Roman"/>
          <w:lang w:val="sk-SK"/>
        </w:rPr>
        <w:t>34/0255/20-S</w:t>
      </w:r>
    </w:p>
    <w:p w14:paraId="13654801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F8805F6" w14:textId="77777777" w:rsidR="00FE3076" w:rsidRPr="003C065E" w:rsidRDefault="00FE3076" w:rsidP="00FE3076">
      <w:pPr>
        <w:pStyle w:val="Odsekzoznamu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>DÁTUM PRVEJ REGISTRÁCIE/ PREDĹŽENIA REGISTRÁCIE</w:t>
      </w:r>
    </w:p>
    <w:p w14:paraId="52DF77F3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  <w:bookmarkStart w:id="0" w:name="_GoBack"/>
      <w:bookmarkEnd w:id="0"/>
    </w:p>
    <w:p w14:paraId="62099585" w14:textId="77777777" w:rsidR="00FE3076" w:rsidRPr="003C065E" w:rsidRDefault="00FE3076" w:rsidP="00FE307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4B9ECE7" w14:textId="77777777" w:rsidR="00FE3076" w:rsidRPr="003C065E" w:rsidRDefault="00FE3076" w:rsidP="00FE3076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3C065E">
        <w:rPr>
          <w:rFonts w:ascii="Times New Roman" w:hAnsi="Times New Roman"/>
          <w:b/>
          <w:bCs/>
          <w:lang w:val="sk-SK"/>
        </w:rPr>
        <w:t xml:space="preserve">10. </w:t>
      </w:r>
      <w:r w:rsidRPr="003C065E">
        <w:rPr>
          <w:rFonts w:ascii="Times New Roman" w:hAnsi="Times New Roman"/>
          <w:b/>
          <w:bCs/>
          <w:lang w:val="sk-SK"/>
        </w:rPr>
        <w:tab/>
        <w:t>DÁTUM REVÍZIE TEXTU</w:t>
      </w:r>
    </w:p>
    <w:p w14:paraId="0BC22EBE" w14:textId="77777777" w:rsidR="00FE3076" w:rsidRPr="003C065E" w:rsidRDefault="00FE3076" w:rsidP="00FE3076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6EDD455A" w14:textId="10206B8F" w:rsidR="00FE3076" w:rsidRPr="003C065E" w:rsidRDefault="000137A5" w:rsidP="001F75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11/2020</w:t>
      </w:r>
    </w:p>
    <w:p w14:paraId="0E11DE19" w14:textId="77777777" w:rsidR="00655A42" w:rsidRPr="0028207B" w:rsidRDefault="00655A42">
      <w:pPr>
        <w:rPr>
          <w:lang w:val="sk-SK"/>
        </w:rPr>
      </w:pPr>
    </w:p>
    <w:sectPr w:rsidR="00655A42" w:rsidRPr="0028207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839117" w16cid:durableId="234E9552"/>
  <w16cid:commentId w16cid:paraId="0B08A8CC" w16cid:durableId="234E9553"/>
  <w16cid:commentId w16cid:paraId="2CACE477" w16cid:durableId="234E95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90022" w14:textId="77777777" w:rsidR="000941BB" w:rsidRDefault="000941BB" w:rsidP="00DE571A">
      <w:pPr>
        <w:spacing w:after="0" w:line="240" w:lineRule="auto"/>
      </w:pPr>
      <w:r>
        <w:separator/>
      </w:r>
    </w:p>
  </w:endnote>
  <w:endnote w:type="continuationSeparator" w:id="0">
    <w:p w14:paraId="62E6EB32" w14:textId="77777777" w:rsidR="000941BB" w:rsidRDefault="000941BB" w:rsidP="00DE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9747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591230C" w14:textId="3BDC8179" w:rsidR="003F5D5F" w:rsidRPr="00B80C07" w:rsidRDefault="003F5D5F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80C07">
          <w:rPr>
            <w:rFonts w:ascii="Times New Roman" w:hAnsi="Times New Roman"/>
            <w:sz w:val="18"/>
            <w:szCs w:val="18"/>
          </w:rPr>
          <w:fldChar w:fldCharType="begin"/>
        </w:r>
        <w:r w:rsidRPr="00B80C0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80C07">
          <w:rPr>
            <w:rFonts w:ascii="Times New Roman" w:hAnsi="Times New Roman"/>
            <w:sz w:val="18"/>
            <w:szCs w:val="18"/>
          </w:rPr>
          <w:fldChar w:fldCharType="separate"/>
        </w:r>
        <w:r w:rsidR="00B80C07" w:rsidRPr="00B80C07">
          <w:rPr>
            <w:rFonts w:ascii="Times New Roman" w:hAnsi="Times New Roman"/>
            <w:noProof/>
            <w:sz w:val="18"/>
            <w:szCs w:val="18"/>
            <w:lang w:val="sk-SK"/>
          </w:rPr>
          <w:t>21</w:t>
        </w:r>
        <w:r w:rsidRPr="00B80C0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78910CC" w14:textId="77777777" w:rsidR="003F5D5F" w:rsidRDefault="003F5D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AAF51" w14:textId="77777777" w:rsidR="000941BB" w:rsidRDefault="000941BB" w:rsidP="00DE571A">
      <w:pPr>
        <w:spacing w:after="0" w:line="240" w:lineRule="auto"/>
      </w:pPr>
      <w:r>
        <w:separator/>
      </w:r>
    </w:p>
  </w:footnote>
  <w:footnote w:type="continuationSeparator" w:id="0">
    <w:p w14:paraId="2C6345F6" w14:textId="77777777" w:rsidR="000941BB" w:rsidRDefault="000941BB" w:rsidP="00DE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2E3C" w14:textId="4DE43B02" w:rsidR="003F5D5F" w:rsidRPr="00CD26E5" w:rsidRDefault="003F5D5F" w:rsidP="00DE571A">
    <w:pPr>
      <w:spacing w:after="0" w:line="240" w:lineRule="auto"/>
      <w:rPr>
        <w:rFonts w:ascii="Times New Roman" w:eastAsia="Times New Roman" w:hAnsi="Times New Roman"/>
        <w:sz w:val="18"/>
        <w:szCs w:val="18"/>
        <w:lang w:val="en-AU"/>
      </w:rPr>
    </w:pPr>
    <w:bookmarkStart w:id="1" w:name="_Hlk513112080"/>
    <w:r w:rsidRPr="00CD26E5">
      <w:rPr>
        <w:rFonts w:ascii="Times New Roman" w:eastAsia="Times New Roman" w:hAnsi="Times New Roman"/>
        <w:sz w:val="18"/>
        <w:szCs w:val="18"/>
        <w:lang w:val="en-AU"/>
      </w:rPr>
      <w:t>Schválený text k rozhodnutiu o regis</w:t>
    </w:r>
    <w:r>
      <w:rPr>
        <w:rFonts w:ascii="Times New Roman" w:eastAsia="Times New Roman" w:hAnsi="Times New Roman"/>
        <w:sz w:val="18"/>
        <w:szCs w:val="18"/>
        <w:lang w:val="en-AU"/>
      </w:rPr>
      <w:t>trácii lieku, ev. č.: 2020/00572-REG</w:t>
    </w:r>
  </w:p>
  <w:bookmarkEnd w:id="1"/>
  <w:p w14:paraId="0A1AB446" w14:textId="77777777" w:rsidR="003F5D5F" w:rsidRDefault="003F5D5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7A8"/>
    <w:multiLevelType w:val="hybridMultilevel"/>
    <w:tmpl w:val="3A7E6234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27D7A45"/>
    <w:multiLevelType w:val="hybridMultilevel"/>
    <w:tmpl w:val="CA06E36C"/>
    <w:lvl w:ilvl="0" w:tplc="1F624524">
      <w:start w:val="1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4B51"/>
    <w:multiLevelType w:val="hybridMultilevel"/>
    <w:tmpl w:val="2FD6A6D6"/>
    <w:lvl w:ilvl="0" w:tplc="FFFFFFFF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765CF8"/>
    <w:multiLevelType w:val="multilevel"/>
    <w:tmpl w:val="9C46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D6C70"/>
    <w:multiLevelType w:val="hybridMultilevel"/>
    <w:tmpl w:val="66A08D02"/>
    <w:lvl w:ilvl="0" w:tplc="AE766C34">
      <w:start w:val="109"/>
      <w:numFmt w:val="bullet"/>
      <w:lvlText w:val=""/>
      <w:lvlJc w:val="left"/>
      <w:pPr>
        <w:ind w:left="720" w:hanging="360"/>
      </w:pPr>
      <w:rPr>
        <w:rFonts w:ascii="Symbol" w:eastAsia="TimesNew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D5329D"/>
    <w:multiLevelType w:val="hybridMultilevel"/>
    <w:tmpl w:val="DC60E28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510C15"/>
    <w:multiLevelType w:val="hybridMultilevel"/>
    <w:tmpl w:val="86864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A4A6B"/>
    <w:multiLevelType w:val="multilevel"/>
    <w:tmpl w:val="814A532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1075" w:hanging="360"/>
      </w:pPr>
    </w:lvl>
    <w:lvl w:ilvl="2">
      <w:start w:val="1"/>
      <w:numFmt w:val="decimal"/>
      <w:lvlText w:val="%1.%2.%3"/>
      <w:lvlJc w:val="left"/>
      <w:pPr>
        <w:ind w:left="2150" w:hanging="720"/>
      </w:pPr>
    </w:lvl>
    <w:lvl w:ilvl="3">
      <w:start w:val="1"/>
      <w:numFmt w:val="decimal"/>
      <w:lvlText w:val="%1.%2.%3.%4"/>
      <w:lvlJc w:val="left"/>
      <w:pPr>
        <w:ind w:left="2865" w:hanging="720"/>
      </w:pPr>
    </w:lvl>
    <w:lvl w:ilvl="4">
      <w:start w:val="1"/>
      <w:numFmt w:val="decimal"/>
      <w:lvlText w:val="%1.%2.%3.%4.%5"/>
      <w:lvlJc w:val="left"/>
      <w:pPr>
        <w:ind w:left="3940" w:hanging="1080"/>
      </w:pPr>
    </w:lvl>
    <w:lvl w:ilvl="5">
      <w:start w:val="1"/>
      <w:numFmt w:val="decimal"/>
      <w:lvlText w:val="%1.%2.%3.%4.%5.%6"/>
      <w:lvlJc w:val="left"/>
      <w:pPr>
        <w:ind w:left="4655" w:hanging="1080"/>
      </w:pPr>
    </w:lvl>
    <w:lvl w:ilvl="6">
      <w:start w:val="1"/>
      <w:numFmt w:val="decimal"/>
      <w:lvlText w:val="%1.%2.%3.%4.%5.%6.%7"/>
      <w:lvlJc w:val="left"/>
      <w:pPr>
        <w:ind w:left="5730" w:hanging="1440"/>
      </w:pPr>
    </w:lvl>
    <w:lvl w:ilvl="7">
      <w:start w:val="1"/>
      <w:numFmt w:val="decimal"/>
      <w:lvlText w:val="%1.%2.%3.%4.%5.%6.%7.%8"/>
      <w:lvlJc w:val="left"/>
      <w:pPr>
        <w:ind w:left="6445" w:hanging="1440"/>
      </w:pPr>
    </w:lvl>
    <w:lvl w:ilvl="8">
      <w:start w:val="1"/>
      <w:numFmt w:val="decimal"/>
      <w:lvlText w:val="%1.%2.%3.%4.%5.%6.%7.%8.%9"/>
      <w:lvlJc w:val="left"/>
      <w:pPr>
        <w:ind w:left="7160" w:hanging="1440"/>
      </w:pPr>
    </w:lvl>
  </w:abstractNum>
  <w:abstractNum w:abstractNumId="9" w15:restartNumberingAfterBreak="0">
    <w:nsid w:val="571C1E59"/>
    <w:multiLevelType w:val="hybridMultilevel"/>
    <w:tmpl w:val="3E908E14"/>
    <w:lvl w:ilvl="0" w:tplc="FFFFFFFF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74F91"/>
    <w:multiLevelType w:val="hybridMultilevel"/>
    <w:tmpl w:val="018EE5FE"/>
    <w:lvl w:ilvl="0" w:tplc="FFFFFFFF">
      <w:start w:val="1"/>
      <w:numFmt w:val="bullet"/>
      <w:lvlText w:val="-"/>
      <w:lvlJc w:val="left"/>
      <w:pPr>
        <w:ind w:left="502" w:hanging="360"/>
      </w:p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B766298"/>
    <w:multiLevelType w:val="hybridMultilevel"/>
    <w:tmpl w:val="8A7655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C3E9D"/>
    <w:multiLevelType w:val="hybridMultilevel"/>
    <w:tmpl w:val="CAC20676"/>
    <w:lvl w:ilvl="0" w:tplc="F1863F96">
      <w:start w:val="1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6"/>
  </w:num>
  <w:num w:numId="5">
    <w:abstractNumId w:val="0"/>
  </w:num>
  <w:num w:numId="6">
    <w:abstractNumId w:val="8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1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DA"/>
    <w:rsid w:val="00000E02"/>
    <w:rsid w:val="00002823"/>
    <w:rsid w:val="00004D15"/>
    <w:rsid w:val="00005E25"/>
    <w:rsid w:val="000137A5"/>
    <w:rsid w:val="00013B13"/>
    <w:rsid w:val="000228F3"/>
    <w:rsid w:val="00044819"/>
    <w:rsid w:val="00045129"/>
    <w:rsid w:val="0008662E"/>
    <w:rsid w:val="00092DD4"/>
    <w:rsid w:val="000941BB"/>
    <w:rsid w:val="000B6B50"/>
    <w:rsid w:val="000C4C3D"/>
    <w:rsid w:val="000D355A"/>
    <w:rsid w:val="000D77EF"/>
    <w:rsid w:val="00113685"/>
    <w:rsid w:val="00134C5A"/>
    <w:rsid w:val="00136856"/>
    <w:rsid w:val="00137124"/>
    <w:rsid w:val="00140D2F"/>
    <w:rsid w:val="00141990"/>
    <w:rsid w:val="00143055"/>
    <w:rsid w:val="00146241"/>
    <w:rsid w:val="0016391F"/>
    <w:rsid w:val="0017227B"/>
    <w:rsid w:val="0017278C"/>
    <w:rsid w:val="001A3673"/>
    <w:rsid w:val="001C48AB"/>
    <w:rsid w:val="001D7DDF"/>
    <w:rsid w:val="001F6343"/>
    <w:rsid w:val="001F757B"/>
    <w:rsid w:val="00216400"/>
    <w:rsid w:val="002344A2"/>
    <w:rsid w:val="00261EDF"/>
    <w:rsid w:val="00266F8F"/>
    <w:rsid w:val="0026744A"/>
    <w:rsid w:val="00281C7D"/>
    <w:rsid w:val="0028207B"/>
    <w:rsid w:val="002A1039"/>
    <w:rsid w:val="002A7195"/>
    <w:rsid w:val="002B7CD8"/>
    <w:rsid w:val="002D1E98"/>
    <w:rsid w:val="002E15A1"/>
    <w:rsid w:val="002E2B82"/>
    <w:rsid w:val="002E3EA7"/>
    <w:rsid w:val="002E6619"/>
    <w:rsid w:val="002F3DE1"/>
    <w:rsid w:val="002F5BBD"/>
    <w:rsid w:val="003041F2"/>
    <w:rsid w:val="0030494F"/>
    <w:rsid w:val="003328A3"/>
    <w:rsid w:val="00333B18"/>
    <w:rsid w:val="003453A4"/>
    <w:rsid w:val="00364247"/>
    <w:rsid w:val="0037309C"/>
    <w:rsid w:val="003736FD"/>
    <w:rsid w:val="003A0632"/>
    <w:rsid w:val="003B04B4"/>
    <w:rsid w:val="003C065E"/>
    <w:rsid w:val="003C1CC6"/>
    <w:rsid w:val="003D69A8"/>
    <w:rsid w:val="003E583E"/>
    <w:rsid w:val="003F4E6D"/>
    <w:rsid w:val="003F5D5F"/>
    <w:rsid w:val="00407F63"/>
    <w:rsid w:val="00417AB0"/>
    <w:rsid w:val="00427DB1"/>
    <w:rsid w:val="00431F6D"/>
    <w:rsid w:val="00467B16"/>
    <w:rsid w:val="0048173D"/>
    <w:rsid w:val="00490630"/>
    <w:rsid w:val="00493D45"/>
    <w:rsid w:val="00495237"/>
    <w:rsid w:val="004A5454"/>
    <w:rsid w:val="004B3368"/>
    <w:rsid w:val="004D7941"/>
    <w:rsid w:val="0050297D"/>
    <w:rsid w:val="00507EEA"/>
    <w:rsid w:val="00516696"/>
    <w:rsid w:val="005259A8"/>
    <w:rsid w:val="00584C27"/>
    <w:rsid w:val="00594D1A"/>
    <w:rsid w:val="005A46AE"/>
    <w:rsid w:val="005B0DC9"/>
    <w:rsid w:val="005B229E"/>
    <w:rsid w:val="005B4545"/>
    <w:rsid w:val="005B7AD6"/>
    <w:rsid w:val="005D01F1"/>
    <w:rsid w:val="005D198D"/>
    <w:rsid w:val="005F25CE"/>
    <w:rsid w:val="00605700"/>
    <w:rsid w:val="00605B47"/>
    <w:rsid w:val="006330DA"/>
    <w:rsid w:val="0064283C"/>
    <w:rsid w:val="00644292"/>
    <w:rsid w:val="00647BE5"/>
    <w:rsid w:val="00655A42"/>
    <w:rsid w:val="00660092"/>
    <w:rsid w:val="006659FD"/>
    <w:rsid w:val="00684B36"/>
    <w:rsid w:val="00693978"/>
    <w:rsid w:val="00697D74"/>
    <w:rsid w:val="006A2058"/>
    <w:rsid w:val="006B0679"/>
    <w:rsid w:val="006D047F"/>
    <w:rsid w:val="006D692E"/>
    <w:rsid w:val="006E4B6C"/>
    <w:rsid w:val="006F3602"/>
    <w:rsid w:val="006F450E"/>
    <w:rsid w:val="00710261"/>
    <w:rsid w:val="0074321E"/>
    <w:rsid w:val="00750CC1"/>
    <w:rsid w:val="007650D8"/>
    <w:rsid w:val="00785F22"/>
    <w:rsid w:val="007940AF"/>
    <w:rsid w:val="007A5B6C"/>
    <w:rsid w:val="007B267D"/>
    <w:rsid w:val="007B2A93"/>
    <w:rsid w:val="007F31DB"/>
    <w:rsid w:val="008272A7"/>
    <w:rsid w:val="00832204"/>
    <w:rsid w:val="00840673"/>
    <w:rsid w:val="008511E6"/>
    <w:rsid w:val="00854C62"/>
    <w:rsid w:val="0086358E"/>
    <w:rsid w:val="00884FDE"/>
    <w:rsid w:val="008A3852"/>
    <w:rsid w:val="008B0D87"/>
    <w:rsid w:val="008B2648"/>
    <w:rsid w:val="008B7AF9"/>
    <w:rsid w:val="008F7E26"/>
    <w:rsid w:val="00900C12"/>
    <w:rsid w:val="00904347"/>
    <w:rsid w:val="0090664F"/>
    <w:rsid w:val="00913B26"/>
    <w:rsid w:val="00924AFA"/>
    <w:rsid w:val="00925566"/>
    <w:rsid w:val="009502AF"/>
    <w:rsid w:val="00950A37"/>
    <w:rsid w:val="00956122"/>
    <w:rsid w:val="00957933"/>
    <w:rsid w:val="00961A89"/>
    <w:rsid w:val="00963564"/>
    <w:rsid w:val="00982D8F"/>
    <w:rsid w:val="00983D47"/>
    <w:rsid w:val="009860DD"/>
    <w:rsid w:val="009903A5"/>
    <w:rsid w:val="00993DF9"/>
    <w:rsid w:val="009A4E00"/>
    <w:rsid w:val="009A7B4E"/>
    <w:rsid w:val="009B0FAE"/>
    <w:rsid w:val="009B7C84"/>
    <w:rsid w:val="00A15A70"/>
    <w:rsid w:val="00A36B9D"/>
    <w:rsid w:val="00A4151A"/>
    <w:rsid w:val="00A503D2"/>
    <w:rsid w:val="00A7578D"/>
    <w:rsid w:val="00A82F8D"/>
    <w:rsid w:val="00A9694E"/>
    <w:rsid w:val="00AB4DFF"/>
    <w:rsid w:val="00AB62EF"/>
    <w:rsid w:val="00AC7E01"/>
    <w:rsid w:val="00AD2DD9"/>
    <w:rsid w:val="00B0077D"/>
    <w:rsid w:val="00B107B0"/>
    <w:rsid w:val="00B36322"/>
    <w:rsid w:val="00B45492"/>
    <w:rsid w:val="00B46AF9"/>
    <w:rsid w:val="00B62A66"/>
    <w:rsid w:val="00B80C07"/>
    <w:rsid w:val="00B87DA8"/>
    <w:rsid w:val="00BA2A1E"/>
    <w:rsid w:val="00BB44DE"/>
    <w:rsid w:val="00BB473D"/>
    <w:rsid w:val="00BC5DE4"/>
    <w:rsid w:val="00BF7ACA"/>
    <w:rsid w:val="00C06F60"/>
    <w:rsid w:val="00C252C5"/>
    <w:rsid w:val="00C34288"/>
    <w:rsid w:val="00C434E1"/>
    <w:rsid w:val="00C54C59"/>
    <w:rsid w:val="00C63BB8"/>
    <w:rsid w:val="00C74325"/>
    <w:rsid w:val="00C9104E"/>
    <w:rsid w:val="00CA3CC2"/>
    <w:rsid w:val="00CB0D49"/>
    <w:rsid w:val="00CC17D7"/>
    <w:rsid w:val="00CC2F36"/>
    <w:rsid w:val="00CF36AA"/>
    <w:rsid w:val="00D1458B"/>
    <w:rsid w:val="00D147DE"/>
    <w:rsid w:val="00D16D15"/>
    <w:rsid w:val="00D25936"/>
    <w:rsid w:val="00D63C42"/>
    <w:rsid w:val="00D72864"/>
    <w:rsid w:val="00D86829"/>
    <w:rsid w:val="00D93B13"/>
    <w:rsid w:val="00D96647"/>
    <w:rsid w:val="00DA1BA7"/>
    <w:rsid w:val="00DD70D4"/>
    <w:rsid w:val="00DE571A"/>
    <w:rsid w:val="00DF4946"/>
    <w:rsid w:val="00E07759"/>
    <w:rsid w:val="00E20301"/>
    <w:rsid w:val="00E20969"/>
    <w:rsid w:val="00E26F30"/>
    <w:rsid w:val="00E472B3"/>
    <w:rsid w:val="00E56382"/>
    <w:rsid w:val="00E65EE1"/>
    <w:rsid w:val="00E8743C"/>
    <w:rsid w:val="00E901C7"/>
    <w:rsid w:val="00E94C6E"/>
    <w:rsid w:val="00E96C61"/>
    <w:rsid w:val="00EA0B79"/>
    <w:rsid w:val="00EA4159"/>
    <w:rsid w:val="00EB2564"/>
    <w:rsid w:val="00EC0851"/>
    <w:rsid w:val="00EC0F04"/>
    <w:rsid w:val="00EC3FDA"/>
    <w:rsid w:val="00EE7E27"/>
    <w:rsid w:val="00F02021"/>
    <w:rsid w:val="00F03D3E"/>
    <w:rsid w:val="00F048D7"/>
    <w:rsid w:val="00F2079A"/>
    <w:rsid w:val="00F24E86"/>
    <w:rsid w:val="00F3176D"/>
    <w:rsid w:val="00F47170"/>
    <w:rsid w:val="00F534CF"/>
    <w:rsid w:val="00F70BC2"/>
    <w:rsid w:val="00F7592E"/>
    <w:rsid w:val="00F97F49"/>
    <w:rsid w:val="00FA4EB3"/>
    <w:rsid w:val="00FB53C6"/>
    <w:rsid w:val="00FE3076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8128AA"/>
  <w15:chartTrackingRefBased/>
  <w15:docId w15:val="{1B8347A7-8903-4DD3-B8D0-6993DEE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415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4159"/>
    <w:pPr>
      <w:ind w:left="720"/>
      <w:contextualSpacing/>
    </w:pPr>
  </w:style>
  <w:style w:type="character" w:styleId="Hypertextovprepojenie">
    <w:name w:val="Hyperlink"/>
    <w:uiPriority w:val="99"/>
    <w:semiHidden/>
    <w:unhideWhenUsed/>
    <w:rsid w:val="00417AB0"/>
    <w:rPr>
      <w:color w:val="0000FF"/>
      <w:u w:val="single"/>
    </w:rPr>
  </w:style>
  <w:style w:type="table" w:styleId="Mriekatabuky">
    <w:name w:val="Table Grid"/>
    <w:basedOn w:val="Normlnatabuka"/>
    <w:uiPriority w:val="39"/>
    <w:rsid w:val="00F5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87724709msonormal">
    <w:name w:val="yiv9287724709msonormal"/>
    <w:basedOn w:val="Normlny"/>
    <w:rsid w:val="00FE3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TableText">
    <w:name w:val="Table Text"/>
    <w:basedOn w:val="Normlny"/>
    <w:uiPriority w:val="99"/>
    <w:rsid w:val="00FE3076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092"/>
    <w:rPr>
      <w:rFonts w:ascii="Segoe UI" w:eastAsia="Calibr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502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02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02AF"/>
    <w:rPr>
      <w:rFonts w:ascii="Calibri" w:eastAsia="Calibri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02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02AF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71A"/>
    <w:rPr>
      <w:rFonts w:ascii="Calibri" w:eastAsia="Calibri" w:hAnsi="Calibri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D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71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C1E9-8378-4BF5-A050-6A83B736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7454</Words>
  <Characters>42490</Characters>
  <Application>Microsoft Office Word</Application>
  <DocSecurity>0</DocSecurity>
  <Lines>354</Lines>
  <Paragraphs>99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Babínová</dc:creator>
  <cp:keywords/>
  <dc:description/>
  <cp:lastModifiedBy>user</cp:lastModifiedBy>
  <cp:revision>2</cp:revision>
  <dcterms:created xsi:type="dcterms:W3CDTF">2020-11-19T12:09:00Z</dcterms:created>
  <dcterms:modified xsi:type="dcterms:W3CDTF">2020-11-19T12:09:00Z</dcterms:modified>
</cp:coreProperties>
</file>