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B9E3" w14:textId="77777777" w:rsidR="00BF1124" w:rsidRPr="005C3240" w:rsidRDefault="00BF1124" w:rsidP="00BF1124">
      <w:pPr>
        <w:rPr>
          <w:noProof/>
          <w:lang w:val="cs-CZ"/>
        </w:rPr>
      </w:pPr>
    </w:p>
    <w:p w14:paraId="712F455F" w14:textId="429E06F0" w:rsidR="009E0FD0" w:rsidRPr="005C3240" w:rsidRDefault="00EB358E" w:rsidP="000A61CE">
      <w:pPr>
        <w:pStyle w:val="Nzov"/>
        <w:jc w:val="both"/>
        <w:rPr>
          <w:lang w:val="cs-CZ"/>
        </w:rPr>
      </w:pPr>
      <w:r>
        <w:rPr>
          <w:noProof/>
          <w:lang w:val="cs-CZ"/>
        </w:rPr>
        <w:tab/>
      </w:r>
      <w:r>
        <w:rPr>
          <w:noProof/>
          <w:lang w:val="cs-CZ"/>
        </w:rPr>
        <w:tab/>
      </w:r>
      <w:r>
        <w:rPr>
          <w:noProof/>
          <w:lang w:val="cs-CZ"/>
        </w:rPr>
        <w:tab/>
      </w:r>
      <w:r w:rsidR="005746DE" w:rsidRPr="005746DE">
        <w:rPr>
          <w:lang w:val="cs-CZ"/>
        </w:rPr>
        <w:t>SÚHRN CHARAKTERISTICKÝCH VLASTNOSTÍ LIEKU</w:t>
      </w:r>
    </w:p>
    <w:p w14:paraId="3D855415" w14:textId="77777777" w:rsidR="00570EB1" w:rsidRPr="005C3240" w:rsidRDefault="00570EB1" w:rsidP="00570EB1">
      <w:pPr>
        <w:rPr>
          <w:lang w:val="cs-CZ"/>
        </w:rPr>
      </w:pPr>
    </w:p>
    <w:p w14:paraId="3EF78C29" w14:textId="37934764" w:rsidR="009E0FD0" w:rsidRPr="005C3240" w:rsidRDefault="005746DE" w:rsidP="003F165E">
      <w:pPr>
        <w:pStyle w:val="Nadpis1"/>
        <w:rPr>
          <w:lang w:val="cs-CZ"/>
        </w:rPr>
      </w:pPr>
      <w:r w:rsidRPr="005746DE">
        <w:rPr>
          <w:lang w:val="cs-CZ"/>
        </w:rPr>
        <w:t>NÁZOV LIEKU</w:t>
      </w:r>
    </w:p>
    <w:p w14:paraId="39C8D544" w14:textId="01EC4B6A" w:rsidR="004E6A52" w:rsidRDefault="005746DE" w:rsidP="004E6A52">
      <w:pPr>
        <w:rPr>
          <w:noProof/>
          <w:szCs w:val="22"/>
          <w:lang w:val="cs-CZ"/>
        </w:rPr>
      </w:pPr>
      <w:bookmarkStart w:id="0" w:name="_Hlk42672618"/>
      <w:r>
        <w:rPr>
          <w:noProof/>
          <w:szCs w:val="22"/>
          <w:lang w:val="cs-CZ"/>
        </w:rPr>
        <w:t>Treprostinil Tillomed</w:t>
      </w:r>
      <w:r w:rsidR="00F9690F" w:rsidRPr="005C3240">
        <w:rPr>
          <w:noProof/>
          <w:szCs w:val="22"/>
          <w:lang w:val="cs-CZ"/>
        </w:rPr>
        <w:t xml:space="preserve"> </w:t>
      </w:r>
      <w:bookmarkEnd w:id="0"/>
      <w:r w:rsidR="00512E7C">
        <w:rPr>
          <w:noProof/>
          <w:szCs w:val="22"/>
          <w:lang w:val="cs-CZ"/>
        </w:rPr>
        <w:t>1</w:t>
      </w:r>
      <w:r w:rsidR="00AE5FDF">
        <w:rPr>
          <w:noProof/>
          <w:szCs w:val="22"/>
          <w:lang w:val="en-US"/>
        </w:rPr>
        <w:t>0</w:t>
      </w:r>
      <w:r w:rsidR="00A43507" w:rsidRPr="005C3240">
        <w:rPr>
          <w:noProof/>
          <w:szCs w:val="22"/>
          <w:lang w:val="cs-CZ"/>
        </w:rPr>
        <w:t xml:space="preserve"> mg/ml </w:t>
      </w:r>
      <w:r w:rsidRPr="005746DE">
        <w:rPr>
          <w:noProof/>
          <w:szCs w:val="22"/>
          <w:lang w:val="cs-CZ"/>
        </w:rPr>
        <w:t>infúzny roztok</w:t>
      </w:r>
    </w:p>
    <w:p w14:paraId="6115DA87" w14:textId="77777777" w:rsidR="00EB358E" w:rsidRPr="005C3240" w:rsidRDefault="00EB358E" w:rsidP="004E6A52">
      <w:pPr>
        <w:rPr>
          <w:iCs/>
          <w:noProof/>
          <w:szCs w:val="22"/>
          <w:lang w:val="cs-CZ"/>
        </w:rPr>
      </w:pPr>
    </w:p>
    <w:p w14:paraId="68AA5968" w14:textId="26721A47" w:rsidR="009E0FD0" w:rsidRPr="005C3240" w:rsidRDefault="005746DE" w:rsidP="003F165E">
      <w:pPr>
        <w:pStyle w:val="Nadpis1"/>
        <w:rPr>
          <w:lang w:val="cs-CZ"/>
        </w:rPr>
      </w:pPr>
      <w:r w:rsidRPr="005746DE">
        <w:rPr>
          <w:lang w:val="cs-CZ"/>
        </w:rPr>
        <w:t>KVALITATÍVNE A KVANTITATÍVNE ZLOŽENIE</w:t>
      </w:r>
    </w:p>
    <w:p w14:paraId="6A34E476" w14:textId="20CA5936" w:rsidR="004E6A52" w:rsidRPr="005C3240" w:rsidRDefault="005746DE" w:rsidP="00EB2D48">
      <w:pPr>
        <w:spacing w:after="0"/>
        <w:rPr>
          <w:noProof/>
          <w:lang w:val="cs-CZ"/>
        </w:rPr>
      </w:pPr>
      <w:r w:rsidRPr="005746DE">
        <w:rPr>
          <w:noProof/>
          <w:lang w:val="cs-CZ"/>
        </w:rPr>
        <w:t xml:space="preserve">Každý ml obsahuje </w:t>
      </w:r>
      <w:r w:rsidR="00512E7C">
        <w:rPr>
          <w:noProof/>
          <w:lang w:val="cs-CZ"/>
        </w:rPr>
        <w:t>1</w:t>
      </w:r>
      <w:r w:rsidR="00AE5FDF">
        <w:rPr>
          <w:noProof/>
          <w:lang w:val="cs-CZ"/>
        </w:rPr>
        <w:t>0</w:t>
      </w:r>
      <w:r w:rsidRPr="005746DE">
        <w:rPr>
          <w:noProof/>
          <w:lang w:val="cs-CZ"/>
        </w:rPr>
        <w:t xml:space="preserve"> mg treprostinilu vo forme treprostinilu sodného.</w:t>
      </w:r>
    </w:p>
    <w:p w14:paraId="183DA5FD" w14:textId="0DCD3A06" w:rsidR="006954D7" w:rsidRPr="005C3240" w:rsidRDefault="005746DE" w:rsidP="00EB2D48">
      <w:pPr>
        <w:spacing w:after="0"/>
        <w:rPr>
          <w:lang w:val="cs-CZ"/>
        </w:rPr>
      </w:pPr>
      <w:r w:rsidRPr="005746DE">
        <w:rPr>
          <w:lang w:val="cs-CZ"/>
        </w:rPr>
        <w:t xml:space="preserve">Každá </w:t>
      </w:r>
      <w:r>
        <w:rPr>
          <w:lang w:val="cs-CZ"/>
        </w:rPr>
        <w:t>2</w:t>
      </w:r>
      <w:r w:rsidRPr="005746DE">
        <w:rPr>
          <w:lang w:val="cs-CZ"/>
        </w:rPr>
        <w:t xml:space="preserve">0 ml injekčná liekovka roztoku obsahuje </w:t>
      </w:r>
      <w:r w:rsidR="00512E7C">
        <w:rPr>
          <w:lang w:val="cs-CZ"/>
        </w:rPr>
        <w:t>20</w:t>
      </w:r>
      <w:r w:rsidR="00AE5FDF">
        <w:rPr>
          <w:lang w:val="cs-CZ"/>
        </w:rPr>
        <w:t>0</w:t>
      </w:r>
      <w:r w:rsidRPr="005746DE">
        <w:rPr>
          <w:lang w:val="cs-CZ"/>
        </w:rPr>
        <w:t xml:space="preserve"> mg treprostinilu vo forme treprostinilu sodného (sodná soľ, ktorá sa tvorí in situ počas výroby konečného lieku).</w:t>
      </w:r>
    </w:p>
    <w:p w14:paraId="64E34D1A" w14:textId="0B21A4D3" w:rsidR="008C221F" w:rsidRPr="005C3240" w:rsidRDefault="005746DE" w:rsidP="00EB2D48">
      <w:pPr>
        <w:spacing w:after="0"/>
        <w:rPr>
          <w:noProof/>
          <w:lang w:val="cs-CZ"/>
        </w:rPr>
      </w:pPr>
      <w:r w:rsidRPr="005746DE">
        <w:rPr>
          <w:noProof/>
          <w:lang w:val="cs-CZ"/>
        </w:rPr>
        <w:t>Pomocné látky so známym účinkom:</w:t>
      </w:r>
      <w:r w:rsidR="008C221F" w:rsidRPr="005C3240">
        <w:rPr>
          <w:noProof/>
          <w:lang w:val="cs-CZ"/>
        </w:rPr>
        <w:t xml:space="preserve"> </w:t>
      </w:r>
    </w:p>
    <w:p w14:paraId="384AA328" w14:textId="04668072" w:rsidR="00200472" w:rsidRPr="005C3240" w:rsidRDefault="005746DE" w:rsidP="00EB2D48">
      <w:pPr>
        <w:spacing w:after="0"/>
        <w:rPr>
          <w:szCs w:val="22"/>
          <w:lang w:val="cs-CZ"/>
        </w:rPr>
      </w:pPr>
      <w:r w:rsidRPr="005746DE">
        <w:rPr>
          <w:szCs w:val="22"/>
          <w:lang w:val="cs-CZ"/>
        </w:rPr>
        <w:t xml:space="preserve">Tento liek obsahuje </w:t>
      </w:r>
      <w:r w:rsidR="00AE5FDF">
        <w:rPr>
          <w:szCs w:val="22"/>
          <w:lang w:val="cs-CZ"/>
        </w:rPr>
        <w:t>75</w:t>
      </w:r>
      <w:r w:rsidRPr="005746DE">
        <w:rPr>
          <w:szCs w:val="22"/>
          <w:lang w:val="cs-CZ"/>
        </w:rPr>
        <w:t xml:space="preserve"> mg sodíka v injekčnej liekovke.</w:t>
      </w:r>
      <w:r w:rsidR="00200472" w:rsidRPr="005C3240">
        <w:rPr>
          <w:szCs w:val="22"/>
          <w:lang w:val="cs-CZ"/>
        </w:rPr>
        <w:t xml:space="preserve"> </w:t>
      </w:r>
    </w:p>
    <w:p w14:paraId="0A2D8279" w14:textId="1E6D4FA7" w:rsidR="00C05EE6" w:rsidRDefault="005746DE" w:rsidP="00EB2D48">
      <w:pPr>
        <w:spacing w:after="0"/>
        <w:rPr>
          <w:noProof/>
          <w:lang w:val="cs-CZ"/>
        </w:rPr>
      </w:pPr>
      <w:r w:rsidRPr="005746DE">
        <w:rPr>
          <w:noProof/>
          <w:lang w:val="cs-CZ"/>
        </w:rPr>
        <w:t>Úplný zoznam pomocných látok, pozri časť 6.1.</w:t>
      </w:r>
    </w:p>
    <w:p w14:paraId="629585A5" w14:textId="77777777" w:rsidR="00EB358E" w:rsidRPr="005C3240" w:rsidRDefault="00EB358E" w:rsidP="00EB2D48">
      <w:pPr>
        <w:spacing w:after="0"/>
        <w:rPr>
          <w:noProof/>
          <w:lang w:val="cs-CZ"/>
        </w:rPr>
      </w:pPr>
    </w:p>
    <w:p w14:paraId="0EF31C40" w14:textId="36AE121B" w:rsidR="009E0FD0" w:rsidRPr="005C3240" w:rsidRDefault="00B36A79" w:rsidP="009E0FD0">
      <w:pPr>
        <w:pStyle w:val="Nadpis1"/>
        <w:rPr>
          <w:lang w:val="cs-CZ"/>
        </w:rPr>
      </w:pPr>
      <w:r w:rsidRPr="00B36A79">
        <w:rPr>
          <w:lang w:val="cs-CZ"/>
        </w:rPr>
        <w:t>LIEKOVÁ FORMA</w:t>
      </w:r>
    </w:p>
    <w:p w14:paraId="480791EB" w14:textId="61C92B1A" w:rsidR="001A0B06" w:rsidRPr="005C3240" w:rsidRDefault="00B36A79" w:rsidP="00EB2D48">
      <w:pPr>
        <w:tabs>
          <w:tab w:val="left" w:pos="0"/>
        </w:tabs>
        <w:spacing w:after="0"/>
        <w:jc w:val="left"/>
        <w:rPr>
          <w:lang w:val="cs-CZ" w:eastAsia="en-IN"/>
        </w:rPr>
      </w:pPr>
      <w:r w:rsidRPr="00B36A79">
        <w:rPr>
          <w:lang w:val="cs-CZ" w:eastAsia="en-IN"/>
        </w:rPr>
        <w:t>Infúzny roztok</w:t>
      </w:r>
    </w:p>
    <w:p w14:paraId="509E22C8" w14:textId="7A61AE0C" w:rsidR="000816BD" w:rsidRPr="005C3240" w:rsidRDefault="00B36A79" w:rsidP="00EB2D48">
      <w:pPr>
        <w:tabs>
          <w:tab w:val="left" w:pos="0"/>
        </w:tabs>
        <w:spacing w:after="0"/>
        <w:jc w:val="left"/>
        <w:rPr>
          <w:color w:val="000000"/>
          <w:lang w:val="cs-CZ"/>
        </w:rPr>
      </w:pPr>
      <w:r w:rsidRPr="00B36A79">
        <w:rPr>
          <w:color w:val="000000"/>
          <w:lang w:val="cs-CZ"/>
        </w:rPr>
        <w:t>Číry bezfarebný až svetložltý roztok</w:t>
      </w:r>
      <w:r>
        <w:rPr>
          <w:color w:val="000000"/>
          <w:lang w:val="cs-CZ"/>
        </w:rPr>
        <w:t>,</w:t>
      </w:r>
      <w:r w:rsidRPr="00B36A79">
        <w:rPr>
          <w:color w:val="000000"/>
          <w:lang w:val="cs-CZ"/>
        </w:rPr>
        <w:t xml:space="preserve"> </w:t>
      </w:r>
      <w:r>
        <w:rPr>
          <w:color w:val="000000"/>
          <w:lang w:val="cs-CZ"/>
        </w:rPr>
        <w:t xml:space="preserve">prakticky </w:t>
      </w:r>
      <w:r w:rsidRPr="00B36A79">
        <w:rPr>
          <w:color w:val="000000"/>
          <w:lang w:val="cs-CZ"/>
        </w:rPr>
        <w:t>bez viditeľných častíc</w:t>
      </w:r>
      <w:r>
        <w:rPr>
          <w:color w:val="000000"/>
          <w:lang w:val="cs-CZ"/>
        </w:rPr>
        <w:t>,</w:t>
      </w:r>
      <w:r w:rsidRPr="00B36A79">
        <w:rPr>
          <w:color w:val="000000"/>
          <w:lang w:val="cs-CZ"/>
        </w:rPr>
        <w:t xml:space="preserve"> s hodnotou pH medzi 6,0 a 7,2.</w:t>
      </w:r>
    </w:p>
    <w:p w14:paraId="7A7C2E27" w14:textId="667ED7D4" w:rsidR="0099176F" w:rsidRPr="005C3240" w:rsidRDefault="0099176F" w:rsidP="00EB2D48">
      <w:pPr>
        <w:tabs>
          <w:tab w:val="left" w:pos="0"/>
        </w:tabs>
        <w:spacing w:after="0"/>
        <w:jc w:val="left"/>
        <w:rPr>
          <w:lang w:val="cs-CZ" w:eastAsia="en-IN"/>
        </w:rPr>
      </w:pPr>
      <w:r w:rsidRPr="007B30ED">
        <w:rPr>
          <w:lang w:val="cs-CZ" w:eastAsia="en-IN"/>
        </w:rPr>
        <w:t>Osmolalit</w:t>
      </w:r>
      <w:r w:rsidR="007B30ED" w:rsidRPr="007B30ED">
        <w:rPr>
          <w:lang w:val="cs-CZ" w:eastAsia="en-IN"/>
        </w:rPr>
        <w:t>a</w:t>
      </w:r>
      <w:r w:rsidRPr="007B30ED">
        <w:rPr>
          <w:lang w:val="cs-CZ" w:eastAsia="en-IN"/>
        </w:rPr>
        <w:t>:</w:t>
      </w:r>
      <w:r w:rsidRPr="007B30ED">
        <w:rPr>
          <w:color w:val="000000"/>
          <w:lang w:val="cs-CZ"/>
        </w:rPr>
        <w:t xml:space="preserve"> 220 - 320 mOsmol/kg</w:t>
      </w:r>
      <w:r w:rsidR="000816BD" w:rsidRPr="005C3240">
        <w:rPr>
          <w:color w:val="000000"/>
          <w:lang w:val="cs-CZ"/>
        </w:rPr>
        <w:t xml:space="preserve"> </w:t>
      </w:r>
    </w:p>
    <w:p w14:paraId="78DCE626" w14:textId="77777777" w:rsidR="0099176F" w:rsidRPr="005C3240" w:rsidRDefault="0099176F" w:rsidP="006E17BB">
      <w:pPr>
        <w:tabs>
          <w:tab w:val="left" w:pos="0"/>
        </w:tabs>
        <w:jc w:val="left"/>
        <w:rPr>
          <w:lang w:val="cs-CZ" w:eastAsia="en-IN"/>
        </w:rPr>
      </w:pPr>
    </w:p>
    <w:p w14:paraId="5CEA5954" w14:textId="0A1C39A1" w:rsidR="009E0FD0" w:rsidRPr="005C3240" w:rsidRDefault="00662DE8" w:rsidP="001A6C8B">
      <w:pPr>
        <w:pStyle w:val="Nadpis1"/>
        <w:rPr>
          <w:lang w:val="cs-CZ"/>
        </w:rPr>
      </w:pPr>
      <w:r w:rsidRPr="00662DE8">
        <w:rPr>
          <w:lang w:val="cs-CZ"/>
        </w:rPr>
        <w:t>KLINICKÉ ÚDAJE</w:t>
      </w:r>
    </w:p>
    <w:p w14:paraId="2571D371" w14:textId="1E132D39" w:rsidR="009E0FD0" w:rsidRPr="005C3240" w:rsidRDefault="00662DE8" w:rsidP="003F165E">
      <w:pPr>
        <w:pStyle w:val="Nadpis2"/>
        <w:rPr>
          <w:lang w:val="cs-CZ"/>
        </w:rPr>
      </w:pPr>
      <w:r w:rsidRPr="00662DE8">
        <w:rPr>
          <w:lang w:val="cs-CZ"/>
        </w:rPr>
        <w:t>Terapeutické indikácie</w:t>
      </w:r>
    </w:p>
    <w:p w14:paraId="33CD5B2C" w14:textId="3BC8BFA7" w:rsidR="00A32A22" w:rsidRPr="005C3240" w:rsidRDefault="00662DE8" w:rsidP="007968A0">
      <w:pPr>
        <w:rPr>
          <w:noProof/>
          <w:szCs w:val="22"/>
          <w:lang w:val="cs-CZ"/>
        </w:rPr>
      </w:pPr>
      <w:r w:rsidRPr="00662DE8">
        <w:rPr>
          <w:noProof/>
          <w:szCs w:val="22"/>
          <w:lang w:val="cs-CZ"/>
        </w:rPr>
        <w:t>Liečba idiopatickej alebo dedičnej pľúcnej artériovej hypertenzie (pulmonary arterial hypertension, PAH) na zlepšenie námahovej tolerancie a symptómov ochorenia u pacientov klasifikovaných podľa New York Heart Association (NYHA) ako funkčná trieda III.</w:t>
      </w:r>
    </w:p>
    <w:p w14:paraId="682F707D" w14:textId="28C4AAC9" w:rsidR="009E0FD0" w:rsidRPr="005C3240" w:rsidRDefault="007854D3" w:rsidP="009E0FD0">
      <w:pPr>
        <w:pStyle w:val="Nadpis2"/>
        <w:rPr>
          <w:lang w:val="cs-CZ"/>
        </w:rPr>
      </w:pPr>
      <w:r w:rsidRPr="007854D3">
        <w:rPr>
          <w:lang w:val="cs-CZ"/>
        </w:rPr>
        <w:t>Dávkovanie a spôsob podávania</w:t>
      </w:r>
    </w:p>
    <w:p w14:paraId="29445C0F" w14:textId="3CBDC8CA" w:rsidR="00716A89" w:rsidRPr="005C3240" w:rsidRDefault="00557A12" w:rsidP="00BB2928">
      <w:pPr>
        <w:spacing w:after="0"/>
        <w:rPr>
          <w:szCs w:val="22"/>
          <w:lang w:val="cs-CZ"/>
        </w:rPr>
      </w:pPr>
      <w:r w:rsidRPr="00557A12">
        <w:rPr>
          <w:szCs w:val="22"/>
          <w:lang w:val="cs-CZ"/>
        </w:rPr>
        <w:t>Treprostinil Tillomed</w:t>
      </w:r>
      <w:r w:rsidR="007854D3" w:rsidRPr="007854D3">
        <w:rPr>
          <w:szCs w:val="22"/>
          <w:lang w:val="cs-CZ"/>
        </w:rPr>
        <w:t xml:space="preserve"> sa podáva kontinuálnou subkutánnou alebo intravenóznou infúziou.</w:t>
      </w:r>
    </w:p>
    <w:p w14:paraId="06EDD791" w14:textId="77777777" w:rsidR="00EB2D48" w:rsidRDefault="00EB2D48" w:rsidP="007854D3">
      <w:pPr>
        <w:spacing w:after="0"/>
        <w:jc w:val="left"/>
        <w:rPr>
          <w:szCs w:val="22"/>
          <w:lang w:val="cs-CZ"/>
        </w:rPr>
      </w:pPr>
    </w:p>
    <w:p w14:paraId="75F19DF6" w14:textId="31B1A403" w:rsidR="007854D3" w:rsidRPr="007854D3" w:rsidRDefault="007854D3" w:rsidP="007854D3">
      <w:pPr>
        <w:spacing w:after="0"/>
        <w:jc w:val="left"/>
        <w:rPr>
          <w:szCs w:val="22"/>
          <w:lang w:val="cs-CZ"/>
        </w:rPr>
      </w:pPr>
      <w:r w:rsidRPr="007854D3">
        <w:rPr>
          <w:szCs w:val="22"/>
          <w:lang w:val="cs-CZ"/>
        </w:rPr>
        <w:t>Vzhľadom na riziká súvisiace s chronickým zavedením centrálneho venózneho katétra, vrátane závažných infekcií krvného obehu, je subkutánna infúzia (nezriedený roztok) preferovaným spôsobom podania a kontinuálna intravenózna infúzia sa má ponechať pre pacientov stabilizovaných na subkutánnej infúzii treprostinilu, a pre tých, ktorí prestanú tolerovať subkutánny spôsob podania, a u ktorých sa tieto riziká považujú za akceptovateľné.</w:t>
      </w:r>
    </w:p>
    <w:p w14:paraId="5145CD65" w14:textId="77777777" w:rsidR="007854D3" w:rsidRPr="007854D3" w:rsidRDefault="007854D3" w:rsidP="007854D3">
      <w:pPr>
        <w:spacing w:after="0"/>
        <w:jc w:val="left"/>
        <w:rPr>
          <w:szCs w:val="22"/>
          <w:lang w:val="cs-CZ"/>
        </w:rPr>
      </w:pPr>
    </w:p>
    <w:p w14:paraId="10B82B59" w14:textId="7DE56C3C" w:rsidR="00716A89" w:rsidRPr="005C3240" w:rsidRDefault="007854D3" w:rsidP="007854D3">
      <w:pPr>
        <w:spacing w:after="0"/>
        <w:jc w:val="left"/>
        <w:rPr>
          <w:szCs w:val="22"/>
          <w:lang w:val="cs-CZ"/>
        </w:rPr>
      </w:pPr>
      <w:r w:rsidRPr="007854D3">
        <w:rPr>
          <w:szCs w:val="22"/>
          <w:lang w:val="cs-CZ"/>
        </w:rPr>
        <w:t>Liečbu majú začať a kontrolovať iba lekári, ktorí majú skúsenosti s liečbou pľúcnej hypertenzie.</w:t>
      </w:r>
    </w:p>
    <w:p w14:paraId="47179D9B" w14:textId="700612F4" w:rsidR="00716A89" w:rsidRPr="005C3240" w:rsidRDefault="00716A89" w:rsidP="00716A89">
      <w:pPr>
        <w:spacing w:after="0"/>
        <w:jc w:val="left"/>
        <w:rPr>
          <w:szCs w:val="22"/>
          <w:lang w:val="cs-CZ"/>
        </w:rPr>
      </w:pPr>
    </w:p>
    <w:p w14:paraId="34121E11" w14:textId="16FA9D9F" w:rsidR="00716A89" w:rsidRPr="005C3240" w:rsidRDefault="007854D3" w:rsidP="00716A89">
      <w:pPr>
        <w:spacing w:after="0"/>
        <w:jc w:val="left"/>
        <w:rPr>
          <w:b/>
          <w:szCs w:val="22"/>
          <w:u w:val="single"/>
          <w:lang w:val="cs-CZ"/>
        </w:rPr>
      </w:pPr>
      <w:r w:rsidRPr="007854D3">
        <w:rPr>
          <w:b/>
          <w:szCs w:val="22"/>
          <w:u w:val="single"/>
          <w:lang w:val="cs-CZ"/>
        </w:rPr>
        <w:t>U dospelých</w:t>
      </w:r>
    </w:p>
    <w:p w14:paraId="4E1160EF" w14:textId="5C1A4A73" w:rsidR="00716A89" w:rsidRPr="005C3240" w:rsidRDefault="007854D3" w:rsidP="00716A89">
      <w:pPr>
        <w:rPr>
          <w:u w:val="single"/>
          <w:lang w:val="cs-CZ"/>
        </w:rPr>
      </w:pPr>
      <w:r w:rsidRPr="007854D3">
        <w:rPr>
          <w:u w:val="single"/>
          <w:lang w:val="cs-CZ"/>
        </w:rPr>
        <w:t>Začiatok liečby u pacientov prvýkrát liečených prostacyklínmi</w:t>
      </w:r>
    </w:p>
    <w:p w14:paraId="77E18768" w14:textId="7107EAF5" w:rsidR="00716A89" w:rsidRPr="005C3240" w:rsidRDefault="007854D3" w:rsidP="00716A89">
      <w:pPr>
        <w:rPr>
          <w:lang w:val="cs-CZ"/>
        </w:rPr>
      </w:pPr>
      <w:r w:rsidRPr="007854D3">
        <w:rPr>
          <w:lang w:val="cs-CZ"/>
        </w:rPr>
        <w:t>Liečba sa má začať pod starostlivým lekárskym dohľadom v liečebnom zariadení schopnom poskytnúť intenzívnu starostlivosť.</w:t>
      </w:r>
    </w:p>
    <w:p w14:paraId="0906DC9D" w14:textId="260C6549" w:rsidR="00716A89" w:rsidRPr="005C3240" w:rsidRDefault="008E50C7" w:rsidP="00716A89">
      <w:pPr>
        <w:rPr>
          <w:lang w:val="cs-CZ"/>
        </w:rPr>
      </w:pPr>
      <w:r w:rsidRPr="008E50C7">
        <w:rPr>
          <w:lang w:val="cs-CZ"/>
        </w:rPr>
        <w:lastRenderedPageBreak/>
        <w:t>Odporúčaná začiatočná rýchlosť infúzie je 1,25 ng/kg/min. Ak sa táto začiatočná dávka zle znáša, rýchlosť infúzie sa má znížiť na 0,625 ng/kg/min.</w:t>
      </w:r>
    </w:p>
    <w:p w14:paraId="21B46CC6" w14:textId="68FB2BF9" w:rsidR="00716A89" w:rsidRPr="005C3240" w:rsidRDefault="008E50C7" w:rsidP="00716A89">
      <w:pPr>
        <w:rPr>
          <w:u w:val="single"/>
          <w:lang w:val="cs-CZ"/>
        </w:rPr>
      </w:pPr>
      <w:r w:rsidRPr="008E50C7">
        <w:rPr>
          <w:u w:val="single"/>
          <w:lang w:val="cs-CZ"/>
        </w:rPr>
        <w:t>Úpravy dávkovania</w:t>
      </w:r>
    </w:p>
    <w:p w14:paraId="21BDB076" w14:textId="7DE8410A" w:rsidR="00716A89" w:rsidRPr="005C3240" w:rsidRDefault="008E50C7" w:rsidP="00716A89">
      <w:pPr>
        <w:rPr>
          <w:lang w:val="cs-CZ"/>
        </w:rPr>
      </w:pPr>
      <w:r w:rsidRPr="008E50C7">
        <w:rPr>
          <w:lang w:val="cs-CZ"/>
        </w:rPr>
        <w:t>Rýchlosť infúzie sa má zvyšovať pod lekárskym dohľadom o prídavok 1,25 ng/kg/min. týždenne počas prvých štyroch týždňov liečby a potom o 2,5 ng/kg/min. týždenne.</w:t>
      </w:r>
    </w:p>
    <w:p w14:paraId="7E2E50C0" w14:textId="43D65B80" w:rsidR="00716A89" w:rsidRPr="005C3240" w:rsidRDefault="006B7475" w:rsidP="00716A89">
      <w:pPr>
        <w:rPr>
          <w:lang w:val="cs-CZ" w:eastAsia="en-US"/>
        </w:rPr>
      </w:pPr>
      <w:r w:rsidRPr="006B7475">
        <w:rPr>
          <w:lang w:val="cs-CZ" w:eastAsia="en-US"/>
        </w:rPr>
        <w:t>Dávka sa má upraviť individuálne a pod lekárskym dohľadom, aby sa dosiahla udržiavacia dávka, pri ktorej sa symptómy zlepšia a ktorú pacient znáša.</w:t>
      </w:r>
      <w:r>
        <w:rPr>
          <w:lang w:val="cs-CZ" w:eastAsia="en-US"/>
        </w:rPr>
        <w:t xml:space="preserve"> </w:t>
      </w:r>
      <w:r w:rsidRPr="006B7475">
        <w:rPr>
          <w:lang w:val="cs-CZ" w:eastAsia="en-US"/>
        </w:rPr>
        <w:t>Maximálna dávka, ktorá sa má podať, závisí od klinického stavu pacienta a rôznych komorbidít.</w:t>
      </w:r>
    </w:p>
    <w:p w14:paraId="6B96AF38" w14:textId="0BF400B1" w:rsidR="000877C5" w:rsidRPr="000877C5" w:rsidRDefault="000877C5" w:rsidP="000877C5">
      <w:pPr>
        <w:rPr>
          <w:lang w:val="cs-CZ" w:eastAsia="en-US"/>
        </w:rPr>
      </w:pPr>
      <w:r w:rsidRPr="000877C5">
        <w:rPr>
          <w:lang w:val="cs-CZ" w:eastAsia="en-US"/>
        </w:rPr>
        <w:t>Účinnosť v najdôležitejších 12</w:t>
      </w:r>
      <w:r w:rsidR="00EB2D48">
        <w:rPr>
          <w:lang w:val="cs-CZ" w:eastAsia="en-US"/>
        </w:rPr>
        <w:t xml:space="preserve"> </w:t>
      </w:r>
      <w:r w:rsidRPr="000877C5">
        <w:rPr>
          <w:lang w:val="cs-CZ" w:eastAsia="en-US"/>
        </w:rPr>
        <w:t xml:space="preserve">týždňových skúšaniach sa udržala, len ak sa dávka zvyšovala priemerne 3-4-krát za mesiac. Cieľom chronických úprav dávkovania je určiť dávku, pri ktorej sa zlepšia symptómy PAH s minimalizáciou nadmerných farmakologických účinkov treprostinilu.     </w:t>
      </w:r>
    </w:p>
    <w:p w14:paraId="63DAD13A" w14:textId="6709121D" w:rsidR="000877C5" w:rsidRPr="000877C5" w:rsidRDefault="000877C5" w:rsidP="000877C5">
      <w:pPr>
        <w:rPr>
          <w:lang w:val="cs-CZ" w:eastAsia="en-US"/>
        </w:rPr>
      </w:pPr>
      <w:r w:rsidRPr="000877C5">
        <w:rPr>
          <w:lang w:val="cs-CZ" w:eastAsia="en-US"/>
        </w:rPr>
        <w:t>Nežiaduce účinky, ako je sčervenenie, bolesť hlavy, hypotenzia, nevoľnosť, vracanie a hnačka, spravidla závisia od podanej dávky treprostinilu. Pri pokračovaní liečby môžu vymiznúť, ale ak pretrvávajú alebo sa stanú pre pacienta neznesiteľné, rýchlosť infúzie sa môže znížiť, aby sa oslabila ich intenzita.</w:t>
      </w:r>
    </w:p>
    <w:p w14:paraId="0B8D9E4A" w14:textId="6208CD9B" w:rsidR="000877C5" w:rsidRPr="000877C5" w:rsidRDefault="000877C5" w:rsidP="000877C5">
      <w:pPr>
        <w:rPr>
          <w:lang w:val="cs-CZ" w:eastAsia="en-US"/>
        </w:rPr>
      </w:pPr>
      <w:r w:rsidRPr="000877C5">
        <w:rPr>
          <w:lang w:val="cs-CZ" w:eastAsia="en-US"/>
        </w:rPr>
        <w:t xml:space="preserve">Počas následných fáz klinických skúšaní sa po 12 mesiacoch dosiahli priemerné dávky 26 ng/kg/min., po 24 mesiacoch boli 36 ng/kg/min. a po 48 mesiacoch boli 42 ng/kg/min. </w:t>
      </w:r>
    </w:p>
    <w:p w14:paraId="7A5BC491" w14:textId="1E40EF89" w:rsidR="000877C5" w:rsidRPr="000877C5" w:rsidRDefault="000877C5" w:rsidP="000877C5">
      <w:pPr>
        <w:rPr>
          <w:lang w:val="cs-CZ" w:eastAsia="en-US"/>
        </w:rPr>
      </w:pPr>
      <w:r w:rsidRPr="000877C5">
        <w:rPr>
          <w:lang w:val="cs-CZ" w:eastAsia="en-US"/>
        </w:rPr>
        <w:t xml:space="preserve">U pacientov s obezitou (vážiacich o </w:t>
      </w:r>
      <w:r w:rsidR="002A4F55" w:rsidRPr="002A4F55">
        <w:rPr>
          <w:lang w:val="cs-CZ" w:eastAsia="en-US"/>
        </w:rPr>
        <w:t>≥</w:t>
      </w:r>
      <w:r w:rsidRPr="000877C5">
        <w:rPr>
          <w:lang w:val="cs-CZ" w:eastAsia="en-US"/>
        </w:rPr>
        <w:t xml:space="preserve"> 30 % viac ako je ideálna telesná hmotnosť) má začiatočná dávka a následné zvyšovania dávok vychádzať z ideálnej telesnej hmotnosti.  </w:t>
      </w:r>
    </w:p>
    <w:p w14:paraId="5E84A6A1" w14:textId="7553922B" w:rsidR="00215BAA" w:rsidRDefault="000877C5" w:rsidP="00716A89">
      <w:pPr>
        <w:rPr>
          <w:lang w:val="cs-CZ" w:eastAsia="en-US"/>
        </w:rPr>
      </w:pPr>
      <w:r w:rsidRPr="000877C5">
        <w:rPr>
          <w:lang w:val="cs-CZ" w:eastAsia="en-US"/>
        </w:rPr>
        <w:t>Náhle prerušenie alebo náhle značné zníženia dávky treprostinilu môžu spôsobiť návrat pľúcnej artériovej hypertenzie. Odporúča sa preto, aby sa predišlo prerušeniu liečby treprostinilom, a aby sa infúzia začala opäť podávať čo najskôr po náhlom náhodnom znížení dávky alebo prerušení. Optimálnu stratégiu opakovaného zavedenia infúzií treprostinilu má určiť kvalifikovaný zdravotný personál od prípadu k prípadu. Vo väčšine prípadov možno po niekoľko hodinovom prerušení infúziu treprostinilu opäť začať podávať s použitím rovnakej dávkovacej rýchlosti; dlhodobejšie prerušenia si môžu vyžadovať re-titráciu dávky treprostinilu.</w:t>
      </w:r>
    </w:p>
    <w:p w14:paraId="221B6ECA" w14:textId="77777777" w:rsidR="00E74A3F" w:rsidRPr="005C3240" w:rsidRDefault="00E74A3F" w:rsidP="00716A89">
      <w:pPr>
        <w:rPr>
          <w:lang w:val="cs-CZ" w:eastAsia="en-US"/>
        </w:rPr>
      </w:pPr>
    </w:p>
    <w:p w14:paraId="18640A3E" w14:textId="22747E69" w:rsidR="00215BAA" w:rsidRPr="005C3240" w:rsidRDefault="004D4FA0" w:rsidP="00EB2D48">
      <w:pPr>
        <w:spacing w:after="0"/>
        <w:rPr>
          <w:b/>
          <w:u w:val="single"/>
          <w:lang w:val="cs-CZ" w:eastAsia="en-US"/>
        </w:rPr>
      </w:pPr>
      <w:r w:rsidRPr="004D4FA0">
        <w:rPr>
          <w:b/>
          <w:u w:val="single"/>
          <w:lang w:val="cs-CZ" w:eastAsia="en-US"/>
        </w:rPr>
        <w:t>U starších osôb</w:t>
      </w:r>
    </w:p>
    <w:p w14:paraId="7C2642FB" w14:textId="3A93CCAE" w:rsidR="00215BAA" w:rsidRPr="005C3240" w:rsidRDefault="004D4FA0" w:rsidP="00215BAA">
      <w:pPr>
        <w:rPr>
          <w:lang w:val="cs-CZ"/>
        </w:rPr>
      </w:pPr>
      <w:r w:rsidRPr="004D4FA0">
        <w:rPr>
          <w:lang w:val="cs-CZ"/>
        </w:rPr>
        <w:t>Klinické štúdie s treprostinilom nezahŕňali dostatočný počet pacientov vo veku 65 rokov a starších na zistenie, či odpovedajú na liečbu inak ako mladší pacienti. V populácii s farmakokinetickou (FK) analýzou sa znížil plazmatický klírens treprostinilu o 20 %. Výber dávky u starších pacientov má byť spravidla opatrný, odrážajúci častejší výskyt zníženej funkcie pečene, obličiek alebo srdca a sprievodného ochorenia alebo inú liečbu.</w:t>
      </w:r>
    </w:p>
    <w:p w14:paraId="74B2D853" w14:textId="0C21D5DA" w:rsidR="00215BAA" w:rsidRPr="005C3240" w:rsidRDefault="00215BAA" w:rsidP="00215BAA">
      <w:pPr>
        <w:rPr>
          <w:lang w:val="cs-CZ"/>
        </w:rPr>
      </w:pPr>
    </w:p>
    <w:p w14:paraId="0915BCAD" w14:textId="28780945" w:rsidR="00215BAA" w:rsidRPr="005C3240" w:rsidRDefault="004D4FA0" w:rsidP="00EB2D48">
      <w:pPr>
        <w:spacing w:after="0"/>
        <w:rPr>
          <w:b/>
          <w:u w:val="single"/>
          <w:lang w:val="cs-CZ"/>
        </w:rPr>
      </w:pPr>
      <w:r w:rsidRPr="004D4FA0">
        <w:rPr>
          <w:b/>
          <w:u w:val="single"/>
          <w:lang w:val="cs-CZ"/>
        </w:rPr>
        <w:t>Pediatrická populácia</w:t>
      </w:r>
    </w:p>
    <w:p w14:paraId="27DB49FC" w14:textId="296EC5BB" w:rsidR="00215BAA" w:rsidRPr="005C3240" w:rsidRDefault="004D4FA0" w:rsidP="00215BAA">
      <w:pPr>
        <w:rPr>
          <w:lang w:val="cs-CZ"/>
        </w:rPr>
      </w:pPr>
      <w:r w:rsidRPr="004D4FA0">
        <w:rPr>
          <w:lang w:val="cs-CZ"/>
        </w:rPr>
        <w:t>U pacientov mladších ako 18 rokov je len málo údajov. Dostupné klinické štúdie nezistili, či možno účinnosť a bezpečnosť odporúčanej dávkovacej schémy pre dospelých extrapolovať na deti a dospievajúcich.</w:t>
      </w:r>
    </w:p>
    <w:p w14:paraId="26626733" w14:textId="281DDA4F" w:rsidR="00215BAA" w:rsidRPr="005C3240" w:rsidRDefault="00215BAA" w:rsidP="00215BAA">
      <w:pPr>
        <w:rPr>
          <w:lang w:val="cs-CZ"/>
        </w:rPr>
      </w:pPr>
    </w:p>
    <w:p w14:paraId="1C4CC6D1" w14:textId="72D0FE3A" w:rsidR="00215BAA" w:rsidRPr="005C3240" w:rsidRDefault="004D4FA0" w:rsidP="00EB2D48">
      <w:pPr>
        <w:spacing w:after="0"/>
        <w:rPr>
          <w:i/>
          <w:lang w:val="cs-CZ"/>
        </w:rPr>
      </w:pPr>
      <w:r w:rsidRPr="004D4FA0">
        <w:rPr>
          <w:i/>
          <w:lang w:val="cs-CZ"/>
        </w:rPr>
        <w:t>Rizikové populácie</w:t>
      </w:r>
    </w:p>
    <w:p w14:paraId="7CCA44C9" w14:textId="5167B858" w:rsidR="00215BAA" w:rsidRPr="005C3240" w:rsidRDefault="004D4FA0" w:rsidP="00EB2D48">
      <w:pPr>
        <w:spacing w:after="0"/>
        <w:rPr>
          <w:u w:val="single"/>
          <w:lang w:val="cs-CZ"/>
        </w:rPr>
      </w:pPr>
      <w:r w:rsidRPr="004D4FA0">
        <w:rPr>
          <w:u w:val="single"/>
          <w:lang w:val="cs-CZ"/>
        </w:rPr>
        <w:t>Porucha funkcie pečene</w:t>
      </w:r>
    </w:p>
    <w:p w14:paraId="74CC8BAC" w14:textId="77777777" w:rsidR="004D4FA0" w:rsidRPr="004D4FA0" w:rsidRDefault="004D4FA0" w:rsidP="004D4FA0">
      <w:pPr>
        <w:rPr>
          <w:lang w:val="cs-CZ"/>
        </w:rPr>
      </w:pPr>
      <w:r w:rsidRPr="004D4FA0">
        <w:rPr>
          <w:lang w:val="cs-CZ"/>
        </w:rPr>
        <w:t xml:space="preserve">Expozícia treprostinilu v plazme (plocha pod krivkou plazmatickej koncentrácie verzus čas; AUC) sa zvýšila o 260 % až 510 % pri miernej až stredne závažnej poruche funkcie pečene, trieda A a B podľa Childa-Pugha v uvedenom poradí. Plazmatický klírens treprostinilu sa znížil až do 80 % u jedincov s existujúcou miernou až stredne závažnou poruchou funkcie pečene. Opatrnosť sa preto odporúča pri liečbe pacientov s poruchou funkcie pečene kvôli riziku </w:t>
      </w:r>
      <w:r w:rsidRPr="004D4FA0">
        <w:rPr>
          <w:lang w:val="cs-CZ"/>
        </w:rPr>
        <w:lastRenderedPageBreak/>
        <w:t>zvýšenia systémovej expozície, ktorá môže znížiť tolerabilitu a viesť k zvýšeniu nežiaducich účinkov závislých od dávky.</w:t>
      </w:r>
    </w:p>
    <w:p w14:paraId="40832152" w14:textId="227AE97C" w:rsidR="00215BAA" w:rsidRPr="005C3240" w:rsidRDefault="004D4FA0" w:rsidP="004D4FA0">
      <w:pPr>
        <w:rPr>
          <w:lang w:val="cs-CZ"/>
        </w:rPr>
      </w:pPr>
      <w:r w:rsidRPr="004D4FA0">
        <w:rPr>
          <w:lang w:val="cs-CZ"/>
        </w:rPr>
        <w:t>Začiatočná dávka treprostinilu sa má znížiť na 0,625 ng/kg/min. a zvyšovania prírastku dávky sa majú vykonať opatrne.</w:t>
      </w:r>
    </w:p>
    <w:p w14:paraId="45C14B50" w14:textId="23731CCC" w:rsidR="002C0CB2" w:rsidRPr="005C3240" w:rsidRDefault="002C0CB2" w:rsidP="00215BAA">
      <w:pPr>
        <w:rPr>
          <w:lang w:val="cs-CZ"/>
        </w:rPr>
      </w:pPr>
    </w:p>
    <w:p w14:paraId="122484B2" w14:textId="0C157D0C" w:rsidR="002C0CB2" w:rsidRPr="005C3240" w:rsidRDefault="004D4FA0" w:rsidP="00B9765E">
      <w:pPr>
        <w:spacing w:after="0"/>
        <w:rPr>
          <w:u w:val="single"/>
          <w:lang w:val="cs-CZ"/>
        </w:rPr>
      </w:pPr>
      <w:r w:rsidRPr="004D4FA0">
        <w:rPr>
          <w:u w:val="single"/>
          <w:lang w:val="cs-CZ"/>
        </w:rPr>
        <w:t>Porucha funkcie obličiek</w:t>
      </w:r>
    </w:p>
    <w:p w14:paraId="4AFA5C8B" w14:textId="78F50005" w:rsidR="002C0CB2" w:rsidRPr="005C3240" w:rsidRDefault="004D4FA0" w:rsidP="002C0CB2">
      <w:pPr>
        <w:rPr>
          <w:lang w:val="cs-CZ"/>
        </w:rPr>
      </w:pPr>
      <w:r w:rsidRPr="004D4FA0">
        <w:rPr>
          <w:lang w:val="cs-CZ"/>
        </w:rPr>
        <w:t>Keďže u pacientov s poruchou funkcie obličiek sa nevykonali žiadne klinické štúdie, pre pacientov s poruchou funkcie obličiek nie sú stanovené žiadne liečebné odporúčania. Keďže sa treprostinil a jeho metabolity vylučujú prevažne močom, pri liečbe pacientov s poruchou funkcie obličiek sa odporúča opatrnosť, aby sa zabránilo škodlivým následkom spojeným s možným zvýšením systémovej expozície.</w:t>
      </w:r>
    </w:p>
    <w:p w14:paraId="471542AC" w14:textId="15AB8F76" w:rsidR="002C0CB2" w:rsidRPr="005C3240" w:rsidRDefault="002C0CB2" w:rsidP="002C0CB2">
      <w:pPr>
        <w:rPr>
          <w:lang w:val="cs-CZ"/>
        </w:rPr>
      </w:pPr>
    </w:p>
    <w:p w14:paraId="7BAEA644" w14:textId="64819F1D" w:rsidR="002C0CB2" w:rsidRPr="005C3240" w:rsidRDefault="00DA34FD" w:rsidP="00D47CA1">
      <w:pPr>
        <w:spacing w:after="0"/>
        <w:rPr>
          <w:b/>
          <w:szCs w:val="22"/>
          <w:u w:val="single"/>
          <w:lang w:val="cs-CZ" w:eastAsia="en-US"/>
        </w:rPr>
      </w:pPr>
      <w:r w:rsidRPr="00DA34FD">
        <w:rPr>
          <w:b/>
          <w:szCs w:val="22"/>
          <w:u w:val="single"/>
          <w:lang w:val="cs-CZ" w:eastAsia="en-US"/>
        </w:rPr>
        <w:t>Spôsob prestavenia na liečbu intravenóznym epoprostenolom</w:t>
      </w:r>
    </w:p>
    <w:p w14:paraId="4C0B2933" w14:textId="08FBBA6E" w:rsidR="002C0CB2" w:rsidRPr="005C3240" w:rsidRDefault="00DA34FD" w:rsidP="002C0CB2">
      <w:pPr>
        <w:rPr>
          <w:bCs/>
          <w:szCs w:val="22"/>
          <w:lang w:val="cs-CZ" w:eastAsia="en-US"/>
        </w:rPr>
      </w:pPr>
      <w:r w:rsidRPr="00DA34FD">
        <w:rPr>
          <w:bCs/>
          <w:szCs w:val="22"/>
          <w:lang w:val="cs-CZ" w:eastAsia="en-US"/>
        </w:rPr>
        <w:t>Ak je potrebné prestavenie na intravenózny epoprostenol, fáza prechodu sa má vykonať pod prísnym lekárskym dohľadom. Ako návod možno uviesť vhodnú nasledovnú  navrhovanú schému prestavenia liečby. Infúzie treprostinilu sa majú najprv pomaly znižovať o 2,5 ng/kg/min. Minimálne 1 hodinu po novej dávke treprostinilu možno začať liečbu epoprostenolom s maximálnou dávkou 2 ng/kg/min. Dávka treprostinilu sa má potom znižovať v následných intervaloch trvajúcich minimálne 2 hodiny, a súbežne postupne zvyšovať dávku epoprostenolu po zachovaní začiatočnej dávky v priebehu najmenej jednej hodiny.</w:t>
      </w:r>
    </w:p>
    <w:p w14:paraId="79448FA4" w14:textId="564785A8" w:rsidR="002C0CB2" w:rsidRPr="005C3240" w:rsidRDefault="002C0CB2" w:rsidP="002C0CB2">
      <w:pPr>
        <w:rPr>
          <w:bCs/>
          <w:szCs w:val="22"/>
          <w:lang w:val="cs-CZ" w:eastAsia="en-US"/>
        </w:rPr>
      </w:pPr>
    </w:p>
    <w:p w14:paraId="401890E4" w14:textId="5B2F9882" w:rsidR="00DA34FD" w:rsidRPr="00DA34FD" w:rsidRDefault="00DA34FD" w:rsidP="00D47CA1">
      <w:pPr>
        <w:spacing w:after="0"/>
        <w:rPr>
          <w:b/>
          <w:bCs/>
          <w:szCs w:val="22"/>
          <w:u w:val="single"/>
          <w:lang w:val="cs-CZ" w:eastAsia="en-US"/>
        </w:rPr>
      </w:pPr>
      <w:r w:rsidRPr="00DA34FD">
        <w:rPr>
          <w:b/>
          <w:bCs/>
          <w:szCs w:val="22"/>
          <w:u w:val="single"/>
          <w:lang w:val="cs-CZ" w:eastAsia="en-US"/>
        </w:rPr>
        <w:t>Spôsob podávania</w:t>
      </w:r>
    </w:p>
    <w:p w14:paraId="71AB6693" w14:textId="097B5319" w:rsidR="002C0CB2" w:rsidRPr="005C3240" w:rsidRDefault="00DA34FD" w:rsidP="00D47CA1">
      <w:pPr>
        <w:spacing w:after="0"/>
        <w:rPr>
          <w:b/>
          <w:u w:val="single"/>
          <w:lang w:val="cs-CZ"/>
        </w:rPr>
      </w:pPr>
      <w:r w:rsidRPr="00DA34FD">
        <w:rPr>
          <w:b/>
          <w:bCs/>
          <w:szCs w:val="22"/>
          <w:u w:val="single"/>
          <w:lang w:val="cs-CZ" w:eastAsia="en-US"/>
        </w:rPr>
        <w:t>Podanie kontinuálnou subkutánnou infúziou</w:t>
      </w:r>
      <w:r w:rsidR="002C0CB2" w:rsidRPr="005C3240">
        <w:rPr>
          <w:b/>
          <w:u w:val="single"/>
          <w:lang w:val="cs-CZ"/>
        </w:rPr>
        <w:t xml:space="preserve"> </w:t>
      </w:r>
    </w:p>
    <w:p w14:paraId="0DE6CA3E" w14:textId="522DED2B" w:rsidR="008C75CB" w:rsidRPr="00500315" w:rsidRDefault="00557A12" w:rsidP="008C75CB">
      <w:pPr>
        <w:pStyle w:val="Text"/>
        <w:spacing w:before="0" w:after="120"/>
        <w:jc w:val="left"/>
        <w:rPr>
          <w:sz w:val="22"/>
          <w:lang w:val="sk-SK"/>
        </w:rPr>
      </w:pPr>
      <w:r w:rsidRPr="00557A12">
        <w:rPr>
          <w:sz w:val="22"/>
          <w:lang w:val="sk-SK"/>
        </w:rPr>
        <w:t>Treprostinil Tillomed</w:t>
      </w:r>
      <w:r w:rsidR="008C75CB">
        <w:rPr>
          <w:sz w:val="22"/>
          <w:lang w:val="sk-SK"/>
        </w:rPr>
        <w:t xml:space="preserve"> </w:t>
      </w:r>
      <w:r w:rsidR="008C75CB" w:rsidRPr="00500315">
        <w:rPr>
          <w:sz w:val="22"/>
          <w:lang w:val="sk-SK"/>
        </w:rPr>
        <w:t>sa podáva kontinuálnou subkutánnou infúziou pomocou podkožného katétra s použitím ambulantnej infúznej pumpy</w:t>
      </w:r>
      <w:r w:rsidR="008C75CB">
        <w:rPr>
          <w:sz w:val="22"/>
          <w:lang w:val="sk-SK"/>
        </w:rPr>
        <w:t>.</w:t>
      </w:r>
      <w:r w:rsidR="008C75CB" w:rsidRPr="00500315">
        <w:rPr>
          <w:sz w:val="22"/>
          <w:lang w:val="sk-SK"/>
        </w:rPr>
        <w:t xml:space="preserve"> </w:t>
      </w:r>
    </w:p>
    <w:p w14:paraId="3A4B23B5" w14:textId="0A502DED" w:rsidR="008C75CB" w:rsidRPr="00500315" w:rsidRDefault="008C75CB" w:rsidP="008C75CB">
      <w:pPr>
        <w:pStyle w:val="Text"/>
        <w:spacing w:before="0" w:after="120"/>
        <w:jc w:val="left"/>
        <w:rPr>
          <w:sz w:val="22"/>
          <w:lang w:val="sk-SK"/>
        </w:rPr>
      </w:pPr>
      <w:r w:rsidRPr="00500315">
        <w:rPr>
          <w:sz w:val="22"/>
          <w:lang w:val="sk-SK"/>
        </w:rPr>
        <w:t>Aby sa predišlo potenciálnemu prerušeniu prísunu lie</w:t>
      </w:r>
      <w:r>
        <w:rPr>
          <w:sz w:val="22"/>
          <w:lang w:val="sk-SK"/>
        </w:rPr>
        <w:t>čiva</w:t>
      </w:r>
      <w:r w:rsidRPr="00500315">
        <w:rPr>
          <w:sz w:val="22"/>
          <w:lang w:val="sk-SK"/>
        </w:rPr>
        <w:t>, pacient musí mať prístup k záložnej infúznej pumpe a súprave na podkožnú infúziu pre prípad, že by došlo k náhodnej poruche súpravy na podávanie.</w:t>
      </w:r>
    </w:p>
    <w:p w14:paraId="3EEDF180" w14:textId="1D34EBD3" w:rsidR="008C75CB" w:rsidRPr="00500315" w:rsidRDefault="008C75CB" w:rsidP="00D47CA1">
      <w:pPr>
        <w:pStyle w:val="Text"/>
        <w:spacing w:before="0"/>
        <w:jc w:val="left"/>
        <w:rPr>
          <w:sz w:val="22"/>
          <w:lang w:val="sk-SK"/>
        </w:rPr>
      </w:pPr>
      <w:r w:rsidRPr="00500315">
        <w:rPr>
          <w:sz w:val="22"/>
          <w:lang w:val="sk-SK"/>
        </w:rPr>
        <w:t xml:space="preserve">Ambulantná infúzna pumpa použitá na podávanie nezriedeného </w:t>
      </w:r>
      <w:r w:rsidR="00557A12" w:rsidRPr="00557A12">
        <w:rPr>
          <w:sz w:val="22"/>
          <w:lang w:val="sk-SK"/>
        </w:rPr>
        <w:t>Treprostinil</w:t>
      </w:r>
      <w:r w:rsidR="00EB358E">
        <w:rPr>
          <w:sz w:val="22"/>
          <w:lang w:val="sk-SK"/>
        </w:rPr>
        <w:t>u</w:t>
      </w:r>
      <w:r w:rsidR="00557A12" w:rsidRPr="00557A12">
        <w:rPr>
          <w:sz w:val="22"/>
          <w:lang w:val="sk-SK"/>
        </w:rPr>
        <w:t xml:space="preserve"> Tillomed</w:t>
      </w:r>
      <w:r w:rsidRPr="00500315">
        <w:rPr>
          <w:sz w:val="22"/>
          <w:lang w:val="sk-SK"/>
        </w:rPr>
        <w:t xml:space="preserve"> subkutánne má byť: </w:t>
      </w:r>
    </w:p>
    <w:p w14:paraId="180E0EE7" w14:textId="6CCB2EDB" w:rsidR="008C75CB" w:rsidRPr="00500315" w:rsidRDefault="008C75CB" w:rsidP="00D47CA1">
      <w:pPr>
        <w:pStyle w:val="Text"/>
        <w:spacing w:before="0"/>
        <w:jc w:val="left"/>
        <w:rPr>
          <w:sz w:val="22"/>
          <w:lang w:val="sk-SK"/>
        </w:rPr>
      </w:pPr>
      <w:r w:rsidRPr="00500315">
        <w:rPr>
          <w:sz w:val="22"/>
          <w:lang w:val="sk-SK"/>
        </w:rPr>
        <w:t xml:space="preserve">1) malá a ľahká, </w:t>
      </w:r>
    </w:p>
    <w:p w14:paraId="3952011A" w14:textId="015B8EC1" w:rsidR="008C75CB" w:rsidRPr="00500315" w:rsidRDefault="008C75CB" w:rsidP="00D47CA1">
      <w:pPr>
        <w:pStyle w:val="Text"/>
        <w:spacing w:before="0"/>
        <w:jc w:val="left"/>
        <w:rPr>
          <w:sz w:val="22"/>
          <w:lang w:val="sk-SK"/>
        </w:rPr>
      </w:pPr>
      <w:r w:rsidRPr="00500315">
        <w:rPr>
          <w:sz w:val="22"/>
          <w:lang w:val="sk-SK"/>
        </w:rPr>
        <w:t>2) schopná upravovať rýchlos</w:t>
      </w:r>
      <w:r>
        <w:rPr>
          <w:sz w:val="22"/>
          <w:lang w:val="sk-SK"/>
        </w:rPr>
        <w:t xml:space="preserve">ti </w:t>
      </w:r>
      <w:r w:rsidRPr="00500315">
        <w:rPr>
          <w:sz w:val="22"/>
          <w:lang w:val="sk-SK"/>
        </w:rPr>
        <w:t>infúzie s prírastkami približne o 0,002 ml/hod.,</w:t>
      </w:r>
    </w:p>
    <w:p w14:paraId="36CC7805" w14:textId="3080282E" w:rsidR="008C75CB" w:rsidRPr="00500315" w:rsidRDefault="008C75CB" w:rsidP="00D47CA1">
      <w:pPr>
        <w:pStyle w:val="Text"/>
        <w:spacing w:before="0"/>
        <w:jc w:val="left"/>
        <w:rPr>
          <w:sz w:val="22"/>
          <w:lang w:val="sk-SK"/>
        </w:rPr>
      </w:pPr>
      <w:r w:rsidRPr="00500315">
        <w:rPr>
          <w:sz w:val="22"/>
          <w:lang w:val="sk-SK"/>
        </w:rPr>
        <w:t>3) vybavená zariadením signalizujúcim prerušenie dodávky lieku, vybitie batérie a poplach pri chybe v programe a zlyhaní motora,</w:t>
      </w:r>
    </w:p>
    <w:p w14:paraId="77CF019D" w14:textId="3F922AAE" w:rsidR="008C75CB" w:rsidRDefault="008C75CB" w:rsidP="00D47CA1">
      <w:pPr>
        <w:pStyle w:val="Text"/>
        <w:spacing w:before="0"/>
        <w:jc w:val="left"/>
        <w:rPr>
          <w:sz w:val="22"/>
          <w:lang w:val="sk-SK"/>
        </w:rPr>
      </w:pPr>
      <w:r w:rsidRPr="00500315">
        <w:rPr>
          <w:sz w:val="22"/>
          <w:lang w:val="sk-SK"/>
        </w:rPr>
        <w:t xml:space="preserve">4) presná v rozmedzí +/- 6 % naprogramovanej rýchlosti podávania, </w:t>
      </w:r>
    </w:p>
    <w:p w14:paraId="056AE3C7" w14:textId="6D5FC54D" w:rsidR="008C75CB" w:rsidRDefault="008C75CB" w:rsidP="00D47CA1">
      <w:pPr>
        <w:pStyle w:val="Text"/>
        <w:spacing w:before="0"/>
        <w:jc w:val="left"/>
        <w:rPr>
          <w:sz w:val="22"/>
          <w:lang w:val="sk-SK"/>
        </w:rPr>
      </w:pPr>
      <w:r w:rsidRPr="00500315">
        <w:rPr>
          <w:sz w:val="22"/>
          <w:lang w:val="sk-SK"/>
        </w:rPr>
        <w:t>5) poháňaná pretlakom (nepretržitým alebo pulzačným)</w:t>
      </w:r>
    </w:p>
    <w:p w14:paraId="70B0EF81" w14:textId="77777777" w:rsidR="008C75CB" w:rsidRPr="00500315" w:rsidRDefault="008C75CB" w:rsidP="008C75CB">
      <w:pPr>
        <w:pStyle w:val="Text"/>
        <w:spacing w:before="0" w:after="120"/>
        <w:jc w:val="left"/>
        <w:rPr>
          <w:sz w:val="22"/>
          <w:lang w:val="sk-SK"/>
        </w:rPr>
      </w:pPr>
      <w:r>
        <w:rPr>
          <w:sz w:val="22"/>
          <w:lang w:val="sk-SK"/>
        </w:rPr>
        <w:t>Zásobník</w:t>
      </w:r>
      <w:r w:rsidRPr="00500315">
        <w:rPr>
          <w:sz w:val="22"/>
          <w:lang w:val="sk-SK"/>
        </w:rPr>
        <w:t xml:space="preserve"> musí byť vyrobený z polyvinylchloridu, polypropylénu alebo zo skla.</w:t>
      </w:r>
    </w:p>
    <w:p w14:paraId="2CB43DFB" w14:textId="655E675D" w:rsidR="008C75CB" w:rsidRPr="00500315" w:rsidRDefault="008C75CB" w:rsidP="008C75CB">
      <w:pPr>
        <w:pStyle w:val="Text"/>
        <w:spacing w:before="0" w:after="120"/>
        <w:jc w:val="left"/>
        <w:rPr>
          <w:sz w:val="22"/>
          <w:lang w:val="sk-SK"/>
        </w:rPr>
      </w:pPr>
      <w:r w:rsidRPr="00500315">
        <w:rPr>
          <w:sz w:val="22"/>
          <w:lang w:val="sk-SK"/>
        </w:rPr>
        <w:t>Pacienti musia byť dôkladne zaškolení na používanie a programovanie pumpy a v prip</w:t>
      </w:r>
      <w:r>
        <w:rPr>
          <w:sz w:val="22"/>
          <w:lang w:val="sk-SK"/>
        </w:rPr>
        <w:t>ájaní</w:t>
      </w:r>
      <w:r w:rsidRPr="00500315">
        <w:rPr>
          <w:sz w:val="22"/>
          <w:lang w:val="sk-SK"/>
        </w:rPr>
        <w:t xml:space="preserve">, ako i v údržbe infúznej súpravy. </w:t>
      </w:r>
    </w:p>
    <w:p w14:paraId="22B7701C" w14:textId="71B04734" w:rsidR="008C75CB" w:rsidRPr="00500315" w:rsidRDefault="008C75CB" w:rsidP="008C75CB">
      <w:pPr>
        <w:pStyle w:val="Text"/>
        <w:spacing w:before="0" w:after="120"/>
        <w:jc w:val="left"/>
        <w:rPr>
          <w:sz w:val="22"/>
          <w:lang w:val="sk-SK"/>
        </w:rPr>
      </w:pPr>
      <w:r w:rsidRPr="00500315">
        <w:rPr>
          <w:sz w:val="22"/>
          <w:lang w:val="sk-SK"/>
        </w:rPr>
        <w:t xml:space="preserve">Preplachovanie infúznej hadičky </w:t>
      </w:r>
      <w:r w:rsidRPr="008C18A6">
        <w:rPr>
          <w:sz w:val="22"/>
          <w:szCs w:val="22"/>
          <w:lang w:val="sk-SK"/>
        </w:rPr>
        <w:t>počas</w:t>
      </w:r>
      <w:r w:rsidRPr="001475EA">
        <w:rPr>
          <w:szCs w:val="22"/>
          <w:lang w:val="sk-SK"/>
        </w:rPr>
        <w:t xml:space="preserve"> </w:t>
      </w:r>
      <w:r>
        <w:rPr>
          <w:szCs w:val="22"/>
          <w:lang w:val="sk-SK"/>
        </w:rPr>
        <w:t>pri</w:t>
      </w:r>
      <w:r w:rsidRPr="00500315">
        <w:rPr>
          <w:sz w:val="22"/>
          <w:lang w:val="sk-SK"/>
        </w:rPr>
        <w:t xml:space="preserve">pojenia </w:t>
      </w:r>
      <w:r>
        <w:rPr>
          <w:sz w:val="22"/>
          <w:lang w:val="sk-SK"/>
        </w:rPr>
        <w:t>k</w:t>
      </w:r>
      <w:r w:rsidRPr="00500315">
        <w:rPr>
          <w:sz w:val="22"/>
          <w:lang w:val="sk-SK"/>
        </w:rPr>
        <w:t xml:space="preserve"> pacient</w:t>
      </w:r>
      <w:r>
        <w:rPr>
          <w:sz w:val="22"/>
          <w:lang w:val="sk-SK"/>
        </w:rPr>
        <w:t xml:space="preserve">ovi </w:t>
      </w:r>
      <w:r w:rsidRPr="00500315">
        <w:rPr>
          <w:sz w:val="22"/>
          <w:lang w:val="sk-SK"/>
        </w:rPr>
        <w:t xml:space="preserve">môže vyvolať náhodné predávkovanie.   </w:t>
      </w:r>
    </w:p>
    <w:p w14:paraId="381D478E" w14:textId="2F7E2820" w:rsidR="00AB0F52" w:rsidRPr="005C3240" w:rsidRDefault="008C75CB" w:rsidP="008C75CB">
      <w:pPr>
        <w:rPr>
          <w:bCs/>
          <w:szCs w:val="22"/>
          <w:lang w:val="cs-CZ"/>
        </w:rPr>
      </w:pPr>
      <w:r w:rsidRPr="00500315">
        <w:rPr>
          <w:lang w:val="sk-SK"/>
        </w:rPr>
        <w:t xml:space="preserve">Rýchlosti infúzie </w:t>
      </w:r>
      <w:r w:rsidRPr="00500315">
        <w:rPr>
          <w:lang w:val="sk-SK"/>
        </w:rPr>
        <w:sym w:font="Symbol" w:char="00D1"/>
      </w:r>
      <w:r w:rsidRPr="00500315">
        <w:rPr>
          <w:lang w:val="sk-SK"/>
        </w:rPr>
        <w:t xml:space="preserve"> (v ml/h) sa vypočítajú podľa nasledovného vzorca:</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AB0F52" w:rsidRPr="00DE2E97" w14:paraId="6A0BA645" w14:textId="77777777" w:rsidTr="00AB0F52">
        <w:trPr>
          <w:trHeight w:val="275"/>
        </w:trPr>
        <w:tc>
          <w:tcPr>
            <w:tcW w:w="8616" w:type="dxa"/>
          </w:tcPr>
          <w:p w14:paraId="47BAF311" w14:textId="0AE898B7" w:rsidR="00AB0F52" w:rsidRPr="005C3240" w:rsidRDefault="00AB0F52">
            <w:pPr>
              <w:outlineLvl w:val="0"/>
              <w:rPr>
                <w:bCs/>
                <w:szCs w:val="22"/>
                <w:lang w:val="cs-CZ"/>
              </w:rPr>
            </w:pPr>
            <w:r w:rsidRPr="005C3240">
              <w:rPr>
                <w:rFonts w:ascii="Cambria Math" w:hAnsi="Cambria Math" w:cs="Cambria Math"/>
                <w:bCs/>
                <w:szCs w:val="22"/>
                <w:lang w:val="cs-CZ"/>
              </w:rPr>
              <w:t>∇</w:t>
            </w:r>
            <w:r w:rsidRPr="005C3240">
              <w:rPr>
                <w:bCs/>
                <w:szCs w:val="22"/>
                <w:lang w:val="cs-CZ"/>
              </w:rPr>
              <w:t xml:space="preserve"> (ml/h) = D (ng/kg/min) x W (kg) x [0.00006/</w:t>
            </w:r>
            <w:r w:rsidR="007C3CC4" w:rsidRPr="007C3CC4">
              <w:rPr>
                <w:bCs/>
                <w:szCs w:val="22"/>
                <w:lang w:val="cs-CZ"/>
              </w:rPr>
              <w:t>koncentrácia</w:t>
            </w:r>
            <w:r w:rsidR="000E482A" w:rsidRPr="005C3240">
              <w:rPr>
                <w:bCs/>
                <w:szCs w:val="22"/>
                <w:lang w:val="cs-CZ"/>
              </w:rPr>
              <w:t xml:space="preserve"> treprostinilu </w:t>
            </w:r>
            <w:r w:rsidRPr="005C3240">
              <w:rPr>
                <w:bCs/>
                <w:szCs w:val="22"/>
                <w:lang w:val="cs-CZ"/>
              </w:rPr>
              <w:t>(mg/ml)]</w:t>
            </w:r>
          </w:p>
        </w:tc>
      </w:tr>
    </w:tbl>
    <w:p w14:paraId="182FBFF0" w14:textId="77777777" w:rsidR="00AB0F52" w:rsidRPr="005C3240" w:rsidRDefault="00AB0F52" w:rsidP="002C0CB2">
      <w:pPr>
        <w:rPr>
          <w:lang w:val="cs-CZ"/>
        </w:rPr>
      </w:pPr>
    </w:p>
    <w:p w14:paraId="27F16A02" w14:textId="4B7F0FDA" w:rsidR="00AB0F52" w:rsidRPr="005C3240" w:rsidRDefault="00AB0F52" w:rsidP="00817057">
      <w:pPr>
        <w:spacing w:after="0"/>
        <w:rPr>
          <w:lang w:val="cs-CZ"/>
        </w:rPr>
      </w:pPr>
      <w:r w:rsidRPr="005C3240">
        <w:rPr>
          <w:lang w:val="cs-CZ"/>
        </w:rPr>
        <w:t xml:space="preserve">D = </w:t>
      </w:r>
      <w:r w:rsidR="007C3CC4" w:rsidRPr="007C3CC4">
        <w:rPr>
          <w:lang w:val="cs-CZ"/>
        </w:rPr>
        <w:t>predpísaná dávka vyjadrená v ng/kg/min</w:t>
      </w:r>
    </w:p>
    <w:p w14:paraId="0F9AFD04" w14:textId="2A8F3E0F" w:rsidR="00AB0F52" w:rsidRPr="005C3240" w:rsidRDefault="00AB0F52" w:rsidP="00817057">
      <w:pPr>
        <w:spacing w:after="0"/>
        <w:rPr>
          <w:lang w:val="cs-CZ"/>
        </w:rPr>
      </w:pPr>
      <w:r w:rsidRPr="005C3240">
        <w:rPr>
          <w:lang w:val="cs-CZ"/>
        </w:rPr>
        <w:t xml:space="preserve">W = </w:t>
      </w:r>
      <w:r w:rsidR="007C3CC4" w:rsidRPr="007C3CC4">
        <w:rPr>
          <w:lang w:val="cs-CZ"/>
        </w:rPr>
        <w:t>telesná hmotnosť pacienta vyjadrená v kg</w:t>
      </w:r>
    </w:p>
    <w:p w14:paraId="47A54CB7" w14:textId="2BE3ABD5" w:rsidR="00AB0F52" w:rsidRDefault="005746DE" w:rsidP="00817057">
      <w:pPr>
        <w:spacing w:after="0"/>
        <w:rPr>
          <w:lang w:val="cs-CZ"/>
        </w:rPr>
      </w:pPr>
      <w:r>
        <w:rPr>
          <w:lang w:val="cs-CZ"/>
        </w:rPr>
        <w:t>Treprostinil Tillomed</w:t>
      </w:r>
      <w:r w:rsidR="00AB0F52" w:rsidRPr="005C3240">
        <w:rPr>
          <w:lang w:val="cs-CZ"/>
        </w:rPr>
        <w:t xml:space="preserve"> </w:t>
      </w:r>
      <w:r w:rsidR="00886774" w:rsidRPr="005C3240">
        <w:rPr>
          <w:lang w:val="cs-CZ"/>
        </w:rPr>
        <w:t xml:space="preserve">existuje v </w:t>
      </w:r>
      <w:r w:rsidR="007C3CC4" w:rsidRPr="007C3CC4">
        <w:rPr>
          <w:lang w:val="cs-CZ"/>
        </w:rPr>
        <w:t>koncentráciách</w:t>
      </w:r>
      <w:r w:rsidR="00886774" w:rsidRPr="005C3240">
        <w:rPr>
          <w:lang w:val="cs-CZ"/>
        </w:rPr>
        <w:t xml:space="preserve"> 1; 2,5; 5 a 10 mg/ml.</w:t>
      </w:r>
    </w:p>
    <w:p w14:paraId="5843CB31" w14:textId="77777777" w:rsidR="00677015" w:rsidRPr="005C3240" w:rsidRDefault="00677015" w:rsidP="00817057">
      <w:pPr>
        <w:spacing w:after="0"/>
        <w:rPr>
          <w:lang w:val="cs-CZ"/>
        </w:rPr>
      </w:pPr>
    </w:p>
    <w:p w14:paraId="792AFEDD" w14:textId="36744772" w:rsidR="00EB358E" w:rsidRDefault="007C3CC4" w:rsidP="0060483C">
      <w:pPr>
        <w:rPr>
          <w:lang w:val="sk-SK" w:eastAsia="fr-FR"/>
        </w:rPr>
      </w:pPr>
      <w:r w:rsidRPr="007C3CC4">
        <w:rPr>
          <w:lang w:val="sk-SK" w:eastAsia="fr-FR"/>
        </w:rPr>
        <w:t xml:space="preserve">Pri subkutánnej infúzii sa </w:t>
      </w:r>
      <w:r w:rsidR="00557A12" w:rsidRPr="00557A12">
        <w:rPr>
          <w:lang w:val="sk-SK" w:eastAsia="fr-FR"/>
        </w:rPr>
        <w:t>Treprostinil Tillomed</w:t>
      </w:r>
      <w:r w:rsidRPr="007C3CC4">
        <w:rPr>
          <w:lang w:val="sk-SK" w:eastAsia="fr-FR"/>
        </w:rPr>
        <w:t xml:space="preserve"> </w:t>
      </w:r>
      <w:r w:rsidRPr="007C3CC4">
        <w:rPr>
          <w:b/>
          <w:bCs/>
          <w:lang w:val="sk-SK" w:eastAsia="fr-FR"/>
        </w:rPr>
        <w:t>podáva bez ďalšieho riedenia</w:t>
      </w:r>
      <w:r w:rsidRPr="007C3CC4">
        <w:rPr>
          <w:lang w:val="sk-SK" w:eastAsia="fr-FR"/>
        </w:rPr>
        <w:t xml:space="preserve"> vypočítanou rýchlosťou subkutánnej infúzie (ml/hod.), ktorá je odvodená od pacientovej dávky (ng/kg/min.), hmotnosti (kg) a použitej sily injekčnej liekovky (mg/ml) </w:t>
      </w:r>
      <w:r w:rsidR="00557A12" w:rsidRPr="00557A12">
        <w:rPr>
          <w:lang w:val="sk-SK" w:eastAsia="fr-FR"/>
        </w:rPr>
        <w:t>Treprostinil</w:t>
      </w:r>
      <w:r w:rsidR="00EB358E">
        <w:rPr>
          <w:lang w:val="sk-SK" w:eastAsia="fr-FR"/>
        </w:rPr>
        <w:t>u</w:t>
      </w:r>
      <w:r w:rsidR="00557A12" w:rsidRPr="00557A12">
        <w:rPr>
          <w:lang w:val="sk-SK" w:eastAsia="fr-FR"/>
        </w:rPr>
        <w:t xml:space="preserve"> Tillomed</w:t>
      </w:r>
      <w:r w:rsidRPr="007C3CC4">
        <w:rPr>
          <w:lang w:val="sk-SK" w:eastAsia="fr-FR"/>
        </w:rPr>
        <w:t xml:space="preserve">. </w:t>
      </w:r>
    </w:p>
    <w:p w14:paraId="6DE423C0" w14:textId="5F5AA15F" w:rsidR="0060483C" w:rsidRDefault="007C3CC4" w:rsidP="0060483C">
      <w:pPr>
        <w:rPr>
          <w:szCs w:val="22"/>
          <w:lang w:val="sk-SK" w:eastAsia="fr-FR"/>
        </w:rPr>
      </w:pPr>
      <w:r w:rsidRPr="007C3CC4">
        <w:rPr>
          <w:lang w:val="sk-SK" w:eastAsia="fr-FR"/>
        </w:rPr>
        <w:t xml:space="preserve">Počas podávania sa môže podať jeden zásobník (injekčná striekačka) neriedeného </w:t>
      </w:r>
      <w:r w:rsidR="00557A12" w:rsidRPr="00557A12">
        <w:rPr>
          <w:lang w:val="sk-SK" w:eastAsia="fr-FR"/>
        </w:rPr>
        <w:t>Treprostinil Tillomed</w:t>
      </w:r>
      <w:r w:rsidRPr="007C3CC4">
        <w:rPr>
          <w:lang w:val="sk-SK" w:eastAsia="fr-FR"/>
        </w:rPr>
        <w:t xml:space="preserve"> až do 72 hodín pri 37 </w:t>
      </w:r>
      <w:r w:rsidRPr="007C3CC4">
        <w:rPr>
          <w:lang w:val="sk-SK" w:eastAsia="fr-FR"/>
        </w:rPr>
        <w:sym w:font="Symbol" w:char="00B0"/>
      </w:r>
      <w:r w:rsidRPr="007C3CC4">
        <w:rPr>
          <w:lang w:val="sk-SK" w:eastAsia="fr-FR"/>
        </w:rPr>
        <w:t xml:space="preserve">C. Rýchlosť </w:t>
      </w:r>
      <w:r w:rsidRPr="007C3CC4">
        <w:rPr>
          <w:u w:val="single"/>
          <w:lang w:val="sk-SK" w:eastAsia="fr-FR"/>
        </w:rPr>
        <w:t>subkutánnej infúzie</w:t>
      </w:r>
      <w:r w:rsidRPr="007C3CC4">
        <w:rPr>
          <w:lang w:val="sk-SK" w:eastAsia="fr-FR"/>
        </w:rPr>
        <w:t xml:space="preserve"> sa vypočíta pomocou nasledovného vzorca</w:t>
      </w:r>
      <w:r w:rsidRPr="007C3CC4">
        <w:rPr>
          <w:szCs w:val="22"/>
          <w:lang w:val="sk-SK" w:eastAsia="fr-FR"/>
        </w:rPr>
        <w:t>:</w:t>
      </w:r>
    </w:p>
    <w:p w14:paraId="16C78B20" w14:textId="55757613" w:rsidR="00776C76" w:rsidRPr="005C3240" w:rsidRDefault="00EB358E" w:rsidP="00AB0F52">
      <w:pPr>
        <w:rPr>
          <w:b/>
          <w:lang w:val="cs-CZ"/>
        </w:rPr>
      </w:pPr>
      <w:r w:rsidRPr="005C3240">
        <w:rPr>
          <w:b/>
          <w:noProof/>
          <w:lang w:val="sk-SK" w:eastAsia="sk-SK"/>
        </w:rPr>
        <mc:AlternateContent>
          <mc:Choice Requires="wpg">
            <w:drawing>
              <wp:anchor distT="0" distB="0" distL="114300" distR="114300" simplePos="0" relativeHeight="251659264" behindDoc="0" locked="0" layoutInCell="1" allowOverlap="1" wp14:anchorId="0903117D" wp14:editId="5D13B069">
                <wp:simplePos x="0" y="0"/>
                <wp:positionH relativeFrom="column">
                  <wp:posOffset>-133095</wp:posOffset>
                </wp:positionH>
                <wp:positionV relativeFrom="paragraph">
                  <wp:posOffset>8855</wp:posOffset>
                </wp:positionV>
                <wp:extent cx="5464175" cy="583565"/>
                <wp:effectExtent l="0" t="0" r="3175" b="6985"/>
                <wp:wrapTopAndBottom/>
                <wp:docPr id="7" name="Gruppieren 7"/>
                <wp:cNvGraphicFramePr/>
                <a:graphic xmlns:a="http://schemas.openxmlformats.org/drawingml/2006/main">
                  <a:graphicData uri="http://schemas.microsoft.com/office/word/2010/wordprocessingGroup">
                    <wpg:wgp>
                      <wpg:cNvGrpSpPr/>
                      <wpg:grpSpPr>
                        <a:xfrm>
                          <a:off x="0" y="0"/>
                          <a:ext cx="5464175" cy="583565"/>
                          <a:chOff x="-126696" y="-785"/>
                          <a:chExt cx="5464417" cy="583576"/>
                        </a:xfrm>
                      </wpg:grpSpPr>
                      <wpg:grpSp>
                        <wpg:cNvPr id="5" name="Gruppieren 5"/>
                        <wpg:cNvGrpSpPr/>
                        <wpg:grpSpPr>
                          <a:xfrm>
                            <a:off x="-126696" y="-785"/>
                            <a:ext cx="5464417" cy="583576"/>
                            <a:chOff x="-126702" y="-786"/>
                            <a:chExt cx="5464601" cy="584204"/>
                          </a:xfrm>
                        </wpg:grpSpPr>
                        <wps:wsp>
                          <wps:cNvPr id="217" name="Textfeld 2"/>
                          <wps:cNvSpPr txBox="1">
                            <a:spLocks noChangeArrowheads="1"/>
                          </wps:cNvSpPr>
                          <wps:spPr bwMode="auto">
                            <a:xfrm>
                              <a:off x="-126702" y="129612"/>
                              <a:ext cx="2488013" cy="338183"/>
                            </a:xfrm>
                            <a:prstGeom prst="rect">
                              <a:avLst/>
                            </a:prstGeom>
                            <a:solidFill>
                              <a:srgbClr val="FFFFFF"/>
                            </a:solidFill>
                            <a:ln w="9525">
                              <a:noFill/>
                              <a:miter lim="800000"/>
                              <a:headEnd/>
                              <a:tailEnd/>
                            </a:ln>
                          </wps:spPr>
                          <wps:txbx>
                            <w:txbxContent>
                              <w:p w14:paraId="72322162" w14:textId="2257AFDE" w:rsidR="00EB358E" w:rsidRPr="00D448E7" w:rsidRDefault="00EB358E"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2" name="Textfeld 2"/>
                          <wps:cNvSpPr txBox="1">
                            <a:spLocks noChangeArrowheads="1"/>
                          </wps:cNvSpPr>
                          <wps:spPr bwMode="auto">
                            <a:xfrm>
                              <a:off x="2294876" y="-786"/>
                              <a:ext cx="3043023" cy="338182"/>
                            </a:xfrm>
                            <a:prstGeom prst="rect">
                              <a:avLst/>
                            </a:prstGeom>
                            <a:solidFill>
                              <a:srgbClr val="FFFFFF"/>
                            </a:solidFill>
                            <a:ln w="9525">
                              <a:noFill/>
                              <a:miter lim="800000"/>
                              <a:headEnd/>
                              <a:tailEnd/>
                            </a:ln>
                          </wps:spPr>
                          <wps:txbx>
                            <w:txbxContent>
                              <w:p w14:paraId="583E39CD" w14:textId="451DCECB" w:rsidR="00EB358E" w:rsidRPr="005243A3" w:rsidRDefault="00EB358E"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wps:txbx>
                          <wps:bodyPr rot="0" vert="horz" wrap="square" lIns="91440" tIns="45720" rIns="91440" bIns="45720" anchor="t" anchorCtr="0">
                            <a:spAutoFit/>
                          </wps:bodyPr>
                        </wps:wsp>
                        <wps:wsp>
                          <wps:cNvPr id="3" name="Textfeld 3"/>
                          <wps:cNvSpPr txBox="1">
                            <a:spLocks noChangeArrowheads="1"/>
                          </wps:cNvSpPr>
                          <wps:spPr bwMode="auto">
                            <a:xfrm>
                              <a:off x="2333286" y="245235"/>
                              <a:ext cx="2965549" cy="338183"/>
                            </a:xfrm>
                            <a:prstGeom prst="rect">
                              <a:avLst/>
                            </a:prstGeom>
                            <a:solidFill>
                              <a:srgbClr val="FFFFFF"/>
                            </a:solidFill>
                            <a:ln w="9525">
                              <a:noFill/>
                              <a:miter lim="800000"/>
                              <a:headEnd/>
                              <a:tailEnd/>
                            </a:ln>
                          </wps:spPr>
                          <wps:txbx>
                            <w:txbxContent>
                              <w:p w14:paraId="349F162C" w14:textId="1DB0D6CB" w:rsidR="00EB358E" w:rsidRPr="007C3CC4" w:rsidRDefault="00EB358E"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wps:txbx>
                          <wps:bodyPr rot="0" vert="horz" wrap="square" lIns="91440" tIns="45720" rIns="91440" bIns="45720" anchor="t" anchorCtr="0">
                            <a:spAutoFit/>
                          </wps:bodyPr>
                        </wps:wsp>
                      </wpg:grpSp>
                      <wps:wsp>
                        <wps:cNvPr id="6" name="Gerader Verbinder 6"/>
                        <wps:cNvCnPr/>
                        <wps:spPr>
                          <a:xfrm>
                            <a:off x="2333767" y="259308"/>
                            <a:ext cx="2911875" cy="16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3117D" id="Gruppieren 7" o:spid="_x0000_s1026" style="position:absolute;left:0;text-align:left;margin-left:-10.5pt;margin-top:.7pt;width:430.25pt;height:45.95pt;z-index:251659264;mso-width-relative:margin;mso-height-relative:margin" coordorigin="-1266,-7" coordsize="54644,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">
                <v:group id="Gruppieren 5" o:spid="_x0000_s1027" style="position:absolute;left:-1266;top:-7;width:54643;height:5834" coordorigin="-1267,-7" coordsize="54646,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feld 2" o:spid="_x0000_s1028" type="#_x0000_t202" style="position:absolute;left:-1267;top:1296;width:2488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2322162" w14:textId="2257AFDE" w:rsidR="00EB358E" w:rsidRPr="00D448E7" w:rsidRDefault="00EB358E"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29" type="#_x0000_t202" style="position:absolute;left:22948;top:-7;width:30430;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583E39CD" w14:textId="451DCECB" w:rsidR="00EB358E" w:rsidRPr="005243A3" w:rsidRDefault="00EB358E"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v:textbox>
                  </v:shape>
                  <v:shape id="Textfeld 3" o:spid="_x0000_s1030" type="#_x0000_t202" style="position:absolute;left:23332;top:2452;width:2965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349F162C" w14:textId="1DB0D6CB" w:rsidR="00EB358E" w:rsidRPr="007C3CC4" w:rsidRDefault="00EB358E"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v:textbox>
                  </v:shape>
                </v:group>
                <v:line id="Gerader Verbinder 6" o:spid="_x0000_s1031" style="position:absolute;visibility:visible;mso-wrap-style:square" from="23337,2593" to="52456,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w10:wrap type="topAndBottom"/>
              </v:group>
            </w:pict>
          </mc:Fallback>
        </mc:AlternateContent>
      </w:r>
    </w:p>
    <w:p w14:paraId="2013AA20" w14:textId="77777777" w:rsidR="00776C76" w:rsidRPr="005C3240" w:rsidRDefault="00776C76" w:rsidP="00AB0F52">
      <w:pPr>
        <w:rPr>
          <w:i/>
          <w:iCs/>
          <w:lang w:val="cs-CZ"/>
        </w:rPr>
      </w:pPr>
    </w:p>
    <w:p w14:paraId="5B11047E" w14:textId="4746EA0D" w:rsidR="00C86260" w:rsidRDefault="00C86260" w:rsidP="00C86260">
      <w:pPr>
        <w:rPr>
          <w:i/>
          <w:lang w:val="cs-CZ"/>
        </w:rPr>
      </w:pPr>
      <w:r w:rsidRPr="005C3240">
        <w:rPr>
          <w:i/>
          <w:lang w:val="cs-CZ"/>
        </w:rPr>
        <w:t xml:space="preserve">* </w:t>
      </w:r>
      <w:r w:rsidR="000522F8" w:rsidRPr="005C3240">
        <w:rPr>
          <w:i/>
          <w:lang w:val="cs-CZ"/>
        </w:rPr>
        <w:t>Konverzn</w:t>
      </w:r>
      <w:r w:rsidR="0006360B">
        <w:rPr>
          <w:i/>
          <w:lang w:val="cs-CZ"/>
        </w:rPr>
        <w:t>ý</w:t>
      </w:r>
      <w:r w:rsidR="000522F8" w:rsidRPr="005C3240">
        <w:rPr>
          <w:i/>
          <w:lang w:val="cs-CZ"/>
        </w:rPr>
        <w:t xml:space="preserve"> faktor </w:t>
      </w:r>
      <w:r w:rsidRPr="005C3240">
        <w:rPr>
          <w:i/>
          <w:lang w:val="cs-CZ"/>
        </w:rPr>
        <w:t>0</w:t>
      </w:r>
      <w:r w:rsidR="000522F8" w:rsidRPr="005C3240">
        <w:rPr>
          <w:i/>
          <w:lang w:val="cs-CZ"/>
        </w:rPr>
        <w:t>,</w:t>
      </w:r>
      <w:r w:rsidRPr="005C3240">
        <w:rPr>
          <w:i/>
          <w:lang w:val="cs-CZ"/>
        </w:rPr>
        <w:t>00006 = 60 min/h</w:t>
      </w:r>
      <w:r w:rsidR="000522F8" w:rsidRPr="005C3240">
        <w:rPr>
          <w:i/>
          <w:lang w:val="cs-CZ"/>
        </w:rPr>
        <w:t>odina</w:t>
      </w:r>
      <w:r w:rsidRPr="005C3240">
        <w:rPr>
          <w:i/>
          <w:lang w:val="cs-CZ"/>
        </w:rPr>
        <w:t xml:space="preserve"> x 0.000001 mg/ng</w:t>
      </w:r>
    </w:p>
    <w:p w14:paraId="068DC234" w14:textId="77777777" w:rsidR="00EB358E" w:rsidRPr="005C3240" w:rsidRDefault="00EB358E" w:rsidP="00C86260">
      <w:pPr>
        <w:rPr>
          <w:i/>
          <w:lang w:val="cs-CZ"/>
        </w:rPr>
      </w:pPr>
    </w:p>
    <w:p w14:paraId="3753107E" w14:textId="5DAF5765" w:rsidR="00C86260" w:rsidRDefault="00080F42" w:rsidP="00C86260">
      <w:pPr>
        <w:rPr>
          <w:iCs/>
          <w:lang w:val="sk-SK" w:eastAsia="fr-FR"/>
        </w:rPr>
      </w:pPr>
      <w:r w:rsidRPr="00080F42">
        <w:rPr>
          <w:iCs/>
          <w:lang w:val="sk-SK" w:eastAsia="fr-FR"/>
        </w:rPr>
        <w:t xml:space="preserve">Príklady výpočtov pre </w:t>
      </w:r>
      <w:r w:rsidRPr="00080F42">
        <w:rPr>
          <w:b/>
          <w:bCs/>
          <w:i/>
          <w:iCs/>
          <w:lang w:val="sk-SK" w:eastAsia="fr-FR"/>
        </w:rPr>
        <w:t xml:space="preserve">subkutánne infúzie </w:t>
      </w:r>
      <w:r w:rsidRPr="00080F42">
        <w:rPr>
          <w:bCs/>
          <w:iCs/>
          <w:lang w:val="sk-SK" w:eastAsia="fr-FR"/>
        </w:rPr>
        <w:t>sú nasledovné</w:t>
      </w:r>
      <w:r w:rsidRPr="00080F42">
        <w:rPr>
          <w:iCs/>
          <w:lang w:val="sk-SK" w:eastAsia="fr-FR"/>
        </w:rPr>
        <w:t>:</w:t>
      </w:r>
    </w:p>
    <w:p w14:paraId="2AB8B26E" w14:textId="77777777" w:rsidR="00EB358E" w:rsidRPr="005C3240" w:rsidRDefault="00EB358E" w:rsidP="00C86260">
      <w:pPr>
        <w:rPr>
          <w:lang w:val="cs-CZ"/>
        </w:rPr>
      </w:pPr>
    </w:p>
    <w:p w14:paraId="71EF9A84" w14:textId="2F279FFE" w:rsidR="00103AFE" w:rsidRPr="005C3240" w:rsidRDefault="00080F42" w:rsidP="00103AFE">
      <w:pPr>
        <w:rPr>
          <w:b/>
          <w:u w:val="single"/>
          <w:lang w:val="cs-CZ"/>
        </w:rPr>
      </w:pPr>
      <w:r w:rsidRPr="00080F42">
        <w:rPr>
          <w:b/>
          <w:u w:val="single"/>
          <w:lang w:val="cs-CZ"/>
        </w:rPr>
        <w:t>1. príklad</w:t>
      </w:r>
      <w:r w:rsidR="00103AFE" w:rsidRPr="005C3240">
        <w:rPr>
          <w:b/>
          <w:u w:val="single"/>
          <w:lang w:val="cs-CZ"/>
        </w:rPr>
        <w:t>:</w:t>
      </w:r>
    </w:p>
    <w:p w14:paraId="14075C13" w14:textId="78171AAE" w:rsidR="00103AFE" w:rsidRPr="005C3240" w:rsidRDefault="00080F42" w:rsidP="00103AFE">
      <w:pPr>
        <w:rPr>
          <w:bCs/>
          <w:lang w:val="cs-CZ"/>
        </w:rPr>
      </w:pPr>
      <w:r w:rsidRPr="00080F42">
        <w:rPr>
          <w:bCs/>
          <w:lang w:val="cs-CZ"/>
        </w:rPr>
        <w:t xml:space="preserve">Pre osobu s telesnou hmotnosťou 60 kg s odporúčanou úvodnou dávkou 1,25 ng/kg/min. sa pri použití sily injekčnej liekovky </w:t>
      </w:r>
      <w:bookmarkStart w:id="1" w:name="_Hlk42672038"/>
      <w:r w:rsidRPr="00080F42">
        <w:rPr>
          <w:bCs/>
          <w:lang w:val="cs-CZ"/>
        </w:rPr>
        <w:t xml:space="preserve">s treprostinilom o sile </w:t>
      </w:r>
      <w:bookmarkEnd w:id="1"/>
      <w:r w:rsidRPr="00080F42">
        <w:rPr>
          <w:bCs/>
          <w:lang w:val="cs-CZ"/>
        </w:rPr>
        <w:t>1 mg/ml bude rýchlosť infúzie počítať nasledovne:</w:t>
      </w:r>
    </w:p>
    <w:p w14:paraId="22F129CE" w14:textId="026F8DE9" w:rsidR="00103AFE" w:rsidRPr="005C3240" w:rsidRDefault="00776C76" w:rsidP="00103AFE">
      <w:pPr>
        <w:rPr>
          <w:lang w:val="cs-CZ"/>
        </w:rPr>
      </w:pPr>
      <w:r w:rsidRPr="005C3240">
        <w:rPr>
          <w:b/>
          <w:noProof/>
          <w:lang w:val="sk-SK" w:eastAsia="sk-SK"/>
        </w:rPr>
        <mc:AlternateContent>
          <mc:Choice Requires="wpg">
            <w:drawing>
              <wp:anchor distT="0" distB="0" distL="114300" distR="114300" simplePos="0" relativeHeight="251661312" behindDoc="0" locked="0" layoutInCell="1" allowOverlap="1" wp14:anchorId="667C9E2D" wp14:editId="4C05BE2C">
                <wp:simplePos x="0" y="0"/>
                <wp:positionH relativeFrom="column">
                  <wp:posOffset>-165735</wp:posOffset>
                </wp:positionH>
                <wp:positionV relativeFrom="paragraph">
                  <wp:posOffset>0</wp:posOffset>
                </wp:positionV>
                <wp:extent cx="5568316" cy="575946"/>
                <wp:effectExtent l="0" t="0" r="0" b="0"/>
                <wp:wrapNone/>
                <wp:docPr id="1" name="Gruppieren 7"/>
                <wp:cNvGraphicFramePr/>
                <a:graphic xmlns:a="http://schemas.openxmlformats.org/drawingml/2006/main">
                  <a:graphicData uri="http://schemas.microsoft.com/office/word/2010/wordprocessingGroup">
                    <wpg:wgp>
                      <wpg:cNvGrpSpPr/>
                      <wpg:grpSpPr>
                        <a:xfrm>
                          <a:off x="0" y="0"/>
                          <a:ext cx="5568316" cy="575946"/>
                          <a:chOff x="-126696" y="6824"/>
                          <a:chExt cx="5568316" cy="575946"/>
                        </a:xfrm>
                      </wpg:grpSpPr>
                      <wpg:grpSp>
                        <wpg:cNvPr id="4" name="Gruppieren 5"/>
                        <wpg:cNvGrpSpPr/>
                        <wpg:grpSpPr>
                          <a:xfrm>
                            <a:off x="-126696" y="6824"/>
                            <a:ext cx="5568316" cy="575946"/>
                            <a:chOff x="-126701" y="6831"/>
                            <a:chExt cx="5568503" cy="576566"/>
                          </a:xfrm>
                        </wpg:grpSpPr>
                        <wps:wsp>
                          <wps:cNvPr id="8" name="Textfeld 2"/>
                          <wps:cNvSpPr txBox="1">
                            <a:spLocks noChangeArrowheads="1"/>
                          </wps:cNvSpPr>
                          <wps:spPr bwMode="auto">
                            <a:xfrm>
                              <a:off x="-126701" y="129596"/>
                              <a:ext cx="2488648" cy="338183"/>
                            </a:xfrm>
                            <a:prstGeom prst="rect">
                              <a:avLst/>
                            </a:prstGeom>
                            <a:solidFill>
                              <a:srgbClr val="FFFFFF"/>
                            </a:solidFill>
                            <a:ln w="9525">
                              <a:noFill/>
                              <a:miter lim="800000"/>
                              <a:headEnd/>
                              <a:tailEnd/>
                            </a:ln>
                          </wps:spPr>
                          <wps:txbx>
                            <w:txbxContent>
                              <w:p w14:paraId="09C865C7" w14:textId="61C01E4F" w:rsidR="00EB358E" w:rsidRPr="00D448E7" w:rsidRDefault="00EB358E"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9"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43DBA567" w14:textId="340CBF12" w:rsidR="00EB358E" w:rsidRPr="005243A3" w:rsidRDefault="00EB358E"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wps:txbx>
                          <wps:bodyPr rot="0" vert="horz" wrap="square" lIns="91440" tIns="45720" rIns="91440" bIns="45720" anchor="t" anchorCtr="0">
                            <a:spAutoFit/>
                          </wps:bodyPr>
                        </wps:wsp>
                        <wps:wsp>
                          <wps:cNvPr id="10"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34DD0C1A" w14:textId="36F6093B" w:rsidR="00EB358E" w:rsidRPr="00D448E7" w:rsidRDefault="00EB358E" w:rsidP="005E5B9A">
                                <w:pPr>
                                  <w:jc w:val="center"/>
                                </w:pPr>
                                <w:r>
                                  <w:rPr>
                                    <w:b/>
                                    <w:lang w:val="en-US"/>
                                  </w:rPr>
                                  <w:t>1</w:t>
                                </w:r>
                                <w:r w:rsidRPr="00B75714">
                                  <w:rPr>
                                    <w:lang w:val="en-US"/>
                                  </w:rPr>
                                  <w:t xml:space="preserve"> mg/ml</w:t>
                                </w:r>
                              </w:p>
                            </w:txbxContent>
                          </wps:txbx>
                          <wps:bodyPr rot="0" vert="horz" wrap="square" lIns="91440" tIns="45720" rIns="91440" bIns="45720" anchor="t" anchorCtr="0">
                            <a:spAutoFit/>
                          </wps:bodyPr>
                        </wps:wsp>
                      </wpg:grpSp>
                      <wps:wsp>
                        <wps:cNvPr id="11"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7C9E2D" id="_x0000_s1032" style="position:absolute;left:0;text-align:left;margin-left:-13.05pt;margin-top:0;width:438.45pt;height:45.35pt;z-index:251661312;mso-width-relative:margin;mso-height-relative:margin" coordorigin="-1266,68" coordsize="55683,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">
                <v:group id="Gruppieren 5" o:spid="_x0000_s1033" style="position:absolute;left:-1266;top:68;width:55682;height:5759" coordorigin="-1267,68" coordsize="55685,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feld 2" o:spid="_x0000_s1034" type="#_x0000_t202" style="position:absolute;left:-1267;top:1295;width:2488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9C865C7" w14:textId="61C01E4F" w:rsidR="00EB358E" w:rsidRPr="00D448E7" w:rsidRDefault="00EB358E"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35"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43DBA567" w14:textId="340CBF12" w:rsidR="00EB358E" w:rsidRPr="005243A3" w:rsidRDefault="00EB358E"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v:textbox>
                  </v:shape>
                  <v:shape id="Textfeld 3" o:spid="_x0000_s1036"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34DD0C1A" w14:textId="36F6093B" w:rsidR="00EB358E" w:rsidRPr="00D448E7" w:rsidRDefault="00EB358E" w:rsidP="005E5B9A">
                          <w:pPr>
                            <w:jc w:val="center"/>
                          </w:pPr>
                          <w:r>
                            <w:rPr>
                              <w:b/>
                              <w:lang w:val="en-US"/>
                            </w:rPr>
                            <w:t>1</w:t>
                          </w:r>
                          <w:r w:rsidRPr="00B75714">
                            <w:rPr>
                              <w:lang w:val="en-US"/>
                            </w:rPr>
                            <w:t xml:space="preserve"> mg/ml</w:t>
                          </w:r>
                        </w:p>
                      </w:txbxContent>
                    </v:textbox>
                  </v:shape>
                </v:group>
                <v:line id="Gerader Verbinder 6" o:spid="_x0000_s1037"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" strokecolor="black [3213]" strokeweight="1pt">
                  <v:stroke joinstyle="miter"/>
                </v:line>
              </v:group>
            </w:pict>
          </mc:Fallback>
        </mc:AlternateContent>
      </w:r>
    </w:p>
    <w:p w14:paraId="22508CF4" w14:textId="073C2092" w:rsidR="00776C76" w:rsidRPr="005C3240" w:rsidRDefault="00776C76" w:rsidP="00103AFE">
      <w:pPr>
        <w:rPr>
          <w:lang w:val="cs-CZ"/>
        </w:rPr>
      </w:pPr>
    </w:p>
    <w:p w14:paraId="28BA2FCC" w14:textId="77777777" w:rsidR="00776C76" w:rsidRPr="005C3240" w:rsidRDefault="00776C76" w:rsidP="00103AFE">
      <w:pPr>
        <w:rPr>
          <w:lang w:val="cs-CZ"/>
        </w:rPr>
      </w:pPr>
    </w:p>
    <w:p w14:paraId="7DF2B9D4" w14:textId="0AA1FFA7" w:rsidR="00103AFE" w:rsidRDefault="00B6380A" w:rsidP="00103AFE">
      <w:pPr>
        <w:rPr>
          <w:b/>
          <w:u w:val="single"/>
          <w:lang w:val="cs-CZ"/>
        </w:rPr>
      </w:pPr>
      <w:r>
        <w:rPr>
          <w:b/>
          <w:u w:val="single"/>
          <w:lang w:val="cs-CZ"/>
        </w:rPr>
        <w:t>2</w:t>
      </w:r>
      <w:r w:rsidRPr="00B6380A">
        <w:rPr>
          <w:b/>
          <w:u w:val="single"/>
          <w:lang w:val="cs-CZ"/>
        </w:rPr>
        <w:t>. príklad:</w:t>
      </w:r>
    </w:p>
    <w:p w14:paraId="03D96D68" w14:textId="77777777" w:rsidR="00EB358E" w:rsidRPr="005C3240" w:rsidRDefault="00EB358E" w:rsidP="00103AFE">
      <w:pPr>
        <w:rPr>
          <w:b/>
          <w:bCs/>
          <w:u w:val="single"/>
          <w:lang w:val="cs-CZ"/>
        </w:rPr>
      </w:pPr>
    </w:p>
    <w:p w14:paraId="283E1BFC" w14:textId="5F9D513C" w:rsidR="00072E71" w:rsidRPr="005C3240" w:rsidRDefault="00B6380A" w:rsidP="00072E71">
      <w:pPr>
        <w:rPr>
          <w:lang w:val="cs-CZ"/>
        </w:rPr>
      </w:pPr>
      <w:r w:rsidRPr="00B6380A">
        <w:rPr>
          <w:szCs w:val="22"/>
          <w:lang w:val="cs-CZ"/>
        </w:rPr>
        <w:t>Pre osobu s telesnou hmotnosťou 65 kg s dávkou 40 ng/kg/min sa pri použití sily injekčnej liekovky s treprostinilom o sile 5 mg/ml bude rýchlosť infúzie počítať nasledovne:</w:t>
      </w:r>
    </w:p>
    <w:p w14:paraId="0851CE99" w14:textId="172AB06A" w:rsidR="00072E71" w:rsidRPr="005C3240" w:rsidRDefault="00776C76" w:rsidP="00072E71">
      <w:pPr>
        <w:rPr>
          <w:lang w:val="cs-CZ"/>
        </w:rPr>
      </w:pPr>
      <w:r w:rsidRPr="005C3240">
        <w:rPr>
          <w:b/>
          <w:noProof/>
          <w:lang w:val="sk-SK" w:eastAsia="sk-SK"/>
        </w:rPr>
        <mc:AlternateContent>
          <mc:Choice Requires="wpg">
            <w:drawing>
              <wp:anchor distT="0" distB="0" distL="114300" distR="114300" simplePos="0" relativeHeight="251663360" behindDoc="0" locked="0" layoutInCell="1" allowOverlap="1" wp14:anchorId="5324114A" wp14:editId="2CD1026B">
                <wp:simplePos x="0" y="0"/>
                <wp:positionH relativeFrom="margin">
                  <wp:posOffset>-58380</wp:posOffset>
                </wp:positionH>
                <wp:positionV relativeFrom="paragraph">
                  <wp:posOffset>248527</wp:posOffset>
                </wp:positionV>
                <wp:extent cx="5568316" cy="697286"/>
                <wp:effectExtent l="0" t="0" r="0" b="7620"/>
                <wp:wrapNone/>
                <wp:docPr id="12" name="Gruppieren 7"/>
                <wp:cNvGraphicFramePr/>
                <a:graphic xmlns:a="http://schemas.openxmlformats.org/drawingml/2006/main">
                  <a:graphicData uri="http://schemas.microsoft.com/office/word/2010/wordprocessingGroup">
                    <wpg:wgp>
                      <wpg:cNvGrpSpPr/>
                      <wpg:grpSpPr>
                        <a:xfrm>
                          <a:off x="0" y="0"/>
                          <a:ext cx="5568316" cy="697286"/>
                          <a:chOff x="-126696" y="6824"/>
                          <a:chExt cx="5568316" cy="697286"/>
                        </a:xfrm>
                      </wpg:grpSpPr>
                      <wpg:grpSp>
                        <wpg:cNvPr id="13" name="Gruppieren 5"/>
                        <wpg:cNvGrpSpPr/>
                        <wpg:grpSpPr>
                          <a:xfrm>
                            <a:off x="-126696" y="6824"/>
                            <a:ext cx="5568316" cy="697286"/>
                            <a:chOff x="-126702" y="6831"/>
                            <a:chExt cx="5568504" cy="698037"/>
                          </a:xfrm>
                        </wpg:grpSpPr>
                        <wps:wsp>
                          <wps:cNvPr id="14" name="Textfeld 2"/>
                          <wps:cNvSpPr txBox="1">
                            <a:spLocks noChangeArrowheads="1"/>
                          </wps:cNvSpPr>
                          <wps:spPr bwMode="auto">
                            <a:xfrm>
                              <a:off x="-126702" y="129575"/>
                              <a:ext cx="2488648" cy="575293"/>
                            </a:xfrm>
                            <a:prstGeom prst="rect">
                              <a:avLst/>
                            </a:prstGeom>
                            <a:solidFill>
                              <a:srgbClr val="FFFFFF"/>
                            </a:solidFill>
                            <a:ln w="9525">
                              <a:noFill/>
                              <a:miter lim="800000"/>
                              <a:headEnd/>
                              <a:tailEnd/>
                            </a:ln>
                          </wps:spPr>
                          <wps:txbx>
                            <w:txbxContent>
                              <w:p w14:paraId="3547417A" w14:textId="0F5F0EFB" w:rsidR="00EB358E" w:rsidRPr="00D448E7" w:rsidRDefault="00EB358E"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EB358E" w:rsidRPr="00D448E7" w:rsidRDefault="00EB358E" w:rsidP="00776C76">
                                <w:r w:rsidRPr="00571FA0">
                                  <w:rPr>
                                    <w:b/>
                                    <w:lang w:val="en-US"/>
                                  </w:rPr>
                                  <w:t xml:space="preserve">   </w:t>
                                </w:r>
                              </w:p>
                            </w:txbxContent>
                          </wps:txbx>
                          <wps:bodyPr rot="0" vert="horz" wrap="square" lIns="91440" tIns="45720" rIns="91440" bIns="45720" anchor="t" anchorCtr="0">
                            <a:spAutoFit/>
                          </wps:bodyPr>
                        </wps:wsp>
                        <wps:wsp>
                          <wps:cNvPr id="15"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739EFC7A" w14:textId="61752ACC" w:rsidR="00EB358E" w:rsidRPr="005243A3" w:rsidRDefault="00EB358E"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wps:txbx>
                          <wps:bodyPr rot="0" vert="horz" wrap="square" lIns="91440" tIns="45720" rIns="91440" bIns="45720" anchor="t" anchorCtr="0">
                            <a:spAutoFit/>
                          </wps:bodyPr>
                        </wps:wsp>
                        <wps:wsp>
                          <wps:cNvPr id="16"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42CC4FEE" w14:textId="60EE2A71" w:rsidR="00EB358E" w:rsidRPr="00D448E7" w:rsidRDefault="00EB358E" w:rsidP="005E5B9A">
                                <w:pPr>
                                  <w:jc w:val="center"/>
                                </w:pPr>
                                <w:r>
                                  <w:rPr>
                                    <w:b/>
                                    <w:lang w:val="en-US"/>
                                  </w:rPr>
                                  <w:t>5</w:t>
                                </w:r>
                                <w:r w:rsidRPr="00B75714">
                                  <w:rPr>
                                    <w:lang w:val="en-US"/>
                                  </w:rPr>
                                  <w:t xml:space="preserve"> mg/ml</w:t>
                                </w:r>
                              </w:p>
                            </w:txbxContent>
                          </wps:txbx>
                          <wps:bodyPr rot="0" vert="horz" wrap="square" lIns="91440" tIns="45720" rIns="91440" bIns="45720" anchor="t" anchorCtr="0">
                            <a:spAutoFit/>
                          </wps:bodyPr>
                        </wps:wsp>
                      </wpg:grpSp>
                      <wps:wsp>
                        <wps:cNvPr id="17"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24114A" id="_x0000_s1038" style="position:absolute;left:0;text-align:left;margin-left:-4.6pt;margin-top:19.55pt;width:438.45pt;height:54.9pt;z-index:251663360;mso-position-horizontal-relative:margin;mso-width-relative:margin;mso-height-relative:margin" coordorigin="-1266,68" coordsize="55683,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">
                <v:group id="Gruppieren 5" o:spid="_x0000_s1039" style="position:absolute;left:-1266;top:68;width:55682;height:6973" coordorigin="-1267,68" coordsize="55685,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feld 2" o:spid="_x0000_s1040" type="#_x0000_t202" style="position:absolute;left:-1267;top:1295;width:24886;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3547417A" w14:textId="0F5F0EFB" w:rsidR="00EB358E" w:rsidRPr="00D448E7" w:rsidRDefault="00EB358E"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EB358E" w:rsidRPr="00D448E7" w:rsidRDefault="00EB358E" w:rsidP="00776C76">
                          <w:r w:rsidRPr="00571FA0">
                            <w:rPr>
                              <w:b/>
                              <w:lang w:val="en-US"/>
                            </w:rPr>
                            <w:t xml:space="preserve">   </w:t>
                          </w:r>
                        </w:p>
                      </w:txbxContent>
                    </v:textbox>
                  </v:shape>
                  <v:shape id="Textfeld 2" o:spid="_x0000_s1041"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739EFC7A" w14:textId="61752ACC" w:rsidR="00EB358E" w:rsidRPr="005243A3" w:rsidRDefault="00EB358E"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v:textbox>
                  </v:shape>
                  <v:shape id="Textfeld 3" o:spid="_x0000_s1042"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2CC4FEE" w14:textId="60EE2A71" w:rsidR="00EB358E" w:rsidRPr="00D448E7" w:rsidRDefault="00EB358E" w:rsidP="005E5B9A">
                          <w:pPr>
                            <w:jc w:val="center"/>
                          </w:pPr>
                          <w:r>
                            <w:rPr>
                              <w:b/>
                              <w:lang w:val="en-US"/>
                            </w:rPr>
                            <w:t>5</w:t>
                          </w:r>
                          <w:r w:rsidRPr="00B75714">
                            <w:rPr>
                              <w:lang w:val="en-US"/>
                            </w:rPr>
                            <w:t xml:space="preserve"> mg/ml</w:t>
                          </w:r>
                        </w:p>
                      </w:txbxContent>
                    </v:textbox>
                  </v:shape>
                </v:group>
                <v:line id="Gerader Verbinder 6" o:spid="_x0000_s1043"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w10:wrap anchorx="margin"/>
              </v:group>
            </w:pict>
          </mc:Fallback>
        </mc:AlternateContent>
      </w:r>
    </w:p>
    <w:p w14:paraId="7B0DFE86" w14:textId="62EA5D21" w:rsidR="00776C76" w:rsidRPr="005C3240" w:rsidRDefault="00776C76" w:rsidP="00072E71">
      <w:pPr>
        <w:rPr>
          <w:lang w:val="cs-CZ"/>
        </w:rPr>
      </w:pPr>
    </w:p>
    <w:p w14:paraId="54039DF8" w14:textId="77777777" w:rsidR="00776C76" w:rsidRPr="005C3240" w:rsidRDefault="00776C76" w:rsidP="00072E71">
      <w:pPr>
        <w:rPr>
          <w:lang w:val="cs-CZ"/>
        </w:rPr>
      </w:pPr>
    </w:p>
    <w:p w14:paraId="4689469E" w14:textId="77777777" w:rsidR="00EB358E" w:rsidRDefault="00EB358E" w:rsidP="00072E71">
      <w:pPr>
        <w:rPr>
          <w:lang w:val="cs-CZ"/>
        </w:rPr>
      </w:pPr>
    </w:p>
    <w:p w14:paraId="57E67650" w14:textId="77777777" w:rsidR="00EB358E" w:rsidRDefault="00EB358E" w:rsidP="00072E71">
      <w:pPr>
        <w:rPr>
          <w:lang w:val="cs-CZ"/>
        </w:rPr>
      </w:pPr>
    </w:p>
    <w:p w14:paraId="593FEE9A" w14:textId="77777777" w:rsidR="00EB358E" w:rsidRDefault="00EB358E" w:rsidP="00072E71">
      <w:pPr>
        <w:rPr>
          <w:lang w:val="cs-CZ"/>
        </w:rPr>
      </w:pPr>
    </w:p>
    <w:p w14:paraId="25D4D61B" w14:textId="77777777" w:rsidR="00EB358E" w:rsidRDefault="00EB358E" w:rsidP="00072E71">
      <w:pPr>
        <w:rPr>
          <w:lang w:val="cs-CZ"/>
        </w:rPr>
      </w:pPr>
    </w:p>
    <w:p w14:paraId="6ECED21A" w14:textId="77777777" w:rsidR="00EB358E" w:rsidRDefault="00EB358E" w:rsidP="00072E71">
      <w:pPr>
        <w:rPr>
          <w:lang w:val="cs-CZ"/>
        </w:rPr>
      </w:pPr>
    </w:p>
    <w:p w14:paraId="7B7D21BE" w14:textId="0120BC72" w:rsidR="00072E71" w:rsidRPr="005C3240" w:rsidRDefault="00D8117D" w:rsidP="00072E71">
      <w:pPr>
        <w:rPr>
          <w:lang w:val="cs-CZ"/>
        </w:rPr>
      </w:pPr>
      <w:r w:rsidRPr="00D8117D">
        <w:rPr>
          <w:lang w:val="cs-CZ"/>
        </w:rPr>
        <w:t xml:space="preserve">Tabuľka 1 poskytuje návod na rýchlosť podávania </w:t>
      </w:r>
      <w:r w:rsidRPr="00280907">
        <w:rPr>
          <w:b/>
          <w:bCs/>
          <w:lang w:val="cs-CZ"/>
        </w:rPr>
        <w:t>subkutánnej</w:t>
      </w:r>
      <w:r w:rsidRPr="00D8117D">
        <w:rPr>
          <w:lang w:val="cs-CZ"/>
        </w:rPr>
        <w:t xml:space="preserve"> infúzie</w:t>
      </w:r>
      <w:r w:rsidR="001B13BC" w:rsidRPr="005C3240">
        <w:rPr>
          <w:lang w:val="cs-CZ"/>
        </w:rPr>
        <w:t xml:space="preserve"> </w:t>
      </w:r>
      <w:r w:rsidR="005746DE">
        <w:rPr>
          <w:lang w:val="cs-CZ"/>
        </w:rPr>
        <w:t>Treprostinil</w:t>
      </w:r>
      <w:r w:rsidR="00EB358E">
        <w:rPr>
          <w:lang w:val="cs-CZ"/>
        </w:rPr>
        <w:t>u</w:t>
      </w:r>
      <w:r w:rsidR="005746DE">
        <w:rPr>
          <w:lang w:val="cs-CZ"/>
        </w:rPr>
        <w:t xml:space="preserve"> Tillomed</w:t>
      </w:r>
      <w:r w:rsidR="001B13BC" w:rsidRPr="005C3240">
        <w:rPr>
          <w:lang w:val="cs-CZ"/>
        </w:rPr>
        <w:t xml:space="preserve"> </w:t>
      </w:r>
      <w:r w:rsidR="00441282">
        <w:rPr>
          <w:lang w:val="cs-CZ"/>
        </w:rPr>
        <w:t>1</w:t>
      </w:r>
      <w:r w:rsidR="00D8070E">
        <w:rPr>
          <w:lang w:val="cs-CZ"/>
        </w:rPr>
        <w:t>0</w:t>
      </w:r>
      <w:r w:rsidR="001B13BC" w:rsidRPr="005C3240">
        <w:rPr>
          <w:lang w:val="cs-CZ"/>
        </w:rPr>
        <w:t xml:space="preserve"> mg/ml </w:t>
      </w:r>
      <w:r w:rsidRPr="00D8117D">
        <w:rPr>
          <w:lang w:val="cs-CZ"/>
        </w:rPr>
        <w:t xml:space="preserve">u pacientov s rôznymi telesnými hmotnosťami zodpovedajúcimi dávkam až do </w:t>
      </w:r>
      <w:r w:rsidR="00D8070E">
        <w:rPr>
          <w:lang w:val="cs-CZ"/>
        </w:rPr>
        <w:t>155</w:t>
      </w:r>
      <w:r w:rsidR="00441282">
        <w:rPr>
          <w:lang w:val="cs-CZ"/>
        </w:rPr>
        <w:t xml:space="preserve"> </w:t>
      </w:r>
      <w:r w:rsidRPr="00D8117D">
        <w:rPr>
          <w:lang w:val="cs-CZ"/>
        </w:rPr>
        <w:t>ng/kg/min.</w:t>
      </w:r>
    </w:p>
    <w:p w14:paraId="439F7F68" w14:textId="77777777" w:rsidR="00EB358E" w:rsidRDefault="00EB358E" w:rsidP="007A2E2A">
      <w:pPr>
        <w:rPr>
          <w:b/>
          <w:lang w:val="cs-CZ"/>
        </w:rPr>
      </w:pPr>
    </w:p>
    <w:p w14:paraId="47526B09" w14:textId="77777777" w:rsidR="00EB358E" w:rsidRDefault="00EB358E" w:rsidP="007A2E2A">
      <w:pPr>
        <w:rPr>
          <w:b/>
          <w:lang w:val="cs-CZ"/>
        </w:rPr>
      </w:pPr>
    </w:p>
    <w:p w14:paraId="3A6EF79A" w14:textId="77777777" w:rsidR="00EB358E" w:rsidRDefault="00EB358E" w:rsidP="007A2E2A">
      <w:pPr>
        <w:rPr>
          <w:b/>
          <w:lang w:val="cs-CZ"/>
        </w:rPr>
      </w:pPr>
    </w:p>
    <w:p w14:paraId="60125905" w14:textId="77777777" w:rsidR="00EB358E" w:rsidRDefault="00EB358E" w:rsidP="007A2E2A">
      <w:pPr>
        <w:rPr>
          <w:b/>
          <w:lang w:val="cs-CZ"/>
        </w:rPr>
      </w:pPr>
    </w:p>
    <w:p w14:paraId="36D2F150" w14:textId="77777777" w:rsidR="00EB358E" w:rsidRDefault="00EB358E" w:rsidP="007A2E2A">
      <w:pPr>
        <w:rPr>
          <w:b/>
          <w:lang w:val="cs-CZ"/>
        </w:rPr>
      </w:pPr>
    </w:p>
    <w:p w14:paraId="386033C8" w14:textId="77777777" w:rsidR="00EB358E" w:rsidRDefault="00EB358E" w:rsidP="007A2E2A">
      <w:pPr>
        <w:rPr>
          <w:b/>
          <w:lang w:val="cs-CZ"/>
        </w:rPr>
      </w:pPr>
    </w:p>
    <w:p w14:paraId="5ABA4B32" w14:textId="55805C42" w:rsidR="007A2E2A" w:rsidRPr="005C3240" w:rsidRDefault="00D8117D" w:rsidP="007A2E2A">
      <w:pPr>
        <w:rPr>
          <w:b/>
          <w:lang w:val="cs-CZ"/>
        </w:rPr>
      </w:pPr>
      <w:r w:rsidRPr="00D8117D">
        <w:rPr>
          <w:b/>
          <w:lang w:val="cs-CZ"/>
        </w:rPr>
        <w:t>Tabuľka</w:t>
      </w:r>
      <w:r w:rsidR="007A2E2A" w:rsidRPr="005C3240">
        <w:rPr>
          <w:b/>
          <w:lang w:val="cs-CZ"/>
        </w:rPr>
        <w:t xml:space="preserve"> 1</w:t>
      </w:r>
    </w:p>
    <w:p w14:paraId="30A658BA" w14:textId="2A9A3DE5" w:rsidR="007A2E2A" w:rsidRDefault="00D8117D" w:rsidP="000A61CE">
      <w:pPr>
        <w:jc w:val="center"/>
        <w:rPr>
          <w:bCs/>
          <w:lang w:val="cs-CZ"/>
        </w:rPr>
      </w:pPr>
      <w:r w:rsidRPr="00D8117D">
        <w:rPr>
          <w:b/>
          <w:bCs/>
          <w:lang w:val="cs-CZ"/>
        </w:rPr>
        <w:t xml:space="preserve">Nastavenie rýchlosti infúzie subkutánnej pumpy (ml/h) pre </w:t>
      </w:r>
      <w:r w:rsidR="005746DE">
        <w:rPr>
          <w:b/>
          <w:bCs/>
          <w:lang w:val="cs-CZ"/>
        </w:rPr>
        <w:t>Treprostinil Tillomed</w:t>
      </w:r>
      <w:r w:rsidR="001B13BC" w:rsidRPr="005C3240">
        <w:rPr>
          <w:b/>
          <w:bCs/>
          <w:lang w:val="cs-CZ"/>
        </w:rPr>
        <w:t xml:space="preserve"> </w:t>
      </w:r>
      <w:r w:rsidRPr="00D8117D">
        <w:rPr>
          <w:b/>
          <w:bCs/>
          <w:lang w:val="cs-CZ"/>
        </w:rPr>
        <w:t xml:space="preserve">s koncentráciou treprostinilu </w:t>
      </w:r>
      <w:r w:rsidR="00441282">
        <w:rPr>
          <w:b/>
          <w:bCs/>
          <w:lang w:val="cs-CZ"/>
        </w:rPr>
        <w:t>1</w:t>
      </w:r>
      <w:r w:rsidR="00500F4C">
        <w:rPr>
          <w:b/>
          <w:bCs/>
          <w:lang w:val="cs-CZ"/>
        </w:rPr>
        <w:t>0</w:t>
      </w:r>
      <w:r w:rsidRPr="00D8117D">
        <w:rPr>
          <w:b/>
          <w:bCs/>
          <w:lang w:val="cs-CZ"/>
        </w:rPr>
        <w:t xml:space="preserve"> mg/ml</w:t>
      </w:r>
    </w:p>
    <w:p w14:paraId="78FEE318" w14:textId="655AFC70" w:rsidR="00EB358E" w:rsidRDefault="00EB358E" w:rsidP="007A2E2A">
      <w:pPr>
        <w:rPr>
          <w:bCs/>
          <w:lang w:val="cs-CZ"/>
        </w:rPr>
      </w:pPr>
    </w:p>
    <w:p w14:paraId="6E93441A" w14:textId="22A89D79" w:rsidR="00EB358E" w:rsidRDefault="00EB358E" w:rsidP="007A2E2A">
      <w:pPr>
        <w:rPr>
          <w:bCs/>
          <w:lang w:val="cs-CZ"/>
        </w:rPr>
      </w:pPr>
    </w:p>
    <w:p w14:paraId="39ADE088" w14:textId="5E8B9660" w:rsidR="00EB358E" w:rsidRDefault="00EB358E" w:rsidP="007A2E2A">
      <w:pPr>
        <w:rPr>
          <w:bCs/>
          <w:lang w:val="cs-CZ"/>
        </w:rPr>
      </w:pPr>
    </w:p>
    <w:p w14:paraId="2C14B9F7" w14:textId="322F1172" w:rsidR="00EB358E" w:rsidRDefault="00EB358E" w:rsidP="007A2E2A">
      <w:pPr>
        <w:rPr>
          <w:bCs/>
          <w:lang w:val="cs-CZ"/>
        </w:rPr>
      </w:pPr>
    </w:p>
    <w:p w14:paraId="52BD1EA6" w14:textId="3C4DB726" w:rsidR="00EB358E" w:rsidRDefault="00EB358E" w:rsidP="007A2E2A">
      <w:pPr>
        <w:rPr>
          <w:bCs/>
          <w:lang w:val="cs-CZ"/>
        </w:rPr>
      </w:pPr>
    </w:p>
    <w:p w14:paraId="0C77F56A" w14:textId="710E975B" w:rsidR="00EB358E" w:rsidRDefault="00EB358E" w:rsidP="007A2E2A">
      <w:pPr>
        <w:rPr>
          <w:bCs/>
          <w:lang w:val="cs-CZ"/>
        </w:rPr>
      </w:pPr>
    </w:p>
    <w:p w14:paraId="57D17292" w14:textId="77777777" w:rsidR="00EB358E" w:rsidRPr="005C3240" w:rsidRDefault="00EB358E" w:rsidP="007A2E2A">
      <w:pPr>
        <w:rPr>
          <w:bCs/>
          <w:lang w:val="cs-CZ"/>
        </w:rPr>
      </w:pPr>
    </w:p>
    <w:p w14:paraId="78A6A677" w14:textId="525688C2" w:rsidR="007A2E2A" w:rsidRPr="005C3240" w:rsidRDefault="007A2E2A" w:rsidP="007A2E2A">
      <w:pPr>
        <w:rPr>
          <w:b/>
          <w:lang w:val="cs-CZ"/>
        </w:rPr>
      </w:pPr>
      <w:r w:rsidRPr="005C3240">
        <w:rPr>
          <w:lang w:val="cs-CZ"/>
        </w:rPr>
        <w:t xml:space="preserve">    </w:t>
      </w:r>
      <w:r w:rsidRPr="005C3240">
        <w:rPr>
          <w:lang w:val="cs-CZ"/>
        </w:rPr>
        <w:tab/>
      </w:r>
      <w:r w:rsidRPr="005C3240">
        <w:rPr>
          <w:lang w:val="cs-CZ"/>
        </w:rPr>
        <w:tab/>
      </w:r>
      <w:r w:rsidRPr="005C3240">
        <w:rPr>
          <w:lang w:val="cs-CZ"/>
        </w:rPr>
        <w:tab/>
      </w:r>
      <w:r w:rsidRPr="005C3240">
        <w:rPr>
          <w:lang w:val="cs-CZ"/>
        </w:rPr>
        <w:tab/>
      </w:r>
      <w:r w:rsidR="00CD316C" w:rsidRPr="00CD316C">
        <w:rPr>
          <w:b/>
          <w:lang w:val="cs-CZ"/>
        </w:rPr>
        <w:t>Hmotnosť</w:t>
      </w:r>
      <w:r w:rsidR="001B13BC" w:rsidRPr="005C3240">
        <w:rPr>
          <w:b/>
          <w:lang w:val="cs-CZ"/>
        </w:rPr>
        <w:t xml:space="preserve"> pacienta</w:t>
      </w:r>
      <w:r w:rsidRPr="005C3240">
        <w:rPr>
          <w:b/>
          <w:lang w:val="cs-CZ"/>
        </w:rPr>
        <w:t xml:space="preserve"> (K</w:t>
      </w:r>
      <w:r w:rsidR="0048205E" w:rsidRPr="005C3240">
        <w:rPr>
          <w:b/>
          <w:lang w:val="cs-CZ"/>
        </w:rPr>
        <w:t>g</w:t>
      </w:r>
      <w:r w:rsidRPr="005C3240">
        <w:rPr>
          <w:b/>
          <w:lang w:val="cs-CZ"/>
        </w:rPr>
        <w:t>)</w:t>
      </w:r>
    </w:p>
    <w:tbl>
      <w:tblPr>
        <w:tblW w:w="792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609"/>
      </w:tblGrid>
      <w:tr w:rsidR="00A2774E" w:rsidRPr="00023D1D" w14:paraId="6F841476" w14:textId="77777777" w:rsidTr="00EB358E">
        <w:trPr>
          <w:trHeight w:val="419"/>
        </w:trPr>
        <w:tc>
          <w:tcPr>
            <w:tcW w:w="1317" w:type="dxa"/>
          </w:tcPr>
          <w:p w14:paraId="0E3921A2" w14:textId="77777777" w:rsidR="00A2774E" w:rsidRPr="00023D1D" w:rsidRDefault="00A2774E" w:rsidP="00EB358E">
            <w:pPr>
              <w:spacing w:after="0"/>
              <w:jc w:val="center"/>
              <w:outlineLvl w:val="0"/>
              <w:rPr>
                <w:b/>
                <w:szCs w:val="22"/>
                <w:lang w:val="en-US"/>
              </w:rPr>
            </w:pPr>
            <w:r w:rsidRPr="00023D1D">
              <w:rPr>
                <w:b/>
                <w:szCs w:val="22"/>
                <w:lang w:val="en-US"/>
              </w:rPr>
              <w:t>D</w:t>
            </w:r>
            <w:r>
              <w:rPr>
                <w:b/>
                <w:szCs w:val="22"/>
                <w:lang w:val="en-US"/>
              </w:rPr>
              <w:t>ávka</w:t>
            </w:r>
            <w:r w:rsidRPr="00023D1D">
              <w:rPr>
                <w:b/>
                <w:szCs w:val="22"/>
                <w:lang w:val="en-US"/>
              </w:rPr>
              <w:t xml:space="preserve"> (ng/kg/min)</w:t>
            </w:r>
          </w:p>
        </w:tc>
        <w:tc>
          <w:tcPr>
            <w:tcW w:w="6609" w:type="dxa"/>
          </w:tcPr>
          <w:p w14:paraId="40CBF169" w14:textId="77777777" w:rsidR="00A2774E" w:rsidRPr="00023D1D" w:rsidRDefault="00A2774E" w:rsidP="00EB358E">
            <w:pPr>
              <w:spacing w:after="0"/>
              <w:jc w:val="center"/>
              <w:outlineLvl w:val="0"/>
              <w:rPr>
                <w:b/>
                <w:szCs w:val="22"/>
                <w:lang w:val="en-US"/>
              </w:rPr>
            </w:pPr>
          </w:p>
          <w:p w14:paraId="6AF90D67" w14:textId="7BD6349D" w:rsidR="00A2774E" w:rsidRPr="00023D1D" w:rsidRDefault="00D719F8" w:rsidP="00EB358E">
            <w:pPr>
              <w:spacing w:after="0"/>
              <w:outlineLvl w:val="0"/>
              <w:rPr>
                <w:b/>
                <w:sz w:val="16"/>
                <w:szCs w:val="16"/>
                <w:lang w:val="en-US"/>
              </w:rPr>
            </w:pPr>
            <w:r>
              <w:rPr>
                <w:b/>
                <w:sz w:val="16"/>
                <w:szCs w:val="16"/>
                <w:lang w:val="en-US"/>
              </w:rPr>
              <w:t xml:space="preserve">  </w:t>
            </w:r>
            <w:r w:rsidR="00A2774E" w:rsidRPr="00023D1D">
              <w:rPr>
                <w:b/>
                <w:sz w:val="16"/>
                <w:szCs w:val="16"/>
                <w:lang w:val="en-US"/>
              </w:rPr>
              <w:t>35       40       45        50      55        60       65      70       75       80        85      90       95      100</w:t>
            </w:r>
          </w:p>
        </w:tc>
      </w:tr>
      <w:tr w:rsidR="00A2774E" w:rsidRPr="00023D1D" w14:paraId="4819012F" w14:textId="77777777" w:rsidTr="00EB358E">
        <w:trPr>
          <w:trHeight w:val="3181"/>
        </w:trPr>
        <w:tc>
          <w:tcPr>
            <w:tcW w:w="1317" w:type="dxa"/>
          </w:tcPr>
          <w:p w14:paraId="3911F05F" w14:textId="77777777" w:rsidR="00A2774E" w:rsidRPr="00023D1D" w:rsidRDefault="00A2774E" w:rsidP="00EB358E">
            <w:pPr>
              <w:spacing w:after="0"/>
              <w:jc w:val="center"/>
              <w:outlineLvl w:val="0"/>
              <w:rPr>
                <w:b/>
                <w:sz w:val="16"/>
                <w:szCs w:val="16"/>
                <w:lang w:val="en-US"/>
              </w:rPr>
            </w:pPr>
            <w:r w:rsidRPr="00023D1D">
              <w:rPr>
                <w:b/>
                <w:sz w:val="16"/>
                <w:szCs w:val="16"/>
                <w:lang w:val="en-US"/>
              </w:rPr>
              <w:t>50</w:t>
            </w:r>
          </w:p>
          <w:p w14:paraId="003F4FF2" w14:textId="77777777" w:rsidR="00A2774E" w:rsidRPr="00023D1D" w:rsidRDefault="00A2774E" w:rsidP="00EB358E">
            <w:pPr>
              <w:spacing w:after="0"/>
              <w:jc w:val="center"/>
              <w:outlineLvl w:val="0"/>
              <w:rPr>
                <w:b/>
                <w:sz w:val="16"/>
                <w:szCs w:val="16"/>
                <w:lang w:val="en-US"/>
              </w:rPr>
            </w:pPr>
            <w:r w:rsidRPr="00023D1D">
              <w:rPr>
                <w:b/>
                <w:sz w:val="16"/>
                <w:szCs w:val="16"/>
                <w:lang w:val="en-US"/>
              </w:rPr>
              <w:t>55</w:t>
            </w:r>
          </w:p>
          <w:p w14:paraId="17EAABD1" w14:textId="77777777" w:rsidR="00A2774E" w:rsidRPr="00023D1D" w:rsidRDefault="00A2774E" w:rsidP="00EB358E">
            <w:pPr>
              <w:spacing w:after="0"/>
              <w:jc w:val="center"/>
              <w:outlineLvl w:val="0"/>
              <w:rPr>
                <w:b/>
                <w:sz w:val="16"/>
                <w:szCs w:val="16"/>
                <w:lang w:val="en-US"/>
              </w:rPr>
            </w:pPr>
            <w:r w:rsidRPr="00023D1D">
              <w:rPr>
                <w:b/>
                <w:sz w:val="16"/>
                <w:szCs w:val="16"/>
                <w:lang w:val="en-US"/>
              </w:rPr>
              <w:t>60</w:t>
            </w:r>
          </w:p>
          <w:p w14:paraId="20CE2D8C" w14:textId="77777777" w:rsidR="00A2774E" w:rsidRPr="00023D1D" w:rsidRDefault="00A2774E" w:rsidP="00EB358E">
            <w:pPr>
              <w:spacing w:after="0"/>
              <w:jc w:val="center"/>
              <w:outlineLvl w:val="0"/>
              <w:rPr>
                <w:b/>
                <w:sz w:val="16"/>
                <w:szCs w:val="16"/>
                <w:lang w:val="en-US"/>
              </w:rPr>
            </w:pPr>
            <w:r w:rsidRPr="00023D1D">
              <w:rPr>
                <w:b/>
                <w:sz w:val="16"/>
                <w:szCs w:val="16"/>
                <w:lang w:val="en-US"/>
              </w:rPr>
              <w:t>65</w:t>
            </w:r>
          </w:p>
          <w:p w14:paraId="20B613AF" w14:textId="77777777" w:rsidR="00A2774E" w:rsidRPr="00023D1D" w:rsidRDefault="00A2774E" w:rsidP="00EB358E">
            <w:pPr>
              <w:spacing w:after="0"/>
              <w:jc w:val="center"/>
              <w:outlineLvl w:val="0"/>
              <w:rPr>
                <w:b/>
                <w:sz w:val="16"/>
                <w:szCs w:val="16"/>
                <w:lang w:val="en-US"/>
              </w:rPr>
            </w:pPr>
            <w:r w:rsidRPr="00023D1D">
              <w:rPr>
                <w:b/>
                <w:sz w:val="16"/>
                <w:szCs w:val="16"/>
                <w:lang w:val="en-US"/>
              </w:rPr>
              <w:t>70</w:t>
            </w:r>
          </w:p>
          <w:p w14:paraId="041DD2A1" w14:textId="77777777" w:rsidR="00A2774E" w:rsidRPr="00023D1D" w:rsidRDefault="00A2774E" w:rsidP="00EB358E">
            <w:pPr>
              <w:spacing w:after="0"/>
              <w:jc w:val="center"/>
              <w:outlineLvl w:val="0"/>
              <w:rPr>
                <w:b/>
                <w:sz w:val="16"/>
                <w:szCs w:val="16"/>
                <w:lang w:val="en-US"/>
              </w:rPr>
            </w:pPr>
            <w:r w:rsidRPr="00023D1D">
              <w:rPr>
                <w:b/>
                <w:sz w:val="16"/>
                <w:szCs w:val="16"/>
                <w:lang w:val="en-US"/>
              </w:rPr>
              <w:t>75</w:t>
            </w:r>
          </w:p>
          <w:p w14:paraId="07262ADB" w14:textId="77777777" w:rsidR="00A2774E" w:rsidRPr="00023D1D" w:rsidRDefault="00A2774E" w:rsidP="00EB358E">
            <w:pPr>
              <w:spacing w:after="0"/>
              <w:jc w:val="center"/>
              <w:outlineLvl w:val="0"/>
              <w:rPr>
                <w:b/>
                <w:sz w:val="16"/>
                <w:szCs w:val="16"/>
                <w:lang w:val="en-US"/>
              </w:rPr>
            </w:pPr>
            <w:r w:rsidRPr="00023D1D">
              <w:rPr>
                <w:b/>
                <w:sz w:val="16"/>
                <w:szCs w:val="16"/>
                <w:lang w:val="en-US"/>
              </w:rPr>
              <w:t>80</w:t>
            </w:r>
          </w:p>
          <w:p w14:paraId="5E46C828" w14:textId="77777777" w:rsidR="00A2774E" w:rsidRPr="00023D1D" w:rsidRDefault="00A2774E" w:rsidP="00EB358E">
            <w:pPr>
              <w:spacing w:after="0"/>
              <w:jc w:val="center"/>
              <w:outlineLvl w:val="0"/>
              <w:rPr>
                <w:b/>
                <w:sz w:val="16"/>
                <w:szCs w:val="16"/>
                <w:lang w:val="en-US"/>
              </w:rPr>
            </w:pPr>
            <w:r w:rsidRPr="00023D1D">
              <w:rPr>
                <w:b/>
                <w:sz w:val="16"/>
                <w:szCs w:val="16"/>
                <w:lang w:val="en-US"/>
              </w:rPr>
              <w:t>85</w:t>
            </w:r>
          </w:p>
          <w:p w14:paraId="5C799400" w14:textId="77777777" w:rsidR="00A2774E" w:rsidRPr="00023D1D" w:rsidRDefault="00A2774E" w:rsidP="00EB358E">
            <w:pPr>
              <w:spacing w:after="0"/>
              <w:jc w:val="center"/>
              <w:outlineLvl w:val="0"/>
              <w:rPr>
                <w:b/>
                <w:sz w:val="16"/>
                <w:szCs w:val="16"/>
                <w:lang w:val="en-US"/>
              </w:rPr>
            </w:pPr>
            <w:r w:rsidRPr="00023D1D">
              <w:rPr>
                <w:b/>
                <w:sz w:val="16"/>
                <w:szCs w:val="16"/>
                <w:lang w:val="en-US"/>
              </w:rPr>
              <w:t>90</w:t>
            </w:r>
          </w:p>
          <w:p w14:paraId="3F2FAC4D" w14:textId="77777777" w:rsidR="00A2774E" w:rsidRPr="00023D1D" w:rsidRDefault="00A2774E" w:rsidP="00EB358E">
            <w:pPr>
              <w:spacing w:after="0"/>
              <w:jc w:val="center"/>
              <w:outlineLvl w:val="0"/>
              <w:rPr>
                <w:b/>
                <w:sz w:val="16"/>
                <w:szCs w:val="16"/>
                <w:lang w:val="en-US"/>
              </w:rPr>
            </w:pPr>
            <w:r w:rsidRPr="00023D1D">
              <w:rPr>
                <w:b/>
                <w:sz w:val="16"/>
                <w:szCs w:val="16"/>
                <w:lang w:val="en-US"/>
              </w:rPr>
              <w:t>95</w:t>
            </w:r>
          </w:p>
          <w:p w14:paraId="22F1D9D2" w14:textId="77777777" w:rsidR="00A2774E" w:rsidRPr="00023D1D" w:rsidRDefault="00A2774E" w:rsidP="00EB358E">
            <w:pPr>
              <w:spacing w:after="0"/>
              <w:jc w:val="center"/>
              <w:outlineLvl w:val="0"/>
              <w:rPr>
                <w:b/>
                <w:sz w:val="16"/>
                <w:szCs w:val="16"/>
                <w:lang w:val="en-US"/>
              </w:rPr>
            </w:pPr>
            <w:r w:rsidRPr="00023D1D">
              <w:rPr>
                <w:b/>
                <w:sz w:val="16"/>
                <w:szCs w:val="16"/>
                <w:lang w:val="en-US"/>
              </w:rPr>
              <w:t>100</w:t>
            </w:r>
          </w:p>
          <w:p w14:paraId="333E0A95" w14:textId="77777777" w:rsidR="00A2774E" w:rsidRPr="00023D1D" w:rsidRDefault="00A2774E" w:rsidP="00EB358E">
            <w:pPr>
              <w:spacing w:after="0"/>
              <w:jc w:val="center"/>
              <w:outlineLvl w:val="0"/>
              <w:rPr>
                <w:b/>
                <w:sz w:val="16"/>
                <w:szCs w:val="16"/>
                <w:lang w:val="en-US"/>
              </w:rPr>
            </w:pPr>
            <w:r w:rsidRPr="00023D1D">
              <w:rPr>
                <w:b/>
                <w:sz w:val="16"/>
                <w:szCs w:val="16"/>
                <w:lang w:val="en-US"/>
              </w:rPr>
              <w:t>105</w:t>
            </w:r>
          </w:p>
          <w:p w14:paraId="6E28BFEE" w14:textId="77777777" w:rsidR="00A2774E" w:rsidRPr="00023D1D" w:rsidRDefault="00A2774E" w:rsidP="00EB358E">
            <w:pPr>
              <w:spacing w:after="0"/>
              <w:jc w:val="center"/>
              <w:outlineLvl w:val="0"/>
              <w:rPr>
                <w:b/>
                <w:sz w:val="2"/>
                <w:szCs w:val="2"/>
                <w:lang w:val="en-US"/>
              </w:rPr>
            </w:pPr>
            <w:r w:rsidRPr="00023D1D">
              <w:rPr>
                <w:b/>
                <w:sz w:val="16"/>
                <w:szCs w:val="16"/>
                <w:lang w:val="en-US"/>
              </w:rPr>
              <w:t>110</w:t>
            </w:r>
            <w:r w:rsidRPr="00023D1D">
              <w:rPr>
                <w:b/>
                <w:sz w:val="16"/>
                <w:szCs w:val="16"/>
                <w:lang w:val="en-US"/>
              </w:rPr>
              <w:br/>
            </w:r>
          </w:p>
          <w:p w14:paraId="2C580A71" w14:textId="77777777" w:rsidR="00A2774E" w:rsidRPr="00023D1D" w:rsidRDefault="00A2774E" w:rsidP="00EB358E">
            <w:pPr>
              <w:spacing w:after="0"/>
              <w:jc w:val="center"/>
              <w:outlineLvl w:val="0"/>
              <w:rPr>
                <w:b/>
                <w:sz w:val="16"/>
                <w:szCs w:val="16"/>
                <w:lang w:val="en-US"/>
              </w:rPr>
            </w:pPr>
            <w:r w:rsidRPr="00023D1D">
              <w:rPr>
                <w:b/>
                <w:sz w:val="16"/>
                <w:szCs w:val="16"/>
                <w:lang w:val="en-US"/>
              </w:rPr>
              <w:t>115</w:t>
            </w:r>
          </w:p>
          <w:p w14:paraId="489569FE" w14:textId="77777777" w:rsidR="00A2774E" w:rsidRPr="00023D1D" w:rsidRDefault="00A2774E" w:rsidP="00EB358E">
            <w:pPr>
              <w:spacing w:after="0"/>
              <w:jc w:val="center"/>
              <w:outlineLvl w:val="0"/>
              <w:rPr>
                <w:b/>
                <w:sz w:val="16"/>
                <w:szCs w:val="16"/>
                <w:lang w:val="en-US"/>
              </w:rPr>
            </w:pPr>
            <w:r w:rsidRPr="00023D1D">
              <w:rPr>
                <w:b/>
                <w:sz w:val="16"/>
                <w:szCs w:val="16"/>
                <w:lang w:val="en-US"/>
              </w:rPr>
              <w:t>120</w:t>
            </w:r>
          </w:p>
          <w:p w14:paraId="2710000E" w14:textId="77777777" w:rsidR="00A2774E" w:rsidRPr="00023D1D" w:rsidRDefault="00A2774E" w:rsidP="00EB358E">
            <w:pPr>
              <w:spacing w:after="0"/>
              <w:jc w:val="center"/>
              <w:outlineLvl w:val="0"/>
              <w:rPr>
                <w:b/>
                <w:sz w:val="16"/>
                <w:szCs w:val="16"/>
                <w:lang w:val="en-US"/>
              </w:rPr>
            </w:pPr>
            <w:r w:rsidRPr="00023D1D">
              <w:rPr>
                <w:b/>
                <w:sz w:val="16"/>
                <w:szCs w:val="16"/>
                <w:lang w:val="en-US"/>
              </w:rPr>
              <w:t>125</w:t>
            </w:r>
          </w:p>
          <w:p w14:paraId="2BDED734" w14:textId="77777777" w:rsidR="00A2774E" w:rsidRPr="00023D1D" w:rsidRDefault="00A2774E" w:rsidP="00EB358E">
            <w:pPr>
              <w:spacing w:after="0" w:line="276" w:lineRule="auto"/>
              <w:jc w:val="center"/>
              <w:outlineLvl w:val="0"/>
              <w:rPr>
                <w:b/>
                <w:sz w:val="16"/>
                <w:szCs w:val="16"/>
                <w:lang w:val="en-US"/>
              </w:rPr>
            </w:pPr>
            <w:r w:rsidRPr="00023D1D">
              <w:rPr>
                <w:b/>
                <w:sz w:val="16"/>
                <w:szCs w:val="16"/>
                <w:lang w:val="en-US"/>
              </w:rPr>
              <w:t>130</w:t>
            </w:r>
          </w:p>
          <w:p w14:paraId="1EF2AF9F" w14:textId="77777777" w:rsidR="00A2774E" w:rsidRPr="00023D1D" w:rsidRDefault="00A2774E" w:rsidP="00EB358E">
            <w:pPr>
              <w:spacing w:after="0" w:line="276" w:lineRule="auto"/>
              <w:jc w:val="center"/>
              <w:outlineLvl w:val="0"/>
              <w:rPr>
                <w:b/>
                <w:sz w:val="2"/>
                <w:szCs w:val="2"/>
                <w:lang w:val="en-US"/>
              </w:rPr>
            </w:pPr>
            <w:r w:rsidRPr="00023D1D">
              <w:rPr>
                <w:b/>
                <w:sz w:val="16"/>
                <w:szCs w:val="16"/>
                <w:lang w:val="en-US"/>
              </w:rPr>
              <w:t>135</w:t>
            </w:r>
          </w:p>
          <w:p w14:paraId="5F483669" w14:textId="77777777" w:rsidR="00A2774E" w:rsidRPr="00023D1D" w:rsidRDefault="00A2774E" w:rsidP="00EB358E">
            <w:pPr>
              <w:spacing w:after="0"/>
              <w:jc w:val="center"/>
              <w:outlineLvl w:val="0"/>
              <w:rPr>
                <w:b/>
                <w:sz w:val="16"/>
                <w:szCs w:val="16"/>
                <w:lang w:val="en-US"/>
              </w:rPr>
            </w:pPr>
            <w:r w:rsidRPr="00023D1D">
              <w:rPr>
                <w:b/>
                <w:sz w:val="16"/>
                <w:szCs w:val="16"/>
                <w:lang w:val="en-US"/>
              </w:rPr>
              <w:t>140</w:t>
            </w:r>
          </w:p>
          <w:p w14:paraId="705C3734" w14:textId="77777777" w:rsidR="00A2774E" w:rsidRPr="00023D1D" w:rsidRDefault="00A2774E" w:rsidP="00EB358E">
            <w:pPr>
              <w:spacing w:after="0"/>
              <w:jc w:val="center"/>
              <w:outlineLvl w:val="0"/>
              <w:rPr>
                <w:b/>
                <w:sz w:val="16"/>
                <w:szCs w:val="16"/>
                <w:lang w:val="en-US"/>
              </w:rPr>
            </w:pPr>
            <w:r w:rsidRPr="00023D1D">
              <w:rPr>
                <w:b/>
                <w:sz w:val="16"/>
                <w:szCs w:val="16"/>
                <w:lang w:val="en-US"/>
              </w:rPr>
              <w:t>145</w:t>
            </w:r>
          </w:p>
          <w:p w14:paraId="1CBEB6A9" w14:textId="77777777" w:rsidR="00A2774E" w:rsidRPr="00023D1D" w:rsidRDefault="00A2774E" w:rsidP="00EB358E">
            <w:pPr>
              <w:spacing w:after="0"/>
              <w:jc w:val="center"/>
              <w:outlineLvl w:val="0"/>
              <w:rPr>
                <w:b/>
                <w:sz w:val="16"/>
                <w:szCs w:val="16"/>
                <w:lang w:val="en-US"/>
              </w:rPr>
            </w:pPr>
            <w:r w:rsidRPr="00023D1D">
              <w:rPr>
                <w:b/>
                <w:sz w:val="16"/>
                <w:szCs w:val="16"/>
                <w:lang w:val="en-US"/>
              </w:rPr>
              <w:t>150</w:t>
            </w:r>
          </w:p>
          <w:p w14:paraId="5B72331B" w14:textId="77777777" w:rsidR="00A2774E" w:rsidRPr="00023D1D" w:rsidRDefault="00A2774E" w:rsidP="00EB358E">
            <w:pPr>
              <w:spacing w:after="0"/>
              <w:jc w:val="center"/>
              <w:outlineLvl w:val="0"/>
              <w:rPr>
                <w:b/>
                <w:sz w:val="16"/>
                <w:szCs w:val="16"/>
                <w:lang w:val="en-US"/>
              </w:rPr>
            </w:pPr>
            <w:r w:rsidRPr="00023D1D">
              <w:rPr>
                <w:b/>
                <w:sz w:val="16"/>
                <w:szCs w:val="16"/>
                <w:lang w:val="en-US"/>
              </w:rPr>
              <w:t>155</w:t>
            </w:r>
          </w:p>
          <w:p w14:paraId="471F781D" w14:textId="77777777" w:rsidR="00A2774E" w:rsidRPr="00023D1D" w:rsidRDefault="00A2774E" w:rsidP="00EB358E">
            <w:pPr>
              <w:spacing w:after="0"/>
              <w:outlineLvl w:val="0"/>
              <w:rPr>
                <w:b/>
                <w:sz w:val="2"/>
                <w:szCs w:val="2"/>
                <w:lang w:val="en-US"/>
              </w:rPr>
            </w:pPr>
          </w:p>
        </w:tc>
        <w:tc>
          <w:tcPr>
            <w:tcW w:w="6609" w:type="dxa"/>
          </w:tcPr>
          <w:p w14:paraId="1D4FBA31" w14:textId="77777777" w:rsidR="00A2774E" w:rsidRPr="00023D1D" w:rsidRDefault="00A2774E" w:rsidP="00EB358E">
            <w:pPr>
              <w:spacing w:after="0"/>
              <w:outlineLvl w:val="0"/>
              <w:rPr>
                <w:sz w:val="16"/>
                <w:szCs w:val="16"/>
                <w:lang w:val="en-US"/>
              </w:rPr>
            </w:pPr>
            <w:bookmarkStart w:id="2" w:name="OLE_LINK2"/>
            <w:r w:rsidRPr="00023D1D">
              <w:rPr>
                <w:sz w:val="16"/>
                <w:szCs w:val="16"/>
                <w:lang w:val="en-US"/>
              </w:rPr>
              <w:t>0</w:t>
            </w:r>
            <w:r>
              <w:rPr>
                <w:sz w:val="16"/>
                <w:szCs w:val="16"/>
                <w:lang w:val="en-US"/>
              </w:rPr>
              <w:t>,</w:t>
            </w:r>
            <w:r w:rsidRPr="00023D1D">
              <w:rPr>
                <w:sz w:val="16"/>
                <w:szCs w:val="16"/>
                <w:lang w:val="en-US"/>
              </w:rPr>
              <w:t>011  0</w:t>
            </w:r>
            <w:r>
              <w:rPr>
                <w:sz w:val="16"/>
                <w:szCs w:val="16"/>
                <w:lang w:val="en-US"/>
              </w:rPr>
              <w:t>,</w:t>
            </w:r>
            <w:r w:rsidRPr="00023D1D">
              <w:rPr>
                <w:sz w:val="16"/>
                <w:szCs w:val="16"/>
                <w:lang w:val="en-US"/>
              </w:rPr>
              <w:t>012  0</w:t>
            </w:r>
            <w:r>
              <w:rPr>
                <w:sz w:val="16"/>
                <w:szCs w:val="16"/>
                <w:lang w:val="en-US"/>
              </w:rPr>
              <w:t>,</w:t>
            </w:r>
            <w:r w:rsidRPr="00023D1D">
              <w:rPr>
                <w:sz w:val="16"/>
                <w:szCs w:val="16"/>
                <w:lang w:val="en-US"/>
              </w:rPr>
              <w:t>014  0</w:t>
            </w:r>
            <w:r>
              <w:rPr>
                <w:sz w:val="16"/>
                <w:szCs w:val="16"/>
                <w:lang w:val="en-US"/>
              </w:rPr>
              <w:t>,</w:t>
            </w:r>
            <w:r w:rsidRPr="00023D1D">
              <w:rPr>
                <w:sz w:val="16"/>
                <w:szCs w:val="16"/>
                <w:lang w:val="en-US"/>
              </w:rPr>
              <w:t>015  0</w:t>
            </w:r>
            <w:r>
              <w:rPr>
                <w:sz w:val="16"/>
                <w:szCs w:val="16"/>
                <w:lang w:val="en-US"/>
              </w:rPr>
              <w:t>,</w:t>
            </w:r>
            <w:r w:rsidRPr="00023D1D">
              <w:rPr>
                <w:sz w:val="16"/>
                <w:szCs w:val="16"/>
                <w:lang w:val="en-US"/>
              </w:rPr>
              <w:t>017  0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021  0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024  0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030</w:t>
            </w:r>
          </w:p>
          <w:p w14:paraId="16A6B27C"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012  0</w:t>
            </w:r>
            <w:r>
              <w:rPr>
                <w:sz w:val="16"/>
                <w:szCs w:val="16"/>
                <w:lang w:val="en-US"/>
              </w:rPr>
              <w:t>,</w:t>
            </w:r>
            <w:r w:rsidRPr="00023D1D">
              <w:rPr>
                <w:sz w:val="16"/>
                <w:szCs w:val="16"/>
                <w:lang w:val="en-US"/>
              </w:rPr>
              <w:t>013  0</w:t>
            </w:r>
            <w:r>
              <w:rPr>
                <w:sz w:val="16"/>
                <w:szCs w:val="16"/>
                <w:lang w:val="en-US"/>
              </w:rPr>
              <w:t>,</w:t>
            </w:r>
            <w:r w:rsidRPr="00023D1D">
              <w:rPr>
                <w:sz w:val="16"/>
                <w:szCs w:val="16"/>
                <w:lang w:val="en-US"/>
              </w:rPr>
              <w:t>015  0</w:t>
            </w:r>
            <w:r>
              <w:rPr>
                <w:sz w:val="16"/>
                <w:szCs w:val="16"/>
                <w:lang w:val="en-US"/>
              </w:rPr>
              <w:t>,</w:t>
            </w:r>
            <w:r w:rsidRPr="00023D1D">
              <w:rPr>
                <w:sz w:val="16"/>
                <w:szCs w:val="16"/>
                <w:lang w:val="en-US"/>
              </w:rPr>
              <w:t>017  0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021  0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028  0</w:t>
            </w:r>
            <w:r>
              <w:rPr>
                <w:sz w:val="16"/>
                <w:szCs w:val="16"/>
                <w:lang w:val="en-US"/>
              </w:rPr>
              <w:t>,</w:t>
            </w:r>
            <w:r w:rsidRPr="00023D1D">
              <w:rPr>
                <w:sz w:val="16"/>
                <w:szCs w:val="16"/>
                <w:lang w:val="en-US"/>
              </w:rPr>
              <w:t>030  0</w:t>
            </w:r>
            <w:r>
              <w:rPr>
                <w:sz w:val="16"/>
                <w:szCs w:val="16"/>
                <w:lang w:val="en-US"/>
              </w:rPr>
              <w:t>,</w:t>
            </w:r>
            <w:r w:rsidRPr="00023D1D">
              <w:rPr>
                <w:sz w:val="16"/>
                <w:szCs w:val="16"/>
                <w:lang w:val="en-US"/>
              </w:rPr>
              <w:t xml:space="preserve">031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p>
          <w:p w14:paraId="1419F9DE"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013  0</w:t>
            </w:r>
            <w:r>
              <w:rPr>
                <w:sz w:val="16"/>
                <w:szCs w:val="16"/>
                <w:lang w:val="en-US"/>
              </w:rPr>
              <w:t>,</w:t>
            </w:r>
            <w:r w:rsidRPr="00023D1D">
              <w:rPr>
                <w:sz w:val="16"/>
                <w:szCs w:val="16"/>
                <w:lang w:val="en-US"/>
              </w:rPr>
              <w:t>014  0</w:t>
            </w:r>
            <w:r>
              <w:rPr>
                <w:sz w:val="16"/>
                <w:szCs w:val="16"/>
                <w:lang w:val="en-US"/>
              </w:rPr>
              <w:t>,</w:t>
            </w:r>
            <w:r w:rsidRPr="00023D1D">
              <w:rPr>
                <w:sz w:val="16"/>
                <w:szCs w:val="16"/>
                <w:lang w:val="en-US"/>
              </w:rPr>
              <w:t>016  0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022  0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031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032  0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036</w:t>
            </w:r>
          </w:p>
          <w:p w14:paraId="439383AD"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014  0</w:t>
            </w:r>
            <w:r>
              <w:rPr>
                <w:sz w:val="16"/>
                <w:szCs w:val="16"/>
                <w:lang w:val="en-US"/>
              </w:rPr>
              <w:t>,</w:t>
            </w:r>
            <w:r w:rsidRPr="00023D1D">
              <w:rPr>
                <w:sz w:val="16"/>
                <w:szCs w:val="16"/>
                <w:lang w:val="en-US"/>
              </w:rPr>
              <w:t>016  0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021  0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031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r w:rsidRPr="00023D1D">
              <w:rPr>
                <w:sz w:val="16"/>
                <w:szCs w:val="16"/>
                <w:lang w:val="en-US"/>
              </w:rPr>
              <w:t xml:space="preserve">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037  0</w:t>
            </w:r>
            <w:r>
              <w:rPr>
                <w:sz w:val="16"/>
                <w:szCs w:val="16"/>
                <w:lang w:val="en-US"/>
              </w:rPr>
              <w:t>,</w:t>
            </w:r>
            <w:r w:rsidRPr="00023D1D">
              <w:rPr>
                <w:sz w:val="16"/>
                <w:szCs w:val="16"/>
                <w:lang w:val="en-US"/>
              </w:rPr>
              <w:t>039</w:t>
            </w:r>
          </w:p>
          <w:p w14:paraId="0D2F6F60"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015  0</w:t>
            </w:r>
            <w:r>
              <w:rPr>
                <w:sz w:val="16"/>
                <w:szCs w:val="16"/>
                <w:lang w:val="en-US"/>
              </w:rPr>
              <w:t>,</w:t>
            </w:r>
            <w:r w:rsidRPr="00023D1D">
              <w:rPr>
                <w:sz w:val="16"/>
                <w:szCs w:val="16"/>
                <w:lang w:val="en-US"/>
              </w:rPr>
              <w:t>017  0</w:t>
            </w:r>
            <w:r>
              <w:rPr>
                <w:sz w:val="16"/>
                <w:szCs w:val="16"/>
                <w:lang w:val="en-US"/>
              </w:rPr>
              <w:t>,</w:t>
            </w:r>
            <w:r w:rsidRPr="00023D1D">
              <w:rPr>
                <w:sz w:val="16"/>
                <w:szCs w:val="16"/>
                <w:lang w:val="en-US"/>
              </w:rPr>
              <w:t>019  0</w:t>
            </w:r>
            <w:r>
              <w:rPr>
                <w:sz w:val="16"/>
                <w:szCs w:val="16"/>
                <w:lang w:val="en-US"/>
              </w:rPr>
              <w:t>,</w:t>
            </w:r>
            <w:r w:rsidRPr="00023D1D">
              <w:rPr>
                <w:sz w:val="16"/>
                <w:szCs w:val="16"/>
                <w:lang w:val="en-US"/>
              </w:rPr>
              <w:t>021  0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032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040  0</w:t>
            </w:r>
            <w:r>
              <w:rPr>
                <w:sz w:val="16"/>
                <w:szCs w:val="16"/>
                <w:lang w:val="en-US"/>
              </w:rPr>
              <w:t>,</w:t>
            </w:r>
            <w:r w:rsidRPr="00023D1D">
              <w:rPr>
                <w:sz w:val="16"/>
                <w:szCs w:val="16"/>
                <w:lang w:val="en-US"/>
              </w:rPr>
              <w:t>042</w:t>
            </w:r>
          </w:p>
          <w:p w14:paraId="6FD05C16"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016  0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032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045</w:t>
            </w:r>
          </w:p>
          <w:p w14:paraId="2769AA42" w14:textId="0156D92D"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017  0</w:t>
            </w:r>
            <w:r>
              <w:rPr>
                <w:sz w:val="16"/>
                <w:szCs w:val="16"/>
                <w:lang w:val="en-US"/>
              </w:rPr>
              <w:t>,</w:t>
            </w:r>
            <w:r w:rsidRPr="00023D1D">
              <w:rPr>
                <w:sz w:val="16"/>
                <w:szCs w:val="16"/>
                <w:lang w:val="en-US"/>
              </w:rPr>
              <w:t>019  0</w:t>
            </w:r>
            <w:r>
              <w:rPr>
                <w:sz w:val="16"/>
                <w:szCs w:val="16"/>
                <w:lang w:val="en-US"/>
              </w:rPr>
              <w:t>,</w:t>
            </w:r>
            <w:r w:rsidRPr="00023D1D">
              <w:rPr>
                <w:sz w:val="16"/>
                <w:szCs w:val="16"/>
                <w:lang w:val="en-US"/>
              </w:rPr>
              <w:t>022  0</w:t>
            </w:r>
            <w:r>
              <w:rPr>
                <w:sz w:val="16"/>
                <w:szCs w:val="16"/>
                <w:lang w:val="en-US"/>
              </w:rPr>
              <w:t>,</w:t>
            </w:r>
            <w:r w:rsidRPr="00023D1D">
              <w:rPr>
                <w:sz w:val="16"/>
                <w:szCs w:val="16"/>
                <w:lang w:val="en-US"/>
              </w:rPr>
              <w:t>024  0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031 </w:t>
            </w:r>
            <w:r w:rsidR="00D719F8">
              <w:rPr>
                <w:sz w:val="16"/>
                <w:szCs w:val="16"/>
                <w:lang w:val="en-US"/>
              </w:rPr>
              <w:t xml:space="preserve">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039  0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048</w:t>
            </w:r>
          </w:p>
          <w:p w14:paraId="1BB57FF8"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018  0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028  0</w:t>
            </w:r>
            <w:r>
              <w:rPr>
                <w:sz w:val="16"/>
                <w:szCs w:val="16"/>
                <w:lang w:val="en-US"/>
              </w:rPr>
              <w:t>,</w:t>
            </w:r>
            <w:r w:rsidRPr="00023D1D">
              <w:rPr>
                <w:sz w:val="16"/>
                <w:szCs w:val="16"/>
                <w:lang w:val="en-US"/>
              </w:rPr>
              <w:t xml:space="preserve">031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r w:rsidRPr="00023D1D">
              <w:rPr>
                <w:sz w:val="16"/>
                <w:szCs w:val="16"/>
                <w:lang w:val="en-US"/>
              </w:rPr>
              <w:t xml:space="preserve">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048  0</w:t>
            </w:r>
            <w:r>
              <w:rPr>
                <w:sz w:val="16"/>
                <w:szCs w:val="16"/>
                <w:lang w:val="en-US"/>
              </w:rPr>
              <w:t>,</w:t>
            </w:r>
            <w:r w:rsidRPr="00023D1D">
              <w:rPr>
                <w:sz w:val="16"/>
                <w:szCs w:val="16"/>
                <w:lang w:val="en-US"/>
              </w:rPr>
              <w:t>051</w:t>
            </w:r>
          </w:p>
          <w:p w14:paraId="1CFB0657" w14:textId="6CEE37A3"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019  0</w:t>
            </w:r>
            <w:r>
              <w:rPr>
                <w:sz w:val="16"/>
                <w:szCs w:val="16"/>
                <w:lang w:val="en-US"/>
              </w:rPr>
              <w:t>,</w:t>
            </w:r>
            <w:r w:rsidRPr="00023D1D">
              <w:rPr>
                <w:sz w:val="16"/>
                <w:szCs w:val="16"/>
                <w:lang w:val="en-US"/>
              </w:rPr>
              <w:t xml:space="preserve">022 </w:t>
            </w:r>
            <w:r w:rsidR="00975B4A">
              <w:rPr>
                <w:sz w:val="16"/>
                <w:szCs w:val="16"/>
                <w:lang w:val="en-US"/>
              </w:rPr>
              <w:t xml:space="preserve"> </w:t>
            </w:r>
            <w:r w:rsidRPr="00023D1D">
              <w:rPr>
                <w:sz w:val="16"/>
                <w:szCs w:val="16"/>
                <w:lang w:val="en-US"/>
              </w:rPr>
              <w:t>0</w:t>
            </w:r>
            <w:r>
              <w:rPr>
                <w:sz w:val="16"/>
                <w:szCs w:val="16"/>
                <w:lang w:val="en-US"/>
              </w:rPr>
              <w:t>,</w:t>
            </w:r>
            <w:r w:rsidRPr="00023D1D">
              <w:rPr>
                <w:sz w:val="16"/>
                <w:szCs w:val="16"/>
                <w:lang w:val="en-US"/>
              </w:rPr>
              <w:t>024  0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030  0</w:t>
            </w:r>
            <w:r>
              <w:rPr>
                <w:sz w:val="16"/>
                <w:szCs w:val="16"/>
                <w:lang w:val="en-US"/>
              </w:rPr>
              <w:t>,</w:t>
            </w:r>
            <w:r w:rsidRPr="00023D1D">
              <w:rPr>
                <w:sz w:val="16"/>
                <w:szCs w:val="16"/>
                <w:lang w:val="en-US"/>
              </w:rPr>
              <w:t>032  0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049  0</w:t>
            </w:r>
            <w:r>
              <w:rPr>
                <w:sz w:val="16"/>
                <w:szCs w:val="16"/>
                <w:lang w:val="en-US"/>
              </w:rPr>
              <w:t>,</w:t>
            </w:r>
            <w:r w:rsidRPr="00023D1D">
              <w:rPr>
                <w:sz w:val="16"/>
                <w:szCs w:val="16"/>
                <w:lang w:val="en-US"/>
              </w:rPr>
              <w:t>051  0</w:t>
            </w:r>
            <w:r>
              <w:rPr>
                <w:sz w:val="16"/>
                <w:szCs w:val="16"/>
                <w:lang w:val="en-US"/>
              </w:rPr>
              <w:t>,</w:t>
            </w:r>
            <w:r w:rsidRPr="00023D1D">
              <w:rPr>
                <w:sz w:val="16"/>
                <w:szCs w:val="16"/>
                <w:lang w:val="en-US"/>
              </w:rPr>
              <w:t>054</w:t>
            </w:r>
          </w:p>
          <w:p w14:paraId="652F08C0"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020  0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 xml:space="preserve">031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037  0</w:t>
            </w:r>
            <w:r>
              <w:rPr>
                <w:sz w:val="16"/>
                <w:szCs w:val="16"/>
                <w:lang w:val="en-US"/>
              </w:rPr>
              <w:t>,</w:t>
            </w:r>
            <w:r w:rsidRPr="00023D1D">
              <w:rPr>
                <w:sz w:val="16"/>
                <w:szCs w:val="16"/>
                <w:lang w:val="en-US"/>
              </w:rPr>
              <w:t>040  0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048  0</w:t>
            </w:r>
            <w:r>
              <w:rPr>
                <w:sz w:val="16"/>
                <w:szCs w:val="16"/>
                <w:lang w:val="en-US"/>
              </w:rPr>
              <w:t>,</w:t>
            </w:r>
            <w:r w:rsidRPr="00023D1D">
              <w:rPr>
                <w:sz w:val="16"/>
                <w:szCs w:val="16"/>
                <w:lang w:val="en-US"/>
              </w:rPr>
              <w:t>051  0</w:t>
            </w:r>
            <w:r>
              <w:rPr>
                <w:sz w:val="16"/>
                <w:szCs w:val="16"/>
                <w:lang w:val="en-US"/>
              </w:rPr>
              <w:t>,</w:t>
            </w:r>
            <w:r w:rsidRPr="00023D1D">
              <w:rPr>
                <w:sz w:val="16"/>
                <w:szCs w:val="16"/>
                <w:lang w:val="en-US"/>
              </w:rPr>
              <w:t>054  0</w:t>
            </w:r>
            <w:r>
              <w:rPr>
                <w:sz w:val="16"/>
                <w:szCs w:val="16"/>
                <w:lang w:val="en-US"/>
              </w:rPr>
              <w:t>,</w:t>
            </w:r>
            <w:r w:rsidRPr="00023D1D">
              <w:rPr>
                <w:sz w:val="16"/>
                <w:szCs w:val="16"/>
                <w:lang w:val="en-US"/>
              </w:rPr>
              <w:t>057</w:t>
            </w:r>
          </w:p>
          <w:p w14:paraId="586FA316"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021  0</w:t>
            </w:r>
            <w:r>
              <w:rPr>
                <w:sz w:val="16"/>
                <w:szCs w:val="16"/>
                <w:lang w:val="en-US"/>
              </w:rPr>
              <w:t>,</w:t>
            </w:r>
            <w:r w:rsidRPr="00023D1D">
              <w:rPr>
                <w:sz w:val="16"/>
                <w:szCs w:val="16"/>
                <w:lang w:val="en-US"/>
              </w:rPr>
              <w:t>024  0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 xml:space="preserve">030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r w:rsidRPr="00023D1D">
              <w:rPr>
                <w:sz w:val="16"/>
                <w:szCs w:val="16"/>
                <w:lang w:val="en-US"/>
              </w:rPr>
              <w:t xml:space="preserve">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039  0</w:t>
            </w:r>
            <w:r>
              <w:rPr>
                <w:sz w:val="16"/>
                <w:szCs w:val="16"/>
                <w:lang w:val="en-US"/>
              </w:rPr>
              <w:t>,</w:t>
            </w:r>
            <w:r w:rsidRPr="00023D1D">
              <w:rPr>
                <w:sz w:val="16"/>
                <w:szCs w:val="16"/>
                <w:lang w:val="en-US"/>
              </w:rPr>
              <w:t>042  0</w:t>
            </w:r>
            <w:r>
              <w:rPr>
                <w:sz w:val="16"/>
                <w:szCs w:val="16"/>
                <w:lang w:val="en-US"/>
              </w:rPr>
              <w:t>,</w:t>
            </w:r>
            <w:r w:rsidRPr="00023D1D">
              <w:rPr>
                <w:sz w:val="16"/>
                <w:szCs w:val="16"/>
                <w:lang w:val="en-US"/>
              </w:rPr>
              <w:t>045  0</w:t>
            </w:r>
            <w:r>
              <w:rPr>
                <w:sz w:val="16"/>
                <w:szCs w:val="16"/>
                <w:lang w:val="en-US"/>
              </w:rPr>
              <w:t>,</w:t>
            </w:r>
            <w:r w:rsidRPr="00023D1D">
              <w:rPr>
                <w:sz w:val="16"/>
                <w:szCs w:val="16"/>
                <w:lang w:val="en-US"/>
              </w:rPr>
              <w:t>048  0</w:t>
            </w:r>
            <w:r>
              <w:rPr>
                <w:sz w:val="16"/>
                <w:szCs w:val="16"/>
                <w:lang w:val="en-US"/>
              </w:rPr>
              <w:t>,</w:t>
            </w:r>
            <w:r w:rsidRPr="00023D1D">
              <w:rPr>
                <w:sz w:val="16"/>
                <w:szCs w:val="16"/>
                <w:lang w:val="en-US"/>
              </w:rPr>
              <w:t>051  0</w:t>
            </w:r>
            <w:r>
              <w:rPr>
                <w:sz w:val="16"/>
                <w:szCs w:val="16"/>
                <w:lang w:val="en-US"/>
              </w:rPr>
              <w:t>,</w:t>
            </w:r>
            <w:r w:rsidRPr="00023D1D">
              <w:rPr>
                <w:sz w:val="16"/>
                <w:szCs w:val="16"/>
                <w:lang w:val="en-US"/>
              </w:rPr>
              <w:t>054  0</w:t>
            </w:r>
            <w:r>
              <w:rPr>
                <w:sz w:val="16"/>
                <w:szCs w:val="16"/>
                <w:lang w:val="en-US"/>
              </w:rPr>
              <w:t>,</w:t>
            </w:r>
            <w:r w:rsidRPr="00023D1D">
              <w:rPr>
                <w:sz w:val="16"/>
                <w:szCs w:val="16"/>
                <w:lang w:val="en-US"/>
              </w:rPr>
              <w:t>057  0</w:t>
            </w:r>
            <w:r>
              <w:rPr>
                <w:sz w:val="16"/>
                <w:szCs w:val="16"/>
                <w:lang w:val="en-US"/>
              </w:rPr>
              <w:t>,</w:t>
            </w:r>
            <w:r w:rsidRPr="00023D1D">
              <w:rPr>
                <w:sz w:val="16"/>
                <w:szCs w:val="16"/>
                <w:lang w:val="en-US"/>
              </w:rPr>
              <w:t>060</w:t>
            </w:r>
          </w:p>
          <w:p w14:paraId="4DD06E10"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022  0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028  0</w:t>
            </w:r>
            <w:r>
              <w:rPr>
                <w:sz w:val="16"/>
                <w:szCs w:val="16"/>
                <w:lang w:val="en-US"/>
              </w:rPr>
              <w:t>,</w:t>
            </w:r>
            <w:r w:rsidRPr="00023D1D">
              <w:rPr>
                <w:sz w:val="16"/>
                <w:szCs w:val="16"/>
                <w:lang w:val="en-US"/>
              </w:rPr>
              <w:t>032  0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044  0</w:t>
            </w:r>
            <w:r>
              <w:rPr>
                <w:sz w:val="16"/>
                <w:szCs w:val="16"/>
                <w:lang w:val="en-US"/>
              </w:rPr>
              <w:t>,</w:t>
            </w:r>
            <w:r w:rsidRPr="00023D1D">
              <w:rPr>
                <w:sz w:val="16"/>
                <w:szCs w:val="16"/>
                <w:lang w:val="en-US"/>
              </w:rPr>
              <w:t>047  0</w:t>
            </w:r>
            <w:r>
              <w:rPr>
                <w:sz w:val="16"/>
                <w:szCs w:val="16"/>
                <w:lang w:val="en-US"/>
              </w:rPr>
              <w:t>,</w:t>
            </w:r>
            <w:r w:rsidRPr="00023D1D">
              <w:rPr>
                <w:sz w:val="16"/>
                <w:szCs w:val="16"/>
                <w:lang w:val="en-US"/>
              </w:rPr>
              <w:t>050  0</w:t>
            </w:r>
            <w:r>
              <w:rPr>
                <w:sz w:val="16"/>
                <w:szCs w:val="16"/>
                <w:lang w:val="en-US"/>
              </w:rPr>
              <w:t>,</w:t>
            </w:r>
            <w:r w:rsidRPr="00023D1D">
              <w:rPr>
                <w:sz w:val="16"/>
                <w:szCs w:val="16"/>
                <w:lang w:val="en-US"/>
              </w:rPr>
              <w:t>054  0</w:t>
            </w:r>
            <w:r>
              <w:rPr>
                <w:sz w:val="16"/>
                <w:szCs w:val="16"/>
                <w:lang w:val="en-US"/>
              </w:rPr>
              <w:t>,</w:t>
            </w:r>
            <w:r w:rsidRPr="00023D1D">
              <w:rPr>
                <w:sz w:val="16"/>
                <w:szCs w:val="16"/>
                <w:lang w:val="en-US"/>
              </w:rPr>
              <w:t>057  0</w:t>
            </w:r>
            <w:r>
              <w:rPr>
                <w:sz w:val="16"/>
                <w:szCs w:val="16"/>
                <w:lang w:val="en-US"/>
              </w:rPr>
              <w:t>,</w:t>
            </w:r>
            <w:r w:rsidRPr="00023D1D">
              <w:rPr>
                <w:sz w:val="16"/>
                <w:szCs w:val="16"/>
                <w:lang w:val="en-US"/>
              </w:rPr>
              <w:t>060  0</w:t>
            </w:r>
            <w:r>
              <w:rPr>
                <w:sz w:val="16"/>
                <w:szCs w:val="16"/>
                <w:lang w:val="en-US"/>
              </w:rPr>
              <w:t>,</w:t>
            </w:r>
            <w:r w:rsidRPr="00023D1D">
              <w:rPr>
                <w:sz w:val="16"/>
                <w:szCs w:val="16"/>
                <w:lang w:val="en-US"/>
              </w:rPr>
              <w:t>063</w:t>
            </w:r>
          </w:p>
          <w:p w14:paraId="501B4B4E"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023  0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 xml:space="preserve">030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r w:rsidRPr="00023D1D">
              <w:rPr>
                <w:sz w:val="16"/>
                <w:szCs w:val="16"/>
                <w:lang w:val="en-US"/>
              </w:rPr>
              <w:t xml:space="preserve">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040  0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050  0</w:t>
            </w:r>
            <w:r>
              <w:rPr>
                <w:sz w:val="16"/>
                <w:szCs w:val="16"/>
                <w:lang w:val="en-US"/>
              </w:rPr>
              <w:t>,</w:t>
            </w:r>
            <w:r w:rsidRPr="00023D1D">
              <w:rPr>
                <w:sz w:val="16"/>
                <w:szCs w:val="16"/>
                <w:lang w:val="en-US"/>
              </w:rPr>
              <w:t>053  0</w:t>
            </w:r>
            <w:r>
              <w:rPr>
                <w:sz w:val="16"/>
                <w:szCs w:val="16"/>
                <w:lang w:val="en-US"/>
              </w:rPr>
              <w:t>,</w:t>
            </w:r>
            <w:r w:rsidRPr="00023D1D">
              <w:rPr>
                <w:sz w:val="16"/>
                <w:szCs w:val="16"/>
                <w:lang w:val="en-US"/>
              </w:rPr>
              <w:t>056  0</w:t>
            </w:r>
            <w:r>
              <w:rPr>
                <w:sz w:val="16"/>
                <w:szCs w:val="16"/>
                <w:lang w:val="en-US"/>
              </w:rPr>
              <w:t>,</w:t>
            </w:r>
            <w:r w:rsidRPr="00023D1D">
              <w:rPr>
                <w:sz w:val="16"/>
                <w:szCs w:val="16"/>
                <w:lang w:val="en-US"/>
              </w:rPr>
              <w:t>059  0</w:t>
            </w:r>
            <w:r>
              <w:rPr>
                <w:sz w:val="16"/>
                <w:szCs w:val="16"/>
                <w:lang w:val="en-US"/>
              </w:rPr>
              <w:t>,</w:t>
            </w:r>
            <w:r w:rsidRPr="00023D1D">
              <w:rPr>
                <w:sz w:val="16"/>
                <w:szCs w:val="16"/>
                <w:lang w:val="en-US"/>
              </w:rPr>
              <w:t>063  0</w:t>
            </w:r>
            <w:r>
              <w:rPr>
                <w:sz w:val="16"/>
                <w:szCs w:val="16"/>
                <w:lang w:val="en-US"/>
              </w:rPr>
              <w:t>,</w:t>
            </w:r>
            <w:r w:rsidRPr="00023D1D">
              <w:rPr>
                <w:sz w:val="16"/>
                <w:szCs w:val="16"/>
                <w:lang w:val="en-US"/>
              </w:rPr>
              <w:t>066</w:t>
            </w:r>
          </w:p>
          <w:p w14:paraId="4224D3F7"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024  0</w:t>
            </w:r>
            <w:r>
              <w:rPr>
                <w:sz w:val="16"/>
                <w:szCs w:val="16"/>
                <w:lang w:val="en-US"/>
              </w:rPr>
              <w:t>,</w:t>
            </w:r>
            <w:r w:rsidRPr="00023D1D">
              <w:rPr>
                <w:sz w:val="16"/>
                <w:szCs w:val="16"/>
                <w:lang w:val="en-US"/>
              </w:rPr>
              <w:t>028  0</w:t>
            </w:r>
            <w:r>
              <w:rPr>
                <w:sz w:val="16"/>
                <w:szCs w:val="16"/>
                <w:lang w:val="en-US"/>
              </w:rPr>
              <w:t>,</w:t>
            </w:r>
            <w:r w:rsidRPr="00023D1D">
              <w:rPr>
                <w:sz w:val="16"/>
                <w:szCs w:val="16"/>
                <w:lang w:val="en-US"/>
              </w:rPr>
              <w:t>031  0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045  0</w:t>
            </w:r>
            <w:r>
              <w:rPr>
                <w:sz w:val="16"/>
                <w:szCs w:val="16"/>
                <w:lang w:val="en-US"/>
              </w:rPr>
              <w:t>,</w:t>
            </w:r>
            <w:r w:rsidRPr="00023D1D">
              <w:rPr>
                <w:sz w:val="16"/>
                <w:szCs w:val="16"/>
                <w:lang w:val="en-US"/>
              </w:rPr>
              <w:t>048  0</w:t>
            </w:r>
            <w:r>
              <w:rPr>
                <w:sz w:val="16"/>
                <w:szCs w:val="16"/>
                <w:lang w:val="en-US"/>
              </w:rPr>
              <w:t>,</w:t>
            </w:r>
            <w:r w:rsidRPr="00023D1D">
              <w:rPr>
                <w:sz w:val="16"/>
                <w:szCs w:val="16"/>
                <w:lang w:val="en-US"/>
              </w:rPr>
              <w:t>052  0</w:t>
            </w:r>
            <w:r>
              <w:rPr>
                <w:sz w:val="16"/>
                <w:szCs w:val="16"/>
                <w:lang w:val="en-US"/>
              </w:rPr>
              <w:t>,</w:t>
            </w:r>
            <w:r w:rsidRPr="00023D1D">
              <w:rPr>
                <w:sz w:val="16"/>
                <w:szCs w:val="16"/>
                <w:lang w:val="en-US"/>
              </w:rPr>
              <w:t>055  0</w:t>
            </w:r>
            <w:r>
              <w:rPr>
                <w:sz w:val="16"/>
                <w:szCs w:val="16"/>
                <w:lang w:val="en-US"/>
              </w:rPr>
              <w:t>,</w:t>
            </w:r>
            <w:r w:rsidRPr="00023D1D">
              <w:rPr>
                <w:sz w:val="16"/>
                <w:szCs w:val="16"/>
                <w:lang w:val="en-US"/>
              </w:rPr>
              <w:t>059  0</w:t>
            </w:r>
            <w:r>
              <w:rPr>
                <w:sz w:val="16"/>
                <w:szCs w:val="16"/>
                <w:lang w:val="en-US"/>
              </w:rPr>
              <w:t>,</w:t>
            </w:r>
            <w:r w:rsidRPr="00023D1D">
              <w:rPr>
                <w:sz w:val="16"/>
                <w:szCs w:val="16"/>
                <w:lang w:val="en-US"/>
              </w:rPr>
              <w:t>062  0</w:t>
            </w:r>
            <w:r>
              <w:rPr>
                <w:sz w:val="16"/>
                <w:szCs w:val="16"/>
                <w:lang w:val="en-US"/>
              </w:rPr>
              <w:t>,</w:t>
            </w:r>
            <w:r w:rsidRPr="00023D1D">
              <w:rPr>
                <w:sz w:val="16"/>
                <w:szCs w:val="16"/>
                <w:lang w:val="en-US"/>
              </w:rPr>
              <w:t>066  0</w:t>
            </w:r>
            <w:r>
              <w:rPr>
                <w:sz w:val="16"/>
                <w:szCs w:val="16"/>
                <w:lang w:val="en-US"/>
              </w:rPr>
              <w:t>,</w:t>
            </w:r>
            <w:r w:rsidRPr="00023D1D">
              <w:rPr>
                <w:sz w:val="16"/>
                <w:szCs w:val="16"/>
                <w:lang w:val="en-US"/>
              </w:rPr>
              <w:t>069</w:t>
            </w:r>
          </w:p>
          <w:p w14:paraId="19E48266"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025  0</w:t>
            </w:r>
            <w:r>
              <w:rPr>
                <w:sz w:val="16"/>
                <w:szCs w:val="16"/>
                <w:lang w:val="en-US"/>
              </w:rPr>
              <w:t>,</w:t>
            </w:r>
            <w:r w:rsidRPr="00023D1D">
              <w:rPr>
                <w:sz w:val="16"/>
                <w:szCs w:val="16"/>
                <w:lang w:val="en-US"/>
              </w:rPr>
              <w:t>029  0</w:t>
            </w:r>
            <w:r>
              <w:rPr>
                <w:sz w:val="16"/>
                <w:szCs w:val="16"/>
                <w:lang w:val="en-US"/>
              </w:rPr>
              <w:t>,</w:t>
            </w:r>
            <w:r w:rsidRPr="00023D1D">
              <w:rPr>
                <w:sz w:val="16"/>
                <w:szCs w:val="16"/>
                <w:lang w:val="en-US"/>
              </w:rPr>
              <w:t>032  0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040  0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047  0</w:t>
            </w:r>
            <w:r>
              <w:rPr>
                <w:sz w:val="16"/>
                <w:szCs w:val="16"/>
                <w:lang w:val="en-US"/>
              </w:rPr>
              <w:t>,</w:t>
            </w:r>
            <w:r w:rsidRPr="00023D1D">
              <w:rPr>
                <w:sz w:val="16"/>
                <w:szCs w:val="16"/>
                <w:lang w:val="en-US"/>
              </w:rPr>
              <w:t>050  0</w:t>
            </w:r>
            <w:r>
              <w:rPr>
                <w:sz w:val="16"/>
                <w:szCs w:val="16"/>
                <w:lang w:val="en-US"/>
              </w:rPr>
              <w:t>,</w:t>
            </w:r>
            <w:r w:rsidRPr="00023D1D">
              <w:rPr>
                <w:sz w:val="16"/>
                <w:szCs w:val="16"/>
                <w:lang w:val="en-US"/>
              </w:rPr>
              <w:t>054  0</w:t>
            </w:r>
            <w:r>
              <w:rPr>
                <w:sz w:val="16"/>
                <w:szCs w:val="16"/>
                <w:lang w:val="en-US"/>
              </w:rPr>
              <w:t>,</w:t>
            </w:r>
            <w:r w:rsidRPr="00023D1D">
              <w:rPr>
                <w:sz w:val="16"/>
                <w:szCs w:val="16"/>
                <w:lang w:val="en-US"/>
              </w:rPr>
              <w:t>058  0</w:t>
            </w:r>
            <w:r>
              <w:rPr>
                <w:sz w:val="16"/>
                <w:szCs w:val="16"/>
                <w:lang w:val="en-US"/>
              </w:rPr>
              <w:t>,</w:t>
            </w:r>
            <w:r w:rsidRPr="00023D1D">
              <w:rPr>
                <w:sz w:val="16"/>
                <w:szCs w:val="16"/>
                <w:lang w:val="en-US"/>
              </w:rPr>
              <w:t>061  0</w:t>
            </w:r>
            <w:r>
              <w:rPr>
                <w:sz w:val="16"/>
                <w:szCs w:val="16"/>
                <w:lang w:val="en-US"/>
              </w:rPr>
              <w:t>,</w:t>
            </w:r>
            <w:r w:rsidRPr="00023D1D">
              <w:rPr>
                <w:sz w:val="16"/>
                <w:szCs w:val="16"/>
                <w:lang w:val="en-US"/>
              </w:rPr>
              <w:t>065  0</w:t>
            </w:r>
            <w:r>
              <w:rPr>
                <w:sz w:val="16"/>
                <w:szCs w:val="16"/>
                <w:lang w:val="en-US"/>
              </w:rPr>
              <w:t>,</w:t>
            </w:r>
            <w:r w:rsidRPr="00023D1D">
              <w:rPr>
                <w:sz w:val="16"/>
                <w:szCs w:val="16"/>
                <w:lang w:val="en-US"/>
              </w:rPr>
              <w:t>068  0</w:t>
            </w:r>
            <w:r>
              <w:rPr>
                <w:sz w:val="16"/>
                <w:szCs w:val="16"/>
                <w:lang w:val="en-US"/>
              </w:rPr>
              <w:t>,</w:t>
            </w:r>
            <w:r w:rsidRPr="00023D1D">
              <w:rPr>
                <w:sz w:val="16"/>
                <w:szCs w:val="16"/>
                <w:lang w:val="en-US"/>
              </w:rPr>
              <w:t>072</w:t>
            </w:r>
          </w:p>
          <w:p w14:paraId="6E6B4A75"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026  0</w:t>
            </w:r>
            <w:r>
              <w:rPr>
                <w:sz w:val="16"/>
                <w:szCs w:val="16"/>
                <w:lang w:val="en-US"/>
              </w:rPr>
              <w:t>,</w:t>
            </w:r>
            <w:r w:rsidRPr="00023D1D">
              <w:rPr>
                <w:sz w:val="16"/>
                <w:szCs w:val="16"/>
                <w:lang w:val="en-US"/>
              </w:rPr>
              <w:t xml:space="preserve">030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045  0</w:t>
            </w:r>
            <w:r>
              <w:rPr>
                <w:sz w:val="16"/>
                <w:szCs w:val="16"/>
                <w:lang w:val="en-US"/>
              </w:rPr>
              <w:t>,</w:t>
            </w:r>
            <w:r w:rsidRPr="00023D1D">
              <w:rPr>
                <w:sz w:val="16"/>
                <w:szCs w:val="16"/>
                <w:lang w:val="en-US"/>
              </w:rPr>
              <w:t>049  0</w:t>
            </w:r>
            <w:r>
              <w:rPr>
                <w:sz w:val="16"/>
                <w:szCs w:val="16"/>
                <w:lang w:val="en-US"/>
              </w:rPr>
              <w:t>,</w:t>
            </w:r>
            <w:r w:rsidRPr="00023D1D">
              <w:rPr>
                <w:sz w:val="16"/>
                <w:szCs w:val="16"/>
                <w:lang w:val="en-US"/>
              </w:rPr>
              <w:t>053  0</w:t>
            </w:r>
            <w:r>
              <w:rPr>
                <w:sz w:val="16"/>
                <w:szCs w:val="16"/>
                <w:lang w:val="en-US"/>
              </w:rPr>
              <w:t>,</w:t>
            </w:r>
            <w:r w:rsidRPr="00023D1D">
              <w:rPr>
                <w:sz w:val="16"/>
                <w:szCs w:val="16"/>
                <w:lang w:val="en-US"/>
              </w:rPr>
              <w:t>056  0</w:t>
            </w:r>
            <w:r>
              <w:rPr>
                <w:sz w:val="16"/>
                <w:szCs w:val="16"/>
                <w:lang w:val="en-US"/>
              </w:rPr>
              <w:t>,</w:t>
            </w:r>
            <w:r w:rsidRPr="00023D1D">
              <w:rPr>
                <w:sz w:val="16"/>
                <w:szCs w:val="16"/>
                <w:lang w:val="en-US"/>
              </w:rPr>
              <w:t>060  0</w:t>
            </w:r>
            <w:r>
              <w:rPr>
                <w:sz w:val="16"/>
                <w:szCs w:val="16"/>
                <w:lang w:val="en-US"/>
              </w:rPr>
              <w:t>,</w:t>
            </w:r>
            <w:r w:rsidRPr="00023D1D">
              <w:rPr>
                <w:sz w:val="16"/>
                <w:szCs w:val="16"/>
                <w:lang w:val="en-US"/>
              </w:rPr>
              <w:t>064  0</w:t>
            </w:r>
            <w:r>
              <w:rPr>
                <w:sz w:val="16"/>
                <w:szCs w:val="16"/>
                <w:lang w:val="en-US"/>
              </w:rPr>
              <w:t>,</w:t>
            </w:r>
            <w:r w:rsidRPr="00023D1D">
              <w:rPr>
                <w:sz w:val="16"/>
                <w:szCs w:val="16"/>
                <w:lang w:val="en-US"/>
              </w:rPr>
              <w:t>068  0</w:t>
            </w:r>
            <w:r>
              <w:rPr>
                <w:sz w:val="16"/>
                <w:szCs w:val="16"/>
                <w:lang w:val="en-US"/>
              </w:rPr>
              <w:t>,</w:t>
            </w:r>
            <w:r w:rsidRPr="00023D1D">
              <w:rPr>
                <w:sz w:val="16"/>
                <w:szCs w:val="16"/>
                <w:lang w:val="en-US"/>
              </w:rPr>
              <w:t>071  0</w:t>
            </w:r>
            <w:r>
              <w:rPr>
                <w:sz w:val="16"/>
                <w:szCs w:val="16"/>
                <w:lang w:val="en-US"/>
              </w:rPr>
              <w:t>,</w:t>
            </w:r>
            <w:r w:rsidRPr="00023D1D">
              <w:rPr>
                <w:sz w:val="16"/>
                <w:szCs w:val="16"/>
                <w:lang w:val="en-US"/>
              </w:rPr>
              <w:t>075</w:t>
            </w:r>
          </w:p>
          <w:p w14:paraId="25146EAE"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027  0</w:t>
            </w:r>
            <w:r>
              <w:rPr>
                <w:sz w:val="16"/>
                <w:szCs w:val="16"/>
                <w:lang w:val="en-US"/>
              </w:rPr>
              <w:t>,</w:t>
            </w:r>
            <w:r w:rsidRPr="00023D1D">
              <w:rPr>
                <w:sz w:val="16"/>
                <w:szCs w:val="16"/>
                <w:lang w:val="en-US"/>
              </w:rPr>
              <w:t>031  0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039  0</w:t>
            </w:r>
            <w:r>
              <w:rPr>
                <w:sz w:val="16"/>
                <w:szCs w:val="16"/>
                <w:lang w:val="en-US"/>
              </w:rPr>
              <w:t>,</w:t>
            </w:r>
            <w:r w:rsidRPr="00023D1D">
              <w:rPr>
                <w:sz w:val="16"/>
                <w:szCs w:val="16"/>
                <w:lang w:val="en-US"/>
              </w:rPr>
              <w:t>043  0</w:t>
            </w:r>
            <w:r>
              <w:rPr>
                <w:sz w:val="16"/>
                <w:szCs w:val="16"/>
                <w:lang w:val="en-US"/>
              </w:rPr>
              <w:t>,</w:t>
            </w:r>
            <w:r w:rsidRPr="00023D1D">
              <w:rPr>
                <w:sz w:val="16"/>
                <w:szCs w:val="16"/>
                <w:lang w:val="en-US"/>
              </w:rPr>
              <w:t>047  0</w:t>
            </w:r>
            <w:r>
              <w:rPr>
                <w:sz w:val="16"/>
                <w:szCs w:val="16"/>
                <w:lang w:val="en-US"/>
              </w:rPr>
              <w:t>,</w:t>
            </w:r>
            <w:r w:rsidRPr="00023D1D">
              <w:rPr>
                <w:sz w:val="16"/>
                <w:szCs w:val="16"/>
                <w:lang w:val="en-US"/>
              </w:rPr>
              <w:t>051  0</w:t>
            </w:r>
            <w:r>
              <w:rPr>
                <w:sz w:val="16"/>
                <w:szCs w:val="16"/>
                <w:lang w:val="en-US"/>
              </w:rPr>
              <w:t>,</w:t>
            </w:r>
            <w:r w:rsidRPr="00023D1D">
              <w:rPr>
                <w:sz w:val="16"/>
                <w:szCs w:val="16"/>
                <w:lang w:val="en-US"/>
              </w:rPr>
              <w:t>055  0</w:t>
            </w:r>
            <w:r>
              <w:rPr>
                <w:sz w:val="16"/>
                <w:szCs w:val="16"/>
                <w:lang w:val="en-US"/>
              </w:rPr>
              <w:t>,</w:t>
            </w:r>
            <w:r w:rsidRPr="00023D1D">
              <w:rPr>
                <w:sz w:val="16"/>
                <w:szCs w:val="16"/>
                <w:lang w:val="en-US"/>
              </w:rPr>
              <w:t>059  0</w:t>
            </w:r>
            <w:r>
              <w:rPr>
                <w:sz w:val="16"/>
                <w:szCs w:val="16"/>
                <w:lang w:val="en-US"/>
              </w:rPr>
              <w:t>,</w:t>
            </w:r>
            <w:r w:rsidRPr="00023D1D">
              <w:rPr>
                <w:sz w:val="16"/>
                <w:szCs w:val="16"/>
                <w:lang w:val="en-US"/>
              </w:rPr>
              <w:t>062  0</w:t>
            </w:r>
            <w:r>
              <w:rPr>
                <w:sz w:val="16"/>
                <w:szCs w:val="16"/>
                <w:lang w:val="en-US"/>
              </w:rPr>
              <w:t>,</w:t>
            </w:r>
            <w:r w:rsidRPr="00023D1D">
              <w:rPr>
                <w:sz w:val="16"/>
                <w:szCs w:val="16"/>
                <w:lang w:val="en-US"/>
              </w:rPr>
              <w:t>066  0</w:t>
            </w:r>
            <w:r>
              <w:rPr>
                <w:sz w:val="16"/>
                <w:szCs w:val="16"/>
                <w:lang w:val="en-US"/>
              </w:rPr>
              <w:t>,</w:t>
            </w:r>
            <w:r w:rsidRPr="00023D1D">
              <w:rPr>
                <w:sz w:val="16"/>
                <w:szCs w:val="16"/>
                <w:lang w:val="en-US"/>
              </w:rPr>
              <w:t>070  0</w:t>
            </w:r>
            <w:r>
              <w:rPr>
                <w:sz w:val="16"/>
                <w:szCs w:val="16"/>
                <w:lang w:val="en-US"/>
              </w:rPr>
              <w:t>,</w:t>
            </w:r>
            <w:r w:rsidRPr="00023D1D">
              <w:rPr>
                <w:sz w:val="16"/>
                <w:szCs w:val="16"/>
                <w:lang w:val="en-US"/>
              </w:rPr>
              <w:t>074  0</w:t>
            </w:r>
            <w:r>
              <w:rPr>
                <w:sz w:val="16"/>
                <w:szCs w:val="16"/>
                <w:lang w:val="en-US"/>
              </w:rPr>
              <w:t>,</w:t>
            </w:r>
            <w:r w:rsidRPr="00023D1D">
              <w:rPr>
                <w:sz w:val="16"/>
                <w:szCs w:val="16"/>
                <w:lang w:val="en-US"/>
              </w:rPr>
              <w:t>078</w:t>
            </w:r>
          </w:p>
          <w:p w14:paraId="1BE6CC93"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028  0</w:t>
            </w:r>
            <w:r>
              <w:rPr>
                <w:sz w:val="16"/>
                <w:szCs w:val="16"/>
                <w:lang w:val="en-US"/>
              </w:rPr>
              <w:t>,</w:t>
            </w:r>
            <w:r w:rsidRPr="00023D1D">
              <w:rPr>
                <w:sz w:val="16"/>
                <w:szCs w:val="16"/>
                <w:lang w:val="en-US"/>
              </w:rPr>
              <w:t>032  0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045  0</w:t>
            </w:r>
            <w:r>
              <w:rPr>
                <w:sz w:val="16"/>
                <w:szCs w:val="16"/>
                <w:lang w:val="en-US"/>
              </w:rPr>
              <w:t>,</w:t>
            </w:r>
            <w:r w:rsidRPr="00023D1D">
              <w:rPr>
                <w:sz w:val="16"/>
                <w:szCs w:val="16"/>
                <w:lang w:val="en-US"/>
              </w:rPr>
              <w:t>049  0</w:t>
            </w:r>
            <w:r>
              <w:rPr>
                <w:sz w:val="16"/>
                <w:szCs w:val="16"/>
                <w:lang w:val="en-US"/>
              </w:rPr>
              <w:t>,</w:t>
            </w:r>
            <w:r w:rsidRPr="00023D1D">
              <w:rPr>
                <w:sz w:val="16"/>
                <w:szCs w:val="16"/>
                <w:lang w:val="en-US"/>
              </w:rPr>
              <w:t>053  0</w:t>
            </w:r>
            <w:r>
              <w:rPr>
                <w:sz w:val="16"/>
                <w:szCs w:val="16"/>
                <w:lang w:val="en-US"/>
              </w:rPr>
              <w:t>,</w:t>
            </w:r>
            <w:r w:rsidRPr="00023D1D">
              <w:rPr>
                <w:sz w:val="16"/>
                <w:szCs w:val="16"/>
                <w:lang w:val="en-US"/>
              </w:rPr>
              <w:t>057  0</w:t>
            </w:r>
            <w:r>
              <w:rPr>
                <w:sz w:val="16"/>
                <w:szCs w:val="16"/>
                <w:lang w:val="en-US"/>
              </w:rPr>
              <w:t>,</w:t>
            </w:r>
            <w:r w:rsidRPr="00023D1D">
              <w:rPr>
                <w:sz w:val="16"/>
                <w:szCs w:val="16"/>
                <w:lang w:val="en-US"/>
              </w:rPr>
              <w:t>061  0</w:t>
            </w:r>
            <w:r>
              <w:rPr>
                <w:sz w:val="16"/>
                <w:szCs w:val="16"/>
                <w:lang w:val="en-US"/>
              </w:rPr>
              <w:t>,</w:t>
            </w:r>
            <w:r w:rsidRPr="00023D1D">
              <w:rPr>
                <w:sz w:val="16"/>
                <w:szCs w:val="16"/>
                <w:lang w:val="en-US"/>
              </w:rPr>
              <w:t>065  0</w:t>
            </w:r>
            <w:r>
              <w:rPr>
                <w:sz w:val="16"/>
                <w:szCs w:val="16"/>
                <w:lang w:val="en-US"/>
              </w:rPr>
              <w:t>,</w:t>
            </w:r>
            <w:r w:rsidRPr="00023D1D">
              <w:rPr>
                <w:sz w:val="16"/>
                <w:szCs w:val="16"/>
                <w:lang w:val="en-US"/>
              </w:rPr>
              <w:t>069  0</w:t>
            </w:r>
            <w:r>
              <w:rPr>
                <w:sz w:val="16"/>
                <w:szCs w:val="16"/>
                <w:lang w:val="en-US"/>
              </w:rPr>
              <w:t>,</w:t>
            </w:r>
            <w:r w:rsidRPr="00023D1D">
              <w:rPr>
                <w:sz w:val="16"/>
                <w:szCs w:val="16"/>
                <w:lang w:val="en-US"/>
              </w:rPr>
              <w:t>073  0</w:t>
            </w:r>
            <w:r>
              <w:rPr>
                <w:sz w:val="16"/>
                <w:szCs w:val="16"/>
                <w:lang w:val="en-US"/>
              </w:rPr>
              <w:t>,</w:t>
            </w:r>
            <w:r w:rsidRPr="00023D1D">
              <w:rPr>
                <w:sz w:val="16"/>
                <w:szCs w:val="16"/>
                <w:lang w:val="en-US"/>
              </w:rPr>
              <w:t>077  0</w:t>
            </w:r>
            <w:r>
              <w:rPr>
                <w:sz w:val="16"/>
                <w:szCs w:val="16"/>
                <w:lang w:val="en-US"/>
              </w:rPr>
              <w:t>,</w:t>
            </w:r>
            <w:r w:rsidRPr="00023D1D">
              <w:rPr>
                <w:sz w:val="16"/>
                <w:szCs w:val="16"/>
                <w:lang w:val="en-US"/>
              </w:rPr>
              <w:t>081</w:t>
            </w:r>
          </w:p>
          <w:p w14:paraId="0042E232"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 xml:space="preserve">029  </w:t>
            </w: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034</w:t>
            </w:r>
            <w:r w:rsidRPr="00023D1D">
              <w:rPr>
                <w:sz w:val="16"/>
                <w:szCs w:val="16"/>
                <w:lang w:val="en-US"/>
              </w:rPr>
              <w:t xml:space="preserve">  0</w:t>
            </w:r>
            <w:r>
              <w:rPr>
                <w:sz w:val="16"/>
                <w:szCs w:val="16"/>
                <w:lang w:val="en-US"/>
              </w:rPr>
              <w:t>,</w:t>
            </w:r>
            <w:r w:rsidRPr="00023D1D">
              <w:rPr>
                <w:sz w:val="16"/>
                <w:szCs w:val="16"/>
                <w:lang w:val="en-US"/>
              </w:rPr>
              <w:t>038  0</w:t>
            </w:r>
            <w:r>
              <w:rPr>
                <w:sz w:val="16"/>
                <w:szCs w:val="16"/>
                <w:lang w:val="en-US"/>
              </w:rPr>
              <w:t>,</w:t>
            </w:r>
            <w:r w:rsidRPr="00023D1D">
              <w:rPr>
                <w:sz w:val="16"/>
                <w:szCs w:val="16"/>
                <w:lang w:val="en-US"/>
              </w:rPr>
              <w:t>042  0</w:t>
            </w:r>
            <w:r>
              <w:rPr>
                <w:sz w:val="16"/>
                <w:szCs w:val="16"/>
                <w:lang w:val="en-US"/>
              </w:rPr>
              <w:t>,</w:t>
            </w:r>
            <w:r w:rsidRPr="00023D1D">
              <w:rPr>
                <w:sz w:val="16"/>
                <w:szCs w:val="16"/>
                <w:lang w:val="en-US"/>
              </w:rPr>
              <w:t>046  0</w:t>
            </w:r>
            <w:r>
              <w:rPr>
                <w:sz w:val="16"/>
                <w:szCs w:val="16"/>
                <w:lang w:val="en-US"/>
              </w:rPr>
              <w:t>,</w:t>
            </w:r>
            <w:r w:rsidRPr="00023D1D">
              <w:rPr>
                <w:sz w:val="16"/>
                <w:szCs w:val="16"/>
                <w:lang w:val="en-US"/>
              </w:rPr>
              <w:t>050  0</w:t>
            </w:r>
            <w:r>
              <w:rPr>
                <w:sz w:val="16"/>
                <w:szCs w:val="16"/>
                <w:lang w:val="en-US"/>
              </w:rPr>
              <w:t>,</w:t>
            </w:r>
            <w:r w:rsidRPr="00023D1D">
              <w:rPr>
                <w:sz w:val="16"/>
                <w:szCs w:val="16"/>
                <w:lang w:val="en-US"/>
              </w:rPr>
              <w:t>055  0</w:t>
            </w:r>
            <w:r>
              <w:rPr>
                <w:sz w:val="16"/>
                <w:szCs w:val="16"/>
                <w:lang w:val="en-US"/>
              </w:rPr>
              <w:t>,</w:t>
            </w:r>
            <w:r w:rsidRPr="00023D1D">
              <w:rPr>
                <w:sz w:val="16"/>
                <w:szCs w:val="16"/>
                <w:lang w:val="en-US"/>
              </w:rPr>
              <w:t>059  0</w:t>
            </w:r>
            <w:r>
              <w:rPr>
                <w:sz w:val="16"/>
                <w:szCs w:val="16"/>
                <w:lang w:val="en-US"/>
              </w:rPr>
              <w:t>,</w:t>
            </w:r>
            <w:r w:rsidRPr="00023D1D">
              <w:rPr>
                <w:sz w:val="16"/>
                <w:szCs w:val="16"/>
                <w:lang w:val="en-US"/>
              </w:rPr>
              <w:t>063  0</w:t>
            </w:r>
            <w:r>
              <w:rPr>
                <w:sz w:val="16"/>
                <w:szCs w:val="16"/>
                <w:lang w:val="en-US"/>
              </w:rPr>
              <w:t>,</w:t>
            </w:r>
            <w:r w:rsidRPr="00023D1D">
              <w:rPr>
                <w:sz w:val="16"/>
                <w:szCs w:val="16"/>
                <w:lang w:val="en-US"/>
              </w:rPr>
              <w:t>067  0</w:t>
            </w:r>
            <w:r>
              <w:rPr>
                <w:sz w:val="16"/>
                <w:szCs w:val="16"/>
                <w:lang w:val="en-US"/>
              </w:rPr>
              <w:t>,</w:t>
            </w:r>
            <w:r w:rsidRPr="00023D1D">
              <w:rPr>
                <w:sz w:val="16"/>
                <w:szCs w:val="16"/>
                <w:lang w:val="en-US"/>
              </w:rPr>
              <w:t>071  0</w:t>
            </w:r>
            <w:r>
              <w:rPr>
                <w:sz w:val="16"/>
                <w:szCs w:val="16"/>
                <w:lang w:val="en-US"/>
              </w:rPr>
              <w:t>,</w:t>
            </w:r>
            <w:r w:rsidRPr="00023D1D">
              <w:rPr>
                <w:sz w:val="16"/>
                <w:szCs w:val="16"/>
                <w:lang w:val="en-US"/>
              </w:rPr>
              <w:t>076  0</w:t>
            </w:r>
            <w:r>
              <w:rPr>
                <w:sz w:val="16"/>
                <w:szCs w:val="16"/>
                <w:lang w:val="en-US"/>
              </w:rPr>
              <w:t>,</w:t>
            </w:r>
            <w:r w:rsidRPr="00023D1D">
              <w:rPr>
                <w:sz w:val="16"/>
                <w:szCs w:val="16"/>
                <w:lang w:val="en-US"/>
              </w:rPr>
              <w:t>080  0</w:t>
            </w:r>
            <w:r>
              <w:rPr>
                <w:sz w:val="16"/>
                <w:szCs w:val="16"/>
                <w:lang w:val="en-US"/>
              </w:rPr>
              <w:t>,</w:t>
            </w:r>
            <w:r w:rsidRPr="00023D1D">
              <w:rPr>
                <w:sz w:val="16"/>
                <w:szCs w:val="16"/>
                <w:lang w:val="en-US"/>
              </w:rPr>
              <w:t>084</w:t>
            </w:r>
          </w:p>
          <w:p w14:paraId="20EC53E2"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030  0</w:t>
            </w:r>
            <w:r>
              <w:rPr>
                <w:sz w:val="16"/>
                <w:szCs w:val="16"/>
                <w:lang w:val="en-US"/>
              </w:rPr>
              <w:t>,</w:t>
            </w:r>
            <w:r w:rsidRPr="00023D1D">
              <w:rPr>
                <w:sz w:val="16"/>
                <w:szCs w:val="16"/>
                <w:lang w:val="en-US"/>
              </w:rPr>
              <w:t>035  0</w:t>
            </w:r>
            <w:r>
              <w:rPr>
                <w:sz w:val="16"/>
                <w:szCs w:val="16"/>
                <w:lang w:val="en-US"/>
              </w:rPr>
              <w:t>,</w:t>
            </w:r>
            <w:r w:rsidRPr="00023D1D">
              <w:rPr>
                <w:sz w:val="16"/>
                <w:szCs w:val="16"/>
                <w:lang w:val="en-US"/>
              </w:rPr>
              <w:t>039  0</w:t>
            </w:r>
            <w:r>
              <w:rPr>
                <w:sz w:val="16"/>
                <w:szCs w:val="16"/>
                <w:lang w:val="en-US"/>
              </w:rPr>
              <w:t>,</w:t>
            </w:r>
            <w:r w:rsidRPr="00023D1D">
              <w:rPr>
                <w:sz w:val="16"/>
                <w:szCs w:val="16"/>
                <w:lang w:val="en-US"/>
              </w:rPr>
              <w:t>044  0</w:t>
            </w:r>
            <w:r>
              <w:rPr>
                <w:sz w:val="16"/>
                <w:szCs w:val="16"/>
                <w:lang w:val="en-US"/>
              </w:rPr>
              <w:t>,</w:t>
            </w:r>
            <w:r w:rsidRPr="00023D1D">
              <w:rPr>
                <w:sz w:val="16"/>
                <w:szCs w:val="16"/>
                <w:lang w:val="en-US"/>
              </w:rPr>
              <w:t>048  0</w:t>
            </w:r>
            <w:r>
              <w:rPr>
                <w:sz w:val="16"/>
                <w:szCs w:val="16"/>
                <w:lang w:val="en-US"/>
              </w:rPr>
              <w:t>,</w:t>
            </w:r>
            <w:r w:rsidRPr="00023D1D">
              <w:rPr>
                <w:sz w:val="16"/>
                <w:szCs w:val="16"/>
                <w:lang w:val="en-US"/>
              </w:rPr>
              <w:t>052  0</w:t>
            </w:r>
            <w:r>
              <w:rPr>
                <w:sz w:val="16"/>
                <w:szCs w:val="16"/>
                <w:lang w:val="en-US"/>
              </w:rPr>
              <w:t>,</w:t>
            </w:r>
            <w:r w:rsidRPr="00023D1D">
              <w:rPr>
                <w:sz w:val="16"/>
                <w:szCs w:val="16"/>
                <w:lang w:val="en-US"/>
              </w:rPr>
              <w:t>057  0</w:t>
            </w:r>
            <w:r>
              <w:rPr>
                <w:sz w:val="16"/>
                <w:szCs w:val="16"/>
                <w:lang w:val="en-US"/>
              </w:rPr>
              <w:t>,</w:t>
            </w:r>
            <w:r w:rsidRPr="00023D1D">
              <w:rPr>
                <w:sz w:val="16"/>
                <w:szCs w:val="16"/>
                <w:lang w:val="en-US"/>
              </w:rPr>
              <w:t>061  0</w:t>
            </w:r>
            <w:r>
              <w:rPr>
                <w:sz w:val="16"/>
                <w:szCs w:val="16"/>
                <w:lang w:val="en-US"/>
              </w:rPr>
              <w:t>,</w:t>
            </w:r>
            <w:r w:rsidRPr="00023D1D">
              <w:rPr>
                <w:sz w:val="16"/>
                <w:szCs w:val="16"/>
                <w:lang w:val="en-US"/>
              </w:rPr>
              <w:t>065  0</w:t>
            </w:r>
            <w:r>
              <w:rPr>
                <w:sz w:val="16"/>
                <w:szCs w:val="16"/>
                <w:lang w:val="en-US"/>
              </w:rPr>
              <w:t>,</w:t>
            </w:r>
            <w:r w:rsidRPr="00023D1D">
              <w:rPr>
                <w:sz w:val="16"/>
                <w:szCs w:val="16"/>
                <w:lang w:val="en-US"/>
              </w:rPr>
              <w:t>070  0</w:t>
            </w:r>
            <w:r>
              <w:rPr>
                <w:sz w:val="16"/>
                <w:szCs w:val="16"/>
                <w:lang w:val="en-US"/>
              </w:rPr>
              <w:t>,</w:t>
            </w:r>
            <w:r w:rsidRPr="00023D1D">
              <w:rPr>
                <w:sz w:val="16"/>
                <w:szCs w:val="16"/>
                <w:lang w:val="en-US"/>
              </w:rPr>
              <w:t>074  0</w:t>
            </w:r>
            <w:r>
              <w:rPr>
                <w:sz w:val="16"/>
                <w:szCs w:val="16"/>
                <w:lang w:val="en-US"/>
              </w:rPr>
              <w:t>,</w:t>
            </w:r>
            <w:r w:rsidRPr="00023D1D">
              <w:rPr>
                <w:sz w:val="16"/>
                <w:szCs w:val="16"/>
                <w:lang w:val="en-US"/>
              </w:rPr>
              <w:t>078  0</w:t>
            </w:r>
            <w:r>
              <w:rPr>
                <w:sz w:val="16"/>
                <w:szCs w:val="16"/>
                <w:lang w:val="en-US"/>
              </w:rPr>
              <w:t>,</w:t>
            </w:r>
            <w:r w:rsidRPr="00023D1D">
              <w:rPr>
                <w:sz w:val="16"/>
                <w:szCs w:val="16"/>
                <w:lang w:val="en-US"/>
              </w:rPr>
              <w:t>083  0</w:t>
            </w:r>
            <w:r>
              <w:rPr>
                <w:sz w:val="16"/>
                <w:szCs w:val="16"/>
                <w:lang w:val="en-US"/>
              </w:rPr>
              <w:t>,</w:t>
            </w:r>
            <w:r w:rsidRPr="00023D1D">
              <w:rPr>
                <w:sz w:val="16"/>
                <w:szCs w:val="16"/>
                <w:lang w:val="en-US"/>
              </w:rPr>
              <w:t>087</w:t>
            </w:r>
          </w:p>
          <w:p w14:paraId="255AD607" w14:textId="77777777" w:rsidR="00A2774E" w:rsidRPr="00023D1D" w:rsidRDefault="00A2774E" w:rsidP="00EB358E">
            <w:pPr>
              <w:spacing w:after="0"/>
              <w:outlineLvl w:val="0"/>
              <w:rPr>
                <w:sz w:val="16"/>
                <w:szCs w:val="16"/>
                <w:lang w:val="en-US"/>
              </w:rPr>
            </w:pPr>
            <w:r w:rsidRPr="00023D1D">
              <w:rPr>
                <w:sz w:val="16"/>
                <w:szCs w:val="16"/>
                <w:lang w:val="en-US"/>
              </w:rPr>
              <w:t>0</w:t>
            </w:r>
            <w:r>
              <w:rPr>
                <w:sz w:val="16"/>
                <w:szCs w:val="16"/>
                <w:lang w:val="en-US"/>
              </w:rPr>
              <w:t>,</w:t>
            </w:r>
            <w:r w:rsidRPr="00023D1D">
              <w:rPr>
                <w:sz w:val="16"/>
                <w:szCs w:val="16"/>
                <w:lang w:val="en-US"/>
              </w:rPr>
              <w:t>032  0</w:t>
            </w:r>
            <w:r>
              <w:rPr>
                <w:sz w:val="16"/>
                <w:szCs w:val="16"/>
                <w:lang w:val="en-US"/>
              </w:rPr>
              <w:t>,</w:t>
            </w:r>
            <w:r w:rsidRPr="00023D1D">
              <w:rPr>
                <w:sz w:val="16"/>
                <w:szCs w:val="16"/>
                <w:lang w:val="en-US"/>
              </w:rPr>
              <w:t>036  0</w:t>
            </w:r>
            <w:r>
              <w:rPr>
                <w:sz w:val="16"/>
                <w:szCs w:val="16"/>
                <w:lang w:val="en-US"/>
              </w:rPr>
              <w:t>,</w:t>
            </w:r>
            <w:r w:rsidRPr="00023D1D">
              <w:rPr>
                <w:sz w:val="16"/>
                <w:szCs w:val="16"/>
                <w:lang w:val="en-US"/>
              </w:rPr>
              <w:t>041  0</w:t>
            </w:r>
            <w:r>
              <w:rPr>
                <w:sz w:val="16"/>
                <w:szCs w:val="16"/>
                <w:lang w:val="en-US"/>
              </w:rPr>
              <w:t>,</w:t>
            </w:r>
            <w:r w:rsidRPr="00023D1D">
              <w:rPr>
                <w:sz w:val="16"/>
                <w:szCs w:val="16"/>
                <w:lang w:val="en-US"/>
              </w:rPr>
              <w:t>045  0</w:t>
            </w:r>
            <w:r>
              <w:rPr>
                <w:sz w:val="16"/>
                <w:szCs w:val="16"/>
                <w:lang w:val="en-US"/>
              </w:rPr>
              <w:t>,</w:t>
            </w:r>
            <w:r w:rsidRPr="00023D1D">
              <w:rPr>
                <w:sz w:val="16"/>
                <w:szCs w:val="16"/>
                <w:lang w:val="en-US"/>
              </w:rPr>
              <w:t>050  0</w:t>
            </w:r>
            <w:r>
              <w:rPr>
                <w:sz w:val="16"/>
                <w:szCs w:val="16"/>
                <w:lang w:val="en-US"/>
              </w:rPr>
              <w:t>,</w:t>
            </w:r>
            <w:r w:rsidRPr="00023D1D">
              <w:rPr>
                <w:sz w:val="16"/>
                <w:szCs w:val="16"/>
                <w:lang w:val="en-US"/>
              </w:rPr>
              <w:t>054  0</w:t>
            </w:r>
            <w:r>
              <w:rPr>
                <w:sz w:val="16"/>
                <w:szCs w:val="16"/>
                <w:lang w:val="en-US"/>
              </w:rPr>
              <w:t>,</w:t>
            </w:r>
            <w:r w:rsidRPr="00023D1D">
              <w:rPr>
                <w:sz w:val="16"/>
                <w:szCs w:val="16"/>
                <w:lang w:val="en-US"/>
              </w:rPr>
              <w:t>059  0</w:t>
            </w:r>
            <w:r>
              <w:rPr>
                <w:sz w:val="16"/>
                <w:szCs w:val="16"/>
                <w:lang w:val="en-US"/>
              </w:rPr>
              <w:t>,</w:t>
            </w:r>
            <w:r w:rsidRPr="00023D1D">
              <w:rPr>
                <w:sz w:val="16"/>
                <w:szCs w:val="16"/>
                <w:lang w:val="en-US"/>
              </w:rPr>
              <w:t>063  0</w:t>
            </w:r>
            <w:r>
              <w:rPr>
                <w:sz w:val="16"/>
                <w:szCs w:val="16"/>
                <w:lang w:val="en-US"/>
              </w:rPr>
              <w:t>,</w:t>
            </w:r>
            <w:r w:rsidRPr="00023D1D">
              <w:rPr>
                <w:sz w:val="16"/>
                <w:szCs w:val="16"/>
                <w:lang w:val="en-US"/>
              </w:rPr>
              <w:t>068  0</w:t>
            </w:r>
            <w:r>
              <w:rPr>
                <w:sz w:val="16"/>
                <w:szCs w:val="16"/>
                <w:lang w:val="en-US"/>
              </w:rPr>
              <w:t>,</w:t>
            </w:r>
            <w:r w:rsidRPr="00023D1D">
              <w:rPr>
                <w:sz w:val="16"/>
                <w:szCs w:val="16"/>
                <w:lang w:val="en-US"/>
              </w:rPr>
              <w:t>072  0</w:t>
            </w:r>
            <w:r>
              <w:rPr>
                <w:sz w:val="16"/>
                <w:szCs w:val="16"/>
                <w:lang w:val="en-US"/>
              </w:rPr>
              <w:t>,</w:t>
            </w:r>
            <w:r w:rsidRPr="00023D1D">
              <w:rPr>
                <w:sz w:val="16"/>
                <w:szCs w:val="16"/>
                <w:lang w:val="en-US"/>
              </w:rPr>
              <w:t>077  0</w:t>
            </w:r>
            <w:r>
              <w:rPr>
                <w:sz w:val="16"/>
                <w:szCs w:val="16"/>
                <w:lang w:val="en-US"/>
              </w:rPr>
              <w:t>,</w:t>
            </w:r>
            <w:r w:rsidRPr="00023D1D">
              <w:rPr>
                <w:sz w:val="16"/>
                <w:szCs w:val="16"/>
                <w:lang w:val="en-US"/>
              </w:rPr>
              <w:t>081  0</w:t>
            </w:r>
            <w:r>
              <w:rPr>
                <w:sz w:val="16"/>
                <w:szCs w:val="16"/>
                <w:lang w:val="en-US"/>
              </w:rPr>
              <w:t>,</w:t>
            </w:r>
            <w:r w:rsidRPr="00023D1D">
              <w:rPr>
                <w:sz w:val="16"/>
                <w:szCs w:val="16"/>
                <w:lang w:val="en-US"/>
              </w:rPr>
              <w:t>086  0</w:t>
            </w:r>
            <w:r>
              <w:rPr>
                <w:sz w:val="16"/>
                <w:szCs w:val="16"/>
                <w:lang w:val="en-US"/>
              </w:rPr>
              <w:t>,</w:t>
            </w:r>
            <w:r w:rsidRPr="00023D1D">
              <w:rPr>
                <w:sz w:val="16"/>
                <w:szCs w:val="16"/>
                <w:lang w:val="en-US"/>
              </w:rPr>
              <w:t>090</w:t>
            </w:r>
          </w:p>
          <w:p w14:paraId="28D19300" w14:textId="77777777" w:rsidR="00A2774E" w:rsidRPr="00023D1D" w:rsidRDefault="00A2774E" w:rsidP="00EB358E">
            <w:pPr>
              <w:spacing w:after="0"/>
              <w:outlineLvl w:val="0"/>
              <w:rPr>
                <w:sz w:val="4"/>
                <w:szCs w:val="4"/>
                <w:highlight w:val="lightGray"/>
                <w:lang w:val="en-US"/>
              </w:rPr>
            </w:pPr>
          </w:p>
          <w:p w14:paraId="0B013348" w14:textId="77777777" w:rsidR="00A2774E" w:rsidRPr="00023D1D" w:rsidRDefault="00A2774E" w:rsidP="00EB358E">
            <w:pPr>
              <w:spacing w:after="0"/>
              <w:outlineLvl w:val="0"/>
              <w:rPr>
                <w:sz w:val="16"/>
                <w:szCs w:val="16"/>
                <w:lang w:val="en-US"/>
              </w:rPr>
            </w:pPr>
            <w:r w:rsidRPr="00023D1D">
              <w:rPr>
                <w:sz w:val="16"/>
                <w:szCs w:val="16"/>
                <w:highlight w:val="lightGray"/>
                <w:lang w:val="en-US"/>
              </w:rPr>
              <w:t>0</w:t>
            </w:r>
            <w:r>
              <w:rPr>
                <w:sz w:val="16"/>
                <w:szCs w:val="16"/>
                <w:highlight w:val="lightGray"/>
                <w:lang w:val="en-US"/>
              </w:rPr>
              <w:t>,</w:t>
            </w:r>
            <w:r w:rsidRPr="00023D1D">
              <w:rPr>
                <w:sz w:val="16"/>
                <w:szCs w:val="16"/>
                <w:highlight w:val="lightGray"/>
                <w:lang w:val="en-US"/>
              </w:rPr>
              <w:t>033</w:t>
            </w:r>
            <w:r w:rsidRPr="00023D1D">
              <w:rPr>
                <w:sz w:val="16"/>
                <w:szCs w:val="16"/>
                <w:lang w:val="en-US"/>
              </w:rPr>
              <w:t xml:space="preserve">  0</w:t>
            </w:r>
            <w:r>
              <w:rPr>
                <w:sz w:val="16"/>
                <w:szCs w:val="16"/>
                <w:lang w:val="en-US"/>
              </w:rPr>
              <w:t>,</w:t>
            </w:r>
            <w:r w:rsidRPr="00023D1D">
              <w:rPr>
                <w:sz w:val="16"/>
                <w:szCs w:val="16"/>
                <w:lang w:val="en-US"/>
              </w:rPr>
              <w:t>037  0</w:t>
            </w:r>
            <w:r>
              <w:rPr>
                <w:sz w:val="16"/>
                <w:szCs w:val="16"/>
                <w:lang w:val="en-US"/>
              </w:rPr>
              <w:t>,</w:t>
            </w:r>
            <w:r w:rsidRPr="00023D1D">
              <w:rPr>
                <w:sz w:val="16"/>
                <w:szCs w:val="16"/>
                <w:lang w:val="en-US"/>
              </w:rPr>
              <w:t>042  0</w:t>
            </w:r>
            <w:r>
              <w:rPr>
                <w:sz w:val="16"/>
                <w:szCs w:val="16"/>
                <w:lang w:val="en-US"/>
              </w:rPr>
              <w:t>,</w:t>
            </w:r>
            <w:r w:rsidRPr="00023D1D">
              <w:rPr>
                <w:sz w:val="16"/>
                <w:szCs w:val="16"/>
                <w:lang w:val="en-US"/>
              </w:rPr>
              <w:t>047  0</w:t>
            </w:r>
            <w:r>
              <w:rPr>
                <w:sz w:val="16"/>
                <w:szCs w:val="16"/>
                <w:lang w:val="en-US"/>
              </w:rPr>
              <w:t>,</w:t>
            </w:r>
            <w:r w:rsidRPr="00023D1D">
              <w:rPr>
                <w:sz w:val="16"/>
                <w:szCs w:val="16"/>
                <w:lang w:val="en-US"/>
              </w:rPr>
              <w:t>051  0</w:t>
            </w:r>
            <w:r>
              <w:rPr>
                <w:sz w:val="16"/>
                <w:szCs w:val="16"/>
                <w:lang w:val="en-US"/>
              </w:rPr>
              <w:t>,</w:t>
            </w:r>
            <w:r w:rsidRPr="00023D1D">
              <w:rPr>
                <w:sz w:val="16"/>
                <w:szCs w:val="16"/>
                <w:lang w:val="en-US"/>
              </w:rPr>
              <w:t>056  0</w:t>
            </w:r>
            <w:r>
              <w:rPr>
                <w:sz w:val="16"/>
                <w:szCs w:val="16"/>
                <w:lang w:val="en-US"/>
              </w:rPr>
              <w:t>,</w:t>
            </w:r>
            <w:r w:rsidRPr="00023D1D">
              <w:rPr>
                <w:sz w:val="16"/>
                <w:szCs w:val="16"/>
                <w:lang w:val="en-US"/>
              </w:rPr>
              <w:t>060  0</w:t>
            </w:r>
            <w:r>
              <w:rPr>
                <w:sz w:val="16"/>
                <w:szCs w:val="16"/>
                <w:lang w:val="en-US"/>
              </w:rPr>
              <w:t>,</w:t>
            </w:r>
            <w:r w:rsidRPr="00023D1D">
              <w:rPr>
                <w:sz w:val="16"/>
                <w:szCs w:val="16"/>
                <w:lang w:val="en-US"/>
              </w:rPr>
              <w:t>065  0</w:t>
            </w:r>
            <w:r>
              <w:rPr>
                <w:sz w:val="16"/>
                <w:szCs w:val="16"/>
                <w:lang w:val="en-US"/>
              </w:rPr>
              <w:t>,</w:t>
            </w:r>
            <w:r w:rsidRPr="00023D1D">
              <w:rPr>
                <w:sz w:val="16"/>
                <w:szCs w:val="16"/>
                <w:lang w:val="en-US"/>
              </w:rPr>
              <w:t>070  0</w:t>
            </w:r>
            <w:r>
              <w:rPr>
                <w:sz w:val="16"/>
                <w:szCs w:val="16"/>
                <w:lang w:val="en-US"/>
              </w:rPr>
              <w:t>,</w:t>
            </w:r>
            <w:r w:rsidRPr="00023D1D">
              <w:rPr>
                <w:sz w:val="16"/>
                <w:szCs w:val="16"/>
                <w:lang w:val="en-US"/>
              </w:rPr>
              <w:t>074  0</w:t>
            </w:r>
            <w:r>
              <w:rPr>
                <w:sz w:val="16"/>
                <w:szCs w:val="16"/>
                <w:lang w:val="en-US"/>
              </w:rPr>
              <w:t>,</w:t>
            </w:r>
            <w:r w:rsidRPr="00023D1D">
              <w:rPr>
                <w:sz w:val="16"/>
                <w:szCs w:val="16"/>
                <w:lang w:val="en-US"/>
              </w:rPr>
              <w:t>079  0</w:t>
            </w:r>
            <w:r>
              <w:rPr>
                <w:sz w:val="16"/>
                <w:szCs w:val="16"/>
                <w:lang w:val="en-US"/>
              </w:rPr>
              <w:t>,</w:t>
            </w:r>
            <w:r w:rsidRPr="00023D1D">
              <w:rPr>
                <w:sz w:val="16"/>
                <w:szCs w:val="16"/>
                <w:lang w:val="en-US"/>
              </w:rPr>
              <w:t>084  0</w:t>
            </w:r>
            <w:r>
              <w:rPr>
                <w:sz w:val="16"/>
                <w:szCs w:val="16"/>
                <w:lang w:val="en-US"/>
              </w:rPr>
              <w:t>,</w:t>
            </w:r>
            <w:r w:rsidRPr="00023D1D">
              <w:rPr>
                <w:sz w:val="16"/>
                <w:szCs w:val="16"/>
                <w:lang w:val="en-US"/>
              </w:rPr>
              <w:t>088  0</w:t>
            </w:r>
            <w:r>
              <w:rPr>
                <w:sz w:val="16"/>
                <w:szCs w:val="16"/>
                <w:lang w:val="en-US"/>
              </w:rPr>
              <w:t>,</w:t>
            </w:r>
            <w:r w:rsidRPr="00023D1D">
              <w:rPr>
                <w:sz w:val="16"/>
                <w:szCs w:val="16"/>
                <w:lang w:val="en-US"/>
              </w:rPr>
              <w:t xml:space="preserve">093  </w:t>
            </w:r>
            <w:bookmarkEnd w:id="2"/>
          </w:p>
        </w:tc>
      </w:tr>
    </w:tbl>
    <w:p w14:paraId="737639EC" w14:textId="77777777" w:rsidR="00E425E1" w:rsidRDefault="00E425E1" w:rsidP="00103AFE">
      <w:pPr>
        <w:rPr>
          <w:b/>
          <w:bCs/>
          <w:lang w:val="cs-CZ"/>
        </w:rPr>
      </w:pPr>
    </w:p>
    <w:p w14:paraId="22331329" w14:textId="680DC61D" w:rsidR="00103AFE" w:rsidRPr="005C3240" w:rsidRDefault="00605FDB" w:rsidP="00103AFE">
      <w:pPr>
        <w:rPr>
          <w:b/>
          <w:bCs/>
          <w:lang w:val="cs-CZ"/>
        </w:rPr>
      </w:pPr>
      <w:r w:rsidRPr="00605FDB">
        <w:rPr>
          <w:b/>
          <w:bCs/>
          <w:lang w:val="cs-CZ"/>
        </w:rPr>
        <w:t>Tieňované políčka označujú najvyššiu rýchlosť infúzie dodávanú jednou injekčnou striekačkou vymieňanou každé tri dni.</w:t>
      </w:r>
    </w:p>
    <w:p w14:paraId="3D91C176" w14:textId="79E09BE0" w:rsidR="007A2E2A" w:rsidRPr="005C3240" w:rsidRDefault="00605FDB" w:rsidP="007A2E2A">
      <w:pPr>
        <w:rPr>
          <w:b/>
          <w:u w:val="single"/>
          <w:lang w:val="cs-CZ"/>
        </w:rPr>
      </w:pPr>
      <w:r w:rsidRPr="00605FDB">
        <w:rPr>
          <w:b/>
          <w:u w:val="single"/>
          <w:lang w:val="cs-CZ"/>
        </w:rPr>
        <w:t>Podávanie kontinuálnou intravenóznou infúziou</w:t>
      </w:r>
    </w:p>
    <w:p w14:paraId="7612F665" w14:textId="5DEF3A37" w:rsidR="004357B0" w:rsidRPr="004357B0" w:rsidRDefault="005746DE" w:rsidP="004357B0">
      <w:pPr>
        <w:rPr>
          <w:bCs/>
          <w:lang w:val="cs-CZ"/>
        </w:rPr>
      </w:pPr>
      <w:r>
        <w:rPr>
          <w:bCs/>
          <w:lang w:val="cs-CZ"/>
        </w:rPr>
        <w:t>Treprostinil Tillomed</w:t>
      </w:r>
      <w:r w:rsidR="007A2E2A" w:rsidRPr="005C3240">
        <w:rPr>
          <w:bCs/>
          <w:lang w:val="cs-CZ"/>
        </w:rPr>
        <w:t xml:space="preserve"> </w:t>
      </w:r>
      <w:r w:rsidR="004357B0" w:rsidRPr="004357B0">
        <w:rPr>
          <w:bCs/>
          <w:lang w:val="cs-CZ"/>
        </w:rPr>
        <w:t xml:space="preserve">sa podáva kontinuálnou intravenóznou infúziou pomocou centrálneho venózneho katétra s použitím ambulantnej infúznej pumpy. Môže sa tiež dočasne podať pomocou periférnej venóznej kanyly, umiestnenej najlepšie do veľkej žily. Použitie periférnej infúzie dlhšie než niekoľko hodín sa môže spájať so zvýšeným rizikom tromboflebitídy (pozri časť 4.8).  </w:t>
      </w:r>
    </w:p>
    <w:p w14:paraId="31415589" w14:textId="50837368" w:rsidR="007A2E2A" w:rsidRPr="005C3240" w:rsidRDefault="004357B0" w:rsidP="004357B0">
      <w:pPr>
        <w:rPr>
          <w:bCs/>
          <w:lang w:val="cs-CZ"/>
        </w:rPr>
      </w:pPr>
      <w:r w:rsidRPr="004357B0">
        <w:rPr>
          <w:bCs/>
          <w:lang w:val="cs-CZ"/>
        </w:rPr>
        <w:t>Aby sa predišlo potenciálnemu prerušeniu prísunu liečiva, pacient musí mať prístup k záložnej infúznej pumpe a infúznej súprave pre prípad, že by došlo k náhodnej poruche súpravy na podávanie.</w:t>
      </w:r>
      <w:r w:rsidR="00252399" w:rsidRPr="005C3240">
        <w:rPr>
          <w:bCs/>
          <w:lang w:val="cs-CZ"/>
        </w:rPr>
        <w:t xml:space="preserve"> </w:t>
      </w:r>
    </w:p>
    <w:p w14:paraId="3EA5C19C" w14:textId="5FEA1C28" w:rsidR="007A2E2A" w:rsidRPr="005C3240" w:rsidRDefault="004357B0" w:rsidP="007A2E2A">
      <w:pPr>
        <w:rPr>
          <w:bCs/>
          <w:lang w:val="cs-CZ"/>
        </w:rPr>
      </w:pPr>
      <w:r w:rsidRPr="004357B0">
        <w:rPr>
          <w:bCs/>
          <w:lang w:val="cs-CZ"/>
        </w:rPr>
        <w:t xml:space="preserve">Ambulantná infúzna pumpa použitá na podávanie zriedeného </w:t>
      </w:r>
      <w:r w:rsidR="005746DE">
        <w:rPr>
          <w:bCs/>
          <w:lang w:val="cs-CZ"/>
        </w:rPr>
        <w:t>Treprostinil</w:t>
      </w:r>
      <w:r w:rsidR="00EB358E">
        <w:rPr>
          <w:bCs/>
          <w:lang w:val="cs-CZ"/>
        </w:rPr>
        <w:t>u</w:t>
      </w:r>
      <w:r w:rsidR="005746DE">
        <w:rPr>
          <w:bCs/>
          <w:lang w:val="cs-CZ"/>
        </w:rPr>
        <w:t xml:space="preserve"> Tillomed</w:t>
      </w:r>
      <w:r w:rsidR="00252399" w:rsidRPr="005C3240">
        <w:rPr>
          <w:bCs/>
          <w:lang w:val="cs-CZ"/>
        </w:rPr>
        <w:t xml:space="preserve"> </w:t>
      </w:r>
      <w:r w:rsidRPr="004357B0">
        <w:rPr>
          <w:bCs/>
          <w:lang w:val="cs-CZ"/>
        </w:rPr>
        <w:t>intravenózne má byť vo všeobecnosti:</w:t>
      </w:r>
    </w:p>
    <w:p w14:paraId="78015A48" w14:textId="7D86273E" w:rsidR="007A2E2A" w:rsidRPr="005C3240" w:rsidRDefault="007A2E2A" w:rsidP="006C4540">
      <w:pPr>
        <w:spacing w:after="0"/>
        <w:rPr>
          <w:bCs/>
          <w:lang w:val="cs-CZ"/>
        </w:rPr>
      </w:pPr>
      <w:r w:rsidRPr="005C3240">
        <w:rPr>
          <w:bCs/>
          <w:lang w:val="cs-CZ"/>
        </w:rPr>
        <w:lastRenderedPageBreak/>
        <w:t xml:space="preserve">1) </w:t>
      </w:r>
      <w:r w:rsidR="00F15C30" w:rsidRPr="00F15C30">
        <w:rPr>
          <w:bCs/>
          <w:lang w:val="cs-CZ"/>
        </w:rPr>
        <w:t>malá a ľahká</w:t>
      </w:r>
    </w:p>
    <w:p w14:paraId="66F16979" w14:textId="7A454D0F" w:rsidR="007A2E2A" w:rsidRPr="005C3240" w:rsidRDefault="007A2E2A" w:rsidP="006C4540">
      <w:pPr>
        <w:spacing w:after="0"/>
        <w:rPr>
          <w:bCs/>
          <w:lang w:val="cs-CZ"/>
        </w:rPr>
      </w:pPr>
      <w:r w:rsidRPr="005C3240">
        <w:rPr>
          <w:bCs/>
          <w:lang w:val="cs-CZ"/>
        </w:rPr>
        <w:t xml:space="preserve">2) </w:t>
      </w:r>
      <w:r w:rsidR="00F15C30" w:rsidRPr="00F15C30">
        <w:rPr>
          <w:bCs/>
          <w:lang w:val="cs-CZ"/>
        </w:rPr>
        <w:t>schopná upravovať rýchlosti infúzie s prírastkami približne o 0,05 ml/h. Typické prietoky by mali byť medzi 0,4 a 2 ml za hodinu</w:t>
      </w:r>
      <w:r w:rsidR="006C4540">
        <w:rPr>
          <w:bCs/>
          <w:lang w:val="cs-CZ"/>
        </w:rPr>
        <w:t>.</w:t>
      </w:r>
    </w:p>
    <w:p w14:paraId="566847C2" w14:textId="404C2181" w:rsidR="007A2E2A" w:rsidRPr="005C3240" w:rsidRDefault="007A2E2A" w:rsidP="006C4540">
      <w:pPr>
        <w:spacing w:after="0"/>
        <w:rPr>
          <w:bCs/>
          <w:lang w:val="cs-CZ"/>
        </w:rPr>
      </w:pPr>
      <w:r w:rsidRPr="005C3240">
        <w:rPr>
          <w:bCs/>
          <w:lang w:val="cs-CZ"/>
        </w:rPr>
        <w:t xml:space="preserve">3) </w:t>
      </w:r>
      <w:r w:rsidR="00F15C30" w:rsidRPr="00F15C30">
        <w:rPr>
          <w:bCs/>
          <w:lang w:val="cs-CZ"/>
        </w:rPr>
        <w:t>vybavená zariadením signalizujúcim prerušenie/zastavenie dodávky lieku, vybitie batérie a poplach pri chybe v programe a zlyhaní motora</w:t>
      </w:r>
    </w:p>
    <w:p w14:paraId="7995C087" w14:textId="674069A0" w:rsidR="007A2E2A" w:rsidRPr="005C3240" w:rsidRDefault="007A2E2A" w:rsidP="006C4540">
      <w:pPr>
        <w:spacing w:after="0"/>
        <w:rPr>
          <w:bCs/>
          <w:lang w:val="cs-CZ"/>
        </w:rPr>
      </w:pPr>
      <w:r w:rsidRPr="005C3240">
        <w:rPr>
          <w:bCs/>
          <w:lang w:val="cs-CZ"/>
        </w:rPr>
        <w:t xml:space="preserve">4) </w:t>
      </w:r>
      <w:r w:rsidR="00F15C30" w:rsidRPr="00F15C30">
        <w:rPr>
          <w:bCs/>
          <w:lang w:val="cs-CZ"/>
        </w:rPr>
        <w:t>presná v rozmedzí ± 6 % hodinovej dávky alebo lepšia</w:t>
      </w:r>
    </w:p>
    <w:p w14:paraId="01080032" w14:textId="2DE8E19D" w:rsidR="007A2E2A" w:rsidRPr="005C3240" w:rsidRDefault="007A2E2A" w:rsidP="006C4540">
      <w:pPr>
        <w:spacing w:after="0"/>
        <w:rPr>
          <w:bCs/>
          <w:lang w:val="cs-CZ"/>
        </w:rPr>
      </w:pPr>
      <w:r w:rsidRPr="005C3240">
        <w:rPr>
          <w:bCs/>
          <w:lang w:val="cs-CZ"/>
        </w:rPr>
        <w:t xml:space="preserve">5) </w:t>
      </w:r>
      <w:r w:rsidR="00F15C30" w:rsidRPr="00F15C30">
        <w:rPr>
          <w:bCs/>
          <w:lang w:val="cs-CZ"/>
        </w:rPr>
        <w:t>poháňaná pozitívnym pretlakom. Zásobník má byť vyrobený z polyvinylchloridu, polypropylénu alebo zo skla.</w:t>
      </w:r>
    </w:p>
    <w:p w14:paraId="577E7DEE" w14:textId="38DD8B07" w:rsidR="007A2E2A" w:rsidRPr="005C3240" w:rsidRDefault="007A2E2A" w:rsidP="00103AFE">
      <w:pPr>
        <w:rPr>
          <w:b/>
          <w:bCs/>
          <w:lang w:val="cs-CZ"/>
        </w:rPr>
      </w:pPr>
    </w:p>
    <w:p w14:paraId="77C29911" w14:textId="1305EE4B" w:rsidR="00F15C30" w:rsidRPr="00F15C30" w:rsidRDefault="005746DE" w:rsidP="00F15C30">
      <w:pPr>
        <w:rPr>
          <w:bCs/>
          <w:lang w:val="cs-CZ"/>
        </w:rPr>
      </w:pPr>
      <w:r>
        <w:rPr>
          <w:b/>
          <w:lang w:val="cs-CZ"/>
        </w:rPr>
        <w:t>Treprostinil Tillomed</w:t>
      </w:r>
      <w:r w:rsidR="001D0E50" w:rsidRPr="005C3240">
        <w:rPr>
          <w:b/>
          <w:lang w:val="cs-CZ"/>
        </w:rPr>
        <w:t xml:space="preserve"> </w:t>
      </w:r>
      <w:r w:rsidR="00F15C30" w:rsidRPr="00F15C30">
        <w:rPr>
          <w:b/>
          <w:lang w:val="cs-CZ"/>
        </w:rPr>
        <w:t xml:space="preserve">sa má zriediť buď sterilnou vodou na injekcie alebo 0,9 % (w/v) sterilným injekčným roztokom chloridu sodného </w:t>
      </w:r>
      <w:r w:rsidR="00F15C30" w:rsidRPr="00F15C30">
        <w:rPr>
          <w:bCs/>
          <w:lang w:val="cs-CZ"/>
        </w:rPr>
        <w:t xml:space="preserve">a podáva sa intravenózne formou kontinuálnej infúzie pomocou chirurgicky umiestneného a zavedeného centrálneho venózneho katétra, alebo dočasne pomocou periférnej venóznej kanyly s použitím infúznej pumpy vyrobenej na intravenózne podávanie liekov.  </w:t>
      </w:r>
    </w:p>
    <w:p w14:paraId="7E03E538" w14:textId="20A4C256" w:rsidR="001D0E50" w:rsidRPr="005C3240" w:rsidRDefault="00F15C30" w:rsidP="00F15C30">
      <w:pPr>
        <w:rPr>
          <w:lang w:val="cs-CZ"/>
        </w:rPr>
      </w:pPr>
      <w:r w:rsidRPr="00F15C30">
        <w:rPr>
          <w:bCs/>
          <w:lang w:val="cs-CZ"/>
        </w:rPr>
        <w:t xml:space="preserve">Pri použití vhodnej infúznej pumpy a zásobníka sa má najprv vybrať vopred určená rýchlosť  intravenóznej infúzie, ktorá umožní dosiahnuť požadovaný čas infúzie. Maximálna dĺžka používania zriedeného </w:t>
      </w:r>
      <w:r w:rsidR="00557A12" w:rsidRPr="00557A12">
        <w:rPr>
          <w:lang w:val="cs-CZ"/>
        </w:rPr>
        <w:t>Treprostinil</w:t>
      </w:r>
      <w:r w:rsidR="00BB5E19">
        <w:rPr>
          <w:lang w:val="cs-CZ"/>
        </w:rPr>
        <w:t>u</w:t>
      </w:r>
      <w:r w:rsidR="00557A12" w:rsidRPr="00557A12">
        <w:rPr>
          <w:lang w:val="cs-CZ"/>
        </w:rPr>
        <w:t xml:space="preserve"> Tillomed</w:t>
      </w:r>
      <w:r w:rsidR="00F32648" w:rsidRPr="005C3240">
        <w:rPr>
          <w:lang w:val="cs-CZ"/>
        </w:rPr>
        <w:t xml:space="preserve"> </w:t>
      </w:r>
      <w:r w:rsidRPr="00F15C30">
        <w:rPr>
          <w:lang w:val="cs-CZ"/>
        </w:rPr>
        <w:t>nesmie byť dlhšia než 24 hodín (pozri časť 6.3).</w:t>
      </w:r>
    </w:p>
    <w:p w14:paraId="7929F4D0" w14:textId="4FAA349B" w:rsidR="00F32648" w:rsidRPr="005C3240" w:rsidRDefault="00F15C30" w:rsidP="001D0E50">
      <w:pPr>
        <w:rPr>
          <w:lang w:val="cs-CZ"/>
        </w:rPr>
      </w:pPr>
      <w:r w:rsidRPr="00F15C30">
        <w:rPr>
          <w:lang w:val="cs-CZ"/>
        </w:rPr>
        <w:t xml:space="preserve">Typické intravenózne infúzne systémové zásobníky majú objemy 20, 50 a 100 ml. Po určení požadovanej rýchlosti intravenóznej infúzie (ml/h) a dávky pre pacienta (ng/kg/min.) a telesnej hmotnosti (kg), sa </w:t>
      </w:r>
      <w:r w:rsidRPr="00F15C30">
        <w:rPr>
          <w:u w:val="single"/>
          <w:lang w:val="cs-CZ"/>
        </w:rPr>
        <w:t>koncentrácia zriedeného intravenózneho treprostinilu</w:t>
      </w:r>
      <w:r w:rsidRPr="00F15C30">
        <w:rPr>
          <w:lang w:val="cs-CZ"/>
        </w:rPr>
        <w:t xml:space="preserve"> (mg/ml) môže vypočítať pomocou nasledovnej rovnice:</w:t>
      </w:r>
    </w:p>
    <w:p w14:paraId="4778355F" w14:textId="52D00403" w:rsidR="001D0E50" w:rsidRPr="00F15C30" w:rsidRDefault="00F15C30" w:rsidP="001D0E50">
      <w:pPr>
        <w:rPr>
          <w:b/>
          <w:u w:val="single"/>
          <w:lang w:val="cs-CZ"/>
        </w:rPr>
      </w:pPr>
      <w:r w:rsidRPr="00F15C30">
        <w:rPr>
          <w:b/>
          <w:noProof/>
          <w:u w:val="single"/>
          <w:lang w:val="cs-CZ" w:eastAsia="en-US"/>
        </w:rPr>
        <w:t>1. krok</w:t>
      </w:r>
      <w:r w:rsidR="001D0E50" w:rsidRPr="00F15C30">
        <w:rPr>
          <w:b/>
          <w:u w:val="single"/>
          <w:lang w:val="cs-CZ"/>
        </w:rPr>
        <w:t xml:space="preserve"> </w:t>
      </w:r>
    </w:p>
    <w:p w14:paraId="3E7F3067" w14:textId="274BE0AD" w:rsidR="004D628F" w:rsidRPr="005C3240" w:rsidRDefault="00A743CD" w:rsidP="001D0E50">
      <w:pPr>
        <w:rPr>
          <w:b/>
          <w:lang w:val="cs-CZ"/>
        </w:rPr>
      </w:pPr>
      <w:r w:rsidRPr="00F15C30">
        <w:rPr>
          <w:b/>
          <w:noProof/>
          <w:u w:val="single"/>
          <w:lang w:val="sk-SK" w:eastAsia="sk-SK"/>
        </w:rPr>
        <mc:AlternateContent>
          <mc:Choice Requires="wpg">
            <w:drawing>
              <wp:anchor distT="0" distB="0" distL="114300" distR="114300" simplePos="0" relativeHeight="251665408" behindDoc="0" locked="0" layoutInCell="1" allowOverlap="1" wp14:anchorId="256BC374" wp14:editId="277A93AD">
                <wp:simplePos x="0" y="0"/>
                <wp:positionH relativeFrom="column">
                  <wp:posOffset>182245</wp:posOffset>
                </wp:positionH>
                <wp:positionV relativeFrom="paragraph">
                  <wp:posOffset>8890</wp:posOffset>
                </wp:positionV>
                <wp:extent cx="4909185" cy="899160"/>
                <wp:effectExtent l="0" t="0" r="5715" b="0"/>
                <wp:wrapNone/>
                <wp:docPr id="42" name="Gruppieren 7"/>
                <wp:cNvGraphicFramePr/>
                <a:graphic xmlns:a="http://schemas.openxmlformats.org/drawingml/2006/main">
                  <a:graphicData uri="http://schemas.microsoft.com/office/word/2010/wordprocessingGroup">
                    <wpg:wgp>
                      <wpg:cNvGrpSpPr/>
                      <wpg:grpSpPr>
                        <a:xfrm>
                          <a:off x="0" y="0"/>
                          <a:ext cx="4909185" cy="899160"/>
                          <a:chOff x="224506" y="15065"/>
                          <a:chExt cx="4910242" cy="899397"/>
                        </a:xfrm>
                      </wpg:grpSpPr>
                      <wpg:grpSp>
                        <wpg:cNvPr id="43" name="Gruppieren 5"/>
                        <wpg:cNvGrpSpPr/>
                        <wpg:grpSpPr>
                          <a:xfrm>
                            <a:off x="224506" y="15065"/>
                            <a:ext cx="4910242" cy="899397"/>
                            <a:chOff x="224512" y="15081"/>
                            <a:chExt cx="4910408" cy="900366"/>
                          </a:xfrm>
                        </wpg:grpSpPr>
                        <wps:wsp>
                          <wps:cNvPr id="44" name="Textfeld 2"/>
                          <wps:cNvSpPr txBox="1">
                            <a:spLocks noChangeArrowheads="1"/>
                          </wps:cNvSpPr>
                          <wps:spPr bwMode="auto">
                            <a:xfrm>
                              <a:off x="224512" y="94760"/>
                              <a:ext cx="2050619" cy="820687"/>
                            </a:xfrm>
                            <a:prstGeom prst="rect">
                              <a:avLst/>
                            </a:prstGeom>
                            <a:solidFill>
                              <a:srgbClr val="FFFFFF"/>
                            </a:solidFill>
                            <a:ln w="9525">
                              <a:noFill/>
                              <a:miter lim="800000"/>
                              <a:headEnd/>
                              <a:tailEnd/>
                            </a:ln>
                          </wps:spPr>
                          <wps:txbx>
                            <w:txbxContent>
                              <w:p w14:paraId="31406157" w14:textId="74CE268E" w:rsidR="00EB358E" w:rsidRDefault="00EB358E"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EB358E" w:rsidRDefault="00EB358E"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EB358E" w:rsidRPr="00D448E7" w:rsidRDefault="00EB358E" w:rsidP="004D628F"/>
                            </w:txbxContent>
                          </wps:txbx>
                          <wps:bodyPr rot="0" vert="horz" wrap="square" lIns="91440" tIns="45720" rIns="91440" bIns="45720" anchor="t" anchorCtr="0">
                            <a:spAutoFit/>
                          </wps:bodyPr>
                        </wps:wsp>
                        <wps:wsp>
                          <wps:cNvPr id="45" name="Textfeld 2"/>
                          <wps:cNvSpPr txBox="1">
                            <a:spLocks noChangeArrowheads="1"/>
                          </wps:cNvSpPr>
                          <wps:spPr bwMode="auto">
                            <a:xfrm>
                              <a:off x="2091897" y="15081"/>
                              <a:ext cx="3043023" cy="338182"/>
                            </a:xfrm>
                            <a:prstGeom prst="rect">
                              <a:avLst/>
                            </a:prstGeom>
                            <a:solidFill>
                              <a:srgbClr val="FFFFFF"/>
                            </a:solidFill>
                            <a:ln w="9525">
                              <a:noFill/>
                              <a:miter lim="800000"/>
                              <a:headEnd/>
                              <a:tailEnd/>
                            </a:ln>
                          </wps:spPr>
                          <wps:txbx>
                            <w:txbxContent>
                              <w:p w14:paraId="1D46A0EE" w14:textId="61A1D2C2" w:rsidR="00EB358E" w:rsidRPr="005243A3" w:rsidRDefault="00EB358E"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wps:txbx>
                          <wps:bodyPr rot="0" vert="horz" wrap="square" lIns="91440" tIns="45720" rIns="91440" bIns="45720" anchor="t" anchorCtr="0">
                            <a:spAutoFit/>
                          </wps:bodyPr>
                        </wps:wsp>
                        <wps:wsp>
                          <wps:cNvPr id="46" name="Textfeld 3"/>
                          <wps:cNvSpPr txBox="1">
                            <a:spLocks noChangeArrowheads="1"/>
                          </wps:cNvSpPr>
                          <wps:spPr bwMode="auto">
                            <a:xfrm>
                              <a:off x="2544813" y="245574"/>
                              <a:ext cx="2155404" cy="499023"/>
                            </a:xfrm>
                            <a:prstGeom prst="rect">
                              <a:avLst/>
                            </a:prstGeom>
                            <a:solidFill>
                              <a:srgbClr val="FFFFFF"/>
                            </a:solidFill>
                            <a:ln w="9525">
                              <a:noFill/>
                              <a:miter lim="800000"/>
                              <a:headEnd/>
                              <a:tailEnd/>
                            </a:ln>
                          </wps:spPr>
                          <wps:txbx>
                            <w:txbxContent>
                              <w:p w14:paraId="39989B4F" w14:textId="170B509B" w:rsidR="00EB358E" w:rsidRPr="00D448E7" w:rsidRDefault="00EB358E"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wps:txbx>
                          <wps:bodyPr rot="0" vert="horz" wrap="square" lIns="91440" tIns="45720" rIns="91440" bIns="45720" anchor="t" anchorCtr="0">
                            <a:spAutoFit/>
                          </wps:bodyPr>
                        </wps:wsp>
                      </wpg:grpSp>
                      <wps:wsp>
                        <wps:cNvPr id="47" name="Gerader Verbinder 6"/>
                        <wps:cNvCnPr/>
                        <wps:spPr>
                          <a:xfrm>
                            <a:off x="2189980" y="260986"/>
                            <a:ext cx="28665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6BC374" id="_x0000_s1044" style="position:absolute;left:0;text-align:left;margin-left:14.35pt;margin-top:.7pt;width:386.55pt;height:70.8pt;z-index:251665408;mso-width-relative:margin;mso-height-relative:margin" coordorigin="2245,150" coordsize="49102,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">
                <v:group id="Gruppieren 5" o:spid="_x0000_s1045" style="position:absolute;left:2245;top:150;width:49102;height:8994" coordorigin="2245,150" coordsize="49104,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feld 2" o:spid="_x0000_s1046" type="#_x0000_t202" style="position:absolute;left:2245;top:947;width:2050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" stroked="f">
                    <v:textbox style="mso-fit-shape-to-text:t">
                      <w:txbxContent>
                        <w:p w14:paraId="31406157" w14:textId="74CE268E" w:rsidR="00EB358E" w:rsidRDefault="00EB358E"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EB358E" w:rsidRDefault="00EB358E"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EB358E" w:rsidRPr="00D448E7" w:rsidRDefault="00EB358E" w:rsidP="004D628F"/>
                      </w:txbxContent>
                    </v:textbox>
                  </v:shape>
                  <v:shape id="Textfeld 2" o:spid="_x0000_s1047" type="#_x0000_t202" style="position:absolute;left:20918;top:150;width:30431;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1D46A0EE" w14:textId="61A1D2C2" w:rsidR="00EB358E" w:rsidRPr="005243A3" w:rsidRDefault="00EB358E"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v:textbox>
                  </v:shape>
                  <v:shape id="Textfeld 3" o:spid="_x0000_s1048" type="#_x0000_t202" style="position:absolute;left:25448;top:2455;width:21554;height:4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39989B4F" w14:textId="170B509B" w:rsidR="00EB358E" w:rsidRPr="00D448E7" w:rsidRDefault="00EB358E"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v:textbox>
                  </v:shape>
                </v:group>
                <v:line id="Gerader Verbinder 6" o:spid="_x0000_s1049" style="position:absolute;visibility:visible;mso-wrap-style:square" from="21899,2609"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group>
            </w:pict>
          </mc:Fallback>
        </mc:AlternateContent>
      </w:r>
    </w:p>
    <w:p w14:paraId="5EDABED5" w14:textId="1F8AFCE5" w:rsidR="001D0E50" w:rsidRPr="005C3240" w:rsidRDefault="001D0E50" w:rsidP="001D0E50">
      <w:pPr>
        <w:rPr>
          <w:lang w:val="cs-CZ"/>
        </w:rPr>
      </w:pPr>
    </w:p>
    <w:p w14:paraId="326A1D0E" w14:textId="77777777" w:rsidR="004D628F" w:rsidRPr="005C3240" w:rsidRDefault="004D628F" w:rsidP="001D0E50">
      <w:pPr>
        <w:rPr>
          <w:b/>
          <w:i/>
          <w:iCs/>
          <w:lang w:val="cs-CZ"/>
        </w:rPr>
      </w:pPr>
    </w:p>
    <w:p w14:paraId="56B1BAB4" w14:textId="77777777" w:rsidR="00350026" w:rsidRPr="005C3240" w:rsidRDefault="00350026" w:rsidP="00350026">
      <w:pPr>
        <w:rPr>
          <w:lang w:val="cs-CZ"/>
        </w:rPr>
      </w:pPr>
    </w:p>
    <w:p w14:paraId="46BEA67F" w14:textId="7AFBD047" w:rsidR="00976C85" w:rsidRPr="005C3240" w:rsidRDefault="006024AC" w:rsidP="00350026">
      <w:pPr>
        <w:rPr>
          <w:lang w:val="cs-CZ"/>
        </w:rPr>
      </w:pPr>
      <w:r w:rsidRPr="006024AC">
        <w:rPr>
          <w:lang w:val="cs-CZ"/>
        </w:rPr>
        <w:t>Množstvo</w:t>
      </w:r>
      <w:r w:rsidR="00976C85" w:rsidRPr="005C3240">
        <w:rPr>
          <w:lang w:val="cs-CZ"/>
        </w:rPr>
        <w:t xml:space="preserve"> </w:t>
      </w:r>
      <w:r w:rsidR="004D2689" w:rsidRPr="005C3240">
        <w:rPr>
          <w:lang w:val="cs-CZ"/>
        </w:rPr>
        <w:t>treprostinilu</w:t>
      </w:r>
      <w:r w:rsidR="001B11CF" w:rsidRPr="005C3240">
        <w:rPr>
          <w:lang w:val="cs-CZ"/>
        </w:rPr>
        <w:t xml:space="preserve"> </w:t>
      </w:r>
      <w:r w:rsidRPr="006024AC">
        <w:rPr>
          <w:lang w:val="cs-CZ"/>
        </w:rPr>
        <w:t>potrebné na prípravu požadovanej koncentrácie zriedeného intravenózneho treprostinilu na danú veľkosť zásobníka možno vypočítať pomocou nasledovnej rovnice:</w:t>
      </w:r>
    </w:p>
    <w:p w14:paraId="4EAAE369" w14:textId="083D47DE" w:rsidR="000F3DD5" w:rsidRPr="005C3240" w:rsidRDefault="006024AC" w:rsidP="000F3DD5">
      <w:pPr>
        <w:rPr>
          <w:b/>
          <w:u w:val="single"/>
          <w:lang w:val="cs-CZ"/>
        </w:rPr>
      </w:pPr>
      <w:r>
        <w:rPr>
          <w:b/>
          <w:noProof/>
          <w:u w:val="single"/>
          <w:lang w:val="cs-CZ" w:eastAsia="en-US"/>
        </w:rPr>
        <w:t>2</w:t>
      </w:r>
      <w:r w:rsidRPr="00F15C30">
        <w:rPr>
          <w:b/>
          <w:noProof/>
          <w:u w:val="single"/>
          <w:lang w:val="cs-CZ" w:eastAsia="en-US"/>
        </w:rPr>
        <w:t>. krok</w:t>
      </w:r>
      <w:r w:rsidR="000F3DD5" w:rsidRPr="005C3240">
        <w:rPr>
          <w:b/>
          <w:u w:val="single"/>
          <w:lang w:val="cs-CZ"/>
        </w:rPr>
        <w:t xml:space="preserve"> </w:t>
      </w:r>
    </w:p>
    <w:tbl>
      <w:tblPr>
        <w:tblStyle w:val="Mriekatabuky"/>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92"/>
        <w:gridCol w:w="4637"/>
        <w:gridCol w:w="429"/>
        <w:gridCol w:w="1834"/>
      </w:tblGrid>
      <w:tr w:rsidR="00AD43CB" w:rsidRPr="00DE2E97" w14:paraId="03E0AFF6" w14:textId="77777777" w:rsidTr="005F01C4">
        <w:trPr>
          <w:trHeight w:val="1092"/>
        </w:trPr>
        <w:tc>
          <w:tcPr>
            <w:tcW w:w="2235" w:type="dxa"/>
          </w:tcPr>
          <w:p w14:paraId="6853C142" w14:textId="77777777" w:rsidR="00976C85" w:rsidRPr="005C3240" w:rsidRDefault="00976C85" w:rsidP="000F3DD5">
            <w:pPr>
              <w:rPr>
                <w:b/>
                <w:lang w:val="cs-CZ"/>
              </w:rPr>
            </w:pPr>
          </w:p>
          <w:p w14:paraId="09191C13" w14:textId="7516A31D" w:rsidR="00AD43CB" w:rsidRPr="005C3240" w:rsidRDefault="006024AC" w:rsidP="00454B09">
            <w:pPr>
              <w:jc w:val="left"/>
              <w:rPr>
                <w:b/>
                <w:lang w:val="cs-CZ"/>
              </w:rPr>
            </w:pPr>
            <w:r w:rsidRPr="006024AC">
              <w:rPr>
                <w:b/>
                <w:lang w:val="cs-CZ"/>
              </w:rPr>
              <w:t>Množstvo</w:t>
            </w:r>
            <w:r w:rsidR="00AD43CB" w:rsidRPr="005C3240">
              <w:rPr>
                <w:b/>
                <w:lang w:val="cs-CZ"/>
              </w:rPr>
              <w:t xml:space="preserve"> </w:t>
            </w:r>
            <w:r w:rsidR="004D2689" w:rsidRPr="005C3240">
              <w:rPr>
                <w:b/>
                <w:lang w:val="cs-CZ"/>
              </w:rPr>
              <w:t>treprostinilu</w:t>
            </w:r>
            <w:r w:rsidR="001B11CF" w:rsidRPr="005C3240">
              <w:rPr>
                <w:b/>
                <w:lang w:val="cs-CZ"/>
              </w:rPr>
              <w:t xml:space="preserve"> </w:t>
            </w:r>
            <w:r w:rsidR="00AD43CB" w:rsidRPr="005C3240">
              <w:rPr>
                <w:b/>
                <w:lang w:val="cs-CZ"/>
              </w:rPr>
              <w:t>(ml)</w:t>
            </w:r>
          </w:p>
        </w:tc>
        <w:tc>
          <w:tcPr>
            <w:tcW w:w="392" w:type="dxa"/>
          </w:tcPr>
          <w:p w14:paraId="11BB3F85" w14:textId="77777777" w:rsidR="004D628F" w:rsidRPr="005C3240" w:rsidRDefault="004D628F" w:rsidP="000F3DD5">
            <w:pPr>
              <w:rPr>
                <w:b/>
                <w:lang w:val="cs-CZ"/>
              </w:rPr>
            </w:pPr>
          </w:p>
          <w:p w14:paraId="2356A8B9" w14:textId="5CC87848" w:rsidR="00AD43CB" w:rsidRPr="005C3240" w:rsidRDefault="00AD43CB" w:rsidP="000F3DD5">
            <w:pPr>
              <w:rPr>
                <w:b/>
                <w:lang w:val="cs-CZ"/>
              </w:rPr>
            </w:pPr>
            <w:r w:rsidRPr="005C3240">
              <w:rPr>
                <w:b/>
                <w:lang w:val="cs-CZ"/>
              </w:rPr>
              <w:t>=</w:t>
            </w:r>
          </w:p>
        </w:tc>
        <w:tc>
          <w:tcPr>
            <w:tcW w:w="4637" w:type="dxa"/>
          </w:tcPr>
          <w:p w14:paraId="7503AC67" w14:textId="029D9302" w:rsidR="00AD43CB" w:rsidRPr="005C3240" w:rsidRDefault="006024AC" w:rsidP="006024AC">
            <w:pPr>
              <w:jc w:val="left"/>
              <w:rPr>
                <w:lang w:val="cs-CZ"/>
              </w:rPr>
            </w:pPr>
            <w:r w:rsidRPr="006024AC">
              <w:rPr>
                <w:b/>
                <w:lang w:val="cs-CZ"/>
              </w:rPr>
              <w:t>Koncentrácia</w:t>
            </w:r>
            <w:r w:rsidR="001B11CF" w:rsidRPr="005C3240">
              <w:rPr>
                <w:b/>
                <w:lang w:val="cs-CZ"/>
              </w:rPr>
              <w:t xml:space="preserve"> </w:t>
            </w:r>
            <w:r w:rsidRPr="006024AC">
              <w:rPr>
                <w:b/>
                <w:lang w:val="cs-CZ"/>
              </w:rPr>
              <w:t>zriedeného</w:t>
            </w:r>
            <w:r w:rsidR="001B11CF" w:rsidRPr="005C3240">
              <w:rPr>
                <w:b/>
                <w:lang w:val="cs-CZ"/>
              </w:rPr>
              <w:t xml:space="preserve"> </w:t>
            </w:r>
            <w:r w:rsidRPr="006024AC">
              <w:rPr>
                <w:b/>
                <w:lang w:val="cs-CZ"/>
              </w:rPr>
              <w:t>intravenózneho</w:t>
            </w:r>
            <w:r w:rsidR="001B11CF" w:rsidRPr="005C3240">
              <w:rPr>
                <w:b/>
                <w:lang w:val="cs-CZ"/>
              </w:rPr>
              <w:t xml:space="preserve"> treprostinilu </w:t>
            </w:r>
            <w:r w:rsidR="00AD43CB" w:rsidRPr="005C3240">
              <w:rPr>
                <w:u w:val="single"/>
                <w:lang w:val="cs-CZ"/>
              </w:rPr>
              <w:t>(mg/ml)______________</w:t>
            </w:r>
            <w:r w:rsidR="00026E1D" w:rsidRPr="005C3240">
              <w:rPr>
                <w:u w:val="single"/>
                <w:lang w:val="cs-CZ"/>
              </w:rPr>
              <w:t>_____________</w:t>
            </w:r>
            <w:r w:rsidR="00AD43CB" w:rsidRPr="005C3240">
              <w:rPr>
                <w:lang w:val="cs-CZ"/>
              </w:rPr>
              <w:t xml:space="preserve">                                </w:t>
            </w:r>
          </w:p>
          <w:p w14:paraId="4E937971" w14:textId="1F669BE0" w:rsidR="00AD43CB" w:rsidRPr="005C3240" w:rsidRDefault="001B11CF" w:rsidP="000F3DD5">
            <w:pPr>
              <w:rPr>
                <w:lang w:val="cs-CZ"/>
              </w:rPr>
            </w:pPr>
            <w:r w:rsidRPr="005C3240">
              <w:rPr>
                <w:b/>
                <w:lang w:val="cs-CZ"/>
              </w:rPr>
              <w:t>S</w:t>
            </w:r>
            <w:r w:rsidR="006024AC">
              <w:rPr>
                <w:b/>
                <w:lang w:val="cs-CZ"/>
              </w:rPr>
              <w:t>i</w:t>
            </w:r>
            <w:r w:rsidRPr="005C3240">
              <w:rPr>
                <w:b/>
                <w:lang w:val="cs-CZ"/>
              </w:rPr>
              <w:t xml:space="preserve">la </w:t>
            </w:r>
            <w:r w:rsidR="004D2689" w:rsidRPr="005C3240">
              <w:rPr>
                <w:b/>
                <w:lang w:val="cs-CZ"/>
              </w:rPr>
              <w:t>treprostinilu</w:t>
            </w:r>
            <w:r w:rsidRPr="005C3240">
              <w:rPr>
                <w:b/>
                <w:lang w:val="cs-CZ"/>
              </w:rPr>
              <w:t xml:space="preserve"> v </w:t>
            </w:r>
            <w:r w:rsidR="006024AC" w:rsidRPr="006024AC">
              <w:rPr>
                <w:b/>
                <w:lang w:val="cs-CZ"/>
              </w:rPr>
              <w:t>injekčnej liekovke</w:t>
            </w:r>
            <w:r w:rsidRPr="005C3240">
              <w:rPr>
                <w:b/>
                <w:lang w:val="cs-CZ"/>
              </w:rPr>
              <w:t xml:space="preserve"> </w:t>
            </w:r>
            <w:r w:rsidR="00AD43CB" w:rsidRPr="005C3240">
              <w:rPr>
                <w:lang w:val="cs-CZ"/>
              </w:rPr>
              <w:t>(mg/ml)</w:t>
            </w:r>
          </w:p>
        </w:tc>
        <w:tc>
          <w:tcPr>
            <w:tcW w:w="429" w:type="dxa"/>
          </w:tcPr>
          <w:p w14:paraId="7A505BF2" w14:textId="77777777" w:rsidR="004D628F" w:rsidRPr="005C3240" w:rsidRDefault="004D628F" w:rsidP="000F3DD5">
            <w:pPr>
              <w:rPr>
                <w:b/>
                <w:lang w:val="cs-CZ"/>
              </w:rPr>
            </w:pPr>
          </w:p>
          <w:p w14:paraId="0AA6B70A" w14:textId="5780913B" w:rsidR="00AD43CB" w:rsidRPr="005C3240" w:rsidRDefault="00AD43CB" w:rsidP="000F3DD5">
            <w:pPr>
              <w:rPr>
                <w:b/>
                <w:lang w:val="cs-CZ"/>
              </w:rPr>
            </w:pPr>
            <w:r w:rsidRPr="005C3240">
              <w:rPr>
                <w:b/>
                <w:lang w:val="cs-CZ"/>
              </w:rPr>
              <w:t>X</w:t>
            </w:r>
          </w:p>
        </w:tc>
        <w:tc>
          <w:tcPr>
            <w:tcW w:w="1834" w:type="dxa"/>
          </w:tcPr>
          <w:p w14:paraId="38C8A14C" w14:textId="0E1B3109" w:rsidR="00AD43CB" w:rsidRPr="005C3240" w:rsidRDefault="001B11CF" w:rsidP="006024AC">
            <w:pPr>
              <w:jc w:val="left"/>
              <w:rPr>
                <w:lang w:val="cs-CZ"/>
              </w:rPr>
            </w:pPr>
            <w:r w:rsidRPr="005C3240">
              <w:rPr>
                <w:b/>
                <w:lang w:val="cs-CZ"/>
              </w:rPr>
              <w:t xml:space="preserve">Celkový objem </w:t>
            </w:r>
            <w:r w:rsidR="006024AC" w:rsidRPr="006024AC">
              <w:rPr>
                <w:b/>
                <w:lang w:val="cs-CZ"/>
              </w:rPr>
              <w:t xml:space="preserve">zriedeného </w:t>
            </w:r>
            <w:r w:rsidRPr="005C3240">
              <w:rPr>
                <w:b/>
                <w:lang w:val="cs-CZ"/>
              </w:rPr>
              <w:t>roztoku treprostinilu v zásobníku</w:t>
            </w:r>
            <w:r w:rsidR="00AD43CB" w:rsidRPr="005C3240">
              <w:rPr>
                <w:b/>
                <w:lang w:val="cs-CZ"/>
              </w:rPr>
              <w:t xml:space="preserve"> </w:t>
            </w:r>
            <w:r w:rsidR="00AD43CB" w:rsidRPr="005C3240">
              <w:rPr>
                <w:lang w:val="cs-CZ"/>
              </w:rPr>
              <w:t>(ml)</w:t>
            </w:r>
          </w:p>
        </w:tc>
      </w:tr>
    </w:tbl>
    <w:p w14:paraId="3A49B9D0" w14:textId="77777777" w:rsidR="00C34B67" w:rsidRPr="005C3240" w:rsidRDefault="00C34B67" w:rsidP="00D546DF">
      <w:pPr>
        <w:rPr>
          <w:bCs/>
          <w:szCs w:val="22"/>
          <w:lang w:val="cs-CZ"/>
        </w:rPr>
      </w:pPr>
    </w:p>
    <w:p w14:paraId="67180AF5" w14:textId="1767C8D2" w:rsidR="00D546DF" w:rsidRPr="005C3240" w:rsidRDefault="003572CA" w:rsidP="00D546DF">
      <w:pPr>
        <w:rPr>
          <w:bCs/>
          <w:szCs w:val="22"/>
          <w:lang w:val="cs-CZ"/>
        </w:rPr>
      </w:pPr>
      <w:bookmarkStart w:id="3" w:name="_Hlk42071167"/>
      <w:r w:rsidRPr="003572CA">
        <w:rPr>
          <w:bCs/>
          <w:szCs w:val="22"/>
          <w:lang w:val="cs-CZ"/>
        </w:rPr>
        <w:t>Vypočítané množstvo</w:t>
      </w:r>
      <w:r w:rsidR="00976C85" w:rsidRPr="005C3240">
        <w:rPr>
          <w:bCs/>
          <w:szCs w:val="22"/>
          <w:lang w:val="cs-CZ"/>
        </w:rPr>
        <w:t xml:space="preserve"> </w:t>
      </w:r>
      <w:r w:rsidR="005746DE">
        <w:rPr>
          <w:bCs/>
          <w:szCs w:val="22"/>
          <w:lang w:val="cs-CZ"/>
        </w:rPr>
        <w:t>Treprostinil</w:t>
      </w:r>
      <w:r w:rsidR="00BB5E19">
        <w:rPr>
          <w:bCs/>
          <w:szCs w:val="22"/>
          <w:lang w:val="cs-CZ"/>
        </w:rPr>
        <w:t>u</w:t>
      </w:r>
      <w:r w:rsidR="005746DE">
        <w:rPr>
          <w:bCs/>
          <w:szCs w:val="22"/>
          <w:lang w:val="cs-CZ"/>
        </w:rPr>
        <w:t xml:space="preserve"> Tillomed</w:t>
      </w:r>
      <w:r w:rsidR="00D546DF" w:rsidRPr="005C3240">
        <w:rPr>
          <w:bCs/>
          <w:szCs w:val="22"/>
          <w:lang w:val="cs-CZ"/>
        </w:rPr>
        <w:t xml:space="preserve"> </w:t>
      </w:r>
      <w:bookmarkEnd w:id="3"/>
      <w:r w:rsidRPr="003572CA">
        <w:rPr>
          <w:bCs/>
          <w:szCs w:val="22"/>
          <w:lang w:val="cs-CZ"/>
        </w:rPr>
        <w:t>sa potom pridá do zásobníka spolu s dostatočným objemom zrieďovadla (sterilná voda na injekcie alebo 0,9 % injekčný roztok chloridu sodného), aby sa dosiahol požadovaný celkový objem v zásobníku.</w:t>
      </w:r>
    </w:p>
    <w:p w14:paraId="609A8C81" w14:textId="22EAE519" w:rsidR="00C945A4" w:rsidRPr="005C3240" w:rsidRDefault="003572CA" w:rsidP="00C945A4">
      <w:pPr>
        <w:rPr>
          <w:lang w:val="cs-CZ"/>
        </w:rPr>
      </w:pPr>
      <w:r w:rsidRPr="003572CA">
        <w:rPr>
          <w:szCs w:val="24"/>
          <w:lang w:val="sk-SK" w:eastAsia="fr-FR"/>
        </w:rPr>
        <w:t xml:space="preserve">Príklady výpočtu pre </w:t>
      </w:r>
      <w:r w:rsidRPr="003572CA">
        <w:rPr>
          <w:b/>
          <w:i/>
          <w:szCs w:val="24"/>
          <w:lang w:val="sk-SK" w:eastAsia="fr-FR"/>
        </w:rPr>
        <w:t xml:space="preserve">intravenózne infúzie </w:t>
      </w:r>
      <w:r w:rsidRPr="003572CA">
        <w:rPr>
          <w:szCs w:val="24"/>
          <w:lang w:val="sk-SK" w:eastAsia="fr-FR"/>
        </w:rPr>
        <w:t>sú nasledovné:</w:t>
      </w:r>
    </w:p>
    <w:p w14:paraId="09C7D827" w14:textId="37AC7778" w:rsidR="00C945A4" w:rsidRPr="005C3240" w:rsidRDefault="00B7503B" w:rsidP="00C945A4">
      <w:pPr>
        <w:rPr>
          <w:b/>
          <w:u w:val="single"/>
          <w:lang w:val="cs-CZ"/>
        </w:rPr>
      </w:pPr>
      <w:r w:rsidRPr="00B7503B">
        <w:rPr>
          <w:b/>
          <w:u w:val="single"/>
          <w:lang w:val="cs-CZ"/>
        </w:rPr>
        <w:t>3. príklad:</w:t>
      </w:r>
    </w:p>
    <w:p w14:paraId="52BBFDB9" w14:textId="038FD604" w:rsidR="00C945A4" w:rsidRPr="005C3240" w:rsidRDefault="00B7503B" w:rsidP="00C945A4">
      <w:pPr>
        <w:rPr>
          <w:bCs/>
          <w:lang w:val="cs-CZ"/>
        </w:rPr>
      </w:pPr>
      <w:r w:rsidRPr="00B7503B">
        <w:rPr>
          <w:bCs/>
          <w:lang w:val="cs-CZ"/>
        </w:rPr>
        <w:t>Pre osobu s telesnou hmotnosťou 60 kg s dávkou 5 ng/kg/min. s vopred určenou rýchlosťou intravenóznej infúzie 1 ml/hod. a zásobníkom 50 ml, sa koncentrácia zriedeného intravenózneho roztoku</w:t>
      </w:r>
      <w:r w:rsidR="004D2689" w:rsidRPr="005C3240">
        <w:rPr>
          <w:bCs/>
          <w:lang w:val="cs-CZ"/>
        </w:rPr>
        <w:t xml:space="preserve"> </w:t>
      </w:r>
      <w:r w:rsidR="005746DE">
        <w:rPr>
          <w:bCs/>
          <w:lang w:val="cs-CZ"/>
        </w:rPr>
        <w:t>Treprostinil</w:t>
      </w:r>
      <w:r w:rsidR="00BB5E19">
        <w:rPr>
          <w:bCs/>
          <w:lang w:val="cs-CZ"/>
        </w:rPr>
        <w:t>u</w:t>
      </w:r>
      <w:r w:rsidR="005746DE">
        <w:rPr>
          <w:bCs/>
          <w:lang w:val="cs-CZ"/>
        </w:rPr>
        <w:t xml:space="preserve"> Tillomed</w:t>
      </w:r>
      <w:r w:rsidR="004D2689" w:rsidRPr="005C3240">
        <w:rPr>
          <w:bCs/>
          <w:lang w:val="cs-CZ"/>
        </w:rPr>
        <w:t xml:space="preserve"> </w:t>
      </w:r>
      <w:r w:rsidRPr="00B7503B">
        <w:rPr>
          <w:bCs/>
          <w:lang w:val="cs-CZ"/>
        </w:rPr>
        <w:t>vypočíta nasledovne:</w:t>
      </w:r>
    </w:p>
    <w:p w14:paraId="15CC2DE8" w14:textId="59680855" w:rsidR="00C80FAF" w:rsidRPr="005C3240" w:rsidRDefault="00954BB5" w:rsidP="00C80FAF">
      <w:pPr>
        <w:rPr>
          <w:b/>
          <w:u w:val="single"/>
          <w:lang w:val="cs-CZ"/>
        </w:rPr>
      </w:pPr>
      <w:r w:rsidRPr="00954BB5">
        <w:rPr>
          <w:b/>
          <w:u w:val="single"/>
          <w:lang w:val="cs-CZ"/>
        </w:rPr>
        <w:t>1.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42"/>
        <w:gridCol w:w="3192"/>
        <w:gridCol w:w="450"/>
        <w:gridCol w:w="1980"/>
      </w:tblGrid>
      <w:tr w:rsidR="00CC3143" w:rsidRPr="005C3240" w14:paraId="17AE6B0B" w14:textId="77777777" w:rsidTr="005E5B9A">
        <w:tc>
          <w:tcPr>
            <w:tcW w:w="2046" w:type="dxa"/>
          </w:tcPr>
          <w:p w14:paraId="0A5BD112" w14:textId="70928145" w:rsidR="00CC3143" w:rsidRPr="005C3240" w:rsidRDefault="00954BB5" w:rsidP="00454B09">
            <w:pPr>
              <w:jc w:val="left"/>
              <w:rPr>
                <w:b/>
                <w:lang w:val="cs-CZ"/>
              </w:rPr>
            </w:pPr>
            <w:r w:rsidRPr="00954BB5">
              <w:rPr>
                <w:b/>
                <w:lang w:val="cs-CZ"/>
              </w:rPr>
              <w:lastRenderedPageBreak/>
              <w:t>Koncentrácia zriedeného intravenózneho</w:t>
            </w:r>
            <w:r w:rsidR="001B11CF" w:rsidRPr="005C3240">
              <w:rPr>
                <w:b/>
                <w:lang w:val="cs-CZ"/>
              </w:rPr>
              <w:t xml:space="preserve"> treprostinilu </w:t>
            </w:r>
            <w:r w:rsidR="00CC3143" w:rsidRPr="005C3240">
              <w:rPr>
                <w:lang w:val="cs-CZ"/>
              </w:rPr>
              <w:t>(mg/ml)</w:t>
            </w:r>
          </w:p>
        </w:tc>
        <w:tc>
          <w:tcPr>
            <w:tcW w:w="342" w:type="dxa"/>
          </w:tcPr>
          <w:p w14:paraId="567CFFBF" w14:textId="77777777" w:rsidR="007B54A8" w:rsidRPr="005C3240" w:rsidRDefault="007B54A8" w:rsidP="00275F47">
            <w:pPr>
              <w:rPr>
                <w:b/>
                <w:lang w:val="cs-CZ"/>
              </w:rPr>
            </w:pPr>
          </w:p>
          <w:p w14:paraId="7F706718" w14:textId="0AB17FB5" w:rsidR="00CC3143" w:rsidRPr="005C3240" w:rsidRDefault="00CC3143" w:rsidP="00275F47">
            <w:pPr>
              <w:rPr>
                <w:b/>
                <w:lang w:val="cs-CZ"/>
              </w:rPr>
            </w:pPr>
            <w:r w:rsidRPr="005C3240">
              <w:rPr>
                <w:b/>
                <w:lang w:val="cs-CZ"/>
              </w:rPr>
              <w:t>=</w:t>
            </w:r>
          </w:p>
        </w:tc>
        <w:tc>
          <w:tcPr>
            <w:tcW w:w="3192" w:type="dxa"/>
          </w:tcPr>
          <w:p w14:paraId="0820BBF5" w14:textId="3111373C" w:rsidR="00CC3143" w:rsidRPr="005C3240" w:rsidRDefault="00CC3143" w:rsidP="00275F47">
            <w:pPr>
              <w:rPr>
                <w:b/>
                <w:u w:val="single"/>
                <w:lang w:val="cs-CZ"/>
              </w:rPr>
            </w:pPr>
            <w:r w:rsidRPr="005C3240">
              <w:rPr>
                <w:b/>
                <w:u w:val="single"/>
                <w:lang w:val="cs-CZ"/>
              </w:rPr>
              <w:t xml:space="preserve">5 </w:t>
            </w:r>
            <w:r w:rsidRPr="005C3240">
              <w:rPr>
                <w:u w:val="single"/>
                <w:lang w:val="cs-CZ"/>
              </w:rPr>
              <w:t>ng/kg/min</w:t>
            </w:r>
            <w:r w:rsidRPr="005C3240">
              <w:rPr>
                <w:b/>
                <w:u w:val="single"/>
                <w:lang w:val="cs-CZ"/>
              </w:rPr>
              <w:t xml:space="preserve"> x 60 </w:t>
            </w:r>
            <w:r w:rsidRPr="005C3240">
              <w:rPr>
                <w:u w:val="single"/>
                <w:lang w:val="cs-CZ"/>
              </w:rPr>
              <w:t>kg</w:t>
            </w:r>
            <w:r w:rsidRPr="005C3240">
              <w:rPr>
                <w:b/>
                <w:u w:val="single"/>
                <w:lang w:val="cs-CZ"/>
              </w:rPr>
              <w:t xml:space="preserve"> x 0</w:t>
            </w:r>
            <w:r w:rsidR="00954BB5">
              <w:rPr>
                <w:b/>
                <w:u w:val="single"/>
                <w:lang w:val="cs-CZ"/>
              </w:rPr>
              <w:t>,</w:t>
            </w:r>
            <w:r w:rsidRPr="005C3240">
              <w:rPr>
                <w:b/>
                <w:u w:val="single"/>
                <w:lang w:val="cs-CZ"/>
              </w:rPr>
              <w:t>00006</w:t>
            </w:r>
          </w:p>
          <w:p w14:paraId="162FEF78" w14:textId="3190277A" w:rsidR="00CC3143" w:rsidRPr="005C3240" w:rsidRDefault="00CC3143" w:rsidP="00275F47">
            <w:pPr>
              <w:rPr>
                <w:lang w:val="cs-CZ"/>
              </w:rPr>
            </w:pPr>
            <w:r w:rsidRPr="005C3240">
              <w:rPr>
                <w:lang w:val="cs-CZ"/>
              </w:rPr>
              <w:t xml:space="preserve">                  1 ml/h               </w:t>
            </w:r>
          </w:p>
          <w:p w14:paraId="480289DD" w14:textId="1F705E56" w:rsidR="00CC3143" w:rsidRPr="005C3240" w:rsidRDefault="00CC3143" w:rsidP="00275F47">
            <w:pPr>
              <w:rPr>
                <w:lang w:val="cs-CZ"/>
              </w:rPr>
            </w:pPr>
          </w:p>
        </w:tc>
        <w:tc>
          <w:tcPr>
            <w:tcW w:w="450" w:type="dxa"/>
          </w:tcPr>
          <w:p w14:paraId="11AEF851" w14:textId="77777777" w:rsidR="007B54A8" w:rsidRPr="005C3240" w:rsidRDefault="007B54A8" w:rsidP="00275F47">
            <w:pPr>
              <w:rPr>
                <w:b/>
                <w:lang w:val="cs-CZ"/>
              </w:rPr>
            </w:pPr>
          </w:p>
          <w:p w14:paraId="246FB0C3" w14:textId="146C16AF" w:rsidR="00CC3143" w:rsidRPr="005C3240" w:rsidRDefault="00CC3143" w:rsidP="00275F47">
            <w:pPr>
              <w:rPr>
                <w:b/>
                <w:lang w:val="cs-CZ"/>
              </w:rPr>
            </w:pPr>
            <w:r w:rsidRPr="005C3240">
              <w:rPr>
                <w:b/>
                <w:lang w:val="cs-CZ"/>
              </w:rPr>
              <w:t>=</w:t>
            </w:r>
          </w:p>
        </w:tc>
        <w:tc>
          <w:tcPr>
            <w:tcW w:w="1980" w:type="dxa"/>
          </w:tcPr>
          <w:p w14:paraId="6BDCFBA2" w14:textId="10C88CFE" w:rsidR="00CC3143" w:rsidRPr="005C3240" w:rsidRDefault="00CC3143" w:rsidP="001B11CF">
            <w:pPr>
              <w:jc w:val="left"/>
              <w:rPr>
                <w:lang w:val="cs-CZ"/>
              </w:rPr>
            </w:pPr>
            <w:r w:rsidRPr="005C3240">
              <w:rPr>
                <w:b/>
                <w:lang w:val="cs-CZ"/>
              </w:rPr>
              <w:t>0</w:t>
            </w:r>
            <w:r w:rsidR="00954BB5">
              <w:rPr>
                <w:b/>
                <w:lang w:val="cs-CZ"/>
              </w:rPr>
              <w:t>,</w:t>
            </w:r>
            <w:r w:rsidRPr="005C3240">
              <w:rPr>
                <w:b/>
                <w:lang w:val="cs-CZ"/>
              </w:rPr>
              <w:t>018</w:t>
            </w:r>
            <w:r w:rsidRPr="005C3240">
              <w:rPr>
                <w:lang w:val="cs-CZ"/>
              </w:rPr>
              <w:t xml:space="preserve"> mg/ml </w:t>
            </w:r>
            <w:r w:rsidR="00954BB5">
              <w:rPr>
                <w:lang w:val="cs-CZ"/>
              </w:rPr>
              <w:br/>
            </w:r>
            <w:r w:rsidRPr="005C3240">
              <w:rPr>
                <w:lang w:val="cs-CZ"/>
              </w:rPr>
              <w:t>(18</w:t>
            </w:r>
            <w:r w:rsidR="00954BB5">
              <w:rPr>
                <w:lang w:val="cs-CZ"/>
              </w:rPr>
              <w:t xml:space="preserve"> </w:t>
            </w:r>
            <w:r w:rsidRPr="005C3240">
              <w:rPr>
                <w:lang w:val="cs-CZ"/>
              </w:rPr>
              <w:t>000 ng/ml)</w:t>
            </w:r>
          </w:p>
        </w:tc>
      </w:tr>
    </w:tbl>
    <w:p w14:paraId="575D9EBA" w14:textId="1095EE7D" w:rsidR="00C80FAF" w:rsidRPr="005C3240" w:rsidRDefault="00275F6B" w:rsidP="00C80FAF">
      <w:pPr>
        <w:rPr>
          <w:lang w:val="cs-CZ"/>
        </w:rPr>
      </w:pPr>
      <w:r w:rsidRPr="00275F6B">
        <w:t>Množstvo Treprostinil</w:t>
      </w:r>
      <w:r w:rsidR="00BB5E19">
        <w:t>u</w:t>
      </w:r>
      <w:r w:rsidRPr="00275F6B">
        <w:t xml:space="preserve"> Tillomed </w:t>
      </w:r>
      <w:r w:rsidRPr="00275F6B">
        <w:rPr>
          <w:lang w:val="cs-CZ"/>
        </w:rPr>
        <w:t>(s použitím sily injekčnej liekovky 1 mg/ml) potrebné na celkovú koncentráciu zriedeného Treprostinil</w:t>
      </w:r>
      <w:r w:rsidR="00BB5E19">
        <w:rPr>
          <w:lang w:val="cs-CZ"/>
        </w:rPr>
        <w:t>u</w:t>
      </w:r>
      <w:r w:rsidRPr="00275F6B">
        <w:rPr>
          <w:lang w:val="cs-CZ"/>
        </w:rPr>
        <w:t xml:space="preserve"> Tillomed 0,018 mg/ml a celkový objem 50 ml sa vypočíta nasledovne:</w:t>
      </w:r>
    </w:p>
    <w:p w14:paraId="1A46E59D" w14:textId="3082888C" w:rsidR="00C80FAF" w:rsidRPr="005C3240" w:rsidRDefault="00275F6B" w:rsidP="00C80FAF">
      <w:pPr>
        <w:rPr>
          <w:b/>
          <w:u w:val="single"/>
          <w:lang w:val="cs-CZ"/>
        </w:rPr>
      </w:pPr>
      <w:r>
        <w:rPr>
          <w:b/>
          <w:u w:val="single"/>
          <w:lang w:val="cs-CZ"/>
        </w:rPr>
        <w:t>2</w:t>
      </w:r>
      <w:r w:rsidRPr="00954BB5">
        <w:rPr>
          <w:b/>
          <w:u w:val="single"/>
          <w:lang w:val="cs-CZ"/>
        </w:rPr>
        <w:t>.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342"/>
        <w:gridCol w:w="1405"/>
        <w:gridCol w:w="326"/>
        <w:gridCol w:w="3932"/>
      </w:tblGrid>
      <w:tr w:rsidR="004147CB" w:rsidRPr="005C3240" w14:paraId="1C7FDFD4" w14:textId="77777777" w:rsidTr="00672BF2">
        <w:trPr>
          <w:trHeight w:val="897"/>
        </w:trPr>
        <w:tc>
          <w:tcPr>
            <w:tcW w:w="1932" w:type="dxa"/>
          </w:tcPr>
          <w:p w14:paraId="09D8A525" w14:textId="7A7073D7" w:rsidR="00CC3143" w:rsidRPr="005C3240" w:rsidRDefault="00275F6B" w:rsidP="00454B09">
            <w:pPr>
              <w:spacing w:after="0"/>
              <w:jc w:val="left"/>
              <w:rPr>
                <w:b/>
                <w:lang w:val="cs-CZ"/>
              </w:rPr>
            </w:pPr>
            <w:r w:rsidRPr="00275F6B">
              <w:rPr>
                <w:b/>
                <w:lang w:val="cs-CZ"/>
              </w:rPr>
              <w:t>Množstvo</w:t>
            </w:r>
            <w:r w:rsidR="006E4AB5" w:rsidRPr="005C3240">
              <w:rPr>
                <w:b/>
                <w:lang w:val="cs-CZ"/>
              </w:rPr>
              <w:t xml:space="preserve"> treprostinilu</w:t>
            </w:r>
            <w:r w:rsidR="004D2689" w:rsidRPr="005C3240">
              <w:rPr>
                <w:b/>
                <w:lang w:val="cs-CZ"/>
              </w:rPr>
              <w:t xml:space="preserve"> </w:t>
            </w:r>
            <w:r w:rsidR="00CC3143" w:rsidRPr="005C3240">
              <w:rPr>
                <w:lang w:val="cs-CZ"/>
              </w:rPr>
              <w:t>(ml)</w:t>
            </w:r>
          </w:p>
        </w:tc>
        <w:tc>
          <w:tcPr>
            <w:tcW w:w="342" w:type="dxa"/>
          </w:tcPr>
          <w:p w14:paraId="6F43D9C4" w14:textId="77777777" w:rsidR="006342E9" w:rsidRPr="005C3240" w:rsidRDefault="006342E9" w:rsidP="00275F47">
            <w:pPr>
              <w:rPr>
                <w:b/>
                <w:lang w:val="cs-CZ"/>
              </w:rPr>
            </w:pPr>
          </w:p>
          <w:p w14:paraId="57443C47" w14:textId="3BC4281E" w:rsidR="00CC3143" w:rsidRPr="005C3240" w:rsidRDefault="00CC3143" w:rsidP="00275F47">
            <w:pPr>
              <w:rPr>
                <w:b/>
                <w:lang w:val="cs-CZ"/>
              </w:rPr>
            </w:pPr>
            <w:r w:rsidRPr="005C3240">
              <w:rPr>
                <w:b/>
                <w:lang w:val="cs-CZ"/>
              </w:rPr>
              <w:t>=</w:t>
            </w:r>
          </w:p>
        </w:tc>
        <w:tc>
          <w:tcPr>
            <w:tcW w:w="1405" w:type="dxa"/>
          </w:tcPr>
          <w:p w14:paraId="6FC966B4" w14:textId="2485F158" w:rsidR="00CC3143" w:rsidRPr="005C3240" w:rsidRDefault="00CC3143" w:rsidP="00275F47">
            <w:pPr>
              <w:rPr>
                <w:b/>
                <w:u w:val="single"/>
                <w:lang w:val="cs-CZ"/>
              </w:rPr>
            </w:pPr>
            <w:r w:rsidRPr="005C3240">
              <w:rPr>
                <w:b/>
                <w:u w:val="single"/>
                <w:lang w:val="cs-CZ"/>
              </w:rPr>
              <w:t>0</w:t>
            </w:r>
            <w:r w:rsidR="00275F6B">
              <w:rPr>
                <w:b/>
                <w:u w:val="single"/>
                <w:lang w:val="cs-CZ"/>
              </w:rPr>
              <w:t>,</w:t>
            </w:r>
            <w:r w:rsidRPr="005C3240">
              <w:rPr>
                <w:b/>
                <w:u w:val="single"/>
                <w:lang w:val="cs-CZ"/>
              </w:rPr>
              <w:t>0</w:t>
            </w:r>
            <w:r w:rsidR="004147CB" w:rsidRPr="005C3240">
              <w:rPr>
                <w:b/>
                <w:u w:val="single"/>
                <w:lang w:val="cs-CZ"/>
              </w:rPr>
              <w:t>18 mg/ml</w:t>
            </w:r>
          </w:p>
          <w:p w14:paraId="1C75EB59" w14:textId="2DA0C7A6" w:rsidR="00CC3143" w:rsidRPr="005C3240" w:rsidRDefault="00CC3143" w:rsidP="00275F47">
            <w:pPr>
              <w:rPr>
                <w:lang w:val="cs-CZ"/>
              </w:rPr>
            </w:pPr>
            <w:r w:rsidRPr="005C3240">
              <w:rPr>
                <w:lang w:val="cs-CZ"/>
              </w:rPr>
              <w:t xml:space="preserve">     </w:t>
            </w:r>
            <w:r w:rsidR="004147CB" w:rsidRPr="005C3240">
              <w:rPr>
                <w:lang w:val="cs-CZ"/>
              </w:rPr>
              <w:t>1</w:t>
            </w:r>
            <w:r w:rsidRPr="005C3240">
              <w:rPr>
                <w:lang w:val="cs-CZ"/>
              </w:rPr>
              <w:t xml:space="preserve"> m</w:t>
            </w:r>
            <w:r w:rsidR="004147CB" w:rsidRPr="005C3240">
              <w:rPr>
                <w:lang w:val="cs-CZ"/>
              </w:rPr>
              <w:t>g</w:t>
            </w:r>
            <w:r w:rsidRPr="005C3240">
              <w:rPr>
                <w:lang w:val="cs-CZ"/>
              </w:rPr>
              <w:t>/</w:t>
            </w:r>
            <w:r w:rsidR="004147CB" w:rsidRPr="005C3240">
              <w:rPr>
                <w:lang w:val="cs-CZ"/>
              </w:rPr>
              <w:t>ml</w:t>
            </w:r>
            <w:r w:rsidRPr="005C3240">
              <w:rPr>
                <w:lang w:val="cs-CZ"/>
              </w:rPr>
              <w:t xml:space="preserve">               </w:t>
            </w:r>
          </w:p>
          <w:p w14:paraId="72D274CB" w14:textId="77777777" w:rsidR="00CC3143" w:rsidRPr="005C3240" w:rsidRDefault="00CC3143" w:rsidP="00275F47">
            <w:pPr>
              <w:rPr>
                <w:lang w:val="cs-CZ"/>
              </w:rPr>
            </w:pPr>
          </w:p>
        </w:tc>
        <w:tc>
          <w:tcPr>
            <w:tcW w:w="326" w:type="dxa"/>
          </w:tcPr>
          <w:p w14:paraId="0ED78A2F" w14:textId="40052B99" w:rsidR="00CC3143" w:rsidRPr="005C3240" w:rsidRDefault="004147CB" w:rsidP="00275F47">
            <w:pPr>
              <w:rPr>
                <w:b/>
                <w:lang w:val="cs-CZ"/>
              </w:rPr>
            </w:pPr>
            <w:r w:rsidRPr="005C3240">
              <w:rPr>
                <w:b/>
                <w:lang w:val="cs-CZ"/>
              </w:rPr>
              <w:t>x</w:t>
            </w:r>
          </w:p>
        </w:tc>
        <w:tc>
          <w:tcPr>
            <w:tcW w:w="3932" w:type="dxa"/>
          </w:tcPr>
          <w:p w14:paraId="7DDCD90E" w14:textId="2B5FAACD" w:rsidR="00CC3143" w:rsidRPr="005C3240" w:rsidRDefault="004147CB" w:rsidP="00275F47">
            <w:pPr>
              <w:rPr>
                <w:lang w:val="cs-CZ"/>
              </w:rPr>
            </w:pPr>
            <w:r w:rsidRPr="005C3240">
              <w:rPr>
                <w:b/>
                <w:lang w:val="cs-CZ"/>
              </w:rPr>
              <w:t>50 ml = 0</w:t>
            </w:r>
            <w:r w:rsidR="00275F6B">
              <w:rPr>
                <w:b/>
                <w:lang w:val="cs-CZ"/>
              </w:rPr>
              <w:t>,</w:t>
            </w:r>
            <w:r w:rsidRPr="005C3240">
              <w:rPr>
                <w:b/>
                <w:lang w:val="cs-CZ"/>
              </w:rPr>
              <w:t>9 ml</w:t>
            </w:r>
          </w:p>
        </w:tc>
      </w:tr>
    </w:tbl>
    <w:p w14:paraId="220C53EB" w14:textId="1642FB1F" w:rsidR="00F43C40" w:rsidRPr="005C3240" w:rsidRDefault="00275F6B" w:rsidP="00F43C40">
      <w:pPr>
        <w:rPr>
          <w:lang w:val="cs-CZ"/>
        </w:rPr>
      </w:pPr>
      <w:r w:rsidRPr="00275F6B">
        <w:rPr>
          <w:lang w:val="cs-CZ"/>
        </w:rPr>
        <w:t>Koncentrácia zriedeného intravenózneho</w:t>
      </w:r>
      <w:r w:rsidR="007416CF" w:rsidRPr="005C3240">
        <w:rPr>
          <w:lang w:val="cs-CZ"/>
        </w:rPr>
        <w:t xml:space="preserve"> </w:t>
      </w:r>
      <w:r w:rsidR="005746DE">
        <w:rPr>
          <w:lang w:val="cs-CZ"/>
        </w:rPr>
        <w:t>Treprostinil</w:t>
      </w:r>
      <w:r w:rsidR="00BB5E19">
        <w:rPr>
          <w:lang w:val="cs-CZ"/>
        </w:rPr>
        <w:t>u</w:t>
      </w:r>
      <w:r w:rsidR="005746DE">
        <w:rPr>
          <w:lang w:val="cs-CZ"/>
        </w:rPr>
        <w:t xml:space="preserve"> Tillomed</w:t>
      </w:r>
      <w:r w:rsidR="007416CF" w:rsidRPr="005C3240">
        <w:rPr>
          <w:lang w:val="cs-CZ"/>
        </w:rPr>
        <w:t xml:space="preserve"> </w:t>
      </w:r>
      <w:r w:rsidRPr="00275F6B">
        <w:rPr>
          <w:lang w:val="cs-CZ"/>
        </w:rPr>
        <w:t>pre osobu v 3. príklade sa teda pripraví pridaním 0,9 ml</w:t>
      </w:r>
      <w:r w:rsidR="00672BF2" w:rsidRPr="005C3240">
        <w:rPr>
          <w:lang w:val="cs-CZ"/>
        </w:rPr>
        <w:t xml:space="preserve"> </w:t>
      </w:r>
      <w:r w:rsidR="005746DE">
        <w:rPr>
          <w:lang w:val="cs-CZ"/>
        </w:rPr>
        <w:t>Treprostinil</w:t>
      </w:r>
      <w:r w:rsidR="00BB5E19">
        <w:rPr>
          <w:lang w:val="cs-CZ"/>
        </w:rPr>
        <w:t>u</w:t>
      </w:r>
      <w:r w:rsidR="005746DE">
        <w:rPr>
          <w:lang w:val="cs-CZ"/>
        </w:rPr>
        <w:t xml:space="preserve"> Tillomed</w:t>
      </w:r>
      <w:r w:rsidR="007416CF" w:rsidRPr="005C3240">
        <w:rPr>
          <w:lang w:val="cs-CZ"/>
        </w:rPr>
        <w:t xml:space="preserve"> </w:t>
      </w:r>
      <w:r w:rsidRPr="00275F6B">
        <w:rPr>
          <w:lang w:val="cs-CZ"/>
        </w:rPr>
        <w:t>s koncentráciou 1 mg/ml do vhodného zásobníka spolu s dostatočným objemom zrieďovadla, aby sa v zásobníku dosiahol celkový objem 50 ml. Prietoková rýchlosť pumpy bude v tomto príklade nastavená na 1 ml/h.</w:t>
      </w:r>
    </w:p>
    <w:p w14:paraId="6838D699" w14:textId="6D40D909" w:rsidR="00F43C40" w:rsidRPr="005C3240" w:rsidRDefault="00057B0E" w:rsidP="00F43C40">
      <w:pPr>
        <w:rPr>
          <w:b/>
          <w:u w:val="single"/>
          <w:lang w:val="cs-CZ"/>
        </w:rPr>
      </w:pPr>
      <w:r w:rsidRPr="00057B0E">
        <w:rPr>
          <w:b/>
          <w:u w:val="single"/>
          <w:lang w:val="cs-CZ"/>
        </w:rPr>
        <w:t>4. príklad</w:t>
      </w:r>
      <w:r w:rsidR="00275F6B" w:rsidRPr="00275F6B">
        <w:rPr>
          <w:b/>
          <w:u w:val="single"/>
          <w:lang w:val="cs-CZ"/>
        </w:rPr>
        <w:t>:</w:t>
      </w:r>
    </w:p>
    <w:p w14:paraId="678D8711" w14:textId="22A8A26A" w:rsidR="00F43C40" w:rsidRPr="005C3240" w:rsidRDefault="00275F6B" w:rsidP="00F43C40">
      <w:pPr>
        <w:rPr>
          <w:bCs/>
          <w:lang w:val="cs-CZ"/>
        </w:rPr>
      </w:pPr>
      <w:r w:rsidRPr="00275F6B">
        <w:rPr>
          <w:bCs/>
          <w:lang w:val="cs-CZ"/>
        </w:rPr>
        <w:t xml:space="preserve">Pre osobu s telesnou hmotnosťou 75 kg s dávkou 30 ng/kg/min. s vopred určenou rýchlosťou intravenóznej infúzie 2 ml/h a zásobníkom 100 ml, sa koncentrácia zriedeného intravenózneho roztoku </w:t>
      </w:r>
      <w:r w:rsidR="00A517CC" w:rsidRPr="00A517CC">
        <w:rPr>
          <w:bCs/>
          <w:lang w:val="cs-CZ"/>
        </w:rPr>
        <w:t>Treprostinil</w:t>
      </w:r>
      <w:r w:rsidR="00BB5E19">
        <w:rPr>
          <w:bCs/>
          <w:lang w:val="cs-CZ"/>
        </w:rPr>
        <w:t>u</w:t>
      </w:r>
      <w:r w:rsidR="00A517CC" w:rsidRPr="00A517CC">
        <w:rPr>
          <w:bCs/>
          <w:lang w:val="cs-CZ"/>
        </w:rPr>
        <w:t xml:space="preserve"> Tillomed</w:t>
      </w:r>
      <w:r w:rsidRPr="00275F6B">
        <w:rPr>
          <w:bCs/>
          <w:lang w:val="cs-CZ"/>
        </w:rPr>
        <w:t xml:space="preserve"> vypočíta nasledovne:</w:t>
      </w:r>
    </w:p>
    <w:p w14:paraId="5F44A9F4" w14:textId="77777777" w:rsidR="00F43C40" w:rsidRPr="005C3240" w:rsidRDefault="00F43C40" w:rsidP="00F43C40">
      <w:pPr>
        <w:rPr>
          <w:lang w:val="cs-CZ"/>
        </w:rPr>
      </w:pPr>
    </w:p>
    <w:p w14:paraId="30DF31FD" w14:textId="6DFE3F16" w:rsidR="00F43C40" w:rsidRPr="005C3240" w:rsidRDefault="00A517CC" w:rsidP="00F43C40">
      <w:pPr>
        <w:rPr>
          <w:b/>
          <w:u w:val="single"/>
          <w:lang w:val="cs-CZ"/>
        </w:rPr>
      </w:pPr>
      <w:r w:rsidRPr="00A517CC">
        <w:rPr>
          <w:b/>
          <w:u w:val="single"/>
          <w:lang w:val="cs-CZ"/>
        </w:rPr>
        <w:t>1. krok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3510"/>
        <w:gridCol w:w="540"/>
        <w:gridCol w:w="2102"/>
      </w:tblGrid>
      <w:tr w:rsidR="005C5B38" w:rsidRPr="005C3240" w14:paraId="28718F0D" w14:textId="77777777" w:rsidTr="005E5B9A">
        <w:tc>
          <w:tcPr>
            <w:tcW w:w="1800" w:type="dxa"/>
          </w:tcPr>
          <w:p w14:paraId="2406A9BB" w14:textId="5A4E1E40" w:rsidR="005C5B38" w:rsidRPr="005C3240" w:rsidRDefault="00A517CC" w:rsidP="00454B09">
            <w:pPr>
              <w:jc w:val="left"/>
              <w:rPr>
                <w:b/>
                <w:lang w:val="cs-CZ"/>
              </w:rPr>
            </w:pPr>
            <w:r w:rsidRPr="00A517CC">
              <w:rPr>
                <w:b/>
                <w:lang w:val="cs-CZ"/>
              </w:rPr>
              <w:t>Koncentrácia zriedeného</w:t>
            </w:r>
            <w:r w:rsidR="002A4F7F" w:rsidRPr="005C3240">
              <w:rPr>
                <w:b/>
                <w:lang w:val="cs-CZ"/>
              </w:rPr>
              <w:t xml:space="preserve"> </w:t>
            </w:r>
            <w:r w:rsidRPr="00A517CC">
              <w:rPr>
                <w:b/>
                <w:lang w:val="cs-CZ"/>
              </w:rPr>
              <w:t>intravenózneho</w:t>
            </w:r>
            <w:r w:rsidR="002A4F7F" w:rsidRPr="005C3240">
              <w:rPr>
                <w:b/>
                <w:lang w:val="cs-CZ"/>
              </w:rPr>
              <w:t xml:space="preserve"> treprostinilu</w:t>
            </w:r>
            <w:r w:rsidR="005C5B38" w:rsidRPr="005C3240">
              <w:rPr>
                <w:b/>
                <w:lang w:val="cs-CZ"/>
              </w:rPr>
              <w:t xml:space="preserve"> </w:t>
            </w:r>
            <w:r w:rsidR="005C5B38" w:rsidRPr="005C3240">
              <w:rPr>
                <w:lang w:val="cs-CZ"/>
              </w:rPr>
              <w:t>(mg/ml)</w:t>
            </w:r>
          </w:p>
        </w:tc>
        <w:tc>
          <w:tcPr>
            <w:tcW w:w="360" w:type="dxa"/>
          </w:tcPr>
          <w:p w14:paraId="7231A2EA" w14:textId="77777777" w:rsidR="00597E37" w:rsidRPr="005C3240" w:rsidRDefault="00597E37" w:rsidP="00275F47">
            <w:pPr>
              <w:rPr>
                <w:b/>
                <w:lang w:val="cs-CZ"/>
              </w:rPr>
            </w:pPr>
          </w:p>
          <w:p w14:paraId="2EAA3CAF" w14:textId="57805B0B" w:rsidR="005C5B38" w:rsidRPr="005C3240" w:rsidRDefault="005C5B38" w:rsidP="00275F47">
            <w:pPr>
              <w:rPr>
                <w:b/>
                <w:lang w:val="cs-CZ"/>
              </w:rPr>
            </w:pPr>
            <w:r w:rsidRPr="005C3240">
              <w:rPr>
                <w:b/>
                <w:lang w:val="cs-CZ"/>
              </w:rPr>
              <w:t>=</w:t>
            </w:r>
          </w:p>
        </w:tc>
        <w:tc>
          <w:tcPr>
            <w:tcW w:w="3510" w:type="dxa"/>
          </w:tcPr>
          <w:p w14:paraId="53E6BF91" w14:textId="3B81AA26" w:rsidR="005C5B38" w:rsidRPr="005C3240" w:rsidRDefault="005C5B38" w:rsidP="00275F47">
            <w:pPr>
              <w:rPr>
                <w:b/>
                <w:u w:val="single"/>
                <w:lang w:val="cs-CZ"/>
              </w:rPr>
            </w:pPr>
            <w:r w:rsidRPr="005C3240">
              <w:rPr>
                <w:b/>
                <w:u w:val="single"/>
                <w:lang w:val="cs-CZ"/>
              </w:rPr>
              <w:t xml:space="preserve">30 </w:t>
            </w:r>
            <w:r w:rsidRPr="005C3240">
              <w:rPr>
                <w:u w:val="single"/>
                <w:lang w:val="cs-CZ"/>
              </w:rPr>
              <w:t>ng/kg/min</w:t>
            </w:r>
            <w:r w:rsidRPr="005C3240">
              <w:rPr>
                <w:b/>
                <w:u w:val="single"/>
                <w:lang w:val="cs-CZ"/>
              </w:rPr>
              <w:t xml:space="preserve"> x 75 </w:t>
            </w:r>
            <w:r w:rsidRPr="005C3240">
              <w:rPr>
                <w:u w:val="single"/>
                <w:lang w:val="cs-CZ"/>
              </w:rPr>
              <w:t>kg</w:t>
            </w:r>
            <w:r w:rsidRPr="005C3240">
              <w:rPr>
                <w:b/>
                <w:u w:val="single"/>
                <w:lang w:val="cs-CZ"/>
              </w:rPr>
              <w:t xml:space="preserve"> x 0</w:t>
            </w:r>
            <w:r w:rsidR="00A517CC">
              <w:rPr>
                <w:b/>
                <w:u w:val="single"/>
                <w:lang w:val="cs-CZ"/>
              </w:rPr>
              <w:t>,</w:t>
            </w:r>
            <w:r w:rsidRPr="005C3240">
              <w:rPr>
                <w:b/>
                <w:u w:val="single"/>
                <w:lang w:val="cs-CZ"/>
              </w:rPr>
              <w:t>00006</w:t>
            </w:r>
          </w:p>
          <w:p w14:paraId="56500E24" w14:textId="2183D534" w:rsidR="005C5B38" w:rsidRPr="005C3240" w:rsidRDefault="005C5B38" w:rsidP="00275F47">
            <w:pPr>
              <w:rPr>
                <w:lang w:val="cs-CZ"/>
              </w:rPr>
            </w:pPr>
            <w:r w:rsidRPr="005C3240">
              <w:rPr>
                <w:lang w:val="cs-CZ"/>
              </w:rPr>
              <w:t xml:space="preserve">                  </w:t>
            </w:r>
            <w:r w:rsidRPr="005C3240">
              <w:rPr>
                <w:b/>
                <w:lang w:val="cs-CZ"/>
              </w:rPr>
              <w:t>2</w:t>
            </w:r>
            <w:r w:rsidRPr="005C3240">
              <w:rPr>
                <w:lang w:val="cs-CZ"/>
              </w:rPr>
              <w:t xml:space="preserve"> ml/h               </w:t>
            </w:r>
          </w:p>
          <w:p w14:paraId="583B6D91" w14:textId="77777777" w:rsidR="005C5B38" w:rsidRPr="005C3240" w:rsidRDefault="005C5B38" w:rsidP="00275F47">
            <w:pPr>
              <w:rPr>
                <w:lang w:val="cs-CZ"/>
              </w:rPr>
            </w:pPr>
          </w:p>
        </w:tc>
        <w:tc>
          <w:tcPr>
            <w:tcW w:w="540" w:type="dxa"/>
          </w:tcPr>
          <w:p w14:paraId="46928BBF" w14:textId="77777777" w:rsidR="00597E37" w:rsidRPr="005C3240" w:rsidRDefault="00597E37" w:rsidP="00275F47">
            <w:pPr>
              <w:rPr>
                <w:b/>
                <w:lang w:val="cs-CZ"/>
              </w:rPr>
            </w:pPr>
          </w:p>
          <w:p w14:paraId="7AE7427E" w14:textId="7543D6C0" w:rsidR="005C5B38" w:rsidRPr="005C3240" w:rsidRDefault="005C5B38" w:rsidP="00275F47">
            <w:pPr>
              <w:rPr>
                <w:b/>
                <w:lang w:val="cs-CZ"/>
              </w:rPr>
            </w:pPr>
            <w:r w:rsidRPr="005C3240">
              <w:rPr>
                <w:b/>
                <w:lang w:val="cs-CZ"/>
              </w:rPr>
              <w:t>=</w:t>
            </w:r>
          </w:p>
        </w:tc>
        <w:tc>
          <w:tcPr>
            <w:tcW w:w="2102" w:type="dxa"/>
          </w:tcPr>
          <w:p w14:paraId="14EECE6B" w14:textId="2F592438" w:rsidR="005C5B38" w:rsidRPr="005C3240" w:rsidRDefault="005C5B38" w:rsidP="002A4F7F">
            <w:pPr>
              <w:jc w:val="left"/>
              <w:rPr>
                <w:lang w:val="cs-CZ"/>
              </w:rPr>
            </w:pPr>
            <w:r w:rsidRPr="005C3240">
              <w:rPr>
                <w:b/>
                <w:lang w:val="cs-CZ"/>
              </w:rPr>
              <w:t>0</w:t>
            </w:r>
            <w:r w:rsidR="00A517CC">
              <w:rPr>
                <w:b/>
                <w:lang w:val="cs-CZ"/>
              </w:rPr>
              <w:t>,</w:t>
            </w:r>
            <w:r w:rsidRPr="005C3240">
              <w:rPr>
                <w:b/>
                <w:lang w:val="cs-CZ"/>
              </w:rPr>
              <w:t>0675</w:t>
            </w:r>
            <w:r w:rsidRPr="005C3240">
              <w:rPr>
                <w:lang w:val="cs-CZ"/>
              </w:rPr>
              <w:t xml:space="preserve"> mg/ml </w:t>
            </w:r>
            <w:r w:rsidR="00A517CC">
              <w:rPr>
                <w:lang w:val="cs-CZ"/>
              </w:rPr>
              <w:br/>
            </w:r>
            <w:r w:rsidRPr="005C3240">
              <w:rPr>
                <w:lang w:val="cs-CZ"/>
              </w:rPr>
              <w:t>(67</w:t>
            </w:r>
            <w:r w:rsidR="00A517CC">
              <w:rPr>
                <w:lang w:val="cs-CZ"/>
              </w:rPr>
              <w:t xml:space="preserve"> </w:t>
            </w:r>
            <w:r w:rsidRPr="005C3240">
              <w:rPr>
                <w:lang w:val="cs-CZ"/>
              </w:rPr>
              <w:t>500 ng/ml)</w:t>
            </w:r>
          </w:p>
        </w:tc>
      </w:tr>
    </w:tbl>
    <w:p w14:paraId="139EA5E2" w14:textId="77777777" w:rsidR="005C5B38" w:rsidRPr="005C3240" w:rsidRDefault="005C5B38" w:rsidP="00F43C40">
      <w:pPr>
        <w:rPr>
          <w:b/>
          <w:u w:val="single"/>
          <w:lang w:val="cs-CZ"/>
        </w:rPr>
      </w:pPr>
    </w:p>
    <w:p w14:paraId="66D178E8" w14:textId="19F99499" w:rsidR="0012039B" w:rsidRDefault="00830BA1" w:rsidP="006E2794">
      <w:pPr>
        <w:rPr>
          <w:lang w:val="cs-CZ"/>
        </w:rPr>
      </w:pPr>
      <w:r w:rsidRPr="00500315">
        <w:rPr>
          <w:lang w:val="sk-SK"/>
        </w:rPr>
        <w:t>Množstvo</w:t>
      </w:r>
      <w:r w:rsidR="005C5EC6" w:rsidRPr="005C3240">
        <w:rPr>
          <w:lang w:val="cs-CZ"/>
        </w:rPr>
        <w:t xml:space="preserve"> </w:t>
      </w:r>
      <w:r w:rsidR="006E2794" w:rsidRPr="005C3240">
        <w:rPr>
          <w:lang w:val="cs-CZ"/>
        </w:rPr>
        <w:t>treprostinil</w:t>
      </w:r>
      <w:r w:rsidR="005C5EC6" w:rsidRPr="005C3240">
        <w:rPr>
          <w:lang w:val="cs-CZ"/>
        </w:rPr>
        <w:t>u</w:t>
      </w:r>
      <w:r w:rsidR="0012039B" w:rsidRPr="005C3240">
        <w:rPr>
          <w:lang w:val="cs-CZ"/>
        </w:rPr>
        <w:t xml:space="preserve"> </w:t>
      </w:r>
      <w:r w:rsidRPr="00830BA1">
        <w:rPr>
          <w:lang w:val="cs-CZ"/>
        </w:rPr>
        <w:t>s použitím sily injekčnej liekovky 2,5 mg/ml) potrebné na celkovú koncentráciu zriedeného treprostinilu 0,0675 mg/ml a celkový objem 100 ml sa vypočíta nasledovne:</w:t>
      </w:r>
    </w:p>
    <w:p w14:paraId="16C65F24" w14:textId="77777777" w:rsidR="00BB5E19" w:rsidRPr="005C3240" w:rsidRDefault="00BB5E19" w:rsidP="006E2794">
      <w:pPr>
        <w:rPr>
          <w:lang w:val="cs-CZ"/>
        </w:rPr>
      </w:pPr>
    </w:p>
    <w:p w14:paraId="72C7338E" w14:textId="514E9312" w:rsidR="006E2794" w:rsidRPr="005C3240" w:rsidRDefault="00830BA1" w:rsidP="006E2794">
      <w:pPr>
        <w:rPr>
          <w:b/>
          <w:u w:val="single"/>
          <w:lang w:val="cs-CZ"/>
        </w:rPr>
      </w:pPr>
      <w:r>
        <w:rPr>
          <w:b/>
          <w:szCs w:val="22"/>
          <w:u w:val="single"/>
          <w:lang w:val="sk-SK"/>
        </w:rPr>
        <w:t>2. k</w:t>
      </w:r>
      <w:r w:rsidRPr="00500315">
        <w:rPr>
          <w:b/>
          <w:szCs w:val="22"/>
          <w:u w:val="single"/>
          <w:lang w:val="sk-SK"/>
        </w:rPr>
        <w:t>rok</w:t>
      </w:r>
      <w:r w:rsidR="006E2794" w:rsidRPr="005C3240">
        <w:rPr>
          <w:b/>
          <w:u w:val="single"/>
          <w:lang w:val="cs-CZ"/>
        </w:rPr>
        <w:t xml:space="preserve"> </w:t>
      </w:r>
    </w:p>
    <w:tbl>
      <w:tblPr>
        <w:tblStyle w:val="Mriekatabuky"/>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70"/>
        <w:gridCol w:w="1522"/>
        <w:gridCol w:w="353"/>
        <w:gridCol w:w="4259"/>
      </w:tblGrid>
      <w:tr w:rsidR="0030049C" w:rsidRPr="005C3240" w14:paraId="2537550B" w14:textId="77777777" w:rsidTr="005F01C4">
        <w:trPr>
          <w:trHeight w:val="847"/>
        </w:trPr>
        <w:tc>
          <w:tcPr>
            <w:tcW w:w="2092" w:type="dxa"/>
          </w:tcPr>
          <w:p w14:paraId="01E16B69" w14:textId="115C32BB" w:rsidR="0030049C" w:rsidRPr="005C3240" w:rsidRDefault="00830BA1" w:rsidP="005C5EC6">
            <w:pPr>
              <w:jc w:val="left"/>
              <w:rPr>
                <w:b/>
                <w:lang w:val="cs-CZ"/>
              </w:rPr>
            </w:pPr>
            <w:r w:rsidRPr="00500315">
              <w:rPr>
                <w:b/>
                <w:szCs w:val="22"/>
                <w:lang w:val="sk-SK"/>
              </w:rPr>
              <w:t>Množstvo</w:t>
            </w:r>
            <w:r w:rsidR="0030049C" w:rsidRPr="005C3240">
              <w:rPr>
                <w:b/>
                <w:lang w:val="cs-CZ"/>
              </w:rPr>
              <w:t xml:space="preserve"> treprostinil</w:t>
            </w:r>
            <w:r w:rsidR="005C5EC6" w:rsidRPr="005C3240">
              <w:rPr>
                <w:b/>
                <w:lang w:val="cs-CZ"/>
              </w:rPr>
              <w:t>u</w:t>
            </w:r>
            <w:r w:rsidR="0030049C" w:rsidRPr="005C3240">
              <w:rPr>
                <w:b/>
                <w:lang w:val="cs-CZ"/>
              </w:rPr>
              <w:t xml:space="preserve"> </w:t>
            </w:r>
            <w:r w:rsidR="0030049C" w:rsidRPr="005C3240">
              <w:rPr>
                <w:lang w:val="cs-CZ"/>
              </w:rPr>
              <w:t>(ml)</w:t>
            </w:r>
            <w:r w:rsidR="0030049C" w:rsidRPr="005C3240">
              <w:rPr>
                <w:b/>
                <w:lang w:val="cs-CZ"/>
              </w:rPr>
              <w:t xml:space="preserve">     </w:t>
            </w:r>
          </w:p>
        </w:tc>
        <w:tc>
          <w:tcPr>
            <w:tcW w:w="370" w:type="dxa"/>
          </w:tcPr>
          <w:p w14:paraId="6C4E0B5B" w14:textId="77777777" w:rsidR="00597E37" w:rsidRPr="005C3240" w:rsidRDefault="00597E37" w:rsidP="00275F47">
            <w:pPr>
              <w:rPr>
                <w:b/>
                <w:lang w:val="cs-CZ"/>
              </w:rPr>
            </w:pPr>
          </w:p>
          <w:p w14:paraId="3FE24375" w14:textId="6B3F0920" w:rsidR="0030049C" w:rsidRPr="005C3240" w:rsidRDefault="0030049C" w:rsidP="00275F47">
            <w:pPr>
              <w:rPr>
                <w:b/>
                <w:lang w:val="cs-CZ"/>
              </w:rPr>
            </w:pPr>
            <w:r w:rsidRPr="005C3240">
              <w:rPr>
                <w:b/>
                <w:lang w:val="cs-CZ"/>
              </w:rPr>
              <w:t>=</w:t>
            </w:r>
          </w:p>
        </w:tc>
        <w:tc>
          <w:tcPr>
            <w:tcW w:w="1522" w:type="dxa"/>
          </w:tcPr>
          <w:p w14:paraId="6642AEB4" w14:textId="02F6187A" w:rsidR="0030049C" w:rsidRPr="005C3240" w:rsidRDefault="0030049C" w:rsidP="00275F47">
            <w:pPr>
              <w:rPr>
                <w:b/>
                <w:u w:val="single"/>
                <w:lang w:val="cs-CZ"/>
              </w:rPr>
            </w:pPr>
            <w:r w:rsidRPr="005C3240">
              <w:rPr>
                <w:b/>
                <w:u w:val="single"/>
                <w:lang w:val="cs-CZ"/>
              </w:rPr>
              <w:t>0</w:t>
            </w:r>
            <w:r w:rsidR="00830BA1">
              <w:rPr>
                <w:b/>
                <w:u w:val="single"/>
                <w:lang w:val="cs-CZ"/>
              </w:rPr>
              <w:t>,</w:t>
            </w:r>
            <w:r w:rsidRPr="005C3240">
              <w:rPr>
                <w:b/>
                <w:u w:val="single"/>
                <w:lang w:val="cs-CZ"/>
              </w:rPr>
              <w:t>0675 mg/ml</w:t>
            </w:r>
          </w:p>
          <w:p w14:paraId="27352002" w14:textId="7B7115D4" w:rsidR="0030049C" w:rsidRPr="005C3240" w:rsidRDefault="0030049C" w:rsidP="00275F47">
            <w:pPr>
              <w:rPr>
                <w:lang w:val="cs-CZ"/>
              </w:rPr>
            </w:pPr>
            <w:r w:rsidRPr="005C3240">
              <w:rPr>
                <w:lang w:val="cs-CZ"/>
              </w:rPr>
              <w:t xml:space="preserve">     </w:t>
            </w:r>
            <w:r w:rsidRPr="005C3240">
              <w:rPr>
                <w:b/>
                <w:lang w:val="cs-CZ"/>
              </w:rPr>
              <w:t>2</w:t>
            </w:r>
            <w:r w:rsidR="00830BA1">
              <w:rPr>
                <w:b/>
                <w:lang w:val="cs-CZ"/>
              </w:rPr>
              <w:t>,</w:t>
            </w:r>
            <w:r w:rsidRPr="005C3240">
              <w:rPr>
                <w:b/>
                <w:lang w:val="cs-CZ"/>
              </w:rPr>
              <w:t>5</w:t>
            </w:r>
            <w:r w:rsidRPr="005C3240">
              <w:rPr>
                <w:lang w:val="cs-CZ"/>
              </w:rPr>
              <w:t xml:space="preserve"> mg/ml               </w:t>
            </w:r>
          </w:p>
          <w:p w14:paraId="3C19C6CA" w14:textId="77777777" w:rsidR="0030049C" w:rsidRPr="005C3240" w:rsidRDefault="0030049C" w:rsidP="00275F47">
            <w:pPr>
              <w:rPr>
                <w:lang w:val="cs-CZ"/>
              </w:rPr>
            </w:pPr>
          </w:p>
        </w:tc>
        <w:tc>
          <w:tcPr>
            <w:tcW w:w="353" w:type="dxa"/>
          </w:tcPr>
          <w:p w14:paraId="43EC19F6" w14:textId="77777777" w:rsidR="0030049C" w:rsidRPr="005C3240" w:rsidRDefault="0030049C" w:rsidP="00275F47">
            <w:pPr>
              <w:rPr>
                <w:b/>
                <w:lang w:val="cs-CZ"/>
              </w:rPr>
            </w:pPr>
            <w:r w:rsidRPr="005C3240">
              <w:rPr>
                <w:b/>
                <w:lang w:val="cs-CZ"/>
              </w:rPr>
              <w:t>x</w:t>
            </w:r>
          </w:p>
        </w:tc>
        <w:tc>
          <w:tcPr>
            <w:tcW w:w="4259" w:type="dxa"/>
          </w:tcPr>
          <w:p w14:paraId="53ACBF65" w14:textId="33F257E1" w:rsidR="0030049C" w:rsidRPr="005C3240" w:rsidRDefault="0030049C" w:rsidP="00963F61">
            <w:pPr>
              <w:rPr>
                <w:lang w:val="cs-CZ"/>
              </w:rPr>
            </w:pPr>
            <w:r w:rsidRPr="005C3240">
              <w:rPr>
                <w:b/>
                <w:lang w:val="cs-CZ"/>
              </w:rPr>
              <w:t>100 ml = 2</w:t>
            </w:r>
            <w:r w:rsidR="00830BA1">
              <w:rPr>
                <w:b/>
                <w:lang w:val="cs-CZ"/>
              </w:rPr>
              <w:t>,</w:t>
            </w:r>
            <w:r w:rsidRPr="005C3240">
              <w:rPr>
                <w:b/>
                <w:lang w:val="cs-CZ"/>
              </w:rPr>
              <w:t>7 ml</w:t>
            </w:r>
          </w:p>
        </w:tc>
      </w:tr>
    </w:tbl>
    <w:p w14:paraId="7AA7B850" w14:textId="30109600" w:rsidR="00587161" w:rsidRPr="005C3240" w:rsidRDefault="00057B0E" w:rsidP="00587161">
      <w:pPr>
        <w:rPr>
          <w:lang w:val="cs-CZ"/>
        </w:rPr>
      </w:pPr>
      <w:r w:rsidRPr="00057B0E">
        <w:rPr>
          <w:lang w:val="cs-CZ"/>
        </w:rPr>
        <w:t>Koncentrácia zriedeného intravenózneho treprostinilu pre osobu v 4. príklade sa teda pripraví pridaním 2,7 ml Treprostinil</w:t>
      </w:r>
      <w:r w:rsidR="00BB5E19">
        <w:rPr>
          <w:lang w:val="cs-CZ"/>
        </w:rPr>
        <w:t>u</w:t>
      </w:r>
      <w:r w:rsidRPr="00057B0E">
        <w:rPr>
          <w:lang w:val="cs-CZ"/>
        </w:rPr>
        <w:t xml:space="preserve"> Tillomed s koncentráciou 2,5 mg/ml do vhodného zásobníka spolu s dostatočným objemom zrieďovadla, aby sa v zásobníku dosiahol celkový objem 100 ml. Prietoková rýchlosť pumpy bude v tomto príklade nastavená na 2 ml/hod.</w:t>
      </w:r>
    </w:p>
    <w:p w14:paraId="4A3B270B" w14:textId="3A6B814B" w:rsidR="00587161" w:rsidRPr="005C3240" w:rsidRDefault="00057B0E" w:rsidP="00587161">
      <w:pPr>
        <w:rPr>
          <w:lang w:val="cs-CZ"/>
        </w:rPr>
      </w:pPr>
      <w:r w:rsidRPr="00057B0E">
        <w:rPr>
          <w:lang w:val="cs-CZ"/>
        </w:rPr>
        <w:t xml:space="preserve">Tabuľka 2 poskytuje návod na objem (ml) </w:t>
      </w:r>
      <w:r w:rsidR="005746DE">
        <w:rPr>
          <w:lang w:val="cs-CZ"/>
        </w:rPr>
        <w:t>Treprostinil</w:t>
      </w:r>
      <w:r w:rsidR="00BB5E19">
        <w:rPr>
          <w:lang w:val="cs-CZ"/>
        </w:rPr>
        <w:t>u</w:t>
      </w:r>
      <w:r w:rsidR="005746DE">
        <w:rPr>
          <w:lang w:val="cs-CZ"/>
        </w:rPr>
        <w:t xml:space="preserve"> Tillomed</w:t>
      </w:r>
      <w:r w:rsidR="00587161" w:rsidRPr="005C3240">
        <w:rPr>
          <w:lang w:val="cs-CZ"/>
        </w:rPr>
        <w:t xml:space="preserve"> </w:t>
      </w:r>
      <w:r w:rsidR="00D634F2">
        <w:rPr>
          <w:lang w:val="cs-CZ"/>
        </w:rPr>
        <w:t>1</w:t>
      </w:r>
      <w:r w:rsidR="00F6451A">
        <w:rPr>
          <w:lang w:val="cs-CZ"/>
        </w:rPr>
        <w:t>0</w:t>
      </w:r>
      <w:r w:rsidR="00587161" w:rsidRPr="005C3240">
        <w:rPr>
          <w:lang w:val="cs-CZ"/>
        </w:rPr>
        <w:t xml:space="preserve"> mg/ml, </w:t>
      </w:r>
      <w:r w:rsidR="00115622" w:rsidRPr="00115622">
        <w:rPr>
          <w:lang w:val="cs-CZ"/>
        </w:rPr>
        <w:t xml:space="preserve">ktorý sa má zriediť v 20 ml, 50 ml alebo 100 ml zásobníkoch (infúzne rýchlosti 0,4; 1 alebo 2 ml/h) u pacientov s rôznymi telesnými hmotnosťami zodpovedajúcimi dávkam až do </w:t>
      </w:r>
      <w:r w:rsidR="00F6451A">
        <w:rPr>
          <w:lang w:val="cs-CZ"/>
        </w:rPr>
        <w:t>100</w:t>
      </w:r>
      <w:r w:rsidR="00115622" w:rsidRPr="00115622">
        <w:rPr>
          <w:lang w:val="cs-CZ"/>
        </w:rPr>
        <w:t xml:space="preserve"> ng/kg/min.</w:t>
      </w:r>
    </w:p>
    <w:p w14:paraId="25031458" w14:textId="77777777" w:rsidR="00587161" w:rsidRPr="005C3240" w:rsidRDefault="00587161" w:rsidP="00587161">
      <w:pPr>
        <w:rPr>
          <w:lang w:val="cs-CZ"/>
        </w:rPr>
      </w:pPr>
    </w:p>
    <w:p w14:paraId="2B5293B7" w14:textId="77777777" w:rsidR="00BB5E19" w:rsidRDefault="00BB5E19" w:rsidP="00AB0F52">
      <w:pPr>
        <w:rPr>
          <w:b/>
          <w:lang w:val="cs-CZ"/>
        </w:rPr>
      </w:pPr>
    </w:p>
    <w:p w14:paraId="3760323C" w14:textId="66DC4511" w:rsidR="005D5412" w:rsidRDefault="00115622" w:rsidP="00AB0F52">
      <w:pPr>
        <w:rPr>
          <w:b/>
          <w:lang w:val="cs-CZ"/>
        </w:rPr>
      </w:pPr>
      <w:r w:rsidRPr="00115622">
        <w:rPr>
          <w:b/>
          <w:lang w:val="cs-CZ"/>
        </w:rPr>
        <w:t>Tabuľka</w:t>
      </w:r>
      <w:r w:rsidR="005D5412" w:rsidRPr="005C3240">
        <w:rPr>
          <w:b/>
          <w:lang w:val="cs-CZ"/>
        </w:rPr>
        <w:t xml:space="preserve"> 2</w:t>
      </w:r>
    </w:p>
    <w:tbl>
      <w:tblPr>
        <w:tblpPr w:leftFromText="180" w:rightFromText="180" w:vertAnchor="text" w:tblpX="84" w:tblpY="71"/>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481"/>
        <w:gridCol w:w="481"/>
        <w:gridCol w:w="481"/>
        <w:gridCol w:w="481"/>
        <w:gridCol w:w="480"/>
        <w:gridCol w:w="480"/>
        <w:gridCol w:w="480"/>
        <w:gridCol w:w="480"/>
        <w:gridCol w:w="480"/>
        <w:gridCol w:w="480"/>
        <w:gridCol w:w="480"/>
        <w:gridCol w:w="480"/>
        <w:gridCol w:w="480"/>
        <w:gridCol w:w="480"/>
        <w:gridCol w:w="480"/>
        <w:gridCol w:w="600"/>
      </w:tblGrid>
      <w:tr w:rsidR="00452E6D" w:rsidRPr="00DE2E97" w14:paraId="26614DD3" w14:textId="77777777" w:rsidTr="00452E6D">
        <w:trPr>
          <w:trHeight w:val="620"/>
        </w:trPr>
        <w:tc>
          <w:tcPr>
            <w:tcW w:w="9340" w:type="dxa"/>
            <w:gridSpan w:val="17"/>
          </w:tcPr>
          <w:p w14:paraId="0AC44394" w14:textId="0053AA5E" w:rsidR="00452E6D" w:rsidRPr="007B16F0" w:rsidRDefault="00452E6D" w:rsidP="0047442D">
            <w:pPr>
              <w:tabs>
                <w:tab w:val="left" w:pos="567"/>
              </w:tabs>
              <w:spacing w:after="0"/>
              <w:jc w:val="center"/>
              <w:outlineLvl w:val="0"/>
              <w:rPr>
                <w:b/>
                <w:bCs/>
                <w:szCs w:val="22"/>
                <w:lang w:val="cs-CZ" w:eastAsia="en-US"/>
              </w:rPr>
            </w:pPr>
            <w:r w:rsidRPr="00452E6D">
              <w:rPr>
                <w:b/>
                <w:bCs/>
                <w:sz w:val="20"/>
                <w:szCs w:val="22"/>
                <w:lang w:val="cs-CZ" w:eastAsia="en-US"/>
              </w:rPr>
              <w:t>Objem (ml) treprostinilu 10 mg/ml, ktorý sa má zriediť v kazetách alebo injekčných striekačkách 20 ml (rýchlosť infúzie 0,4 ml/h), 50 ml (rýchlosť infúzie 1 ml/h), 100 ml kazeta (rýchlosť infúzie 2 ml/h)</w:t>
            </w:r>
          </w:p>
        </w:tc>
      </w:tr>
      <w:tr w:rsidR="00452E6D" w:rsidRPr="002145B2" w14:paraId="77B4F8EB" w14:textId="77777777" w:rsidTr="00452E6D">
        <w:trPr>
          <w:trHeight w:val="239"/>
        </w:trPr>
        <w:tc>
          <w:tcPr>
            <w:tcW w:w="1536" w:type="dxa"/>
            <w:vMerge w:val="restart"/>
          </w:tcPr>
          <w:p w14:paraId="7DF34EF2" w14:textId="77777777" w:rsidR="00452E6D" w:rsidRPr="002145B2" w:rsidRDefault="00452E6D" w:rsidP="00452E6D">
            <w:pPr>
              <w:tabs>
                <w:tab w:val="left" w:pos="567"/>
              </w:tabs>
              <w:spacing w:after="0"/>
              <w:outlineLvl w:val="0"/>
              <w:rPr>
                <w:b/>
                <w:szCs w:val="22"/>
                <w:lang w:val="en-US" w:eastAsia="en-US"/>
              </w:rPr>
            </w:pPr>
            <w:r w:rsidRPr="002145B2">
              <w:rPr>
                <w:b/>
                <w:szCs w:val="22"/>
                <w:lang w:val="en-US" w:eastAsia="en-US"/>
              </w:rPr>
              <w:t>D</w:t>
            </w:r>
            <w:r>
              <w:rPr>
                <w:b/>
                <w:szCs w:val="22"/>
                <w:lang w:val="en-US" w:eastAsia="en-US"/>
              </w:rPr>
              <w:t>ávka</w:t>
            </w:r>
          </w:p>
          <w:p w14:paraId="7A289C10" w14:textId="77777777" w:rsidR="00452E6D" w:rsidRPr="002145B2" w:rsidRDefault="00452E6D" w:rsidP="00452E6D">
            <w:pPr>
              <w:tabs>
                <w:tab w:val="left" w:pos="567"/>
              </w:tabs>
              <w:spacing w:after="0"/>
              <w:outlineLvl w:val="0"/>
              <w:rPr>
                <w:b/>
                <w:szCs w:val="22"/>
                <w:lang w:val="en-US" w:eastAsia="en-US"/>
              </w:rPr>
            </w:pPr>
            <w:r w:rsidRPr="002145B2">
              <w:rPr>
                <w:b/>
                <w:szCs w:val="22"/>
                <w:lang w:val="en-US" w:eastAsia="en-US"/>
              </w:rPr>
              <w:t>(ng/kg/min)</w:t>
            </w:r>
          </w:p>
          <w:p w14:paraId="02F7FF49"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50</w:t>
            </w:r>
          </w:p>
          <w:p w14:paraId="7F095587"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55</w:t>
            </w:r>
          </w:p>
          <w:p w14:paraId="24231D39"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60</w:t>
            </w:r>
          </w:p>
          <w:p w14:paraId="7224E3F4"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65</w:t>
            </w:r>
          </w:p>
          <w:p w14:paraId="0C49F617"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70</w:t>
            </w:r>
          </w:p>
          <w:p w14:paraId="0C7279F2"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75</w:t>
            </w:r>
          </w:p>
          <w:p w14:paraId="1EBCE520"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80</w:t>
            </w:r>
          </w:p>
          <w:p w14:paraId="4FAEB68B"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85</w:t>
            </w:r>
          </w:p>
          <w:p w14:paraId="7C9DDBFE"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90</w:t>
            </w:r>
          </w:p>
          <w:p w14:paraId="4F0D95E2" w14:textId="77777777"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95</w:t>
            </w:r>
          </w:p>
          <w:p w14:paraId="573BED9F" w14:textId="77777777" w:rsidR="00452E6D" w:rsidRPr="002145B2" w:rsidRDefault="00452E6D" w:rsidP="00452E6D">
            <w:pPr>
              <w:tabs>
                <w:tab w:val="left" w:pos="567"/>
              </w:tabs>
              <w:spacing w:after="0"/>
              <w:outlineLvl w:val="0"/>
              <w:rPr>
                <w:b/>
                <w:szCs w:val="22"/>
                <w:lang w:val="en-US" w:eastAsia="en-US"/>
              </w:rPr>
            </w:pPr>
            <w:r w:rsidRPr="002145B2">
              <w:rPr>
                <w:sz w:val="16"/>
                <w:szCs w:val="16"/>
                <w:lang w:val="en-US" w:eastAsia="en-US"/>
              </w:rPr>
              <w:t>100</w:t>
            </w:r>
          </w:p>
        </w:tc>
        <w:tc>
          <w:tcPr>
            <w:tcW w:w="7804" w:type="dxa"/>
            <w:gridSpan w:val="16"/>
          </w:tcPr>
          <w:p w14:paraId="3117C388" w14:textId="77777777" w:rsidR="00452E6D" w:rsidRPr="002145B2" w:rsidRDefault="00452E6D" w:rsidP="00452E6D">
            <w:pPr>
              <w:tabs>
                <w:tab w:val="left" w:pos="567"/>
              </w:tabs>
              <w:spacing w:after="0"/>
              <w:jc w:val="center"/>
              <w:outlineLvl w:val="0"/>
              <w:rPr>
                <w:b/>
                <w:bCs/>
                <w:szCs w:val="22"/>
                <w:lang w:val="en-US" w:eastAsia="en-US"/>
              </w:rPr>
            </w:pPr>
            <w:r w:rsidRPr="007B16F0">
              <w:rPr>
                <w:b/>
                <w:bCs/>
                <w:sz w:val="20"/>
                <w:szCs w:val="22"/>
                <w:lang w:val="en-US" w:eastAsia="en-US"/>
              </w:rPr>
              <w:t xml:space="preserve">Hmotnost pacienta </w:t>
            </w:r>
            <w:r w:rsidRPr="002145B2">
              <w:rPr>
                <w:b/>
                <w:bCs/>
                <w:sz w:val="20"/>
                <w:szCs w:val="22"/>
                <w:lang w:val="en-US" w:eastAsia="en-US"/>
              </w:rPr>
              <w:t>(kg)</w:t>
            </w:r>
          </w:p>
        </w:tc>
      </w:tr>
      <w:tr w:rsidR="00452E6D" w:rsidRPr="002145B2" w14:paraId="4A1387C7" w14:textId="77777777" w:rsidTr="00452E6D">
        <w:trPr>
          <w:trHeight w:val="249"/>
        </w:trPr>
        <w:tc>
          <w:tcPr>
            <w:tcW w:w="1536" w:type="dxa"/>
            <w:vMerge/>
          </w:tcPr>
          <w:p w14:paraId="74BE3845" w14:textId="77777777" w:rsidR="00452E6D" w:rsidRPr="002145B2" w:rsidRDefault="00452E6D" w:rsidP="00452E6D">
            <w:pPr>
              <w:tabs>
                <w:tab w:val="left" w:pos="567"/>
              </w:tabs>
              <w:spacing w:after="0"/>
              <w:outlineLvl w:val="0"/>
              <w:rPr>
                <w:b/>
                <w:szCs w:val="22"/>
                <w:lang w:val="en-US" w:eastAsia="en-US"/>
              </w:rPr>
            </w:pPr>
          </w:p>
        </w:tc>
        <w:tc>
          <w:tcPr>
            <w:tcW w:w="481" w:type="dxa"/>
            <w:tcBorders>
              <w:bottom w:val="single" w:sz="4" w:space="0" w:color="auto"/>
            </w:tcBorders>
          </w:tcPr>
          <w:p w14:paraId="4081944B"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25</w:t>
            </w:r>
          </w:p>
        </w:tc>
        <w:tc>
          <w:tcPr>
            <w:tcW w:w="481" w:type="dxa"/>
            <w:tcBorders>
              <w:bottom w:val="single" w:sz="4" w:space="0" w:color="auto"/>
            </w:tcBorders>
          </w:tcPr>
          <w:p w14:paraId="4622EA5F"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30</w:t>
            </w:r>
          </w:p>
        </w:tc>
        <w:tc>
          <w:tcPr>
            <w:tcW w:w="481" w:type="dxa"/>
            <w:tcBorders>
              <w:bottom w:val="single" w:sz="4" w:space="0" w:color="auto"/>
            </w:tcBorders>
          </w:tcPr>
          <w:p w14:paraId="44861248"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35</w:t>
            </w:r>
          </w:p>
        </w:tc>
        <w:tc>
          <w:tcPr>
            <w:tcW w:w="481" w:type="dxa"/>
            <w:tcBorders>
              <w:bottom w:val="single" w:sz="4" w:space="0" w:color="auto"/>
            </w:tcBorders>
          </w:tcPr>
          <w:p w14:paraId="667830D7"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40</w:t>
            </w:r>
          </w:p>
        </w:tc>
        <w:tc>
          <w:tcPr>
            <w:tcW w:w="480" w:type="dxa"/>
            <w:tcBorders>
              <w:bottom w:val="single" w:sz="4" w:space="0" w:color="auto"/>
            </w:tcBorders>
          </w:tcPr>
          <w:p w14:paraId="2BF69C65"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45</w:t>
            </w:r>
          </w:p>
        </w:tc>
        <w:tc>
          <w:tcPr>
            <w:tcW w:w="480" w:type="dxa"/>
            <w:tcBorders>
              <w:bottom w:val="single" w:sz="4" w:space="0" w:color="auto"/>
            </w:tcBorders>
          </w:tcPr>
          <w:p w14:paraId="2EDAA4EF"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50</w:t>
            </w:r>
          </w:p>
        </w:tc>
        <w:tc>
          <w:tcPr>
            <w:tcW w:w="480" w:type="dxa"/>
            <w:tcBorders>
              <w:bottom w:val="single" w:sz="4" w:space="0" w:color="auto"/>
            </w:tcBorders>
          </w:tcPr>
          <w:p w14:paraId="14F6414A"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55</w:t>
            </w:r>
          </w:p>
        </w:tc>
        <w:tc>
          <w:tcPr>
            <w:tcW w:w="480" w:type="dxa"/>
            <w:tcBorders>
              <w:bottom w:val="single" w:sz="4" w:space="0" w:color="auto"/>
            </w:tcBorders>
          </w:tcPr>
          <w:p w14:paraId="46336CE7"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60</w:t>
            </w:r>
          </w:p>
        </w:tc>
        <w:tc>
          <w:tcPr>
            <w:tcW w:w="480" w:type="dxa"/>
            <w:tcBorders>
              <w:bottom w:val="single" w:sz="4" w:space="0" w:color="auto"/>
            </w:tcBorders>
          </w:tcPr>
          <w:p w14:paraId="3DE5BC86"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65</w:t>
            </w:r>
          </w:p>
        </w:tc>
        <w:tc>
          <w:tcPr>
            <w:tcW w:w="480" w:type="dxa"/>
            <w:tcBorders>
              <w:bottom w:val="single" w:sz="4" w:space="0" w:color="auto"/>
            </w:tcBorders>
          </w:tcPr>
          <w:p w14:paraId="317E3C05"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70</w:t>
            </w:r>
          </w:p>
        </w:tc>
        <w:tc>
          <w:tcPr>
            <w:tcW w:w="480" w:type="dxa"/>
            <w:tcBorders>
              <w:bottom w:val="single" w:sz="4" w:space="0" w:color="auto"/>
            </w:tcBorders>
          </w:tcPr>
          <w:p w14:paraId="52D14F67"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75</w:t>
            </w:r>
          </w:p>
        </w:tc>
        <w:tc>
          <w:tcPr>
            <w:tcW w:w="480" w:type="dxa"/>
            <w:tcBorders>
              <w:bottom w:val="single" w:sz="4" w:space="0" w:color="auto"/>
            </w:tcBorders>
          </w:tcPr>
          <w:p w14:paraId="42DFF61D"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80</w:t>
            </w:r>
          </w:p>
        </w:tc>
        <w:tc>
          <w:tcPr>
            <w:tcW w:w="480" w:type="dxa"/>
            <w:tcBorders>
              <w:bottom w:val="single" w:sz="4" w:space="0" w:color="auto"/>
            </w:tcBorders>
          </w:tcPr>
          <w:p w14:paraId="24F18C41"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85</w:t>
            </w:r>
          </w:p>
        </w:tc>
        <w:tc>
          <w:tcPr>
            <w:tcW w:w="480" w:type="dxa"/>
            <w:tcBorders>
              <w:bottom w:val="single" w:sz="4" w:space="0" w:color="auto"/>
            </w:tcBorders>
          </w:tcPr>
          <w:p w14:paraId="619E6BA8"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90</w:t>
            </w:r>
          </w:p>
        </w:tc>
        <w:tc>
          <w:tcPr>
            <w:tcW w:w="480" w:type="dxa"/>
            <w:tcBorders>
              <w:bottom w:val="single" w:sz="4" w:space="0" w:color="auto"/>
            </w:tcBorders>
          </w:tcPr>
          <w:p w14:paraId="15950844"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95</w:t>
            </w:r>
          </w:p>
        </w:tc>
        <w:tc>
          <w:tcPr>
            <w:tcW w:w="600" w:type="dxa"/>
            <w:tcBorders>
              <w:bottom w:val="single" w:sz="4" w:space="0" w:color="auto"/>
            </w:tcBorders>
          </w:tcPr>
          <w:p w14:paraId="116AD253" w14:textId="77777777" w:rsidR="00452E6D" w:rsidRPr="002145B2" w:rsidRDefault="00452E6D" w:rsidP="00452E6D">
            <w:pPr>
              <w:tabs>
                <w:tab w:val="left" w:pos="567"/>
              </w:tabs>
              <w:spacing w:after="0"/>
              <w:outlineLvl w:val="0"/>
              <w:rPr>
                <w:szCs w:val="22"/>
                <w:lang w:val="en-US" w:eastAsia="en-US"/>
              </w:rPr>
            </w:pPr>
            <w:r w:rsidRPr="002145B2">
              <w:rPr>
                <w:szCs w:val="22"/>
                <w:lang w:val="en-US" w:eastAsia="en-US"/>
              </w:rPr>
              <w:t>100</w:t>
            </w:r>
          </w:p>
        </w:tc>
      </w:tr>
      <w:tr w:rsidR="00452E6D" w:rsidRPr="002145B2" w14:paraId="4C0140FA" w14:textId="77777777" w:rsidTr="00452E6D">
        <w:trPr>
          <w:trHeight w:val="210"/>
        </w:trPr>
        <w:tc>
          <w:tcPr>
            <w:tcW w:w="1536" w:type="dxa"/>
            <w:vMerge/>
          </w:tcPr>
          <w:p w14:paraId="6A4CBE06" w14:textId="77777777" w:rsidR="00452E6D" w:rsidRPr="002145B2" w:rsidRDefault="00452E6D" w:rsidP="00452E6D">
            <w:pPr>
              <w:tabs>
                <w:tab w:val="left" w:pos="567"/>
              </w:tabs>
              <w:spacing w:after="0"/>
              <w:outlineLvl w:val="0"/>
              <w:rPr>
                <w:b/>
                <w:szCs w:val="22"/>
                <w:lang w:val="en-US" w:eastAsia="en-US"/>
              </w:rPr>
            </w:pPr>
          </w:p>
        </w:tc>
        <w:tc>
          <w:tcPr>
            <w:tcW w:w="7804" w:type="dxa"/>
            <w:gridSpan w:val="16"/>
            <w:tcBorders>
              <w:bottom w:val="single" w:sz="4" w:space="0" w:color="auto"/>
            </w:tcBorders>
          </w:tcPr>
          <w:p w14:paraId="1D22D921" w14:textId="4277AE11"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375  0</w:t>
            </w:r>
            <w:r>
              <w:rPr>
                <w:sz w:val="16"/>
                <w:szCs w:val="16"/>
                <w:lang w:val="en-US" w:eastAsia="en-US"/>
              </w:rPr>
              <w:t>,</w:t>
            </w:r>
            <w:r w:rsidRPr="002145B2">
              <w:rPr>
                <w:sz w:val="16"/>
                <w:szCs w:val="16"/>
                <w:lang w:val="en-US" w:eastAsia="en-US"/>
              </w:rPr>
              <w:t>450  0</w:t>
            </w:r>
            <w:r>
              <w:rPr>
                <w:sz w:val="16"/>
                <w:szCs w:val="16"/>
                <w:lang w:val="en-US" w:eastAsia="en-US"/>
              </w:rPr>
              <w:t>,</w:t>
            </w:r>
            <w:r w:rsidRPr="002145B2">
              <w:rPr>
                <w:sz w:val="16"/>
                <w:szCs w:val="16"/>
                <w:lang w:val="en-US" w:eastAsia="en-US"/>
              </w:rPr>
              <w:t>525  0</w:t>
            </w:r>
            <w:r>
              <w:rPr>
                <w:sz w:val="16"/>
                <w:szCs w:val="16"/>
                <w:lang w:val="en-US" w:eastAsia="en-US"/>
              </w:rPr>
              <w:t>,</w:t>
            </w:r>
            <w:r w:rsidRPr="002145B2">
              <w:rPr>
                <w:sz w:val="16"/>
                <w:szCs w:val="16"/>
                <w:lang w:val="en-US" w:eastAsia="en-US"/>
              </w:rPr>
              <w:t>600  0</w:t>
            </w:r>
            <w:r>
              <w:rPr>
                <w:sz w:val="16"/>
                <w:szCs w:val="16"/>
                <w:lang w:val="en-US" w:eastAsia="en-US"/>
              </w:rPr>
              <w:t>,</w:t>
            </w:r>
            <w:r w:rsidRPr="002145B2">
              <w:rPr>
                <w:sz w:val="16"/>
                <w:szCs w:val="16"/>
                <w:lang w:val="en-US" w:eastAsia="en-US"/>
              </w:rPr>
              <w:t>675   0</w:t>
            </w:r>
            <w:r>
              <w:rPr>
                <w:sz w:val="16"/>
                <w:szCs w:val="16"/>
                <w:lang w:val="en-US" w:eastAsia="en-US"/>
              </w:rPr>
              <w:t>,</w:t>
            </w:r>
            <w:r w:rsidRPr="002145B2">
              <w:rPr>
                <w:sz w:val="16"/>
                <w:szCs w:val="16"/>
                <w:lang w:val="en-US" w:eastAsia="en-US"/>
              </w:rPr>
              <w:t xml:space="preserve">750  </w:t>
            </w:r>
            <w:r w:rsidR="0047442D">
              <w:rPr>
                <w:sz w:val="16"/>
                <w:szCs w:val="16"/>
                <w:lang w:val="en-US" w:eastAsia="en-US"/>
              </w:rPr>
              <w:t xml:space="preserve">  </w:t>
            </w:r>
            <w:r w:rsidRPr="002145B2">
              <w:rPr>
                <w:sz w:val="16"/>
                <w:szCs w:val="16"/>
                <w:lang w:val="en-US" w:eastAsia="en-US"/>
              </w:rPr>
              <w:t>0</w:t>
            </w:r>
            <w:r>
              <w:rPr>
                <w:sz w:val="16"/>
                <w:szCs w:val="16"/>
                <w:lang w:val="en-US" w:eastAsia="en-US"/>
              </w:rPr>
              <w:t>,</w:t>
            </w:r>
            <w:r w:rsidRPr="002145B2">
              <w:rPr>
                <w:sz w:val="16"/>
                <w:szCs w:val="16"/>
                <w:lang w:val="en-US" w:eastAsia="en-US"/>
              </w:rPr>
              <w:t>825  0</w:t>
            </w:r>
            <w:r>
              <w:rPr>
                <w:sz w:val="16"/>
                <w:szCs w:val="16"/>
                <w:lang w:val="en-US" w:eastAsia="en-US"/>
              </w:rPr>
              <w:t>,</w:t>
            </w:r>
            <w:r w:rsidRPr="002145B2">
              <w:rPr>
                <w:sz w:val="16"/>
                <w:szCs w:val="16"/>
                <w:lang w:val="en-US" w:eastAsia="en-US"/>
              </w:rPr>
              <w:t>900  0</w:t>
            </w:r>
            <w:r>
              <w:rPr>
                <w:sz w:val="16"/>
                <w:szCs w:val="16"/>
                <w:lang w:val="en-US" w:eastAsia="en-US"/>
              </w:rPr>
              <w:t>,</w:t>
            </w:r>
            <w:r w:rsidRPr="002145B2">
              <w:rPr>
                <w:sz w:val="16"/>
                <w:szCs w:val="16"/>
                <w:lang w:val="en-US" w:eastAsia="en-US"/>
              </w:rPr>
              <w:t>975    1</w:t>
            </w:r>
            <w:r>
              <w:rPr>
                <w:sz w:val="16"/>
                <w:szCs w:val="16"/>
                <w:lang w:val="en-US" w:eastAsia="en-US"/>
              </w:rPr>
              <w:t>,</w:t>
            </w:r>
            <w:r w:rsidRPr="002145B2">
              <w:rPr>
                <w:sz w:val="16"/>
                <w:szCs w:val="16"/>
                <w:lang w:val="en-US" w:eastAsia="en-US"/>
              </w:rPr>
              <w:t>050   1</w:t>
            </w:r>
            <w:r>
              <w:rPr>
                <w:sz w:val="16"/>
                <w:szCs w:val="16"/>
                <w:lang w:val="en-US" w:eastAsia="en-US"/>
              </w:rPr>
              <w:t>,</w:t>
            </w:r>
            <w:r w:rsidRPr="002145B2">
              <w:rPr>
                <w:sz w:val="16"/>
                <w:szCs w:val="16"/>
                <w:lang w:val="en-US" w:eastAsia="en-US"/>
              </w:rPr>
              <w:t>125    1</w:t>
            </w:r>
            <w:r>
              <w:rPr>
                <w:sz w:val="16"/>
                <w:szCs w:val="16"/>
                <w:lang w:val="en-US" w:eastAsia="en-US"/>
              </w:rPr>
              <w:t>,</w:t>
            </w:r>
            <w:r w:rsidRPr="002145B2">
              <w:rPr>
                <w:sz w:val="16"/>
                <w:szCs w:val="16"/>
                <w:lang w:val="en-US" w:eastAsia="en-US"/>
              </w:rPr>
              <w:t>200    1</w:t>
            </w:r>
            <w:r>
              <w:rPr>
                <w:sz w:val="16"/>
                <w:szCs w:val="16"/>
                <w:lang w:val="en-US" w:eastAsia="en-US"/>
              </w:rPr>
              <w:t>,</w:t>
            </w:r>
            <w:r w:rsidRPr="002145B2">
              <w:rPr>
                <w:sz w:val="16"/>
                <w:szCs w:val="16"/>
                <w:lang w:val="en-US" w:eastAsia="en-US"/>
              </w:rPr>
              <w:t>275   1</w:t>
            </w:r>
            <w:r>
              <w:rPr>
                <w:sz w:val="16"/>
                <w:szCs w:val="16"/>
                <w:lang w:val="en-US" w:eastAsia="en-US"/>
              </w:rPr>
              <w:t>,</w:t>
            </w:r>
            <w:r w:rsidRPr="002145B2">
              <w:rPr>
                <w:sz w:val="16"/>
                <w:szCs w:val="16"/>
                <w:lang w:val="en-US" w:eastAsia="en-US"/>
              </w:rPr>
              <w:t>350    1</w:t>
            </w:r>
            <w:r>
              <w:rPr>
                <w:sz w:val="16"/>
                <w:szCs w:val="16"/>
                <w:lang w:val="en-US" w:eastAsia="en-US"/>
              </w:rPr>
              <w:t>,</w:t>
            </w:r>
            <w:r w:rsidRPr="002145B2">
              <w:rPr>
                <w:sz w:val="16"/>
                <w:szCs w:val="16"/>
                <w:lang w:val="en-US" w:eastAsia="en-US"/>
              </w:rPr>
              <w:t>425      1</w:t>
            </w:r>
            <w:r>
              <w:rPr>
                <w:sz w:val="16"/>
                <w:szCs w:val="16"/>
                <w:lang w:val="en-US" w:eastAsia="en-US"/>
              </w:rPr>
              <w:t>,</w:t>
            </w:r>
            <w:r w:rsidRPr="002145B2">
              <w:rPr>
                <w:sz w:val="16"/>
                <w:szCs w:val="16"/>
                <w:lang w:val="en-US" w:eastAsia="en-US"/>
              </w:rPr>
              <w:t xml:space="preserve">500   </w:t>
            </w:r>
          </w:p>
          <w:p w14:paraId="5CF07E82" w14:textId="14C727AE"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413  0</w:t>
            </w:r>
            <w:r>
              <w:rPr>
                <w:sz w:val="16"/>
                <w:szCs w:val="16"/>
                <w:lang w:val="en-US" w:eastAsia="en-US"/>
              </w:rPr>
              <w:t>,</w:t>
            </w:r>
            <w:r w:rsidRPr="002145B2">
              <w:rPr>
                <w:sz w:val="16"/>
                <w:szCs w:val="16"/>
                <w:lang w:val="en-US" w:eastAsia="en-US"/>
              </w:rPr>
              <w:t>495  0/578  0</w:t>
            </w:r>
            <w:r>
              <w:rPr>
                <w:sz w:val="16"/>
                <w:szCs w:val="16"/>
                <w:lang w:val="en-US" w:eastAsia="en-US"/>
              </w:rPr>
              <w:t>,</w:t>
            </w:r>
            <w:r w:rsidRPr="002145B2">
              <w:rPr>
                <w:sz w:val="16"/>
                <w:szCs w:val="16"/>
                <w:lang w:val="en-US" w:eastAsia="en-US"/>
              </w:rPr>
              <w:t>660  0</w:t>
            </w:r>
            <w:r>
              <w:rPr>
                <w:sz w:val="16"/>
                <w:szCs w:val="16"/>
                <w:lang w:val="en-US" w:eastAsia="en-US"/>
              </w:rPr>
              <w:t>,</w:t>
            </w:r>
            <w:r w:rsidRPr="002145B2">
              <w:rPr>
                <w:sz w:val="16"/>
                <w:szCs w:val="16"/>
                <w:lang w:val="en-US" w:eastAsia="en-US"/>
              </w:rPr>
              <w:t>743   0</w:t>
            </w:r>
            <w:r>
              <w:rPr>
                <w:sz w:val="16"/>
                <w:szCs w:val="16"/>
                <w:lang w:val="en-US" w:eastAsia="en-US"/>
              </w:rPr>
              <w:t>,</w:t>
            </w:r>
            <w:r w:rsidRPr="002145B2">
              <w:rPr>
                <w:sz w:val="16"/>
                <w:szCs w:val="16"/>
                <w:lang w:val="en-US" w:eastAsia="en-US"/>
              </w:rPr>
              <w:t xml:space="preserve">825  </w:t>
            </w:r>
            <w:r w:rsidR="0047442D">
              <w:rPr>
                <w:sz w:val="16"/>
                <w:szCs w:val="16"/>
                <w:lang w:val="en-US" w:eastAsia="en-US"/>
              </w:rPr>
              <w:t xml:space="preserve">  </w:t>
            </w:r>
            <w:r w:rsidRPr="002145B2">
              <w:rPr>
                <w:sz w:val="16"/>
                <w:szCs w:val="16"/>
                <w:lang w:val="en-US" w:eastAsia="en-US"/>
              </w:rPr>
              <w:t>0</w:t>
            </w:r>
            <w:r>
              <w:rPr>
                <w:sz w:val="16"/>
                <w:szCs w:val="16"/>
                <w:lang w:val="en-US" w:eastAsia="en-US"/>
              </w:rPr>
              <w:t>,</w:t>
            </w:r>
            <w:r w:rsidRPr="002145B2">
              <w:rPr>
                <w:sz w:val="16"/>
                <w:szCs w:val="16"/>
                <w:lang w:val="en-US" w:eastAsia="en-US"/>
              </w:rPr>
              <w:t>908  0</w:t>
            </w:r>
            <w:r>
              <w:rPr>
                <w:sz w:val="16"/>
                <w:szCs w:val="16"/>
                <w:lang w:val="en-US" w:eastAsia="en-US"/>
              </w:rPr>
              <w:t>,</w:t>
            </w:r>
            <w:r w:rsidRPr="002145B2">
              <w:rPr>
                <w:sz w:val="16"/>
                <w:szCs w:val="16"/>
                <w:lang w:val="en-US" w:eastAsia="en-US"/>
              </w:rPr>
              <w:t>990  1</w:t>
            </w:r>
            <w:r>
              <w:rPr>
                <w:sz w:val="16"/>
                <w:szCs w:val="16"/>
                <w:lang w:val="en-US" w:eastAsia="en-US"/>
              </w:rPr>
              <w:t>,</w:t>
            </w:r>
            <w:r w:rsidRPr="002145B2">
              <w:rPr>
                <w:sz w:val="16"/>
                <w:szCs w:val="16"/>
                <w:lang w:val="en-US" w:eastAsia="en-US"/>
              </w:rPr>
              <w:t>073    1</w:t>
            </w:r>
            <w:r>
              <w:rPr>
                <w:sz w:val="16"/>
                <w:szCs w:val="16"/>
                <w:lang w:val="en-US" w:eastAsia="en-US"/>
              </w:rPr>
              <w:t>,</w:t>
            </w:r>
            <w:r w:rsidRPr="002145B2">
              <w:rPr>
                <w:sz w:val="16"/>
                <w:szCs w:val="16"/>
                <w:lang w:val="en-US" w:eastAsia="en-US"/>
              </w:rPr>
              <w:t>155   1</w:t>
            </w:r>
            <w:r>
              <w:rPr>
                <w:sz w:val="16"/>
                <w:szCs w:val="16"/>
                <w:lang w:val="en-US" w:eastAsia="en-US"/>
              </w:rPr>
              <w:t>,</w:t>
            </w:r>
            <w:r w:rsidRPr="002145B2">
              <w:rPr>
                <w:sz w:val="16"/>
                <w:szCs w:val="16"/>
                <w:lang w:val="en-US" w:eastAsia="en-US"/>
              </w:rPr>
              <w:t>238    1</w:t>
            </w:r>
            <w:r>
              <w:rPr>
                <w:sz w:val="16"/>
                <w:szCs w:val="16"/>
                <w:lang w:val="en-US" w:eastAsia="en-US"/>
              </w:rPr>
              <w:t>,</w:t>
            </w:r>
            <w:r w:rsidRPr="002145B2">
              <w:rPr>
                <w:sz w:val="16"/>
                <w:szCs w:val="16"/>
                <w:lang w:val="en-US" w:eastAsia="en-US"/>
              </w:rPr>
              <w:t>320    1</w:t>
            </w:r>
            <w:r>
              <w:rPr>
                <w:sz w:val="16"/>
                <w:szCs w:val="16"/>
                <w:lang w:val="en-US" w:eastAsia="en-US"/>
              </w:rPr>
              <w:t>,</w:t>
            </w:r>
            <w:r w:rsidRPr="002145B2">
              <w:rPr>
                <w:sz w:val="16"/>
                <w:szCs w:val="16"/>
                <w:lang w:val="en-US" w:eastAsia="en-US"/>
              </w:rPr>
              <w:t>403   1</w:t>
            </w:r>
            <w:r>
              <w:rPr>
                <w:sz w:val="16"/>
                <w:szCs w:val="16"/>
                <w:lang w:val="en-US" w:eastAsia="en-US"/>
              </w:rPr>
              <w:t>,</w:t>
            </w:r>
            <w:r w:rsidRPr="002145B2">
              <w:rPr>
                <w:sz w:val="16"/>
                <w:szCs w:val="16"/>
                <w:lang w:val="en-US" w:eastAsia="en-US"/>
              </w:rPr>
              <w:t>485    1</w:t>
            </w:r>
            <w:r>
              <w:rPr>
                <w:sz w:val="16"/>
                <w:szCs w:val="16"/>
                <w:lang w:val="en-US" w:eastAsia="en-US"/>
              </w:rPr>
              <w:t>,</w:t>
            </w:r>
            <w:r w:rsidRPr="002145B2">
              <w:rPr>
                <w:sz w:val="16"/>
                <w:szCs w:val="16"/>
                <w:lang w:val="en-US" w:eastAsia="en-US"/>
              </w:rPr>
              <w:t>568      1</w:t>
            </w:r>
            <w:r>
              <w:rPr>
                <w:sz w:val="16"/>
                <w:szCs w:val="16"/>
                <w:lang w:val="en-US" w:eastAsia="en-US"/>
              </w:rPr>
              <w:t>,</w:t>
            </w:r>
            <w:r w:rsidRPr="002145B2">
              <w:rPr>
                <w:sz w:val="16"/>
                <w:szCs w:val="16"/>
                <w:lang w:val="en-US" w:eastAsia="en-US"/>
              </w:rPr>
              <w:t>650</w:t>
            </w:r>
          </w:p>
          <w:p w14:paraId="113231EC" w14:textId="2F084DBA"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450  0</w:t>
            </w:r>
            <w:r>
              <w:rPr>
                <w:sz w:val="16"/>
                <w:szCs w:val="16"/>
                <w:lang w:val="en-US" w:eastAsia="en-US"/>
              </w:rPr>
              <w:t>,</w:t>
            </w:r>
            <w:r w:rsidRPr="002145B2">
              <w:rPr>
                <w:sz w:val="16"/>
                <w:szCs w:val="16"/>
                <w:lang w:val="en-US" w:eastAsia="en-US"/>
              </w:rPr>
              <w:t>540  0</w:t>
            </w:r>
            <w:r>
              <w:rPr>
                <w:sz w:val="16"/>
                <w:szCs w:val="16"/>
                <w:lang w:val="en-US" w:eastAsia="en-US"/>
              </w:rPr>
              <w:t>,</w:t>
            </w:r>
            <w:r w:rsidRPr="002145B2">
              <w:rPr>
                <w:sz w:val="16"/>
                <w:szCs w:val="16"/>
                <w:lang w:val="en-US" w:eastAsia="en-US"/>
              </w:rPr>
              <w:t>630  0</w:t>
            </w:r>
            <w:r>
              <w:rPr>
                <w:sz w:val="16"/>
                <w:szCs w:val="16"/>
                <w:lang w:val="en-US" w:eastAsia="en-US"/>
              </w:rPr>
              <w:t>,</w:t>
            </w:r>
            <w:r w:rsidRPr="002145B2">
              <w:rPr>
                <w:sz w:val="16"/>
                <w:szCs w:val="16"/>
                <w:lang w:val="en-US" w:eastAsia="en-US"/>
              </w:rPr>
              <w:t>720  0</w:t>
            </w:r>
            <w:r>
              <w:rPr>
                <w:sz w:val="16"/>
                <w:szCs w:val="16"/>
                <w:lang w:val="en-US" w:eastAsia="en-US"/>
              </w:rPr>
              <w:t>,</w:t>
            </w:r>
            <w:r w:rsidRPr="002145B2">
              <w:rPr>
                <w:sz w:val="16"/>
                <w:szCs w:val="16"/>
                <w:lang w:val="en-US" w:eastAsia="en-US"/>
              </w:rPr>
              <w:t>810   0</w:t>
            </w:r>
            <w:r>
              <w:rPr>
                <w:sz w:val="16"/>
                <w:szCs w:val="16"/>
                <w:lang w:val="en-US" w:eastAsia="en-US"/>
              </w:rPr>
              <w:t>,</w:t>
            </w:r>
            <w:r w:rsidRPr="002145B2">
              <w:rPr>
                <w:sz w:val="16"/>
                <w:szCs w:val="16"/>
                <w:lang w:val="en-US" w:eastAsia="en-US"/>
              </w:rPr>
              <w:t xml:space="preserve">900  </w:t>
            </w:r>
            <w:r w:rsidR="0047442D">
              <w:rPr>
                <w:sz w:val="16"/>
                <w:szCs w:val="16"/>
                <w:lang w:val="en-US" w:eastAsia="en-US"/>
              </w:rPr>
              <w:t xml:space="preserve">  </w:t>
            </w:r>
            <w:r w:rsidRPr="002145B2">
              <w:rPr>
                <w:sz w:val="16"/>
                <w:szCs w:val="16"/>
                <w:lang w:val="en-US" w:eastAsia="en-US"/>
              </w:rPr>
              <w:t>0</w:t>
            </w:r>
            <w:r>
              <w:rPr>
                <w:sz w:val="16"/>
                <w:szCs w:val="16"/>
                <w:lang w:val="en-US" w:eastAsia="en-US"/>
              </w:rPr>
              <w:t>,</w:t>
            </w:r>
            <w:r w:rsidRPr="002145B2">
              <w:rPr>
                <w:sz w:val="16"/>
                <w:szCs w:val="16"/>
                <w:lang w:val="en-US" w:eastAsia="en-US"/>
              </w:rPr>
              <w:t>990  1</w:t>
            </w:r>
            <w:r>
              <w:rPr>
                <w:sz w:val="16"/>
                <w:szCs w:val="16"/>
                <w:lang w:val="en-US" w:eastAsia="en-US"/>
              </w:rPr>
              <w:t>,</w:t>
            </w:r>
            <w:r w:rsidRPr="002145B2">
              <w:rPr>
                <w:sz w:val="16"/>
                <w:szCs w:val="16"/>
                <w:lang w:val="en-US" w:eastAsia="en-US"/>
              </w:rPr>
              <w:t>080  1</w:t>
            </w:r>
            <w:r>
              <w:rPr>
                <w:sz w:val="16"/>
                <w:szCs w:val="16"/>
                <w:lang w:val="en-US" w:eastAsia="en-US"/>
              </w:rPr>
              <w:t>,</w:t>
            </w:r>
            <w:r w:rsidRPr="002145B2">
              <w:rPr>
                <w:sz w:val="16"/>
                <w:szCs w:val="16"/>
                <w:lang w:val="en-US" w:eastAsia="en-US"/>
              </w:rPr>
              <w:t>170    1</w:t>
            </w:r>
            <w:r>
              <w:rPr>
                <w:sz w:val="16"/>
                <w:szCs w:val="16"/>
                <w:lang w:val="en-US" w:eastAsia="en-US"/>
              </w:rPr>
              <w:t>,</w:t>
            </w:r>
            <w:r w:rsidRPr="002145B2">
              <w:rPr>
                <w:sz w:val="16"/>
                <w:szCs w:val="16"/>
                <w:lang w:val="en-US" w:eastAsia="en-US"/>
              </w:rPr>
              <w:t>260   1</w:t>
            </w:r>
            <w:r>
              <w:rPr>
                <w:sz w:val="16"/>
                <w:szCs w:val="16"/>
                <w:lang w:val="en-US" w:eastAsia="en-US"/>
              </w:rPr>
              <w:t>,</w:t>
            </w:r>
            <w:r w:rsidRPr="002145B2">
              <w:rPr>
                <w:sz w:val="16"/>
                <w:szCs w:val="16"/>
                <w:lang w:val="en-US" w:eastAsia="en-US"/>
              </w:rPr>
              <w:t>350    1</w:t>
            </w:r>
            <w:r>
              <w:rPr>
                <w:sz w:val="16"/>
                <w:szCs w:val="16"/>
                <w:lang w:val="en-US" w:eastAsia="en-US"/>
              </w:rPr>
              <w:t>,</w:t>
            </w:r>
            <w:r w:rsidRPr="002145B2">
              <w:rPr>
                <w:sz w:val="16"/>
                <w:szCs w:val="16"/>
                <w:lang w:val="en-US" w:eastAsia="en-US"/>
              </w:rPr>
              <w:t>440    1</w:t>
            </w:r>
            <w:r>
              <w:rPr>
                <w:sz w:val="16"/>
                <w:szCs w:val="16"/>
                <w:lang w:val="en-US" w:eastAsia="en-US"/>
              </w:rPr>
              <w:t>,</w:t>
            </w:r>
            <w:r w:rsidRPr="002145B2">
              <w:rPr>
                <w:sz w:val="16"/>
                <w:szCs w:val="16"/>
                <w:lang w:val="en-US" w:eastAsia="en-US"/>
              </w:rPr>
              <w:t>530   1</w:t>
            </w:r>
            <w:r>
              <w:rPr>
                <w:sz w:val="16"/>
                <w:szCs w:val="16"/>
                <w:lang w:val="en-US" w:eastAsia="en-US"/>
              </w:rPr>
              <w:t>,</w:t>
            </w:r>
            <w:r w:rsidRPr="002145B2">
              <w:rPr>
                <w:sz w:val="16"/>
                <w:szCs w:val="16"/>
                <w:lang w:val="en-US" w:eastAsia="en-US"/>
              </w:rPr>
              <w:t>620    1</w:t>
            </w:r>
            <w:r>
              <w:rPr>
                <w:sz w:val="16"/>
                <w:szCs w:val="16"/>
                <w:lang w:val="en-US" w:eastAsia="en-US"/>
              </w:rPr>
              <w:t>,</w:t>
            </w:r>
            <w:r w:rsidRPr="002145B2">
              <w:rPr>
                <w:sz w:val="16"/>
                <w:szCs w:val="16"/>
                <w:lang w:val="en-US" w:eastAsia="en-US"/>
              </w:rPr>
              <w:t>710      1</w:t>
            </w:r>
            <w:r>
              <w:rPr>
                <w:sz w:val="16"/>
                <w:szCs w:val="16"/>
                <w:lang w:val="en-US" w:eastAsia="en-US"/>
              </w:rPr>
              <w:t>,</w:t>
            </w:r>
            <w:r w:rsidRPr="002145B2">
              <w:rPr>
                <w:sz w:val="16"/>
                <w:szCs w:val="16"/>
                <w:lang w:val="en-US" w:eastAsia="en-US"/>
              </w:rPr>
              <w:t>800</w:t>
            </w:r>
          </w:p>
          <w:p w14:paraId="4DB1E567" w14:textId="022EE0B0"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488  0</w:t>
            </w:r>
            <w:r>
              <w:rPr>
                <w:sz w:val="16"/>
                <w:szCs w:val="16"/>
                <w:lang w:val="en-US" w:eastAsia="en-US"/>
              </w:rPr>
              <w:t>,</w:t>
            </w:r>
            <w:r w:rsidRPr="002145B2">
              <w:rPr>
                <w:sz w:val="16"/>
                <w:szCs w:val="16"/>
                <w:lang w:val="en-US" w:eastAsia="en-US"/>
              </w:rPr>
              <w:t>585  0</w:t>
            </w:r>
            <w:r>
              <w:rPr>
                <w:sz w:val="16"/>
                <w:szCs w:val="16"/>
                <w:lang w:val="en-US" w:eastAsia="en-US"/>
              </w:rPr>
              <w:t>,</w:t>
            </w:r>
            <w:r w:rsidRPr="002145B2">
              <w:rPr>
                <w:sz w:val="16"/>
                <w:szCs w:val="16"/>
                <w:lang w:val="en-US" w:eastAsia="en-US"/>
              </w:rPr>
              <w:t>683  0</w:t>
            </w:r>
            <w:r>
              <w:rPr>
                <w:sz w:val="16"/>
                <w:szCs w:val="16"/>
                <w:lang w:val="en-US" w:eastAsia="en-US"/>
              </w:rPr>
              <w:t>,</w:t>
            </w:r>
            <w:r w:rsidRPr="002145B2">
              <w:rPr>
                <w:sz w:val="16"/>
                <w:szCs w:val="16"/>
                <w:lang w:val="en-US" w:eastAsia="en-US"/>
              </w:rPr>
              <w:t>780  0</w:t>
            </w:r>
            <w:r>
              <w:rPr>
                <w:sz w:val="16"/>
                <w:szCs w:val="16"/>
                <w:lang w:val="en-US" w:eastAsia="en-US"/>
              </w:rPr>
              <w:t>,</w:t>
            </w:r>
            <w:r w:rsidRPr="002145B2">
              <w:rPr>
                <w:sz w:val="16"/>
                <w:szCs w:val="16"/>
                <w:lang w:val="en-US" w:eastAsia="en-US"/>
              </w:rPr>
              <w:t>878   0</w:t>
            </w:r>
            <w:r>
              <w:rPr>
                <w:sz w:val="16"/>
                <w:szCs w:val="16"/>
                <w:lang w:val="en-US" w:eastAsia="en-US"/>
              </w:rPr>
              <w:t>,</w:t>
            </w:r>
            <w:r w:rsidRPr="002145B2">
              <w:rPr>
                <w:sz w:val="16"/>
                <w:szCs w:val="16"/>
                <w:lang w:val="en-US" w:eastAsia="en-US"/>
              </w:rPr>
              <w:t xml:space="preserve">975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073  1</w:t>
            </w:r>
            <w:r>
              <w:rPr>
                <w:sz w:val="16"/>
                <w:szCs w:val="16"/>
                <w:lang w:val="en-US" w:eastAsia="en-US"/>
              </w:rPr>
              <w:t>,</w:t>
            </w:r>
            <w:r w:rsidRPr="002145B2">
              <w:rPr>
                <w:sz w:val="16"/>
                <w:szCs w:val="16"/>
                <w:lang w:val="en-US" w:eastAsia="en-US"/>
              </w:rPr>
              <w:t>170  1</w:t>
            </w:r>
            <w:r>
              <w:rPr>
                <w:sz w:val="16"/>
                <w:szCs w:val="16"/>
                <w:lang w:val="en-US" w:eastAsia="en-US"/>
              </w:rPr>
              <w:t>,</w:t>
            </w:r>
            <w:r w:rsidRPr="002145B2">
              <w:rPr>
                <w:sz w:val="16"/>
                <w:szCs w:val="16"/>
                <w:lang w:val="en-US" w:eastAsia="en-US"/>
              </w:rPr>
              <w:t>260    1</w:t>
            </w:r>
            <w:r>
              <w:rPr>
                <w:sz w:val="16"/>
                <w:szCs w:val="16"/>
                <w:lang w:val="en-US" w:eastAsia="en-US"/>
              </w:rPr>
              <w:t>,</w:t>
            </w:r>
            <w:r w:rsidRPr="002145B2">
              <w:rPr>
                <w:sz w:val="16"/>
                <w:szCs w:val="16"/>
                <w:lang w:val="en-US" w:eastAsia="en-US"/>
              </w:rPr>
              <w:t>350   1</w:t>
            </w:r>
            <w:r>
              <w:rPr>
                <w:sz w:val="16"/>
                <w:szCs w:val="16"/>
                <w:lang w:val="en-US" w:eastAsia="en-US"/>
              </w:rPr>
              <w:t>,</w:t>
            </w:r>
            <w:r w:rsidRPr="002145B2">
              <w:rPr>
                <w:sz w:val="16"/>
                <w:szCs w:val="16"/>
                <w:lang w:val="en-US" w:eastAsia="en-US"/>
              </w:rPr>
              <w:t>463    1</w:t>
            </w:r>
            <w:r>
              <w:rPr>
                <w:sz w:val="16"/>
                <w:szCs w:val="16"/>
                <w:lang w:val="en-US" w:eastAsia="en-US"/>
              </w:rPr>
              <w:t>,</w:t>
            </w:r>
            <w:r w:rsidRPr="002145B2">
              <w:rPr>
                <w:sz w:val="16"/>
                <w:szCs w:val="16"/>
                <w:lang w:val="en-US" w:eastAsia="en-US"/>
              </w:rPr>
              <w:t>560    1</w:t>
            </w:r>
            <w:r>
              <w:rPr>
                <w:sz w:val="16"/>
                <w:szCs w:val="16"/>
                <w:lang w:val="en-US" w:eastAsia="en-US"/>
              </w:rPr>
              <w:t>,</w:t>
            </w:r>
            <w:r w:rsidRPr="002145B2">
              <w:rPr>
                <w:sz w:val="16"/>
                <w:szCs w:val="16"/>
                <w:lang w:val="en-US" w:eastAsia="en-US"/>
              </w:rPr>
              <w:t>658   1</w:t>
            </w:r>
            <w:r>
              <w:rPr>
                <w:sz w:val="16"/>
                <w:szCs w:val="16"/>
                <w:lang w:val="en-US" w:eastAsia="en-US"/>
              </w:rPr>
              <w:t>,</w:t>
            </w:r>
            <w:r w:rsidRPr="002145B2">
              <w:rPr>
                <w:sz w:val="16"/>
                <w:szCs w:val="16"/>
                <w:lang w:val="en-US" w:eastAsia="en-US"/>
              </w:rPr>
              <w:t>755    1</w:t>
            </w:r>
            <w:r>
              <w:rPr>
                <w:sz w:val="16"/>
                <w:szCs w:val="16"/>
                <w:lang w:val="en-US" w:eastAsia="en-US"/>
              </w:rPr>
              <w:t>,</w:t>
            </w:r>
            <w:r w:rsidRPr="002145B2">
              <w:rPr>
                <w:sz w:val="16"/>
                <w:szCs w:val="16"/>
                <w:lang w:val="en-US" w:eastAsia="en-US"/>
              </w:rPr>
              <w:t>835      1</w:t>
            </w:r>
            <w:r>
              <w:rPr>
                <w:sz w:val="16"/>
                <w:szCs w:val="16"/>
                <w:lang w:val="en-US" w:eastAsia="en-US"/>
              </w:rPr>
              <w:t>,</w:t>
            </w:r>
            <w:r w:rsidRPr="002145B2">
              <w:rPr>
                <w:sz w:val="16"/>
                <w:szCs w:val="16"/>
                <w:lang w:val="en-US" w:eastAsia="en-US"/>
              </w:rPr>
              <w:t>950</w:t>
            </w:r>
          </w:p>
          <w:p w14:paraId="3CBA82E0" w14:textId="36F27F52"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525  0</w:t>
            </w:r>
            <w:r>
              <w:rPr>
                <w:sz w:val="16"/>
                <w:szCs w:val="16"/>
                <w:lang w:val="en-US" w:eastAsia="en-US"/>
              </w:rPr>
              <w:t>,</w:t>
            </w:r>
            <w:r w:rsidRPr="002145B2">
              <w:rPr>
                <w:sz w:val="16"/>
                <w:szCs w:val="16"/>
                <w:lang w:val="en-US" w:eastAsia="en-US"/>
              </w:rPr>
              <w:t>630  0</w:t>
            </w:r>
            <w:r>
              <w:rPr>
                <w:sz w:val="16"/>
                <w:szCs w:val="16"/>
                <w:lang w:val="en-US" w:eastAsia="en-US"/>
              </w:rPr>
              <w:t>,</w:t>
            </w:r>
            <w:r w:rsidRPr="002145B2">
              <w:rPr>
                <w:sz w:val="16"/>
                <w:szCs w:val="16"/>
                <w:lang w:val="en-US" w:eastAsia="en-US"/>
              </w:rPr>
              <w:t>735  0</w:t>
            </w:r>
            <w:r>
              <w:rPr>
                <w:sz w:val="16"/>
                <w:szCs w:val="16"/>
                <w:lang w:val="en-US" w:eastAsia="en-US"/>
              </w:rPr>
              <w:t>,</w:t>
            </w:r>
            <w:r w:rsidRPr="002145B2">
              <w:rPr>
                <w:sz w:val="16"/>
                <w:szCs w:val="16"/>
                <w:lang w:val="en-US" w:eastAsia="en-US"/>
              </w:rPr>
              <w:t>840  0</w:t>
            </w:r>
            <w:r>
              <w:rPr>
                <w:sz w:val="16"/>
                <w:szCs w:val="16"/>
                <w:lang w:val="en-US" w:eastAsia="en-US"/>
              </w:rPr>
              <w:t>,</w:t>
            </w:r>
            <w:r w:rsidRPr="002145B2">
              <w:rPr>
                <w:sz w:val="16"/>
                <w:szCs w:val="16"/>
                <w:lang w:val="en-US" w:eastAsia="en-US"/>
              </w:rPr>
              <w:t>945   1</w:t>
            </w:r>
            <w:r>
              <w:rPr>
                <w:sz w:val="16"/>
                <w:szCs w:val="16"/>
                <w:lang w:val="en-US" w:eastAsia="en-US"/>
              </w:rPr>
              <w:t>,</w:t>
            </w:r>
            <w:r w:rsidRPr="002145B2">
              <w:rPr>
                <w:sz w:val="16"/>
                <w:szCs w:val="16"/>
                <w:lang w:val="en-US" w:eastAsia="en-US"/>
              </w:rPr>
              <w:t xml:space="preserve">050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155  1</w:t>
            </w:r>
            <w:r>
              <w:rPr>
                <w:sz w:val="16"/>
                <w:szCs w:val="16"/>
                <w:lang w:val="en-US" w:eastAsia="en-US"/>
              </w:rPr>
              <w:t>,</w:t>
            </w:r>
            <w:r w:rsidRPr="002145B2">
              <w:rPr>
                <w:sz w:val="16"/>
                <w:szCs w:val="16"/>
                <w:lang w:val="en-US" w:eastAsia="en-US"/>
              </w:rPr>
              <w:t>260  1</w:t>
            </w:r>
            <w:r>
              <w:rPr>
                <w:sz w:val="16"/>
                <w:szCs w:val="16"/>
                <w:lang w:val="en-US" w:eastAsia="en-US"/>
              </w:rPr>
              <w:t>,</w:t>
            </w:r>
            <w:r w:rsidRPr="002145B2">
              <w:rPr>
                <w:sz w:val="16"/>
                <w:szCs w:val="16"/>
                <w:lang w:val="en-US" w:eastAsia="en-US"/>
              </w:rPr>
              <w:t>365    1</w:t>
            </w:r>
            <w:r>
              <w:rPr>
                <w:sz w:val="16"/>
                <w:szCs w:val="16"/>
                <w:lang w:val="en-US" w:eastAsia="en-US"/>
              </w:rPr>
              <w:t>,</w:t>
            </w:r>
            <w:r w:rsidRPr="002145B2">
              <w:rPr>
                <w:sz w:val="16"/>
                <w:szCs w:val="16"/>
                <w:lang w:val="en-US" w:eastAsia="en-US"/>
              </w:rPr>
              <w:t>470   1</w:t>
            </w:r>
            <w:r>
              <w:rPr>
                <w:sz w:val="16"/>
                <w:szCs w:val="16"/>
                <w:lang w:val="en-US" w:eastAsia="en-US"/>
              </w:rPr>
              <w:t>,</w:t>
            </w:r>
            <w:r w:rsidRPr="002145B2">
              <w:rPr>
                <w:sz w:val="16"/>
                <w:szCs w:val="16"/>
                <w:lang w:val="en-US" w:eastAsia="en-US"/>
              </w:rPr>
              <w:t>575    1</w:t>
            </w:r>
            <w:r>
              <w:rPr>
                <w:sz w:val="16"/>
                <w:szCs w:val="16"/>
                <w:lang w:val="en-US" w:eastAsia="en-US"/>
              </w:rPr>
              <w:t>,</w:t>
            </w:r>
            <w:r w:rsidRPr="002145B2">
              <w:rPr>
                <w:sz w:val="16"/>
                <w:szCs w:val="16"/>
                <w:lang w:val="en-US" w:eastAsia="en-US"/>
              </w:rPr>
              <w:t>680    1</w:t>
            </w:r>
            <w:r>
              <w:rPr>
                <w:sz w:val="16"/>
                <w:szCs w:val="16"/>
                <w:lang w:val="en-US" w:eastAsia="en-US"/>
              </w:rPr>
              <w:t>,</w:t>
            </w:r>
            <w:r w:rsidRPr="002145B2">
              <w:rPr>
                <w:sz w:val="16"/>
                <w:szCs w:val="16"/>
                <w:lang w:val="en-US" w:eastAsia="en-US"/>
              </w:rPr>
              <w:t>785   1</w:t>
            </w:r>
            <w:r>
              <w:rPr>
                <w:sz w:val="16"/>
                <w:szCs w:val="16"/>
                <w:lang w:val="en-US" w:eastAsia="en-US"/>
              </w:rPr>
              <w:t>,</w:t>
            </w:r>
            <w:r w:rsidRPr="002145B2">
              <w:rPr>
                <w:sz w:val="16"/>
                <w:szCs w:val="16"/>
                <w:lang w:val="en-US" w:eastAsia="en-US"/>
              </w:rPr>
              <w:t>890    1</w:t>
            </w:r>
            <w:r>
              <w:rPr>
                <w:sz w:val="16"/>
                <w:szCs w:val="16"/>
                <w:lang w:val="en-US" w:eastAsia="en-US"/>
              </w:rPr>
              <w:t>,</w:t>
            </w:r>
            <w:r w:rsidRPr="002145B2">
              <w:rPr>
                <w:sz w:val="16"/>
                <w:szCs w:val="16"/>
                <w:lang w:val="en-US" w:eastAsia="en-US"/>
              </w:rPr>
              <w:t>995      2</w:t>
            </w:r>
            <w:r>
              <w:rPr>
                <w:sz w:val="16"/>
                <w:szCs w:val="16"/>
                <w:lang w:val="en-US" w:eastAsia="en-US"/>
              </w:rPr>
              <w:t>,</w:t>
            </w:r>
            <w:r w:rsidRPr="002145B2">
              <w:rPr>
                <w:sz w:val="16"/>
                <w:szCs w:val="16"/>
                <w:lang w:val="en-US" w:eastAsia="en-US"/>
              </w:rPr>
              <w:t>100</w:t>
            </w:r>
          </w:p>
          <w:p w14:paraId="5A3B98C6" w14:textId="1BC6BE7B"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563  0</w:t>
            </w:r>
            <w:r>
              <w:rPr>
                <w:sz w:val="16"/>
                <w:szCs w:val="16"/>
                <w:lang w:val="en-US" w:eastAsia="en-US"/>
              </w:rPr>
              <w:t>,</w:t>
            </w:r>
            <w:r w:rsidRPr="002145B2">
              <w:rPr>
                <w:sz w:val="16"/>
                <w:szCs w:val="16"/>
                <w:lang w:val="en-US" w:eastAsia="en-US"/>
              </w:rPr>
              <w:t>675  0</w:t>
            </w:r>
            <w:r>
              <w:rPr>
                <w:sz w:val="16"/>
                <w:szCs w:val="16"/>
                <w:lang w:val="en-US" w:eastAsia="en-US"/>
              </w:rPr>
              <w:t>,</w:t>
            </w:r>
            <w:r w:rsidRPr="002145B2">
              <w:rPr>
                <w:sz w:val="16"/>
                <w:szCs w:val="16"/>
                <w:lang w:val="en-US" w:eastAsia="en-US"/>
              </w:rPr>
              <w:t>788  0</w:t>
            </w:r>
            <w:r>
              <w:rPr>
                <w:sz w:val="16"/>
                <w:szCs w:val="16"/>
                <w:lang w:val="en-US" w:eastAsia="en-US"/>
              </w:rPr>
              <w:t>,</w:t>
            </w:r>
            <w:r w:rsidRPr="002145B2">
              <w:rPr>
                <w:sz w:val="16"/>
                <w:szCs w:val="16"/>
                <w:lang w:val="en-US" w:eastAsia="en-US"/>
              </w:rPr>
              <w:t>900  1</w:t>
            </w:r>
            <w:r>
              <w:rPr>
                <w:sz w:val="16"/>
                <w:szCs w:val="16"/>
                <w:lang w:val="en-US" w:eastAsia="en-US"/>
              </w:rPr>
              <w:t>,</w:t>
            </w:r>
            <w:r w:rsidRPr="002145B2">
              <w:rPr>
                <w:sz w:val="16"/>
                <w:szCs w:val="16"/>
                <w:lang w:val="en-US" w:eastAsia="en-US"/>
              </w:rPr>
              <w:t>013   1</w:t>
            </w:r>
            <w:r>
              <w:rPr>
                <w:sz w:val="16"/>
                <w:szCs w:val="16"/>
                <w:lang w:val="en-US" w:eastAsia="en-US"/>
              </w:rPr>
              <w:t>,</w:t>
            </w:r>
            <w:r w:rsidRPr="002145B2">
              <w:rPr>
                <w:sz w:val="16"/>
                <w:szCs w:val="16"/>
                <w:lang w:val="en-US" w:eastAsia="en-US"/>
              </w:rPr>
              <w:t xml:space="preserve">125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238  1</w:t>
            </w:r>
            <w:r>
              <w:rPr>
                <w:sz w:val="16"/>
                <w:szCs w:val="16"/>
                <w:lang w:val="en-US" w:eastAsia="en-US"/>
              </w:rPr>
              <w:t>,</w:t>
            </w:r>
            <w:r w:rsidRPr="002145B2">
              <w:rPr>
                <w:sz w:val="16"/>
                <w:szCs w:val="16"/>
                <w:lang w:val="en-US" w:eastAsia="en-US"/>
              </w:rPr>
              <w:t>350  1</w:t>
            </w:r>
            <w:r>
              <w:rPr>
                <w:sz w:val="16"/>
                <w:szCs w:val="16"/>
                <w:lang w:val="en-US" w:eastAsia="en-US"/>
              </w:rPr>
              <w:t>,</w:t>
            </w:r>
            <w:r w:rsidRPr="002145B2">
              <w:rPr>
                <w:sz w:val="16"/>
                <w:szCs w:val="16"/>
                <w:lang w:val="en-US" w:eastAsia="en-US"/>
              </w:rPr>
              <w:t>463    1</w:t>
            </w:r>
            <w:r>
              <w:rPr>
                <w:sz w:val="16"/>
                <w:szCs w:val="16"/>
                <w:lang w:val="en-US" w:eastAsia="en-US"/>
              </w:rPr>
              <w:t>,</w:t>
            </w:r>
            <w:r w:rsidRPr="002145B2">
              <w:rPr>
                <w:sz w:val="16"/>
                <w:szCs w:val="16"/>
                <w:lang w:val="en-US" w:eastAsia="en-US"/>
              </w:rPr>
              <w:t>575   1</w:t>
            </w:r>
            <w:r>
              <w:rPr>
                <w:sz w:val="16"/>
                <w:szCs w:val="16"/>
                <w:lang w:val="en-US" w:eastAsia="en-US"/>
              </w:rPr>
              <w:t>,</w:t>
            </w:r>
            <w:r w:rsidRPr="002145B2">
              <w:rPr>
                <w:sz w:val="16"/>
                <w:szCs w:val="16"/>
                <w:lang w:val="en-US" w:eastAsia="en-US"/>
              </w:rPr>
              <w:t>688    1</w:t>
            </w:r>
            <w:r>
              <w:rPr>
                <w:sz w:val="16"/>
                <w:szCs w:val="16"/>
                <w:lang w:val="en-US" w:eastAsia="en-US"/>
              </w:rPr>
              <w:t>,</w:t>
            </w:r>
            <w:r w:rsidRPr="002145B2">
              <w:rPr>
                <w:sz w:val="16"/>
                <w:szCs w:val="16"/>
                <w:lang w:val="en-US" w:eastAsia="en-US"/>
              </w:rPr>
              <w:t>800    1</w:t>
            </w:r>
            <w:r>
              <w:rPr>
                <w:sz w:val="16"/>
                <w:szCs w:val="16"/>
                <w:lang w:val="en-US" w:eastAsia="en-US"/>
              </w:rPr>
              <w:t>,</w:t>
            </w:r>
            <w:r w:rsidRPr="002145B2">
              <w:rPr>
                <w:sz w:val="16"/>
                <w:szCs w:val="16"/>
                <w:lang w:val="en-US" w:eastAsia="en-US"/>
              </w:rPr>
              <w:t>913   2</w:t>
            </w:r>
            <w:r>
              <w:rPr>
                <w:sz w:val="16"/>
                <w:szCs w:val="16"/>
                <w:lang w:val="en-US" w:eastAsia="en-US"/>
              </w:rPr>
              <w:t>,</w:t>
            </w:r>
            <w:r w:rsidRPr="002145B2">
              <w:rPr>
                <w:sz w:val="16"/>
                <w:szCs w:val="16"/>
                <w:lang w:val="en-US" w:eastAsia="en-US"/>
              </w:rPr>
              <w:t>025    2</w:t>
            </w:r>
            <w:r>
              <w:rPr>
                <w:sz w:val="16"/>
                <w:szCs w:val="16"/>
                <w:lang w:val="en-US" w:eastAsia="en-US"/>
              </w:rPr>
              <w:t>,</w:t>
            </w:r>
            <w:r w:rsidRPr="002145B2">
              <w:rPr>
                <w:sz w:val="16"/>
                <w:szCs w:val="16"/>
                <w:lang w:val="en-US" w:eastAsia="en-US"/>
              </w:rPr>
              <w:t>138      2</w:t>
            </w:r>
            <w:r>
              <w:rPr>
                <w:sz w:val="16"/>
                <w:szCs w:val="16"/>
                <w:lang w:val="en-US" w:eastAsia="en-US"/>
              </w:rPr>
              <w:t>,</w:t>
            </w:r>
            <w:r w:rsidRPr="002145B2">
              <w:rPr>
                <w:sz w:val="16"/>
                <w:szCs w:val="16"/>
                <w:lang w:val="en-US" w:eastAsia="en-US"/>
              </w:rPr>
              <w:t>250</w:t>
            </w:r>
          </w:p>
          <w:p w14:paraId="3B60D61F" w14:textId="63267761"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600  0</w:t>
            </w:r>
            <w:r>
              <w:rPr>
                <w:sz w:val="16"/>
                <w:szCs w:val="16"/>
                <w:lang w:val="en-US" w:eastAsia="en-US"/>
              </w:rPr>
              <w:t>,</w:t>
            </w:r>
            <w:r w:rsidRPr="002145B2">
              <w:rPr>
                <w:sz w:val="16"/>
                <w:szCs w:val="16"/>
                <w:lang w:val="en-US" w:eastAsia="en-US"/>
              </w:rPr>
              <w:t>720  0</w:t>
            </w:r>
            <w:r>
              <w:rPr>
                <w:sz w:val="16"/>
                <w:szCs w:val="16"/>
                <w:lang w:val="en-US" w:eastAsia="en-US"/>
              </w:rPr>
              <w:t>,</w:t>
            </w:r>
            <w:r w:rsidRPr="002145B2">
              <w:rPr>
                <w:sz w:val="16"/>
                <w:szCs w:val="16"/>
                <w:lang w:val="en-US" w:eastAsia="en-US"/>
              </w:rPr>
              <w:t>840  0</w:t>
            </w:r>
            <w:r>
              <w:rPr>
                <w:sz w:val="16"/>
                <w:szCs w:val="16"/>
                <w:lang w:val="en-US" w:eastAsia="en-US"/>
              </w:rPr>
              <w:t>,</w:t>
            </w:r>
            <w:r w:rsidRPr="002145B2">
              <w:rPr>
                <w:sz w:val="16"/>
                <w:szCs w:val="16"/>
                <w:lang w:val="en-US" w:eastAsia="en-US"/>
              </w:rPr>
              <w:t>960  1</w:t>
            </w:r>
            <w:r>
              <w:rPr>
                <w:sz w:val="16"/>
                <w:szCs w:val="16"/>
                <w:lang w:val="en-US" w:eastAsia="en-US"/>
              </w:rPr>
              <w:t>,</w:t>
            </w:r>
            <w:r w:rsidRPr="002145B2">
              <w:rPr>
                <w:sz w:val="16"/>
                <w:szCs w:val="16"/>
                <w:lang w:val="en-US" w:eastAsia="en-US"/>
              </w:rPr>
              <w:t>080  1</w:t>
            </w:r>
            <w:r>
              <w:rPr>
                <w:sz w:val="16"/>
                <w:szCs w:val="16"/>
                <w:lang w:val="en-US" w:eastAsia="en-US"/>
              </w:rPr>
              <w:t>,</w:t>
            </w:r>
            <w:r w:rsidRPr="002145B2">
              <w:rPr>
                <w:sz w:val="16"/>
                <w:szCs w:val="16"/>
                <w:lang w:val="en-US" w:eastAsia="en-US"/>
              </w:rPr>
              <w:t xml:space="preserve">200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320  1</w:t>
            </w:r>
            <w:r>
              <w:rPr>
                <w:sz w:val="16"/>
                <w:szCs w:val="16"/>
                <w:lang w:val="en-US" w:eastAsia="en-US"/>
              </w:rPr>
              <w:t>,</w:t>
            </w:r>
            <w:r w:rsidRPr="002145B2">
              <w:rPr>
                <w:sz w:val="16"/>
                <w:szCs w:val="16"/>
                <w:lang w:val="en-US" w:eastAsia="en-US"/>
              </w:rPr>
              <w:t>440  1</w:t>
            </w:r>
            <w:r>
              <w:rPr>
                <w:sz w:val="16"/>
                <w:szCs w:val="16"/>
                <w:lang w:val="en-US" w:eastAsia="en-US"/>
              </w:rPr>
              <w:t>,</w:t>
            </w:r>
            <w:r w:rsidRPr="002145B2">
              <w:rPr>
                <w:sz w:val="16"/>
                <w:szCs w:val="16"/>
                <w:lang w:val="en-US" w:eastAsia="en-US"/>
              </w:rPr>
              <w:t>560    1</w:t>
            </w:r>
            <w:r>
              <w:rPr>
                <w:sz w:val="16"/>
                <w:szCs w:val="16"/>
                <w:lang w:val="en-US" w:eastAsia="en-US"/>
              </w:rPr>
              <w:t>,</w:t>
            </w:r>
            <w:r w:rsidRPr="002145B2">
              <w:rPr>
                <w:sz w:val="16"/>
                <w:szCs w:val="16"/>
                <w:lang w:val="en-US" w:eastAsia="en-US"/>
              </w:rPr>
              <w:t>680   1</w:t>
            </w:r>
            <w:r>
              <w:rPr>
                <w:sz w:val="16"/>
                <w:szCs w:val="16"/>
                <w:lang w:val="en-US" w:eastAsia="en-US"/>
              </w:rPr>
              <w:t>,</w:t>
            </w:r>
            <w:r w:rsidRPr="002145B2">
              <w:rPr>
                <w:sz w:val="16"/>
                <w:szCs w:val="16"/>
                <w:lang w:val="en-US" w:eastAsia="en-US"/>
              </w:rPr>
              <w:t>800    1</w:t>
            </w:r>
            <w:r>
              <w:rPr>
                <w:sz w:val="16"/>
                <w:szCs w:val="16"/>
                <w:lang w:val="en-US" w:eastAsia="en-US"/>
              </w:rPr>
              <w:t>,</w:t>
            </w:r>
            <w:r w:rsidRPr="002145B2">
              <w:rPr>
                <w:sz w:val="16"/>
                <w:szCs w:val="16"/>
                <w:lang w:val="en-US" w:eastAsia="en-US"/>
              </w:rPr>
              <w:t>920    2</w:t>
            </w:r>
            <w:r>
              <w:rPr>
                <w:sz w:val="16"/>
                <w:szCs w:val="16"/>
                <w:lang w:val="en-US" w:eastAsia="en-US"/>
              </w:rPr>
              <w:t>,</w:t>
            </w:r>
            <w:r w:rsidRPr="002145B2">
              <w:rPr>
                <w:sz w:val="16"/>
                <w:szCs w:val="16"/>
                <w:lang w:val="en-US" w:eastAsia="en-US"/>
              </w:rPr>
              <w:t>040   2</w:t>
            </w:r>
            <w:r>
              <w:rPr>
                <w:sz w:val="16"/>
                <w:szCs w:val="16"/>
                <w:lang w:val="en-US" w:eastAsia="en-US"/>
              </w:rPr>
              <w:t>,</w:t>
            </w:r>
            <w:r w:rsidRPr="002145B2">
              <w:rPr>
                <w:sz w:val="16"/>
                <w:szCs w:val="16"/>
                <w:lang w:val="en-US" w:eastAsia="en-US"/>
              </w:rPr>
              <w:t>160    2</w:t>
            </w:r>
            <w:r>
              <w:rPr>
                <w:sz w:val="16"/>
                <w:szCs w:val="16"/>
                <w:lang w:val="en-US" w:eastAsia="en-US"/>
              </w:rPr>
              <w:t>,</w:t>
            </w:r>
            <w:r w:rsidRPr="002145B2">
              <w:rPr>
                <w:sz w:val="16"/>
                <w:szCs w:val="16"/>
                <w:lang w:val="en-US" w:eastAsia="en-US"/>
              </w:rPr>
              <w:t>280      2</w:t>
            </w:r>
            <w:r>
              <w:rPr>
                <w:sz w:val="16"/>
                <w:szCs w:val="16"/>
                <w:lang w:val="en-US" w:eastAsia="en-US"/>
              </w:rPr>
              <w:t>,</w:t>
            </w:r>
            <w:r w:rsidRPr="002145B2">
              <w:rPr>
                <w:sz w:val="16"/>
                <w:szCs w:val="16"/>
                <w:lang w:val="en-US" w:eastAsia="en-US"/>
              </w:rPr>
              <w:t>400</w:t>
            </w:r>
          </w:p>
          <w:p w14:paraId="0D033636" w14:textId="0F49F9D8"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638  0</w:t>
            </w:r>
            <w:r>
              <w:rPr>
                <w:sz w:val="16"/>
                <w:szCs w:val="16"/>
                <w:lang w:val="en-US" w:eastAsia="en-US"/>
              </w:rPr>
              <w:t>,</w:t>
            </w:r>
            <w:r w:rsidRPr="002145B2">
              <w:rPr>
                <w:sz w:val="16"/>
                <w:szCs w:val="16"/>
                <w:lang w:val="en-US" w:eastAsia="en-US"/>
              </w:rPr>
              <w:t>765  0</w:t>
            </w:r>
            <w:r>
              <w:rPr>
                <w:sz w:val="16"/>
                <w:szCs w:val="16"/>
                <w:lang w:val="en-US" w:eastAsia="en-US"/>
              </w:rPr>
              <w:t>,</w:t>
            </w:r>
            <w:r w:rsidRPr="002145B2">
              <w:rPr>
                <w:sz w:val="16"/>
                <w:szCs w:val="16"/>
                <w:lang w:val="en-US" w:eastAsia="en-US"/>
              </w:rPr>
              <w:t>893  1</w:t>
            </w:r>
            <w:r>
              <w:rPr>
                <w:sz w:val="16"/>
                <w:szCs w:val="16"/>
                <w:lang w:val="en-US" w:eastAsia="en-US"/>
              </w:rPr>
              <w:t>,</w:t>
            </w:r>
            <w:r w:rsidRPr="002145B2">
              <w:rPr>
                <w:sz w:val="16"/>
                <w:szCs w:val="16"/>
                <w:lang w:val="en-US" w:eastAsia="en-US"/>
              </w:rPr>
              <w:t>020  1</w:t>
            </w:r>
            <w:r>
              <w:rPr>
                <w:sz w:val="16"/>
                <w:szCs w:val="16"/>
                <w:lang w:val="en-US" w:eastAsia="en-US"/>
              </w:rPr>
              <w:t>,</w:t>
            </w:r>
            <w:r w:rsidRPr="002145B2">
              <w:rPr>
                <w:sz w:val="16"/>
                <w:szCs w:val="16"/>
                <w:lang w:val="en-US" w:eastAsia="en-US"/>
              </w:rPr>
              <w:t>148  1</w:t>
            </w:r>
            <w:r>
              <w:rPr>
                <w:sz w:val="16"/>
                <w:szCs w:val="16"/>
                <w:lang w:val="en-US" w:eastAsia="en-US"/>
              </w:rPr>
              <w:t>,</w:t>
            </w:r>
            <w:r w:rsidRPr="002145B2">
              <w:rPr>
                <w:sz w:val="16"/>
                <w:szCs w:val="16"/>
                <w:lang w:val="en-US" w:eastAsia="en-US"/>
              </w:rPr>
              <w:t xml:space="preserve">275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403  1</w:t>
            </w:r>
            <w:r>
              <w:rPr>
                <w:sz w:val="16"/>
                <w:szCs w:val="16"/>
                <w:lang w:val="en-US" w:eastAsia="en-US"/>
              </w:rPr>
              <w:t>,</w:t>
            </w:r>
            <w:r w:rsidRPr="002145B2">
              <w:rPr>
                <w:sz w:val="16"/>
                <w:szCs w:val="16"/>
                <w:lang w:val="en-US" w:eastAsia="en-US"/>
              </w:rPr>
              <w:t>530  1</w:t>
            </w:r>
            <w:r>
              <w:rPr>
                <w:sz w:val="16"/>
                <w:szCs w:val="16"/>
                <w:lang w:val="en-US" w:eastAsia="en-US"/>
              </w:rPr>
              <w:t>,</w:t>
            </w:r>
            <w:r w:rsidRPr="002145B2">
              <w:rPr>
                <w:sz w:val="16"/>
                <w:szCs w:val="16"/>
                <w:lang w:val="en-US" w:eastAsia="en-US"/>
              </w:rPr>
              <w:t>658    1</w:t>
            </w:r>
            <w:r>
              <w:rPr>
                <w:sz w:val="16"/>
                <w:szCs w:val="16"/>
                <w:lang w:val="en-US" w:eastAsia="en-US"/>
              </w:rPr>
              <w:t>,</w:t>
            </w:r>
            <w:r w:rsidRPr="002145B2">
              <w:rPr>
                <w:sz w:val="16"/>
                <w:szCs w:val="16"/>
                <w:lang w:val="en-US" w:eastAsia="en-US"/>
              </w:rPr>
              <w:t>785   1</w:t>
            </w:r>
            <w:r>
              <w:rPr>
                <w:sz w:val="16"/>
                <w:szCs w:val="16"/>
                <w:lang w:val="en-US" w:eastAsia="en-US"/>
              </w:rPr>
              <w:t>,</w:t>
            </w:r>
            <w:r w:rsidRPr="002145B2">
              <w:rPr>
                <w:sz w:val="16"/>
                <w:szCs w:val="16"/>
                <w:lang w:val="en-US" w:eastAsia="en-US"/>
              </w:rPr>
              <w:t>913    2</w:t>
            </w:r>
            <w:r>
              <w:rPr>
                <w:sz w:val="16"/>
                <w:szCs w:val="16"/>
                <w:lang w:val="en-US" w:eastAsia="en-US"/>
              </w:rPr>
              <w:t>,</w:t>
            </w:r>
            <w:r w:rsidRPr="002145B2">
              <w:rPr>
                <w:sz w:val="16"/>
                <w:szCs w:val="16"/>
                <w:lang w:val="en-US" w:eastAsia="en-US"/>
              </w:rPr>
              <w:t>040    2</w:t>
            </w:r>
            <w:r>
              <w:rPr>
                <w:sz w:val="16"/>
                <w:szCs w:val="16"/>
                <w:lang w:val="en-US" w:eastAsia="en-US"/>
              </w:rPr>
              <w:t>,</w:t>
            </w:r>
            <w:r w:rsidRPr="002145B2">
              <w:rPr>
                <w:sz w:val="16"/>
                <w:szCs w:val="16"/>
                <w:lang w:val="en-US" w:eastAsia="en-US"/>
              </w:rPr>
              <w:t>168   2</w:t>
            </w:r>
            <w:r>
              <w:rPr>
                <w:sz w:val="16"/>
                <w:szCs w:val="16"/>
                <w:lang w:val="en-US" w:eastAsia="en-US"/>
              </w:rPr>
              <w:t>,</w:t>
            </w:r>
            <w:r w:rsidRPr="002145B2">
              <w:rPr>
                <w:sz w:val="16"/>
                <w:szCs w:val="16"/>
                <w:lang w:val="en-US" w:eastAsia="en-US"/>
              </w:rPr>
              <w:t>295    2</w:t>
            </w:r>
            <w:r>
              <w:rPr>
                <w:sz w:val="16"/>
                <w:szCs w:val="16"/>
                <w:lang w:val="en-US" w:eastAsia="en-US"/>
              </w:rPr>
              <w:t>,</w:t>
            </w:r>
            <w:r w:rsidRPr="002145B2">
              <w:rPr>
                <w:sz w:val="16"/>
                <w:szCs w:val="16"/>
                <w:lang w:val="en-US" w:eastAsia="en-US"/>
              </w:rPr>
              <w:t>432      2</w:t>
            </w:r>
            <w:r>
              <w:rPr>
                <w:sz w:val="16"/>
                <w:szCs w:val="16"/>
                <w:lang w:val="en-US" w:eastAsia="en-US"/>
              </w:rPr>
              <w:t>,</w:t>
            </w:r>
            <w:r w:rsidRPr="002145B2">
              <w:rPr>
                <w:sz w:val="16"/>
                <w:szCs w:val="16"/>
                <w:lang w:val="en-US" w:eastAsia="en-US"/>
              </w:rPr>
              <w:t>550</w:t>
            </w:r>
          </w:p>
          <w:p w14:paraId="4F436C04" w14:textId="0EF46F9E"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675  0</w:t>
            </w:r>
            <w:r>
              <w:rPr>
                <w:sz w:val="16"/>
                <w:szCs w:val="16"/>
                <w:lang w:val="en-US" w:eastAsia="en-US"/>
              </w:rPr>
              <w:t>,</w:t>
            </w:r>
            <w:r w:rsidRPr="002145B2">
              <w:rPr>
                <w:sz w:val="16"/>
                <w:szCs w:val="16"/>
                <w:lang w:val="en-US" w:eastAsia="en-US"/>
              </w:rPr>
              <w:t>810  0</w:t>
            </w:r>
            <w:r>
              <w:rPr>
                <w:sz w:val="16"/>
                <w:szCs w:val="16"/>
                <w:lang w:val="en-US" w:eastAsia="en-US"/>
              </w:rPr>
              <w:t>,</w:t>
            </w:r>
            <w:r w:rsidRPr="002145B2">
              <w:rPr>
                <w:sz w:val="16"/>
                <w:szCs w:val="16"/>
                <w:lang w:val="en-US" w:eastAsia="en-US"/>
              </w:rPr>
              <w:t>945  1</w:t>
            </w:r>
            <w:r>
              <w:rPr>
                <w:sz w:val="16"/>
                <w:szCs w:val="16"/>
                <w:lang w:val="en-US" w:eastAsia="en-US"/>
              </w:rPr>
              <w:t>,</w:t>
            </w:r>
            <w:r w:rsidRPr="002145B2">
              <w:rPr>
                <w:sz w:val="16"/>
                <w:szCs w:val="16"/>
                <w:lang w:val="en-US" w:eastAsia="en-US"/>
              </w:rPr>
              <w:t>080  1</w:t>
            </w:r>
            <w:r>
              <w:rPr>
                <w:sz w:val="16"/>
                <w:szCs w:val="16"/>
                <w:lang w:val="en-US" w:eastAsia="en-US"/>
              </w:rPr>
              <w:t>,</w:t>
            </w:r>
            <w:r w:rsidRPr="002145B2">
              <w:rPr>
                <w:sz w:val="16"/>
                <w:szCs w:val="16"/>
                <w:lang w:val="en-US" w:eastAsia="en-US"/>
              </w:rPr>
              <w:t>215  1</w:t>
            </w:r>
            <w:r>
              <w:rPr>
                <w:sz w:val="16"/>
                <w:szCs w:val="16"/>
                <w:lang w:val="en-US" w:eastAsia="en-US"/>
              </w:rPr>
              <w:t>,</w:t>
            </w:r>
            <w:r w:rsidRPr="002145B2">
              <w:rPr>
                <w:sz w:val="16"/>
                <w:szCs w:val="16"/>
                <w:lang w:val="en-US" w:eastAsia="en-US"/>
              </w:rPr>
              <w:t xml:space="preserve">350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485  1</w:t>
            </w:r>
            <w:r>
              <w:rPr>
                <w:sz w:val="16"/>
                <w:szCs w:val="16"/>
                <w:lang w:val="en-US" w:eastAsia="en-US"/>
              </w:rPr>
              <w:t>,</w:t>
            </w:r>
            <w:r w:rsidRPr="002145B2">
              <w:rPr>
                <w:sz w:val="16"/>
                <w:szCs w:val="16"/>
                <w:lang w:val="en-US" w:eastAsia="en-US"/>
              </w:rPr>
              <w:t>620  1</w:t>
            </w:r>
            <w:r>
              <w:rPr>
                <w:sz w:val="16"/>
                <w:szCs w:val="16"/>
                <w:lang w:val="en-US" w:eastAsia="en-US"/>
              </w:rPr>
              <w:t>,</w:t>
            </w:r>
            <w:r w:rsidRPr="002145B2">
              <w:rPr>
                <w:sz w:val="16"/>
                <w:szCs w:val="16"/>
                <w:lang w:val="en-US" w:eastAsia="en-US"/>
              </w:rPr>
              <w:t>755    1</w:t>
            </w:r>
            <w:r>
              <w:rPr>
                <w:sz w:val="16"/>
                <w:szCs w:val="16"/>
                <w:lang w:val="en-US" w:eastAsia="en-US"/>
              </w:rPr>
              <w:t>,</w:t>
            </w:r>
            <w:r w:rsidRPr="002145B2">
              <w:rPr>
                <w:sz w:val="16"/>
                <w:szCs w:val="16"/>
                <w:lang w:val="en-US" w:eastAsia="en-US"/>
              </w:rPr>
              <w:t>890   2</w:t>
            </w:r>
            <w:r>
              <w:rPr>
                <w:sz w:val="16"/>
                <w:szCs w:val="16"/>
                <w:lang w:val="en-US" w:eastAsia="en-US"/>
              </w:rPr>
              <w:t>,</w:t>
            </w:r>
            <w:r w:rsidRPr="002145B2">
              <w:rPr>
                <w:sz w:val="16"/>
                <w:szCs w:val="16"/>
                <w:lang w:val="en-US" w:eastAsia="en-US"/>
              </w:rPr>
              <w:t>025    2</w:t>
            </w:r>
            <w:r>
              <w:rPr>
                <w:sz w:val="16"/>
                <w:szCs w:val="16"/>
                <w:lang w:val="en-US" w:eastAsia="en-US"/>
              </w:rPr>
              <w:t>,</w:t>
            </w:r>
            <w:r w:rsidRPr="002145B2">
              <w:rPr>
                <w:sz w:val="16"/>
                <w:szCs w:val="16"/>
                <w:lang w:val="en-US" w:eastAsia="en-US"/>
              </w:rPr>
              <w:t>160    2</w:t>
            </w:r>
            <w:r>
              <w:rPr>
                <w:sz w:val="16"/>
                <w:szCs w:val="16"/>
                <w:lang w:val="en-US" w:eastAsia="en-US"/>
              </w:rPr>
              <w:t>,</w:t>
            </w:r>
            <w:r w:rsidRPr="002145B2">
              <w:rPr>
                <w:sz w:val="16"/>
                <w:szCs w:val="16"/>
                <w:lang w:val="en-US" w:eastAsia="en-US"/>
              </w:rPr>
              <w:t>295   2</w:t>
            </w:r>
            <w:r>
              <w:rPr>
                <w:sz w:val="16"/>
                <w:szCs w:val="16"/>
                <w:lang w:val="en-US" w:eastAsia="en-US"/>
              </w:rPr>
              <w:t>,</w:t>
            </w:r>
            <w:r w:rsidRPr="002145B2">
              <w:rPr>
                <w:sz w:val="16"/>
                <w:szCs w:val="16"/>
                <w:lang w:val="en-US" w:eastAsia="en-US"/>
              </w:rPr>
              <w:t>430    2</w:t>
            </w:r>
            <w:r>
              <w:rPr>
                <w:sz w:val="16"/>
                <w:szCs w:val="16"/>
                <w:lang w:val="en-US" w:eastAsia="en-US"/>
              </w:rPr>
              <w:t>,</w:t>
            </w:r>
            <w:r w:rsidRPr="002145B2">
              <w:rPr>
                <w:sz w:val="16"/>
                <w:szCs w:val="16"/>
                <w:lang w:val="en-US" w:eastAsia="en-US"/>
              </w:rPr>
              <w:t>565      2</w:t>
            </w:r>
            <w:r>
              <w:rPr>
                <w:sz w:val="16"/>
                <w:szCs w:val="16"/>
                <w:lang w:val="en-US" w:eastAsia="en-US"/>
              </w:rPr>
              <w:t>,</w:t>
            </w:r>
            <w:r w:rsidRPr="002145B2">
              <w:rPr>
                <w:sz w:val="16"/>
                <w:szCs w:val="16"/>
                <w:lang w:val="en-US" w:eastAsia="en-US"/>
              </w:rPr>
              <w:t>700</w:t>
            </w:r>
          </w:p>
          <w:p w14:paraId="6893AA58" w14:textId="6263CB78"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713  0</w:t>
            </w:r>
            <w:r>
              <w:rPr>
                <w:sz w:val="16"/>
                <w:szCs w:val="16"/>
                <w:lang w:val="en-US" w:eastAsia="en-US"/>
              </w:rPr>
              <w:t>,</w:t>
            </w:r>
            <w:r w:rsidRPr="002145B2">
              <w:rPr>
                <w:sz w:val="16"/>
                <w:szCs w:val="16"/>
                <w:lang w:val="en-US" w:eastAsia="en-US"/>
              </w:rPr>
              <w:t>855  0</w:t>
            </w:r>
            <w:r>
              <w:rPr>
                <w:sz w:val="16"/>
                <w:szCs w:val="16"/>
                <w:lang w:val="en-US" w:eastAsia="en-US"/>
              </w:rPr>
              <w:t>,</w:t>
            </w:r>
            <w:r w:rsidRPr="002145B2">
              <w:rPr>
                <w:sz w:val="16"/>
                <w:szCs w:val="16"/>
                <w:lang w:val="en-US" w:eastAsia="en-US"/>
              </w:rPr>
              <w:t>998  1</w:t>
            </w:r>
            <w:r>
              <w:rPr>
                <w:sz w:val="16"/>
                <w:szCs w:val="16"/>
                <w:lang w:val="en-US" w:eastAsia="en-US"/>
              </w:rPr>
              <w:t>,</w:t>
            </w:r>
            <w:r w:rsidRPr="002145B2">
              <w:rPr>
                <w:sz w:val="16"/>
                <w:szCs w:val="16"/>
                <w:lang w:val="en-US" w:eastAsia="en-US"/>
              </w:rPr>
              <w:t>140  1</w:t>
            </w:r>
            <w:r>
              <w:rPr>
                <w:sz w:val="16"/>
                <w:szCs w:val="16"/>
                <w:lang w:val="en-US" w:eastAsia="en-US"/>
              </w:rPr>
              <w:t>,</w:t>
            </w:r>
            <w:r w:rsidRPr="002145B2">
              <w:rPr>
                <w:sz w:val="16"/>
                <w:szCs w:val="16"/>
                <w:lang w:val="en-US" w:eastAsia="en-US"/>
              </w:rPr>
              <w:t>283  1</w:t>
            </w:r>
            <w:r>
              <w:rPr>
                <w:sz w:val="16"/>
                <w:szCs w:val="16"/>
                <w:lang w:val="en-US" w:eastAsia="en-US"/>
              </w:rPr>
              <w:t>,</w:t>
            </w:r>
            <w:r w:rsidRPr="002145B2">
              <w:rPr>
                <w:sz w:val="16"/>
                <w:szCs w:val="16"/>
                <w:lang w:val="en-US" w:eastAsia="en-US"/>
              </w:rPr>
              <w:t xml:space="preserve">425  </w:t>
            </w:r>
            <w:r w:rsidR="0047442D">
              <w:rPr>
                <w:sz w:val="16"/>
                <w:szCs w:val="16"/>
                <w:lang w:val="en-US" w:eastAsia="en-US"/>
              </w:rPr>
              <w:t xml:space="preserve">  </w:t>
            </w:r>
            <w:r w:rsidRPr="002145B2">
              <w:rPr>
                <w:sz w:val="16"/>
                <w:szCs w:val="16"/>
                <w:lang w:val="en-US" w:eastAsia="en-US"/>
              </w:rPr>
              <w:t xml:space="preserve"> 1</w:t>
            </w:r>
            <w:r>
              <w:rPr>
                <w:sz w:val="16"/>
                <w:szCs w:val="16"/>
                <w:lang w:val="en-US" w:eastAsia="en-US"/>
              </w:rPr>
              <w:t>,</w:t>
            </w:r>
            <w:r w:rsidRPr="002145B2">
              <w:rPr>
                <w:sz w:val="16"/>
                <w:szCs w:val="16"/>
                <w:lang w:val="en-US" w:eastAsia="en-US"/>
              </w:rPr>
              <w:t>568  1</w:t>
            </w:r>
            <w:r>
              <w:rPr>
                <w:sz w:val="16"/>
                <w:szCs w:val="16"/>
                <w:lang w:val="en-US" w:eastAsia="en-US"/>
              </w:rPr>
              <w:t>,</w:t>
            </w:r>
            <w:r w:rsidRPr="002145B2">
              <w:rPr>
                <w:sz w:val="16"/>
                <w:szCs w:val="16"/>
                <w:lang w:val="en-US" w:eastAsia="en-US"/>
              </w:rPr>
              <w:t>710  1</w:t>
            </w:r>
            <w:r>
              <w:rPr>
                <w:sz w:val="16"/>
                <w:szCs w:val="16"/>
                <w:lang w:val="en-US" w:eastAsia="en-US"/>
              </w:rPr>
              <w:t>,</w:t>
            </w:r>
            <w:r w:rsidRPr="002145B2">
              <w:rPr>
                <w:sz w:val="16"/>
                <w:szCs w:val="16"/>
                <w:lang w:val="en-US" w:eastAsia="en-US"/>
              </w:rPr>
              <w:t>853    1</w:t>
            </w:r>
            <w:r>
              <w:rPr>
                <w:sz w:val="16"/>
                <w:szCs w:val="16"/>
                <w:lang w:val="en-US" w:eastAsia="en-US"/>
              </w:rPr>
              <w:t>,</w:t>
            </w:r>
            <w:r w:rsidRPr="002145B2">
              <w:rPr>
                <w:sz w:val="16"/>
                <w:szCs w:val="16"/>
                <w:lang w:val="en-US" w:eastAsia="en-US"/>
              </w:rPr>
              <w:t>996   2</w:t>
            </w:r>
            <w:r>
              <w:rPr>
                <w:sz w:val="16"/>
                <w:szCs w:val="16"/>
                <w:lang w:val="en-US" w:eastAsia="en-US"/>
              </w:rPr>
              <w:t>,</w:t>
            </w:r>
            <w:r w:rsidRPr="002145B2">
              <w:rPr>
                <w:sz w:val="16"/>
                <w:szCs w:val="16"/>
                <w:lang w:val="en-US" w:eastAsia="en-US"/>
              </w:rPr>
              <w:t>138    2</w:t>
            </w:r>
            <w:r>
              <w:rPr>
                <w:sz w:val="16"/>
                <w:szCs w:val="16"/>
                <w:lang w:val="en-US" w:eastAsia="en-US"/>
              </w:rPr>
              <w:t>,</w:t>
            </w:r>
            <w:r w:rsidRPr="002145B2">
              <w:rPr>
                <w:sz w:val="16"/>
                <w:szCs w:val="16"/>
                <w:lang w:val="en-US" w:eastAsia="en-US"/>
              </w:rPr>
              <w:t>280    2</w:t>
            </w:r>
            <w:r>
              <w:rPr>
                <w:sz w:val="16"/>
                <w:szCs w:val="16"/>
                <w:lang w:val="en-US" w:eastAsia="en-US"/>
              </w:rPr>
              <w:t>,</w:t>
            </w:r>
            <w:r w:rsidRPr="002145B2">
              <w:rPr>
                <w:sz w:val="16"/>
                <w:szCs w:val="16"/>
                <w:lang w:val="en-US" w:eastAsia="en-US"/>
              </w:rPr>
              <w:t>423   2</w:t>
            </w:r>
            <w:r>
              <w:rPr>
                <w:sz w:val="16"/>
                <w:szCs w:val="16"/>
                <w:lang w:val="en-US" w:eastAsia="en-US"/>
              </w:rPr>
              <w:t>,</w:t>
            </w:r>
            <w:r w:rsidRPr="002145B2">
              <w:rPr>
                <w:sz w:val="16"/>
                <w:szCs w:val="16"/>
                <w:lang w:val="en-US" w:eastAsia="en-US"/>
              </w:rPr>
              <w:t>565    2</w:t>
            </w:r>
            <w:r>
              <w:rPr>
                <w:sz w:val="16"/>
                <w:szCs w:val="16"/>
                <w:lang w:val="en-US" w:eastAsia="en-US"/>
              </w:rPr>
              <w:t>,</w:t>
            </w:r>
            <w:r w:rsidRPr="002145B2">
              <w:rPr>
                <w:sz w:val="16"/>
                <w:szCs w:val="16"/>
                <w:lang w:val="en-US" w:eastAsia="en-US"/>
              </w:rPr>
              <w:t>708      2</w:t>
            </w:r>
            <w:r>
              <w:rPr>
                <w:sz w:val="16"/>
                <w:szCs w:val="16"/>
                <w:lang w:val="en-US" w:eastAsia="en-US"/>
              </w:rPr>
              <w:t>,</w:t>
            </w:r>
            <w:r w:rsidRPr="002145B2">
              <w:rPr>
                <w:sz w:val="16"/>
                <w:szCs w:val="16"/>
                <w:lang w:val="en-US" w:eastAsia="en-US"/>
              </w:rPr>
              <w:t>850</w:t>
            </w:r>
          </w:p>
          <w:p w14:paraId="03FAEA75" w14:textId="6C224CBE" w:rsidR="00452E6D" w:rsidRPr="002145B2" w:rsidRDefault="00452E6D" w:rsidP="00452E6D">
            <w:pPr>
              <w:tabs>
                <w:tab w:val="left" w:pos="567"/>
              </w:tabs>
              <w:spacing w:after="0"/>
              <w:outlineLvl w:val="0"/>
              <w:rPr>
                <w:sz w:val="16"/>
                <w:szCs w:val="16"/>
                <w:lang w:val="en-US" w:eastAsia="en-US"/>
              </w:rPr>
            </w:pPr>
            <w:r w:rsidRPr="002145B2">
              <w:rPr>
                <w:sz w:val="16"/>
                <w:szCs w:val="16"/>
                <w:lang w:val="en-US" w:eastAsia="en-US"/>
              </w:rPr>
              <w:t>0</w:t>
            </w:r>
            <w:r>
              <w:rPr>
                <w:sz w:val="16"/>
                <w:szCs w:val="16"/>
                <w:lang w:val="en-US" w:eastAsia="en-US"/>
              </w:rPr>
              <w:t>,</w:t>
            </w:r>
            <w:r w:rsidRPr="002145B2">
              <w:rPr>
                <w:sz w:val="16"/>
                <w:szCs w:val="16"/>
                <w:lang w:val="en-US" w:eastAsia="en-US"/>
              </w:rPr>
              <w:t>750  0</w:t>
            </w:r>
            <w:r>
              <w:rPr>
                <w:sz w:val="16"/>
                <w:szCs w:val="16"/>
                <w:lang w:val="en-US" w:eastAsia="en-US"/>
              </w:rPr>
              <w:t>,</w:t>
            </w:r>
            <w:r w:rsidRPr="002145B2">
              <w:rPr>
                <w:sz w:val="16"/>
                <w:szCs w:val="16"/>
                <w:lang w:val="en-US" w:eastAsia="en-US"/>
              </w:rPr>
              <w:t>900  1</w:t>
            </w:r>
            <w:r>
              <w:rPr>
                <w:sz w:val="16"/>
                <w:szCs w:val="16"/>
                <w:lang w:val="en-US" w:eastAsia="en-US"/>
              </w:rPr>
              <w:t>,</w:t>
            </w:r>
            <w:r w:rsidRPr="002145B2">
              <w:rPr>
                <w:sz w:val="16"/>
                <w:szCs w:val="16"/>
                <w:lang w:val="en-US" w:eastAsia="en-US"/>
              </w:rPr>
              <w:t>050  1</w:t>
            </w:r>
            <w:r>
              <w:rPr>
                <w:sz w:val="16"/>
                <w:szCs w:val="16"/>
                <w:lang w:val="en-US" w:eastAsia="en-US"/>
              </w:rPr>
              <w:t>,</w:t>
            </w:r>
            <w:r w:rsidRPr="002145B2">
              <w:rPr>
                <w:sz w:val="16"/>
                <w:szCs w:val="16"/>
                <w:lang w:val="en-US" w:eastAsia="en-US"/>
              </w:rPr>
              <w:t>200  1</w:t>
            </w:r>
            <w:r>
              <w:rPr>
                <w:sz w:val="16"/>
                <w:szCs w:val="16"/>
                <w:lang w:val="en-US" w:eastAsia="en-US"/>
              </w:rPr>
              <w:t>,</w:t>
            </w:r>
            <w:r w:rsidRPr="002145B2">
              <w:rPr>
                <w:sz w:val="16"/>
                <w:szCs w:val="16"/>
                <w:lang w:val="en-US" w:eastAsia="en-US"/>
              </w:rPr>
              <w:t>350  1</w:t>
            </w:r>
            <w:r>
              <w:rPr>
                <w:sz w:val="16"/>
                <w:szCs w:val="16"/>
                <w:lang w:val="en-US" w:eastAsia="en-US"/>
              </w:rPr>
              <w:t>,</w:t>
            </w:r>
            <w:r w:rsidRPr="002145B2">
              <w:rPr>
                <w:sz w:val="16"/>
                <w:szCs w:val="16"/>
                <w:lang w:val="en-US" w:eastAsia="en-US"/>
              </w:rPr>
              <w:t xml:space="preserve">500   </w:t>
            </w:r>
            <w:r w:rsidR="0047442D">
              <w:rPr>
                <w:sz w:val="16"/>
                <w:szCs w:val="16"/>
                <w:lang w:val="en-US" w:eastAsia="en-US"/>
              </w:rPr>
              <w:t xml:space="preserve">  </w:t>
            </w:r>
            <w:r w:rsidRPr="002145B2">
              <w:rPr>
                <w:sz w:val="16"/>
                <w:szCs w:val="16"/>
                <w:lang w:val="en-US" w:eastAsia="en-US"/>
              </w:rPr>
              <w:t>1</w:t>
            </w:r>
            <w:r>
              <w:rPr>
                <w:sz w:val="16"/>
                <w:szCs w:val="16"/>
                <w:lang w:val="en-US" w:eastAsia="en-US"/>
              </w:rPr>
              <w:t>,</w:t>
            </w:r>
            <w:r w:rsidRPr="002145B2">
              <w:rPr>
                <w:sz w:val="16"/>
                <w:szCs w:val="16"/>
                <w:lang w:val="en-US" w:eastAsia="en-US"/>
              </w:rPr>
              <w:t>650  1</w:t>
            </w:r>
            <w:r>
              <w:rPr>
                <w:sz w:val="16"/>
                <w:szCs w:val="16"/>
                <w:lang w:val="en-US" w:eastAsia="en-US"/>
              </w:rPr>
              <w:t>,</w:t>
            </w:r>
            <w:r w:rsidRPr="002145B2">
              <w:rPr>
                <w:sz w:val="16"/>
                <w:szCs w:val="16"/>
                <w:lang w:val="en-US" w:eastAsia="en-US"/>
              </w:rPr>
              <w:t>800  1</w:t>
            </w:r>
            <w:r>
              <w:rPr>
                <w:sz w:val="16"/>
                <w:szCs w:val="16"/>
                <w:lang w:val="en-US" w:eastAsia="en-US"/>
              </w:rPr>
              <w:t>,</w:t>
            </w:r>
            <w:r w:rsidRPr="002145B2">
              <w:rPr>
                <w:sz w:val="16"/>
                <w:szCs w:val="16"/>
                <w:lang w:val="en-US" w:eastAsia="en-US"/>
              </w:rPr>
              <w:t>950    2</w:t>
            </w:r>
            <w:r>
              <w:rPr>
                <w:sz w:val="16"/>
                <w:szCs w:val="16"/>
                <w:lang w:val="en-US" w:eastAsia="en-US"/>
              </w:rPr>
              <w:t>,</w:t>
            </w:r>
            <w:r w:rsidRPr="002145B2">
              <w:rPr>
                <w:sz w:val="16"/>
                <w:szCs w:val="16"/>
                <w:lang w:val="en-US" w:eastAsia="en-US"/>
              </w:rPr>
              <w:t>100   2</w:t>
            </w:r>
            <w:r>
              <w:rPr>
                <w:sz w:val="16"/>
                <w:szCs w:val="16"/>
                <w:lang w:val="en-US" w:eastAsia="en-US"/>
              </w:rPr>
              <w:t>,</w:t>
            </w:r>
            <w:r w:rsidRPr="002145B2">
              <w:rPr>
                <w:sz w:val="16"/>
                <w:szCs w:val="16"/>
                <w:lang w:val="en-US" w:eastAsia="en-US"/>
              </w:rPr>
              <w:t>250    2</w:t>
            </w:r>
            <w:r>
              <w:rPr>
                <w:sz w:val="16"/>
                <w:szCs w:val="16"/>
                <w:lang w:val="en-US" w:eastAsia="en-US"/>
              </w:rPr>
              <w:t>,</w:t>
            </w:r>
            <w:r w:rsidRPr="002145B2">
              <w:rPr>
                <w:sz w:val="16"/>
                <w:szCs w:val="16"/>
                <w:lang w:val="en-US" w:eastAsia="en-US"/>
              </w:rPr>
              <w:t>400    2</w:t>
            </w:r>
            <w:r>
              <w:rPr>
                <w:sz w:val="16"/>
                <w:szCs w:val="16"/>
                <w:lang w:val="en-US" w:eastAsia="en-US"/>
              </w:rPr>
              <w:t>,</w:t>
            </w:r>
            <w:r w:rsidRPr="002145B2">
              <w:rPr>
                <w:sz w:val="16"/>
                <w:szCs w:val="16"/>
                <w:lang w:val="en-US" w:eastAsia="en-US"/>
              </w:rPr>
              <w:t>550   2</w:t>
            </w:r>
            <w:r>
              <w:rPr>
                <w:sz w:val="16"/>
                <w:szCs w:val="16"/>
                <w:lang w:val="en-US" w:eastAsia="en-US"/>
              </w:rPr>
              <w:t>,</w:t>
            </w:r>
            <w:r w:rsidRPr="002145B2">
              <w:rPr>
                <w:sz w:val="16"/>
                <w:szCs w:val="16"/>
                <w:lang w:val="en-US" w:eastAsia="en-US"/>
              </w:rPr>
              <w:t>700    2</w:t>
            </w:r>
            <w:r>
              <w:rPr>
                <w:sz w:val="16"/>
                <w:szCs w:val="16"/>
                <w:lang w:val="en-US" w:eastAsia="en-US"/>
              </w:rPr>
              <w:t>,</w:t>
            </w:r>
            <w:r w:rsidRPr="002145B2">
              <w:rPr>
                <w:sz w:val="16"/>
                <w:szCs w:val="16"/>
                <w:lang w:val="en-US" w:eastAsia="en-US"/>
              </w:rPr>
              <w:t>850      3</w:t>
            </w:r>
            <w:r>
              <w:rPr>
                <w:sz w:val="16"/>
                <w:szCs w:val="16"/>
                <w:lang w:val="en-US" w:eastAsia="en-US"/>
              </w:rPr>
              <w:t>,</w:t>
            </w:r>
            <w:r w:rsidRPr="002145B2">
              <w:rPr>
                <w:sz w:val="16"/>
                <w:szCs w:val="16"/>
                <w:lang w:val="en-US" w:eastAsia="en-US"/>
              </w:rPr>
              <w:t xml:space="preserve">000    </w:t>
            </w:r>
          </w:p>
        </w:tc>
      </w:tr>
    </w:tbl>
    <w:p w14:paraId="692E2A35" w14:textId="77777777" w:rsidR="00452E6D" w:rsidRDefault="00452E6D" w:rsidP="00AB0F52">
      <w:pPr>
        <w:rPr>
          <w:b/>
          <w:lang w:val="cs-CZ"/>
        </w:rPr>
      </w:pPr>
    </w:p>
    <w:p w14:paraId="3F65C410" w14:textId="77777777" w:rsidR="00890A05" w:rsidRPr="005C3240" w:rsidRDefault="00890A05" w:rsidP="00AB0F52">
      <w:pPr>
        <w:rPr>
          <w:b/>
          <w:lang w:val="cs-CZ"/>
        </w:rPr>
      </w:pPr>
    </w:p>
    <w:p w14:paraId="394B1501" w14:textId="73FF6707" w:rsidR="005D5412" w:rsidRPr="005C3240" w:rsidRDefault="00E64C81" w:rsidP="005D5412">
      <w:pPr>
        <w:rPr>
          <w:b/>
          <w:u w:val="single"/>
          <w:lang w:val="cs-CZ"/>
        </w:rPr>
      </w:pPr>
      <w:r w:rsidRPr="00E64C81">
        <w:rPr>
          <w:b/>
          <w:u w:val="single"/>
          <w:lang w:val="cs-CZ"/>
        </w:rPr>
        <w:t>Poučenie pre pacientov, ktorí dostávajú kontinuálnu intravenóznu infúziu</w:t>
      </w:r>
    </w:p>
    <w:p w14:paraId="732DCEF4" w14:textId="52289CBD" w:rsidR="005D5412" w:rsidRPr="005C3240" w:rsidRDefault="00E64C81" w:rsidP="005D5412">
      <w:pPr>
        <w:rPr>
          <w:lang w:val="cs-CZ"/>
        </w:rPr>
      </w:pPr>
      <w:r w:rsidRPr="00E64C81">
        <w:rPr>
          <w:lang w:val="cs-CZ"/>
        </w:rPr>
        <w:t>Zdravotný tím zodpovedný za liečbu musí zabezpečiť, aby bol pacient plne poučený a vedel kompetentne používať zvolenú zdravotnícku pomôcku. Obdobie poskytovania osobných inštrukcií a dohľadu má pokračovať, kým sa pacient považuje za spôsobilého na výmenu infúzií, zmenu prietokových rýchlostí/dávok podľa pokynov a je schopný zvládnuť bežné problémy s pomôckou. Pacient musí byť poučený o vhodnej aseptickej technike pri príprave infúzneho zásobníka treprostinilu  a preplachovania rozvodových infúznych hadičiek a spojení. Pacient musí mať k dispozícii písomné pokyny buď od výrobcu pumpy, alebo špeciálne pripravené rady od predpisujúceho lekára. Tieto majú zahŕňať požadované normálne úkony podania lieku, rady ako zaobchádzať s upchatím a inými problémami pumpy, ako aj podrobnosti o tom, koho kontaktovať v prípade neodkladného zásahu.</w:t>
      </w:r>
    </w:p>
    <w:p w14:paraId="087EC686" w14:textId="0292B8A2" w:rsidR="005D5412" w:rsidRPr="005C3240" w:rsidRDefault="005D5412" w:rsidP="005D5412">
      <w:pPr>
        <w:rPr>
          <w:lang w:val="cs-CZ"/>
        </w:rPr>
      </w:pPr>
    </w:p>
    <w:p w14:paraId="126CC0AD" w14:textId="4C4D9227" w:rsidR="005D5412" w:rsidRPr="005C3240" w:rsidRDefault="00FB1CBB" w:rsidP="005D5412">
      <w:pPr>
        <w:rPr>
          <w:b/>
          <w:lang w:val="cs-CZ"/>
        </w:rPr>
      </w:pPr>
      <w:r w:rsidRPr="00FB1CBB">
        <w:rPr>
          <w:b/>
          <w:lang w:val="cs-CZ"/>
        </w:rPr>
        <w:t>Minimalizácia rizika infekcií krvného obehu súvisiacich s katétrom</w:t>
      </w:r>
    </w:p>
    <w:p w14:paraId="389358D4" w14:textId="46CFBFAF" w:rsidR="005D5412" w:rsidRPr="005C3240" w:rsidRDefault="00FB1CBB" w:rsidP="005D5412">
      <w:pPr>
        <w:rPr>
          <w:lang w:val="cs-CZ"/>
        </w:rPr>
      </w:pPr>
      <w:r w:rsidRPr="00FB1CBB">
        <w:rPr>
          <w:lang w:val="cs-CZ"/>
        </w:rPr>
        <w:t>Osobitná pozornosť sa musí venovať nasledovným pokynom, ktoré pomáhajú minimalizovať riziko infekcií krvného obehu súvisiacich s katétrom u pacientov, ktorí dostávajú treprostinil pomocou intravenóznej infúzie (pozri časť 4.4). Tieto pokyny sú v súlade so súčasnými smernicami správnej praxe v prevencii rizika infekcií krvného obehu súvisiacich s katétrom a zahŕňajú:</w:t>
      </w:r>
    </w:p>
    <w:p w14:paraId="2F8D0E8B" w14:textId="20E8C775" w:rsidR="005D5412" w:rsidRPr="005C3240" w:rsidRDefault="00FB1CBB" w:rsidP="00A34A86">
      <w:pPr>
        <w:spacing w:after="0"/>
        <w:rPr>
          <w:i/>
          <w:lang w:val="cs-CZ"/>
        </w:rPr>
      </w:pPr>
      <w:r w:rsidRPr="00FB1CBB">
        <w:rPr>
          <w:i/>
          <w:lang w:val="cs-CZ"/>
        </w:rPr>
        <w:t>Všeobecné princípy</w:t>
      </w:r>
    </w:p>
    <w:p w14:paraId="1C63D949" w14:textId="77777777" w:rsidR="008E16DA" w:rsidRPr="00500315" w:rsidRDefault="008E16DA" w:rsidP="008E16DA">
      <w:pPr>
        <w:numPr>
          <w:ilvl w:val="0"/>
          <w:numId w:val="9"/>
        </w:numPr>
        <w:spacing w:after="0"/>
        <w:jc w:val="left"/>
        <w:rPr>
          <w:lang w:val="sk-SK"/>
        </w:rPr>
      </w:pPr>
      <w:r>
        <w:rPr>
          <w:lang w:val="sk-SK"/>
        </w:rPr>
        <w:t>P</w:t>
      </w:r>
      <w:r w:rsidRPr="00500315">
        <w:rPr>
          <w:lang w:val="sk-SK"/>
        </w:rPr>
        <w:t>oužitie manžetového a tunelového centrálneho venózneho katétra (central venous catheter, CVC) s minimálnym počtom portov.</w:t>
      </w:r>
    </w:p>
    <w:p w14:paraId="3D93843C" w14:textId="77777777" w:rsidR="008E16DA" w:rsidRPr="00500315" w:rsidRDefault="008E16DA" w:rsidP="008E16DA">
      <w:pPr>
        <w:numPr>
          <w:ilvl w:val="0"/>
          <w:numId w:val="9"/>
        </w:numPr>
        <w:spacing w:after="0"/>
        <w:jc w:val="left"/>
        <w:rPr>
          <w:lang w:val="sk-SK"/>
        </w:rPr>
      </w:pPr>
      <w:r w:rsidRPr="00500315">
        <w:rPr>
          <w:lang w:val="sk-SK"/>
        </w:rPr>
        <w:t>Zavedenie CVC s použitím sterilných bariérových techník.</w:t>
      </w:r>
    </w:p>
    <w:p w14:paraId="5F44CCE8" w14:textId="77777777" w:rsidR="008E16DA" w:rsidRPr="00500315" w:rsidRDefault="008E16DA" w:rsidP="008E16DA">
      <w:pPr>
        <w:numPr>
          <w:ilvl w:val="0"/>
          <w:numId w:val="9"/>
        </w:numPr>
        <w:spacing w:after="0"/>
        <w:jc w:val="left"/>
        <w:rPr>
          <w:lang w:val="sk-SK"/>
        </w:rPr>
      </w:pPr>
      <w:r w:rsidRPr="00500315">
        <w:rPr>
          <w:lang w:val="sk-SK"/>
        </w:rPr>
        <w:t>Použitie vhodnej hygieny rúk a aseptických techník pri zavedení, náhrade, prístupe, oprave katétra, alebo keď sa miesto zavedenia katétra vyšetruje a/alebo obväzuje.</w:t>
      </w:r>
    </w:p>
    <w:p w14:paraId="6D75DBB0" w14:textId="77777777" w:rsidR="008E16DA" w:rsidRPr="00500315" w:rsidRDefault="008E16DA" w:rsidP="008E16DA">
      <w:pPr>
        <w:numPr>
          <w:ilvl w:val="0"/>
          <w:numId w:val="9"/>
        </w:numPr>
        <w:spacing w:after="0"/>
        <w:jc w:val="left"/>
        <w:rPr>
          <w:lang w:val="sk-SK"/>
        </w:rPr>
      </w:pPr>
      <w:r w:rsidRPr="00500315">
        <w:rPr>
          <w:lang w:val="sk-SK"/>
        </w:rPr>
        <w:t xml:space="preserve">Na prekrytie miesta zavedenia katétra sa má použiť sterilná gáza (vymieňa sa každé dva dni) alebo sterilný priehľadný polopriepustný obväz (vymieňa sa </w:t>
      </w:r>
      <w:r>
        <w:rPr>
          <w:lang w:val="sk-SK"/>
        </w:rPr>
        <w:t xml:space="preserve">minimálne </w:t>
      </w:r>
      <w:r w:rsidRPr="00500315">
        <w:rPr>
          <w:lang w:val="sk-SK"/>
        </w:rPr>
        <w:t>každých sedem dní).</w:t>
      </w:r>
    </w:p>
    <w:p w14:paraId="5D79CEFE" w14:textId="77777777" w:rsidR="008E16DA" w:rsidRPr="00500315" w:rsidRDefault="008E16DA" w:rsidP="008E16DA">
      <w:pPr>
        <w:numPr>
          <w:ilvl w:val="0"/>
          <w:numId w:val="9"/>
        </w:numPr>
        <w:spacing w:after="0"/>
        <w:jc w:val="left"/>
        <w:rPr>
          <w:lang w:val="sk-SK"/>
        </w:rPr>
      </w:pPr>
      <w:r w:rsidRPr="00500315">
        <w:rPr>
          <w:lang w:val="sk-SK"/>
        </w:rPr>
        <w:t>Preväz sa má vymeniť zakaždým</w:t>
      </w:r>
      <w:r>
        <w:rPr>
          <w:lang w:val="sk-SK"/>
        </w:rPr>
        <w:t>,</w:t>
      </w:r>
      <w:r w:rsidRPr="00500315">
        <w:rPr>
          <w:lang w:val="sk-SK"/>
        </w:rPr>
        <w:t xml:space="preserve"> keď</w:t>
      </w:r>
      <w:r w:rsidRPr="00500315" w:rsidDel="00417056">
        <w:rPr>
          <w:lang w:val="sk-SK"/>
        </w:rPr>
        <w:t xml:space="preserve"> </w:t>
      </w:r>
      <w:r w:rsidRPr="00500315">
        <w:rPr>
          <w:lang w:val="sk-SK"/>
        </w:rPr>
        <w:t>zvlhne, uvoľní sa, alebo sa zašpiní alebo po vyšetrení miesta.</w:t>
      </w:r>
    </w:p>
    <w:p w14:paraId="2B27EE8C" w14:textId="2506E162" w:rsidR="005D5412" w:rsidRPr="005C3240" w:rsidRDefault="008E16DA" w:rsidP="008E16DA">
      <w:pPr>
        <w:pStyle w:val="Odsekzoznamu"/>
        <w:numPr>
          <w:ilvl w:val="0"/>
          <w:numId w:val="9"/>
        </w:numPr>
        <w:rPr>
          <w:lang w:val="cs-CZ"/>
        </w:rPr>
      </w:pPr>
      <w:r w:rsidRPr="00500315">
        <w:rPr>
          <w:lang w:val="sk-SK"/>
        </w:rPr>
        <w:t>Lokálne antibiotické masti alebo krémy sa nemajú používať, keďže môžu podporiť kvasinkové infekcie a baktérie s antimikrobiálnou rezistenciou.</w:t>
      </w:r>
    </w:p>
    <w:p w14:paraId="51C1C9EF" w14:textId="77777777" w:rsidR="005D5412" w:rsidRPr="005C3240" w:rsidRDefault="005D5412" w:rsidP="005D5412">
      <w:pPr>
        <w:rPr>
          <w:lang w:val="cs-CZ"/>
        </w:rPr>
      </w:pPr>
    </w:p>
    <w:p w14:paraId="4183AB34" w14:textId="73D49E00" w:rsidR="005D5412" w:rsidRPr="005C3240" w:rsidRDefault="008E16DA" w:rsidP="00895612">
      <w:pPr>
        <w:spacing w:after="0"/>
        <w:rPr>
          <w:bCs/>
          <w:i/>
          <w:iCs/>
          <w:szCs w:val="22"/>
          <w:lang w:val="cs-CZ"/>
        </w:rPr>
      </w:pPr>
      <w:r w:rsidRPr="008E16DA">
        <w:rPr>
          <w:bCs/>
          <w:i/>
          <w:iCs/>
          <w:szCs w:val="22"/>
          <w:lang w:val="cs-CZ"/>
        </w:rPr>
        <w:t>Dĺžka používania zriedeného roztoku</w:t>
      </w:r>
      <w:r w:rsidR="00AA2B13" w:rsidRPr="005C3240">
        <w:rPr>
          <w:bCs/>
          <w:i/>
          <w:iCs/>
          <w:szCs w:val="22"/>
          <w:lang w:val="cs-CZ"/>
        </w:rPr>
        <w:t xml:space="preserve"> </w:t>
      </w:r>
      <w:r w:rsidR="005D5412" w:rsidRPr="005C3240">
        <w:rPr>
          <w:bCs/>
          <w:i/>
          <w:iCs/>
          <w:szCs w:val="22"/>
          <w:lang w:val="cs-CZ"/>
        </w:rPr>
        <w:t>treprostinil</w:t>
      </w:r>
      <w:r w:rsidR="00AA2B13" w:rsidRPr="005C3240">
        <w:rPr>
          <w:bCs/>
          <w:i/>
          <w:iCs/>
          <w:szCs w:val="22"/>
          <w:lang w:val="cs-CZ"/>
        </w:rPr>
        <w:t>u</w:t>
      </w:r>
    </w:p>
    <w:p w14:paraId="3C0B3555" w14:textId="10D94CDE" w:rsidR="005D5412" w:rsidRPr="005C3240" w:rsidRDefault="008E16DA" w:rsidP="005D5412">
      <w:pPr>
        <w:pStyle w:val="Odsekzoznamu"/>
        <w:numPr>
          <w:ilvl w:val="0"/>
          <w:numId w:val="9"/>
        </w:numPr>
        <w:rPr>
          <w:bCs/>
          <w:szCs w:val="22"/>
          <w:lang w:val="cs-CZ"/>
        </w:rPr>
      </w:pPr>
      <w:r w:rsidRPr="008E16DA">
        <w:rPr>
          <w:bCs/>
          <w:szCs w:val="22"/>
          <w:lang w:val="cs-CZ"/>
        </w:rPr>
        <w:lastRenderedPageBreak/>
        <w:t>Maximálna dĺžka používania zriedeného lieku nesmie byť dlhšia ako 24 hodín.</w:t>
      </w:r>
    </w:p>
    <w:p w14:paraId="04D6A380" w14:textId="1DAACA86" w:rsidR="005D5412" w:rsidRPr="005C3240" w:rsidRDefault="005D5412" w:rsidP="002C0CB2">
      <w:pPr>
        <w:rPr>
          <w:b/>
          <w:u w:val="single"/>
          <w:lang w:val="cs-CZ"/>
        </w:rPr>
      </w:pPr>
    </w:p>
    <w:p w14:paraId="6C1CAFBE" w14:textId="4476E8EE" w:rsidR="005D5412" w:rsidRPr="005C3240" w:rsidRDefault="008E16DA" w:rsidP="00895612">
      <w:pPr>
        <w:spacing w:after="0"/>
        <w:rPr>
          <w:i/>
          <w:lang w:val="cs-CZ"/>
        </w:rPr>
      </w:pPr>
      <w:r w:rsidRPr="008E16DA">
        <w:rPr>
          <w:i/>
          <w:lang w:val="cs-CZ"/>
        </w:rPr>
        <w:t>Použitie 0,2 mikrónového vstavaného filtra</w:t>
      </w:r>
    </w:p>
    <w:p w14:paraId="4187423C" w14:textId="78CF7AD2" w:rsidR="005D5412" w:rsidRDefault="00CD303E" w:rsidP="00895612">
      <w:pPr>
        <w:pStyle w:val="Odsekzoznamu"/>
        <w:numPr>
          <w:ilvl w:val="0"/>
          <w:numId w:val="9"/>
        </w:numPr>
        <w:spacing w:after="0"/>
        <w:rPr>
          <w:lang w:val="cs-CZ"/>
        </w:rPr>
      </w:pPr>
      <w:r w:rsidRPr="00CD303E">
        <w:rPr>
          <w:lang w:val="cs-CZ"/>
        </w:rPr>
        <w:t>0,2 mikrónový filter sa musí umiestniť medzi infúzne hadičky a hrdlo katétra a musí sa vymeniť každých 24 hodín v čase výmeny infúzneho zásobníka.</w:t>
      </w:r>
    </w:p>
    <w:p w14:paraId="4AA7CF49" w14:textId="77777777" w:rsidR="00895612" w:rsidRPr="005C3240" w:rsidRDefault="00895612" w:rsidP="00895612">
      <w:pPr>
        <w:pStyle w:val="Odsekzoznamu"/>
        <w:numPr>
          <w:ilvl w:val="0"/>
          <w:numId w:val="9"/>
        </w:numPr>
        <w:spacing w:after="0"/>
        <w:rPr>
          <w:lang w:val="cs-CZ"/>
        </w:rPr>
      </w:pPr>
    </w:p>
    <w:p w14:paraId="3C475342" w14:textId="626EE81C" w:rsidR="005D5412" w:rsidRDefault="00CD303E" w:rsidP="00895612">
      <w:pPr>
        <w:spacing w:after="0"/>
        <w:rPr>
          <w:lang w:val="cs-CZ"/>
        </w:rPr>
      </w:pPr>
      <w:r w:rsidRPr="00CD303E">
        <w:rPr>
          <w:lang w:val="cs-CZ"/>
        </w:rPr>
        <w:t>Dve ďalšie odporúčania, ktoré sú potenciálne dôležité na prevenciu infekcií krvného obehu spôsobených gramnegatívnymi baktériami pochádzajúcimi z vody, sa vzťahujú na zaobchádzanie s hrdlom katétra. Zahŕňajú:</w:t>
      </w:r>
    </w:p>
    <w:p w14:paraId="53CB64CB" w14:textId="77777777" w:rsidR="00895612" w:rsidRPr="005C3240" w:rsidRDefault="00895612" w:rsidP="00895612">
      <w:pPr>
        <w:spacing w:after="0"/>
        <w:rPr>
          <w:lang w:val="cs-CZ"/>
        </w:rPr>
      </w:pPr>
    </w:p>
    <w:p w14:paraId="2E3DBFAD" w14:textId="7F615A3F" w:rsidR="005D5412" w:rsidRPr="005C3240" w:rsidRDefault="00CD303E" w:rsidP="00895612">
      <w:pPr>
        <w:spacing w:after="0"/>
        <w:rPr>
          <w:i/>
          <w:lang w:val="cs-CZ"/>
        </w:rPr>
      </w:pPr>
      <w:r w:rsidRPr="00CD303E">
        <w:rPr>
          <w:i/>
          <w:lang w:val="cs-CZ"/>
        </w:rPr>
        <w:t>Použitie systému uzatvoreného hrdla s deleným septom</w:t>
      </w:r>
    </w:p>
    <w:p w14:paraId="263B2886" w14:textId="24BB75AC" w:rsidR="00CD303E" w:rsidRPr="00500315" w:rsidRDefault="00CD303E" w:rsidP="00CD303E">
      <w:pPr>
        <w:numPr>
          <w:ilvl w:val="0"/>
          <w:numId w:val="9"/>
        </w:numPr>
        <w:spacing w:after="0"/>
        <w:jc w:val="left"/>
        <w:rPr>
          <w:lang w:val="sk-SK"/>
        </w:rPr>
      </w:pPr>
      <w:r w:rsidRPr="00500315">
        <w:rPr>
          <w:lang w:val="sk-SK"/>
        </w:rPr>
        <w:t>Použitie systému uzatvoreného hrdla (uprednostňuje sa del</w:t>
      </w:r>
      <w:r>
        <w:rPr>
          <w:lang w:val="sk-SK"/>
        </w:rPr>
        <w:t xml:space="preserve">ené septum </w:t>
      </w:r>
      <w:r w:rsidRPr="00500315">
        <w:rPr>
          <w:lang w:val="sk-SK"/>
        </w:rPr>
        <w:t>pred zariadením s mechanickým ventilom) zabezpečí, že bude l</w:t>
      </w:r>
      <w:r w:rsidR="00BB5E19">
        <w:rPr>
          <w:lang w:val="sk-SK"/>
        </w:rPr>
        <w:t>ú</w:t>
      </w:r>
      <w:r w:rsidRPr="00500315">
        <w:rPr>
          <w:lang w:val="sk-SK"/>
        </w:rPr>
        <w:t>men katétra uzatvorený vždy pri odpojení infúzneho systému. Takto sa zabráni riziku expozície mikrobiálnej kontamináci</w:t>
      </w:r>
      <w:r>
        <w:rPr>
          <w:lang w:val="sk-SK"/>
        </w:rPr>
        <w:t>e</w:t>
      </w:r>
      <w:r w:rsidRPr="00500315">
        <w:rPr>
          <w:lang w:val="sk-SK"/>
        </w:rPr>
        <w:t>.</w:t>
      </w:r>
    </w:p>
    <w:p w14:paraId="67DC7892" w14:textId="468E5E8B" w:rsidR="005D5412" w:rsidRPr="005C3240" w:rsidRDefault="00CD303E" w:rsidP="00895612">
      <w:pPr>
        <w:pStyle w:val="Odsekzoznamu"/>
        <w:numPr>
          <w:ilvl w:val="0"/>
          <w:numId w:val="9"/>
        </w:numPr>
        <w:spacing w:after="0"/>
        <w:rPr>
          <w:lang w:val="cs-CZ"/>
        </w:rPr>
      </w:pPr>
      <w:r w:rsidRPr="00500315">
        <w:rPr>
          <w:lang w:val="sk-SK"/>
        </w:rPr>
        <w:t>Systém uzatvoreného hrdla s del</w:t>
      </w:r>
      <w:r>
        <w:rPr>
          <w:lang w:val="sk-SK"/>
        </w:rPr>
        <w:t>eným septom</w:t>
      </w:r>
      <w:r w:rsidRPr="00500315">
        <w:rPr>
          <w:lang w:val="sk-SK"/>
        </w:rPr>
        <w:t xml:space="preserve"> sa má vymeniť každých 7 dní.</w:t>
      </w:r>
    </w:p>
    <w:p w14:paraId="100A63F7" w14:textId="77777777" w:rsidR="005D5412" w:rsidRPr="005C3240" w:rsidRDefault="005D5412" w:rsidP="00895612">
      <w:pPr>
        <w:spacing w:after="0"/>
        <w:rPr>
          <w:lang w:val="cs-CZ"/>
        </w:rPr>
      </w:pPr>
    </w:p>
    <w:p w14:paraId="79A9B5EC" w14:textId="563C8794" w:rsidR="005D5412" w:rsidRPr="005C3240" w:rsidRDefault="00CD303E" w:rsidP="00895612">
      <w:pPr>
        <w:spacing w:after="0"/>
        <w:rPr>
          <w:i/>
          <w:lang w:val="cs-CZ"/>
        </w:rPr>
      </w:pPr>
      <w:r w:rsidRPr="00CD303E">
        <w:rPr>
          <w:i/>
          <w:lang w:val="cs-CZ"/>
        </w:rPr>
        <w:t>Infúzny systém s medzikonektormi s uzáverom Luer Lock</w:t>
      </w:r>
    </w:p>
    <w:p w14:paraId="6364AB44" w14:textId="2B4C3996" w:rsidR="007510D5" w:rsidRPr="00500315" w:rsidRDefault="007510D5" w:rsidP="007510D5">
      <w:pPr>
        <w:rPr>
          <w:lang w:val="sk-SK"/>
        </w:rPr>
      </w:pPr>
      <w:r w:rsidRPr="00500315">
        <w:rPr>
          <w:lang w:val="sk-SK"/>
        </w:rPr>
        <w:t xml:space="preserve">Riziko kontaminácie gramnegatívnymi organizmami prenášanými vodou sa pravdepodobne zvyšuje, ak je medzikonektor s uzáverom </w:t>
      </w:r>
      <w:r w:rsidRPr="000309F4">
        <w:rPr>
          <w:iCs/>
          <w:color w:val="000000"/>
          <w:szCs w:val="22"/>
          <w:lang w:val="sk-SK"/>
        </w:rPr>
        <w:t>Luer Lock</w:t>
      </w:r>
      <w:r w:rsidRPr="00500315">
        <w:rPr>
          <w:lang w:val="sk-SK"/>
        </w:rPr>
        <w:t xml:space="preserve"> vlhký počas výmeny infúznej hadičky alebo uzatvoreného hrdla. Preto:</w:t>
      </w:r>
    </w:p>
    <w:p w14:paraId="280B3861" w14:textId="77777777" w:rsidR="007510D5" w:rsidRPr="00500315" w:rsidRDefault="007510D5" w:rsidP="007510D5">
      <w:pPr>
        <w:numPr>
          <w:ilvl w:val="0"/>
          <w:numId w:val="9"/>
        </w:numPr>
        <w:spacing w:after="0"/>
        <w:jc w:val="left"/>
        <w:rPr>
          <w:lang w:val="sk-SK"/>
        </w:rPr>
      </w:pPr>
      <w:r w:rsidRPr="00500315">
        <w:rPr>
          <w:lang w:val="sk-SK"/>
        </w:rPr>
        <w:t xml:space="preserve">Infúzny systém v mieste pripojenia k hrdlu katétra </w:t>
      </w:r>
      <w:r>
        <w:rPr>
          <w:lang w:val="sk-SK"/>
        </w:rPr>
        <w:t xml:space="preserve">nemá </w:t>
      </w:r>
      <w:r w:rsidRPr="00500315">
        <w:rPr>
          <w:lang w:val="sk-SK"/>
        </w:rPr>
        <w:t>v roztoku plávať, ani byť doň ponorený.</w:t>
      </w:r>
    </w:p>
    <w:p w14:paraId="517EB190" w14:textId="77777777" w:rsidR="007510D5" w:rsidRPr="00500315" w:rsidRDefault="007510D5" w:rsidP="007510D5">
      <w:pPr>
        <w:numPr>
          <w:ilvl w:val="0"/>
          <w:numId w:val="9"/>
        </w:numPr>
        <w:spacing w:after="0"/>
        <w:jc w:val="left"/>
        <w:rPr>
          <w:lang w:val="sk-SK"/>
        </w:rPr>
      </w:pPr>
      <w:r w:rsidRPr="00500315">
        <w:rPr>
          <w:lang w:val="sk-SK"/>
        </w:rPr>
        <w:t xml:space="preserve">V čase výmeny zariadenia s uzatvoreným hrdlom nesmie byť v závitoch medzikonektoru uzáveru </w:t>
      </w:r>
      <w:r w:rsidRPr="000309F4">
        <w:rPr>
          <w:iCs/>
          <w:color w:val="000000"/>
          <w:szCs w:val="22"/>
          <w:lang w:val="sk-SK"/>
        </w:rPr>
        <w:t>Luer Lock</w:t>
      </w:r>
      <w:r w:rsidRPr="00500315">
        <w:rPr>
          <w:lang w:val="sk-SK"/>
        </w:rPr>
        <w:t xml:space="preserve"> viditeľná žiadna voda.</w:t>
      </w:r>
    </w:p>
    <w:p w14:paraId="71F6378C" w14:textId="046EB05E" w:rsidR="002C0CB2" w:rsidRPr="005C3240" w:rsidRDefault="007510D5" w:rsidP="007510D5">
      <w:pPr>
        <w:pStyle w:val="Odsekzoznamu"/>
        <w:numPr>
          <w:ilvl w:val="0"/>
          <w:numId w:val="9"/>
        </w:numPr>
        <w:rPr>
          <w:lang w:val="cs-CZ"/>
        </w:rPr>
      </w:pPr>
      <w:r w:rsidRPr="00500315">
        <w:rPr>
          <w:lang w:val="sk-SK"/>
        </w:rPr>
        <w:t>Infúzna hadička sa má od uzatvoreného hrdla odpoj</w:t>
      </w:r>
      <w:r>
        <w:rPr>
          <w:lang w:val="sk-SK"/>
        </w:rPr>
        <w:t xml:space="preserve">iť </w:t>
      </w:r>
      <w:r w:rsidRPr="00500315">
        <w:rPr>
          <w:lang w:val="sk-SK"/>
        </w:rPr>
        <w:t>len raz za 24 hodín v čase výmeny.</w:t>
      </w:r>
    </w:p>
    <w:p w14:paraId="3DED92A6" w14:textId="42F4B707" w:rsidR="009E0FD0" w:rsidRPr="005C3240" w:rsidRDefault="00983CFC" w:rsidP="009E0FD0">
      <w:pPr>
        <w:pStyle w:val="Nadpis2"/>
        <w:rPr>
          <w:lang w:val="cs-CZ"/>
        </w:rPr>
      </w:pPr>
      <w:r w:rsidRPr="00983CFC">
        <w:rPr>
          <w:lang w:val="cs-CZ"/>
        </w:rPr>
        <w:t>Kontraindikácie</w:t>
      </w:r>
    </w:p>
    <w:p w14:paraId="643D0D5B" w14:textId="3AAC4391" w:rsidR="003823D8" w:rsidRPr="005C3240" w:rsidRDefault="00BB5E19" w:rsidP="000F53BC">
      <w:pPr>
        <w:pStyle w:val="Odsekzoznamu"/>
        <w:numPr>
          <w:ilvl w:val="0"/>
          <w:numId w:val="12"/>
        </w:numPr>
        <w:spacing w:after="0"/>
        <w:rPr>
          <w:lang w:val="cs-CZ"/>
        </w:rPr>
      </w:pPr>
      <w:r>
        <w:rPr>
          <w:lang w:val="cs-CZ"/>
        </w:rPr>
        <w:t>Známa p</w:t>
      </w:r>
      <w:r w:rsidR="000F53BC" w:rsidRPr="000F53BC">
        <w:rPr>
          <w:lang w:val="cs-CZ"/>
        </w:rPr>
        <w:t xml:space="preserve">recitlivenosť na </w:t>
      </w:r>
      <w:r>
        <w:rPr>
          <w:lang w:val="cs-CZ"/>
        </w:rPr>
        <w:t>treprostinil</w:t>
      </w:r>
      <w:r w:rsidR="000F53BC" w:rsidRPr="000F53BC">
        <w:rPr>
          <w:lang w:val="cs-CZ"/>
        </w:rPr>
        <w:t xml:space="preserve"> alebo na ktorúkoľvek z pomocných látok</w:t>
      </w:r>
    </w:p>
    <w:p w14:paraId="34730F20"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Pľúcna </w:t>
      </w:r>
      <w:r>
        <w:rPr>
          <w:sz w:val="22"/>
          <w:lang w:val="sk-SK"/>
        </w:rPr>
        <w:t>artériová</w:t>
      </w:r>
      <w:r w:rsidRPr="00500315">
        <w:rPr>
          <w:sz w:val="22"/>
          <w:lang w:val="sk-SK"/>
        </w:rPr>
        <w:t xml:space="preserve"> hypertenzia súvisiaca s venookluzívnou chorobou.</w:t>
      </w:r>
    </w:p>
    <w:p w14:paraId="3D181F35" w14:textId="54AAA7A2" w:rsidR="000F53BC" w:rsidRPr="00500315" w:rsidRDefault="000F53BC" w:rsidP="000F53BC">
      <w:pPr>
        <w:pStyle w:val="Text"/>
        <w:numPr>
          <w:ilvl w:val="0"/>
          <w:numId w:val="12"/>
        </w:numPr>
        <w:spacing w:before="0"/>
        <w:jc w:val="left"/>
        <w:rPr>
          <w:sz w:val="22"/>
          <w:lang w:val="sk-SK"/>
        </w:rPr>
      </w:pPr>
      <w:r w:rsidRPr="00500315">
        <w:rPr>
          <w:sz w:val="22"/>
          <w:lang w:val="sk-SK"/>
        </w:rPr>
        <w:t>Kongestívne zlyh</w:t>
      </w:r>
      <w:r w:rsidR="00BB5E19">
        <w:rPr>
          <w:sz w:val="22"/>
          <w:lang w:val="sk-SK"/>
        </w:rPr>
        <w:t>áv</w:t>
      </w:r>
      <w:r w:rsidRPr="00500315">
        <w:rPr>
          <w:sz w:val="22"/>
          <w:lang w:val="sk-SK"/>
        </w:rPr>
        <w:t>anie srdca v dôsledku závažnej ľavej ventrikulárnej dysfunkcie.</w:t>
      </w:r>
    </w:p>
    <w:p w14:paraId="61721343"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Závažn</w:t>
      </w:r>
      <w:r>
        <w:rPr>
          <w:sz w:val="22"/>
          <w:lang w:val="sk-SK"/>
        </w:rPr>
        <w:t xml:space="preserve">á porucha </w:t>
      </w:r>
      <w:r w:rsidRPr="00500315">
        <w:rPr>
          <w:sz w:val="22"/>
          <w:lang w:val="sk-SK"/>
        </w:rPr>
        <w:t xml:space="preserve">funkcie pečene (trieda C </w:t>
      </w:r>
      <w:r>
        <w:rPr>
          <w:sz w:val="22"/>
          <w:lang w:val="sk-SK"/>
        </w:rPr>
        <w:t xml:space="preserve">podľa </w:t>
      </w:r>
      <w:r w:rsidRPr="00500315">
        <w:rPr>
          <w:sz w:val="22"/>
          <w:lang w:val="sk-SK"/>
        </w:rPr>
        <w:t>Child</w:t>
      </w:r>
      <w:r>
        <w:rPr>
          <w:sz w:val="22"/>
          <w:lang w:val="sk-SK"/>
        </w:rPr>
        <w:t>a</w:t>
      </w:r>
      <w:r w:rsidRPr="00500315">
        <w:rPr>
          <w:sz w:val="22"/>
          <w:lang w:val="sk-SK"/>
        </w:rPr>
        <w:t>-Pugha).</w:t>
      </w:r>
    </w:p>
    <w:p w14:paraId="7059D777"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Aktívny gastrointestinálny vred, intrakraniálna hemorágia, poranenie alebo iný krvácavý stav.</w:t>
      </w:r>
    </w:p>
    <w:p w14:paraId="41ABE02C"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Vrodené alebo získané poruchy chlopní s klinicky významnými poruchami funkcie </w:t>
      </w:r>
      <w:r>
        <w:rPr>
          <w:sz w:val="22"/>
          <w:lang w:val="sk-SK"/>
        </w:rPr>
        <w:t>myokardu</w:t>
      </w:r>
      <w:r w:rsidRPr="00500315">
        <w:rPr>
          <w:sz w:val="22"/>
          <w:lang w:val="sk-SK"/>
        </w:rPr>
        <w:t xml:space="preserve"> nesúvisiacimi s pľúcnou hypertenziou.</w:t>
      </w:r>
    </w:p>
    <w:p w14:paraId="1F2FB476" w14:textId="092DC82D" w:rsidR="00F26CE9" w:rsidRPr="005C3240" w:rsidRDefault="000F53BC" w:rsidP="000F53BC">
      <w:pPr>
        <w:pStyle w:val="Odsekzoznamu"/>
        <w:numPr>
          <w:ilvl w:val="0"/>
          <w:numId w:val="12"/>
        </w:numPr>
        <w:rPr>
          <w:lang w:val="cs-CZ"/>
        </w:rPr>
      </w:pPr>
      <w:r w:rsidRPr="00500315">
        <w:rPr>
          <w:lang w:val="sk-SK"/>
        </w:rPr>
        <w:t>Závažná koronárna choroba srdca alebo nestabilná angina; infarkt myokardu v priebehu posledných šiestich mesiacov; dekompenzované zlyh</w:t>
      </w:r>
      <w:r w:rsidR="00BB5E19">
        <w:rPr>
          <w:lang w:val="sk-SK"/>
        </w:rPr>
        <w:t>áv</w:t>
      </w:r>
      <w:r w:rsidRPr="00500315">
        <w:rPr>
          <w:lang w:val="sk-SK"/>
        </w:rPr>
        <w:t>anie srdca, ak nie je pod starostlivým lekárskym dohľadom; závažné arytmie; cerebrovaskulárne príhody (napr. prechodný ischemický atak, cievna mozgová príhoda) v priebehu posledných troch mesiacov.</w:t>
      </w:r>
    </w:p>
    <w:p w14:paraId="7B076D1B" w14:textId="63708214" w:rsidR="009E0FD0" w:rsidRPr="005C3240" w:rsidRDefault="000F53BC" w:rsidP="009E0FD0">
      <w:pPr>
        <w:pStyle w:val="Nadpis2"/>
        <w:rPr>
          <w:lang w:val="cs-CZ"/>
        </w:rPr>
      </w:pPr>
      <w:r w:rsidRPr="000F53BC">
        <w:rPr>
          <w:lang w:val="cs-CZ"/>
        </w:rPr>
        <w:t>Osobitné upozornenia a opatrenia pri používaní</w:t>
      </w:r>
    </w:p>
    <w:p w14:paraId="7FBDFB35" w14:textId="6159F177" w:rsidR="00FF3C73" w:rsidRPr="00FF3C73" w:rsidRDefault="00FF3C73" w:rsidP="00FF3C73">
      <w:pPr>
        <w:rPr>
          <w:szCs w:val="22"/>
          <w:lang w:val="cs-CZ"/>
        </w:rPr>
      </w:pPr>
      <w:r w:rsidRPr="00FF3C73">
        <w:rPr>
          <w:szCs w:val="22"/>
          <w:lang w:val="cs-CZ"/>
        </w:rPr>
        <w:t>Pri rozhodovaní o začatí liečby treprostinilom je potrebné zohľadniť vysokú pravdepodobnosť, že  kontinuálna infúzia bude musieť pokračovať dlhší čas. Preto sa má starostlivo zvážiť pacientova schopnosť akceptovať zavedený katéter a byť za katéter a infúznu súpravu zodpovedný.</w:t>
      </w:r>
    </w:p>
    <w:p w14:paraId="633220A4" w14:textId="52915B9D" w:rsidR="00FF3C73" w:rsidRPr="00FF3C73" w:rsidRDefault="00FF3C73" w:rsidP="00FF3C73">
      <w:pPr>
        <w:rPr>
          <w:szCs w:val="22"/>
          <w:lang w:val="cs-CZ"/>
        </w:rPr>
      </w:pPr>
      <w:r w:rsidRPr="00FF3C73">
        <w:rPr>
          <w:szCs w:val="22"/>
          <w:lang w:val="cs-CZ"/>
        </w:rPr>
        <w:t>Treprostinil je silné pľúcne a systémové vazodilatancium. U jedincov s existujúcim nízkym systémovým artériovým tlakom môže liečba treprostinilom zvyšovať riziko systémovej hypotenzie. Liečba sa neodporúča u pacientov so systolickým artériovým tlakom nižším ako 85 mmHg.</w:t>
      </w:r>
    </w:p>
    <w:p w14:paraId="4F0BB7EC" w14:textId="2D7479C4" w:rsidR="00FF3C73" w:rsidRPr="00FF3C73" w:rsidRDefault="00FF3C73" w:rsidP="00FF3C73">
      <w:pPr>
        <w:rPr>
          <w:szCs w:val="22"/>
          <w:lang w:val="cs-CZ"/>
        </w:rPr>
      </w:pPr>
      <w:r w:rsidRPr="00FF3C73">
        <w:rPr>
          <w:szCs w:val="22"/>
          <w:lang w:val="cs-CZ"/>
        </w:rPr>
        <w:lastRenderedPageBreak/>
        <w:t xml:space="preserve">Počas akejkoľvek zmeny dávky sa odporúča sledovať systémový krvný tlak a srdcovú frekvenciu s pokynmi na ukončenie infúzie, ak sa vyvinú príznaky hypotenzie alebo sa zistí systolický krvný tlak 85 mmHg alebo nižší.  </w:t>
      </w:r>
    </w:p>
    <w:p w14:paraId="65CD842A" w14:textId="687024F9" w:rsidR="00FF3C73" w:rsidRPr="00FF3C73" w:rsidRDefault="00FF3C73" w:rsidP="00FF3C73">
      <w:pPr>
        <w:rPr>
          <w:szCs w:val="22"/>
          <w:lang w:val="cs-CZ"/>
        </w:rPr>
      </w:pPr>
      <w:r w:rsidRPr="00FF3C73">
        <w:rPr>
          <w:szCs w:val="22"/>
          <w:lang w:val="cs-CZ"/>
        </w:rPr>
        <w:t xml:space="preserve">Náhle vysadenie alebo náhle významné zníženia dávky treprostinilu môžu vyvolať recidívu pľúcnej artériovej hypertenzie (pozri časť 4.2).  </w:t>
      </w:r>
    </w:p>
    <w:p w14:paraId="6F2270EE" w14:textId="7DA8DB40" w:rsidR="00FF3C73" w:rsidRPr="00FF3C73" w:rsidRDefault="00FF3C73" w:rsidP="00FF3C73">
      <w:pPr>
        <w:rPr>
          <w:szCs w:val="22"/>
          <w:lang w:val="cs-CZ"/>
        </w:rPr>
      </w:pPr>
      <w:r w:rsidRPr="00FF3C73">
        <w:rPr>
          <w:szCs w:val="22"/>
          <w:lang w:val="cs-CZ"/>
        </w:rPr>
        <w:t>Ak sa u pacienta objaví počas liečby treprostinilom pľúcny edém, musí sa zvážiť možnosť pridruženej pulmoná</w:t>
      </w:r>
      <w:r w:rsidR="00BB5E19">
        <w:rPr>
          <w:szCs w:val="22"/>
          <w:lang w:val="cs-CZ"/>
        </w:rPr>
        <w:t>l</w:t>
      </w:r>
      <w:r w:rsidRPr="00FF3C73">
        <w:rPr>
          <w:szCs w:val="22"/>
          <w:lang w:val="cs-CZ"/>
        </w:rPr>
        <w:t xml:space="preserve">nej venookluzívnej choroby. Liečba sa má ukončiť. </w:t>
      </w:r>
    </w:p>
    <w:p w14:paraId="7206B1E2" w14:textId="19D3C5BE" w:rsidR="00FF3C73" w:rsidRPr="00FF3C73" w:rsidRDefault="00FF3C73" w:rsidP="00FF3C73">
      <w:pPr>
        <w:rPr>
          <w:szCs w:val="22"/>
          <w:lang w:val="cs-CZ"/>
        </w:rPr>
      </w:pPr>
      <w:r w:rsidRPr="00FF3C73">
        <w:rPr>
          <w:szCs w:val="22"/>
          <w:lang w:val="cs-CZ"/>
        </w:rPr>
        <w:t>Obézni pacienti (BMI vyšší než 30 kg/m</w:t>
      </w:r>
      <w:r w:rsidRPr="007B364F">
        <w:rPr>
          <w:szCs w:val="22"/>
          <w:vertAlign w:val="superscript"/>
          <w:lang w:val="cs-CZ"/>
        </w:rPr>
        <w:t>2</w:t>
      </w:r>
      <w:r w:rsidRPr="00FF3C73">
        <w:rPr>
          <w:szCs w:val="22"/>
          <w:lang w:val="cs-CZ"/>
        </w:rPr>
        <w:t>) vylučujú treprostinil pomalšie.</w:t>
      </w:r>
    </w:p>
    <w:p w14:paraId="72807504" w14:textId="6C55D147" w:rsidR="00FF3C73" w:rsidRPr="00FF3C73" w:rsidRDefault="00FF3C73" w:rsidP="00FF3C73">
      <w:pPr>
        <w:rPr>
          <w:szCs w:val="22"/>
          <w:lang w:val="cs-CZ"/>
        </w:rPr>
      </w:pPr>
      <w:r w:rsidRPr="00FF3C73">
        <w:rPr>
          <w:szCs w:val="22"/>
          <w:lang w:val="cs-CZ"/>
        </w:rPr>
        <w:t>Prínos subkutánnej liečby treprostinilom u pacientov so závažnejšou pľúcnou artériovou hypertenziou (NYHA funkčná trieda  IV) nie je doposiaľ stanovený.</w:t>
      </w:r>
    </w:p>
    <w:p w14:paraId="78BF36BE" w14:textId="334A8708" w:rsidR="00FF3C73" w:rsidRPr="00FF3C73" w:rsidRDefault="00FF3C73" w:rsidP="00FF3C73">
      <w:pPr>
        <w:rPr>
          <w:szCs w:val="22"/>
          <w:lang w:val="cs-CZ"/>
        </w:rPr>
      </w:pPr>
      <w:r w:rsidRPr="00FF3C73">
        <w:rPr>
          <w:szCs w:val="22"/>
          <w:lang w:val="cs-CZ"/>
        </w:rPr>
        <w:t>Pomer účinnosť/bezpečnosť treprostinilu sa pri pľúcnej artériovej hypertenzii doposiaľ neanalyzoval v súvislosti s ľavopravým srdcovým skratom, portálnou hypertenziou alebo infekciou HIV.</w:t>
      </w:r>
    </w:p>
    <w:p w14:paraId="631C0966" w14:textId="4D2B09A9" w:rsidR="00FF3C73" w:rsidRPr="00FF3C73" w:rsidRDefault="00FF3C73" w:rsidP="00FF3C73">
      <w:pPr>
        <w:rPr>
          <w:szCs w:val="22"/>
          <w:lang w:val="cs-CZ"/>
        </w:rPr>
      </w:pPr>
      <w:r w:rsidRPr="00FF3C73">
        <w:rPr>
          <w:szCs w:val="22"/>
          <w:lang w:val="cs-CZ"/>
        </w:rPr>
        <w:t xml:space="preserve">U pacientov s poruchou funkcie pečene a obličiek sa má dávka stanoviť s opatrnosťou (pozri časť 4.2). </w:t>
      </w:r>
    </w:p>
    <w:p w14:paraId="39FDA18E" w14:textId="45A18AE3" w:rsidR="003823D8" w:rsidRPr="005C3240" w:rsidRDefault="00FF3C73" w:rsidP="00FF3C73">
      <w:pPr>
        <w:rPr>
          <w:szCs w:val="22"/>
          <w:lang w:val="cs-CZ"/>
        </w:rPr>
      </w:pPr>
      <w:r w:rsidRPr="00FF3C73">
        <w:rPr>
          <w:szCs w:val="22"/>
          <w:lang w:val="cs-CZ"/>
        </w:rPr>
        <w:t>Keďže sa treprostinil a jeho metabolity vylučujú prevažne močom, pri liečbe pacientov s poruchou  funkcie obličiek sa odporúča opatrnosť, aby sa zabránilo škodlivým následkom spojeným s možným zvýšením systémovej expozície (pozri časť 4.2).</w:t>
      </w:r>
    </w:p>
    <w:p w14:paraId="6C69E44A" w14:textId="578C21F9" w:rsidR="003823D8" w:rsidRPr="005C3240" w:rsidRDefault="00516B69" w:rsidP="003823D8">
      <w:pPr>
        <w:rPr>
          <w:szCs w:val="22"/>
          <w:lang w:val="cs-CZ"/>
        </w:rPr>
      </w:pPr>
      <w:r w:rsidRPr="00516B69">
        <w:rPr>
          <w:szCs w:val="22"/>
          <w:lang w:val="cs-CZ"/>
        </w:rPr>
        <w:t>Opatrnosť sa odporúča v prípadoch, keď treprostinil môže zvyšovať riziko krvácania inhibíciou agregácie krvných doštičiek.</w:t>
      </w:r>
    </w:p>
    <w:p w14:paraId="3A2415FA" w14:textId="1117C3B4" w:rsidR="006F026C" w:rsidRPr="005C3240" w:rsidRDefault="00AA0F55" w:rsidP="00286829">
      <w:pPr>
        <w:rPr>
          <w:szCs w:val="22"/>
          <w:lang w:val="cs-CZ"/>
        </w:rPr>
      </w:pPr>
      <w:r w:rsidRPr="005C3240">
        <w:rPr>
          <w:szCs w:val="22"/>
          <w:lang w:val="cs-CZ"/>
        </w:rPr>
        <w:t xml:space="preserve">20 ml </w:t>
      </w:r>
      <w:r w:rsidR="00516B69" w:rsidRPr="00516B69">
        <w:rPr>
          <w:szCs w:val="22"/>
          <w:lang w:val="cs-CZ"/>
        </w:rPr>
        <w:t>injekčn</w:t>
      </w:r>
      <w:r w:rsidR="00516B69">
        <w:rPr>
          <w:szCs w:val="22"/>
          <w:lang w:val="cs-CZ"/>
        </w:rPr>
        <w:t>á</w:t>
      </w:r>
      <w:r w:rsidRPr="005C3240">
        <w:rPr>
          <w:szCs w:val="22"/>
          <w:lang w:val="cs-CZ"/>
        </w:rPr>
        <w:t xml:space="preserve"> </w:t>
      </w:r>
      <w:r w:rsidR="00516B69" w:rsidRPr="00A66028">
        <w:rPr>
          <w:szCs w:val="22"/>
          <w:shd w:val="clear" w:color="auto" w:fill="FFFFFF"/>
          <w:lang w:val="sk-SK"/>
        </w:rPr>
        <w:t>liekovk</w:t>
      </w:r>
      <w:r w:rsidR="00516B69">
        <w:rPr>
          <w:szCs w:val="22"/>
          <w:shd w:val="clear" w:color="auto" w:fill="FFFFFF"/>
          <w:lang w:val="sk-SK"/>
        </w:rPr>
        <w:t>a</w:t>
      </w:r>
      <w:r w:rsidRPr="005C3240">
        <w:rPr>
          <w:szCs w:val="22"/>
          <w:lang w:val="cs-CZ"/>
        </w:rPr>
        <w:t xml:space="preserve"> treprostinilu </w:t>
      </w:r>
      <w:r w:rsidR="00F05585" w:rsidRPr="00F05585">
        <w:rPr>
          <w:szCs w:val="22"/>
          <w:lang w:val="cs-CZ"/>
        </w:rPr>
        <w:t>1</w:t>
      </w:r>
      <w:r w:rsidR="00115A83">
        <w:rPr>
          <w:szCs w:val="22"/>
          <w:lang w:val="cs-CZ"/>
        </w:rPr>
        <w:t>0</w:t>
      </w:r>
      <w:r w:rsidRPr="005C3240">
        <w:rPr>
          <w:szCs w:val="22"/>
          <w:lang w:val="cs-CZ"/>
        </w:rPr>
        <w:t xml:space="preserve"> mg/ml obsahuje </w:t>
      </w:r>
      <w:r w:rsidR="00115A83">
        <w:rPr>
          <w:szCs w:val="22"/>
          <w:lang w:val="cs-CZ"/>
        </w:rPr>
        <w:t>75</w:t>
      </w:r>
      <w:r w:rsidR="006F026C" w:rsidRPr="005C3240">
        <w:rPr>
          <w:szCs w:val="22"/>
          <w:lang w:val="cs-CZ"/>
        </w:rPr>
        <w:t xml:space="preserve"> mg</w:t>
      </w:r>
      <w:r w:rsidR="007750BA" w:rsidRPr="005C3240">
        <w:rPr>
          <w:szCs w:val="22"/>
          <w:lang w:val="cs-CZ"/>
        </w:rPr>
        <w:t xml:space="preserve"> </w:t>
      </w:r>
      <w:r w:rsidRPr="005C3240">
        <w:rPr>
          <w:szCs w:val="22"/>
          <w:lang w:val="cs-CZ"/>
        </w:rPr>
        <w:t>sodík</w:t>
      </w:r>
      <w:r w:rsidR="00516B69">
        <w:rPr>
          <w:szCs w:val="22"/>
          <w:lang w:val="cs-CZ"/>
        </w:rPr>
        <w:t>a</w:t>
      </w:r>
      <w:r w:rsidR="006F026C" w:rsidRPr="005C3240">
        <w:rPr>
          <w:szCs w:val="22"/>
          <w:lang w:val="cs-CZ"/>
        </w:rPr>
        <w:t>,</w:t>
      </w:r>
      <w:r w:rsidRPr="005C3240">
        <w:rPr>
          <w:szCs w:val="22"/>
          <w:lang w:val="cs-CZ"/>
        </w:rPr>
        <w:t xml:space="preserve"> </w:t>
      </w:r>
      <w:r w:rsidR="00516B69" w:rsidRPr="00516B69">
        <w:rPr>
          <w:szCs w:val="22"/>
          <w:lang w:val="cs-CZ"/>
        </w:rPr>
        <w:t>čo zodpovedá</w:t>
      </w:r>
      <w:r w:rsidRPr="005C3240">
        <w:rPr>
          <w:szCs w:val="22"/>
          <w:lang w:val="cs-CZ"/>
        </w:rPr>
        <w:br/>
        <w:t>3</w:t>
      </w:r>
      <w:r w:rsidR="0014191F">
        <w:rPr>
          <w:szCs w:val="22"/>
          <w:lang w:val="cs-CZ"/>
        </w:rPr>
        <w:t>,</w:t>
      </w:r>
      <w:r w:rsidR="00E71522">
        <w:rPr>
          <w:szCs w:val="22"/>
          <w:lang w:val="cs-CZ"/>
        </w:rPr>
        <w:t>7</w:t>
      </w:r>
      <w:r w:rsidR="00115A83">
        <w:rPr>
          <w:szCs w:val="22"/>
          <w:lang w:val="cs-CZ"/>
        </w:rPr>
        <w:t>5</w:t>
      </w:r>
      <w:r w:rsidRPr="005C3240">
        <w:rPr>
          <w:szCs w:val="22"/>
          <w:lang w:val="cs-CZ"/>
        </w:rPr>
        <w:t xml:space="preserve"> % </w:t>
      </w:r>
      <w:r w:rsidR="00516B69" w:rsidRPr="00516B69">
        <w:rPr>
          <w:szCs w:val="22"/>
          <w:lang w:val="cs-CZ"/>
        </w:rPr>
        <w:t>WHO odporúčaného maximálneho denného príjmu 2 g sodíka pre dospelú osobu.</w:t>
      </w:r>
      <w:r w:rsidR="00286829" w:rsidRPr="005C3240">
        <w:rPr>
          <w:szCs w:val="22"/>
          <w:lang w:val="cs-CZ"/>
        </w:rPr>
        <w:t xml:space="preserve"> </w:t>
      </w:r>
      <w:r w:rsidR="00516B69" w:rsidRPr="00516B69">
        <w:rPr>
          <w:szCs w:val="22"/>
          <w:lang w:val="cs-CZ"/>
        </w:rPr>
        <w:t>To je potrebné zohľadniť u pacientov s diétou s kontrolovaným obsahom sodíka.</w:t>
      </w:r>
    </w:p>
    <w:p w14:paraId="1D1575B2" w14:textId="487DF7E3" w:rsidR="00965FFE" w:rsidRPr="00965FFE" w:rsidRDefault="00965FFE" w:rsidP="00965FFE">
      <w:pPr>
        <w:rPr>
          <w:szCs w:val="22"/>
          <w:lang w:val="cs-CZ"/>
        </w:rPr>
      </w:pPr>
      <w:r w:rsidRPr="00965FFE">
        <w:rPr>
          <w:szCs w:val="22"/>
          <w:lang w:val="cs-CZ"/>
        </w:rPr>
        <w:t>Súbežné podávanie inhibítora enzýmu cytochróm P450 (CYP) 2C8 (napr. gemfibrozil) môže zvýšiť expozíciu (C</w:t>
      </w:r>
      <w:r w:rsidRPr="00363BC0">
        <w:rPr>
          <w:szCs w:val="22"/>
          <w:vertAlign w:val="subscript"/>
          <w:lang w:val="cs-CZ"/>
        </w:rPr>
        <w:t>max</w:t>
      </w:r>
      <w:r w:rsidRPr="00965FFE">
        <w:rPr>
          <w:szCs w:val="22"/>
          <w:lang w:val="cs-CZ"/>
        </w:rPr>
        <w:t xml:space="preserve"> aj AUC) treprostinilu. Zvýšená expozícia pravdepodobne zvýši výskyt nežiaducich udalostí spojených s podávaním treprostinilu. Je potrebné zvážiť zníženie dávky treprostinilu (pozri časť 4.5).</w:t>
      </w:r>
    </w:p>
    <w:p w14:paraId="3A55D2A7" w14:textId="5B50DEBE" w:rsidR="00AA0F55" w:rsidRPr="005C3240" w:rsidRDefault="00965FFE" w:rsidP="00965FFE">
      <w:pPr>
        <w:rPr>
          <w:szCs w:val="22"/>
          <w:lang w:val="cs-CZ"/>
        </w:rPr>
      </w:pPr>
      <w:r w:rsidRPr="00965FFE">
        <w:rPr>
          <w:szCs w:val="22"/>
          <w:lang w:val="cs-CZ"/>
        </w:rPr>
        <w:t>Súbežné podávanie induktora enzýmu CYP2C8 (napr. rifampicín) môže znížiť expozíciu treprostinilu. Znížením expozície sa pravdepodobne zníži klinická účinnosť. Je potrebné zvážiť zvýšenie dávky treprostinilu (pozri časť 4.5).</w:t>
      </w:r>
    </w:p>
    <w:p w14:paraId="4860D54C" w14:textId="4A2D817A" w:rsidR="00AC5165" w:rsidRPr="005C3240" w:rsidRDefault="00965FFE" w:rsidP="00A34A86">
      <w:pPr>
        <w:spacing w:after="0"/>
        <w:rPr>
          <w:szCs w:val="22"/>
          <w:u w:val="single"/>
          <w:lang w:val="cs-CZ"/>
        </w:rPr>
      </w:pPr>
      <w:r w:rsidRPr="00965FFE">
        <w:rPr>
          <w:szCs w:val="22"/>
          <w:u w:val="single"/>
          <w:lang w:val="cs-CZ"/>
        </w:rPr>
        <w:t>Nežiaduce udalosti pripisované systému intravenózneho podávania liečiva:</w:t>
      </w:r>
    </w:p>
    <w:p w14:paraId="0ABC294B" w14:textId="07222952" w:rsidR="00965FFE" w:rsidRPr="00965FFE" w:rsidRDefault="00965FFE" w:rsidP="00965FFE">
      <w:pPr>
        <w:rPr>
          <w:noProof/>
          <w:lang w:val="cs-CZ"/>
        </w:rPr>
      </w:pPr>
      <w:r w:rsidRPr="00965FFE">
        <w:rPr>
          <w:noProof/>
          <w:lang w:val="cs-CZ"/>
        </w:rPr>
        <w:t>U pacientov užívajúcich treprostinil intravenóznou infúziou sa hlásili infekcie a sepsy krvného obehu súvisiace s centrálnym venóznym katétrom. Tieto riziká sa pripisujú systému podávania liečiva. Retrospektívny prieskum Centra pre kontrolu ochorení v siedm</w:t>
      </w:r>
      <w:r w:rsidR="00BB5E19">
        <w:rPr>
          <w:noProof/>
          <w:lang w:val="cs-CZ"/>
        </w:rPr>
        <w:t>i</w:t>
      </w:r>
      <w:r w:rsidRPr="00965FFE">
        <w:rPr>
          <w:noProof/>
          <w:lang w:val="cs-CZ"/>
        </w:rPr>
        <w:t xml:space="preserve">ch centrách v Spojených </w:t>
      </w:r>
      <w:r w:rsidR="00BB5E19">
        <w:rPr>
          <w:noProof/>
          <w:lang w:val="cs-CZ"/>
        </w:rPr>
        <w:t>š</w:t>
      </w:r>
      <w:r w:rsidRPr="00965FFE">
        <w:rPr>
          <w:noProof/>
          <w:lang w:val="cs-CZ"/>
        </w:rPr>
        <w:t xml:space="preserve">tátoch, ktoré používali intravenózny treprostinil na liečbu PAH zistil, že miera výskytu infekcií krvného obehu súvisiacich s katétrom je 1,10 udalosti za 1 000 dní používania katétra. Lekári majú zohľadniť spektrum možných gramnegatívnych a grampozitívnych mikroorganizmov, ktoré môžu spôsobiť infekciu pacientov s dlhodobo zavedenými centrálnymi venóznymi katétrami, preto je kontinuálna subkutánna infúzia nezriedeného </w:t>
      </w:r>
      <w:r w:rsidR="007258F7" w:rsidRPr="007258F7">
        <w:rPr>
          <w:noProof/>
          <w:lang w:val="cs-CZ"/>
        </w:rPr>
        <w:t>treprostinilu</w:t>
      </w:r>
      <w:r w:rsidRPr="00965FFE">
        <w:rPr>
          <w:noProof/>
          <w:lang w:val="cs-CZ"/>
        </w:rPr>
        <w:t xml:space="preserve"> preferovaným spôsobom podávania.  </w:t>
      </w:r>
    </w:p>
    <w:p w14:paraId="02F7FB2F" w14:textId="4497D90C" w:rsidR="008C10E6" w:rsidRPr="005C3240" w:rsidRDefault="00965FFE" w:rsidP="00965FFE">
      <w:pPr>
        <w:rPr>
          <w:noProof/>
          <w:lang w:val="cs-CZ"/>
        </w:rPr>
      </w:pPr>
      <w:r w:rsidRPr="00965FFE">
        <w:rPr>
          <w:noProof/>
          <w:lang w:val="cs-CZ"/>
        </w:rPr>
        <w:t>Zdravotnícky tím zodpovedný za liečbu musí zabezpečiť, aby bol pacient plne poučený a vedel kompetentne používať zvolenú infúznu zdravotnícku pomôcku (pozri časť 4.2).</w:t>
      </w:r>
    </w:p>
    <w:p w14:paraId="6312041C" w14:textId="257A4119" w:rsidR="009E0FD0" w:rsidRPr="005C3240" w:rsidRDefault="006043B7" w:rsidP="009E0FD0">
      <w:pPr>
        <w:pStyle w:val="Nadpis2"/>
        <w:rPr>
          <w:lang w:val="cs-CZ"/>
        </w:rPr>
      </w:pPr>
      <w:r w:rsidRPr="006043B7">
        <w:rPr>
          <w:bCs/>
          <w:lang w:val="cs-CZ"/>
        </w:rPr>
        <w:t>Liekové a iné interakcie</w:t>
      </w:r>
    </w:p>
    <w:p w14:paraId="518EB7EE" w14:textId="3FCDCFE5" w:rsidR="00AC5165" w:rsidRPr="005C3240" w:rsidRDefault="006043B7" w:rsidP="00A34A86">
      <w:pPr>
        <w:spacing w:after="0"/>
        <w:rPr>
          <w:b/>
          <w:i/>
          <w:u w:val="single"/>
          <w:lang w:val="cs-CZ"/>
        </w:rPr>
      </w:pPr>
      <w:r w:rsidRPr="006043B7">
        <w:rPr>
          <w:b/>
          <w:i/>
          <w:u w:val="single"/>
          <w:lang w:val="cs-CZ"/>
        </w:rPr>
        <w:t>Kombinácie na zváženie</w:t>
      </w:r>
    </w:p>
    <w:p w14:paraId="20FA01CF" w14:textId="09830C17" w:rsidR="00AC5165" w:rsidRPr="005C3240" w:rsidRDefault="00F7084D" w:rsidP="00A34A86">
      <w:pPr>
        <w:spacing w:after="0"/>
        <w:rPr>
          <w:b/>
          <w:lang w:val="cs-CZ"/>
        </w:rPr>
      </w:pPr>
      <w:r w:rsidRPr="005C3240">
        <w:rPr>
          <w:b/>
          <w:lang w:val="cs-CZ"/>
        </w:rPr>
        <w:t xml:space="preserve">+ </w:t>
      </w:r>
      <w:r w:rsidR="006043B7" w:rsidRPr="006043B7">
        <w:rPr>
          <w:b/>
          <w:lang w:val="cs-CZ"/>
        </w:rPr>
        <w:t>Diuretiká, antihypertenzíva alebo iné vazodilatanciá</w:t>
      </w:r>
    </w:p>
    <w:p w14:paraId="32241706" w14:textId="058FC7AF" w:rsidR="00AC5165" w:rsidRDefault="006043B7" w:rsidP="00A34A86">
      <w:pPr>
        <w:spacing w:after="0"/>
        <w:rPr>
          <w:bCs/>
          <w:lang w:val="cs-CZ"/>
        </w:rPr>
      </w:pPr>
      <w:r w:rsidRPr="006043B7">
        <w:rPr>
          <w:bCs/>
          <w:lang w:val="cs-CZ"/>
        </w:rPr>
        <w:t>Súbežné podávanie treprostinilu s diuretikami, antihypertenzívami alebo inými vazodilatanciami zvyšuje riziko systémovej hypotenzie.</w:t>
      </w:r>
    </w:p>
    <w:p w14:paraId="77EC3679" w14:textId="77777777" w:rsidR="00A34A86" w:rsidRPr="005C3240" w:rsidRDefault="00A34A86" w:rsidP="00A34A86">
      <w:pPr>
        <w:spacing w:after="0"/>
        <w:rPr>
          <w:bCs/>
          <w:lang w:val="cs-CZ"/>
        </w:rPr>
      </w:pPr>
    </w:p>
    <w:p w14:paraId="7877F582" w14:textId="106E8C49" w:rsidR="00AC5165" w:rsidRPr="005C3240" w:rsidRDefault="006878A2" w:rsidP="00A34A86">
      <w:pPr>
        <w:spacing w:after="0"/>
        <w:rPr>
          <w:b/>
          <w:lang w:val="cs-CZ"/>
        </w:rPr>
      </w:pPr>
      <w:r w:rsidRPr="005C3240">
        <w:rPr>
          <w:b/>
          <w:lang w:val="cs-CZ"/>
        </w:rPr>
        <w:t xml:space="preserve">+ </w:t>
      </w:r>
      <w:r w:rsidR="006043B7" w:rsidRPr="006043B7">
        <w:rPr>
          <w:b/>
          <w:szCs w:val="24"/>
          <w:lang w:val="sk-SK" w:eastAsia="fr-FR"/>
        </w:rPr>
        <w:t xml:space="preserve">Inhibítory agregácie krvných doštičiek </w:t>
      </w:r>
      <w:r w:rsidR="006043B7" w:rsidRPr="006043B7">
        <w:rPr>
          <w:b/>
          <w:i/>
          <w:szCs w:val="24"/>
          <w:lang w:val="sk-SK" w:eastAsia="fr-FR"/>
        </w:rPr>
        <w:t>vrátane NSAID</w:t>
      </w:r>
      <w:r w:rsidR="006043B7" w:rsidRPr="006043B7">
        <w:rPr>
          <w:b/>
          <w:szCs w:val="24"/>
          <w:lang w:val="sk-SK" w:eastAsia="fr-FR"/>
        </w:rPr>
        <w:t xml:space="preserve"> a antikoagulancií</w:t>
      </w:r>
    </w:p>
    <w:p w14:paraId="3639FC5E" w14:textId="7C0887B6" w:rsidR="00AC5165" w:rsidRDefault="006043B7" w:rsidP="00A34A86">
      <w:pPr>
        <w:spacing w:after="0"/>
        <w:rPr>
          <w:bCs/>
          <w:lang w:val="cs-CZ"/>
        </w:rPr>
      </w:pPr>
      <w:r w:rsidRPr="006043B7">
        <w:rPr>
          <w:bCs/>
          <w:lang w:val="cs-CZ"/>
        </w:rPr>
        <w:t>Treprostinil môže potlačiť funkciu krvných doštičiek. Súbežné podávanie treprostinilu s inhibítormi agregácie krvných doštičiek vrátane NSAID, donormi oxidu dusnatého alebo antikoagulanciami môže zvýšiť riziko krvácania. Sledovanie pacientov, ktorí užívajú antikoagulanciá, sa má starostlivo dodržiavať v súlade s konvenčnými odporúčaniami lekárskej praxe pri monitorovaní takýchto terapií. U pacientov, ktorí užívajú antikoagulanciá, sa treba vyhnúť súbežnému použitiu iných inhibítorov agregácie krvných doštičiek. Kontinuálna subkutánna infúzia treprostinilu neovplyvnila  farmakodynamiku a farmakokinetiku jednorazovej dávky (25 mg) warfarínu. Nie sú dostupné údaje o možných interakciách vedúcich k zvýšenému riziku krvácania, ak sa treprostinil predpisuje spolu s donormi oxidu dusnatého.</w:t>
      </w:r>
    </w:p>
    <w:p w14:paraId="399937D7" w14:textId="77777777" w:rsidR="00A34A86" w:rsidRPr="005C3240" w:rsidRDefault="00A34A86" w:rsidP="00A34A86">
      <w:pPr>
        <w:spacing w:after="0"/>
        <w:rPr>
          <w:bCs/>
          <w:lang w:val="cs-CZ"/>
        </w:rPr>
      </w:pPr>
    </w:p>
    <w:p w14:paraId="59CC0D4C" w14:textId="34EBAC5C" w:rsidR="00AC5165" w:rsidRPr="005C3240" w:rsidRDefault="00DF5E25" w:rsidP="00A34A86">
      <w:pPr>
        <w:spacing w:after="0"/>
        <w:rPr>
          <w:lang w:val="cs-CZ"/>
        </w:rPr>
      </w:pPr>
      <w:r w:rsidRPr="005C3240">
        <w:rPr>
          <w:b/>
          <w:lang w:val="cs-CZ"/>
        </w:rPr>
        <w:t xml:space="preserve">+ </w:t>
      </w:r>
      <w:r w:rsidR="006043B7" w:rsidRPr="006043B7">
        <w:rPr>
          <w:b/>
          <w:lang w:val="cs-CZ"/>
        </w:rPr>
        <w:t>Furosemid</w:t>
      </w:r>
    </w:p>
    <w:p w14:paraId="0426FFD2" w14:textId="77B4BE34" w:rsidR="00AC5165" w:rsidRPr="005C3240" w:rsidRDefault="006043B7" w:rsidP="00A34A86">
      <w:pPr>
        <w:spacing w:after="0"/>
        <w:rPr>
          <w:bCs/>
          <w:lang w:val="cs-CZ"/>
        </w:rPr>
      </w:pPr>
      <w:r w:rsidRPr="006043B7">
        <w:rPr>
          <w:bCs/>
          <w:lang w:val="cs-CZ"/>
        </w:rPr>
        <w:t>Plazmatický klírens treprostinilu sa môže mierne znížiť u pacientov liečených furosemidom. Táto interakcia je pravdepodobne zapríčinená niektorými spoločnými metabolickými znakmi, spoločnými pre obe zlúčeniny (glukurokonjugácia karboxylovej skupiny).</w:t>
      </w:r>
    </w:p>
    <w:p w14:paraId="7F370093" w14:textId="77777777" w:rsidR="00F96B0E" w:rsidRPr="005C3240" w:rsidRDefault="00F96B0E" w:rsidP="00A34A86">
      <w:pPr>
        <w:spacing w:after="0"/>
        <w:rPr>
          <w:bCs/>
          <w:lang w:val="cs-CZ"/>
        </w:rPr>
      </w:pPr>
    </w:p>
    <w:p w14:paraId="03218ED5" w14:textId="2F1C063F" w:rsidR="00EF79FB" w:rsidRPr="005C3240" w:rsidRDefault="00F96B0E" w:rsidP="00A34A86">
      <w:pPr>
        <w:spacing w:after="0"/>
        <w:rPr>
          <w:b/>
          <w:lang w:val="cs-CZ" w:eastAsia="en-US"/>
        </w:rPr>
      </w:pPr>
      <w:r w:rsidRPr="005C3240">
        <w:rPr>
          <w:b/>
          <w:lang w:val="cs-CZ" w:eastAsia="en-US"/>
        </w:rPr>
        <w:t xml:space="preserve">+ </w:t>
      </w:r>
      <w:r w:rsidR="006043B7" w:rsidRPr="006043B7">
        <w:rPr>
          <w:b/>
          <w:lang w:val="cs-CZ" w:eastAsia="en-US"/>
        </w:rPr>
        <w:t>Induktory/inhibítory enzýmu cytochróm P450 (CYP) 2C8</w:t>
      </w:r>
    </w:p>
    <w:p w14:paraId="44B561E0" w14:textId="78BF7DB8" w:rsidR="00EF79FB" w:rsidRPr="006043B7" w:rsidRDefault="006043B7" w:rsidP="00A34A86">
      <w:pPr>
        <w:spacing w:after="0"/>
        <w:rPr>
          <w:lang w:val="cs-CZ" w:eastAsia="en-US"/>
        </w:rPr>
      </w:pPr>
      <w:r w:rsidRPr="006043B7">
        <w:rPr>
          <w:i/>
          <w:iCs/>
          <w:lang w:val="cs-CZ" w:eastAsia="en-US"/>
        </w:rPr>
        <w:t xml:space="preserve">Gemfibrozil </w:t>
      </w:r>
      <w:r w:rsidRPr="006043B7">
        <w:rPr>
          <w:lang w:val="cs-CZ" w:eastAsia="en-US"/>
        </w:rPr>
        <w:t>– Farmakokinetické štúdie s perorálnym treprostinil diolamínom u ľudí ukázali, že súbežné podávanie inhibítora enzýmu cytochróm P450 (CYP) 2C8 gemfibrozilu zdvojnásobuje expozíciu treprostinilu (C</w:t>
      </w:r>
      <w:r w:rsidRPr="006043B7">
        <w:rPr>
          <w:vertAlign w:val="subscript"/>
          <w:lang w:val="cs-CZ" w:eastAsia="en-US"/>
        </w:rPr>
        <w:t>max</w:t>
      </w:r>
      <w:r w:rsidRPr="006043B7">
        <w:rPr>
          <w:lang w:val="cs-CZ" w:eastAsia="en-US"/>
        </w:rPr>
        <w:t xml:space="preserve"> aj AUC). Nebolo stanovené, či inhibítory CYP2C8 menia bezpečnosť a účinnosť treprostinilu podávaného parenterálne (subkutánne alebo intravenózne). Ak je po titračnom období do pacientovej medikácie pridaný alebo ak je z nej vyradený inhibítor CYP2C8 (napr. gemfibrozil, trimetoprim a deferasirox), je potrebné zvážiť úpravu dávky treprostinilu.</w:t>
      </w:r>
    </w:p>
    <w:p w14:paraId="7D789D59" w14:textId="77777777" w:rsidR="00EF79FB" w:rsidRPr="005C3240" w:rsidRDefault="00EF79FB" w:rsidP="00A34A86">
      <w:pPr>
        <w:spacing w:after="0"/>
        <w:rPr>
          <w:lang w:val="cs-CZ" w:eastAsia="en-US"/>
        </w:rPr>
      </w:pPr>
    </w:p>
    <w:p w14:paraId="64A4138E" w14:textId="5D98F45E" w:rsidR="009E7D1C" w:rsidRPr="009E7D1C" w:rsidRDefault="00EF79FB" w:rsidP="00A34A86">
      <w:pPr>
        <w:spacing w:after="0"/>
        <w:rPr>
          <w:lang w:val="cs-CZ" w:eastAsia="en-US"/>
        </w:rPr>
      </w:pPr>
      <w:r w:rsidRPr="005C3240">
        <w:rPr>
          <w:i/>
          <w:iCs/>
          <w:lang w:val="cs-CZ" w:eastAsia="en-US"/>
        </w:rPr>
        <w:t>Rifampic</w:t>
      </w:r>
      <w:r w:rsidR="009E7D1C">
        <w:rPr>
          <w:i/>
          <w:iCs/>
          <w:lang w:val="cs-CZ" w:eastAsia="en-US"/>
        </w:rPr>
        <w:t>í</w:t>
      </w:r>
      <w:r w:rsidRPr="005C3240">
        <w:rPr>
          <w:i/>
          <w:iCs/>
          <w:lang w:val="cs-CZ" w:eastAsia="en-US"/>
        </w:rPr>
        <w:t>n</w:t>
      </w:r>
      <w:r w:rsidRPr="005C3240">
        <w:rPr>
          <w:lang w:val="cs-CZ" w:eastAsia="en-US"/>
        </w:rPr>
        <w:t>:</w:t>
      </w:r>
      <w:r w:rsidR="009C43AE" w:rsidRPr="005C3240">
        <w:rPr>
          <w:lang w:val="cs-CZ" w:eastAsia="en-US"/>
        </w:rPr>
        <w:t xml:space="preserve"> </w:t>
      </w:r>
      <w:r w:rsidR="009E7D1C" w:rsidRPr="009E7D1C">
        <w:rPr>
          <w:lang w:val="cs-CZ" w:eastAsia="en-US"/>
        </w:rPr>
        <w:t>Farmakokinetické štúdie s perorálnym treprostinil diolamínom u ľudí ukázali, že súbežné podávanie induktora enzýmu CYP2C8 rifampicínu znižuje expozíciu treprostinilu (približne o 20 %). Nebolo stanovené, či rifampicín mení bezpečnosť a účinnosť treprostinilu podávaného parenterálne (subkutánne alebo intravenózne). Ak je po titračnom období do pacientovej medikácie pridaný alebo ak je z nej vyradený rifampicín, je potrebné zvážiť úpravu dávky treprostinilu.</w:t>
      </w:r>
    </w:p>
    <w:p w14:paraId="6811EF24" w14:textId="5139DCFE" w:rsidR="00EF79FB" w:rsidRDefault="009E7D1C" w:rsidP="00A34A86">
      <w:pPr>
        <w:spacing w:after="0"/>
        <w:rPr>
          <w:lang w:val="cs-CZ" w:eastAsia="en-US"/>
        </w:rPr>
      </w:pPr>
      <w:r w:rsidRPr="009E7D1C">
        <w:rPr>
          <w:lang w:val="cs-CZ" w:eastAsia="en-US"/>
        </w:rPr>
        <w:t>Induktory CYP2C8 (napr. fenytoín, karbamazepín, fenobarbital a ľubovník bodkovaný) môžu znižovať expozíciu treprostinilu. Ak je po titračnom období do pacientovej medikácie pridaný alebo ak je z nej vyradený induktor CYP2C8, je potrebné zvážiť úpravu dávky treprostinilu.</w:t>
      </w:r>
    </w:p>
    <w:p w14:paraId="33DFE300" w14:textId="77777777" w:rsidR="00A34A86" w:rsidRPr="005C3240" w:rsidRDefault="00A34A86" w:rsidP="00A34A86">
      <w:pPr>
        <w:spacing w:after="0"/>
        <w:rPr>
          <w:lang w:val="cs-CZ" w:eastAsia="en-US"/>
        </w:rPr>
      </w:pPr>
    </w:p>
    <w:p w14:paraId="51DE4234" w14:textId="6E4B3DFC" w:rsidR="00502E98" w:rsidRPr="005C3240" w:rsidRDefault="00783EB8" w:rsidP="00A34A86">
      <w:pPr>
        <w:spacing w:after="0"/>
        <w:rPr>
          <w:b/>
          <w:bCs/>
          <w:lang w:val="cs-CZ"/>
        </w:rPr>
      </w:pPr>
      <w:r w:rsidRPr="005C3240">
        <w:rPr>
          <w:b/>
          <w:bCs/>
          <w:lang w:val="cs-CZ"/>
        </w:rPr>
        <w:t xml:space="preserve">+ </w:t>
      </w:r>
      <w:r w:rsidR="00502E98" w:rsidRPr="005C3240">
        <w:rPr>
          <w:b/>
          <w:bCs/>
          <w:lang w:val="cs-CZ"/>
        </w:rPr>
        <w:t>Bosent</w:t>
      </w:r>
      <w:r w:rsidR="00BB5E19">
        <w:rPr>
          <w:b/>
          <w:bCs/>
          <w:lang w:val="cs-CZ"/>
        </w:rPr>
        <w:t>á</w:t>
      </w:r>
      <w:r w:rsidR="00502E98" w:rsidRPr="005C3240">
        <w:rPr>
          <w:b/>
          <w:bCs/>
          <w:lang w:val="cs-CZ"/>
        </w:rPr>
        <w:t>n</w:t>
      </w:r>
    </w:p>
    <w:p w14:paraId="569EB2E2" w14:textId="2D3B186A" w:rsidR="00502E98" w:rsidRDefault="009E7D1C" w:rsidP="00A34A86">
      <w:pPr>
        <w:spacing w:after="0"/>
        <w:rPr>
          <w:lang w:val="sk-SK"/>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vykonanej s bosent</w:t>
      </w:r>
      <w:r w:rsidR="00BB5E19">
        <w:rPr>
          <w:lang w:val="sk-SK"/>
        </w:rPr>
        <w:t>á</w:t>
      </w:r>
      <w:r w:rsidRPr="00500315">
        <w:rPr>
          <w:lang w:val="sk-SK"/>
        </w:rPr>
        <w:t xml:space="preserve">nom (250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bosent</w:t>
      </w:r>
      <w:r w:rsidR="00BB5E19">
        <w:rPr>
          <w:lang w:val="sk-SK"/>
        </w:rPr>
        <w:t>á</w:t>
      </w:r>
      <w:r w:rsidRPr="00500315">
        <w:rPr>
          <w:lang w:val="sk-SK"/>
        </w:rPr>
        <w:t>nom.</w:t>
      </w:r>
    </w:p>
    <w:p w14:paraId="381D25A4" w14:textId="77777777" w:rsidR="00A34A86" w:rsidRPr="005C3240" w:rsidRDefault="00A34A86" w:rsidP="00A34A86">
      <w:pPr>
        <w:spacing w:after="0"/>
        <w:rPr>
          <w:bCs/>
          <w:lang w:val="cs-CZ"/>
        </w:rPr>
      </w:pPr>
    </w:p>
    <w:p w14:paraId="68118149" w14:textId="064DE19A" w:rsidR="00502E98" w:rsidRPr="005C3240" w:rsidRDefault="002E3AD9" w:rsidP="00A34A86">
      <w:pPr>
        <w:spacing w:after="0"/>
        <w:rPr>
          <w:b/>
          <w:bCs/>
          <w:lang w:val="cs-CZ"/>
        </w:rPr>
      </w:pPr>
      <w:r w:rsidRPr="005C3240">
        <w:rPr>
          <w:b/>
          <w:bCs/>
          <w:lang w:val="cs-CZ"/>
        </w:rPr>
        <w:t xml:space="preserve">+ </w:t>
      </w:r>
      <w:r w:rsidR="00502E98" w:rsidRPr="005C3240">
        <w:rPr>
          <w:b/>
          <w:bCs/>
          <w:lang w:val="cs-CZ"/>
        </w:rPr>
        <w:t>Sildenafil</w:t>
      </w:r>
    </w:p>
    <w:p w14:paraId="48CC5E29" w14:textId="6E9C2426" w:rsidR="001A77C2" w:rsidRPr="005C3240" w:rsidRDefault="009E7D1C" w:rsidP="00A34A86">
      <w:pPr>
        <w:spacing w:after="0"/>
        <w:rPr>
          <w:noProof/>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 xml:space="preserve">vykonanej so sildenafilom (60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sildenafilom.</w:t>
      </w:r>
    </w:p>
    <w:p w14:paraId="01E4EE54" w14:textId="71B5D74B" w:rsidR="00923C69" w:rsidRPr="005C3240" w:rsidRDefault="008E50E7" w:rsidP="00852C81">
      <w:pPr>
        <w:pStyle w:val="Nadpis2"/>
        <w:rPr>
          <w:color w:val="000000"/>
          <w:lang w:val="cs-CZ"/>
        </w:rPr>
      </w:pPr>
      <w:r w:rsidRPr="008E50E7">
        <w:rPr>
          <w:lang w:val="cs-CZ"/>
        </w:rPr>
        <w:t>Fertilita, gravidita a laktácia</w:t>
      </w:r>
    </w:p>
    <w:p w14:paraId="4697B667" w14:textId="65D6E4E4" w:rsidR="00E63BE8" w:rsidRPr="005C3240" w:rsidRDefault="008E50E7" w:rsidP="0066715D">
      <w:pPr>
        <w:spacing w:after="0"/>
        <w:rPr>
          <w:noProof/>
          <w:szCs w:val="22"/>
          <w:u w:val="single"/>
          <w:lang w:val="cs-CZ"/>
        </w:rPr>
      </w:pPr>
      <w:r w:rsidRPr="008E50E7">
        <w:rPr>
          <w:noProof/>
          <w:szCs w:val="22"/>
          <w:u w:val="single"/>
          <w:lang w:val="cs-CZ"/>
        </w:rPr>
        <w:t>Gravidita</w:t>
      </w:r>
    </w:p>
    <w:p w14:paraId="49C0A801" w14:textId="797D87D5" w:rsidR="00596263" w:rsidRDefault="008E50E7" w:rsidP="0066715D">
      <w:pPr>
        <w:spacing w:after="0"/>
        <w:rPr>
          <w:szCs w:val="22"/>
          <w:lang w:val="cs-CZ"/>
        </w:rPr>
      </w:pPr>
      <w:r w:rsidRPr="008E50E7">
        <w:rPr>
          <w:szCs w:val="22"/>
          <w:lang w:val="cs-CZ"/>
        </w:rPr>
        <w:t>Nie sú k dispozícii dostatočné údaje o použití treprostinilu u gravidných žien. Štúdie na zvieratách sú z hľadiska účinkov na graviditu nedostatočné (pozri časť 5.3). Nie je známe potenciálne riziko u ľudí. Treprostinil sa má používať počas gravidity, iba ak možný prínos pre matku prevyšuje možné riziko pre plod.</w:t>
      </w:r>
    </w:p>
    <w:p w14:paraId="5FD0DEC1" w14:textId="77777777" w:rsidR="0066715D" w:rsidRPr="005C3240" w:rsidRDefault="0066715D" w:rsidP="0066715D">
      <w:pPr>
        <w:spacing w:after="0"/>
        <w:rPr>
          <w:bCs/>
          <w:szCs w:val="22"/>
          <w:lang w:val="cs-CZ"/>
        </w:rPr>
      </w:pPr>
    </w:p>
    <w:p w14:paraId="4CEF729B" w14:textId="37AA8851" w:rsidR="00A8061E" w:rsidRPr="005C3240" w:rsidRDefault="008E50E7" w:rsidP="0066715D">
      <w:pPr>
        <w:spacing w:after="0"/>
        <w:rPr>
          <w:bCs/>
          <w:szCs w:val="22"/>
          <w:u w:val="single"/>
          <w:lang w:val="cs-CZ"/>
        </w:rPr>
      </w:pPr>
      <w:r w:rsidRPr="008E50E7">
        <w:rPr>
          <w:bCs/>
          <w:szCs w:val="22"/>
          <w:u w:val="single"/>
          <w:lang w:val="cs-CZ"/>
        </w:rPr>
        <w:t>Ženy vo fertilnom veku</w:t>
      </w:r>
    </w:p>
    <w:p w14:paraId="5D3B2584" w14:textId="6AFE6D00" w:rsidR="00A8061E" w:rsidRDefault="008E50E7" w:rsidP="0066715D">
      <w:pPr>
        <w:spacing w:after="0"/>
        <w:rPr>
          <w:lang w:val="sk-SK"/>
        </w:rPr>
      </w:pPr>
      <w:r w:rsidRPr="00500315">
        <w:rPr>
          <w:lang w:val="sk-SK"/>
        </w:rPr>
        <w:lastRenderedPageBreak/>
        <w:t xml:space="preserve">Počas liečby </w:t>
      </w:r>
      <w:r>
        <w:rPr>
          <w:lang w:val="sk-SK"/>
        </w:rPr>
        <w:t>treprostinil</w:t>
      </w:r>
      <w:r w:rsidRPr="00500315">
        <w:rPr>
          <w:lang w:val="sk-SK"/>
        </w:rPr>
        <w:t>om sa odporúča používanie antikoncepcie.</w:t>
      </w:r>
    </w:p>
    <w:p w14:paraId="3DA87F81" w14:textId="77777777" w:rsidR="0066715D" w:rsidRPr="005C3240" w:rsidRDefault="0066715D" w:rsidP="0066715D">
      <w:pPr>
        <w:spacing w:after="0"/>
        <w:rPr>
          <w:bCs/>
          <w:szCs w:val="22"/>
          <w:lang w:val="cs-CZ"/>
        </w:rPr>
      </w:pPr>
    </w:p>
    <w:p w14:paraId="0C29F59A" w14:textId="01AF9D30" w:rsidR="00596263" w:rsidRPr="005C3240" w:rsidRDefault="008E50E7" w:rsidP="0066715D">
      <w:pPr>
        <w:spacing w:after="0"/>
        <w:rPr>
          <w:u w:val="single"/>
          <w:lang w:val="cs-CZ"/>
        </w:rPr>
      </w:pPr>
      <w:r w:rsidRPr="00FB1B20">
        <w:rPr>
          <w:iCs/>
          <w:u w:val="single"/>
          <w:lang w:val="sk-SK"/>
        </w:rPr>
        <w:t>Dojčenie</w:t>
      </w:r>
    </w:p>
    <w:p w14:paraId="5D05F64D" w14:textId="04303DED" w:rsidR="00ED7058" w:rsidRDefault="008E50E7" w:rsidP="0066715D">
      <w:pPr>
        <w:spacing w:after="0"/>
        <w:rPr>
          <w:lang w:val="sk-SK"/>
        </w:rPr>
      </w:pPr>
      <w:r w:rsidRPr="00500315">
        <w:rPr>
          <w:lang w:val="sk-SK"/>
        </w:rPr>
        <w:t xml:space="preserve">Nie je známe, či sa treprostinil vylučuje do materského mlieka. Dojčiacim ženám, ktoré užívajú </w:t>
      </w:r>
      <w:r>
        <w:rPr>
          <w:bCs/>
          <w:szCs w:val="22"/>
          <w:lang w:val="cs-CZ"/>
        </w:rPr>
        <w:t>Treprostinil Tillomed</w:t>
      </w:r>
      <w:r w:rsidRPr="00500315">
        <w:rPr>
          <w:lang w:val="sk-SK"/>
        </w:rPr>
        <w:t>, sa má odporučiť, aby ukončili dojčenie.</w:t>
      </w:r>
    </w:p>
    <w:p w14:paraId="49C45A34" w14:textId="77777777" w:rsidR="0066715D" w:rsidRPr="005C3240" w:rsidRDefault="0066715D" w:rsidP="0066715D">
      <w:pPr>
        <w:spacing w:after="0"/>
        <w:rPr>
          <w:bCs/>
          <w:szCs w:val="22"/>
          <w:lang w:val="cs-CZ"/>
        </w:rPr>
      </w:pPr>
    </w:p>
    <w:p w14:paraId="3A723965" w14:textId="2E3532D6" w:rsidR="002C15B5" w:rsidRPr="005C3240" w:rsidRDefault="002C15B5" w:rsidP="0066715D">
      <w:pPr>
        <w:spacing w:after="0"/>
        <w:rPr>
          <w:bCs/>
          <w:szCs w:val="22"/>
          <w:u w:val="single"/>
          <w:lang w:val="cs-CZ"/>
        </w:rPr>
      </w:pPr>
      <w:r w:rsidRPr="005C3240">
        <w:rPr>
          <w:bCs/>
          <w:szCs w:val="22"/>
          <w:u w:val="single"/>
          <w:lang w:val="cs-CZ"/>
        </w:rPr>
        <w:t>Fertilit</w:t>
      </w:r>
      <w:r w:rsidR="00107AF6" w:rsidRPr="005C3240">
        <w:rPr>
          <w:bCs/>
          <w:szCs w:val="22"/>
          <w:u w:val="single"/>
          <w:lang w:val="cs-CZ"/>
        </w:rPr>
        <w:t>a</w:t>
      </w:r>
    </w:p>
    <w:p w14:paraId="0FCA68DF" w14:textId="79D891A8" w:rsidR="002C15B5" w:rsidRPr="005C3240" w:rsidRDefault="008E50E7" w:rsidP="0066715D">
      <w:pPr>
        <w:spacing w:after="0"/>
        <w:rPr>
          <w:rFonts w:eastAsia="Arial Unicode MS"/>
          <w:lang w:val="cs-CZ"/>
        </w:rPr>
      </w:pPr>
      <w:r w:rsidRPr="008E50E7">
        <w:rPr>
          <w:lang w:val="cs-CZ"/>
        </w:rPr>
        <w:t>V súčasnosti nie sú k dispozícii informácie týkajúce sa účinku treprostinilu na fertilitu u ľudí. Experimentálne štúdie s treprostinilom sodným na hlodavcoch však nepreukázali žiadny vplyv na fertilitu ani párenie samcov.</w:t>
      </w:r>
    </w:p>
    <w:p w14:paraId="66DDF560" w14:textId="7D48CAFE" w:rsidR="009E0FD0" w:rsidRPr="005C3240" w:rsidRDefault="00BB16FF" w:rsidP="009E0FD0">
      <w:pPr>
        <w:pStyle w:val="Nadpis2"/>
        <w:rPr>
          <w:lang w:val="cs-CZ"/>
        </w:rPr>
      </w:pPr>
      <w:r w:rsidRPr="00BB16FF">
        <w:rPr>
          <w:lang w:val="cs-CZ"/>
        </w:rPr>
        <w:t>Ovplyvnenie schopnosti viesť vozidlá a obsluhovať stroje</w:t>
      </w:r>
    </w:p>
    <w:p w14:paraId="6C1B5A8F" w14:textId="118B21BD" w:rsidR="005E025D" w:rsidRPr="005C3240" w:rsidRDefault="00BB16FF" w:rsidP="00C6684E">
      <w:pPr>
        <w:rPr>
          <w:noProof/>
          <w:szCs w:val="22"/>
          <w:lang w:val="cs-CZ"/>
        </w:rPr>
      </w:pPr>
      <w:r w:rsidRPr="00BB16FF">
        <w:rPr>
          <w:lang w:val="cs-CZ"/>
        </w:rPr>
        <w:t>Začiatok liečby alebo úpravy dávkovania môžu sprevádzať nežiaduce účinky, ako je symptomatická systémová hypotenzia alebo závrat, ktoré môžu narušiť schopnosť viesť vozidlá a obsluhovať stroje.</w:t>
      </w:r>
    </w:p>
    <w:p w14:paraId="706E155C" w14:textId="20A40338" w:rsidR="009E0FD0" w:rsidRPr="005C3240" w:rsidRDefault="00BB16FF" w:rsidP="009E0FD0">
      <w:pPr>
        <w:pStyle w:val="Nadpis2"/>
        <w:rPr>
          <w:lang w:val="cs-CZ"/>
        </w:rPr>
      </w:pPr>
      <w:r w:rsidRPr="00BB16FF">
        <w:rPr>
          <w:lang w:val="cs-CZ"/>
        </w:rPr>
        <w:t>Nežiaduce účinky</w:t>
      </w:r>
    </w:p>
    <w:p w14:paraId="4003470C" w14:textId="68DE7D70" w:rsidR="00807DC5" w:rsidRPr="005C3240" w:rsidRDefault="006A522A" w:rsidP="00807DC5">
      <w:pPr>
        <w:pStyle w:val="Textvysvetlivky"/>
        <w:tabs>
          <w:tab w:val="clear" w:pos="567"/>
        </w:tabs>
        <w:jc w:val="both"/>
        <w:rPr>
          <w:rFonts w:cs="Times New Roman"/>
          <w:szCs w:val="22"/>
          <w:lang w:val="cs-CZ" w:bidi="ar-SA"/>
        </w:rPr>
      </w:pPr>
      <w:r w:rsidRPr="00500315">
        <w:rPr>
          <w:bCs/>
          <w:iCs/>
          <w:szCs w:val="22"/>
          <w:lang w:val="sk-SK"/>
        </w:rPr>
        <w:t xml:space="preserve">Nežiaduce reakcie pozorované v štúdiách kontrolovaných placebom a v rámci skúseností s treprostinilom po </w:t>
      </w:r>
      <w:r>
        <w:rPr>
          <w:bCs/>
          <w:iCs/>
          <w:szCs w:val="22"/>
          <w:lang w:val="sk-SK"/>
        </w:rPr>
        <w:t xml:space="preserve">jeho </w:t>
      </w:r>
      <w:r w:rsidRPr="00500315">
        <w:rPr>
          <w:bCs/>
          <w:iCs/>
          <w:szCs w:val="22"/>
          <w:lang w:val="sk-SK"/>
        </w:rPr>
        <w:t>uvedení na trh sú zoradené podľa frekvencie pomocou nasled</w:t>
      </w:r>
      <w:r>
        <w:rPr>
          <w:bCs/>
          <w:iCs/>
          <w:szCs w:val="22"/>
          <w:lang w:val="sk-SK"/>
        </w:rPr>
        <w:t xml:space="preserve">ovnej </w:t>
      </w:r>
      <w:r w:rsidRPr="00500315">
        <w:rPr>
          <w:bCs/>
          <w:iCs/>
          <w:szCs w:val="22"/>
          <w:lang w:val="sk-SK"/>
        </w:rPr>
        <w:t>konvencie: veľmi časté (≥1/10); časté (≥1/100 až &lt;1/10); menej časté (≥1/1 000 až &lt; 1/100); zriedkavé (≥1/10 000 až &lt; 1/1 000); veľmi zriedkavé (&lt; 1/10 000); neznáme (z dostupných údajov).</w:t>
      </w:r>
    </w:p>
    <w:p w14:paraId="69C18C6C" w14:textId="2B2DDCDF" w:rsidR="00596263" w:rsidRPr="005C3240" w:rsidRDefault="00596263" w:rsidP="00596263">
      <w:pPr>
        <w:pStyle w:val="Bezriadkovania"/>
        <w:rPr>
          <w:rFonts w:ascii="Times New Roman" w:eastAsia="Arial Unicode MS" w:hAnsi="Times New Roman" w:cs="Times New Roman"/>
          <w:lang w:val="cs-CZ"/>
        </w:rPr>
      </w:pPr>
    </w:p>
    <w:p w14:paraId="6EE59179" w14:textId="29F18C0F" w:rsidR="00596263" w:rsidRPr="005C3240" w:rsidRDefault="00B17144" w:rsidP="00596263">
      <w:pPr>
        <w:pStyle w:val="Bezriadkovania"/>
        <w:rPr>
          <w:rFonts w:ascii="Times New Roman" w:eastAsia="Arial Unicode MS" w:hAnsi="Times New Roman" w:cs="Times New Roman"/>
          <w:u w:val="single"/>
          <w:lang w:val="cs-CZ"/>
        </w:rPr>
      </w:pPr>
      <w:r w:rsidRPr="00B17144">
        <w:rPr>
          <w:rFonts w:ascii="Times New Roman" w:eastAsia="Arial Unicode MS" w:hAnsi="Times New Roman" w:cs="Times New Roman"/>
          <w:u w:val="single"/>
          <w:lang w:val="cs-CZ"/>
        </w:rPr>
        <w:t>Zoznam nežiaducich reakcií v tabuľke</w:t>
      </w:r>
    </w:p>
    <w:p w14:paraId="29DE256C" w14:textId="77777777" w:rsidR="0033725D" w:rsidRPr="005C3240" w:rsidRDefault="0033725D" w:rsidP="00596263">
      <w:pPr>
        <w:pStyle w:val="Bezriadkovania"/>
        <w:rPr>
          <w:rFonts w:ascii="Times New Roman" w:eastAsia="Arial Unicode MS" w:hAnsi="Times New Roman" w:cs="Times New Roman"/>
          <w:u w:val="single"/>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2907"/>
        <w:gridCol w:w="2698"/>
      </w:tblGrid>
      <w:tr w:rsidR="0033725D" w:rsidRPr="005C3240" w14:paraId="23412256" w14:textId="77777777" w:rsidTr="005F01C4">
        <w:tc>
          <w:tcPr>
            <w:tcW w:w="2697" w:type="dxa"/>
          </w:tcPr>
          <w:p w14:paraId="3B7AC18B" w14:textId="153E2F26" w:rsidR="0033725D" w:rsidRPr="005C3240" w:rsidRDefault="005F7FB9" w:rsidP="006F026C">
            <w:pPr>
              <w:autoSpaceDE w:val="0"/>
              <w:autoSpaceDN w:val="0"/>
              <w:adjustRightInd w:val="0"/>
              <w:rPr>
                <w:b/>
                <w:bCs/>
                <w:szCs w:val="22"/>
                <w:lang w:val="cs-CZ"/>
              </w:rPr>
            </w:pPr>
            <w:r w:rsidRPr="005C3240">
              <w:rPr>
                <w:b/>
                <w:bCs/>
                <w:szCs w:val="22"/>
                <w:lang w:val="cs-CZ"/>
              </w:rPr>
              <w:t>T</w:t>
            </w:r>
            <w:r w:rsidR="008B48C8">
              <w:rPr>
                <w:b/>
                <w:bCs/>
                <w:szCs w:val="22"/>
                <w:lang w:val="cs-CZ"/>
              </w:rPr>
              <w:t>RIE</w:t>
            </w:r>
            <w:r w:rsidRPr="005C3240">
              <w:rPr>
                <w:b/>
                <w:bCs/>
                <w:szCs w:val="22"/>
                <w:lang w:val="cs-CZ"/>
              </w:rPr>
              <w:t>DA ORGÁN</w:t>
            </w:r>
            <w:r w:rsidR="008B48C8">
              <w:rPr>
                <w:b/>
                <w:bCs/>
                <w:szCs w:val="22"/>
                <w:lang w:val="cs-CZ"/>
              </w:rPr>
              <w:t>OVÉHO S</w:t>
            </w:r>
            <w:r w:rsidR="008B48C8" w:rsidRPr="005C3240">
              <w:rPr>
                <w:b/>
                <w:bCs/>
                <w:szCs w:val="22"/>
                <w:lang w:val="cs-CZ"/>
              </w:rPr>
              <w:t>YSTÉM</w:t>
            </w:r>
            <w:r w:rsidR="008B48C8">
              <w:rPr>
                <w:b/>
                <w:bCs/>
                <w:szCs w:val="22"/>
                <w:lang w:val="cs-CZ"/>
              </w:rPr>
              <w:t>U</w:t>
            </w:r>
          </w:p>
        </w:tc>
        <w:tc>
          <w:tcPr>
            <w:tcW w:w="2907" w:type="dxa"/>
            <w:tcBorders>
              <w:bottom w:val="single" w:sz="4" w:space="0" w:color="000000"/>
            </w:tcBorders>
          </w:tcPr>
          <w:p w14:paraId="6F5FCEDB" w14:textId="790CC2FC" w:rsidR="0033725D" w:rsidRPr="005C3240" w:rsidRDefault="005F7FB9" w:rsidP="00963F61">
            <w:pPr>
              <w:autoSpaceDE w:val="0"/>
              <w:autoSpaceDN w:val="0"/>
              <w:adjustRightInd w:val="0"/>
              <w:rPr>
                <w:b/>
                <w:bCs/>
                <w:szCs w:val="22"/>
                <w:lang w:val="cs-CZ"/>
              </w:rPr>
            </w:pPr>
            <w:r w:rsidRPr="005C3240">
              <w:rPr>
                <w:b/>
                <w:bCs/>
                <w:szCs w:val="22"/>
                <w:lang w:val="cs-CZ"/>
              </w:rPr>
              <w:t>NEŽ</w:t>
            </w:r>
            <w:r w:rsidR="00E74E20">
              <w:rPr>
                <w:b/>
                <w:bCs/>
                <w:szCs w:val="22"/>
                <w:lang w:val="cs-CZ"/>
              </w:rPr>
              <w:t>IA</w:t>
            </w:r>
            <w:r w:rsidRPr="005C3240">
              <w:rPr>
                <w:b/>
                <w:bCs/>
                <w:szCs w:val="22"/>
                <w:lang w:val="cs-CZ"/>
              </w:rPr>
              <w:t>D</w:t>
            </w:r>
            <w:r w:rsidR="00E74E20">
              <w:rPr>
                <w:b/>
                <w:bCs/>
                <w:szCs w:val="22"/>
                <w:lang w:val="cs-CZ"/>
              </w:rPr>
              <w:t>UCA</w:t>
            </w:r>
            <w:r w:rsidRPr="005C3240">
              <w:rPr>
                <w:b/>
                <w:bCs/>
                <w:szCs w:val="22"/>
                <w:lang w:val="cs-CZ"/>
              </w:rPr>
              <w:t xml:space="preserve"> </w:t>
            </w:r>
            <w:r w:rsidR="00473184">
              <w:rPr>
                <w:b/>
                <w:bCs/>
                <w:szCs w:val="22"/>
                <w:lang w:val="cs-CZ"/>
              </w:rPr>
              <w:t>REAKCIA</w:t>
            </w:r>
          </w:p>
        </w:tc>
        <w:tc>
          <w:tcPr>
            <w:tcW w:w="2698" w:type="dxa"/>
            <w:tcBorders>
              <w:bottom w:val="single" w:sz="4" w:space="0" w:color="000000"/>
            </w:tcBorders>
          </w:tcPr>
          <w:p w14:paraId="498F8DD6" w14:textId="5B8BBE37" w:rsidR="0033725D" w:rsidRPr="005C3240" w:rsidRDefault="0033725D" w:rsidP="006F026C">
            <w:pPr>
              <w:autoSpaceDE w:val="0"/>
              <w:autoSpaceDN w:val="0"/>
              <w:adjustRightInd w:val="0"/>
              <w:rPr>
                <w:b/>
                <w:bCs/>
                <w:szCs w:val="22"/>
                <w:lang w:val="cs-CZ"/>
              </w:rPr>
            </w:pPr>
            <w:r w:rsidRPr="005C3240">
              <w:rPr>
                <w:b/>
                <w:bCs/>
                <w:szCs w:val="22"/>
                <w:lang w:val="cs-CZ"/>
              </w:rPr>
              <w:t>FRE</w:t>
            </w:r>
            <w:r w:rsidR="005F7FB9" w:rsidRPr="005C3240">
              <w:rPr>
                <w:b/>
                <w:bCs/>
                <w:szCs w:val="22"/>
                <w:lang w:val="cs-CZ"/>
              </w:rPr>
              <w:t>KVENC</w:t>
            </w:r>
            <w:r w:rsidR="00473184">
              <w:rPr>
                <w:b/>
                <w:bCs/>
                <w:szCs w:val="22"/>
                <w:lang w:val="cs-CZ"/>
              </w:rPr>
              <w:t>IA</w:t>
            </w:r>
            <w:r w:rsidRPr="005C3240">
              <w:rPr>
                <w:b/>
                <w:bCs/>
                <w:szCs w:val="22"/>
                <w:lang w:val="cs-CZ"/>
              </w:rPr>
              <w:t xml:space="preserve"> </w:t>
            </w:r>
          </w:p>
        </w:tc>
      </w:tr>
      <w:tr w:rsidR="0013250E" w:rsidRPr="005C3240" w14:paraId="7A87A9F7" w14:textId="77777777" w:rsidTr="001503E8">
        <w:tc>
          <w:tcPr>
            <w:tcW w:w="2697" w:type="dxa"/>
            <w:vMerge w:val="restart"/>
          </w:tcPr>
          <w:p w14:paraId="6EEBB12E" w14:textId="07B7C334" w:rsidR="0013250E" w:rsidRPr="005C3240" w:rsidRDefault="00473184" w:rsidP="0013250E">
            <w:pPr>
              <w:autoSpaceDE w:val="0"/>
              <w:autoSpaceDN w:val="0"/>
              <w:adjustRightInd w:val="0"/>
              <w:rPr>
                <w:b/>
                <w:bCs/>
                <w:szCs w:val="22"/>
                <w:lang w:val="cs-CZ"/>
              </w:rPr>
            </w:pPr>
            <w:r w:rsidRPr="00473184">
              <w:rPr>
                <w:b/>
                <w:szCs w:val="22"/>
                <w:lang w:val="cs-CZ"/>
              </w:rPr>
              <w:t>Infekcie a nákazy</w:t>
            </w:r>
          </w:p>
        </w:tc>
        <w:tc>
          <w:tcPr>
            <w:tcW w:w="2907" w:type="dxa"/>
            <w:tcBorders>
              <w:bottom w:val="single" w:sz="4" w:space="0" w:color="000000"/>
            </w:tcBorders>
          </w:tcPr>
          <w:p w14:paraId="62F92AB8" w14:textId="10849D3B" w:rsidR="0013250E" w:rsidRPr="005C3240" w:rsidRDefault="00473184" w:rsidP="00473184">
            <w:pPr>
              <w:autoSpaceDE w:val="0"/>
              <w:autoSpaceDN w:val="0"/>
              <w:adjustRightInd w:val="0"/>
              <w:jc w:val="left"/>
              <w:rPr>
                <w:b/>
                <w:bCs/>
                <w:szCs w:val="22"/>
                <w:lang w:val="cs-CZ"/>
              </w:rPr>
            </w:pPr>
            <w:r w:rsidRPr="00473184">
              <w:rPr>
                <w:szCs w:val="22"/>
                <w:lang w:val="cs-CZ"/>
              </w:rPr>
              <w:t>Infekcia v krvnom obehu súvisiaca so zavedením centrálneho venózneho katétra, sepsa, bakterémia**</w:t>
            </w:r>
          </w:p>
        </w:tc>
        <w:tc>
          <w:tcPr>
            <w:tcW w:w="2698" w:type="dxa"/>
            <w:tcBorders>
              <w:bottom w:val="single" w:sz="4" w:space="0" w:color="000000"/>
            </w:tcBorders>
          </w:tcPr>
          <w:p w14:paraId="0BE8BC2C" w14:textId="711428B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4D442959" w14:textId="77777777" w:rsidTr="001503E8">
        <w:tc>
          <w:tcPr>
            <w:tcW w:w="2697" w:type="dxa"/>
            <w:vMerge/>
          </w:tcPr>
          <w:p w14:paraId="36BCEBC6"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08ADE599" w14:textId="14F415F1" w:rsidR="0013250E" w:rsidRPr="005C3240" w:rsidRDefault="00473184" w:rsidP="00AF5099">
            <w:pPr>
              <w:autoSpaceDE w:val="0"/>
              <w:autoSpaceDN w:val="0"/>
              <w:adjustRightInd w:val="0"/>
              <w:rPr>
                <w:b/>
                <w:bCs/>
                <w:szCs w:val="22"/>
                <w:lang w:val="cs-CZ"/>
              </w:rPr>
            </w:pPr>
            <w:r w:rsidRPr="00473184">
              <w:rPr>
                <w:szCs w:val="22"/>
                <w:lang w:val="cs-CZ"/>
              </w:rPr>
              <w:t>Infekcia v mieste zavedenia infúzie, vytvorenie abscesu na podkožnom mieste zavedenia infúzie</w:t>
            </w:r>
            <w:r w:rsidR="0013250E" w:rsidRPr="005C3240">
              <w:rPr>
                <w:szCs w:val="22"/>
                <w:lang w:val="cs-CZ"/>
              </w:rPr>
              <w:t xml:space="preserve"> </w:t>
            </w:r>
          </w:p>
        </w:tc>
        <w:tc>
          <w:tcPr>
            <w:tcW w:w="2698" w:type="dxa"/>
            <w:tcBorders>
              <w:bottom w:val="single" w:sz="4" w:space="0" w:color="000000"/>
            </w:tcBorders>
          </w:tcPr>
          <w:p w14:paraId="124DC9D2" w14:textId="74D8B5D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6904CA88" w14:textId="77777777" w:rsidTr="001503E8">
        <w:tc>
          <w:tcPr>
            <w:tcW w:w="2697" w:type="dxa"/>
            <w:vMerge/>
          </w:tcPr>
          <w:p w14:paraId="48A4B2CC"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716C0D2E" w14:textId="42ABD508" w:rsidR="0013250E" w:rsidRPr="005C3240" w:rsidRDefault="00473184" w:rsidP="0013250E">
            <w:pPr>
              <w:autoSpaceDE w:val="0"/>
              <w:autoSpaceDN w:val="0"/>
              <w:adjustRightInd w:val="0"/>
              <w:rPr>
                <w:b/>
                <w:bCs/>
                <w:szCs w:val="22"/>
                <w:lang w:val="cs-CZ"/>
              </w:rPr>
            </w:pPr>
            <w:r w:rsidRPr="00473184">
              <w:rPr>
                <w:szCs w:val="22"/>
                <w:lang w:val="cs-CZ"/>
              </w:rPr>
              <w:t>Celulitída</w:t>
            </w:r>
          </w:p>
        </w:tc>
        <w:tc>
          <w:tcPr>
            <w:tcW w:w="2698" w:type="dxa"/>
            <w:tcBorders>
              <w:bottom w:val="single" w:sz="4" w:space="0" w:color="000000"/>
            </w:tcBorders>
          </w:tcPr>
          <w:p w14:paraId="59428C14" w14:textId="0B04E372"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FA4C0A" w:rsidRPr="005C3240" w14:paraId="0F37E664" w14:textId="77777777" w:rsidTr="00EB358E">
        <w:tc>
          <w:tcPr>
            <w:tcW w:w="2697" w:type="dxa"/>
            <w:tcBorders>
              <w:top w:val="single" w:sz="4" w:space="0" w:color="000000"/>
              <w:left w:val="single" w:sz="4" w:space="0" w:color="000000"/>
              <w:bottom w:val="single" w:sz="4" w:space="0" w:color="000000"/>
              <w:right w:val="single" w:sz="4" w:space="0" w:color="000000"/>
            </w:tcBorders>
          </w:tcPr>
          <w:p w14:paraId="5A9110AF" w14:textId="77777777" w:rsidR="00FA4C0A" w:rsidRPr="005C3240" w:rsidRDefault="00FA4C0A" w:rsidP="00EB358E">
            <w:pPr>
              <w:autoSpaceDE w:val="0"/>
              <w:autoSpaceDN w:val="0"/>
              <w:adjustRightInd w:val="0"/>
              <w:jc w:val="left"/>
              <w:rPr>
                <w:b/>
                <w:bCs/>
                <w:szCs w:val="22"/>
                <w:lang w:val="cs-CZ"/>
              </w:rPr>
            </w:pPr>
            <w:r w:rsidRPr="00A332E9">
              <w:rPr>
                <w:b/>
                <w:bCs/>
                <w:szCs w:val="22"/>
                <w:lang w:val="cs-CZ"/>
              </w:rPr>
              <w:t>Poruchy krvi a lymfatického systému</w:t>
            </w:r>
          </w:p>
        </w:tc>
        <w:tc>
          <w:tcPr>
            <w:tcW w:w="2907" w:type="dxa"/>
            <w:tcBorders>
              <w:top w:val="single" w:sz="4" w:space="0" w:color="000000"/>
              <w:left w:val="single" w:sz="4" w:space="0" w:color="000000"/>
              <w:bottom w:val="single" w:sz="4" w:space="0" w:color="000000"/>
              <w:right w:val="single" w:sz="4" w:space="0" w:color="000000"/>
            </w:tcBorders>
          </w:tcPr>
          <w:p w14:paraId="0A39EAC3" w14:textId="77777777" w:rsidR="00FA4C0A" w:rsidRPr="006F0E8F" w:rsidRDefault="00FA4C0A" w:rsidP="00EB358E">
            <w:pPr>
              <w:autoSpaceDE w:val="0"/>
              <w:autoSpaceDN w:val="0"/>
              <w:adjustRightInd w:val="0"/>
              <w:rPr>
                <w:szCs w:val="22"/>
                <w:lang w:val="cs-CZ"/>
              </w:rPr>
            </w:pPr>
            <w:r w:rsidRPr="006F0E8F">
              <w:rPr>
                <w:szCs w:val="22"/>
                <w:lang w:val="cs-CZ"/>
              </w:rPr>
              <w:t>Trombocytopénia</w:t>
            </w:r>
          </w:p>
        </w:tc>
        <w:tc>
          <w:tcPr>
            <w:tcW w:w="2698" w:type="dxa"/>
            <w:tcBorders>
              <w:top w:val="single" w:sz="4" w:space="0" w:color="000000"/>
              <w:left w:val="single" w:sz="4" w:space="0" w:color="000000"/>
              <w:bottom w:val="single" w:sz="4" w:space="0" w:color="000000"/>
              <w:right w:val="single" w:sz="4" w:space="0" w:color="000000"/>
            </w:tcBorders>
          </w:tcPr>
          <w:p w14:paraId="6AEFDE81" w14:textId="77777777" w:rsidR="00FA4C0A" w:rsidRPr="006F0E8F" w:rsidRDefault="00FA4C0A" w:rsidP="00EB358E">
            <w:pPr>
              <w:autoSpaceDE w:val="0"/>
              <w:autoSpaceDN w:val="0"/>
              <w:adjustRightInd w:val="0"/>
              <w:rPr>
                <w:szCs w:val="22"/>
                <w:lang w:val="cs-CZ"/>
              </w:rPr>
            </w:pPr>
            <w:r w:rsidRPr="006F0E8F">
              <w:rPr>
                <w:szCs w:val="22"/>
                <w:lang w:val="cs-CZ"/>
              </w:rPr>
              <w:t>Neznáme</w:t>
            </w:r>
          </w:p>
        </w:tc>
      </w:tr>
      <w:tr w:rsidR="0013250E" w:rsidRPr="005C3240" w14:paraId="5BE32629" w14:textId="77777777" w:rsidTr="001503E8">
        <w:trPr>
          <w:trHeight w:val="413"/>
        </w:trPr>
        <w:tc>
          <w:tcPr>
            <w:tcW w:w="2697" w:type="dxa"/>
            <w:vMerge w:val="restart"/>
          </w:tcPr>
          <w:p w14:paraId="14CEFDAF" w14:textId="6D54EFF0" w:rsidR="0013250E" w:rsidRPr="005C3240" w:rsidRDefault="007C1E05" w:rsidP="00572EF0">
            <w:pPr>
              <w:autoSpaceDE w:val="0"/>
              <w:autoSpaceDN w:val="0"/>
              <w:adjustRightInd w:val="0"/>
              <w:jc w:val="left"/>
              <w:rPr>
                <w:b/>
                <w:bCs/>
                <w:szCs w:val="22"/>
                <w:lang w:val="cs-CZ"/>
              </w:rPr>
            </w:pPr>
            <w:r w:rsidRPr="007C1E05">
              <w:rPr>
                <w:b/>
                <w:bCs/>
                <w:szCs w:val="22"/>
                <w:lang w:val="cs-CZ"/>
              </w:rPr>
              <w:t>Poruchy nervového systému</w:t>
            </w:r>
          </w:p>
        </w:tc>
        <w:tc>
          <w:tcPr>
            <w:tcW w:w="2907" w:type="dxa"/>
          </w:tcPr>
          <w:p w14:paraId="2AE4F46E" w14:textId="20EBBB0C" w:rsidR="0013250E" w:rsidRPr="005C3240" w:rsidRDefault="007C1E05" w:rsidP="0013250E">
            <w:pPr>
              <w:autoSpaceDE w:val="0"/>
              <w:autoSpaceDN w:val="0"/>
              <w:adjustRightInd w:val="0"/>
              <w:rPr>
                <w:szCs w:val="22"/>
                <w:lang w:val="cs-CZ"/>
              </w:rPr>
            </w:pPr>
            <w:r w:rsidRPr="007C1E05">
              <w:rPr>
                <w:szCs w:val="22"/>
                <w:lang w:val="cs-CZ"/>
              </w:rPr>
              <w:t>Bolesť hlavy</w:t>
            </w:r>
          </w:p>
        </w:tc>
        <w:tc>
          <w:tcPr>
            <w:tcW w:w="2698" w:type="dxa"/>
          </w:tcPr>
          <w:p w14:paraId="0DD267C2" w14:textId="015DAEE3" w:rsidR="0013250E" w:rsidRPr="005C3240" w:rsidRDefault="007C1E05" w:rsidP="0013250E">
            <w:pPr>
              <w:autoSpaceDE w:val="0"/>
              <w:autoSpaceDN w:val="0"/>
              <w:adjustRightInd w:val="0"/>
              <w:rPr>
                <w:szCs w:val="22"/>
                <w:lang w:val="cs-CZ"/>
              </w:rPr>
            </w:pPr>
            <w:r w:rsidRPr="007C1E05">
              <w:rPr>
                <w:szCs w:val="22"/>
                <w:lang w:val="cs-CZ"/>
              </w:rPr>
              <w:t>Veľmi časté</w:t>
            </w:r>
          </w:p>
        </w:tc>
      </w:tr>
      <w:tr w:rsidR="0013250E" w:rsidRPr="005C3240" w14:paraId="6015C80C" w14:textId="77777777" w:rsidTr="001503E8">
        <w:tc>
          <w:tcPr>
            <w:tcW w:w="2697" w:type="dxa"/>
            <w:vMerge/>
          </w:tcPr>
          <w:p w14:paraId="184FBB80" w14:textId="77777777" w:rsidR="0013250E" w:rsidRPr="005C3240" w:rsidRDefault="0013250E" w:rsidP="0013250E">
            <w:pPr>
              <w:autoSpaceDE w:val="0"/>
              <w:autoSpaceDN w:val="0"/>
              <w:adjustRightInd w:val="0"/>
              <w:rPr>
                <w:b/>
                <w:bCs/>
                <w:szCs w:val="22"/>
                <w:lang w:val="cs-CZ"/>
              </w:rPr>
            </w:pPr>
          </w:p>
        </w:tc>
        <w:tc>
          <w:tcPr>
            <w:tcW w:w="2907" w:type="dxa"/>
          </w:tcPr>
          <w:p w14:paraId="45D8E38F" w14:textId="6BD3C48E" w:rsidR="0013250E" w:rsidRPr="005C3240" w:rsidRDefault="007C1E05" w:rsidP="0013250E">
            <w:pPr>
              <w:autoSpaceDE w:val="0"/>
              <w:autoSpaceDN w:val="0"/>
              <w:adjustRightInd w:val="0"/>
              <w:rPr>
                <w:szCs w:val="22"/>
                <w:lang w:val="cs-CZ"/>
              </w:rPr>
            </w:pPr>
            <w:r w:rsidRPr="007C1E05">
              <w:rPr>
                <w:szCs w:val="22"/>
                <w:lang w:val="cs-CZ"/>
              </w:rPr>
              <w:t>Závrat</w:t>
            </w:r>
          </w:p>
        </w:tc>
        <w:tc>
          <w:tcPr>
            <w:tcW w:w="2698" w:type="dxa"/>
          </w:tcPr>
          <w:p w14:paraId="2C9EB86C" w14:textId="0F126F92" w:rsidR="0013250E" w:rsidRPr="005C3240" w:rsidRDefault="0092572F" w:rsidP="0013250E">
            <w:pPr>
              <w:autoSpaceDE w:val="0"/>
              <w:autoSpaceDN w:val="0"/>
              <w:adjustRightInd w:val="0"/>
              <w:rPr>
                <w:szCs w:val="22"/>
                <w:lang w:val="cs-CZ"/>
              </w:rPr>
            </w:pPr>
            <w:r w:rsidRPr="005C3240">
              <w:rPr>
                <w:szCs w:val="22"/>
                <w:lang w:val="cs-CZ"/>
              </w:rPr>
              <w:t>Časté</w:t>
            </w:r>
          </w:p>
        </w:tc>
      </w:tr>
      <w:tr w:rsidR="0013250E" w:rsidRPr="005C3240" w14:paraId="42520B83" w14:textId="77777777" w:rsidTr="001503E8">
        <w:tc>
          <w:tcPr>
            <w:tcW w:w="2697" w:type="dxa"/>
          </w:tcPr>
          <w:p w14:paraId="67544DCC" w14:textId="247B34F8" w:rsidR="0013250E" w:rsidRPr="005C3240" w:rsidRDefault="00B3444D" w:rsidP="0013250E">
            <w:pPr>
              <w:autoSpaceDE w:val="0"/>
              <w:autoSpaceDN w:val="0"/>
              <w:adjustRightInd w:val="0"/>
              <w:rPr>
                <w:b/>
                <w:szCs w:val="22"/>
                <w:lang w:val="cs-CZ"/>
              </w:rPr>
            </w:pPr>
            <w:r w:rsidRPr="00B3444D">
              <w:rPr>
                <w:b/>
                <w:szCs w:val="22"/>
                <w:lang w:val="cs-CZ"/>
              </w:rPr>
              <w:t>Poruchy srdca a srdcovej činnosti</w:t>
            </w:r>
          </w:p>
        </w:tc>
        <w:tc>
          <w:tcPr>
            <w:tcW w:w="2907" w:type="dxa"/>
          </w:tcPr>
          <w:p w14:paraId="283983E5" w14:textId="335100E3" w:rsidR="0013250E" w:rsidRPr="005C3240" w:rsidRDefault="00B3444D" w:rsidP="0013250E">
            <w:pPr>
              <w:autoSpaceDE w:val="0"/>
              <w:autoSpaceDN w:val="0"/>
              <w:adjustRightInd w:val="0"/>
              <w:rPr>
                <w:szCs w:val="22"/>
                <w:lang w:val="cs-CZ"/>
              </w:rPr>
            </w:pPr>
            <w:r w:rsidRPr="00B3444D">
              <w:rPr>
                <w:szCs w:val="22"/>
                <w:lang w:val="cs-CZ"/>
              </w:rPr>
              <w:t>Zlyhanie s vysokým srdcovým výdajom</w:t>
            </w:r>
          </w:p>
        </w:tc>
        <w:tc>
          <w:tcPr>
            <w:tcW w:w="2698" w:type="dxa"/>
          </w:tcPr>
          <w:p w14:paraId="4185BA8A" w14:textId="07D84209"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75EA0500" w14:textId="77777777" w:rsidTr="001503E8">
        <w:tc>
          <w:tcPr>
            <w:tcW w:w="2697" w:type="dxa"/>
            <w:vMerge w:val="restart"/>
          </w:tcPr>
          <w:p w14:paraId="343BE4F0" w14:textId="0216F5C2" w:rsidR="0013250E" w:rsidRPr="005C3240" w:rsidRDefault="00B3444D" w:rsidP="0013250E">
            <w:pPr>
              <w:autoSpaceDE w:val="0"/>
              <w:autoSpaceDN w:val="0"/>
              <w:adjustRightInd w:val="0"/>
              <w:rPr>
                <w:b/>
                <w:szCs w:val="22"/>
                <w:lang w:val="cs-CZ"/>
              </w:rPr>
            </w:pPr>
            <w:r w:rsidRPr="00500315">
              <w:rPr>
                <w:b/>
                <w:bCs/>
                <w:iCs/>
                <w:szCs w:val="22"/>
                <w:lang w:val="sk-SK"/>
              </w:rPr>
              <w:t>Poruchy ciev</w:t>
            </w:r>
          </w:p>
        </w:tc>
        <w:tc>
          <w:tcPr>
            <w:tcW w:w="2907" w:type="dxa"/>
          </w:tcPr>
          <w:p w14:paraId="5FE0F9D5" w14:textId="1EF2D2B2" w:rsidR="0013250E" w:rsidRPr="005C3240" w:rsidRDefault="00B3444D" w:rsidP="00B3444D">
            <w:pPr>
              <w:autoSpaceDE w:val="0"/>
              <w:autoSpaceDN w:val="0"/>
              <w:adjustRightInd w:val="0"/>
              <w:jc w:val="left"/>
              <w:rPr>
                <w:szCs w:val="22"/>
                <w:lang w:val="cs-CZ"/>
              </w:rPr>
            </w:pPr>
            <w:r w:rsidRPr="00B3444D">
              <w:rPr>
                <w:szCs w:val="22"/>
                <w:lang w:val="cs-CZ"/>
              </w:rPr>
              <w:t>Vazodilatácia, návaly horúčavy</w:t>
            </w:r>
          </w:p>
        </w:tc>
        <w:tc>
          <w:tcPr>
            <w:tcW w:w="2698" w:type="dxa"/>
          </w:tcPr>
          <w:p w14:paraId="2447EA08" w14:textId="09AFE89B" w:rsidR="0013250E" w:rsidRPr="005C3240" w:rsidRDefault="00955EE4" w:rsidP="0013250E">
            <w:pPr>
              <w:autoSpaceDE w:val="0"/>
              <w:autoSpaceDN w:val="0"/>
              <w:adjustRightInd w:val="0"/>
              <w:rPr>
                <w:szCs w:val="22"/>
                <w:lang w:val="cs-CZ"/>
              </w:rPr>
            </w:pPr>
            <w:r w:rsidRPr="005C3240">
              <w:rPr>
                <w:szCs w:val="22"/>
                <w:lang w:val="cs-CZ"/>
              </w:rPr>
              <w:t>Ve</w:t>
            </w:r>
            <w:r w:rsidR="00B3444D">
              <w:rPr>
                <w:szCs w:val="22"/>
                <w:lang w:val="cs-CZ"/>
              </w:rPr>
              <w:t>ľ</w:t>
            </w:r>
            <w:r w:rsidRPr="005C3240">
              <w:rPr>
                <w:szCs w:val="22"/>
                <w:lang w:val="cs-CZ"/>
              </w:rPr>
              <w:t>mi časté</w:t>
            </w:r>
          </w:p>
        </w:tc>
      </w:tr>
      <w:tr w:rsidR="0013250E" w:rsidRPr="005C3240" w14:paraId="16116E5A" w14:textId="77777777" w:rsidTr="001503E8">
        <w:tc>
          <w:tcPr>
            <w:tcW w:w="2697" w:type="dxa"/>
            <w:vMerge/>
          </w:tcPr>
          <w:p w14:paraId="54E2B82E" w14:textId="77777777" w:rsidR="0013250E" w:rsidRPr="005C3240" w:rsidRDefault="0013250E" w:rsidP="0013250E">
            <w:pPr>
              <w:autoSpaceDE w:val="0"/>
              <w:autoSpaceDN w:val="0"/>
              <w:adjustRightInd w:val="0"/>
              <w:rPr>
                <w:b/>
                <w:szCs w:val="22"/>
                <w:lang w:val="cs-CZ"/>
              </w:rPr>
            </w:pPr>
          </w:p>
        </w:tc>
        <w:tc>
          <w:tcPr>
            <w:tcW w:w="2907" w:type="dxa"/>
          </w:tcPr>
          <w:p w14:paraId="18C09AD3" w14:textId="6B5AFA8E" w:rsidR="0013250E" w:rsidRPr="005C3240" w:rsidRDefault="00955EE4" w:rsidP="0013250E">
            <w:pPr>
              <w:autoSpaceDE w:val="0"/>
              <w:autoSpaceDN w:val="0"/>
              <w:adjustRightInd w:val="0"/>
              <w:rPr>
                <w:szCs w:val="22"/>
                <w:lang w:val="cs-CZ"/>
              </w:rPr>
            </w:pPr>
            <w:r w:rsidRPr="005C3240">
              <w:rPr>
                <w:szCs w:val="22"/>
                <w:lang w:val="cs-CZ"/>
              </w:rPr>
              <w:t>Hypotenz</w:t>
            </w:r>
            <w:r w:rsidR="00B3444D">
              <w:rPr>
                <w:szCs w:val="22"/>
                <w:lang w:val="cs-CZ"/>
              </w:rPr>
              <w:t>ia</w:t>
            </w:r>
            <w:r w:rsidR="0013250E" w:rsidRPr="005C3240">
              <w:rPr>
                <w:szCs w:val="22"/>
                <w:lang w:val="cs-CZ"/>
              </w:rPr>
              <w:t xml:space="preserve"> </w:t>
            </w:r>
          </w:p>
        </w:tc>
        <w:tc>
          <w:tcPr>
            <w:tcW w:w="2698" w:type="dxa"/>
          </w:tcPr>
          <w:p w14:paraId="30004986" w14:textId="2FA7A471" w:rsidR="0013250E" w:rsidRPr="005C3240" w:rsidRDefault="00955EE4" w:rsidP="0013250E">
            <w:pPr>
              <w:autoSpaceDE w:val="0"/>
              <w:autoSpaceDN w:val="0"/>
              <w:adjustRightInd w:val="0"/>
              <w:rPr>
                <w:szCs w:val="22"/>
                <w:lang w:val="cs-CZ"/>
              </w:rPr>
            </w:pPr>
            <w:r w:rsidRPr="005C3240">
              <w:rPr>
                <w:szCs w:val="22"/>
                <w:lang w:val="cs-CZ"/>
              </w:rPr>
              <w:t>Časté</w:t>
            </w:r>
          </w:p>
        </w:tc>
      </w:tr>
      <w:tr w:rsidR="0013250E" w:rsidRPr="005C3240" w14:paraId="01C072F0" w14:textId="77777777" w:rsidTr="001503E8">
        <w:tc>
          <w:tcPr>
            <w:tcW w:w="2697" w:type="dxa"/>
            <w:vMerge/>
          </w:tcPr>
          <w:p w14:paraId="23466A25" w14:textId="77777777" w:rsidR="0013250E" w:rsidRPr="005C3240" w:rsidRDefault="0013250E" w:rsidP="0013250E">
            <w:pPr>
              <w:autoSpaceDE w:val="0"/>
              <w:autoSpaceDN w:val="0"/>
              <w:adjustRightInd w:val="0"/>
              <w:rPr>
                <w:b/>
                <w:szCs w:val="22"/>
                <w:lang w:val="cs-CZ"/>
              </w:rPr>
            </w:pPr>
          </w:p>
        </w:tc>
        <w:tc>
          <w:tcPr>
            <w:tcW w:w="2907" w:type="dxa"/>
          </w:tcPr>
          <w:p w14:paraId="5F62C08A" w14:textId="468964A8" w:rsidR="0013250E" w:rsidRPr="005C3240" w:rsidRDefault="00B3444D" w:rsidP="0013250E">
            <w:pPr>
              <w:autoSpaceDE w:val="0"/>
              <w:autoSpaceDN w:val="0"/>
              <w:adjustRightInd w:val="0"/>
              <w:rPr>
                <w:szCs w:val="22"/>
                <w:lang w:val="cs-CZ"/>
              </w:rPr>
            </w:pPr>
            <w:r w:rsidRPr="00B3444D">
              <w:rPr>
                <w:szCs w:val="22"/>
                <w:lang w:val="cs-CZ"/>
              </w:rPr>
              <w:t xml:space="preserve">Príhoda krvácania </w:t>
            </w:r>
            <w:r w:rsidR="0013250E" w:rsidRPr="005C3240">
              <w:rPr>
                <w:sz w:val="28"/>
                <w:szCs w:val="22"/>
                <w:vertAlign w:val="superscript"/>
                <w:lang w:val="cs-CZ"/>
              </w:rPr>
              <w:t>§</w:t>
            </w:r>
          </w:p>
        </w:tc>
        <w:tc>
          <w:tcPr>
            <w:tcW w:w="2698" w:type="dxa"/>
          </w:tcPr>
          <w:p w14:paraId="6A8169B0" w14:textId="049D89E2" w:rsidR="0013250E" w:rsidRPr="005C3240" w:rsidRDefault="00955EE4" w:rsidP="0013250E">
            <w:pPr>
              <w:autoSpaceDE w:val="0"/>
              <w:autoSpaceDN w:val="0"/>
              <w:adjustRightInd w:val="0"/>
              <w:rPr>
                <w:szCs w:val="22"/>
                <w:lang w:val="cs-CZ"/>
              </w:rPr>
            </w:pPr>
            <w:r w:rsidRPr="005C3240">
              <w:rPr>
                <w:szCs w:val="22"/>
                <w:lang w:val="cs-CZ"/>
              </w:rPr>
              <w:t>Časté</w:t>
            </w:r>
            <w:r w:rsidR="0013250E" w:rsidRPr="005C3240">
              <w:rPr>
                <w:szCs w:val="22"/>
                <w:lang w:val="cs-CZ"/>
              </w:rPr>
              <w:t xml:space="preserve"> </w:t>
            </w:r>
          </w:p>
        </w:tc>
      </w:tr>
      <w:tr w:rsidR="0013250E" w:rsidRPr="005C3240" w14:paraId="3CD7EA67" w14:textId="77777777" w:rsidTr="001503E8">
        <w:tc>
          <w:tcPr>
            <w:tcW w:w="2697" w:type="dxa"/>
            <w:vMerge/>
          </w:tcPr>
          <w:p w14:paraId="0BD414D3" w14:textId="77777777" w:rsidR="0013250E" w:rsidRPr="005C3240" w:rsidRDefault="0013250E" w:rsidP="0013250E">
            <w:pPr>
              <w:autoSpaceDE w:val="0"/>
              <w:autoSpaceDN w:val="0"/>
              <w:adjustRightInd w:val="0"/>
              <w:rPr>
                <w:b/>
                <w:szCs w:val="22"/>
                <w:lang w:val="cs-CZ"/>
              </w:rPr>
            </w:pPr>
          </w:p>
        </w:tc>
        <w:tc>
          <w:tcPr>
            <w:tcW w:w="2907" w:type="dxa"/>
          </w:tcPr>
          <w:p w14:paraId="622F8ABD" w14:textId="0C30D0AF" w:rsidR="0013250E" w:rsidRPr="005C3240" w:rsidRDefault="00955EE4" w:rsidP="0013250E">
            <w:pPr>
              <w:autoSpaceDE w:val="0"/>
              <w:autoSpaceDN w:val="0"/>
              <w:adjustRightInd w:val="0"/>
              <w:rPr>
                <w:szCs w:val="22"/>
                <w:lang w:val="cs-CZ"/>
              </w:rPr>
            </w:pPr>
            <w:r w:rsidRPr="005C3240">
              <w:rPr>
                <w:szCs w:val="22"/>
                <w:lang w:val="cs-CZ"/>
              </w:rPr>
              <w:t>Tromboflebit</w:t>
            </w:r>
            <w:r w:rsidR="00B3444D">
              <w:rPr>
                <w:szCs w:val="22"/>
                <w:lang w:val="cs-CZ"/>
              </w:rPr>
              <w:t>í</w:t>
            </w:r>
            <w:r w:rsidRPr="005C3240">
              <w:rPr>
                <w:szCs w:val="22"/>
                <w:lang w:val="cs-CZ"/>
              </w:rPr>
              <w:t>da</w:t>
            </w:r>
            <w:r w:rsidR="0013250E" w:rsidRPr="005C3240">
              <w:rPr>
                <w:szCs w:val="22"/>
                <w:lang w:val="cs-CZ"/>
              </w:rPr>
              <w:t xml:space="preserve">*  </w:t>
            </w:r>
          </w:p>
        </w:tc>
        <w:tc>
          <w:tcPr>
            <w:tcW w:w="2698" w:type="dxa"/>
          </w:tcPr>
          <w:p w14:paraId="54EA5551" w14:textId="4C857BBF"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14EAC879" w14:textId="77777777" w:rsidTr="001503E8">
        <w:tc>
          <w:tcPr>
            <w:tcW w:w="2697" w:type="dxa"/>
            <w:vMerge w:val="restart"/>
          </w:tcPr>
          <w:p w14:paraId="2DCED7DF" w14:textId="150B38EE" w:rsidR="0013250E" w:rsidRPr="005C3240" w:rsidRDefault="00A11DCF" w:rsidP="0013250E">
            <w:pPr>
              <w:autoSpaceDE w:val="0"/>
              <w:autoSpaceDN w:val="0"/>
              <w:adjustRightInd w:val="0"/>
              <w:rPr>
                <w:b/>
                <w:szCs w:val="22"/>
                <w:lang w:val="cs-CZ"/>
              </w:rPr>
            </w:pPr>
            <w:r w:rsidRPr="00A11DCF">
              <w:rPr>
                <w:b/>
                <w:szCs w:val="22"/>
                <w:lang w:val="cs-CZ"/>
              </w:rPr>
              <w:t>Poruchy gastrointestinálneho traktu</w:t>
            </w:r>
          </w:p>
        </w:tc>
        <w:tc>
          <w:tcPr>
            <w:tcW w:w="2907" w:type="dxa"/>
          </w:tcPr>
          <w:p w14:paraId="6DF102F8" w14:textId="0DC70668" w:rsidR="0013250E" w:rsidRPr="005C3240" w:rsidRDefault="00A11DCF" w:rsidP="0013250E">
            <w:pPr>
              <w:autoSpaceDE w:val="0"/>
              <w:autoSpaceDN w:val="0"/>
              <w:adjustRightInd w:val="0"/>
              <w:rPr>
                <w:szCs w:val="22"/>
                <w:lang w:val="cs-CZ"/>
              </w:rPr>
            </w:pPr>
            <w:r w:rsidRPr="00A11DCF">
              <w:rPr>
                <w:szCs w:val="22"/>
                <w:lang w:val="cs-CZ"/>
              </w:rPr>
              <w:t>Hnačka, nevoľnosť</w:t>
            </w:r>
          </w:p>
        </w:tc>
        <w:tc>
          <w:tcPr>
            <w:tcW w:w="2698" w:type="dxa"/>
          </w:tcPr>
          <w:p w14:paraId="2AC9A5CF" w14:textId="7F33EEBC" w:rsidR="0013250E" w:rsidRPr="005C3240" w:rsidRDefault="00D6592C" w:rsidP="0013250E">
            <w:pPr>
              <w:autoSpaceDE w:val="0"/>
              <w:autoSpaceDN w:val="0"/>
              <w:adjustRightInd w:val="0"/>
              <w:rPr>
                <w:szCs w:val="22"/>
                <w:lang w:val="cs-CZ"/>
              </w:rPr>
            </w:pPr>
            <w:r w:rsidRPr="005C3240">
              <w:rPr>
                <w:szCs w:val="22"/>
                <w:lang w:val="cs-CZ"/>
              </w:rPr>
              <w:t>Ve</w:t>
            </w:r>
            <w:r w:rsidR="00DF2DF6">
              <w:rPr>
                <w:szCs w:val="22"/>
                <w:lang w:val="cs-CZ"/>
              </w:rPr>
              <w:t>ľ</w:t>
            </w:r>
            <w:r w:rsidRPr="005C3240">
              <w:rPr>
                <w:szCs w:val="22"/>
                <w:lang w:val="cs-CZ"/>
              </w:rPr>
              <w:t>mi časté</w:t>
            </w:r>
          </w:p>
        </w:tc>
      </w:tr>
      <w:tr w:rsidR="0013250E" w:rsidRPr="005C3240" w14:paraId="707D96F1" w14:textId="77777777" w:rsidTr="001503E8">
        <w:tc>
          <w:tcPr>
            <w:tcW w:w="2697" w:type="dxa"/>
            <w:vMerge/>
          </w:tcPr>
          <w:p w14:paraId="3DD52EDF" w14:textId="77777777" w:rsidR="0013250E" w:rsidRPr="005C3240" w:rsidRDefault="0013250E" w:rsidP="0013250E">
            <w:pPr>
              <w:autoSpaceDE w:val="0"/>
              <w:autoSpaceDN w:val="0"/>
              <w:adjustRightInd w:val="0"/>
              <w:rPr>
                <w:b/>
                <w:szCs w:val="22"/>
                <w:lang w:val="cs-CZ"/>
              </w:rPr>
            </w:pPr>
          </w:p>
        </w:tc>
        <w:tc>
          <w:tcPr>
            <w:tcW w:w="2907" w:type="dxa"/>
          </w:tcPr>
          <w:p w14:paraId="3673FB9A" w14:textId="709F8925" w:rsidR="0013250E" w:rsidRPr="005C3240" w:rsidRDefault="00633D3E" w:rsidP="0013250E">
            <w:pPr>
              <w:autoSpaceDE w:val="0"/>
              <w:autoSpaceDN w:val="0"/>
              <w:adjustRightInd w:val="0"/>
              <w:rPr>
                <w:szCs w:val="22"/>
                <w:lang w:val="cs-CZ"/>
              </w:rPr>
            </w:pPr>
            <w:r w:rsidRPr="00633D3E">
              <w:rPr>
                <w:szCs w:val="22"/>
                <w:lang w:val="cs-CZ"/>
              </w:rPr>
              <w:t>Vracanie</w:t>
            </w:r>
          </w:p>
        </w:tc>
        <w:tc>
          <w:tcPr>
            <w:tcW w:w="2698" w:type="dxa"/>
          </w:tcPr>
          <w:p w14:paraId="1A880D94" w14:textId="32A592F5"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2136136" w14:textId="77777777" w:rsidTr="001503E8">
        <w:tc>
          <w:tcPr>
            <w:tcW w:w="2697" w:type="dxa"/>
            <w:vMerge w:val="restart"/>
          </w:tcPr>
          <w:p w14:paraId="0E198E5F" w14:textId="6085A838" w:rsidR="0013250E" w:rsidRPr="005C3240" w:rsidRDefault="00633D3E" w:rsidP="00633D3E">
            <w:pPr>
              <w:autoSpaceDE w:val="0"/>
              <w:autoSpaceDN w:val="0"/>
              <w:adjustRightInd w:val="0"/>
              <w:jc w:val="left"/>
              <w:rPr>
                <w:b/>
                <w:szCs w:val="22"/>
                <w:lang w:val="cs-CZ"/>
              </w:rPr>
            </w:pPr>
            <w:r w:rsidRPr="00633D3E">
              <w:rPr>
                <w:b/>
                <w:szCs w:val="22"/>
                <w:lang w:val="cs-CZ"/>
              </w:rPr>
              <w:t>Poruchy kože a podkožného tkaniva</w:t>
            </w:r>
          </w:p>
        </w:tc>
        <w:tc>
          <w:tcPr>
            <w:tcW w:w="2907" w:type="dxa"/>
          </w:tcPr>
          <w:p w14:paraId="06873499" w14:textId="6B541E75" w:rsidR="0013250E" w:rsidRPr="005C3240" w:rsidRDefault="00D6592C" w:rsidP="0013250E">
            <w:pPr>
              <w:autoSpaceDE w:val="0"/>
              <w:autoSpaceDN w:val="0"/>
              <w:adjustRightInd w:val="0"/>
              <w:rPr>
                <w:szCs w:val="22"/>
                <w:lang w:val="cs-CZ"/>
              </w:rPr>
            </w:pPr>
            <w:r w:rsidRPr="005C3240">
              <w:rPr>
                <w:szCs w:val="22"/>
                <w:lang w:val="cs-CZ"/>
              </w:rPr>
              <w:t>Vyrážka</w:t>
            </w:r>
          </w:p>
        </w:tc>
        <w:tc>
          <w:tcPr>
            <w:tcW w:w="2698" w:type="dxa"/>
          </w:tcPr>
          <w:p w14:paraId="09371AFF" w14:textId="673787E6" w:rsidR="0013250E" w:rsidRPr="005C3240" w:rsidRDefault="00D6592C" w:rsidP="0013250E">
            <w:pPr>
              <w:autoSpaceDE w:val="0"/>
              <w:autoSpaceDN w:val="0"/>
              <w:adjustRightInd w:val="0"/>
              <w:rPr>
                <w:szCs w:val="22"/>
                <w:lang w:val="cs-CZ"/>
              </w:rPr>
            </w:pPr>
            <w:r w:rsidRPr="005C3240">
              <w:rPr>
                <w:szCs w:val="22"/>
                <w:lang w:val="cs-CZ"/>
              </w:rPr>
              <w:t>Ve</w:t>
            </w:r>
            <w:r w:rsidR="00633D3E">
              <w:rPr>
                <w:szCs w:val="22"/>
                <w:lang w:val="cs-CZ"/>
              </w:rPr>
              <w:t>ľ</w:t>
            </w:r>
            <w:r w:rsidRPr="005C3240">
              <w:rPr>
                <w:szCs w:val="22"/>
                <w:lang w:val="cs-CZ"/>
              </w:rPr>
              <w:t>mi časté</w:t>
            </w:r>
          </w:p>
        </w:tc>
      </w:tr>
      <w:tr w:rsidR="0013250E" w:rsidRPr="005C3240" w14:paraId="4EEE2B91" w14:textId="77777777" w:rsidTr="001503E8">
        <w:tc>
          <w:tcPr>
            <w:tcW w:w="2697" w:type="dxa"/>
            <w:vMerge/>
          </w:tcPr>
          <w:p w14:paraId="5F95F545" w14:textId="77777777" w:rsidR="0013250E" w:rsidRPr="005C3240" w:rsidRDefault="0013250E" w:rsidP="0013250E">
            <w:pPr>
              <w:autoSpaceDE w:val="0"/>
              <w:autoSpaceDN w:val="0"/>
              <w:adjustRightInd w:val="0"/>
              <w:rPr>
                <w:b/>
                <w:szCs w:val="22"/>
                <w:lang w:val="cs-CZ"/>
              </w:rPr>
            </w:pPr>
          </w:p>
        </w:tc>
        <w:tc>
          <w:tcPr>
            <w:tcW w:w="2907" w:type="dxa"/>
          </w:tcPr>
          <w:p w14:paraId="16EF3A73" w14:textId="34C936C0" w:rsidR="0013250E" w:rsidRPr="005C3240" w:rsidRDefault="00633D3E" w:rsidP="0013250E">
            <w:pPr>
              <w:autoSpaceDE w:val="0"/>
              <w:autoSpaceDN w:val="0"/>
              <w:adjustRightInd w:val="0"/>
              <w:rPr>
                <w:szCs w:val="22"/>
                <w:lang w:val="cs-CZ"/>
              </w:rPr>
            </w:pPr>
            <w:r w:rsidRPr="00633D3E">
              <w:rPr>
                <w:szCs w:val="22"/>
                <w:lang w:val="cs-CZ"/>
              </w:rPr>
              <w:t>Pruritus</w:t>
            </w:r>
          </w:p>
        </w:tc>
        <w:tc>
          <w:tcPr>
            <w:tcW w:w="2698" w:type="dxa"/>
          </w:tcPr>
          <w:p w14:paraId="72A21435" w14:textId="2E87086B"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17C59184" w14:textId="77777777" w:rsidTr="001503E8">
        <w:tc>
          <w:tcPr>
            <w:tcW w:w="2697" w:type="dxa"/>
            <w:vMerge/>
          </w:tcPr>
          <w:p w14:paraId="61CD49C9" w14:textId="77777777" w:rsidR="0013250E" w:rsidRPr="005C3240" w:rsidRDefault="0013250E" w:rsidP="0013250E">
            <w:pPr>
              <w:autoSpaceDE w:val="0"/>
              <w:autoSpaceDN w:val="0"/>
              <w:adjustRightInd w:val="0"/>
              <w:rPr>
                <w:b/>
                <w:szCs w:val="22"/>
                <w:lang w:val="cs-CZ"/>
              </w:rPr>
            </w:pPr>
          </w:p>
        </w:tc>
        <w:tc>
          <w:tcPr>
            <w:tcW w:w="2907" w:type="dxa"/>
          </w:tcPr>
          <w:p w14:paraId="1B9495EA" w14:textId="7DBB4B0C" w:rsidR="0013250E" w:rsidRPr="005C3240" w:rsidRDefault="00633D3E" w:rsidP="00633D3E">
            <w:pPr>
              <w:autoSpaceDE w:val="0"/>
              <w:autoSpaceDN w:val="0"/>
              <w:adjustRightInd w:val="0"/>
              <w:jc w:val="left"/>
              <w:rPr>
                <w:szCs w:val="22"/>
                <w:lang w:val="cs-CZ"/>
              </w:rPr>
            </w:pPr>
            <w:r w:rsidRPr="00633D3E">
              <w:rPr>
                <w:szCs w:val="22"/>
                <w:lang w:val="cs-CZ"/>
              </w:rPr>
              <w:t>Generalizovaná vyrážka (makulárna alebo papulárna)</w:t>
            </w:r>
          </w:p>
        </w:tc>
        <w:tc>
          <w:tcPr>
            <w:tcW w:w="2698" w:type="dxa"/>
          </w:tcPr>
          <w:p w14:paraId="2E47E915" w14:textId="0A221E7F" w:rsidR="0013250E" w:rsidRPr="005C3240" w:rsidRDefault="00633D3E" w:rsidP="0013250E">
            <w:pPr>
              <w:autoSpaceDE w:val="0"/>
              <w:autoSpaceDN w:val="0"/>
              <w:adjustRightInd w:val="0"/>
              <w:rPr>
                <w:szCs w:val="22"/>
                <w:lang w:val="cs-CZ"/>
              </w:rPr>
            </w:pPr>
            <w:r w:rsidRPr="00500315">
              <w:rPr>
                <w:bCs/>
                <w:iCs/>
                <w:szCs w:val="22"/>
                <w:lang w:val="sk-SK"/>
              </w:rPr>
              <w:t>Neznáme</w:t>
            </w:r>
          </w:p>
        </w:tc>
      </w:tr>
      <w:tr w:rsidR="0013250E" w:rsidRPr="005C3240" w14:paraId="33B234EA" w14:textId="77777777" w:rsidTr="001503E8">
        <w:tc>
          <w:tcPr>
            <w:tcW w:w="2697" w:type="dxa"/>
            <w:vMerge w:val="restart"/>
          </w:tcPr>
          <w:p w14:paraId="5C850D69" w14:textId="47F13A38" w:rsidR="0013250E" w:rsidRPr="005C3240" w:rsidRDefault="002E7899" w:rsidP="002E7899">
            <w:pPr>
              <w:autoSpaceDE w:val="0"/>
              <w:autoSpaceDN w:val="0"/>
              <w:adjustRightInd w:val="0"/>
              <w:jc w:val="left"/>
              <w:rPr>
                <w:b/>
                <w:szCs w:val="22"/>
                <w:lang w:val="cs-CZ"/>
              </w:rPr>
            </w:pPr>
            <w:r w:rsidRPr="002E7899">
              <w:rPr>
                <w:b/>
                <w:szCs w:val="22"/>
                <w:lang w:val="cs-CZ"/>
              </w:rPr>
              <w:t>Poruchy kostrovej a svalovej sústavy a spojivového tkaniva</w:t>
            </w:r>
          </w:p>
        </w:tc>
        <w:tc>
          <w:tcPr>
            <w:tcW w:w="2907" w:type="dxa"/>
          </w:tcPr>
          <w:p w14:paraId="490B6277" w14:textId="60B322A2" w:rsidR="0013250E" w:rsidRPr="005C3240" w:rsidRDefault="002E7899" w:rsidP="0013250E">
            <w:pPr>
              <w:autoSpaceDE w:val="0"/>
              <w:autoSpaceDN w:val="0"/>
              <w:adjustRightInd w:val="0"/>
              <w:rPr>
                <w:szCs w:val="22"/>
                <w:lang w:val="cs-CZ"/>
              </w:rPr>
            </w:pPr>
            <w:r w:rsidRPr="002E7899">
              <w:rPr>
                <w:szCs w:val="22"/>
                <w:lang w:val="cs-CZ"/>
              </w:rPr>
              <w:t>Bolesť čeľuste</w:t>
            </w:r>
          </w:p>
        </w:tc>
        <w:tc>
          <w:tcPr>
            <w:tcW w:w="2698" w:type="dxa"/>
          </w:tcPr>
          <w:p w14:paraId="429D9D8E" w14:textId="3C8DCE59" w:rsidR="0013250E" w:rsidRPr="005C3240" w:rsidRDefault="002E7899" w:rsidP="0013250E">
            <w:pPr>
              <w:autoSpaceDE w:val="0"/>
              <w:autoSpaceDN w:val="0"/>
              <w:adjustRightInd w:val="0"/>
              <w:rPr>
                <w:szCs w:val="22"/>
                <w:lang w:val="cs-CZ"/>
              </w:rPr>
            </w:pPr>
            <w:r w:rsidRPr="00C04313">
              <w:rPr>
                <w:szCs w:val="22"/>
                <w:lang w:val="sk-SK"/>
              </w:rPr>
              <w:t>Veľmi časté</w:t>
            </w:r>
          </w:p>
        </w:tc>
      </w:tr>
      <w:tr w:rsidR="0013250E" w:rsidRPr="005C3240" w14:paraId="352EBE7B" w14:textId="77777777" w:rsidTr="001503E8">
        <w:tc>
          <w:tcPr>
            <w:tcW w:w="2697" w:type="dxa"/>
            <w:vMerge/>
          </w:tcPr>
          <w:p w14:paraId="66D3FC8D" w14:textId="77777777" w:rsidR="0013250E" w:rsidRPr="005C3240" w:rsidRDefault="0013250E" w:rsidP="0013250E">
            <w:pPr>
              <w:autoSpaceDE w:val="0"/>
              <w:autoSpaceDN w:val="0"/>
              <w:adjustRightInd w:val="0"/>
              <w:rPr>
                <w:b/>
                <w:szCs w:val="22"/>
                <w:lang w:val="cs-CZ"/>
              </w:rPr>
            </w:pPr>
          </w:p>
        </w:tc>
        <w:tc>
          <w:tcPr>
            <w:tcW w:w="2907" w:type="dxa"/>
          </w:tcPr>
          <w:p w14:paraId="6D8C9B97" w14:textId="246C2940" w:rsidR="0013250E" w:rsidRPr="005C3240" w:rsidRDefault="008062B5" w:rsidP="0013250E">
            <w:pPr>
              <w:autoSpaceDE w:val="0"/>
              <w:autoSpaceDN w:val="0"/>
              <w:adjustRightInd w:val="0"/>
              <w:rPr>
                <w:szCs w:val="22"/>
                <w:lang w:val="cs-CZ"/>
              </w:rPr>
            </w:pPr>
            <w:r w:rsidRPr="005C3240">
              <w:rPr>
                <w:szCs w:val="22"/>
                <w:lang w:val="cs-CZ"/>
              </w:rPr>
              <w:t>Myalgi</w:t>
            </w:r>
            <w:r w:rsidR="00883221">
              <w:rPr>
                <w:szCs w:val="22"/>
                <w:lang w:val="cs-CZ"/>
              </w:rPr>
              <w:t>a</w:t>
            </w:r>
            <w:r w:rsidRPr="005C3240">
              <w:rPr>
                <w:szCs w:val="22"/>
                <w:lang w:val="cs-CZ"/>
              </w:rPr>
              <w:t>, artralgi</w:t>
            </w:r>
            <w:r w:rsidR="00883221">
              <w:rPr>
                <w:szCs w:val="22"/>
                <w:lang w:val="cs-CZ"/>
              </w:rPr>
              <w:t>a</w:t>
            </w:r>
          </w:p>
        </w:tc>
        <w:tc>
          <w:tcPr>
            <w:tcW w:w="2698" w:type="dxa"/>
          </w:tcPr>
          <w:p w14:paraId="4639DF0D" w14:textId="32418B77"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5A0E9296" w14:textId="77777777" w:rsidTr="001503E8">
        <w:tc>
          <w:tcPr>
            <w:tcW w:w="2697" w:type="dxa"/>
            <w:vMerge/>
          </w:tcPr>
          <w:p w14:paraId="387816D4" w14:textId="77777777" w:rsidR="0013250E" w:rsidRPr="005C3240" w:rsidRDefault="0013250E" w:rsidP="0013250E">
            <w:pPr>
              <w:autoSpaceDE w:val="0"/>
              <w:autoSpaceDN w:val="0"/>
              <w:adjustRightInd w:val="0"/>
              <w:rPr>
                <w:b/>
                <w:szCs w:val="22"/>
                <w:lang w:val="cs-CZ"/>
              </w:rPr>
            </w:pPr>
          </w:p>
        </w:tc>
        <w:tc>
          <w:tcPr>
            <w:tcW w:w="2907" w:type="dxa"/>
          </w:tcPr>
          <w:p w14:paraId="721087DF" w14:textId="792DB162" w:rsidR="0013250E" w:rsidRPr="005C3240" w:rsidRDefault="00883221" w:rsidP="0013250E">
            <w:pPr>
              <w:autoSpaceDE w:val="0"/>
              <w:autoSpaceDN w:val="0"/>
              <w:adjustRightInd w:val="0"/>
              <w:rPr>
                <w:szCs w:val="22"/>
                <w:lang w:val="cs-CZ"/>
              </w:rPr>
            </w:pPr>
            <w:r w:rsidRPr="00C04313">
              <w:rPr>
                <w:szCs w:val="22"/>
                <w:lang w:val="sk-SK"/>
              </w:rPr>
              <w:t xml:space="preserve">Bolesť </w:t>
            </w:r>
            <w:r>
              <w:rPr>
                <w:szCs w:val="22"/>
                <w:lang w:val="sk-SK"/>
              </w:rPr>
              <w:t xml:space="preserve">v </w:t>
            </w:r>
            <w:r w:rsidRPr="00C04313">
              <w:rPr>
                <w:szCs w:val="22"/>
                <w:lang w:val="sk-SK"/>
              </w:rPr>
              <w:t>končat</w:t>
            </w:r>
            <w:r>
              <w:rPr>
                <w:szCs w:val="22"/>
                <w:lang w:val="sk-SK"/>
              </w:rPr>
              <w:t>inách</w:t>
            </w:r>
          </w:p>
        </w:tc>
        <w:tc>
          <w:tcPr>
            <w:tcW w:w="2698" w:type="dxa"/>
          </w:tcPr>
          <w:p w14:paraId="7F397370" w14:textId="566EAB2C"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6DEA1C1" w14:textId="77777777" w:rsidTr="001503E8">
        <w:tc>
          <w:tcPr>
            <w:tcW w:w="2697" w:type="dxa"/>
            <w:vMerge/>
          </w:tcPr>
          <w:p w14:paraId="33CEE321" w14:textId="77777777" w:rsidR="0013250E" w:rsidRPr="005C3240" w:rsidRDefault="0013250E" w:rsidP="0013250E">
            <w:pPr>
              <w:autoSpaceDE w:val="0"/>
              <w:autoSpaceDN w:val="0"/>
              <w:adjustRightInd w:val="0"/>
              <w:rPr>
                <w:b/>
                <w:szCs w:val="22"/>
                <w:lang w:val="cs-CZ"/>
              </w:rPr>
            </w:pPr>
          </w:p>
        </w:tc>
        <w:tc>
          <w:tcPr>
            <w:tcW w:w="2907" w:type="dxa"/>
          </w:tcPr>
          <w:p w14:paraId="22EC46A7" w14:textId="355FA2CA" w:rsidR="0013250E" w:rsidRPr="005C3240" w:rsidRDefault="00883221" w:rsidP="0013250E">
            <w:pPr>
              <w:autoSpaceDE w:val="0"/>
              <w:autoSpaceDN w:val="0"/>
              <w:adjustRightInd w:val="0"/>
              <w:rPr>
                <w:szCs w:val="22"/>
                <w:lang w:val="cs-CZ"/>
              </w:rPr>
            </w:pPr>
            <w:r w:rsidRPr="00C04313">
              <w:rPr>
                <w:szCs w:val="22"/>
                <w:lang w:val="sk-SK"/>
              </w:rPr>
              <w:t>Bolesť kost</w:t>
            </w:r>
            <w:r>
              <w:rPr>
                <w:szCs w:val="22"/>
                <w:lang w:val="sk-SK"/>
              </w:rPr>
              <w:t>í</w:t>
            </w:r>
          </w:p>
        </w:tc>
        <w:tc>
          <w:tcPr>
            <w:tcW w:w="2698" w:type="dxa"/>
          </w:tcPr>
          <w:p w14:paraId="5D5F2A17" w14:textId="0C415F91" w:rsidR="0013250E" w:rsidRPr="005C3240" w:rsidRDefault="00883221" w:rsidP="00883221">
            <w:pPr>
              <w:autoSpaceDE w:val="0"/>
              <w:autoSpaceDN w:val="0"/>
              <w:adjustRightInd w:val="0"/>
              <w:rPr>
                <w:szCs w:val="22"/>
                <w:lang w:val="cs-CZ"/>
              </w:rPr>
            </w:pPr>
            <w:r w:rsidRPr="00500315">
              <w:rPr>
                <w:bCs/>
                <w:iCs/>
                <w:szCs w:val="22"/>
                <w:lang w:val="sk-SK"/>
              </w:rPr>
              <w:t>Neznáme</w:t>
            </w:r>
          </w:p>
        </w:tc>
      </w:tr>
      <w:tr w:rsidR="006600C5" w:rsidRPr="005C3240" w14:paraId="032F1850" w14:textId="77777777" w:rsidTr="00CC6906">
        <w:trPr>
          <w:trHeight w:val="953"/>
        </w:trPr>
        <w:tc>
          <w:tcPr>
            <w:tcW w:w="2697" w:type="dxa"/>
            <w:vMerge w:val="restart"/>
          </w:tcPr>
          <w:p w14:paraId="56A4D72A" w14:textId="7EBB2FDE" w:rsidR="006600C5" w:rsidRPr="005C3240" w:rsidRDefault="00883221" w:rsidP="0013250E">
            <w:pPr>
              <w:autoSpaceDE w:val="0"/>
              <w:autoSpaceDN w:val="0"/>
              <w:adjustRightInd w:val="0"/>
              <w:rPr>
                <w:b/>
                <w:szCs w:val="22"/>
                <w:lang w:val="cs-CZ"/>
              </w:rPr>
            </w:pPr>
            <w:r w:rsidRPr="00500315">
              <w:rPr>
                <w:b/>
                <w:bCs/>
                <w:iCs/>
                <w:szCs w:val="22"/>
                <w:lang w:val="sk-SK"/>
              </w:rPr>
              <w:t>Celkové poruchy a reakcie v mieste podania</w:t>
            </w:r>
          </w:p>
        </w:tc>
        <w:tc>
          <w:tcPr>
            <w:tcW w:w="2907" w:type="dxa"/>
          </w:tcPr>
          <w:p w14:paraId="5FF09458" w14:textId="67E79308" w:rsidR="006600C5" w:rsidRPr="005C3240" w:rsidRDefault="00883221" w:rsidP="00A655DA">
            <w:pPr>
              <w:autoSpaceDE w:val="0"/>
              <w:autoSpaceDN w:val="0"/>
              <w:adjustRightInd w:val="0"/>
              <w:jc w:val="left"/>
              <w:rPr>
                <w:szCs w:val="22"/>
                <w:lang w:val="cs-CZ"/>
              </w:rPr>
            </w:pPr>
            <w:r w:rsidRPr="00500315">
              <w:rPr>
                <w:bCs/>
                <w:iCs/>
                <w:szCs w:val="22"/>
                <w:lang w:val="sk-SK"/>
              </w:rPr>
              <w:t xml:space="preserve">Bolesť </w:t>
            </w:r>
            <w:r>
              <w:rPr>
                <w:bCs/>
                <w:iCs/>
                <w:szCs w:val="22"/>
                <w:lang w:val="sk-SK"/>
              </w:rPr>
              <w:t>v</w:t>
            </w:r>
            <w:r w:rsidRPr="00500315">
              <w:rPr>
                <w:bCs/>
                <w:iCs/>
                <w:szCs w:val="22"/>
                <w:lang w:val="sk-SK"/>
              </w:rPr>
              <w:t xml:space="preserve"> mieste zavedenia infúzie, reakcia,  krvácanie alebo hematóm </w:t>
            </w:r>
            <w:r>
              <w:rPr>
                <w:bCs/>
                <w:iCs/>
                <w:szCs w:val="22"/>
                <w:lang w:val="sk-SK"/>
              </w:rPr>
              <w:t>v</w:t>
            </w:r>
            <w:r w:rsidRPr="00500315">
              <w:rPr>
                <w:bCs/>
                <w:iCs/>
                <w:szCs w:val="22"/>
                <w:lang w:val="sk-SK"/>
              </w:rPr>
              <w:t xml:space="preserve"> mieste zavedenia infúzie</w:t>
            </w:r>
          </w:p>
        </w:tc>
        <w:tc>
          <w:tcPr>
            <w:tcW w:w="2698" w:type="dxa"/>
          </w:tcPr>
          <w:p w14:paraId="41916DD3" w14:textId="3B6E65D3" w:rsidR="006600C5" w:rsidRPr="005C3240" w:rsidRDefault="008062B5" w:rsidP="0013250E">
            <w:pPr>
              <w:autoSpaceDE w:val="0"/>
              <w:autoSpaceDN w:val="0"/>
              <w:adjustRightInd w:val="0"/>
              <w:rPr>
                <w:szCs w:val="22"/>
                <w:lang w:val="cs-CZ"/>
              </w:rPr>
            </w:pPr>
            <w:r w:rsidRPr="005C3240">
              <w:rPr>
                <w:szCs w:val="22"/>
                <w:lang w:val="cs-CZ"/>
              </w:rPr>
              <w:t>Ve</w:t>
            </w:r>
            <w:r w:rsidR="00883221">
              <w:rPr>
                <w:szCs w:val="22"/>
                <w:lang w:val="cs-CZ"/>
              </w:rPr>
              <w:t>ľ</w:t>
            </w:r>
            <w:r w:rsidRPr="005C3240">
              <w:rPr>
                <w:szCs w:val="22"/>
                <w:lang w:val="cs-CZ"/>
              </w:rPr>
              <w:t xml:space="preserve">mi časté </w:t>
            </w:r>
          </w:p>
        </w:tc>
      </w:tr>
      <w:tr w:rsidR="006600C5" w:rsidRPr="005C3240" w14:paraId="48C14672" w14:textId="77777777" w:rsidTr="001503E8">
        <w:tc>
          <w:tcPr>
            <w:tcW w:w="2697" w:type="dxa"/>
            <w:vMerge/>
          </w:tcPr>
          <w:p w14:paraId="03635836" w14:textId="77777777" w:rsidR="006600C5" w:rsidRPr="005C3240" w:rsidRDefault="006600C5" w:rsidP="0013250E">
            <w:pPr>
              <w:autoSpaceDE w:val="0"/>
              <w:autoSpaceDN w:val="0"/>
              <w:adjustRightInd w:val="0"/>
              <w:rPr>
                <w:b/>
                <w:szCs w:val="22"/>
                <w:lang w:val="cs-CZ"/>
              </w:rPr>
            </w:pPr>
          </w:p>
        </w:tc>
        <w:tc>
          <w:tcPr>
            <w:tcW w:w="2907" w:type="dxa"/>
          </w:tcPr>
          <w:p w14:paraId="153BD3BB" w14:textId="2B72D531" w:rsidR="006600C5" w:rsidRPr="005C3240" w:rsidRDefault="00883221" w:rsidP="0013250E">
            <w:pPr>
              <w:autoSpaceDE w:val="0"/>
              <w:autoSpaceDN w:val="0"/>
              <w:adjustRightInd w:val="0"/>
              <w:rPr>
                <w:szCs w:val="22"/>
                <w:lang w:val="cs-CZ"/>
              </w:rPr>
            </w:pPr>
            <w:r w:rsidRPr="00500315">
              <w:rPr>
                <w:bCs/>
                <w:iCs/>
                <w:szCs w:val="22"/>
                <w:lang w:val="sk-SK"/>
              </w:rPr>
              <w:t>Edém</w:t>
            </w:r>
          </w:p>
        </w:tc>
        <w:tc>
          <w:tcPr>
            <w:tcW w:w="2698" w:type="dxa"/>
          </w:tcPr>
          <w:p w14:paraId="333664AE" w14:textId="37A0063B" w:rsidR="006600C5" w:rsidRPr="005C3240" w:rsidRDefault="00D6592C" w:rsidP="0013250E">
            <w:pPr>
              <w:autoSpaceDE w:val="0"/>
              <w:autoSpaceDN w:val="0"/>
              <w:adjustRightInd w:val="0"/>
              <w:rPr>
                <w:szCs w:val="22"/>
                <w:lang w:val="cs-CZ"/>
              </w:rPr>
            </w:pPr>
            <w:r w:rsidRPr="005C3240">
              <w:rPr>
                <w:szCs w:val="22"/>
                <w:lang w:val="cs-CZ"/>
              </w:rPr>
              <w:t>Časté</w:t>
            </w:r>
          </w:p>
        </w:tc>
      </w:tr>
    </w:tbl>
    <w:p w14:paraId="58F7F4E4" w14:textId="77777777" w:rsidR="0033725D" w:rsidRPr="005C3240" w:rsidRDefault="0033725D" w:rsidP="00596263">
      <w:pPr>
        <w:pStyle w:val="Bezriadkovania"/>
        <w:rPr>
          <w:rFonts w:ascii="Times New Roman" w:eastAsia="Arial Unicode MS" w:hAnsi="Times New Roman" w:cs="Times New Roman"/>
          <w:u w:val="single"/>
          <w:lang w:val="cs-CZ"/>
        </w:rPr>
      </w:pPr>
    </w:p>
    <w:p w14:paraId="15134D65" w14:textId="784695B4" w:rsidR="0033725D" w:rsidRPr="005C3240" w:rsidRDefault="0033725D" w:rsidP="00D96BED">
      <w:pPr>
        <w:autoSpaceDE w:val="0"/>
        <w:autoSpaceDN w:val="0"/>
        <w:adjustRightInd w:val="0"/>
        <w:spacing w:after="0"/>
        <w:rPr>
          <w:szCs w:val="22"/>
          <w:lang w:val="cs-CZ"/>
        </w:rPr>
      </w:pPr>
      <w:r w:rsidRPr="005C3240">
        <w:rPr>
          <w:szCs w:val="22"/>
          <w:lang w:val="cs-CZ"/>
        </w:rPr>
        <w:t xml:space="preserve">* </w:t>
      </w:r>
      <w:r w:rsidR="00AE4F46" w:rsidRPr="00AE4F46">
        <w:rPr>
          <w:szCs w:val="22"/>
          <w:lang w:val="cs-CZ"/>
        </w:rPr>
        <w:t>Hlásili sa prípady tromboflebitídy súvisiace s periférnou intravenóznou infúziou</w:t>
      </w:r>
    </w:p>
    <w:p w14:paraId="54CC381A" w14:textId="1FF5850C" w:rsidR="0033725D" w:rsidRPr="005C3240" w:rsidRDefault="0033725D" w:rsidP="00D96BED">
      <w:pPr>
        <w:autoSpaceDE w:val="0"/>
        <w:autoSpaceDN w:val="0"/>
        <w:adjustRightInd w:val="0"/>
        <w:spacing w:after="0"/>
        <w:rPr>
          <w:b/>
          <w:bCs/>
          <w:szCs w:val="22"/>
          <w:lang w:val="cs-CZ"/>
        </w:rPr>
      </w:pPr>
      <w:r w:rsidRPr="005C3240">
        <w:rPr>
          <w:b/>
          <w:bCs/>
          <w:szCs w:val="22"/>
          <w:lang w:val="cs-CZ"/>
        </w:rPr>
        <w:t xml:space="preserve">** </w:t>
      </w:r>
      <w:r w:rsidR="00AE4F46" w:rsidRPr="00AE4F46">
        <w:rPr>
          <w:b/>
          <w:bCs/>
          <w:szCs w:val="22"/>
          <w:lang w:val="cs-CZ"/>
        </w:rPr>
        <w:t>Hlásili sa život ohrozujúce a smrteľné prípady</w:t>
      </w:r>
    </w:p>
    <w:p w14:paraId="110B7C9B" w14:textId="5E099CF4" w:rsidR="0033725D" w:rsidRPr="005C3240" w:rsidRDefault="0033725D" w:rsidP="00D96BED">
      <w:pPr>
        <w:autoSpaceDE w:val="0"/>
        <w:autoSpaceDN w:val="0"/>
        <w:adjustRightInd w:val="0"/>
        <w:spacing w:after="0"/>
        <w:rPr>
          <w:szCs w:val="22"/>
          <w:lang w:val="cs-CZ"/>
        </w:rPr>
      </w:pPr>
      <w:r w:rsidRPr="005C3240">
        <w:rPr>
          <w:szCs w:val="22"/>
          <w:lang w:val="cs-CZ"/>
        </w:rPr>
        <w:t xml:space="preserve">§ </w:t>
      </w:r>
      <w:r w:rsidR="00AE4F46" w:rsidRPr="00AE4F46">
        <w:rPr>
          <w:szCs w:val="22"/>
          <w:lang w:val="cs-CZ"/>
        </w:rPr>
        <w:t xml:space="preserve">Pozri časť </w:t>
      </w:r>
      <w:r w:rsidR="00AE4F46">
        <w:rPr>
          <w:szCs w:val="22"/>
          <w:lang w:val="cs-CZ"/>
        </w:rPr>
        <w:t>„</w:t>
      </w:r>
      <w:r w:rsidR="00AE4F46" w:rsidRPr="00AE4F46">
        <w:rPr>
          <w:szCs w:val="22"/>
          <w:lang w:val="cs-CZ"/>
        </w:rPr>
        <w:t>Opis vybraných nežiaducich udalostí</w:t>
      </w:r>
      <w:r w:rsidR="00AE4F46">
        <w:rPr>
          <w:szCs w:val="22"/>
          <w:lang w:val="cs-CZ"/>
        </w:rPr>
        <w:t>“</w:t>
      </w:r>
    </w:p>
    <w:p w14:paraId="7C398866" w14:textId="25E30ECD" w:rsidR="00785755" w:rsidRPr="005C3240" w:rsidRDefault="00785755" w:rsidP="00907B26">
      <w:pPr>
        <w:autoSpaceDE w:val="0"/>
        <w:autoSpaceDN w:val="0"/>
        <w:adjustRightInd w:val="0"/>
        <w:rPr>
          <w:szCs w:val="22"/>
          <w:lang w:val="cs-CZ"/>
        </w:rPr>
      </w:pPr>
    </w:p>
    <w:p w14:paraId="02D3E351" w14:textId="56DBB649" w:rsidR="00FB5D1F" w:rsidRPr="005C3240" w:rsidRDefault="000A26EF" w:rsidP="00FB5D1F">
      <w:pPr>
        <w:pStyle w:val="Bezriadkovania"/>
        <w:rPr>
          <w:rFonts w:ascii="Times New Roman" w:eastAsia="Arial Unicode MS" w:hAnsi="Times New Roman" w:cs="Times New Roman"/>
          <w:u w:val="single"/>
          <w:lang w:val="cs-CZ"/>
        </w:rPr>
      </w:pPr>
      <w:r w:rsidRPr="000A26EF">
        <w:rPr>
          <w:rFonts w:ascii="Times New Roman" w:eastAsia="Arial Unicode MS" w:hAnsi="Times New Roman" w:cs="Times New Roman"/>
          <w:u w:val="single"/>
          <w:lang w:val="cs-CZ"/>
        </w:rPr>
        <w:t>Opis vybraných nežiaducich udalostí</w:t>
      </w:r>
    </w:p>
    <w:p w14:paraId="777E5618" w14:textId="75FA50AC" w:rsidR="000F1CFC" w:rsidRPr="005C3240" w:rsidRDefault="005E47CB" w:rsidP="000F1CFC">
      <w:pPr>
        <w:autoSpaceDE w:val="0"/>
        <w:autoSpaceDN w:val="0"/>
        <w:adjustRightInd w:val="0"/>
        <w:rPr>
          <w:i/>
          <w:iCs/>
          <w:szCs w:val="22"/>
          <w:lang w:val="cs-CZ"/>
        </w:rPr>
      </w:pPr>
      <w:r w:rsidRPr="005E47CB">
        <w:rPr>
          <w:i/>
          <w:iCs/>
          <w:szCs w:val="22"/>
          <w:lang w:val="cs-CZ"/>
        </w:rPr>
        <w:t>Príhody krvácania</w:t>
      </w:r>
    </w:p>
    <w:p w14:paraId="3322D4A4" w14:textId="1A9DE79A" w:rsidR="005D5B79" w:rsidRPr="005C3240" w:rsidRDefault="005E47CB" w:rsidP="005D5B79">
      <w:pPr>
        <w:autoSpaceDE w:val="0"/>
        <w:autoSpaceDN w:val="0"/>
        <w:adjustRightInd w:val="0"/>
        <w:rPr>
          <w:szCs w:val="22"/>
          <w:lang w:val="cs-CZ"/>
        </w:rPr>
      </w:pPr>
      <w:r w:rsidRPr="005E47CB">
        <w:rPr>
          <w:szCs w:val="22"/>
          <w:lang w:val="cs-CZ"/>
        </w:rPr>
        <w:t>Ako sa očakávalo, príhody krvácania boli časté v tej populácii pacientov, ktorá mala vysoké percento pacientov liečených antikoagulanciami. V dôsledku účinkov na agregáciu krvných doštičiek môže treprostinil zvyšovať riziko krvácania, keďže sa v kontrolovaných klinických štúdiách pozorovali zvýšené prípady krvácania z nosa a gastrointestinálneho (GI) krvácania (vrátane gastrointestinálnej hemorágie, rektálnej hemorágie, krvácania z ďasien a melény). Zaznamenala sa aj hemoptýza, hemateméza a hematúria, ale objavili sa s rovnakou alebo nižšou frekvenciou než tie, ktoré sa vyskytli v skupine s placebom.</w:t>
      </w:r>
    </w:p>
    <w:p w14:paraId="75F66039" w14:textId="77777777" w:rsidR="000F1CFC" w:rsidRPr="005C3240" w:rsidRDefault="000F1CFC" w:rsidP="005D5B79">
      <w:pPr>
        <w:autoSpaceDE w:val="0"/>
        <w:autoSpaceDN w:val="0"/>
        <w:adjustRightInd w:val="0"/>
        <w:rPr>
          <w:szCs w:val="22"/>
          <w:lang w:val="cs-CZ"/>
        </w:rPr>
      </w:pPr>
    </w:p>
    <w:p w14:paraId="4E819C92" w14:textId="77777777" w:rsidR="00715C5C" w:rsidRPr="00715C5C" w:rsidRDefault="00715C5C" w:rsidP="00715C5C">
      <w:pPr>
        <w:pStyle w:val="Default"/>
        <w:rPr>
          <w:sz w:val="22"/>
          <w:szCs w:val="22"/>
          <w:u w:val="single"/>
          <w:lang w:val="cs-CZ"/>
        </w:rPr>
      </w:pPr>
      <w:r w:rsidRPr="00715C5C">
        <w:rPr>
          <w:sz w:val="22"/>
          <w:szCs w:val="22"/>
          <w:u w:val="single"/>
          <w:lang w:val="cs-CZ"/>
        </w:rPr>
        <w:t>Hlásenie podozrení na nežiaduce reakcie</w:t>
      </w:r>
    </w:p>
    <w:p w14:paraId="197E4634" w14:textId="4F2457A6" w:rsidR="007C7E52" w:rsidRDefault="00715C5C" w:rsidP="007C7E52">
      <w:pPr>
        <w:suppressLineNumbers/>
        <w:autoSpaceDE w:val="0"/>
        <w:autoSpaceDN w:val="0"/>
        <w:adjustRightInd w:val="0"/>
        <w:rPr>
          <w:rStyle w:val="Hypertextovprepojenie"/>
        </w:rPr>
      </w:pPr>
      <w:r w:rsidRPr="00715C5C">
        <w:rPr>
          <w:szCs w:val="22"/>
          <w:lang w:val="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00DC5A15" w:rsidRPr="005C3240">
        <w:rPr>
          <w:szCs w:val="22"/>
          <w:lang w:val="cs-CZ"/>
        </w:rPr>
        <w:t xml:space="preserve"> </w:t>
      </w:r>
      <w:bookmarkStart w:id="4" w:name="_Hlk54099173"/>
      <w:r w:rsidR="007C7E52">
        <w:rPr>
          <w:szCs w:val="22"/>
          <w:highlight w:val="lightGray"/>
        </w:rPr>
        <w:t>národné centrum hlásenia uvedené v </w:t>
      </w:r>
      <w:hyperlink r:id="rId8" w:history="1">
        <w:r w:rsidR="007C7E52">
          <w:rPr>
            <w:rStyle w:val="Hypertextovprepojenie"/>
            <w:szCs w:val="22"/>
            <w:highlight w:val="lightGray"/>
          </w:rPr>
          <w:t>Prílohe V</w:t>
        </w:r>
      </w:hyperlink>
      <w:r w:rsidR="007C7E52">
        <w:rPr>
          <w:rStyle w:val="Hypertextovprepojenie"/>
          <w:szCs w:val="22"/>
        </w:rPr>
        <w:t>.</w:t>
      </w:r>
    </w:p>
    <w:bookmarkEnd w:id="4"/>
    <w:p w14:paraId="0199FFF5" w14:textId="07BA88A3" w:rsidR="009E0FD0" w:rsidRPr="005C3240" w:rsidRDefault="00D51106" w:rsidP="009E0FD0">
      <w:pPr>
        <w:pStyle w:val="Nadpis2"/>
        <w:rPr>
          <w:lang w:val="cs-CZ"/>
        </w:rPr>
      </w:pPr>
      <w:r w:rsidRPr="00D51106">
        <w:rPr>
          <w:lang w:val="cs-CZ"/>
        </w:rPr>
        <w:t>Predávkovanie</w:t>
      </w:r>
    </w:p>
    <w:p w14:paraId="33C417D0" w14:textId="30D9E461" w:rsidR="00D51106" w:rsidRPr="00D51106" w:rsidRDefault="00D51106" w:rsidP="00363BC0">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Symptómy predávkovania treprostinilom sú podobné účinkom, ktoré pravdepodobne</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 xml:space="preserve">obmedzujú zvyšovanie dávky; zahŕňajú </w:t>
      </w:r>
      <w:r w:rsidR="007C7E52">
        <w:rPr>
          <w:rFonts w:ascii="Times New Roman" w:eastAsia="Arial Unicode MS" w:hAnsi="Times New Roman" w:cs="Times New Roman"/>
          <w:lang w:val="cs-CZ"/>
        </w:rPr>
        <w:t>návaly tepla</w:t>
      </w:r>
      <w:r w:rsidRPr="00D51106">
        <w:rPr>
          <w:rFonts w:ascii="Times New Roman" w:eastAsia="Arial Unicode MS" w:hAnsi="Times New Roman" w:cs="Times New Roman"/>
          <w:lang w:val="cs-CZ"/>
        </w:rPr>
        <w:t>, bolesť hlavy, hypotenziu, nevoľnosť, vracanie a hnačku.</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Pacienti, ktorí pociťujú symptómy predávkovania, majú okamžite znížiť alebo ukončiť dávku  treprostinilu v závislosti od závažnosti symptómov, až kým nevymiznú symptómy predávkovania. Dávkovanie sa má obnoviť s opatrnosťou pod lekárskou kontrolou a pacient</w:t>
      </w:r>
      <w:r w:rsidR="007C7E52">
        <w:rPr>
          <w:rFonts w:ascii="Times New Roman" w:eastAsia="Arial Unicode MS" w:hAnsi="Times New Roman" w:cs="Times New Roman"/>
          <w:lang w:val="cs-CZ"/>
        </w:rPr>
        <w:t>i</w:t>
      </w:r>
      <w:r w:rsidRPr="00D51106">
        <w:rPr>
          <w:rFonts w:ascii="Times New Roman" w:eastAsia="Arial Unicode MS" w:hAnsi="Times New Roman" w:cs="Times New Roman"/>
          <w:lang w:val="cs-CZ"/>
        </w:rPr>
        <w:t xml:space="preserve"> sa m</w:t>
      </w:r>
      <w:r w:rsidR="007C7E52">
        <w:rPr>
          <w:rFonts w:ascii="Times New Roman" w:eastAsia="Arial Unicode MS" w:hAnsi="Times New Roman" w:cs="Times New Roman"/>
          <w:lang w:val="cs-CZ"/>
        </w:rPr>
        <w:t>ajú</w:t>
      </w:r>
      <w:r w:rsidRPr="00D51106">
        <w:rPr>
          <w:rFonts w:ascii="Times New Roman" w:eastAsia="Arial Unicode MS" w:hAnsi="Times New Roman" w:cs="Times New Roman"/>
          <w:lang w:val="cs-CZ"/>
        </w:rPr>
        <w:t xml:space="preserve"> starostlivo sledovať kvôli opätovnému výskytu neželaných príznakov. </w:t>
      </w:r>
    </w:p>
    <w:p w14:paraId="04D25E28" w14:textId="77777777" w:rsidR="00D51106" w:rsidRPr="00D51106" w:rsidRDefault="00D51106" w:rsidP="00D51106">
      <w:pPr>
        <w:pStyle w:val="Bezriadkovania"/>
        <w:rPr>
          <w:rFonts w:ascii="Times New Roman" w:eastAsia="Arial Unicode MS" w:hAnsi="Times New Roman" w:cs="Times New Roman"/>
          <w:lang w:val="cs-CZ"/>
        </w:rPr>
      </w:pPr>
    </w:p>
    <w:p w14:paraId="1B6D87B2" w14:textId="1572E4F9" w:rsidR="00572AD1"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lastRenderedPageBreak/>
        <w:t>Nie je známe žiadne antidotum.</w:t>
      </w:r>
    </w:p>
    <w:p w14:paraId="53FB7DB9" w14:textId="77777777" w:rsidR="00572AD1" w:rsidRPr="005C3240" w:rsidRDefault="00572AD1" w:rsidP="00760E1D">
      <w:pPr>
        <w:rPr>
          <w:noProof/>
          <w:u w:val="single"/>
          <w:lang w:val="cs-CZ"/>
        </w:rPr>
      </w:pPr>
    </w:p>
    <w:p w14:paraId="7212F5AD" w14:textId="3DA05657" w:rsidR="009E0FD0" w:rsidRPr="005C3240" w:rsidRDefault="00D51106" w:rsidP="009E0FD0">
      <w:pPr>
        <w:pStyle w:val="Nadpis1"/>
        <w:rPr>
          <w:lang w:val="cs-CZ"/>
        </w:rPr>
      </w:pPr>
      <w:r w:rsidRPr="00D51106">
        <w:rPr>
          <w:lang w:val="cs-CZ"/>
        </w:rPr>
        <w:t>FARMAKOLOGICKÉ VLASTNOSTI</w:t>
      </w:r>
    </w:p>
    <w:p w14:paraId="5C67D506" w14:textId="68D4AFDD" w:rsidR="009E0FD0" w:rsidRPr="005C3240" w:rsidRDefault="00D51106" w:rsidP="009E0FD0">
      <w:pPr>
        <w:pStyle w:val="Nadpis2"/>
        <w:rPr>
          <w:lang w:val="cs-CZ"/>
        </w:rPr>
      </w:pPr>
      <w:r w:rsidRPr="00D51106">
        <w:rPr>
          <w:lang w:val="cs-CZ"/>
        </w:rPr>
        <w:t>Farmakodynamické vlastnosti</w:t>
      </w:r>
    </w:p>
    <w:p w14:paraId="479BD005" w14:textId="3E7FB7F5" w:rsidR="00572AD1"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Farmakoterapeutická skupina: </w:t>
      </w:r>
      <w:r w:rsidR="00D56E6B" w:rsidRPr="00D56E6B">
        <w:rPr>
          <w:rFonts w:ascii="Times New Roman" w:eastAsia="Arial Unicode MS" w:hAnsi="Times New Roman" w:cs="Times New Roman"/>
          <w:lang w:val="cs-CZ"/>
        </w:rPr>
        <w:t>ANTIAGREGANCIÁ TROMBOCYTOV OKREM HEPARÍNU</w:t>
      </w:r>
      <w:r w:rsidRPr="00D51106">
        <w:rPr>
          <w:rFonts w:ascii="Times New Roman" w:eastAsia="Arial Unicode MS" w:hAnsi="Times New Roman" w:cs="Times New Roman"/>
          <w:lang w:val="cs-CZ"/>
        </w:rPr>
        <w:t>, ATC kód: B01AC21</w:t>
      </w:r>
    </w:p>
    <w:p w14:paraId="54547D92" w14:textId="77777777" w:rsidR="00D51106" w:rsidRPr="005C3240" w:rsidRDefault="00D51106" w:rsidP="00D51106">
      <w:pPr>
        <w:pStyle w:val="Bezriadkovania"/>
        <w:rPr>
          <w:rFonts w:ascii="Times New Roman" w:eastAsia="Arial Unicode MS" w:hAnsi="Times New Roman" w:cs="Times New Roman"/>
          <w:lang w:val="cs-CZ"/>
        </w:rPr>
      </w:pPr>
    </w:p>
    <w:p w14:paraId="3F883545" w14:textId="649B6983" w:rsidR="00572AD1" w:rsidRPr="005C3240" w:rsidRDefault="00D51106" w:rsidP="005D5B79">
      <w:pPr>
        <w:pStyle w:val="Bezriadkovania"/>
        <w:rPr>
          <w:rFonts w:ascii="Times New Roman" w:eastAsia="Arial Unicode MS" w:hAnsi="Times New Roman" w:cs="Times New Roman"/>
          <w:u w:val="single"/>
          <w:lang w:val="cs-CZ"/>
        </w:rPr>
      </w:pPr>
      <w:r w:rsidRPr="00D51106">
        <w:rPr>
          <w:rFonts w:ascii="Times New Roman" w:eastAsia="Arial Unicode MS" w:hAnsi="Times New Roman" w:cs="Times New Roman"/>
          <w:u w:val="single"/>
          <w:lang w:val="cs-CZ"/>
        </w:rPr>
        <w:t>Mechanizmus účinku:</w:t>
      </w:r>
    </w:p>
    <w:p w14:paraId="3E8F1B0D" w14:textId="231A414D" w:rsidR="005D5B79" w:rsidRPr="005C3240" w:rsidRDefault="00D51106" w:rsidP="005D5B79">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Treprostinil je analóg prostacyklínu.</w:t>
      </w:r>
    </w:p>
    <w:p w14:paraId="5754C65A" w14:textId="6A4A4A60" w:rsidR="00124996" w:rsidRPr="005C3240" w:rsidRDefault="00124996" w:rsidP="005D5B79">
      <w:pPr>
        <w:pStyle w:val="Bezriadkovania"/>
        <w:rPr>
          <w:rFonts w:ascii="Times New Roman" w:eastAsia="Arial Unicode MS" w:hAnsi="Times New Roman" w:cs="Times New Roman"/>
          <w:lang w:val="cs-CZ"/>
        </w:rPr>
      </w:pPr>
    </w:p>
    <w:p w14:paraId="6E4F2206"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Má priamy vazodilatačný účinok na pľúcny a systémový artériový obeh a potláča agregáciu krvných doštičiek. </w:t>
      </w:r>
    </w:p>
    <w:p w14:paraId="6CD9306B" w14:textId="77777777" w:rsidR="00D51106" w:rsidRPr="00D51106" w:rsidRDefault="00D51106" w:rsidP="00D51106">
      <w:pPr>
        <w:pStyle w:val="Bezriadkovania"/>
        <w:rPr>
          <w:rFonts w:ascii="Times New Roman" w:eastAsia="Arial Unicode MS" w:hAnsi="Times New Roman" w:cs="Times New Roman"/>
          <w:lang w:val="cs-CZ"/>
        </w:rPr>
      </w:pPr>
    </w:p>
    <w:p w14:paraId="0D29620C" w14:textId="7FAC99B4" w:rsidR="00D51106"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zvierat vazodilatačné účinky znižujú pravú a ľavú komorovú záťaž a zvyšujú minútový objem srdca a systolický objem. Účinok treprostinilu na srdcovú frekvenciu zvierat sa mení podľa dávky. Nepozorovali sa žiadne významné účinky na vodivosť srdca.</w:t>
      </w:r>
    </w:p>
    <w:p w14:paraId="73AE70A6" w14:textId="77777777" w:rsidR="00124996" w:rsidRPr="005C3240" w:rsidRDefault="00124996" w:rsidP="00124996">
      <w:pPr>
        <w:pStyle w:val="Bezriadkovania"/>
        <w:jc w:val="both"/>
        <w:rPr>
          <w:rFonts w:ascii="Times New Roman" w:eastAsia="Arial Unicode MS" w:hAnsi="Times New Roman" w:cs="Times New Roman"/>
          <w:lang w:val="cs-CZ"/>
        </w:rPr>
      </w:pPr>
    </w:p>
    <w:p w14:paraId="06249083" w14:textId="5897D861"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Údaje o účinnosti u dospelých pacientov s pľúcnou artériovou hypertenziou:</w:t>
      </w:r>
    </w:p>
    <w:p w14:paraId="47827AD1" w14:textId="77777777" w:rsidR="00124996" w:rsidRPr="005C3240" w:rsidRDefault="00124996" w:rsidP="005D5B79">
      <w:pPr>
        <w:pStyle w:val="Bezriadkovania"/>
        <w:rPr>
          <w:rFonts w:ascii="Times New Roman" w:eastAsia="Arial Unicode MS" w:hAnsi="Times New Roman" w:cs="Times New Roman"/>
          <w:lang w:val="cs-CZ"/>
        </w:rPr>
      </w:pPr>
    </w:p>
    <w:p w14:paraId="41E7BAAD" w14:textId="7EBE70E4"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Štúdie so subkutánne podávaným treprostinilom</w:t>
      </w:r>
    </w:p>
    <w:p w14:paraId="522A3D5D" w14:textId="5BA67A95"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jedincov so stabilnou pľúcnou artériovou hypertenziou sa vykonali dve randomizované,</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dvojito zaslepené placebom kontrolované klinické skúšania III. fázy s podávaním treprostinilu kontinuálnou subkutánnou infúziou. Celkovo bolo v týchto dvoch klinických skúšaniach</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zahrnutých 469 dospelých: 270 s idiopatickou alebo dedičnou pľúcnou artériovou</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hypertenziou (skupina s treprostinilom = 134 pacientov; skupina s placebom = 136 pacientov), 90 pacientov s pľúcnou artériovou hypertenziou spojenou s chorobou spojivového tkaniva (najmä sklerodermia) (skupina s treprostinilom = 41 pacientov; skupina s placebom = 49 pacientov) a 109 pacientov s pľúcnou artériovou hypertenziou spojenou s vrodenou kardiopatiou s ľavopravým  skratom (treprostinil = 58 pacientov; placebo = 51 pacientov). Na začiatku bola priemerná vzdialenosť pri 6-minútovom teste chôdze 326 metrov ± 5 v skupine, ktorá dostávala treprostinil subkutánnou infúziou a 327 metrov ± 6 v skupine, ktorá dostávala placebo. Dávka oboch porovnávaných terapií sa počas štúdie postupne zvyšovala podľa symptómov pľúcnej artériovej hypertenzie a klinickej znášanlivosti. Priemerná dávka dosiahnutá po 12 týždňoch bola 9,3 ng/kg/min. v skupine s treprostinilom a 19,1 ng/kg/min. v skupine s placebom. Po 12 týždňoch liečby bola priemerná odchýlka v 6-minútovom teste chôdze v porovnaní s východiskovou hodnotou vypočítaná na celkovej populácii z oboch skúšaní, –2 metre ± 6,61 metra u pacientov, ktorí dostávali treprostinil, a –21,8 metrov ± 6,18 metra v skupine s placebom. Tieto výsledky odrážajú priemerný účinok liečby hodnotený 6-minútovým testom chôdze v dĺžke 19,7 metra (p = 0,0064) v porovnaní s placebom v celkovej populácii z oboch skúšaní. Priemerné zmeny porovnané s východiskovými hodnotami hemodynamických parametrov (priemerný pľúcny artériový tlak (PAPm)), tlak v pravej predsieni (RAP), cievna pľúcna rezistencia (PVR), srdcový index (CI) a saturácia venóznym kyslíkom (SvO</w:t>
      </w:r>
      <w:r w:rsidRPr="00CB039C">
        <w:rPr>
          <w:rFonts w:ascii="Times New Roman" w:eastAsia="Arial Unicode MS" w:hAnsi="Times New Roman" w:cs="Times New Roman"/>
          <w:vertAlign w:val="subscript"/>
          <w:lang w:val="cs-CZ"/>
        </w:rPr>
        <w:t>2</w:t>
      </w:r>
      <w:r w:rsidRPr="00D51106">
        <w:rPr>
          <w:rFonts w:ascii="Times New Roman" w:eastAsia="Arial Unicode MS" w:hAnsi="Times New Roman" w:cs="Times New Roman"/>
          <w:lang w:val="cs-CZ"/>
        </w:rPr>
        <w:t xml:space="preserve">) ukázali, že treprostinil je superiórny voči placebu. Zlepšenie prejavov a symptómov pľúcnej hypertenzie (synkopa, závrat, bolesť na hrudi, únava a dyspnoe) bolo štatisticky významné (p&lt; 0,0001). U pacientov liečených treprostinilom sa po 12 týždňoch ďalej zlepšil pomer dyspnoe-únava a Borgovo hodnotenie dyspnoe (p&lt; 0,0001). Analýza kombinovaného kritéria súvisiaceho so zlepšením schopnosti telesnej námahy (6-minútový test chôdze) po 12 týždňoch minimálne o 10 % v porovnaní s východiskovou hodnotou, zlepšenie po 12 týždňoch aspoň o jednu NYHA triedu v porovnaní s východiskovou hodnotou a neprítomnosť zhoršenia pľúcnej hypertenzie spolu s neprítomnosťou hláseného úmrtia pred 12. týždňom v celkovej populácii v oboch štúdiách ukázali, že počet jedincov reagujúcich na treprostinil je 15,9 % (37/233), zatiaľ čo v skupine s placebom reagovalo 3,4 % (8/236) jedincov. Analýza podskupiny celkovej populácie </w:t>
      </w:r>
      <w:r w:rsidRPr="00D51106">
        <w:rPr>
          <w:rFonts w:ascii="Times New Roman" w:eastAsia="Arial Unicode MS" w:hAnsi="Times New Roman" w:cs="Times New Roman"/>
          <w:lang w:val="cs-CZ"/>
        </w:rPr>
        <w:lastRenderedPageBreak/>
        <w:t>potvrdila štatisticky významný účinok liečby treprostinilom v porovnaní s placebom v 6-minútovom teste chôdze v podskupine jedincov s idiopatickou alebo dedičnou pľúcnou artériovou hypertenziou (p=0,043), nie však v podskupine jedincov s pľúcnou artériovou hypertenziou spojenou so sklerodermiou alebo vrodenou kardiopatiou.</w:t>
      </w:r>
    </w:p>
    <w:p w14:paraId="3980F506" w14:textId="77777777" w:rsidR="00D51106" w:rsidRPr="00D51106" w:rsidRDefault="00D51106" w:rsidP="00D51106">
      <w:pPr>
        <w:pStyle w:val="Bezriadkovania"/>
        <w:rPr>
          <w:rFonts w:ascii="Times New Roman" w:eastAsia="Arial Unicode MS" w:hAnsi="Times New Roman" w:cs="Times New Roman"/>
          <w:lang w:val="cs-CZ"/>
        </w:rPr>
      </w:pPr>
    </w:p>
    <w:p w14:paraId="2344B1A9" w14:textId="321B208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Účinok pozorovaný pri primárnom koncovom ukazovateli (t.j. zmena vzdialenosti počas šesť minútovej chôdze po 12-týždňovej liečbe) bol menší než ten, čo sa pozoroval pri historických kontrolách s bosent</w:t>
      </w:r>
      <w:r w:rsidR="007A2B6F">
        <w:rPr>
          <w:rFonts w:ascii="Times New Roman" w:eastAsia="Arial Unicode MS" w:hAnsi="Times New Roman" w:cs="Times New Roman"/>
          <w:lang w:val="cs-CZ"/>
        </w:rPr>
        <w:t>á</w:t>
      </w:r>
      <w:r w:rsidRPr="00D51106">
        <w:rPr>
          <w:rFonts w:ascii="Times New Roman" w:eastAsia="Arial Unicode MS" w:hAnsi="Times New Roman" w:cs="Times New Roman"/>
          <w:lang w:val="cs-CZ"/>
        </w:rPr>
        <w:t xml:space="preserve">nom, iloprostom a epoprostenolom.   </w:t>
      </w:r>
    </w:p>
    <w:p w14:paraId="1D606901" w14:textId="77777777" w:rsidR="00D51106" w:rsidRPr="00D51106" w:rsidRDefault="00D51106" w:rsidP="00D51106">
      <w:pPr>
        <w:pStyle w:val="Bezriadkovania"/>
        <w:rPr>
          <w:rFonts w:ascii="Times New Roman" w:eastAsia="Arial Unicode MS" w:hAnsi="Times New Roman" w:cs="Times New Roman"/>
          <w:lang w:val="cs-CZ"/>
        </w:rPr>
      </w:pPr>
    </w:p>
    <w:p w14:paraId="16A8FF37" w14:textId="77777777"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Nevykonala sa štúdia priamo porovnávajúca intravenózne infúzie treprostinilu a epoprostenolu.</w:t>
      </w:r>
    </w:p>
    <w:p w14:paraId="6C53AF21" w14:textId="77777777" w:rsidR="00D51106" w:rsidRPr="00D51106" w:rsidRDefault="00D51106" w:rsidP="00D51106">
      <w:pPr>
        <w:pStyle w:val="Bezriadkovania"/>
        <w:rPr>
          <w:rFonts w:ascii="Times New Roman" w:eastAsia="Arial Unicode MS" w:hAnsi="Times New Roman" w:cs="Times New Roman"/>
          <w:lang w:val="cs-CZ"/>
        </w:rPr>
      </w:pPr>
    </w:p>
    <w:p w14:paraId="61727022"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U detí s PAH sa nevykonala žiadna špecifická štúdia.</w:t>
      </w:r>
    </w:p>
    <w:p w14:paraId="7E44BEF6" w14:textId="77777777" w:rsidR="00D51106" w:rsidRPr="00D51106" w:rsidRDefault="00D51106" w:rsidP="00D51106">
      <w:pPr>
        <w:pStyle w:val="Bezriadkovania"/>
        <w:rPr>
          <w:rFonts w:ascii="Times New Roman" w:eastAsia="Arial Unicode MS" w:hAnsi="Times New Roman" w:cs="Times New Roman"/>
          <w:lang w:val="cs-CZ"/>
        </w:rPr>
      </w:pPr>
    </w:p>
    <w:p w14:paraId="30DF1F8E" w14:textId="2E5ED1D0" w:rsidR="009E313F" w:rsidRPr="005C3240" w:rsidRDefault="00D51106" w:rsidP="00D51106">
      <w:pPr>
        <w:pStyle w:val="Bezriadkovania"/>
        <w:jc w:val="both"/>
        <w:rPr>
          <w:b/>
          <w:lang w:val="cs-CZ"/>
        </w:rPr>
      </w:pPr>
      <w:r w:rsidRPr="00D51106">
        <w:rPr>
          <w:rFonts w:ascii="Times New Roman" w:eastAsia="Arial Unicode MS" w:hAnsi="Times New Roman" w:cs="Times New Roman"/>
          <w:lang w:val="cs-CZ"/>
        </w:rPr>
        <w:t>Neexistujú žiadne údaje z klinických štúdií vykonaných s aktívnym komparátorom u pacientov s PAH.</w:t>
      </w:r>
    </w:p>
    <w:p w14:paraId="7DBBFC5E" w14:textId="20764375" w:rsidR="0002515F" w:rsidRPr="005C3240" w:rsidRDefault="0002515F" w:rsidP="0002515F">
      <w:pPr>
        <w:rPr>
          <w:b/>
          <w:szCs w:val="22"/>
          <w:lang w:val="cs-CZ"/>
        </w:rPr>
      </w:pPr>
    </w:p>
    <w:p w14:paraId="5F7866D5" w14:textId="0918FBF9" w:rsidR="009E0FD0" w:rsidRPr="005C3240" w:rsidRDefault="00EA428F" w:rsidP="009E0FD0">
      <w:pPr>
        <w:pStyle w:val="Nadpis2"/>
        <w:rPr>
          <w:lang w:val="cs-CZ"/>
        </w:rPr>
      </w:pPr>
      <w:r w:rsidRPr="00EA428F">
        <w:rPr>
          <w:lang w:val="cs-CZ"/>
        </w:rPr>
        <w:t>Farmakokinetické vlastnosti</w:t>
      </w:r>
    </w:p>
    <w:p w14:paraId="30372057" w14:textId="125D3F28" w:rsidR="007E2579" w:rsidRPr="00AD2798" w:rsidRDefault="007E2579" w:rsidP="00A377B5">
      <w:pPr>
        <w:spacing w:after="0"/>
        <w:rPr>
          <w:bCs/>
          <w:szCs w:val="22"/>
          <w:u w:val="single"/>
          <w:lang w:val="en-US"/>
        </w:rPr>
      </w:pPr>
      <w:r w:rsidRPr="005C3240">
        <w:rPr>
          <w:bCs/>
          <w:szCs w:val="22"/>
          <w:u w:val="single"/>
          <w:lang w:val="cs-CZ"/>
        </w:rPr>
        <w:t>Absor</w:t>
      </w:r>
      <w:r w:rsidR="00CF4265" w:rsidRPr="005C3240">
        <w:rPr>
          <w:bCs/>
          <w:szCs w:val="22"/>
          <w:u w:val="single"/>
          <w:lang w:val="cs-CZ"/>
        </w:rPr>
        <w:t>pc</w:t>
      </w:r>
      <w:r w:rsidR="00C04EA6">
        <w:rPr>
          <w:bCs/>
          <w:szCs w:val="22"/>
          <w:u w:val="single"/>
          <w:lang w:val="cs-CZ"/>
        </w:rPr>
        <w:t>ia</w:t>
      </w:r>
    </w:p>
    <w:p w14:paraId="758349A5" w14:textId="02CDA2E2" w:rsidR="00C04EA6" w:rsidRDefault="00C04EA6" w:rsidP="00A377B5">
      <w:pPr>
        <w:spacing w:after="0"/>
        <w:rPr>
          <w:bCs/>
          <w:szCs w:val="22"/>
          <w:lang w:val="cs-CZ"/>
        </w:rPr>
      </w:pPr>
      <w:r w:rsidRPr="00C04EA6">
        <w:rPr>
          <w:bCs/>
          <w:szCs w:val="22"/>
          <w:lang w:val="cs-CZ"/>
        </w:rPr>
        <w:t>U ľudí sa zvyčajne dosiahli rovnovážne koncentrácie v plazme v priebehu 15 až 18 hodín po začatí buď subkutánnej alebo intravenóznej infúzie treprostinilu. Rovnovážne koncentrácie treprostinilu v plazme sú závislé od dávky pri rýchlostiach infúzie 2,5 až do 125 ng/kg/min.</w:t>
      </w:r>
    </w:p>
    <w:p w14:paraId="25EE7013" w14:textId="77777777" w:rsidR="00A377B5" w:rsidRPr="00C04EA6" w:rsidRDefault="00A377B5" w:rsidP="00A377B5">
      <w:pPr>
        <w:spacing w:after="0"/>
        <w:rPr>
          <w:bCs/>
          <w:szCs w:val="22"/>
          <w:lang w:val="cs-CZ"/>
        </w:rPr>
      </w:pPr>
    </w:p>
    <w:p w14:paraId="1A862781" w14:textId="474E56AE" w:rsidR="00124996" w:rsidRDefault="00C04EA6" w:rsidP="00A377B5">
      <w:pPr>
        <w:spacing w:after="0"/>
        <w:rPr>
          <w:bCs/>
          <w:szCs w:val="22"/>
          <w:lang w:val="cs-CZ"/>
        </w:rPr>
      </w:pPr>
      <w:r w:rsidRPr="00C04EA6">
        <w:rPr>
          <w:bCs/>
          <w:szCs w:val="22"/>
          <w:lang w:val="cs-CZ"/>
        </w:rPr>
        <w:t>Subkutánne a intravenózne podanie treprostinilu sa ukázalo byť bioekvivalentné pri rovnovážnom stave pri dávke 10 ng/kg/min.</w:t>
      </w:r>
    </w:p>
    <w:p w14:paraId="23603086" w14:textId="77777777" w:rsidR="00A377B5" w:rsidRPr="005C3240" w:rsidRDefault="00A377B5" w:rsidP="00A377B5">
      <w:pPr>
        <w:spacing w:after="0"/>
        <w:rPr>
          <w:bCs/>
          <w:szCs w:val="22"/>
          <w:lang w:val="cs-CZ"/>
        </w:rPr>
      </w:pPr>
    </w:p>
    <w:p w14:paraId="054F7A39" w14:textId="1CC5F410" w:rsidR="007E2579" w:rsidRPr="005C3240" w:rsidRDefault="00AD2798" w:rsidP="00A377B5">
      <w:pPr>
        <w:spacing w:after="0"/>
        <w:rPr>
          <w:bCs/>
          <w:szCs w:val="22"/>
          <w:u w:val="single"/>
          <w:lang w:val="cs-CZ"/>
        </w:rPr>
      </w:pPr>
      <w:r>
        <w:rPr>
          <w:bCs/>
          <w:szCs w:val="22"/>
          <w:u w:val="single"/>
          <w:lang w:val="cs-CZ"/>
        </w:rPr>
        <w:t>D</w:t>
      </w:r>
      <w:r w:rsidRPr="00AD2798">
        <w:rPr>
          <w:bCs/>
          <w:szCs w:val="22"/>
          <w:u w:val="single"/>
          <w:lang w:val="cs-CZ"/>
        </w:rPr>
        <w:t>istribúcia</w:t>
      </w:r>
    </w:p>
    <w:p w14:paraId="57F91BDD" w14:textId="3C3239F4" w:rsidR="007E2579" w:rsidRDefault="00AD2798" w:rsidP="00A377B5">
      <w:pPr>
        <w:spacing w:after="0"/>
        <w:rPr>
          <w:bCs/>
          <w:szCs w:val="22"/>
          <w:lang w:val="cs-CZ"/>
        </w:rPr>
      </w:pPr>
      <w:r w:rsidRPr="00AD2798">
        <w:rPr>
          <w:bCs/>
          <w:szCs w:val="22"/>
          <w:lang w:val="cs-CZ"/>
        </w:rPr>
        <w:t>Priemerný distribučný objem treprostinilu je v rozsahu od 1,11 do 1,22 l/kg</w:t>
      </w:r>
      <w:r>
        <w:rPr>
          <w:bCs/>
          <w:szCs w:val="22"/>
          <w:lang w:val="cs-CZ"/>
        </w:rPr>
        <w:t>.</w:t>
      </w:r>
    </w:p>
    <w:p w14:paraId="6DE62519" w14:textId="77777777" w:rsidR="00A377B5" w:rsidRPr="005C3240" w:rsidRDefault="00A377B5" w:rsidP="00A377B5">
      <w:pPr>
        <w:spacing w:after="0"/>
        <w:rPr>
          <w:bCs/>
          <w:szCs w:val="22"/>
          <w:lang w:val="cs-CZ"/>
        </w:rPr>
      </w:pPr>
    </w:p>
    <w:p w14:paraId="425BDD51" w14:textId="55BB9E5D" w:rsidR="007E2579" w:rsidRPr="005C3240" w:rsidRDefault="007C2B1A" w:rsidP="00A377B5">
      <w:pPr>
        <w:spacing w:after="0"/>
        <w:rPr>
          <w:bCs/>
          <w:szCs w:val="22"/>
          <w:u w:val="single"/>
          <w:lang w:val="cs-CZ"/>
        </w:rPr>
      </w:pPr>
      <w:r w:rsidRPr="007C2B1A">
        <w:rPr>
          <w:bCs/>
          <w:szCs w:val="22"/>
          <w:u w:val="single"/>
          <w:lang w:val="cs-CZ"/>
        </w:rPr>
        <w:t xml:space="preserve">Biotransformácie a </w:t>
      </w:r>
      <w:r w:rsidR="007A2B6F">
        <w:rPr>
          <w:bCs/>
          <w:szCs w:val="22"/>
          <w:u w:val="single"/>
          <w:lang w:val="cs-CZ"/>
        </w:rPr>
        <w:t>e</w:t>
      </w:r>
      <w:r w:rsidRPr="007C2B1A">
        <w:rPr>
          <w:bCs/>
          <w:szCs w:val="22"/>
          <w:u w:val="single"/>
          <w:lang w:val="cs-CZ"/>
        </w:rPr>
        <w:t>liminácia</w:t>
      </w:r>
    </w:p>
    <w:p w14:paraId="774929CE" w14:textId="19B74AA3" w:rsidR="00124996" w:rsidRDefault="007C2B1A" w:rsidP="00A377B5">
      <w:pPr>
        <w:spacing w:after="0"/>
        <w:rPr>
          <w:bCs/>
          <w:szCs w:val="22"/>
          <w:lang w:val="cs-CZ"/>
        </w:rPr>
      </w:pPr>
      <w:r w:rsidRPr="007C2B1A">
        <w:rPr>
          <w:bCs/>
          <w:szCs w:val="22"/>
          <w:lang w:val="cs-CZ"/>
        </w:rPr>
        <w:t>Priemerný zdanlivý polčas eliminácie po subkutánnom podaní je v rozsahu od 1,32 do 1,42 hodín po infúzii nad 6 hodín, 4,61 hodiny po infúzii nad 72 hodín a 2,93 hodín po infúzii trvajúcej minimálne tri týždne</w:t>
      </w:r>
      <w:r w:rsidR="00F73D85" w:rsidRPr="005C3240">
        <w:rPr>
          <w:bCs/>
          <w:szCs w:val="22"/>
          <w:lang w:val="cs-CZ"/>
        </w:rPr>
        <w:t xml:space="preserve"> a </w:t>
      </w:r>
      <w:r w:rsidRPr="007C2B1A">
        <w:rPr>
          <w:bCs/>
          <w:szCs w:val="22"/>
          <w:lang w:val="cs-CZ"/>
        </w:rPr>
        <w:t>plazmatický klírens je v rozsahu od 586,2 do 646,9 ml/kg/h. Klírens je nižší u obéznych jedincov (BMI &gt; 30 kg/m</w:t>
      </w:r>
      <w:r w:rsidRPr="007C2B1A">
        <w:rPr>
          <w:bCs/>
          <w:szCs w:val="22"/>
          <w:vertAlign w:val="superscript"/>
          <w:lang w:val="cs-CZ"/>
        </w:rPr>
        <w:t>2</w:t>
      </w:r>
      <w:r w:rsidRPr="007C2B1A">
        <w:rPr>
          <w:bCs/>
          <w:szCs w:val="22"/>
          <w:lang w:val="cs-CZ"/>
        </w:rPr>
        <w:t>).</w:t>
      </w:r>
    </w:p>
    <w:p w14:paraId="37271953" w14:textId="77777777" w:rsidR="00A377B5" w:rsidRPr="005C3240" w:rsidRDefault="00A377B5" w:rsidP="00A377B5">
      <w:pPr>
        <w:spacing w:after="0"/>
        <w:rPr>
          <w:bCs/>
          <w:szCs w:val="22"/>
          <w:lang w:val="cs-CZ"/>
        </w:rPr>
      </w:pPr>
    </w:p>
    <w:p w14:paraId="052BF5A4" w14:textId="72035014" w:rsidR="007C2B1A" w:rsidRDefault="007C2B1A" w:rsidP="00A377B5">
      <w:pPr>
        <w:spacing w:after="0"/>
        <w:rPr>
          <w:bCs/>
          <w:szCs w:val="22"/>
          <w:lang w:val="cs-CZ"/>
        </w:rPr>
      </w:pPr>
      <w:r w:rsidRPr="007C2B1A">
        <w:rPr>
          <w:bCs/>
          <w:szCs w:val="22"/>
          <w:lang w:val="cs-CZ"/>
        </w:rPr>
        <w:t>Pri štúdii vykonanej so zdravými dobrovoľníkmi s použitím [</w:t>
      </w:r>
      <w:r w:rsidRPr="00124128">
        <w:rPr>
          <w:bCs/>
          <w:szCs w:val="22"/>
          <w:vertAlign w:val="superscript"/>
          <w:lang w:val="cs-CZ"/>
        </w:rPr>
        <w:t>14</w:t>
      </w:r>
      <w:r w:rsidRPr="007C2B1A">
        <w:rPr>
          <w:bCs/>
          <w:szCs w:val="22"/>
          <w:lang w:val="cs-CZ"/>
        </w:rPr>
        <w:t>C] rádioaktívneho treprostinilu sa v období 224 hodín získalo 78,6 % a 13,4 % subkutánnej rádioaktívnej dávky z moču a stolice, v uvedenom poradí. Nepozoroval sa ani jeden významný metabolit. V moči sa zistilo päť metabolitov v rozsahu od 10,2 % do 15,5 % podanej dávky. Týchto päť metabolitov tvorilo celkovo 64,4 %. Tri sú produkty oxidácie bočného reťazca 3-hydroxyloktylu, jeden je glukurokonjugovaný derivát (glukuronid treprostinilu) a jeden nie je identifikovaný. Iba 3,7 % dávky sa získalo v moči ako nezmenený pôvodný liek.</w:t>
      </w:r>
    </w:p>
    <w:p w14:paraId="042401AF" w14:textId="77777777" w:rsidR="00A377B5" w:rsidRPr="007C2B1A" w:rsidRDefault="00A377B5" w:rsidP="00A377B5">
      <w:pPr>
        <w:spacing w:after="0"/>
        <w:rPr>
          <w:bCs/>
          <w:szCs w:val="22"/>
          <w:lang w:val="cs-CZ"/>
        </w:rPr>
      </w:pPr>
    </w:p>
    <w:p w14:paraId="4DAABCB7" w14:textId="74615822" w:rsidR="007C2B1A" w:rsidRDefault="007C2B1A" w:rsidP="00A377B5">
      <w:pPr>
        <w:spacing w:after="0"/>
        <w:rPr>
          <w:bCs/>
          <w:szCs w:val="22"/>
          <w:lang w:val="cs-CZ"/>
        </w:rPr>
      </w:pPr>
      <w:r w:rsidRPr="007C2B1A">
        <w:rPr>
          <w:bCs/>
          <w:szCs w:val="22"/>
          <w:lang w:val="cs-CZ"/>
        </w:rPr>
        <w:t>V sedemdňovej chronickej farmakokinetickej štúdii so 14 zdravými dobrovoľníkmi s dávkami treprostinilu v rozsahu od 2,5 do 15 ng/kg/min. podávanými subkutánnou infúziou dosiahli rovnovážne koncentrácie treprostinilu v plazme dvakrát maximálne hladiny (o 1.00 hodine a 10.00 hodine v uvedenom poradí) a dvakrát minimálne hladiny (o 7.00 hodine a 16.00 hodine v uvedenom poradí). Maximálne koncentrácie boli približne o 20 % až  30 % vyššie ako minimálne koncentrácie.</w:t>
      </w:r>
    </w:p>
    <w:p w14:paraId="557F0E15" w14:textId="77777777" w:rsidR="00A377B5" w:rsidRPr="007C2B1A" w:rsidRDefault="00A377B5" w:rsidP="00A377B5">
      <w:pPr>
        <w:spacing w:after="0"/>
        <w:rPr>
          <w:bCs/>
          <w:szCs w:val="22"/>
          <w:lang w:val="cs-CZ"/>
        </w:rPr>
      </w:pPr>
    </w:p>
    <w:p w14:paraId="2DCDA166" w14:textId="064C0DAE" w:rsidR="00124996" w:rsidRDefault="007C2B1A" w:rsidP="00A377B5">
      <w:pPr>
        <w:spacing w:after="0"/>
        <w:rPr>
          <w:bCs/>
          <w:szCs w:val="22"/>
          <w:lang w:val="cs-CZ"/>
        </w:rPr>
      </w:pPr>
      <w:r w:rsidRPr="007C2B1A">
        <w:rPr>
          <w:bCs/>
          <w:i/>
          <w:iCs/>
          <w:szCs w:val="22"/>
          <w:lang w:val="cs-CZ"/>
        </w:rPr>
        <w:t>In vitro</w:t>
      </w:r>
      <w:r w:rsidRPr="007C2B1A">
        <w:rPr>
          <w:bCs/>
          <w:szCs w:val="22"/>
          <w:lang w:val="cs-CZ"/>
        </w:rPr>
        <w:t xml:space="preserve"> štúdia nepreukázala žiadny inhibičný potenciál treprostinilu na izoenzýmy ľudského hepatálneho mikrozomálneho cytochrómu P450 (CYP1A2, CYP2C9, CYP2C19, CYP2D6, CYP2E1 a CYP3A).</w:t>
      </w:r>
    </w:p>
    <w:p w14:paraId="2EB57BB8" w14:textId="77777777" w:rsidR="00A377B5" w:rsidRPr="005C3240" w:rsidRDefault="00A377B5" w:rsidP="00A377B5">
      <w:pPr>
        <w:spacing w:after="0"/>
        <w:rPr>
          <w:bCs/>
          <w:szCs w:val="22"/>
          <w:lang w:val="cs-CZ"/>
        </w:rPr>
      </w:pPr>
    </w:p>
    <w:p w14:paraId="4C7F32F2" w14:textId="0CAFE1EF" w:rsidR="00ED28F8" w:rsidRPr="00ED28F8" w:rsidRDefault="00ED28F8" w:rsidP="00A377B5">
      <w:pPr>
        <w:spacing w:after="0"/>
        <w:rPr>
          <w:bCs/>
          <w:szCs w:val="22"/>
          <w:lang w:val="cs-CZ"/>
        </w:rPr>
      </w:pPr>
      <w:r w:rsidRPr="00ED28F8">
        <w:rPr>
          <w:bCs/>
          <w:szCs w:val="22"/>
          <w:lang w:val="cs-CZ"/>
        </w:rPr>
        <w:lastRenderedPageBreak/>
        <w:t>Okrem toho podávanie treprostinilu nemalo žiaden indukčný účinok na hepatálny mikrozomálny proteín, celkový obsah cytochrómu (CYP) P 450 či na pôsobenie izoenzýmov CYP1A, CYP2B a CYP3A. Štúdie interakcií lieku sa vykonali so zdravými dobrovoľníkmi s paracetamolom (4 g/deň) a warfarínom (25 mg/deň). Tieto štúdie nepreukázali klinicky významný účinok na farmakokinetiku treprostinilu. Štúdia vykonaná s warfarínom neodhalila žiadnu zjavnú farmakodynamickú ani farmakokinetickú interakciu medzi treprostinilom a warfarínom.</w:t>
      </w:r>
    </w:p>
    <w:p w14:paraId="79FD93B8" w14:textId="0357FB78" w:rsidR="00124996" w:rsidRDefault="00ED28F8" w:rsidP="00A377B5">
      <w:pPr>
        <w:spacing w:after="0"/>
        <w:rPr>
          <w:bCs/>
          <w:szCs w:val="22"/>
          <w:lang w:val="cs-CZ"/>
        </w:rPr>
      </w:pPr>
      <w:r w:rsidRPr="00ED28F8">
        <w:rPr>
          <w:bCs/>
          <w:szCs w:val="22"/>
          <w:lang w:val="cs-CZ"/>
        </w:rPr>
        <w:t>Metabolizmus treprostinilu zahŕňa predovšetkým CYP2C8.</w:t>
      </w:r>
    </w:p>
    <w:p w14:paraId="6156D1DB" w14:textId="77777777" w:rsidR="00A377B5" w:rsidRPr="005C3240" w:rsidRDefault="00A377B5" w:rsidP="00A377B5">
      <w:pPr>
        <w:spacing w:after="0"/>
        <w:rPr>
          <w:bCs/>
          <w:szCs w:val="22"/>
          <w:lang w:val="cs-CZ"/>
        </w:rPr>
      </w:pPr>
    </w:p>
    <w:p w14:paraId="450A3837" w14:textId="7C348ABC" w:rsidR="00124996" w:rsidRPr="005C3240" w:rsidRDefault="00124128" w:rsidP="00A377B5">
      <w:pPr>
        <w:spacing w:after="0"/>
        <w:rPr>
          <w:b/>
          <w:szCs w:val="22"/>
          <w:u w:val="single"/>
          <w:lang w:val="cs-CZ"/>
        </w:rPr>
      </w:pPr>
      <w:r w:rsidRPr="00124128">
        <w:rPr>
          <w:b/>
          <w:szCs w:val="22"/>
          <w:u w:val="single"/>
          <w:lang w:val="cs-CZ"/>
        </w:rPr>
        <w:t>Osobitné skupiny pacientov</w:t>
      </w:r>
    </w:p>
    <w:p w14:paraId="484765C3" w14:textId="77777777" w:rsidR="00936232" w:rsidRDefault="00124128" w:rsidP="00A377B5">
      <w:pPr>
        <w:spacing w:after="0"/>
        <w:rPr>
          <w:bCs/>
          <w:szCs w:val="22"/>
          <w:u w:val="single"/>
          <w:lang w:val="cs-CZ"/>
        </w:rPr>
      </w:pPr>
      <w:r w:rsidRPr="00124128">
        <w:rPr>
          <w:bCs/>
          <w:szCs w:val="22"/>
          <w:u w:val="single"/>
          <w:lang w:val="cs-CZ"/>
        </w:rPr>
        <w:t>Porucha funkcie pečene:</w:t>
      </w:r>
    </w:p>
    <w:p w14:paraId="5378315A" w14:textId="27B72024" w:rsidR="00124996" w:rsidRPr="005C3240" w:rsidRDefault="00936232" w:rsidP="00A377B5">
      <w:pPr>
        <w:spacing w:after="0"/>
        <w:rPr>
          <w:bCs/>
          <w:szCs w:val="22"/>
          <w:lang w:val="cs-CZ"/>
        </w:rPr>
      </w:pPr>
      <w:r w:rsidRPr="00936232">
        <w:rPr>
          <w:bCs/>
          <w:szCs w:val="22"/>
          <w:lang w:val="cs-CZ"/>
        </w:rPr>
        <w:t>U pacientov s portopulmoná</w:t>
      </w:r>
      <w:r w:rsidR="007A2B6F">
        <w:rPr>
          <w:bCs/>
          <w:szCs w:val="22"/>
          <w:lang w:val="cs-CZ"/>
        </w:rPr>
        <w:t>l</w:t>
      </w:r>
      <w:r w:rsidRPr="00936232">
        <w:rPr>
          <w:bCs/>
          <w:szCs w:val="22"/>
          <w:lang w:val="cs-CZ"/>
        </w:rPr>
        <w:t xml:space="preserve">nou hypertenziou a miernou (n=4) alebo stredne závažnou (n=5) insuficienciou pečene bola AUC </w:t>
      </w:r>
      <w:r w:rsidRPr="00936232">
        <w:rPr>
          <w:bCs/>
          <w:szCs w:val="22"/>
          <w:vertAlign w:val="subscript"/>
          <w:lang w:val="cs-CZ"/>
        </w:rPr>
        <w:t>0-24h</w:t>
      </w:r>
      <w:r w:rsidRPr="00936232">
        <w:rPr>
          <w:bCs/>
          <w:szCs w:val="22"/>
          <w:lang w:val="cs-CZ"/>
        </w:rPr>
        <w:t xml:space="preserve"> pri subkutánnej dávke treprostinilu 10 ng/kg/min. počas 150 minút zvýšená o 260 % a 510 % v uvedenom poradí v porovnaní so zdravými jedincami.</w:t>
      </w:r>
      <w:r w:rsidR="00EA4343">
        <w:rPr>
          <w:bCs/>
          <w:szCs w:val="22"/>
          <w:lang w:val="cs-CZ"/>
        </w:rPr>
        <w:t xml:space="preserve"> </w:t>
      </w:r>
      <w:r w:rsidRPr="00936232">
        <w:rPr>
          <w:bCs/>
          <w:szCs w:val="22"/>
          <w:lang w:val="cs-CZ"/>
        </w:rPr>
        <w:t>Klírens u pacientov so zlyh</w:t>
      </w:r>
      <w:r w:rsidR="007A2B6F">
        <w:rPr>
          <w:bCs/>
          <w:szCs w:val="22"/>
          <w:lang w:val="cs-CZ"/>
        </w:rPr>
        <w:t>áv</w:t>
      </w:r>
      <w:r w:rsidRPr="00936232">
        <w:rPr>
          <w:bCs/>
          <w:szCs w:val="22"/>
          <w:lang w:val="cs-CZ"/>
        </w:rPr>
        <w:t>aním pečene sa znížil až o 80 % v porovnaní so zdravými dospelými (pozri časť 4.2).</w:t>
      </w:r>
    </w:p>
    <w:p w14:paraId="74220AEC" w14:textId="73D6174F" w:rsidR="004B3D5A" w:rsidRPr="005C3240" w:rsidRDefault="004B3D5A" w:rsidP="00124996">
      <w:pPr>
        <w:pStyle w:val="Bezriadkovania"/>
        <w:rPr>
          <w:rFonts w:ascii="Times New Roman" w:eastAsia="Times New Roman" w:hAnsi="Times New Roman" w:cs="Times New Roman"/>
          <w:bCs/>
          <w:lang w:val="cs-CZ" w:eastAsia="en-GB" w:bidi="ar-SA"/>
        </w:rPr>
      </w:pPr>
    </w:p>
    <w:p w14:paraId="72BD21F4" w14:textId="3C09A926" w:rsidR="009E0FD0" w:rsidRPr="005C3240" w:rsidRDefault="00CB039C" w:rsidP="009E0FD0">
      <w:pPr>
        <w:pStyle w:val="Nadpis2"/>
        <w:rPr>
          <w:lang w:val="cs-CZ"/>
        </w:rPr>
      </w:pPr>
      <w:r w:rsidRPr="00CB039C">
        <w:rPr>
          <w:lang w:val="cs-CZ"/>
        </w:rPr>
        <w:t>Predklinické údaje o bezpečnosti</w:t>
      </w:r>
    </w:p>
    <w:p w14:paraId="5F7C6068" w14:textId="3758BF26" w:rsidR="00CB039C" w:rsidRPr="00CB039C" w:rsidRDefault="00CB039C" w:rsidP="00CB039C">
      <w:pPr>
        <w:suppressAutoHyphens/>
        <w:rPr>
          <w:bCs/>
          <w:szCs w:val="22"/>
          <w:lang w:val="cs-CZ"/>
        </w:rPr>
      </w:pPr>
      <w:r w:rsidRPr="00CB039C">
        <w:rPr>
          <w:bCs/>
          <w:szCs w:val="22"/>
          <w:lang w:val="cs-CZ"/>
        </w:rPr>
        <w:t>V</w:t>
      </w:r>
      <w:r w:rsidR="007A2B6F">
        <w:rPr>
          <w:bCs/>
          <w:szCs w:val="22"/>
          <w:lang w:val="cs-CZ"/>
        </w:rPr>
        <w:t> </w:t>
      </w:r>
      <w:r w:rsidRPr="00CB039C">
        <w:rPr>
          <w:bCs/>
          <w:szCs w:val="22"/>
          <w:lang w:val="cs-CZ"/>
        </w:rPr>
        <w:t>13</w:t>
      </w:r>
      <w:r w:rsidR="007A2B6F">
        <w:rPr>
          <w:bCs/>
          <w:szCs w:val="22"/>
          <w:lang w:val="cs-CZ"/>
        </w:rPr>
        <w:t>-</w:t>
      </w:r>
      <w:r w:rsidRPr="00CB039C">
        <w:rPr>
          <w:bCs/>
          <w:szCs w:val="22"/>
          <w:lang w:val="cs-CZ"/>
        </w:rPr>
        <w:t xml:space="preserve"> a 26</w:t>
      </w:r>
      <w:r w:rsidR="007A2B6F">
        <w:rPr>
          <w:bCs/>
          <w:szCs w:val="22"/>
          <w:lang w:val="cs-CZ"/>
        </w:rPr>
        <w:t>-</w:t>
      </w:r>
      <w:r w:rsidR="00A377B5">
        <w:rPr>
          <w:bCs/>
          <w:szCs w:val="22"/>
          <w:lang w:val="cs-CZ"/>
        </w:rPr>
        <w:t xml:space="preserve"> </w:t>
      </w:r>
      <w:r w:rsidRPr="00CB039C">
        <w:rPr>
          <w:bCs/>
          <w:szCs w:val="22"/>
          <w:lang w:val="cs-CZ"/>
        </w:rPr>
        <w:t xml:space="preserve">týždňovej štúdii s kontinuálnou subkutánnou infúziou sodnej soli treprostinilu došlo u potkanov a psov k reakciám v mieste podania infúzie (edém/erytém, zdureniny/opuch, bolesť/citlivosť na dotyk). U psov sa pozorovali závažné klinické účinky (hypoaktivita, vracanie, riedka stolica a edém v mieste podania infúzie) a smrť (spojená s črevnou intususcepciou a prepadnutím konečníka) u zvierat po aplikácii dávky </w:t>
      </w:r>
      <w:r w:rsidR="00DC00B8" w:rsidRPr="00DC00B8">
        <w:rPr>
          <w:szCs w:val="24"/>
          <w:lang w:val="sk-SK" w:eastAsia="fr-FR"/>
        </w:rPr>
        <w:sym w:font="Symbol" w:char="00B3"/>
      </w:r>
      <w:r w:rsidRPr="00CB039C">
        <w:rPr>
          <w:bCs/>
          <w:szCs w:val="22"/>
          <w:lang w:val="cs-CZ"/>
        </w:rPr>
        <w:t xml:space="preserve"> 300 ng/kg/min. U týchto zvierat sa namerali priemerné rovnovážne hladiny treprostinilu v plazme 7,85 ng/ml. Plazmatické hladiny tejto úrovne sa u ľudí môžu dosiahnuť pri liečbe infúziami treprostinilu v dávke &gt; 50 ng/kg/min.  </w:t>
      </w:r>
    </w:p>
    <w:p w14:paraId="1B03FB35" w14:textId="007E19FB" w:rsidR="00CB039C" w:rsidRPr="00CB039C" w:rsidRDefault="00CB039C" w:rsidP="00CB039C">
      <w:pPr>
        <w:suppressAutoHyphens/>
        <w:rPr>
          <w:bCs/>
          <w:szCs w:val="22"/>
          <w:lang w:val="cs-CZ"/>
        </w:rPr>
      </w:pPr>
      <w:r w:rsidRPr="00CB039C">
        <w:rPr>
          <w:bCs/>
          <w:szCs w:val="22"/>
          <w:lang w:val="cs-CZ"/>
        </w:rPr>
        <w:t>Keďže sa nepotvrdila kontinuálne dostatočná expozícia treprostinilu pre žiadne dávkovanie testované v reprodukčných štúdiách na potkanoch, tieto štúdie môžu byť nedostatočné z hľadiska možných účinkov na fertilitu, prenatálny a postnatálny vývoj.</w:t>
      </w:r>
    </w:p>
    <w:p w14:paraId="7185CF87" w14:textId="00B76B82" w:rsidR="00CB039C" w:rsidRPr="00CB039C" w:rsidRDefault="00CB039C" w:rsidP="00CB039C">
      <w:pPr>
        <w:suppressAutoHyphens/>
        <w:rPr>
          <w:bCs/>
          <w:szCs w:val="22"/>
          <w:lang w:val="cs-CZ"/>
        </w:rPr>
      </w:pPr>
      <w:r w:rsidRPr="00CB039C">
        <w:rPr>
          <w:bCs/>
          <w:szCs w:val="22"/>
          <w:lang w:val="cs-CZ"/>
        </w:rPr>
        <w:t xml:space="preserve">Na zvieratách sa nevykonali žiadne dlhodobé štúdie na hodnotenie karcinogénneho potenciálu treprostinilu. </w:t>
      </w:r>
      <w:r w:rsidRPr="00CB039C">
        <w:rPr>
          <w:bCs/>
          <w:i/>
          <w:iCs/>
          <w:szCs w:val="22"/>
          <w:lang w:val="cs-CZ"/>
        </w:rPr>
        <w:t>In vitro</w:t>
      </w:r>
      <w:r w:rsidRPr="00CB039C">
        <w:rPr>
          <w:bCs/>
          <w:szCs w:val="22"/>
          <w:lang w:val="cs-CZ"/>
        </w:rPr>
        <w:t xml:space="preserve"> a </w:t>
      </w:r>
      <w:r w:rsidRPr="00CB039C">
        <w:rPr>
          <w:bCs/>
          <w:i/>
          <w:iCs/>
          <w:szCs w:val="22"/>
          <w:lang w:val="cs-CZ"/>
        </w:rPr>
        <w:t>in vivo</w:t>
      </w:r>
      <w:r w:rsidRPr="00CB039C">
        <w:rPr>
          <w:bCs/>
          <w:szCs w:val="22"/>
          <w:lang w:val="cs-CZ"/>
        </w:rPr>
        <w:t xml:space="preserve"> štúdie genotoxicity nepotvrdili, že treprostinil má akýkoľvek mutagénny alebo klastogénny účinok. </w:t>
      </w:r>
    </w:p>
    <w:p w14:paraId="09BFEEAF" w14:textId="357769E7" w:rsidR="00347F54" w:rsidRPr="005C3240" w:rsidRDefault="00CB039C" w:rsidP="00CB039C">
      <w:pPr>
        <w:suppressAutoHyphens/>
        <w:rPr>
          <w:bCs/>
          <w:szCs w:val="22"/>
          <w:lang w:val="cs-CZ"/>
        </w:rPr>
      </w:pPr>
      <w:r w:rsidRPr="00CB039C">
        <w:rPr>
          <w:bCs/>
          <w:szCs w:val="22"/>
          <w:lang w:val="cs-CZ"/>
        </w:rPr>
        <w:t>Predklinické údaje získané na základe obvyklých farmakologických štúdií bezpečnosti, toxicity po opakovanom podávaní, genotoxicity a reprodukčnej toxicity celkovo neodhalili žiadne osobitné riziko pre ľudí.</w:t>
      </w:r>
    </w:p>
    <w:p w14:paraId="1401F89C" w14:textId="77777777" w:rsidR="009C13DC" w:rsidRPr="005C3240" w:rsidRDefault="009C13DC" w:rsidP="00347F54">
      <w:pPr>
        <w:suppressAutoHyphens/>
        <w:rPr>
          <w:bCs/>
          <w:szCs w:val="22"/>
          <w:lang w:val="cs-CZ"/>
        </w:rPr>
      </w:pPr>
    </w:p>
    <w:p w14:paraId="5F1E549E" w14:textId="0EF45DFA" w:rsidR="009E0FD0" w:rsidRPr="005C3240" w:rsidRDefault="005F04ED" w:rsidP="009E0FD0">
      <w:pPr>
        <w:pStyle w:val="Nadpis1"/>
        <w:rPr>
          <w:lang w:val="cs-CZ"/>
        </w:rPr>
      </w:pPr>
      <w:r w:rsidRPr="005F04ED">
        <w:rPr>
          <w:lang w:val="cs-CZ"/>
        </w:rPr>
        <w:t>FARMACEUTICKÉ INFORMÁCIE</w:t>
      </w:r>
    </w:p>
    <w:p w14:paraId="29A11A99" w14:textId="56E9A8D4" w:rsidR="009E0FD0" w:rsidRPr="005C3240" w:rsidRDefault="005F04ED" w:rsidP="009E0FD0">
      <w:pPr>
        <w:pStyle w:val="Nadpis2"/>
        <w:rPr>
          <w:lang w:val="cs-CZ"/>
        </w:rPr>
      </w:pPr>
      <w:r w:rsidRPr="005F04ED">
        <w:rPr>
          <w:lang w:val="cs-CZ"/>
        </w:rPr>
        <w:t>Zoznam pomocných látok</w:t>
      </w:r>
    </w:p>
    <w:p w14:paraId="1A115E63" w14:textId="36B60069" w:rsidR="002A4930" w:rsidRPr="005C3240" w:rsidRDefault="009F2E1A" w:rsidP="002A4930">
      <w:pPr>
        <w:autoSpaceDE w:val="0"/>
        <w:autoSpaceDN w:val="0"/>
        <w:adjustRightInd w:val="0"/>
        <w:spacing w:after="0"/>
        <w:jc w:val="left"/>
        <w:rPr>
          <w:szCs w:val="22"/>
          <w:lang w:val="cs-CZ"/>
        </w:rPr>
      </w:pPr>
      <w:r w:rsidRPr="005C3240">
        <w:rPr>
          <w:szCs w:val="22"/>
          <w:lang w:val="cs-CZ"/>
        </w:rPr>
        <w:t>Chlorid sodný</w:t>
      </w:r>
    </w:p>
    <w:p w14:paraId="275EC4CC" w14:textId="6DBC4DD2" w:rsidR="002A4930" w:rsidRPr="005C3240" w:rsidRDefault="009F2E1A" w:rsidP="002A4930">
      <w:pPr>
        <w:autoSpaceDE w:val="0"/>
        <w:autoSpaceDN w:val="0"/>
        <w:adjustRightInd w:val="0"/>
        <w:spacing w:after="0"/>
        <w:jc w:val="left"/>
        <w:rPr>
          <w:szCs w:val="22"/>
          <w:lang w:val="cs-CZ"/>
        </w:rPr>
      </w:pPr>
      <w:r w:rsidRPr="005C3240">
        <w:rPr>
          <w:szCs w:val="22"/>
          <w:lang w:val="cs-CZ"/>
        </w:rPr>
        <w:t>Metakre</w:t>
      </w:r>
      <w:r w:rsidR="005F04ED">
        <w:rPr>
          <w:szCs w:val="22"/>
          <w:lang w:val="cs-CZ"/>
        </w:rPr>
        <w:t>z</w:t>
      </w:r>
      <w:r w:rsidRPr="005C3240">
        <w:rPr>
          <w:szCs w:val="22"/>
          <w:lang w:val="cs-CZ"/>
        </w:rPr>
        <w:t>ol</w:t>
      </w:r>
    </w:p>
    <w:p w14:paraId="79B08EDD" w14:textId="62A9E5E0" w:rsidR="002A4930" w:rsidRPr="005C3240" w:rsidRDefault="005F04ED" w:rsidP="002A4930">
      <w:pPr>
        <w:autoSpaceDE w:val="0"/>
        <w:autoSpaceDN w:val="0"/>
        <w:adjustRightInd w:val="0"/>
        <w:spacing w:after="0"/>
        <w:jc w:val="left"/>
        <w:rPr>
          <w:szCs w:val="22"/>
          <w:lang w:val="cs-CZ"/>
        </w:rPr>
      </w:pPr>
      <w:r w:rsidRPr="005F04ED">
        <w:rPr>
          <w:szCs w:val="22"/>
          <w:lang w:val="cs-CZ"/>
        </w:rPr>
        <w:t>Citr</w:t>
      </w:r>
      <w:r w:rsidR="007A2B6F">
        <w:rPr>
          <w:szCs w:val="22"/>
          <w:lang w:val="cs-CZ"/>
        </w:rPr>
        <w:t>ó</w:t>
      </w:r>
      <w:r w:rsidRPr="005F04ED">
        <w:rPr>
          <w:szCs w:val="22"/>
          <w:lang w:val="cs-CZ"/>
        </w:rPr>
        <w:t>nan sodný</w:t>
      </w:r>
      <w:r w:rsidR="007517D5" w:rsidRPr="005C3240">
        <w:rPr>
          <w:szCs w:val="22"/>
          <w:lang w:val="cs-CZ"/>
        </w:rPr>
        <w:t xml:space="preserve"> </w:t>
      </w:r>
    </w:p>
    <w:p w14:paraId="05659C70" w14:textId="5139C202" w:rsidR="002A4930" w:rsidRPr="005C3240" w:rsidRDefault="009F2E1A" w:rsidP="002A4930">
      <w:pPr>
        <w:autoSpaceDE w:val="0"/>
        <w:autoSpaceDN w:val="0"/>
        <w:adjustRightInd w:val="0"/>
        <w:spacing w:after="0"/>
        <w:jc w:val="left"/>
        <w:rPr>
          <w:szCs w:val="22"/>
          <w:lang w:val="cs-CZ"/>
        </w:rPr>
      </w:pPr>
      <w:r w:rsidRPr="005C3240">
        <w:rPr>
          <w:szCs w:val="22"/>
          <w:lang w:val="cs-CZ"/>
        </w:rPr>
        <w:t>Hydroxid sodný na úpravu pH</w:t>
      </w:r>
    </w:p>
    <w:p w14:paraId="262F3ABF" w14:textId="3675D006" w:rsidR="002A4930" w:rsidRPr="005C3240" w:rsidRDefault="009F2E1A" w:rsidP="002A4930">
      <w:pPr>
        <w:autoSpaceDE w:val="0"/>
        <w:autoSpaceDN w:val="0"/>
        <w:adjustRightInd w:val="0"/>
        <w:spacing w:after="0"/>
        <w:jc w:val="left"/>
        <w:rPr>
          <w:szCs w:val="22"/>
          <w:lang w:val="cs-CZ"/>
        </w:rPr>
      </w:pPr>
      <w:r w:rsidRPr="005C3240">
        <w:rPr>
          <w:szCs w:val="22"/>
          <w:lang w:val="cs-CZ"/>
        </w:rPr>
        <w:t>Kyselina chlorovodíková, koncentrovaná na úpravu pH</w:t>
      </w:r>
    </w:p>
    <w:p w14:paraId="7CED84DA" w14:textId="39632923" w:rsidR="002A4930" w:rsidRPr="005C3240" w:rsidRDefault="005F04ED" w:rsidP="002A4930">
      <w:pPr>
        <w:autoSpaceDE w:val="0"/>
        <w:autoSpaceDN w:val="0"/>
        <w:adjustRightInd w:val="0"/>
        <w:spacing w:after="0"/>
        <w:jc w:val="left"/>
        <w:rPr>
          <w:lang w:val="cs-CZ"/>
        </w:rPr>
      </w:pPr>
      <w:r w:rsidRPr="005F04ED">
        <w:rPr>
          <w:szCs w:val="22"/>
          <w:lang w:val="cs-CZ"/>
        </w:rPr>
        <w:t>Voda na injekcie</w:t>
      </w:r>
    </w:p>
    <w:p w14:paraId="4C78345B" w14:textId="380011C9" w:rsidR="009E0FD0" w:rsidRPr="005C3240" w:rsidRDefault="00D15530" w:rsidP="009E0FD0">
      <w:pPr>
        <w:pStyle w:val="Nadpis2"/>
        <w:rPr>
          <w:lang w:val="cs-CZ"/>
        </w:rPr>
      </w:pPr>
      <w:r w:rsidRPr="005C3240">
        <w:rPr>
          <w:lang w:val="cs-CZ"/>
        </w:rPr>
        <w:t>Inkompatibility</w:t>
      </w:r>
    </w:p>
    <w:p w14:paraId="3A7D555C" w14:textId="09139B3E" w:rsidR="00B01158" w:rsidRPr="005C3240" w:rsidRDefault="009C5026" w:rsidP="00B01158">
      <w:pPr>
        <w:rPr>
          <w:lang w:val="cs-CZ"/>
        </w:rPr>
      </w:pPr>
      <w:r w:rsidRPr="00B221E7">
        <w:rPr>
          <w:lang w:val="cs-CZ"/>
        </w:rPr>
        <w:t>Neaplikovateľné</w:t>
      </w:r>
      <w:r w:rsidRPr="009A2FC9">
        <w:rPr>
          <w:lang w:val="cs-CZ"/>
        </w:rPr>
        <w:t>.</w:t>
      </w:r>
    </w:p>
    <w:p w14:paraId="75407D24" w14:textId="37D81735" w:rsidR="009E0FD0" w:rsidRPr="005C3240" w:rsidRDefault="0010137E" w:rsidP="009E0FD0">
      <w:pPr>
        <w:pStyle w:val="Nadpis2"/>
        <w:rPr>
          <w:lang w:val="cs-CZ"/>
        </w:rPr>
      </w:pPr>
      <w:r w:rsidRPr="0010137E">
        <w:rPr>
          <w:lang w:val="cs-CZ"/>
        </w:rPr>
        <w:lastRenderedPageBreak/>
        <w:t>Čas použiteľnosti</w:t>
      </w:r>
    </w:p>
    <w:p w14:paraId="4134C990" w14:textId="6CB9711D" w:rsidR="00977532" w:rsidRPr="005C3240" w:rsidRDefault="0010137E" w:rsidP="009C5026">
      <w:pPr>
        <w:spacing w:after="0"/>
        <w:rPr>
          <w:lang w:val="cs-CZ"/>
        </w:rPr>
      </w:pPr>
      <w:r>
        <w:rPr>
          <w:lang w:val="cs-CZ"/>
        </w:rPr>
        <w:t>N</w:t>
      </w:r>
      <w:r w:rsidRPr="0010137E">
        <w:rPr>
          <w:lang w:val="cs-CZ"/>
        </w:rPr>
        <w:t>eotvorené</w:t>
      </w:r>
      <w:r w:rsidR="00977532" w:rsidRPr="005C3240">
        <w:rPr>
          <w:lang w:val="cs-CZ"/>
        </w:rPr>
        <w:t xml:space="preserve">: </w:t>
      </w:r>
      <w:r w:rsidR="00C2608A" w:rsidRPr="005C3240">
        <w:rPr>
          <w:lang w:val="cs-CZ"/>
        </w:rPr>
        <w:t xml:space="preserve"> 2 </w:t>
      </w:r>
      <w:r w:rsidR="006D0BF8" w:rsidRPr="005C3240">
        <w:rPr>
          <w:lang w:val="cs-CZ"/>
        </w:rPr>
        <w:t>roky</w:t>
      </w:r>
    </w:p>
    <w:p w14:paraId="32698BBE" w14:textId="44299081" w:rsidR="00977532" w:rsidRDefault="0010137E" w:rsidP="009C5026">
      <w:pPr>
        <w:spacing w:after="0"/>
        <w:rPr>
          <w:lang w:val="cs-CZ"/>
        </w:rPr>
      </w:pPr>
      <w:r>
        <w:rPr>
          <w:lang w:val="cs-CZ"/>
        </w:rPr>
        <w:t>P</w:t>
      </w:r>
      <w:r w:rsidRPr="0010137E">
        <w:rPr>
          <w:lang w:val="cs-CZ"/>
        </w:rPr>
        <w:t>o prvom otvorení</w:t>
      </w:r>
      <w:r w:rsidR="00977532" w:rsidRPr="005C3240">
        <w:rPr>
          <w:lang w:val="cs-CZ"/>
        </w:rPr>
        <w:t>: 30 d</w:t>
      </w:r>
      <w:r w:rsidR="006D0BF8" w:rsidRPr="005C3240">
        <w:rPr>
          <w:lang w:val="cs-CZ"/>
        </w:rPr>
        <w:t>nů</w:t>
      </w:r>
    </w:p>
    <w:p w14:paraId="099971AB" w14:textId="77777777" w:rsidR="009C5026" w:rsidRPr="005C3240" w:rsidRDefault="009C5026" w:rsidP="009C5026">
      <w:pPr>
        <w:spacing w:after="0"/>
        <w:rPr>
          <w:lang w:val="cs-CZ"/>
        </w:rPr>
      </w:pPr>
    </w:p>
    <w:p w14:paraId="4D02C930" w14:textId="45145B00" w:rsidR="00977532" w:rsidRPr="005C3240" w:rsidRDefault="0010137E" w:rsidP="009C5026">
      <w:pPr>
        <w:spacing w:after="0"/>
        <w:rPr>
          <w:i/>
          <w:lang w:val="cs-CZ"/>
        </w:rPr>
      </w:pPr>
      <w:r w:rsidRPr="0010137E">
        <w:rPr>
          <w:i/>
          <w:lang w:val="cs-CZ"/>
        </w:rPr>
        <w:t>Čas použiteľnosti počas kontinuálnej subkutánnej infúzie</w:t>
      </w:r>
    </w:p>
    <w:p w14:paraId="0560BBB3" w14:textId="225D5838" w:rsidR="00C323B6" w:rsidRDefault="0010137E" w:rsidP="009C5026">
      <w:pPr>
        <w:spacing w:after="0"/>
        <w:outlineLvl w:val="0"/>
        <w:rPr>
          <w:szCs w:val="22"/>
          <w:lang w:val="cs-CZ"/>
        </w:rPr>
      </w:pPr>
      <w:bookmarkStart w:id="5" w:name="_Hlk42101640"/>
      <w:r w:rsidRPr="0010137E">
        <w:rPr>
          <w:szCs w:val="22"/>
          <w:lang w:val="cs-CZ"/>
        </w:rPr>
        <w:t>Chemická a fyzikálna stabilita pri používaní sa preukázala počas 72 hodín pri teplote 37 °C. Z mikrobiologického hľadiska sa m</w:t>
      </w:r>
      <w:r w:rsidR="007A2B6F">
        <w:rPr>
          <w:szCs w:val="22"/>
          <w:lang w:val="cs-CZ"/>
        </w:rPr>
        <w:t>á</w:t>
      </w:r>
      <w:r w:rsidRPr="0010137E">
        <w:rPr>
          <w:szCs w:val="22"/>
          <w:lang w:val="cs-CZ"/>
        </w:rPr>
        <w:t xml:space="preserve"> liek použiť okamžite, ak metóda otvorenia nevylučuje riziko mikrobiálnej kontaminácie. Ak sa nepoužije okamžite, za čas a podmienky uchovávania počas používania zodpovedá používateľ.</w:t>
      </w:r>
    </w:p>
    <w:p w14:paraId="2EA8D796" w14:textId="248149D8" w:rsidR="009C5026" w:rsidRDefault="009C5026" w:rsidP="009C5026">
      <w:pPr>
        <w:spacing w:after="0"/>
        <w:outlineLvl w:val="0"/>
        <w:rPr>
          <w:szCs w:val="22"/>
          <w:lang w:val="cs-CZ"/>
        </w:rPr>
      </w:pPr>
      <w:r w:rsidRPr="00DB2E85">
        <w:rPr>
          <w:szCs w:val="22"/>
          <w:lang w:val="cs-CZ"/>
        </w:rPr>
        <w:t xml:space="preserve">Počas plynulej subkutánnej infúzie je potrebné použiť jeden zásobník (injekčná striekačka) neriedeného </w:t>
      </w:r>
      <w:bookmarkStart w:id="6" w:name="_Hlk43117633"/>
      <w:r>
        <w:rPr>
          <w:szCs w:val="22"/>
          <w:lang w:val="cs-CZ"/>
        </w:rPr>
        <w:t>treprostinilu</w:t>
      </w:r>
      <w:bookmarkEnd w:id="6"/>
      <w:r w:rsidRPr="00DB2E85">
        <w:rPr>
          <w:szCs w:val="22"/>
          <w:lang w:val="cs-CZ"/>
        </w:rPr>
        <w:t xml:space="preserve"> do 72 hodín.</w:t>
      </w:r>
    </w:p>
    <w:p w14:paraId="4A53F33A" w14:textId="77777777" w:rsidR="009C5026" w:rsidRPr="005C3240" w:rsidRDefault="009C5026" w:rsidP="009C5026">
      <w:pPr>
        <w:spacing w:after="0"/>
        <w:outlineLvl w:val="0"/>
        <w:rPr>
          <w:szCs w:val="22"/>
          <w:lang w:val="cs-CZ"/>
        </w:rPr>
      </w:pPr>
    </w:p>
    <w:bookmarkEnd w:id="5"/>
    <w:p w14:paraId="7654E857" w14:textId="5D641CB3" w:rsidR="00977532" w:rsidRPr="005C3240" w:rsidRDefault="003B1141" w:rsidP="009C5026">
      <w:pPr>
        <w:spacing w:after="0"/>
        <w:rPr>
          <w:i/>
          <w:lang w:val="cs-CZ"/>
        </w:rPr>
      </w:pPr>
      <w:r w:rsidRPr="003B1141">
        <w:rPr>
          <w:i/>
          <w:lang w:val="cs-CZ"/>
        </w:rPr>
        <w:t>Čas použiteľnosti počas kontinuálnej intravenóznej infúzie</w:t>
      </w:r>
    </w:p>
    <w:p w14:paraId="4E138F08" w14:textId="77777777" w:rsidR="0010137E" w:rsidRPr="0010137E" w:rsidRDefault="0010137E" w:rsidP="009C5026">
      <w:pPr>
        <w:spacing w:after="0" w:line="276" w:lineRule="auto"/>
        <w:outlineLvl w:val="0"/>
        <w:rPr>
          <w:szCs w:val="22"/>
          <w:lang w:val="cs-CZ"/>
        </w:rPr>
      </w:pPr>
      <w:r w:rsidRPr="0010137E">
        <w:rPr>
          <w:szCs w:val="22"/>
          <w:lang w:val="cs-CZ"/>
        </w:rPr>
        <w:t>Po zriedení:</w:t>
      </w:r>
    </w:p>
    <w:p w14:paraId="3A614595" w14:textId="67E086A7" w:rsidR="00C323B6" w:rsidRDefault="0010137E" w:rsidP="009C5026">
      <w:pPr>
        <w:spacing w:after="0"/>
        <w:outlineLvl w:val="0"/>
        <w:rPr>
          <w:szCs w:val="22"/>
          <w:lang w:val="cs-CZ"/>
        </w:rPr>
      </w:pPr>
      <w:r w:rsidRPr="0010137E">
        <w:rPr>
          <w:szCs w:val="22"/>
          <w:lang w:val="cs-CZ"/>
        </w:rPr>
        <w:t>Chemická a fyzikálna stabilita pri používaní zriedeného treprostinilu sa preukázala počas 48 hodín pri teplote 2 – 8 °C, 20 – 25 °C a 40 °C. Ak z mikrobiologického hľadiska metóda riedenia nevylučuje riziko mikrobiálnej kontaminácie, liek sa m</w:t>
      </w:r>
      <w:r w:rsidR="007A2B6F">
        <w:rPr>
          <w:szCs w:val="22"/>
          <w:lang w:val="cs-CZ"/>
        </w:rPr>
        <w:t>á</w:t>
      </w:r>
      <w:r w:rsidRPr="0010137E">
        <w:rPr>
          <w:szCs w:val="22"/>
          <w:lang w:val="cs-CZ"/>
        </w:rPr>
        <w:t xml:space="preserve"> použiť okamžite. Ak sa nepoužije okamžite, za čas a podmienky uchovávania zodpovedá používateľ a za normálnych okolností nema</w:t>
      </w:r>
      <w:r w:rsidR="007A2B6F">
        <w:rPr>
          <w:szCs w:val="22"/>
          <w:lang w:val="cs-CZ"/>
        </w:rPr>
        <w:t>jú</w:t>
      </w:r>
      <w:r w:rsidRPr="0010137E">
        <w:rPr>
          <w:szCs w:val="22"/>
          <w:lang w:val="cs-CZ"/>
        </w:rPr>
        <w:t xml:space="preserve"> presiahnuť 24 hodín pri teplote 2 až 8 °C, pokiaľ sa riedenie neuskutočnilo v kontrolovanom stave a za aseptických podmienok.</w:t>
      </w:r>
      <w:r w:rsidR="00C323B6" w:rsidRPr="005C3240">
        <w:rPr>
          <w:szCs w:val="22"/>
          <w:lang w:val="cs-CZ"/>
        </w:rPr>
        <w:t xml:space="preserve"> </w:t>
      </w:r>
    </w:p>
    <w:p w14:paraId="7DFB4219" w14:textId="77777777" w:rsidR="009C5026" w:rsidRDefault="009C5026" w:rsidP="009C5026">
      <w:pPr>
        <w:spacing w:after="0"/>
        <w:outlineLvl w:val="0"/>
        <w:rPr>
          <w:szCs w:val="22"/>
          <w:lang w:val="cs-CZ"/>
        </w:rPr>
      </w:pPr>
    </w:p>
    <w:p w14:paraId="6281473B" w14:textId="2B9AA00B" w:rsidR="009C5026" w:rsidRPr="005C3240" w:rsidRDefault="009C5026" w:rsidP="009C5026">
      <w:pPr>
        <w:spacing w:after="0"/>
        <w:outlineLvl w:val="0"/>
        <w:rPr>
          <w:szCs w:val="22"/>
          <w:lang w:val="cs-CZ"/>
        </w:rPr>
      </w:pPr>
      <w:r w:rsidRPr="00EE4A34">
        <w:rPr>
          <w:lang w:val="cs-CZ"/>
        </w:rPr>
        <w:t xml:space="preserve">Počas kontinuálnej intravenóznej infúzie na minimalizáciu rizika infekcií krvného obehu nemá byť maximálna dĺžka použitia jedného zásobníka (injekčnej striekačky) zriedeného </w:t>
      </w:r>
      <w:r w:rsidR="007A2B6F">
        <w:rPr>
          <w:lang w:val="cs-CZ"/>
        </w:rPr>
        <w:t>t</w:t>
      </w:r>
      <w:r w:rsidRPr="00EE4A34">
        <w:rPr>
          <w:lang w:val="cs-CZ"/>
        </w:rPr>
        <w:t>reprostinilu dlhšia ako 24 hodín.</w:t>
      </w:r>
    </w:p>
    <w:p w14:paraId="00B04E31" w14:textId="68BC4C2D" w:rsidR="00A40834" w:rsidRPr="005C3240" w:rsidRDefault="00A40834" w:rsidP="00977532">
      <w:pPr>
        <w:rPr>
          <w:lang w:val="cs-CZ"/>
        </w:rPr>
      </w:pPr>
    </w:p>
    <w:p w14:paraId="17FD90F2" w14:textId="5FEEAABE" w:rsidR="009E0FD0" w:rsidRPr="005C3240" w:rsidRDefault="003B1141" w:rsidP="009E0FD0">
      <w:pPr>
        <w:pStyle w:val="Nadpis2"/>
        <w:rPr>
          <w:lang w:val="cs-CZ"/>
        </w:rPr>
      </w:pPr>
      <w:r w:rsidRPr="003B1141">
        <w:rPr>
          <w:lang w:val="cs-CZ"/>
        </w:rPr>
        <w:t>Špeciálne upozornenia na uchovávanie</w:t>
      </w:r>
    </w:p>
    <w:p w14:paraId="487A22BC" w14:textId="554BF538" w:rsidR="00C2608A" w:rsidRPr="005C3240" w:rsidRDefault="003B1141" w:rsidP="00C2608A">
      <w:pPr>
        <w:pStyle w:val="Normlnysozarkami"/>
        <w:ind w:left="0"/>
        <w:rPr>
          <w:szCs w:val="22"/>
          <w:lang w:val="cs-CZ"/>
        </w:rPr>
      </w:pPr>
      <w:r w:rsidRPr="003B1141">
        <w:rPr>
          <w:szCs w:val="22"/>
          <w:lang w:val="cs-CZ"/>
        </w:rPr>
        <w:t>Tento liek nevyžaduje žiadne zvláštne podmienky na uchovávanie. Uchovávajte v pôvodnom vonkajšom obale na ochranu pred svetlom.</w:t>
      </w:r>
    </w:p>
    <w:p w14:paraId="5C4070A0" w14:textId="6CEF6F27" w:rsidR="007A4622" w:rsidRPr="005C3240" w:rsidRDefault="003B1141" w:rsidP="00C323B6">
      <w:pPr>
        <w:pStyle w:val="Normlnysozarkami"/>
        <w:ind w:left="0"/>
        <w:rPr>
          <w:szCs w:val="22"/>
          <w:lang w:val="cs-CZ"/>
        </w:rPr>
      </w:pPr>
      <w:bookmarkStart w:id="7" w:name="_Hlk26517550"/>
      <w:r w:rsidRPr="003B1141">
        <w:rPr>
          <w:szCs w:val="22"/>
          <w:lang w:val="cs-CZ"/>
        </w:rPr>
        <w:t>Podmienky na uchovávanie po prvom otvorení lieku si pozrite v časti 6.3.</w:t>
      </w:r>
    </w:p>
    <w:p w14:paraId="07F8BF08" w14:textId="77777777" w:rsidR="00CE513A" w:rsidRPr="005C3240" w:rsidRDefault="00CE513A" w:rsidP="00C323B6">
      <w:pPr>
        <w:pStyle w:val="Normlnysozarkami"/>
        <w:ind w:left="0"/>
        <w:rPr>
          <w:szCs w:val="22"/>
          <w:lang w:val="cs-CZ"/>
        </w:rPr>
      </w:pPr>
    </w:p>
    <w:bookmarkEnd w:id="7"/>
    <w:p w14:paraId="39ADBC3C" w14:textId="7AF1C194" w:rsidR="009E0FD0" w:rsidRPr="005C3240" w:rsidRDefault="009F33C7" w:rsidP="006554CB">
      <w:pPr>
        <w:pStyle w:val="Nadpis2"/>
        <w:rPr>
          <w:lang w:val="cs-CZ"/>
        </w:rPr>
      </w:pPr>
      <w:r w:rsidRPr="009F33C7">
        <w:rPr>
          <w:lang w:val="cs-CZ"/>
        </w:rPr>
        <w:t>Druh obalu a obsah balenia</w:t>
      </w:r>
    </w:p>
    <w:p w14:paraId="669C63EA" w14:textId="65FA84A2" w:rsidR="002A4930" w:rsidRPr="005C3240" w:rsidRDefault="005746DE" w:rsidP="002A4930">
      <w:pPr>
        <w:tabs>
          <w:tab w:val="left" w:pos="1440"/>
        </w:tabs>
        <w:spacing w:line="276" w:lineRule="auto"/>
        <w:rPr>
          <w:b/>
          <w:bCs/>
          <w:lang w:val="cs-CZ"/>
        </w:rPr>
      </w:pPr>
      <w:r>
        <w:rPr>
          <w:b/>
          <w:lang w:val="cs-CZ"/>
        </w:rPr>
        <w:t>Treprostinil Tillomed</w:t>
      </w:r>
      <w:r w:rsidR="002A4930" w:rsidRPr="005C3240">
        <w:rPr>
          <w:b/>
          <w:bCs/>
          <w:lang w:val="cs-CZ"/>
        </w:rPr>
        <w:t xml:space="preserve"> </w:t>
      </w:r>
      <w:r w:rsidR="006A6AC6">
        <w:rPr>
          <w:b/>
          <w:bCs/>
          <w:lang w:val="cs-CZ"/>
        </w:rPr>
        <w:t>1</w:t>
      </w:r>
      <w:r w:rsidR="00691050">
        <w:rPr>
          <w:b/>
          <w:bCs/>
          <w:lang w:val="cs-CZ"/>
        </w:rPr>
        <w:t>0</w:t>
      </w:r>
      <w:r w:rsidR="002A4930" w:rsidRPr="005C3240">
        <w:rPr>
          <w:b/>
          <w:bCs/>
          <w:lang w:val="cs-CZ"/>
        </w:rPr>
        <w:t xml:space="preserve"> mg/m</w:t>
      </w:r>
      <w:r w:rsidR="007A2B6F">
        <w:rPr>
          <w:b/>
          <w:bCs/>
          <w:lang w:val="cs-CZ"/>
        </w:rPr>
        <w:t>l</w:t>
      </w:r>
      <w:r w:rsidR="002A4930" w:rsidRPr="005C3240">
        <w:rPr>
          <w:b/>
          <w:bCs/>
          <w:lang w:val="cs-CZ"/>
        </w:rPr>
        <w:t xml:space="preserve"> </w:t>
      </w:r>
      <w:r w:rsidR="009F33C7" w:rsidRPr="009F33C7">
        <w:rPr>
          <w:b/>
          <w:bCs/>
          <w:lang w:val="cs-CZ"/>
        </w:rPr>
        <w:t>infúzny roztok</w:t>
      </w:r>
    </w:p>
    <w:p w14:paraId="747F8C15" w14:textId="006EE397" w:rsidR="007115F7" w:rsidRPr="005C3240" w:rsidRDefault="003B1141" w:rsidP="007115F7">
      <w:pPr>
        <w:rPr>
          <w:lang w:val="cs-CZ"/>
        </w:rPr>
      </w:pPr>
      <w:bookmarkStart w:id="8" w:name="_Hlk42101683"/>
      <w:r w:rsidRPr="003B1141">
        <w:rPr>
          <w:color w:val="000000"/>
          <w:lang w:val="cs-CZ" w:eastAsia="en-IN"/>
        </w:rPr>
        <w:t>20 ml injekčná liekovka z číreho skla s 20 mm tmavosivou gumenou zátkou z br</w:t>
      </w:r>
      <w:r w:rsidR="007A2B6F">
        <w:rPr>
          <w:color w:val="000000"/>
          <w:lang w:val="cs-CZ" w:eastAsia="en-IN"/>
        </w:rPr>
        <w:t>ó</w:t>
      </w:r>
      <w:r w:rsidRPr="003B1141">
        <w:rPr>
          <w:color w:val="000000"/>
          <w:lang w:val="cs-CZ" w:eastAsia="en-IN"/>
        </w:rPr>
        <w:t xml:space="preserve">mbutylu so štyrmi značkami rovnomerne rozmiestnenými 90° od seba a s krúžkom v strede. Liekovka je utesnená 20 mm matne </w:t>
      </w:r>
      <w:r w:rsidR="00DE7803" w:rsidRPr="00DE7803">
        <w:rPr>
          <w:color w:val="000000"/>
          <w:lang w:val="cs-CZ" w:eastAsia="en-IN"/>
        </w:rPr>
        <w:t>červeným</w:t>
      </w:r>
      <w:r w:rsidRPr="003B1141">
        <w:rPr>
          <w:color w:val="000000"/>
          <w:lang w:val="cs-CZ" w:eastAsia="en-IN"/>
        </w:rPr>
        <w:t xml:space="preserve"> vyklápacím viečkom.</w:t>
      </w:r>
    </w:p>
    <w:p w14:paraId="4CD0E665" w14:textId="211CE283" w:rsidR="002A4930" w:rsidRPr="005C3240" w:rsidRDefault="003B1141" w:rsidP="002A4930">
      <w:pPr>
        <w:rPr>
          <w:highlight w:val="yellow"/>
          <w:lang w:val="cs-CZ"/>
        </w:rPr>
      </w:pPr>
      <w:bookmarkStart w:id="9" w:name="_Hlk528072343"/>
      <w:r w:rsidRPr="003B1141">
        <w:rPr>
          <w:lang w:val="cs-CZ"/>
        </w:rPr>
        <w:t>Injekčné liekovky sú balené vo vonkajšom obale.</w:t>
      </w:r>
    </w:p>
    <w:bookmarkEnd w:id="8"/>
    <w:bookmarkEnd w:id="9"/>
    <w:p w14:paraId="05238CA2" w14:textId="4D6C29E0" w:rsidR="002A4930" w:rsidRPr="005C3240" w:rsidRDefault="003B1141" w:rsidP="002A4930">
      <w:pPr>
        <w:rPr>
          <w:lang w:val="cs-CZ"/>
        </w:rPr>
      </w:pPr>
      <w:r w:rsidRPr="003B1141">
        <w:rPr>
          <w:lang w:val="cs-CZ"/>
        </w:rPr>
        <w:t>Každá škatuľa obsahuje 1 injekčnú liekovku.</w:t>
      </w:r>
    </w:p>
    <w:p w14:paraId="20DAD40C" w14:textId="5D73C639" w:rsidR="006F742F" w:rsidRPr="005C3240" w:rsidRDefault="006F742F" w:rsidP="00B504A7">
      <w:pPr>
        <w:autoSpaceDE w:val="0"/>
        <w:autoSpaceDN w:val="0"/>
        <w:adjustRightInd w:val="0"/>
        <w:spacing w:after="0" w:line="360" w:lineRule="auto"/>
        <w:jc w:val="left"/>
        <w:rPr>
          <w:szCs w:val="22"/>
          <w:lang w:val="cs-CZ"/>
        </w:rPr>
      </w:pPr>
    </w:p>
    <w:p w14:paraId="7F55CB5A" w14:textId="241F56E1" w:rsidR="009E0FD0" w:rsidRPr="005C3240" w:rsidRDefault="009B5A85" w:rsidP="00DA260D">
      <w:pPr>
        <w:pStyle w:val="Nadpis2"/>
        <w:jc w:val="left"/>
        <w:rPr>
          <w:lang w:val="cs-CZ"/>
        </w:rPr>
      </w:pPr>
      <w:r w:rsidRPr="009B5A85">
        <w:rPr>
          <w:lang w:val="cs-CZ"/>
        </w:rPr>
        <w:t>Špeciálne opatrenia na likvidáciu a iné zaobchádzanie s liekom</w:t>
      </w:r>
    </w:p>
    <w:p w14:paraId="099516D3" w14:textId="1DAEDC36" w:rsidR="006554CB" w:rsidRPr="005C3240" w:rsidRDefault="005746DE" w:rsidP="006554CB">
      <w:pPr>
        <w:rPr>
          <w:lang w:val="cs-CZ"/>
        </w:rPr>
      </w:pPr>
      <w:r>
        <w:rPr>
          <w:lang w:val="cs-CZ"/>
        </w:rPr>
        <w:t>Treprostinil Tillomed</w:t>
      </w:r>
      <w:r w:rsidR="006554CB" w:rsidRPr="005C3240">
        <w:rPr>
          <w:lang w:val="cs-CZ"/>
        </w:rPr>
        <w:t xml:space="preserve"> </w:t>
      </w:r>
      <w:r w:rsidR="00666F04" w:rsidRPr="00666F04">
        <w:rPr>
          <w:lang w:val="cs-CZ"/>
        </w:rPr>
        <w:t>sa má používať nezriedený, ak sa podáva vo forme kontinuálnej subkutánnej infúzie (pozri časť 4.2).</w:t>
      </w:r>
    </w:p>
    <w:p w14:paraId="692C54DE" w14:textId="5195D3FF" w:rsidR="00666F04" w:rsidRPr="00666F04" w:rsidRDefault="005746DE" w:rsidP="00666F04">
      <w:pPr>
        <w:rPr>
          <w:lang w:val="cs-CZ"/>
        </w:rPr>
      </w:pPr>
      <w:r>
        <w:rPr>
          <w:lang w:val="cs-CZ"/>
        </w:rPr>
        <w:t>Treprostinil Tillomed</w:t>
      </w:r>
      <w:r w:rsidR="00CE00F2" w:rsidRPr="005C3240">
        <w:rPr>
          <w:lang w:val="cs-CZ"/>
        </w:rPr>
        <w:t xml:space="preserve"> </w:t>
      </w:r>
      <w:r w:rsidR="00666F04" w:rsidRPr="00666F04">
        <w:rPr>
          <w:lang w:val="cs-CZ"/>
        </w:rPr>
        <w:t xml:space="preserve">sa má zriediť sterilnou vodou na injekcie alebo 0,9 % (w/v) sterilným injekčným roztokom chloridu sodného, ak sa podáva vo forme kontinuálnej intravenóznej infúzie (pozri časť 4.2). </w:t>
      </w:r>
    </w:p>
    <w:p w14:paraId="27694434" w14:textId="7B999647" w:rsidR="0076717A" w:rsidRDefault="00666F04" w:rsidP="00666F04">
      <w:pPr>
        <w:rPr>
          <w:lang w:val="cs-CZ"/>
        </w:rPr>
      </w:pPr>
      <w:r w:rsidRPr="00666F04">
        <w:rPr>
          <w:lang w:val="cs-CZ"/>
        </w:rPr>
        <w:lastRenderedPageBreak/>
        <w:t>Všetok nepoužitý liek alebo odpad vzniknutý z lieku sa má zlikvidovať v súlade s národnými požiadavkami.</w:t>
      </w:r>
    </w:p>
    <w:p w14:paraId="4E2709B8" w14:textId="77777777" w:rsidR="007A2B6F" w:rsidRPr="005C3240" w:rsidRDefault="007A2B6F" w:rsidP="00666F04">
      <w:pPr>
        <w:rPr>
          <w:lang w:val="cs-CZ"/>
        </w:rPr>
      </w:pPr>
    </w:p>
    <w:p w14:paraId="0C6A3465" w14:textId="0015CEC9" w:rsidR="009E0FD0" w:rsidRPr="005C3240" w:rsidRDefault="007A7B7E" w:rsidP="00DA260D">
      <w:pPr>
        <w:pStyle w:val="Nadpis1"/>
        <w:jc w:val="left"/>
        <w:rPr>
          <w:lang w:val="cs-CZ"/>
        </w:rPr>
      </w:pPr>
      <w:r w:rsidRPr="007A7B7E">
        <w:rPr>
          <w:lang w:val="cs-CZ"/>
        </w:rPr>
        <w:t>DRŽITEĽ ROZHODNUTIA O REGISTRÁCII</w:t>
      </w:r>
    </w:p>
    <w:p w14:paraId="0E9EA1C2" w14:textId="47DA9F4C" w:rsidR="002C734A" w:rsidRPr="002C734A" w:rsidRDefault="002C734A" w:rsidP="002C734A">
      <w:pPr>
        <w:spacing w:after="0"/>
        <w:jc w:val="left"/>
        <w:rPr>
          <w:noProof/>
          <w:lang w:val="cs-CZ"/>
        </w:rPr>
      </w:pPr>
      <w:r w:rsidRPr="002C734A">
        <w:rPr>
          <w:noProof/>
          <w:lang w:val="cs-CZ"/>
        </w:rPr>
        <w:t>T</w:t>
      </w:r>
      <w:r w:rsidR="00804687">
        <w:rPr>
          <w:noProof/>
          <w:lang w:val="cs-CZ"/>
        </w:rPr>
        <w:t>ILLOMED PHARMA</w:t>
      </w:r>
      <w:r w:rsidRPr="002C734A">
        <w:rPr>
          <w:noProof/>
          <w:lang w:val="cs-CZ"/>
        </w:rPr>
        <w:t xml:space="preserve"> GmbH</w:t>
      </w:r>
    </w:p>
    <w:p w14:paraId="76B03816" w14:textId="77777777" w:rsidR="002C734A" w:rsidRPr="002C734A" w:rsidRDefault="002C734A" w:rsidP="002C734A">
      <w:pPr>
        <w:spacing w:after="0"/>
        <w:jc w:val="left"/>
        <w:rPr>
          <w:noProof/>
          <w:lang w:val="cs-CZ"/>
        </w:rPr>
      </w:pPr>
      <w:r w:rsidRPr="002C734A">
        <w:rPr>
          <w:noProof/>
          <w:lang w:val="cs-CZ"/>
        </w:rPr>
        <w:t>Mittelstraße 5/5a</w:t>
      </w:r>
    </w:p>
    <w:p w14:paraId="61648F10" w14:textId="77777777" w:rsidR="002C734A" w:rsidRPr="002C734A" w:rsidRDefault="002C734A" w:rsidP="002C734A">
      <w:pPr>
        <w:spacing w:after="0"/>
        <w:jc w:val="left"/>
        <w:rPr>
          <w:noProof/>
          <w:lang w:val="cs-CZ"/>
        </w:rPr>
      </w:pPr>
      <w:r w:rsidRPr="002C734A">
        <w:rPr>
          <w:noProof/>
          <w:lang w:val="cs-CZ"/>
        </w:rPr>
        <w:t>12529 Schönefeld</w:t>
      </w:r>
    </w:p>
    <w:p w14:paraId="68D8F1C0" w14:textId="4AACAF49" w:rsidR="006F742F" w:rsidRDefault="002C734A" w:rsidP="002C734A">
      <w:pPr>
        <w:spacing w:after="0"/>
        <w:jc w:val="left"/>
        <w:rPr>
          <w:noProof/>
          <w:lang w:val="cs-CZ"/>
        </w:rPr>
      </w:pPr>
      <w:r w:rsidRPr="002C734A">
        <w:rPr>
          <w:noProof/>
          <w:lang w:val="cs-CZ"/>
        </w:rPr>
        <w:t>N</w:t>
      </w:r>
      <w:r>
        <w:rPr>
          <w:noProof/>
          <w:lang w:val="cs-CZ"/>
        </w:rPr>
        <w:t>e</w:t>
      </w:r>
      <w:r w:rsidRPr="002C734A">
        <w:rPr>
          <w:noProof/>
          <w:lang w:val="cs-CZ"/>
        </w:rPr>
        <w:t>mecko</w:t>
      </w:r>
    </w:p>
    <w:p w14:paraId="5DCD5C62" w14:textId="77777777" w:rsidR="007A2B6F" w:rsidRPr="005C3240" w:rsidRDefault="007A2B6F" w:rsidP="002C734A">
      <w:pPr>
        <w:spacing w:after="0"/>
        <w:jc w:val="left"/>
        <w:rPr>
          <w:lang w:val="cs-CZ"/>
        </w:rPr>
      </w:pPr>
    </w:p>
    <w:p w14:paraId="07F4A9BB" w14:textId="386CBD35" w:rsidR="009E0FD0" w:rsidRPr="005C3240" w:rsidRDefault="007A7B7E" w:rsidP="00DA260D">
      <w:pPr>
        <w:pStyle w:val="Nadpis1"/>
        <w:jc w:val="left"/>
        <w:rPr>
          <w:lang w:val="cs-CZ"/>
        </w:rPr>
      </w:pPr>
      <w:r w:rsidRPr="007A7B7E">
        <w:rPr>
          <w:lang w:val="cs-CZ"/>
        </w:rPr>
        <w:t>REGISTRAČNÉ ČÍSLO</w:t>
      </w:r>
    </w:p>
    <w:p w14:paraId="6AFC06D4" w14:textId="3A13FB56" w:rsidR="00CE513A" w:rsidRDefault="00804687" w:rsidP="00B01158">
      <w:pPr>
        <w:rPr>
          <w:noProof/>
          <w:lang w:val="cs-CZ"/>
        </w:rPr>
      </w:pPr>
      <w:r>
        <w:rPr>
          <w:noProof/>
          <w:lang w:val="cs-CZ"/>
        </w:rPr>
        <w:t xml:space="preserve">Reg.č.: </w:t>
      </w:r>
      <w:r w:rsidRPr="00804687">
        <w:rPr>
          <w:noProof/>
          <w:lang w:val="cs-CZ"/>
        </w:rPr>
        <w:t>83/0259/20-S</w:t>
      </w:r>
    </w:p>
    <w:p w14:paraId="2B9DE32B" w14:textId="77777777" w:rsidR="00804687" w:rsidRPr="005C3240" w:rsidRDefault="00804687" w:rsidP="00B01158">
      <w:pPr>
        <w:rPr>
          <w:noProof/>
          <w:lang w:val="cs-CZ"/>
        </w:rPr>
      </w:pPr>
      <w:bookmarkStart w:id="10" w:name="_GoBack"/>
      <w:bookmarkEnd w:id="10"/>
    </w:p>
    <w:p w14:paraId="7B01F666" w14:textId="707D2291" w:rsidR="009E0FD0" w:rsidRPr="005C3240" w:rsidRDefault="007A7B7E" w:rsidP="00DA260D">
      <w:pPr>
        <w:pStyle w:val="Nadpis1"/>
        <w:jc w:val="left"/>
        <w:rPr>
          <w:lang w:val="cs-CZ"/>
        </w:rPr>
      </w:pPr>
      <w:r w:rsidRPr="007A7B7E">
        <w:rPr>
          <w:lang w:val="cs-CZ"/>
        </w:rPr>
        <w:t>DÁTUM PRVEJ REGISTRÁCIE/PREDĹŽENIA REGISTRÁCIE</w:t>
      </w:r>
    </w:p>
    <w:p w14:paraId="1556AC81" w14:textId="12734C5B" w:rsidR="00B01158" w:rsidRPr="005C3240" w:rsidRDefault="007A7B7E" w:rsidP="00DA260D">
      <w:pPr>
        <w:jc w:val="left"/>
        <w:rPr>
          <w:i/>
          <w:noProof/>
          <w:szCs w:val="22"/>
          <w:lang w:val="cs-CZ"/>
        </w:rPr>
      </w:pPr>
      <w:r w:rsidRPr="007A7B7E">
        <w:rPr>
          <w:noProof/>
          <w:szCs w:val="22"/>
          <w:lang w:val="cs-CZ"/>
        </w:rPr>
        <w:t xml:space="preserve">Dátum prvej registrácie: </w:t>
      </w:r>
    </w:p>
    <w:p w14:paraId="29BA5EF5" w14:textId="77777777" w:rsidR="00CE513A" w:rsidRPr="005C3240" w:rsidRDefault="00CE513A" w:rsidP="00B01158">
      <w:pPr>
        <w:rPr>
          <w:noProof/>
          <w:szCs w:val="22"/>
          <w:lang w:val="cs-CZ"/>
        </w:rPr>
      </w:pPr>
    </w:p>
    <w:p w14:paraId="4BDB6DE9" w14:textId="4A41462E" w:rsidR="002D5AAC" w:rsidRPr="005C3240" w:rsidRDefault="004D2765" w:rsidP="00DA260D">
      <w:pPr>
        <w:pStyle w:val="Nadpis1"/>
        <w:jc w:val="left"/>
        <w:rPr>
          <w:lang w:val="cs-CZ"/>
        </w:rPr>
      </w:pPr>
      <w:r w:rsidRPr="004D2765">
        <w:rPr>
          <w:lang w:val="cs-CZ"/>
        </w:rPr>
        <w:t>DÁTUM REVÍZIE TEXTU</w:t>
      </w:r>
    </w:p>
    <w:p w14:paraId="3C1467F9" w14:textId="291DF97B" w:rsidR="006843BF" w:rsidRPr="005C3240" w:rsidRDefault="007A2B6F" w:rsidP="00DA260D">
      <w:pPr>
        <w:jc w:val="left"/>
        <w:rPr>
          <w:noProof/>
          <w:szCs w:val="22"/>
          <w:lang w:val="cs-CZ"/>
        </w:rPr>
      </w:pPr>
      <w:r>
        <w:rPr>
          <w:noProof/>
          <w:szCs w:val="22"/>
          <w:lang w:val="cs-CZ"/>
        </w:rPr>
        <w:t>1</w:t>
      </w:r>
      <w:r w:rsidR="00804687">
        <w:rPr>
          <w:noProof/>
          <w:szCs w:val="22"/>
          <w:lang w:val="cs-CZ"/>
        </w:rPr>
        <w:t>1</w:t>
      </w:r>
      <w:r>
        <w:rPr>
          <w:noProof/>
          <w:szCs w:val="22"/>
          <w:lang w:val="cs-CZ"/>
        </w:rPr>
        <w:t>/2020</w:t>
      </w:r>
    </w:p>
    <w:sectPr w:rsidR="006843BF" w:rsidRPr="005C3240" w:rsidSect="00B815A5">
      <w:headerReference w:type="default" r:id="rId9"/>
      <w:footerReference w:type="default" r:id="rId10"/>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8A60" w14:textId="77777777" w:rsidR="001B546A" w:rsidRDefault="001B546A" w:rsidP="00EB358E">
      <w:pPr>
        <w:spacing w:after="0"/>
      </w:pPr>
      <w:r>
        <w:separator/>
      </w:r>
    </w:p>
  </w:endnote>
  <w:endnote w:type="continuationSeparator" w:id="0">
    <w:p w14:paraId="13C59F2F" w14:textId="77777777" w:rsidR="001B546A" w:rsidRDefault="001B546A" w:rsidP="00EB3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0478"/>
      <w:docPartObj>
        <w:docPartGallery w:val="Page Numbers (Bottom of Page)"/>
        <w:docPartUnique/>
      </w:docPartObj>
    </w:sdtPr>
    <w:sdtEndPr/>
    <w:sdtContent>
      <w:p w14:paraId="4ACFD4D6" w14:textId="7C2DAE23" w:rsidR="00EB358E" w:rsidRDefault="00EB358E">
        <w:pPr>
          <w:pStyle w:val="Pta"/>
          <w:jc w:val="center"/>
        </w:pPr>
        <w:r>
          <w:fldChar w:fldCharType="begin"/>
        </w:r>
        <w:r>
          <w:instrText>PAGE   \* MERGEFORMAT</w:instrText>
        </w:r>
        <w:r>
          <w:fldChar w:fldCharType="separate"/>
        </w:r>
        <w:r w:rsidR="0095107A" w:rsidRPr="0095107A">
          <w:rPr>
            <w:noProof/>
            <w:lang w:val="sk-SK"/>
          </w:rPr>
          <w:t>18</w:t>
        </w:r>
        <w:r>
          <w:fldChar w:fldCharType="end"/>
        </w:r>
      </w:p>
    </w:sdtContent>
  </w:sdt>
  <w:p w14:paraId="0CC54F16" w14:textId="77777777" w:rsidR="00EB358E" w:rsidRDefault="00EB358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7014F" w14:textId="77777777" w:rsidR="001B546A" w:rsidRDefault="001B546A" w:rsidP="00EB358E">
      <w:pPr>
        <w:spacing w:after="0"/>
      </w:pPr>
      <w:r>
        <w:separator/>
      </w:r>
    </w:p>
  </w:footnote>
  <w:footnote w:type="continuationSeparator" w:id="0">
    <w:p w14:paraId="2567FA90" w14:textId="77777777" w:rsidR="001B546A" w:rsidRDefault="001B546A" w:rsidP="00EB35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C916" w14:textId="16F71344" w:rsidR="00EB358E" w:rsidRDefault="00EB358E">
    <w:pPr>
      <w:pStyle w:val="Hlavika"/>
    </w:pPr>
    <w:bookmarkStart w:id="11" w:name="_Hlk54095675"/>
    <w:r w:rsidRPr="001C187D">
      <w:rPr>
        <w:sz w:val="18"/>
        <w:szCs w:val="18"/>
      </w:rPr>
      <w:t>Schválený text k rozhodnutiu o registrácii, ev.č.:</w:t>
    </w:r>
    <w:bookmarkEnd w:id="11"/>
    <w:r w:rsidR="00A8701C">
      <w:rPr>
        <w:sz w:val="18"/>
        <w:szCs w:val="18"/>
      </w:rPr>
      <w:t xml:space="preserve"> </w:t>
    </w:r>
    <w:r w:rsidR="00A8701C" w:rsidRPr="00A8701C">
      <w:rPr>
        <w:sz w:val="18"/>
        <w:szCs w:val="18"/>
      </w:rPr>
      <w:t>2018/07758-REG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F42D5"/>
    <w:multiLevelType w:val="hybridMultilevel"/>
    <w:tmpl w:val="4E161C2A"/>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77896"/>
    <w:multiLevelType w:val="multilevel"/>
    <w:tmpl w:val="66900AEC"/>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A91118"/>
    <w:multiLevelType w:val="multilevel"/>
    <w:tmpl w:val="E0388A24"/>
    <w:lvl w:ilvl="0">
      <w:start w:val="4"/>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D313D8"/>
    <w:multiLevelType w:val="hybridMultilevel"/>
    <w:tmpl w:val="F754F4D0"/>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3362946"/>
    <w:multiLevelType w:val="hybridMultilevel"/>
    <w:tmpl w:val="940AA72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8"/>
  </w:num>
  <w:num w:numId="5">
    <w:abstractNumId w:val="17"/>
  </w:num>
  <w:num w:numId="6">
    <w:abstractNumId w:val="5"/>
  </w:num>
  <w:num w:numId="7">
    <w:abstractNumId w:val="2"/>
  </w:num>
  <w:num w:numId="8">
    <w:abstractNumId w:val="13"/>
  </w:num>
  <w:num w:numId="9">
    <w:abstractNumId w:val="4"/>
  </w:num>
  <w:num w:numId="10">
    <w:abstractNumId w:val="10"/>
  </w:num>
  <w:num w:numId="11">
    <w:abstractNumId w:val="3"/>
  </w:num>
  <w:num w:numId="12">
    <w:abstractNumId w:val="18"/>
  </w:num>
  <w:num w:numId="13">
    <w:abstractNumId w:val="12"/>
  </w:num>
  <w:num w:numId="14">
    <w:abstractNumId w:val="9"/>
  </w:num>
  <w:num w:numId="15">
    <w:abstractNumId w:val="11"/>
  </w:num>
  <w:num w:numId="16">
    <w:abstractNumId w:val="15"/>
  </w:num>
  <w:num w:numId="17">
    <w:abstractNumId w:val="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D9"/>
    <w:rsid w:val="000047DC"/>
    <w:rsid w:val="00006D6D"/>
    <w:rsid w:val="0000727F"/>
    <w:rsid w:val="00010C58"/>
    <w:rsid w:val="000125D8"/>
    <w:rsid w:val="00013DC8"/>
    <w:rsid w:val="0001759E"/>
    <w:rsid w:val="00022C81"/>
    <w:rsid w:val="000241C1"/>
    <w:rsid w:val="0002440A"/>
    <w:rsid w:val="0002515F"/>
    <w:rsid w:val="00026E1D"/>
    <w:rsid w:val="0003206E"/>
    <w:rsid w:val="000339AA"/>
    <w:rsid w:val="00034033"/>
    <w:rsid w:val="00034341"/>
    <w:rsid w:val="00037BED"/>
    <w:rsid w:val="00040909"/>
    <w:rsid w:val="00044FA8"/>
    <w:rsid w:val="000467E3"/>
    <w:rsid w:val="000521DA"/>
    <w:rsid w:val="000522F8"/>
    <w:rsid w:val="000546D2"/>
    <w:rsid w:val="00057B0E"/>
    <w:rsid w:val="00060058"/>
    <w:rsid w:val="00063132"/>
    <w:rsid w:val="0006360B"/>
    <w:rsid w:val="000643A9"/>
    <w:rsid w:val="00067574"/>
    <w:rsid w:val="00067E8F"/>
    <w:rsid w:val="00072E71"/>
    <w:rsid w:val="00072F16"/>
    <w:rsid w:val="00073535"/>
    <w:rsid w:val="0007712E"/>
    <w:rsid w:val="0007759F"/>
    <w:rsid w:val="00077BDA"/>
    <w:rsid w:val="000805E2"/>
    <w:rsid w:val="00080F42"/>
    <w:rsid w:val="000816BD"/>
    <w:rsid w:val="00086246"/>
    <w:rsid w:val="00086B25"/>
    <w:rsid w:val="000877C5"/>
    <w:rsid w:val="00092FFE"/>
    <w:rsid w:val="00095035"/>
    <w:rsid w:val="00096547"/>
    <w:rsid w:val="000A26EF"/>
    <w:rsid w:val="000A5812"/>
    <w:rsid w:val="000A61CE"/>
    <w:rsid w:val="000A630B"/>
    <w:rsid w:val="000B0D92"/>
    <w:rsid w:val="000B2A5F"/>
    <w:rsid w:val="000C3170"/>
    <w:rsid w:val="000C5AE9"/>
    <w:rsid w:val="000D0AED"/>
    <w:rsid w:val="000D6E84"/>
    <w:rsid w:val="000D75B0"/>
    <w:rsid w:val="000E0A18"/>
    <w:rsid w:val="000E482A"/>
    <w:rsid w:val="000F1CFC"/>
    <w:rsid w:val="000F2F08"/>
    <w:rsid w:val="000F3D70"/>
    <w:rsid w:val="000F3DD5"/>
    <w:rsid w:val="000F53BC"/>
    <w:rsid w:val="000F55F0"/>
    <w:rsid w:val="0010137E"/>
    <w:rsid w:val="0010396A"/>
    <w:rsid w:val="00103AFE"/>
    <w:rsid w:val="00107A93"/>
    <w:rsid w:val="00107AF6"/>
    <w:rsid w:val="001131CA"/>
    <w:rsid w:val="0011463D"/>
    <w:rsid w:val="00115622"/>
    <w:rsid w:val="00115A83"/>
    <w:rsid w:val="0011721C"/>
    <w:rsid w:val="0012039B"/>
    <w:rsid w:val="001205D7"/>
    <w:rsid w:val="00122F6F"/>
    <w:rsid w:val="00124128"/>
    <w:rsid w:val="00124996"/>
    <w:rsid w:val="00124A3B"/>
    <w:rsid w:val="001254A4"/>
    <w:rsid w:val="001256BC"/>
    <w:rsid w:val="00125B0E"/>
    <w:rsid w:val="00126123"/>
    <w:rsid w:val="00127588"/>
    <w:rsid w:val="0013250E"/>
    <w:rsid w:val="00133299"/>
    <w:rsid w:val="00133C7E"/>
    <w:rsid w:val="00134A48"/>
    <w:rsid w:val="0014191F"/>
    <w:rsid w:val="001461B7"/>
    <w:rsid w:val="00146234"/>
    <w:rsid w:val="001503E8"/>
    <w:rsid w:val="00154D72"/>
    <w:rsid w:val="00155EA5"/>
    <w:rsid w:val="001608CB"/>
    <w:rsid w:val="00160BBB"/>
    <w:rsid w:val="00166588"/>
    <w:rsid w:val="00171772"/>
    <w:rsid w:val="001766A1"/>
    <w:rsid w:val="00180D13"/>
    <w:rsid w:val="001818FE"/>
    <w:rsid w:val="00184212"/>
    <w:rsid w:val="0019295E"/>
    <w:rsid w:val="00192C76"/>
    <w:rsid w:val="00195B9C"/>
    <w:rsid w:val="001A01B1"/>
    <w:rsid w:val="001A0B06"/>
    <w:rsid w:val="001A12F5"/>
    <w:rsid w:val="001A1333"/>
    <w:rsid w:val="001A2F55"/>
    <w:rsid w:val="001A6C34"/>
    <w:rsid w:val="001A6C8B"/>
    <w:rsid w:val="001A77C2"/>
    <w:rsid w:val="001A78BF"/>
    <w:rsid w:val="001B11CF"/>
    <w:rsid w:val="001B13BC"/>
    <w:rsid w:val="001B24CF"/>
    <w:rsid w:val="001B458F"/>
    <w:rsid w:val="001B546A"/>
    <w:rsid w:val="001B75BB"/>
    <w:rsid w:val="001C1B07"/>
    <w:rsid w:val="001D0E50"/>
    <w:rsid w:val="001D1AF7"/>
    <w:rsid w:val="001D46FE"/>
    <w:rsid w:val="001D6136"/>
    <w:rsid w:val="001D6838"/>
    <w:rsid w:val="001D76B1"/>
    <w:rsid w:val="001E5A35"/>
    <w:rsid w:val="001E6848"/>
    <w:rsid w:val="00200472"/>
    <w:rsid w:val="00206888"/>
    <w:rsid w:val="002114E7"/>
    <w:rsid w:val="00215BAA"/>
    <w:rsid w:val="00221980"/>
    <w:rsid w:val="00222BD9"/>
    <w:rsid w:val="002268F5"/>
    <w:rsid w:val="00233C5B"/>
    <w:rsid w:val="00234BB3"/>
    <w:rsid w:val="00237720"/>
    <w:rsid w:val="00241047"/>
    <w:rsid w:val="002441F0"/>
    <w:rsid w:val="002505E8"/>
    <w:rsid w:val="00252399"/>
    <w:rsid w:val="002539F9"/>
    <w:rsid w:val="00265FBA"/>
    <w:rsid w:val="00270315"/>
    <w:rsid w:val="00275F47"/>
    <w:rsid w:val="00275F6B"/>
    <w:rsid w:val="00280907"/>
    <w:rsid w:val="00286829"/>
    <w:rsid w:val="00291E62"/>
    <w:rsid w:val="00293AE3"/>
    <w:rsid w:val="00297346"/>
    <w:rsid w:val="002A0D6A"/>
    <w:rsid w:val="002A2716"/>
    <w:rsid w:val="002A4930"/>
    <w:rsid w:val="002A4F55"/>
    <w:rsid w:val="002A4F7F"/>
    <w:rsid w:val="002B093E"/>
    <w:rsid w:val="002B35B8"/>
    <w:rsid w:val="002B4396"/>
    <w:rsid w:val="002C0CB2"/>
    <w:rsid w:val="002C15B5"/>
    <w:rsid w:val="002C734A"/>
    <w:rsid w:val="002D0149"/>
    <w:rsid w:val="002D1328"/>
    <w:rsid w:val="002D5AAC"/>
    <w:rsid w:val="002D62A4"/>
    <w:rsid w:val="002E3AD9"/>
    <w:rsid w:val="002E7899"/>
    <w:rsid w:val="002F2776"/>
    <w:rsid w:val="002F4933"/>
    <w:rsid w:val="002F4ACE"/>
    <w:rsid w:val="002F4DD7"/>
    <w:rsid w:val="002F7A0B"/>
    <w:rsid w:val="0030049C"/>
    <w:rsid w:val="00305F07"/>
    <w:rsid w:val="00315638"/>
    <w:rsid w:val="00316F47"/>
    <w:rsid w:val="00320AF9"/>
    <w:rsid w:val="00324AC4"/>
    <w:rsid w:val="00327C59"/>
    <w:rsid w:val="00330CE9"/>
    <w:rsid w:val="00333EC6"/>
    <w:rsid w:val="003367F8"/>
    <w:rsid w:val="0033725D"/>
    <w:rsid w:val="003379B5"/>
    <w:rsid w:val="00347F54"/>
    <w:rsid w:val="00350026"/>
    <w:rsid w:val="003572CA"/>
    <w:rsid w:val="00363BC0"/>
    <w:rsid w:val="00366606"/>
    <w:rsid w:val="003723B0"/>
    <w:rsid w:val="00375036"/>
    <w:rsid w:val="00377C28"/>
    <w:rsid w:val="003823D8"/>
    <w:rsid w:val="00383688"/>
    <w:rsid w:val="00383C51"/>
    <w:rsid w:val="003918F2"/>
    <w:rsid w:val="00394EB2"/>
    <w:rsid w:val="00397BFA"/>
    <w:rsid w:val="003A027F"/>
    <w:rsid w:val="003A2825"/>
    <w:rsid w:val="003A512A"/>
    <w:rsid w:val="003A7C35"/>
    <w:rsid w:val="003B1141"/>
    <w:rsid w:val="003B3425"/>
    <w:rsid w:val="003B5CCB"/>
    <w:rsid w:val="003B72DA"/>
    <w:rsid w:val="003C1AA1"/>
    <w:rsid w:val="003D23A5"/>
    <w:rsid w:val="003D50DF"/>
    <w:rsid w:val="003D682F"/>
    <w:rsid w:val="003E65EE"/>
    <w:rsid w:val="003F165E"/>
    <w:rsid w:val="00405C57"/>
    <w:rsid w:val="0040728B"/>
    <w:rsid w:val="00412F13"/>
    <w:rsid w:val="00413D33"/>
    <w:rsid w:val="004147CB"/>
    <w:rsid w:val="004156A2"/>
    <w:rsid w:val="004214C2"/>
    <w:rsid w:val="00422BF8"/>
    <w:rsid w:val="0042438B"/>
    <w:rsid w:val="00426BDB"/>
    <w:rsid w:val="00427A28"/>
    <w:rsid w:val="00427CF6"/>
    <w:rsid w:val="004357B0"/>
    <w:rsid w:val="00437B3A"/>
    <w:rsid w:val="00441282"/>
    <w:rsid w:val="004468F1"/>
    <w:rsid w:val="00446F67"/>
    <w:rsid w:val="004475BD"/>
    <w:rsid w:val="00452E6D"/>
    <w:rsid w:val="00454B09"/>
    <w:rsid w:val="00454E48"/>
    <w:rsid w:val="00460E4B"/>
    <w:rsid w:val="00461EC8"/>
    <w:rsid w:val="004625A1"/>
    <w:rsid w:val="004673C8"/>
    <w:rsid w:val="00467A68"/>
    <w:rsid w:val="00467F5B"/>
    <w:rsid w:val="0047144A"/>
    <w:rsid w:val="00473184"/>
    <w:rsid w:val="00473D77"/>
    <w:rsid w:val="0047442D"/>
    <w:rsid w:val="00474F61"/>
    <w:rsid w:val="0048205E"/>
    <w:rsid w:val="00485069"/>
    <w:rsid w:val="0048616D"/>
    <w:rsid w:val="00487FBF"/>
    <w:rsid w:val="004A03EF"/>
    <w:rsid w:val="004B3D5A"/>
    <w:rsid w:val="004B4A6A"/>
    <w:rsid w:val="004B4C9C"/>
    <w:rsid w:val="004B5AFD"/>
    <w:rsid w:val="004B675E"/>
    <w:rsid w:val="004C23EF"/>
    <w:rsid w:val="004C3EDF"/>
    <w:rsid w:val="004C4025"/>
    <w:rsid w:val="004C69CC"/>
    <w:rsid w:val="004D1441"/>
    <w:rsid w:val="004D2689"/>
    <w:rsid w:val="004D2765"/>
    <w:rsid w:val="004D424A"/>
    <w:rsid w:val="004D4FA0"/>
    <w:rsid w:val="004D628F"/>
    <w:rsid w:val="004E0B73"/>
    <w:rsid w:val="004E19D0"/>
    <w:rsid w:val="004E4A3E"/>
    <w:rsid w:val="004E5642"/>
    <w:rsid w:val="004E5C51"/>
    <w:rsid w:val="004E66A0"/>
    <w:rsid w:val="004E6A52"/>
    <w:rsid w:val="004F1CC4"/>
    <w:rsid w:val="004F2533"/>
    <w:rsid w:val="004F782C"/>
    <w:rsid w:val="00500F4C"/>
    <w:rsid w:val="005015DD"/>
    <w:rsid w:val="00502E98"/>
    <w:rsid w:val="0050465E"/>
    <w:rsid w:val="005104A8"/>
    <w:rsid w:val="00512897"/>
    <w:rsid w:val="00512E7C"/>
    <w:rsid w:val="00514CCA"/>
    <w:rsid w:val="00515543"/>
    <w:rsid w:val="00516B69"/>
    <w:rsid w:val="00520453"/>
    <w:rsid w:val="0052314F"/>
    <w:rsid w:val="005231CD"/>
    <w:rsid w:val="0052333B"/>
    <w:rsid w:val="005234C0"/>
    <w:rsid w:val="0052362B"/>
    <w:rsid w:val="00525C75"/>
    <w:rsid w:val="005268B8"/>
    <w:rsid w:val="005301DE"/>
    <w:rsid w:val="00531547"/>
    <w:rsid w:val="005318AA"/>
    <w:rsid w:val="00532836"/>
    <w:rsid w:val="005335E5"/>
    <w:rsid w:val="00534A36"/>
    <w:rsid w:val="00550847"/>
    <w:rsid w:val="00557A12"/>
    <w:rsid w:val="00557E97"/>
    <w:rsid w:val="00562579"/>
    <w:rsid w:val="005625D3"/>
    <w:rsid w:val="005640CC"/>
    <w:rsid w:val="00564FA2"/>
    <w:rsid w:val="00565DAA"/>
    <w:rsid w:val="00570EB1"/>
    <w:rsid w:val="00572AD1"/>
    <w:rsid w:val="00572EF0"/>
    <w:rsid w:val="005746DE"/>
    <w:rsid w:val="00583593"/>
    <w:rsid w:val="0058672E"/>
    <w:rsid w:val="00587161"/>
    <w:rsid w:val="00587CFB"/>
    <w:rsid w:val="00592219"/>
    <w:rsid w:val="0059562E"/>
    <w:rsid w:val="00596263"/>
    <w:rsid w:val="00597287"/>
    <w:rsid w:val="00597AAB"/>
    <w:rsid w:val="00597E37"/>
    <w:rsid w:val="005A07CC"/>
    <w:rsid w:val="005A6C39"/>
    <w:rsid w:val="005B3AE1"/>
    <w:rsid w:val="005C05C0"/>
    <w:rsid w:val="005C2F91"/>
    <w:rsid w:val="005C3240"/>
    <w:rsid w:val="005C4987"/>
    <w:rsid w:val="005C5B38"/>
    <w:rsid w:val="005C5EC6"/>
    <w:rsid w:val="005D22F9"/>
    <w:rsid w:val="005D5412"/>
    <w:rsid w:val="005D5B79"/>
    <w:rsid w:val="005D7D4F"/>
    <w:rsid w:val="005E025D"/>
    <w:rsid w:val="005E2BAA"/>
    <w:rsid w:val="005E47CB"/>
    <w:rsid w:val="005E59DB"/>
    <w:rsid w:val="005E5B9A"/>
    <w:rsid w:val="005E662B"/>
    <w:rsid w:val="005F01C4"/>
    <w:rsid w:val="005F04ED"/>
    <w:rsid w:val="005F276B"/>
    <w:rsid w:val="005F589B"/>
    <w:rsid w:val="005F7118"/>
    <w:rsid w:val="005F7FB9"/>
    <w:rsid w:val="00600A90"/>
    <w:rsid w:val="006024AC"/>
    <w:rsid w:val="0060402B"/>
    <w:rsid w:val="006043B7"/>
    <w:rsid w:val="006045F4"/>
    <w:rsid w:val="0060483C"/>
    <w:rsid w:val="006056C0"/>
    <w:rsid w:val="00605FDB"/>
    <w:rsid w:val="00606A35"/>
    <w:rsid w:val="00606E2F"/>
    <w:rsid w:val="00611051"/>
    <w:rsid w:val="00615608"/>
    <w:rsid w:val="0061722C"/>
    <w:rsid w:val="00624DBC"/>
    <w:rsid w:val="00626523"/>
    <w:rsid w:val="00631B76"/>
    <w:rsid w:val="00633D3E"/>
    <w:rsid w:val="006342E9"/>
    <w:rsid w:val="00643108"/>
    <w:rsid w:val="00650A6A"/>
    <w:rsid w:val="00653601"/>
    <w:rsid w:val="006554CB"/>
    <w:rsid w:val="006600C5"/>
    <w:rsid w:val="00662DE8"/>
    <w:rsid w:val="00664999"/>
    <w:rsid w:val="00666F04"/>
    <w:rsid w:val="0066715D"/>
    <w:rsid w:val="00667D8D"/>
    <w:rsid w:val="0067096F"/>
    <w:rsid w:val="00672068"/>
    <w:rsid w:val="00672BF2"/>
    <w:rsid w:val="00673544"/>
    <w:rsid w:val="0067695E"/>
    <w:rsid w:val="00677015"/>
    <w:rsid w:val="006843BF"/>
    <w:rsid w:val="00684A74"/>
    <w:rsid w:val="00686B1F"/>
    <w:rsid w:val="006878A2"/>
    <w:rsid w:val="00691050"/>
    <w:rsid w:val="006954D7"/>
    <w:rsid w:val="006A082E"/>
    <w:rsid w:val="006A4975"/>
    <w:rsid w:val="006A4F38"/>
    <w:rsid w:val="006A522A"/>
    <w:rsid w:val="006A53CD"/>
    <w:rsid w:val="006A6AC6"/>
    <w:rsid w:val="006B0001"/>
    <w:rsid w:val="006B3C22"/>
    <w:rsid w:val="006B7475"/>
    <w:rsid w:val="006C1348"/>
    <w:rsid w:val="006C18FC"/>
    <w:rsid w:val="006C2DDA"/>
    <w:rsid w:val="006C3F32"/>
    <w:rsid w:val="006C4540"/>
    <w:rsid w:val="006C6540"/>
    <w:rsid w:val="006C79AE"/>
    <w:rsid w:val="006D06F9"/>
    <w:rsid w:val="006D0BF8"/>
    <w:rsid w:val="006D1ADB"/>
    <w:rsid w:val="006D1CB0"/>
    <w:rsid w:val="006D28AE"/>
    <w:rsid w:val="006E17BB"/>
    <w:rsid w:val="006E2794"/>
    <w:rsid w:val="006E2824"/>
    <w:rsid w:val="006E2AD7"/>
    <w:rsid w:val="006E4AB5"/>
    <w:rsid w:val="006F026C"/>
    <w:rsid w:val="006F0D55"/>
    <w:rsid w:val="006F0E8F"/>
    <w:rsid w:val="006F4910"/>
    <w:rsid w:val="006F742F"/>
    <w:rsid w:val="006F7749"/>
    <w:rsid w:val="00700CBA"/>
    <w:rsid w:val="007022E4"/>
    <w:rsid w:val="0070368B"/>
    <w:rsid w:val="00706EF2"/>
    <w:rsid w:val="00710A92"/>
    <w:rsid w:val="007115F7"/>
    <w:rsid w:val="00711DC2"/>
    <w:rsid w:val="00715C5C"/>
    <w:rsid w:val="00716A89"/>
    <w:rsid w:val="00717AC7"/>
    <w:rsid w:val="00722260"/>
    <w:rsid w:val="0072383C"/>
    <w:rsid w:val="00725538"/>
    <w:rsid w:val="007258F7"/>
    <w:rsid w:val="0073143D"/>
    <w:rsid w:val="00731460"/>
    <w:rsid w:val="00732969"/>
    <w:rsid w:val="007416CF"/>
    <w:rsid w:val="00741713"/>
    <w:rsid w:val="00747E28"/>
    <w:rsid w:val="00750CCD"/>
    <w:rsid w:val="007510D5"/>
    <w:rsid w:val="007517D5"/>
    <w:rsid w:val="00752664"/>
    <w:rsid w:val="00755200"/>
    <w:rsid w:val="00760E1D"/>
    <w:rsid w:val="00762061"/>
    <w:rsid w:val="00762862"/>
    <w:rsid w:val="007629A7"/>
    <w:rsid w:val="0076717A"/>
    <w:rsid w:val="00770155"/>
    <w:rsid w:val="00771B5C"/>
    <w:rsid w:val="00772AC6"/>
    <w:rsid w:val="007750BA"/>
    <w:rsid w:val="0077626F"/>
    <w:rsid w:val="007763C3"/>
    <w:rsid w:val="007765A2"/>
    <w:rsid w:val="00776BC6"/>
    <w:rsid w:val="00776C76"/>
    <w:rsid w:val="0078141E"/>
    <w:rsid w:val="007827AC"/>
    <w:rsid w:val="00783EB8"/>
    <w:rsid w:val="007854D3"/>
    <w:rsid w:val="00785755"/>
    <w:rsid w:val="007865C4"/>
    <w:rsid w:val="007968A0"/>
    <w:rsid w:val="007A0D94"/>
    <w:rsid w:val="007A2B6F"/>
    <w:rsid w:val="007A2E2A"/>
    <w:rsid w:val="007A4622"/>
    <w:rsid w:val="007A6F8D"/>
    <w:rsid w:val="007A73D6"/>
    <w:rsid w:val="007A7B7E"/>
    <w:rsid w:val="007B30ED"/>
    <w:rsid w:val="007B364F"/>
    <w:rsid w:val="007B397B"/>
    <w:rsid w:val="007B54A8"/>
    <w:rsid w:val="007B7AA7"/>
    <w:rsid w:val="007C1E05"/>
    <w:rsid w:val="007C2B1A"/>
    <w:rsid w:val="007C3484"/>
    <w:rsid w:val="007C3CC4"/>
    <w:rsid w:val="007C6C2E"/>
    <w:rsid w:val="007C7E52"/>
    <w:rsid w:val="007D107B"/>
    <w:rsid w:val="007D23F4"/>
    <w:rsid w:val="007D6CB1"/>
    <w:rsid w:val="007E142C"/>
    <w:rsid w:val="007E1AFF"/>
    <w:rsid w:val="007E247C"/>
    <w:rsid w:val="007E2579"/>
    <w:rsid w:val="007E2E7F"/>
    <w:rsid w:val="007E4011"/>
    <w:rsid w:val="007F3FC5"/>
    <w:rsid w:val="008013D8"/>
    <w:rsid w:val="0080278B"/>
    <w:rsid w:val="00802A7F"/>
    <w:rsid w:val="00804687"/>
    <w:rsid w:val="008062B5"/>
    <w:rsid w:val="00807DC5"/>
    <w:rsid w:val="00812799"/>
    <w:rsid w:val="00817057"/>
    <w:rsid w:val="008178F2"/>
    <w:rsid w:val="00826D52"/>
    <w:rsid w:val="008273A2"/>
    <w:rsid w:val="008276B4"/>
    <w:rsid w:val="00827FE2"/>
    <w:rsid w:val="00830BA1"/>
    <w:rsid w:val="008375FD"/>
    <w:rsid w:val="00846FD2"/>
    <w:rsid w:val="00852C81"/>
    <w:rsid w:val="00853F1C"/>
    <w:rsid w:val="0085678C"/>
    <w:rsid w:val="00870ABE"/>
    <w:rsid w:val="00872573"/>
    <w:rsid w:val="00877D2C"/>
    <w:rsid w:val="00883221"/>
    <w:rsid w:val="00884615"/>
    <w:rsid w:val="00886774"/>
    <w:rsid w:val="00890300"/>
    <w:rsid w:val="00890A05"/>
    <w:rsid w:val="00892F4E"/>
    <w:rsid w:val="008937CE"/>
    <w:rsid w:val="00893F52"/>
    <w:rsid w:val="0089522F"/>
    <w:rsid w:val="00895612"/>
    <w:rsid w:val="008A53A0"/>
    <w:rsid w:val="008A60DE"/>
    <w:rsid w:val="008A6DED"/>
    <w:rsid w:val="008B034E"/>
    <w:rsid w:val="008B14BD"/>
    <w:rsid w:val="008B1DC6"/>
    <w:rsid w:val="008B28EF"/>
    <w:rsid w:val="008B31CB"/>
    <w:rsid w:val="008B48C8"/>
    <w:rsid w:val="008B56DA"/>
    <w:rsid w:val="008B7609"/>
    <w:rsid w:val="008C10E6"/>
    <w:rsid w:val="008C221F"/>
    <w:rsid w:val="008C2CEE"/>
    <w:rsid w:val="008C310F"/>
    <w:rsid w:val="008C5AE5"/>
    <w:rsid w:val="008C5D71"/>
    <w:rsid w:val="008C75CB"/>
    <w:rsid w:val="008C7D0F"/>
    <w:rsid w:val="008D2B16"/>
    <w:rsid w:val="008D315D"/>
    <w:rsid w:val="008E16DA"/>
    <w:rsid w:val="008E408C"/>
    <w:rsid w:val="008E50C7"/>
    <w:rsid w:val="008E50E7"/>
    <w:rsid w:val="008F1F4A"/>
    <w:rsid w:val="008F240E"/>
    <w:rsid w:val="008F46A6"/>
    <w:rsid w:val="008F74F3"/>
    <w:rsid w:val="008F79B0"/>
    <w:rsid w:val="00901795"/>
    <w:rsid w:val="00904D26"/>
    <w:rsid w:val="00907294"/>
    <w:rsid w:val="00907B26"/>
    <w:rsid w:val="00914AEE"/>
    <w:rsid w:val="00915953"/>
    <w:rsid w:val="009207DA"/>
    <w:rsid w:val="009229D6"/>
    <w:rsid w:val="00923C69"/>
    <w:rsid w:val="0092572F"/>
    <w:rsid w:val="00935113"/>
    <w:rsid w:val="00936232"/>
    <w:rsid w:val="009371FC"/>
    <w:rsid w:val="00937C8D"/>
    <w:rsid w:val="0094298E"/>
    <w:rsid w:val="00943011"/>
    <w:rsid w:val="009479E0"/>
    <w:rsid w:val="00947DD4"/>
    <w:rsid w:val="0095107A"/>
    <w:rsid w:val="00951201"/>
    <w:rsid w:val="00954BB5"/>
    <w:rsid w:val="00955EE4"/>
    <w:rsid w:val="0095718B"/>
    <w:rsid w:val="00962673"/>
    <w:rsid w:val="0096324C"/>
    <w:rsid w:val="00963F61"/>
    <w:rsid w:val="00964333"/>
    <w:rsid w:val="00964366"/>
    <w:rsid w:val="00965FFE"/>
    <w:rsid w:val="009665A2"/>
    <w:rsid w:val="00967134"/>
    <w:rsid w:val="00972A89"/>
    <w:rsid w:val="00974140"/>
    <w:rsid w:val="009751EB"/>
    <w:rsid w:val="00975B4A"/>
    <w:rsid w:val="00976C85"/>
    <w:rsid w:val="00977532"/>
    <w:rsid w:val="00983CFC"/>
    <w:rsid w:val="00990B57"/>
    <w:rsid w:val="0099176F"/>
    <w:rsid w:val="00994FA7"/>
    <w:rsid w:val="0099551F"/>
    <w:rsid w:val="009A2294"/>
    <w:rsid w:val="009A2FC9"/>
    <w:rsid w:val="009A44ED"/>
    <w:rsid w:val="009B1F36"/>
    <w:rsid w:val="009B292D"/>
    <w:rsid w:val="009B4459"/>
    <w:rsid w:val="009B5891"/>
    <w:rsid w:val="009B5A85"/>
    <w:rsid w:val="009C1385"/>
    <w:rsid w:val="009C13DC"/>
    <w:rsid w:val="009C39D3"/>
    <w:rsid w:val="009C43AE"/>
    <w:rsid w:val="009C5026"/>
    <w:rsid w:val="009C5DC0"/>
    <w:rsid w:val="009D092A"/>
    <w:rsid w:val="009D4493"/>
    <w:rsid w:val="009D78AB"/>
    <w:rsid w:val="009E0FD0"/>
    <w:rsid w:val="009E1344"/>
    <w:rsid w:val="009E1F01"/>
    <w:rsid w:val="009E313F"/>
    <w:rsid w:val="009E55D2"/>
    <w:rsid w:val="009E7D1C"/>
    <w:rsid w:val="009F19D0"/>
    <w:rsid w:val="009F2E1A"/>
    <w:rsid w:val="009F33C7"/>
    <w:rsid w:val="009F7F24"/>
    <w:rsid w:val="00A01252"/>
    <w:rsid w:val="00A02850"/>
    <w:rsid w:val="00A047A4"/>
    <w:rsid w:val="00A053B4"/>
    <w:rsid w:val="00A078F2"/>
    <w:rsid w:val="00A113CF"/>
    <w:rsid w:val="00A11DCF"/>
    <w:rsid w:val="00A12062"/>
    <w:rsid w:val="00A244E9"/>
    <w:rsid w:val="00A2774E"/>
    <w:rsid w:val="00A31DDC"/>
    <w:rsid w:val="00A32A22"/>
    <w:rsid w:val="00A332E9"/>
    <w:rsid w:val="00A34A86"/>
    <w:rsid w:val="00A3547E"/>
    <w:rsid w:val="00A35FC4"/>
    <w:rsid w:val="00A377B5"/>
    <w:rsid w:val="00A40834"/>
    <w:rsid w:val="00A42A19"/>
    <w:rsid w:val="00A43507"/>
    <w:rsid w:val="00A43B98"/>
    <w:rsid w:val="00A44D22"/>
    <w:rsid w:val="00A45357"/>
    <w:rsid w:val="00A50742"/>
    <w:rsid w:val="00A517CC"/>
    <w:rsid w:val="00A51CFC"/>
    <w:rsid w:val="00A52DA1"/>
    <w:rsid w:val="00A57FA8"/>
    <w:rsid w:val="00A63451"/>
    <w:rsid w:val="00A655DA"/>
    <w:rsid w:val="00A71FBC"/>
    <w:rsid w:val="00A743CD"/>
    <w:rsid w:val="00A74898"/>
    <w:rsid w:val="00A75EE3"/>
    <w:rsid w:val="00A760C6"/>
    <w:rsid w:val="00A77017"/>
    <w:rsid w:val="00A8061E"/>
    <w:rsid w:val="00A82FD5"/>
    <w:rsid w:val="00A84158"/>
    <w:rsid w:val="00A85912"/>
    <w:rsid w:val="00A8701C"/>
    <w:rsid w:val="00A94C54"/>
    <w:rsid w:val="00A969A4"/>
    <w:rsid w:val="00A969D3"/>
    <w:rsid w:val="00AA06B5"/>
    <w:rsid w:val="00AA0F55"/>
    <w:rsid w:val="00AA2B13"/>
    <w:rsid w:val="00AA2C50"/>
    <w:rsid w:val="00AB0F52"/>
    <w:rsid w:val="00AB603F"/>
    <w:rsid w:val="00AC050F"/>
    <w:rsid w:val="00AC5165"/>
    <w:rsid w:val="00AC5CCE"/>
    <w:rsid w:val="00AD2798"/>
    <w:rsid w:val="00AD43CB"/>
    <w:rsid w:val="00AE088B"/>
    <w:rsid w:val="00AE2227"/>
    <w:rsid w:val="00AE34D3"/>
    <w:rsid w:val="00AE3F0C"/>
    <w:rsid w:val="00AE4F46"/>
    <w:rsid w:val="00AE5FDF"/>
    <w:rsid w:val="00AE6C9B"/>
    <w:rsid w:val="00AF269D"/>
    <w:rsid w:val="00AF5099"/>
    <w:rsid w:val="00AF56CC"/>
    <w:rsid w:val="00B01158"/>
    <w:rsid w:val="00B13934"/>
    <w:rsid w:val="00B1497D"/>
    <w:rsid w:val="00B14FEA"/>
    <w:rsid w:val="00B14FF8"/>
    <w:rsid w:val="00B152C0"/>
    <w:rsid w:val="00B15CA6"/>
    <w:rsid w:val="00B17144"/>
    <w:rsid w:val="00B26845"/>
    <w:rsid w:val="00B3218B"/>
    <w:rsid w:val="00B330E7"/>
    <w:rsid w:val="00B3444D"/>
    <w:rsid w:val="00B36A79"/>
    <w:rsid w:val="00B42851"/>
    <w:rsid w:val="00B47111"/>
    <w:rsid w:val="00B504A7"/>
    <w:rsid w:val="00B576C3"/>
    <w:rsid w:val="00B6252B"/>
    <w:rsid w:val="00B6380A"/>
    <w:rsid w:val="00B647F2"/>
    <w:rsid w:val="00B67E1D"/>
    <w:rsid w:val="00B70185"/>
    <w:rsid w:val="00B720EB"/>
    <w:rsid w:val="00B7503B"/>
    <w:rsid w:val="00B75714"/>
    <w:rsid w:val="00B77284"/>
    <w:rsid w:val="00B815A5"/>
    <w:rsid w:val="00B81968"/>
    <w:rsid w:val="00B83E7C"/>
    <w:rsid w:val="00B852AF"/>
    <w:rsid w:val="00B9765E"/>
    <w:rsid w:val="00BA0B64"/>
    <w:rsid w:val="00BA7A50"/>
    <w:rsid w:val="00BB16FF"/>
    <w:rsid w:val="00BB2928"/>
    <w:rsid w:val="00BB5E19"/>
    <w:rsid w:val="00BC0B29"/>
    <w:rsid w:val="00BD2D44"/>
    <w:rsid w:val="00BD3218"/>
    <w:rsid w:val="00BD3F83"/>
    <w:rsid w:val="00BD53E6"/>
    <w:rsid w:val="00BD6DAF"/>
    <w:rsid w:val="00BE255C"/>
    <w:rsid w:val="00BF1124"/>
    <w:rsid w:val="00BF1C64"/>
    <w:rsid w:val="00BF1F4A"/>
    <w:rsid w:val="00BF64F8"/>
    <w:rsid w:val="00C002E7"/>
    <w:rsid w:val="00C023D2"/>
    <w:rsid w:val="00C03139"/>
    <w:rsid w:val="00C04EA6"/>
    <w:rsid w:val="00C05937"/>
    <w:rsid w:val="00C05EE6"/>
    <w:rsid w:val="00C07CDD"/>
    <w:rsid w:val="00C10B93"/>
    <w:rsid w:val="00C1243B"/>
    <w:rsid w:val="00C165B2"/>
    <w:rsid w:val="00C20FED"/>
    <w:rsid w:val="00C21B45"/>
    <w:rsid w:val="00C2608A"/>
    <w:rsid w:val="00C31D9D"/>
    <w:rsid w:val="00C323B6"/>
    <w:rsid w:val="00C34B67"/>
    <w:rsid w:val="00C400D3"/>
    <w:rsid w:val="00C44C79"/>
    <w:rsid w:val="00C45E68"/>
    <w:rsid w:val="00C537ED"/>
    <w:rsid w:val="00C53E7D"/>
    <w:rsid w:val="00C60683"/>
    <w:rsid w:val="00C61748"/>
    <w:rsid w:val="00C63826"/>
    <w:rsid w:val="00C6515D"/>
    <w:rsid w:val="00C66674"/>
    <w:rsid w:val="00C6684E"/>
    <w:rsid w:val="00C70113"/>
    <w:rsid w:val="00C7400E"/>
    <w:rsid w:val="00C771AA"/>
    <w:rsid w:val="00C80B7B"/>
    <w:rsid w:val="00C80FAF"/>
    <w:rsid w:val="00C82913"/>
    <w:rsid w:val="00C84A9F"/>
    <w:rsid w:val="00C86260"/>
    <w:rsid w:val="00C8754D"/>
    <w:rsid w:val="00C902E4"/>
    <w:rsid w:val="00C92861"/>
    <w:rsid w:val="00C945A4"/>
    <w:rsid w:val="00C95710"/>
    <w:rsid w:val="00C96DE1"/>
    <w:rsid w:val="00C976B7"/>
    <w:rsid w:val="00CA11ED"/>
    <w:rsid w:val="00CA1F15"/>
    <w:rsid w:val="00CB039C"/>
    <w:rsid w:val="00CB446E"/>
    <w:rsid w:val="00CB497E"/>
    <w:rsid w:val="00CC3143"/>
    <w:rsid w:val="00CC5A51"/>
    <w:rsid w:val="00CC6906"/>
    <w:rsid w:val="00CD29A5"/>
    <w:rsid w:val="00CD303E"/>
    <w:rsid w:val="00CD316C"/>
    <w:rsid w:val="00CD34BF"/>
    <w:rsid w:val="00CE0037"/>
    <w:rsid w:val="00CE00F2"/>
    <w:rsid w:val="00CE43D8"/>
    <w:rsid w:val="00CE513A"/>
    <w:rsid w:val="00CF4265"/>
    <w:rsid w:val="00CF46A7"/>
    <w:rsid w:val="00D0159B"/>
    <w:rsid w:val="00D0554F"/>
    <w:rsid w:val="00D11B8B"/>
    <w:rsid w:val="00D12B54"/>
    <w:rsid w:val="00D15530"/>
    <w:rsid w:val="00D233CC"/>
    <w:rsid w:val="00D278B1"/>
    <w:rsid w:val="00D361FC"/>
    <w:rsid w:val="00D40368"/>
    <w:rsid w:val="00D46503"/>
    <w:rsid w:val="00D47CA1"/>
    <w:rsid w:val="00D51106"/>
    <w:rsid w:val="00D53C09"/>
    <w:rsid w:val="00D53FC9"/>
    <w:rsid w:val="00D546DF"/>
    <w:rsid w:val="00D5556E"/>
    <w:rsid w:val="00D56E6B"/>
    <w:rsid w:val="00D6141E"/>
    <w:rsid w:val="00D634F2"/>
    <w:rsid w:val="00D63895"/>
    <w:rsid w:val="00D6592C"/>
    <w:rsid w:val="00D70A0B"/>
    <w:rsid w:val="00D70EEA"/>
    <w:rsid w:val="00D719F8"/>
    <w:rsid w:val="00D76013"/>
    <w:rsid w:val="00D802B1"/>
    <w:rsid w:val="00D8070E"/>
    <w:rsid w:val="00D8117D"/>
    <w:rsid w:val="00D8245F"/>
    <w:rsid w:val="00D8297C"/>
    <w:rsid w:val="00D84CA5"/>
    <w:rsid w:val="00D95841"/>
    <w:rsid w:val="00D96BED"/>
    <w:rsid w:val="00DA0D5D"/>
    <w:rsid w:val="00DA260D"/>
    <w:rsid w:val="00DA34FD"/>
    <w:rsid w:val="00DA35E2"/>
    <w:rsid w:val="00DA6276"/>
    <w:rsid w:val="00DB5485"/>
    <w:rsid w:val="00DB5CC3"/>
    <w:rsid w:val="00DB6356"/>
    <w:rsid w:val="00DC00B8"/>
    <w:rsid w:val="00DC2859"/>
    <w:rsid w:val="00DC37D5"/>
    <w:rsid w:val="00DC430E"/>
    <w:rsid w:val="00DC5A15"/>
    <w:rsid w:val="00DD1CE4"/>
    <w:rsid w:val="00DD2931"/>
    <w:rsid w:val="00DD4169"/>
    <w:rsid w:val="00DD5CB7"/>
    <w:rsid w:val="00DE12A8"/>
    <w:rsid w:val="00DE2333"/>
    <w:rsid w:val="00DE2E97"/>
    <w:rsid w:val="00DE4B5D"/>
    <w:rsid w:val="00DE7803"/>
    <w:rsid w:val="00DF2DF6"/>
    <w:rsid w:val="00DF5E25"/>
    <w:rsid w:val="00DF6AFD"/>
    <w:rsid w:val="00DF6F5B"/>
    <w:rsid w:val="00E01D74"/>
    <w:rsid w:val="00E02A16"/>
    <w:rsid w:val="00E06E23"/>
    <w:rsid w:val="00E1088D"/>
    <w:rsid w:val="00E10900"/>
    <w:rsid w:val="00E11095"/>
    <w:rsid w:val="00E1118B"/>
    <w:rsid w:val="00E11F61"/>
    <w:rsid w:val="00E12DFF"/>
    <w:rsid w:val="00E142C9"/>
    <w:rsid w:val="00E14EBE"/>
    <w:rsid w:val="00E20202"/>
    <w:rsid w:val="00E23B5F"/>
    <w:rsid w:val="00E257F0"/>
    <w:rsid w:val="00E423C6"/>
    <w:rsid w:val="00E425E1"/>
    <w:rsid w:val="00E563A9"/>
    <w:rsid w:val="00E63BE8"/>
    <w:rsid w:val="00E64C81"/>
    <w:rsid w:val="00E71522"/>
    <w:rsid w:val="00E74A3F"/>
    <w:rsid w:val="00E74E20"/>
    <w:rsid w:val="00E81087"/>
    <w:rsid w:val="00E81245"/>
    <w:rsid w:val="00E83801"/>
    <w:rsid w:val="00E907D2"/>
    <w:rsid w:val="00E935F2"/>
    <w:rsid w:val="00E9436C"/>
    <w:rsid w:val="00E97CDD"/>
    <w:rsid w:val="00EA428F"/>
    <w:rsid w:val="00EA4343"/>
    <w:rsid w:val="00EA52E5"/>
    <w:rsid w:val="00EA59AE"/>
    <w:rsid w:val="00EB2D48"/>
    <w:rsid w:val="00EB358E"/>
    <w:rsid w:val="00EB71AE"/>
    <w:rsid w:val="00EC1B1B"/>
    <w:rsid w:val="00EC1E3C"/>
    <w:rsid w:val="00EC4BB8"/>
    <w:rsid w:val="00ED1FE9"/>
    <w:rsid w:val="00ED2592"/>
    <w:rsid w:val="00ED28F8"/>
    <w:rsid w:val="00ED405E"/>
    <w:rsid w:val="00ED45B3"/>
    <w:rsid w:val="00ED4613"/>
    <w:rsid w:val="00ED63BB"/>
    <w:rsid w:val="00ED7058"/>
    <w:rsid w:val="00EE1C2B"/>
    <w:rsid w:val="00EE4329"/>
    <w:rsid w:val="00EE4A26"/>
    <w:rsid w:val="00EE4E1A"/>
    <w:rsid w:val="00EE77E7"/>
    <w:rsid w:val="00EF3583"/>
    <w:rsid w:val="00EF79FB"/>
    <w:rsid w:val="00F01C42"/>
    <w:rsid w:val="00F05585"/>
    <w:rsid w:val="00F05A7F"/>
    <w:rsid w:val="00F13A45"/>
    <w:rsid w:val="00F15C30"/>
    <w:rsid w:val="00F17C5F"/>
    <w:rsid w:val="00F202C8"/>
    <w:rsid w:val="00F239EE"/>
    <w:rsid w:val="00F25336"/>
    <w:rsid w:val="00F25CF3"/>
    <w:rsid w:val="00F26CE9"/>
    <w:rsid w:val="00F32648"/>
    <w:rsid w:val="00F335D8"/>
    <w:rsid w:val="00F33F59"/>
    <w:rsid w:val="00F419E3"/>
    <w:rsid w:val="00F43C40"/>
    <w:rsid w:val="00F44B62"/>
    <w:rsid w:val="00F45D4F"/>
    <w:rsid w:val="00F4737E"/>
    <w:rsid w:val="00F511FD"/>
    <w:rsid w:val="00F519CD"/>
    <w:rsid w:val="00F53641"/>
    <w:rsid w:val="00F536EA"/>
    <w:rsid w:val="00F545ED"/>
    <w:rsid w:val="00F565D8"/>
    <w:rsid w:val="00F57879"/>
    <w:rsid w:val="00F61C3A"/>
    <w:rsid w:val="00F6451A"/>
    <w:rsid w:val="00F649DB"/>
    <w:rsid w:val="00F66900"/>
    <w:rsid w:val="00F67D5E"/>
    <w:rsid w:val="00F7084D"/>
    <w:rsid w:val="00F70903"/>
    <w:rsid w:val="00F70EF5"/>
    <w:rsid w:val="00F73D85"/>
    <w:rsid w:val="00F7730E"/>
    <w:rsid w:val="00F77DA2"/>
    <w:rsid w:val="00F83A2D"/>
    <w:rsid w:val="00F843FE"/>
    <w:rsid w:val="00F90346"/>
    <w:rsid w:val="00F928DD"/>
    <w:rsid w:val="00F949D9"/>
    <w:rsid w:val="00F95C71"/>
    <w:rsid w:val="00F9690F"/>
    <w:rsid w:val="00F96B0E"/>
    <w:rsid w:val="00FA0924"/>
    <w:rsid w:val="00FA28FC"/>
    <w:rsid w:val="00FA2B0B"/>
    <w:rsid w:val="00FA3217"/>
    <w:rsid w:val="00FA4C0A"/>
    <w:rsid w:val="00FA59E9"/>
    <w:rsid w:val="00FA5B7C"/>
    <w:rsid w:val="00FA706F"/>
    <w:rsid w:val="00FB04B8"/>
    <w:rsid w:val="00FB0589"/>
    <w:rsid w:val="00FB1CBB"/>
    <w:rsid w:val="00FB4EFE"/>
    <w:rsid w:val="00FB5D1F"/>
    <w:rsid w:val="00FB7CF7"/>
    <w:rsid w:val="00FC06BE"/>
    <w:rsid w:val="00FC2F49"/>
    <w:rsid w:val="00FC4BB1"/>
    <w:rsid w:val="00FC5CAA"/>
    <w:rsid w:val="00FD03C8"/>
    <w:rsid w:val="00FE098A"/>
    <w:rsid w:val="00FE691D"/>
    <w:rsid w:val="00FF38A0"/>
    <w:rsid w:val="00FF3C73"/>
    <w:rsid w:val="00FF6BDC"/>
    <w:rsid w:val="00FF707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B00B7"/>
  <w15:docId w15:val="{76ABB64C-6958-4DF2-BB69-8CD2A791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540"/>
    <w:pPr>
      <w:spacing w:after="120"/>
      <w:jc w:val="both"/>
    </w:pPr>
    <w:rPr>
      <w:sz w:val="22"/>
    </w:rPr>
  </w:style>
  <w:style w:type="paragraph" w:styleId="Nadpis1">
    <w:name w:val="heading 1"/>
    <w:basedOn w:val="Normlny"/>
    <w:next w:val="Normlnysozarkami"/>
    <w:link w:val="Nadpis1Char"/>
    <w:qFormat/>
    <w:rsid w:val="003F165E"/>
    <w:pPr>
      <w:keepNext/>
      <w:numPr>
        <w:numId w:val="2"/>
      </w:numPr>
      <w:spacing w:before="240" w:after="240"/>
      <w:outlineLvl w:val="0"/>
    </w:pPr>
    <w:rPr>
      <w:rFonts w:ascii="Times New Roman Bold" w:hAnsi="Times New Roman Bold"/>
      <w:b/>
      <w:caps/>
      <w:kern w:val="28"/>
    </w:rPr>
  </w:style>
  <w:style w:type="paragraph" w:styleId="Nadpis2">
    <w:name w:val="heading 2"/>
    <w:basedOn w:val="Normlny"/>
    <w:next w:val="Normlnysozarkami"/>
    <w:qFormat/>
    <w:rsid w:val="006843BF"/>
    <w:pPr>
      <w:keepNext/>
      <w:numPr>
        <w:ilvl w:val="1"/>
        <w:numId w:val="2"/>
      </w:numPr>
      <w:spacing w:before="240" w:after="240"/>
      <w:outlineLvl w:val="1"/>
    </w:pPr>
    <w:rPr>
      <w:b/>
    </w:rPr>
  </w:style>
  <w:style w:type="paragraph" w:styleId="Nadpis3">
    <w:name w:val="heading 3"/>
    <w:basedOn w:val="Normlny"/>
    <w:next w:val="Normlny"/>
    <w:qFormat/>
    <w:rsid w:val="00B815A5"/>
    <w:pPr>
      <w:keepNext/>
      <w:spacing w:before="240" w:after="60"/>
      <w:outlineLvl w:val="2"/>
    </w:pPr>
    <w:rPr>
      <w:i/>
    </w:rPr>
  </w:style>
  <w:style w:type="paragraph" w:styleId="Nadpis4">
    <w:name w:val="heading 4"/>
    <w:basedOn w:val="Normlny"/>
    <w:next w:val="Normlny"/>
    <w:qFormat/>
    <w:rsid w:val="00B815A5"/>
    <w:pPr>
      <w:keepNext/>
      <w:spacing w:before="240" w:after="60"/>
      <w:outlineLvl w:val="3"/>
    </w:pPr>
  </w:style>
  <w:style w:type="paragraph" w:styleId="Nadpis5">
    <w:name w:val="heading 5"/>
    <w:basedOn w:val="Normlny"/>
    <w:next w:val="Normlny"/>
    <w:link w:val="Nadpis5Char"/>
    <w:semiHidden/>
    <w:unhideWhenUsed/>
    <w:qFormat/>
    <w:rsid w:val="008E16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B815A5"/>
    <w:pPr>
      <w:numPr>
        <w:numId w:val="1"/>
      </w:numPr>
    </w:pPr>
  </w:style>
  <w:style w:type="paragraph" w:customStyle="1" w:styleId="Table">
    <w:name w:val="Table"/>
    <w:basedOn w:val="Normlny"/>
    <w:rsid w:val="00B815A5"/>
    <w:pPr>
      <w:spacing w:before="40" w:after="40"/>
    </w:pPr>
  </w:style>
  <w:style w:type="paragraph" w:customStyle="1" w:styleId="DocumentHeading">
    <w:name w:val="Document Heading"/>
    <w:basedOn w:val="Normlny"/>
    <w:next w:val="Normlny"/>
    <w:rsid w:val="00B815A5"/>
    <w:rPr>
      <w:b/>
      <w:sz w:val="28"/>
    </w:rPr>
  </w:style>
  <w:style w:type="paragraph" w:customStyle="1" w:styleId="SectionHeading">
    <w:name w:val="Section Heading"/>
    <w:basedOn w:val="Normlny"/>
    <w:next w:val="Normlny"/>
    <w:rsid w:val="00B815A5"/>
    <w:rPr>
      <w:b/>
      <w:sz w:val="28"/>
    </w:rPr>
  </w:style>
  <w:style w:type="paragraph" w:styleId="Popis">
    <w:name w:val="caption"/>
    <w:basedOn w:val="Normlny"/>
    <w:next w:val="Normlny"/>
    <w:qFormat/>
    <w:rsid w:val="00B815A5"/>
    <w:pPr>
      <w:jc w:val="center"/>
    </w:pPr>
    <w:rPr>
      <w:bCs/>
      <w:i/>
      <w:sz w:val="18"/>
    </w:rPr>
  </w:style>
  <w:style w:type="paragraph" w:customStyle="1" w:styleId="CaptionStyle">
    <w:name w:val="Caption Style"/>
    <w:basedOn w:val="Popis"/>
    <w:rsid w:val="00B815A5"/>
    <w:rPr>
      <w:bCs w:val="0"/>
      <w:iCs/>
    </w:rPr>
  </w:style>
  <w:style w:type="paragraph" w:styleId="truktradokumentu">
    <w:name w:val="Document Map"/>
    <w:basedOn w:val="Normlny"/>
    <w:semiHidden/>
    <w:rsid w:val="005F7118"/>
    <w:pPr>
      <w:shd w:val="clear" w:color="auto" w:fill="000080"/>
    </w:pPr>
    <w:rPr>
      <w:rFonts w:ascii="Tahoma" w:hAnsi="Tahoma" w:cs="Tahoma"/>
      <w:sz w:val="20"/>
    </w:rPr>
  </w:style>
  <w:style w:type="paragraph" w:styleId="Normlnysozarkami">
    <w:name w:val="Normal Indent"/>
    <w:basedOn w:val="Normlny"/>
    <w:rsid w:val="009E0FD0"/>
    <w:pPr>
      <w:ind w:left="720"/>
    </w:pPr>
  </w:style>
  <w:style w:type="table" w:styleId="Mriekatabuky">
    <w:name w:val="Table Grid"/>
    <w:basedOn w:val="Normlnatabuka"/>
    <w:uiPriority w:val="59"/>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E142C9"/>
    <w:pPr>
      <w:spacing w:before="100" w:beforeAutospacing="1" w:after="100" w:afterAutospacing="1"/>
    </w:pPr>
    <w:rPr>
      <w:sz w:val="24"/>
      <w:szCs w:val="24"/>
      <w:lang w:val="en-US" w:eastAsia="en-US"/>
    </w:rPr>
  </w:style>
  <w:style w:type="paragraph" w:styleId="Spiatonadresanaoblke">
    <w:name w:val="envelope return"/>
    <w:basedOn w:val="Normlny"/>
    <w:link w:val="SpiatonadresanaoblkeChar"/>
    <w:rsid w:val="00732969"/>
    <w:rPr>
      <w:rFonts w:ascii="Arial" w:hAnsi="Arial" w:cs="Arial"/>
      <w:sz w:val="20"/>
    </w:rPr>
  </w:style>
  <w:style w:type="character" w:customStyle="1" w:styleId="SpiatonadresanaoblkeChar">
    <w:name w:val="Spiatočná adresa na obálke Char"/>
    <w:basedOn w:val="Predvolenpsmoodseku"/>
    <w:link w:val="Spiatonadresanaoblke"/>
    <w:rsid w:val="00732969"/>
    <w:rPr>
      <w:rFonts w:ascii="Arial" w:hAnsi="Arial" w:cs="Arial"/>
      <w:lang w:val="en-GB" w:eastAsia="en-GB" w:bidi="ar-SA"/>
    </w:rPr>
  </w:style>
  <w:style w:type="paragraph" w:customStyle="1" w:styleId="EMEAEnBodyText">
    <w:name w:val="EMEA En Body Text"/>
    <w:basedOn w:val="Normlny"/>
    <w:rsid w:val="00B01158"/>
    <w:pPr>
      <w:spacing w:before="120"/>
    </w:pPr>
    <w:rPr>
      <w:lang w:val="en-US" w:eastAsia="en-US"/>
    </w:rPr>
  </w:style>
  <w:style w:type="character" w:styleId="Hypertextovprepojenie">
    <w:name w:val="Hyperlink"/>
    <w:rsid w:val="00B01158"/>
    <w:rPr>
      <w:color w:val="0000FF"/>
      <w:u w:val="single"/>
    </w:rPr>
  </w:style>
  <w:style w:type="paragraph" w:styleId="Zkladntext2">
    <w:name w:val="Body Text 2"/>
    <w:basedOn w:val="Normlny"/>
    <w:link w:val="Zkladntext2Char"/>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pPr>
    <w:rPr>
      <w:b/>
      <w:bCs/>
      <w:color w:val="0000FF"/>
      <w:szCs w:val="22"/>
      <w:u w:val="single"/>
      <w:lang w:eastAsia="en-US"/>
    </w:rPr>
  </w:style>
  <w:style w:type="character" w:customStyle="1" w:styleId="Zkladntext2Char">
    <w:name w:val="Základný text 2 Char"/>
    <w:basedOn w:val="Predvolenpsmoodseku"/>
    <w:link w:val="Zkladntext2"/>
    <w:rsid w:val="00B01158"/>
    <w:rPr>
      <w:b/>
      <w:bCs/>
      <w:color w:val="0000FF"/>
      <w:sz w:val="22"/>
      <w:szCs w:val="22"/>
      <w:u w:val="single"/>
      <w:lang w:eastAsia="en-US"/>
    </w:rPr>
  </w:style>
  <w:style w:type="paragraph" w:customStyle="1" w:styleId="BodytextAgency">
    <w:name w:val="Body text (Agency)"/>
    <w:basedOn w:val="Normlny"/>
    <w:link w:val="BodytextAgencyChar"/>
    <w:qFormat/>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Odsekzoznamu">
    <w:name w:val="List Paragraph"/>
    <w:basedOn w:val="Normlny"/>
    <w:uiPriority w:val="34"/>
    <w:qFormat/>
    <w:rsid w:val="006843BF"/>
    <w:pPr>
      <w:ind w:left="720"/>
      <w:contextualSpacing/>
    </w:pPr>
  </w:style>
  <w:style w:type="paragraph" w:styleId="Nzov">
    <w:name w:val="Title"/>
    <w:basedOn w:val="Normlny"/>
    <w:next w:val="Normlny"/>
    <w:link w:val="NzovChar"/>
    <w:qFormat/>
    <w:rsid w:val="003F165E"/>
    <w:pPr>
      <w:spacing w:before="240" w:after="240"/>
      <w:contextualSpacing/>
      <w:jc w:val="center"/>
    </w:pPr>
    <w:rPr>
      <w:rFonts w:eastAsiaTheme="majorEastAsia" w:cstheme="majorBidi"/>
      <w:b/>
      <w:spacing w:val="-10"/>
      <w:kern w:val="28"/>
      <w:szCs w:val="56"/>
    </w:rPr>
  </w:style>
  <w:style w:type="character" w:customStyle="1" w:styleId="NzovChar">
    <w:name w:val="Názov Char"/>
    <w:basedOn w:val="Predvolenpsmoodseku"/>
    <w:link w:val="Nzov"/>
    <w:rsid w:val="003F165E"/>
    <w:rPr>
      <w:rFonts w:eastAsiaTheme="majorEastAsia" w:cstheme="majorBidi"/>
      <w:b/>
      <w:spacing w:val="-10"/>
      <w:kern w:val="28"/>
      <w:sz w:val="22"/>
      <w:szCs w:val="56"/>
    </w:rPr>
  </w:style>
  <w:style w:type="paragraph" w:styleId="Textkomentra">
    <w:name w:val="annotation text"/>
    <w:basedOn w:val="Normlny"/>
    <w:link w:val="TextkomentraChar"/>
    <w:rsid w:val="00B42851"/>
    <w:pPr>
      <w:tabs>
        <w:tab w:val="left" w:pos="567"/>
      </w:tabs>
      <w:spacing w:after="0" w:line="260" w:lineRule="exact"/>
    </w:pPr>
    <w:rPr>
      <w:sz w:val="20"/>
      <w:lang w:eastAsia="en-US"/>
    </w:rPr>
  </w:style>
  <w:style w:type="character" w:customStyle="1" w:styleId="TextkomentraChar">
    <w:name w:val="Text komentára Char"/>
    <w:basedOn w:val="Predvolenpsmoodseku"/>
    <w:link w:val="Textkomentra"/>
    <w:rsid w:val="00B42851"/>
    <w:rPr>
      <w:lang w:eastAsia="en-US"/>
    </w:rPr>
  </w:style>
  <w:style w:type="character" w:styleId="Odkaznakomentr">
    <w:name w:val="annotation reference"/>
    <w:rsid w:val="00B42851"/>
    <w:rPr>
      <w:sz w:val="16"/>
      <w:szCs w:val="16"/>
    </w:rPr>
  </w:style>
  <w:style w:type="paragraph" w:styleId="Textbubliny">
    <w:name w:val="Balloon Text"/>
    <w:basedOn w:val="Normlny"/>
    <w:link w:val="TextbublinyChar"/>
    <w:semiHidden/>
    <w:unhideWhenUsed/>
    <w:rsid w:val="00B42851"/>
    <w:pPr>
      <w:spacing w:after="0"/>
    </w:pPr>
    <w:rPr>
      <w:rFonts w:ascii="Tahoma" w:hAnsi="Tahoma" w:cs="Tahoma"/>
      <w:sz w:val="16"/>
      <w:szCs w:val="16"/>
    </w:rPr>
  </w:style>
  <w:style w:type="character" w:customStyle="1" w:styleId="TextbublinyChar">
    <w:name w:val="Text bubliny Char"/>
    <w:basedOn w:val="Predvolenpsmoodseku"/>
    <w:link w:val="Textbubliny"/>
    <w:semiHidden/>
    <w:rsid w:val="00B42851"/>
    <w:rPr>
      <w:rFonts w:ascii="Tahoma" w:hAnsi="Tahoma" w:cs="Tahoma"/>
      <w:sz w:val="16"/>
      <w:szCs w:val="16"/>
    </w:rPr>
  </w:style>
  <w:style w:type="paragraph" w:styleId="Predmetkomentra">
    <w:name w:val="annotation subject"/>
    <w:basedOn w:val="Textkomentra"/>
    <w:next w:val="Textkomentra"/>
    <w:link w:val="PredmetkomentraChar"/>
    <w:rsid w:val="00126123"/>
    <w:pPr>
      <w:tabs>
        <w:tab w:val="clear" w:pos="567"/>
      </w:tabs>
      <w:spacing w:after="120" w:line="240" w:lineRule="auto"/>
    </w:pPr>
    <w:rPr>
      <w:b/>
      <w:bCs/>
      <w:lang w:eastAsia="en-GB"/>
    </w:rPr>
  </w:style>
  <w:style w:type="character" w:customStyle="1" w:styleId="PredmetkomentraChar">
    <w:name w:val="Predmet komentára Char"/>
    <w:basedOn w:val="TextkomentraChar"/>
    <w:link w:val="Predmetkomentra"/>
    <w:rsid w:val="00126123"/>
    <w:rPr>
      <w:b/>
      <w:bCs/>
      <w:lang w:eastAsia="en-US"/>
    </w:rPr>
  </w:style>
  <w:style w:type="paragraph" w:customStyle="1" w:styleId="TabletextrowsAgency">
    <w:name w:val="Table text rows (Agency)"/>
    <w:basedOn w:val="Normlny"/>
    <w:link w:val="TabletextrowsAgencyChar"/>
    <w:rsid w:val="003D682F"/>
    <w:pPr>
      <w:spacing w:after="0" w:line="280" w:lineRule="exact"/>
      <w:jc w:val="left"/>
    </w:pPr>
    <w:rPr>
      <w:rFonts w:ascii="Verdana" w:hAnsi="Verdana"/>
      <w:sz w:val="18"/>
      <w:szCs w:val="18"/>
      <w:lang w:eastAsia="zh-CN"/>
    </w:rPr>
  </w:style>
  <w:style w:type="character" w:customStyle="1" w:styleId="TabletextrowsAgencyChar">
    <w:name w:val="Table text rows (Agency) Char"/>
    <w:link w:val="TabletextrowsAgency"/>
    <w:rsid w:val="003D682F"/>
    <w:rPr>
      <w:rFonts w:ascii="Verdana" w:hAnsi="Verdana"/>
      <w:sz w:val="18"/>
      <w:szCs w:val="18"/>
      <w:lang w:eastAsia="zh-CN"/>
    </w:rPr>
  </w:style>
  <w:style w:type="paragraph" w:styleId="Hlavika">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Normlny"/>
    <w:link w:val="HlavikaChar"/>
    <w:uiPriority w:val="99"/>
    <w:rsid w:val="006C6540"/>
    <w:pPr>
      <w:tabs>
        <w:tab w:val="center" w:pos="4320"/>
        <w:tab w:val="right" w:pos="8640"/>
      </w:tabs>
      <w:spacing w:after="0"/>
      <w:jc w:val="left"/>
    </w:pPr>
    <w:rPr>
      <w:sz w:val="24"/>
      <w:szCs w:val="24"/>
      <w:lang w:val="en-US" w:eastAsia="en-US"/>
    </w:rPr>
  </w:style>
  <w:style w:type="character" w:customStyle="1" w:styleId="HlavikaChar">
    <w:name w:val="Hlavička Char"/>
    <w:aliases w:val="Header Char Char Char Char1,Header Char Char Char Char Char Char Char Char Char Char Char Char Char,Header Char Char Char Char Char Char Char Char1,Header Char Char Char Char Char Char Char1,Header Char Char Char Char Char"/>
    <w:basedOn w:val="Predvolenpsmoodseku"/>
    <w:link w:val="Hlavika"/>
    <w:uiPriority w:val="99"/>
    <w:rsid w:val="006C6540"/>
    <w:rPr>
      <w:sz w:val="24"/>
      <w:szCs w:val="24"/>
      <w:lang w:val="en-US" w:eastAsia="en-US"/>
    </w:rPr>
  </w:style>
  <w:style w:type="paragraph" w:styleId="PredformtovanHTML">
    <w:name w:val="HTML Preformatted"/>
    <w:basedOn w:val="Normlny"/>
    <w:link w:val="PredformtovanHTMLChar"/>
    <w:uiPriority w:val="99"/>
    <w:semiHidden/>
    <w:unhideWhenUsed/>
    <w:rsid w:val="00B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PredformtovanHTMLChar">
    <w:name w:val="Predformátované HTML Char"/>
    <w:basedOn w:val="Predvolenpsmoodseku"/>
    <w:link w:val="PredformtovanHTML"/>
    <w:uiPriority w:val="99"/>
    <w:semiHidden/>
    <w:rsid w:val="00BD6DAF"/>
    <w:rPr>
      <w:rFonts w:ascii="Courier New" w:hAnsi="Courier New" w:cs="Courier New"/>
    </w:rPr>
  </w:style>
  <w:style w:type="paragraph" w:styleId="Revzia">
    <w:name w:val="Revision"/>
    <w:hidden/>
    <w:uiPriority w:val="99"/>
    <w:semiHidden/>
    <w:rsid w:val="00D76013"/>
    <w:rPr>
      <w:sz w:val="22"/>
    </w:rPr>
  </w:style>
  <w:style w:type="character" w:customStyle="1" w:styleId="apple-converted-space">
    <w:name w:val="apple-converted-space"/>
    <w:basedOn w:val="Predvolenpsmoodseku"/>
    <w:rsid w:val="006A4975"/>
  </w:style>
  <w:style w:type="paragraph" w:customStyle="1" w:styleId="Default">
    <w:name w:val="Default"/>
    <w:rsid w:val="001A6C8B"/>
    <w:pPr>
      <w:autoSpaceDE w:val="0"/>
      <w:autoSpaceDN w:val="0"/>
      <w:adjustRightInd w:val="0"/>
    </w:pPr>
    <w:rPr>
      <w:color w:val="000000"/>
      <w:sz w:val="24"/>
      <w:szCs w:val="24"/>
      <w:lang w:val="en-US"/>
    </w:rPr>
  </w:style>
  <w:style w:type="character" w:customStyle="1" w:styleId="Nadpis1Char">
    <w:name w:val="Nadpis 1 Char"/>
    <w:basedOn w:val="Predvolenpsmoodseku"/>
    <w:link w:val="Nadpis1"/>
    <w:rsid w:val="00943011"/>
    <w:rPr>
      <w:rFonts w:ascii="Times New Roman Bold" w:hAnsi="Times New Roman Bold"/>
      <w:b/>
      <w:caps/>
      <w:kern w:val="28"/>
      <w:sz w:val="22"/>
    </w:rPr>
  </w:style>
  <w:style w:type="paragraph" w:styleId="Bezriadkovania">
    <w:name w:val="No Spacing"/>
    <w:uiPriority w:val="1"/>
    <w:qFormat/>
    <w:rsid w:val="00F26CE9"/>
    <w:rPr>
      <w:rFonts w:asciiTheme="minorHAnsi" w:eastAsiaTheme="minorEastAsia" w:hAnsiTheme="minorHAnsi" w:cstheme="minorBidi"/>
      <w:sz w:val="22"/>
      <w:szCs w:val="22"/>
      <w:lang w:val="en-US" w:eastAsia="en-US" w:bidi="ta-IN"/>
    </w:rPr>
  </w:style>
  <w:style w:type="table" w:styleId="Obyajntabuka2">
    <w:name w:val="Plain Table 2"/>
    <w:basedOn w:val="Normlnatabuka"/>
    <w:uiPriority w:val="42"/>
    <w:rsid w:val="005B3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vysvetlivky">
    <w:name w:val="endnote text"/>
    <w:basedOn w:val="Normlny"/>
    <w:link w:val="TextvysvetlivkyChar"/>
    <w:rsid w:val="00807DC5"/>
    <w:pPr>
      <w:tabs>
        <w:tab w:val="left" w:pos="567"/>
      </w:tabs>
      <w:spacing w:after="0"/>
      <w:jc w:val="left"/>
    </w:pPr>
    <w:rPr>
      <w:rFonts w:cs="Latha"/>
      <w:lang w:eastAsia="en-US" w:bidi="ta-IN"/>
    </w:rPr>
  </w:style>
  <w:style w:type="character" w:customStyle="1" w:styleId="TextvysvetlivkyChar">
    <w:name w:val="Text vysvetlivky Char"/>
    <w:basedOn w:val="Predvolenpsmoodseku"/>
    <w:link w:val="Textvysvetlivky"/>
    <w:rsid w:val="00807DC5"/>
    <w:rPr>
      <w:rFonts w:cs="Latha"/>
      <w:sz w:val="22"/>
      <w:lang w:eastAsia="en-US" w:bidi="ta-IN"/>
    </w:rPr>
  </w:style>
  <w:style w:type="character" w:customStyle="1" w:styleId="UnresolvedMention">
    <w:name w:val="Unresolved Mention"/>
    <w:basedOn w:val="Predvolenpsmoodseku"/>
    <w:uiPriority w:val="99"/>
    <w:semiHidden/>
    <w:unhideWhenUsed/>
    <w:rsid w:val="0099551F"/>
    <w:rPr>
      <w:color w:val="605E5C"/>
      <w:shd w:val="clear" w:color="auto" w:fill="E1DFDD"/>
    </w:rPr>
  </w:style>
  <w:style w:type="paragraph" w:customStyle="1" w:styleId="Text">
    <w:name w:val="Text"/>
    <w:basedOn w:val="Normlny"/>
    <w:link w:val="TextChar"/>
    <w:rsid w:val="008C75CB"/>
    <w:pPr>
      <w:spacing w:before="120" w:after="0"/>
    </w:pPr>
    <w:rPr>
      <w:sz w:val="24"/>
      <w:szCs w:val="24"/>
      <w:lang w:eastAsia="en-US"/>
    </w:rPr>
  </w:style>
  <w:style w:type="character" w:customStyle="1" w:styleId="TextChar">
    <w:name w:val="Text Char"/>
    <w:link w:val="Text"/>
    <w:locked/>
    <w:rsid w:val="008C75CB"/>
    <w:rPr>
      <w:sz w:val="24"/>
      <w:szCs w:val="24"/>
      <w:lang w:eastAsia="en-US"/>
    </w:rPr>
  </w:style>
  <w:style w:type="character" w:customStyle="1" w:styleId="Nadpis5Char">
    <w:name w:val="Nadpis 5 Char"/>
    <w:basedOn w:val="Predvolenpsmoodseku"/>
    <w:link w:val="Nadpis5"/>
    <w:uiPriority w:val="99"/>
    <w:rsid w:val="008E16DA"/>
    <w:rPr>
      <w:rFonts w:asciiTheme="majorHAnsi" w:eastAsiaTheme="majorEastAsia" w:hAnsiTheme="majorHAnsi" w:cstheme="majorBidi"/>
      <w:color w:val="2E74B5" w:themeColor="accent1" w:themeShade="BF"/>
      <w:sz w:val="22"/>
    </w:rPr>
  </w:style>
  <w:style w:type="paragraph" w:styleId="Zarkazkladnhotextu2">
    <w:name w:val="Body Text Indent 2"/>
    <w:basedOn w:val="Normlny"/>
    <w:link w:val="Zarkazkladnhotextu2Char"/>
    <w:semiHidden/>
    <w:unhideWhenUsed/>
    <w:rsid w:val="00D51106"/>
    <w:pPr>
      <w:spacing w:line="480" w:lineRule="auto"/>
      <w:ind w:left="360"/>
    </w:pPr>
  </w:style>
  <w:style w:type="character" w:customStyle="1" w:styleId="Zarkazkladnhotextu2Char">
    <w:name w:val="Zarážka základného textu 2 Char"/>
    <w:basedOn w:val="Predvolenpsmoodseku"/>
    <w:link w:val="Zarkazkladnhotextu2"/>
    <w:semiHidden/>
    <w:rsid w:val="00D51106"/>
    <w:rPr>
      <w:sz w:val="22"/>
    </w:rPr>
  </w:style>
  <w:style w:type="paragraph" w:styleId="Pta">
    <w:name w:val="footer"/>
    <w:basedOn w:val="Normlny"/>
    <w:link w:val="PtaChar"/>
    <w:uiPriority w:val="99"/>
    <w:unhideWhenUsed/>
    <w:rsid w:val="00EB358E"/>
    <w:pPr>
      <w:tabs>
        <w:tab w:val="center" w:pos="4513"/>
        <w:tab w:val="right" w:pos="9026"/>
      </w:tabs>
      <w:spacing w:after="0"/>
    </w:pPr>
  </w:style>
  <w:style w:type="character" w:customStyle="1" w:styleId="PtaChar">
    <w:name w:val="Päta Char"/>
    <w:basedOn w:val="Predvolenpsmoodseku"/>
    <w:link w:val="Pta"/>
    <w:uiPriority w:val="99"/>
    <w:rsid w:val="00EB35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53">
      <w:bodyDiv w:val="1"/>
      <w:marLeft w:val="0"/>
      <w:marRight w:val="0"/>
      <w:marTop w:val="0"/>
      <w:marBottom w:val="0"/>
      <w:divBdr>
        <w:top w:val="none" w:sz="0" w:space="0" w:color="auto"/>
        <w:left w:val="none" w:sz="0" w:space="0" w:color="auto"/>
        <w:bottom w:val="none" w:sz="0" w:space="0" w:color="auto"/>
        <w:right w:val="none" w:sz="0" w:space="0" w:color="auto"/>
      </w:divBdr>
    </w:div>
    <w:div w:id="58599983">
      <w:bodyDiv w:val="1"/>
      <w:marLeft w:val="0"/>
      <w:marRight w:val="0"/>
      <w:marTop w:val="0"/>
      <w:marBottom w:val="0"/>
      <w:divBdr>
        <w:top w:val="none" w:sz="0" w:space="0" w:color="auto"/>
        <w:left w:val="none" w:sz="0" w:space="0" w:color="auto"/>
        <w:bottom w:val="none" w:sz="0" w:space="0" w:color="auto"/>
        <w:right w:val="none" w:sz="0" w:space="0" w:color="auto"/>
      </w:divBdr>
    </w:div>
    <w:div w:id="70472149">
      <w:bodyDiv w:val="1"/>
      <w:marLeft w:val="0"/>
      <w:marRight w:val="0"/>
      <w:marTop w:val="0"/>
      <w:marBottom w:val="0"/>
      <w:divBdr>
        <w:top w:val="none" w:sz="0" w:space="0" w:color="auto"/>
        <w:left w:val="none" w:sz="0" w:space="0" w:color="auto"/>
        <w:bottom w:val="none" w:sz="0" w:space="0" w:color="auto"/>
        <w:right w:val="none" w:sz="0" w:space="0" w:color="auto"/>
      </w:divBdr>
    </w:div>
    <w:div w:id="74207938">
      <w:bodyDiv w:val="1"/>
      <w:marLeft w:val="0"/>
      <w:marRight w:val="0"/>
      <w:marTop w:val="0"/>
      <w:marBottom w:val="0"/>
      <w:divBdr>
        <w:top w:val="none" w:sz="0" w:space="0" w:color="auto"/>
        <w:left w:val="none" w:sz="0" w:space="0" w:color="auto"/>
        <w:bottom w:val="none" w:sz="0" w:space="0" w:color="auto"/>
        <w:right w:val="none" w:sz="0" w:space="0" w:color="auto"/>
      </w:divBdr>
    </w:div>
    <w:div w:id="237374478">
      <w:bodyDiv w:val="1"/>
      <w:marLeft w:val="0"/>
      <w:marRight w:val="0"/>
      <w:marTop w:val="0"/>
      <w:marBottom w:val="0"/>
      <w:divBdr>
        <w:top w:val="none" w:sz="0" w:space="0" w:color="auto"/>
        <w:left w:val="none" w:sz="0" w:space="0" w:color="auto"/>
        <w:bottom w:val="none" w:sz="0" w:space="0" w:color="auto"/>
        <w:right w:val="none" w:sz="0" w:space="0" w:color="auto"/>
      </w:divBdr>
    </w:div>
    <w:div w:id="375473771">
      <w:bodyDiv w:val="1"/>
      <w:marLeft w:val="0"/>
      <w:marRight w:val="0"/>
      <w:marTop w:val="0"/>
      <w:marBottom w:val="0"/>
      <w:divBdr>
        <w:top w:val="none" w:sz="0" w:space="0" w:color="auto"/>
        <w:left w:val="none" w:sz="0" w:space="0" w:color="auto"/>
        <w:bottom w:val="none" w:sz="0" w:space="0" w:color="auto"/>
        <w:right w:val="none" w:sz="0" w:space="0" w:color="auto"/>
      </w:divBdr>
    </w:div>
    <w:div w:id="387535713">
      <w:bodyDiv w:val="1"/>
      <w:marLeft w:val="0"/>
      <w:marRight w:val="0"/>
      <w:marTop w:val="0"/>
      <w:marBottom w:val="0"/>
      <w:divBdr>
        <w:top w:val="none" w:sz="0" w:space="0" w:color="auto"/>
        <w:left w:val="none" w:sz="0" w:space="0" w:color="auto"/>
        <w:bottom w:val="none" w:sz="0" w:space="0" w:color="auto"/>
        <w:right w:val="none" w:sz="0" w:space="0" w:color="auto"/>
      </w:divBdr>
    </w:div>
    <w:div w:id="409546626">
      <w:bodyDiv w:val="1"/>
      <w:marLeft w:val="0"/>
      <w:marRight w:val="0"/>
      <w:marTop w:val="0"/>
      <w:marBottom w:val="0"/>
      <w:divBdr>
        <w:top w:val="none" w:sz="0" w:space="0" w:color="auto"/>
        <w:left w:val="none" w:sz="0" w:space="0" w:color="auto"/>
        <w:bottom w:val="none" w:sz="0" w:space="0" w:color="auto"/>
        <w:right w:val="none" w:sz="0" w:space="0" w:color="auto"/>
      </w:divBdr>
    </w:div>
    <w:div w:id="431319436">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6011">
      <w:bodyDiv w:val="1"/>
      <w:marLeft w:val="0"/>
      <w:marRight w:val="0"/>
      <w:marTop w:val="0"/>
      <w:marBottom w:val="0"/>
      <w:divBdr>
        <w:top w:val="none" w:sz="0" w:space="0" w:color="auto"/>
        <w:left w:val="none" w:sz="0" w:space="0" w:color="auto"/>
        <w:bottom w:val="none" w:sz="0" w:space="0" w:color="auto"/>
        <w:right w:val="none" w:sz="0" w:space="0" w:color="auto"/>
      </w:divBdr>
      <w:divsChild>
        <w:div w:id="1820881138">
          <w:marLeft w:val="0"/>
          <w:marRight w:val="0"/>
          <w:marTop w:val="0"/>
          <w:marBottom w:val="0"/>
          <w:divBdr>
            <w:top w:val="none" w:sz="0" w:space="0" w:color="auto"/>
            <w:left w:val="none" w:sz="0" w:space="0" w:color="auto"/>
            <w:bottom w:val="none" w:sz="0" w:space="0" w:color="auto"/>
            <w:right w:val="none" w:sz="0" w:space="0" w:color="auto"/>
          </w:divBdr>
        </w:div>
        <w:div w:id="176816384">
          <w:marLeft w:val="0"/>
          <w:marRight w:val="0"/>
          <w:marTop w:val="0"/>
          <w:marBottom w:val="0"/>
          <w:divBdr>
            <w:top w:val="none" w:sz="0" w:space="0" w:color="auto"/>
            <w:left w:val="none" w:sz="0" w:space="0" w:color="auto"/>
            <w:bottom w:val="none" w:sz="0" w:space="0" w:color="auto"/>
            <w:right w:val="none" w:sz="0" w:space="0" w:color="auto"/>
          </w:divBdr>
        </w:div>
        <w:div w:id="1810901447">
          <w:marLeft w:val="0"/>
          <w:marRight w:val="0"/>
          <w:marTop w:val="0"/>
          <w:marBottom w:val="0"/>
          <w:divBdr>
            <w:top w:val="none" w:sz="0" w:space="0" w:color="auto"/>
            <w:left w:val="none" w:sz="0" w:space="0" w:color="auto"/>
            <w:bottom w:val="none" w:sz="0" w:space="0" w:color="auto"/>
            <w:right w:val="none" w:sz="0" w:space="0" w:color="auto"/>
          </w:divBdr>
        </w:div>
        <w:div w:id="1385062434">
          <w:marLeft w:val="0"/>
          <w:marRight w:val="0"/>
          <w:marTop w:val="0"/>
          <w:marBottom w:val="0"/>
          <w:divBdr>
            <w:top w:val="none" w:sz="0" w:space="0" w:color="auto"/>
            <w:left w:val="none" w:sz="0" w:space="0" w:color="auto"/>
            <w:bottom w:val="none" w:sz="0" w:space="0" w:color="auto"/>
            <w:right w:val="none" w:sz="0" w:space="0" w:color="auto"/>
          </w:divBdr>
        </w:div>
        <w:div w:id="384909679">
          <w:marLeft w:val="0"/>
          <w:marRight w:val="0"/>
          <w:marTop w:val="0"/>
          <w:marBottom w:val="0"/>
          <w:divBdr>
            <w:top w:val="none" w:sz="0" w:space="0" w:color="auto"/>
            <w:left w:val="none" w:sz="0" w:space="0" w:color="auto"/>
            <w:bottom w:val="none" w:sz="0" w:space="0" w:color="auto"/>
            <w:right w:val="none" w:sz="0" w:space="0" w:color="auto"/>
          </w:divBdr>
        </w:div>
        <w:div w:id="1595824619">
          <w:marLeft w:val="0"/>
          <w:marRight w:val="0"/>
          <w:marTop w:val="0"/>
          <w:marBottom w:val="0"/>
          <w:divBdr>
            <w:top w:val="none" w:sz="0" w:space="0" w:color="auto"/>
            <w:left w:val="none" w:sz="0" w:space="0" w:color="auto"/>
            <w:bottom w:val="none" w:sz="0" w:space="0" w:color="auto"/>
            <w:right w:val="none" w:sz="0" w:space="0" w:color="auto"/>
          </w:divBdr>
        </w:div>
        <w:div w:id="668824328">
          <w:marLeft w:val="0"/>
          <w:marRight w:val="0"/>
          <w:marTop w:val="0"/>
          <w:marBottom w:val="0"/>
          <w:divBdr>
            <w:top w:val="none" w:sz="0" w:space="0" w:color="auto"/>
            <w:left w:val="none" w:sz="0" w:space="0" w:color="auto"/>
            <w:bottom w:val="none" w:sz="0" w:space="0" w:color="auto"/>
            <w:right w:val="none" w:sz="0" w:space="0" w:color="auto"/>
          </w:divBdr>
        </w:div>
        <w:div w:id="457264745">
          <w:marLeft w:val="0"/>
          <w:marRight w:val="0"/>
          <w:marTop w:val="0"/>
          <w:marBottom w:val="0"/>
          <w:divBdr>
            <w:top w:val="none" w:sz="0" w:space="0" w:color="auto"/>
            <w:left w:val="none" w:sz="0" w:space="0" w:color="auto"/>
            <w:bottom w:val="none" w:sz="0" w:space="0" w:color="auto"/>
            <w:right w:val="none" w:sz="0" w:space="0" w:color="auto"/>
          </w:divBdr>
        </w:div>
        <w:div w:id="1122113821">
          <w:marLeft w:val="0"/>
          <w:marRight w:val="0"/>
          <w:marTop w:val="0"/>
          <w:marBottom w:val="0"/>
          <w:divBdr>
            <w:top w:val="none" w:sz="0" w:space="0" w:color="auto"/>
            <w:left w:val="none" w:sz="0" w:space="0" w:color="auto"/>
            <w:bottom w:val="none" w:sz="0" w:space="0" w:color="auto"/>
            <w:right w:val="none" w:sz="0" w:space="0" w:color="auto"/>
          </w:divBdr>
        </w:div>
        <w:div w:id="1843550412">
          <w:marLeft w:val="0"/>
          <w:marRight w:val="0"/>
          <w:marTop w:val="0"/>
          <w:marBottom w:val="0"/>
          <w:divBdr>
            <w:top w:val="none" w:sz="0" w:space="0" w:color="auto"/>
            <w:left w:val="none" w:sz="0" w:space="0" w:color="auto"/>
            <w:bottom w:val="none" w:sz="0" w:space="0" w:color="auto"/>
            <w:right w:val="none" w:sz="0" w:space="0" w:color="auto"/>
          </w:divBdr>
        </w:div>
        <w:div w:id="760832549">
          <w:marLeft w:val="0"/>
          <w:marRight w:val="0"/>
          <w:marTop w:val="0"/>
          <w:marBottom w:val="0"/>
          <w:divBdr>
            <w:top w:val="none" w:sz="0" w:space="0" w:color="auto"/>
            <w:left w:val="none" w:sz="0" w:space="0" w:color="auto"/>
            <w:bottom w:val="none" w:sz="0" w:space="0" w:color="auto"/>
            <w:right w:val="none" w:sz="0" w:space="0" w:color="auto"/>
          </w:divBdr>
        </w:div>
        <w:div w:id="1312097407">
          <w:marLeft w:val="0"/>
          <w:marRight w:val="0"/>
          <w:marTop w:val="0"/>
          <w:marBottom w:val="0"/>
          <w:divBdr>
            <w:top w:val="none" w:sz="0" w:space="0" w:color="auto"/>
            <w:left w:val="none" w:sz="0" w:space="0" w:color="auto"/>
            <w:bottom w:val="none" w:sz="0" w:space="0" w:color="auto"/>
            <w:right w:val="none" w:sz="0" w:space="0" w:color="auto"/>
          </w:divBdr>
        </w:div>
        <w:div w:id="2121341810">
          <w:marLeft w:val="0"/>
          <w:marRight w:val="0"/>
          <w:marTop w:val="0"/>
          <w:marBottom w:val="0"/>
          <w:divBdr>
            <w:top w:val="none" w:sz="0" w:space="0" w:color="auto"/>
            <w:left w:val="none" w:sz="0" w:space="0" w:color="auto"/>
            <w:bottom w:val="none" w:sz="0" w:space="0" w:color="auto"/>
            <w:right w:val="none" w:sz="0" w:space="0" w:color="auto"/>
          </w:divBdr>
        </w:div>
        <w:div w:id="1754546573">
          <w:marLeft w:val="0"/>
          <w:marRight w:val="0"/>
          <w:marTop w:val="0"/>
          <w:marBottom w:val="0"/>
          <w:divBdr>
            <w:top w:val="none" w:sz="0" w:space="0" w:color="auto"/>
            <w:left w:val="none" w:sz="0" w:space="0" w:color="auto"/>
            <w:bottom w:val="none" w:sz="0" w:space="0" w:color="auto"/>
            <w:right w:val="none" w:sz="0" w:space="0" w:color="auto"/>
          </w:divBdr>
        </w:div>
        <w:div w:id="1193227031">
          <w:marLeft w:val="0"/>
          <w:marRight w:val="0"/>
          <w:marTop w:val="0"/>
          <w:marBottom w:val="0"/>
          <w:divBdr>
            <w:top w:val="none" w:sz="0" w:space="0" w:color="auto"/>
            <w:left w:val="none" w:sz="0" w:space="0" w:color="auto"/>
            <w:bottom w:val="none" w:sz="0" w:space="0" w:color="auto"/>
            <w:right w:val="none" w:sz="0" w:space="0" w:color="auto"/>
          </w:divBdr>
        </w:div>
        <w:div w:id="196554629">
          <w:marLeft w:val="0"/>
          <w:marRight w:val="0"/>
          <w:marTop w:val="0"/>
          <w:marBottom w:val="0"/>
          <w:divBdr>
            <w:top w:val="none" w:sz="0" w:space="0" w:color="auto"/>
            <w:left w:val="none" w:sz="0" w:space="0" w:color="auto"/>
            <w:bottom w:val="none" w:sz="0" w:space="0" w:color="auto"/>
            <w:right w:val="none" w:sz="0" w:space="0" w:color="auto"/>
          </w:divBdr>
        </w:div>
        <w:div w:id="545609398">
          <w:marLeft w:val="0"/>
          <w:marRight w:val="0"/>
          <w:marTop w:val="0"/>
          <w:marBottom w:val="0"/>
          <w:divBdr>
            <w:top w:val="none" w:sz="0" w:space="0" w:color="auto"/>
            <w:left w:val="none" w:sz="0" w:space="0" w:color="auto"/>
            <w:bottom w:val="none" w:sz="0" w:space="0" w:color="auto"/>
            <w:right w:val="none" w:sz="0" w:space="0" w:color="auto"/>
          </w:divBdr>
        </w:div>
        <w:div w:id="902445333">
          <w:marLeft w:val="0"/>
          <w:marRight w:val="0"/>
          <w:marTop w:val="0"/>
          <w:marBottom w:val="0"/>
          <w:divBdr>
            <w:top w:val="none" w:sz="0" w:space="0" w:color="auto"/>
            <w:left w:val="none" w:sz="0" w:space="0" w:color="auto"/>
            <w:bottom w:val="none" w:sz="0" w:space="0" w:color="auto"/>
            <w:right w:val="none" w:sz="0" w:space="0" w:color="auto"/>
          </w:divBdr>
        </w:div>
        <w:div w:id="1852059526">
          <w:marLeft w:val="0"/>
          <w:marRight w:val="0"/>
          <w:marTop w:val="0"/>
          <w:marBottom w:val="0"/>
          <w:divBdr>
            <w:top w:val="none" w:sz="0" w:space="0" w:color="auto"/>
            <w:left w:val="none" w:sz="0" w:space="0" w:color="auto"/>
            <w:bottom w:val="none" w:sz="0" w:space="0" w:color="auto"/>
            <w:right w:val="none" w:sz="0" w:space="0" w:color="auto"/>
          </w:divBdr>
        </w:div>
        <w:div w:id="1141314893">
          <w:marLeft w:val="0"/>
          <w:marRight w:val="0"/>
          <w:marTop w:val="0"/>
          <w:marBottom w:val="0"/>
          <w:divBdr>
            <w:top w:val="none" w:sz="0" w:space="0" w:color="auto"/>
            <w:left w:val="none" w:sz="0" w:space="0" w:color="auto"/>
            <w:bottom w:val="none" w:sz="0" w:space="0" w:color="auto"/>
            <w:right w:val="none" w:sz="0" w:space="0" w:color="auto"/>
          </w:divBdr>
        </w:div>
        <w:div w:id="1165824749">
          <w:marLeft w:val="0"/>
          <w:marRight w:val="0"/>
          <w:marTop w:val="0"/>
          <w:marBottom w:val="0"/>
          <w:divBdr>
            <w:top w:val="none" w:sz="0" w:space="0" w:color="auto"/>
            <w:left w:val="none" w:sz="0" w:space="0" w:color="auto"/>
            <w:bottom w:val="none" w:sz="0" w:space="0" w:color="auto"/>
            <w:right w:val="none" w:sz="0" w:space="0" w:color="auto"/>
          </w:divBdr>
        </w:div>
        <w:div w:id="605817360">
          <w:marLeft w:val="0"/>
          <w:marRight w:val="0"/>
          <w:marTop w:val="0"/>
          <w:marBottom w:val="0"/>
          <w:divBdr>
            <w:top w:val="none" w:sz="0" w:space="0" w:color="auto"/>
            <w:left w:val="none" w:sz="0" w:space="0" w:color="auto"/>
            <w:bottom w:val="none" w:sz="0" w:space="0" w:color="auto"/>
            <w:right w:val="none" w:sz="0" w:space="0" w:color="auto"/>
          </w:divBdr>
        </w:div>
      </w:divsChild>
    </w:div>
    <w:div w:id="471095068">
      <w:bodyDiv w:val="1"/>
      <w:marLeft w:val="0"/>
      <w:marRight w:val="0"/>
      <w:marTop w:val="0"/>
      <w:marBottom w:val="0"/>
      <w:divBdr>
        <w:top w:val="none" w:sz="0" w:space="0" w:color="auto"/>
        <w:left w:val="none" w:sz="0" w:space="0" w:color="auto"/>
        <w:bottom w:val="none" w:sz="0" w:space="0" w:color="auto"/>
        <w:right w:val="none" w:sz="0" w:space="0" w:color="auto"/>
      </w:divBdr>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1756">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95422971">
      <w:bodyDiv w:val="1"/>
      <w:marLeft w:val="0"/>
      <w:marRight w:val="0"/>
      <w:marTop w:val="0"/>
      <w:marBottom w:val="0"/>
      <w:divBdr>
        <w:top w:val="none" w:sz="0" w:space="0" w:color="auto"/>
        <w:left w:val="none" w:sz="0" w:space="0" w:color="auto"/>
        <w:bottom w:val="none" w:sz="0" w:space="0" w:color="auto"/>
        <w:right w:val="none" w:sz="0" w:space="0" w:color="auto"/>
      </w:divBdr>
    </w:div>
    <w:div w:id="702173690">
      <w:bodyDiv w:val="1"/>
      <w:marLeft w:val="0"/>
      <w:marRight w:val="0"/>
      <w:marTop w:val="0"/>
      <w:marBottom w:val="0"/>
      <w:divBdr>
        <w:top w:val="none" w:sz="0" w:space="0" w:color="auto"/>
        <w:left w:val="none" w:sz="0" w:space="0" w:color="auto"/>
        <w:bottom w:val="none" w:sz="0" w:space="0" w:color="auto"/>
        <w:right w:val="none" w:sz="0" w:space="0" w:color="auto"/>
      </w:divBdr>
    </w:div>
    <w:div w:id="751511807">
      <w:bodyDiv w:val="1"/>
      <w:marLeft w:val="0"/>
      <w:marRight w:val="0"/>
      <w:marTop w:val="0"/>
      <w:marBottom w:val="0"/>
      <w:divBdr>
        <w:top w:val="none" w:sz="0" w:space="0" w:color="auto"/>
        <w:left w:val="none" w:sz="0" w:space="0" w:color="auto"/>
        <w:bottom w:val="none" w:sz="0" w:space="0" w:color="auto"/>
        <w:right w:val="none" w:sz="0" w:space="0" w:color="auto"/>
      </w:divBdr>
      <w:divsChild>
        <w:div w:id="1183276958">
          <w:marLeft w:val="0"/>
          <w:marRight w:val="0"/>
          <w:marTop w:val="0"/>
          <w:marBottom w:val="0"/>
          <w:divBdr>
            <w:top w:val="none" w:sz="0" w:space="0" w:color="auto"/>
            <w:left w:val="none" w:sz="0" w:space="0" w:color="auto"/>
            <w:bottom w:val="none" w:sz="0" w:space="0" w:color="auto"/>
            <w:right w:val="none" w:sz="0" w:space="0" w:color="auto"/>
          </w:divBdr>
        </w:div>
        <w:div w:id="1218080533">
          <w:marLeft w:val="0"/>
          <w:marRight w:val="0"/>
          <w:marTop w:val="0"/>
          <w:marBottom w:val="0"/>
          <w:divBdr>
            <w:top w:val="none" w:sz="0" w:space="0" w:color="auto"/>
            <w:left w:val="none" w:sz="0" w:space="0" w:color="auto"/>
            <w:bottom w:val="none" w:sz="0" w:space="0" w:color="auto"/>
            <w:right w:val="none" w:sz="0" w:space="0" w:color="auto"/>
          </w:divBdr>
        </w:div>
      </w:divsChild>
    </w:div>
    <w:div w:id="895311035">
      <w:bodyDiv w:val="1"/>
      <w:marLeft w:val="0"/>
      <w:marRight w:val="0"/>
      <w:marTop w:val="0"/>
      <w:marBottom w:val="0"/>
      <w:divBdr>
        <w:top w:val="none" w:sz="0" w:space="0" w:color="auto"/>
        <w:left w:val="none" w:sz="0" w:space="0" w:color="auto"/>
        <w:bottom w:val="none" w:sz="0" w:space="0" w:color="auto"/>
        <w:right w:val="none" w:sz="0" w:space="0" w:color="auto"/>
      </w:divBdr>
      <w:divsChild>
        <w:div w:id="756025933">
          <w:marLeft w:val="0"/>
          <w:marRight w:val="0"/>
          <w:marTop w:val="0"/>
          <w:marBottom w:val="0"/>
          <w:divBdr>
            <w:top w:val="none" w:sz="0" w:space="0" w:color="auto"/>
            <w:left w:val="none" w:sz="0" w:space="0" w:color="auto"/>
            <w:bottom w:val="none" w:sz="0" w:space="0" w:color="auto"/>
            <w:right w:val="none" w:sz="0" w:space="0" w:color="auto"/>
          </w:divBdr>
        </w:div>
      </w:divsChild>
    </w:div>
    <w:div w:id="941108709">
      <w:bodyDiv w:val="1"/>
      <w:marLeft w:val="0"/>
      <w:marRight w:val="0"/>
      <w:marTop w:val="0"/>
      <w:marBottom w:val="0"/>
      <w:divBdr>
        <w:top w:val="none" w:sz="0" w:space="0" w:color="auto"/>
        <w:left w:val="none" w:sz="0" w:space="0" w:color="auto"/>
        <w:bottom w:val="none" w:sz="0" w:space="0" w:color="auto"/>
        <w:right w:val="none" w:sz="0" w:space="0" w:color="auto"/>
      </w:divBdr>
    </w:div>
    <w:div w:id="941108716">
      <w:bodyDiv w:val="1"/>
      <w:marLeft w:val="0"/>
      <w:marRight w:val="0"/>
      <w:marTop w:val="0"/>
      <w:marBottom w:val="0"/>
      <w:divBdr>
        <w:top w:val="none" w:sz="0" w:space="0" w:color="auto"/>
        <w:left w:val="none" w:sz="0" w:space="0" w:color="auto"/>
        <w:bottom w:val="none" w:sz="0" w:space="0" w:color="auto"/>
        <w:right w:val="none" w:sz="0" w:space="0" w:color="auto"/>
      </w:divBdr>
      <w:divsChild>
        <w:div w:id="1458063092">
          <w:marLeft w:val="0"/>
          <w:marRight w:val="0"/>
          <w:marTop w:val="0"/>
          <w:marBottom w:val="0"/>
          <w:divBdr>
            <w:top w:val="none" w:sz="0" w:space="0" w:color="auto"/>
            <w:left w:val="none" w:sz="0" w:space="0" w:color="auto"/>
            <w:bottom w:val="none" w:sz="0" w:space="0" w:color="auto"/>
            <w:right w:val="none" w:sz="0" w:space="0" w:color="auto"/>
          </w:divBdr>
        </w:div>
        <w:div w:id="247154023">
          <w:marLeft w:val="0"/>
          <w:marRight w:val="0"/>
          <w:marTop w:val="0"/>
          <w:marBottom w:val="0"/>
          <w:divBdr>
            <w:top w:val="none" w:sz="0" w:space="0" w:color="auto"/>
            <w:left w:val="none" w:sz="0" w:space="0" w:color="auto"/>
            <w:bottom w:val="none" w:sz="0" w:space="0" w:color="auto"/>
            <w:right w:val="none" w:sz="0" w:space="0" w:color="auto"/>
          </w:divBdr>
        </w:div>
        <w:div w:id="771048271">
          <w:marLeft w:val="0"/>
          <w:marRight w:val="0"/>
          <w:marTop w:val="0"/>
          <w:marBottom w:val="0"/>
          <w:divBdr>
            <w:top w:val="none" w:sz="0" w:space="0" w:color="auto"/>
            <w:left w:val="none" w:sz="0" w:space="0" w:color="auto"/>
            <w:bottom w:val="none" w:sz="0" w:space="0" w:color="auto"/>
            <w:right w:val="none" w:sz="0" w:space="0" w:color="auto"/>
          </w:divBdr>
        </w:div>
        <w:div w:id="1549222303">
          <w:marLeft w:val="0"/>
          <w:marRight w:val="0"/>
          <w:marTop w:val="0"/>
          <w:marBottom w:val="0"/>
          <w:divBdr>
            <w:top w:val="none" w:sz="0" w:space="0" w:color="auto"/>
            <w:left w:val="none" w:sz="0" w:space="0" w:color="auto"/>
            <w:bottom w:val="none" w:sz="0" w:space="0" w:color="auto"/>
            <w:right w:val="none" w:sz="0" w:space="0" w:color="auto"/>
          </w:divBdr>
        </w:div>
        <w:div w:id="467433131">
          <w:marLeft w:val="0"/>
          <w:marRight w:val="0"/>
          <w:marTop w:val="0"/>
          <w:marBottom w:val="0"/>
          <w:divBdr>
            <w:top w:val="none" w:sz="0" w:space="0" w:color="auto"/>
            <w:left w:val="none" w:sz="0" w:space="0" w:color="auto"/>
            <w:bottom w:val="none" w:sz="0" w:space="0" w:color="auto"/>
            <w:right w:val="none" w:sz="0" w:space="0" w:color="auto"/>
          </w:divBdr>
        </w:div>
        <w:div w:id="1013000224">
          <w:marLeft w:val="0"/>
          <w:marRight w:val="0"/>
          <w:marTop w:val="0"/>
          <w:marBottom w:val="0"/>
          <w:divBdr>
            <w:top w:val="none" w:sz="0" w:space="0" w:color="auto"/>
            <w:left w:val="none" w:sz="0" w:space="0" w:color="auto"/>
            <w:bottom w:val="none" w:sz="0" w:space="0" w:color="auto"/>
            <w:right w:val="none" w:sz="0" w:space="0" w:color="auto"/>
          </w:divBdr>
        </w:div>
        <w:div w:id="1908226050">
          <w:marLeft w:val="0"/>
          <w:marRight w:val="0"/>
          <w:marTop w:val="0"/>
          <w:marBottom w:val="0"/>
          <w:divBdr>
            <w:top w:val="none" w:sz="0" w:space="0" w:color="auto"/>
            <w:left w:val="none" w:sz="0" w:space="0" w:color="auto"/>
            <w:bottom w:val="none" w:sz="0" w:space="0" w:color="auto"/>
            <w:right w:val="none" w:sz="0" w:space="0" w:color="auto"/>
          </w:divBdr>
        </w:div>
      </w:divsChild>
    </w:div>
    <w:div w:id="944505825">
      <w:bodyDiv w:val="1"/>
      <w:marLeft w:val="0"/>
      <w:marRight w:val="0"/>
      <w:marTop w:val="0"/>
      <w:marBottom w:val="0"/>
      <w:divBdr>
        <w:top w:val="none" w:sz="0" w:space="0" w:color="auto"/>
        <w:left w:val="none" w:sz="0" w:space="0" w:color="auto"/>
        <w:bottom w:val="none" w:sz="0" w:space="0" w:color="auto"/>
        <w:right w:val="none" w:sz="0" w:space="0" w:color="auto"/>
      </w:divBdr>
    </w:div>
    <w:div w:id="1023827411">
      <w:bodyDiv w:val="1"/>
      <w:marLeft w:val="0"/>
      <w:marRight w:val="0"/>
      <w:marTop w:val="0"/>
      <w:marBottom w:val="0"/>
      <w:divBdr>
        <w:top w:val="none" w:sz="0" w:space="0" w:color="auto"/>
        <w:left w:val="none" w:sz="0" w:space="0" w:color="auto"/>
        <w:bottom w:val="none" w:sz="0" w:space="0" w:color="auto"/>
        <w:right w:val="none" w:sz="0" w:space="0" w:color="auto"/>
      </w:divBdr>
    </w:div>
    <w:div w:id="1035038148">
      <w:bodyDiv w:val="1"/>
      <w:marLeft w:val="0"/>
      <w:marRight w:val="0"/>
      <w:marTop w:val="0"/>
      <w:marBottom w:val="0"/>
      <w:divBdr>
        <w:top w:val="none" w:sz="0" w:space="0" w:color="auto"/>
        <w:left w:val="none" w:sz="0" w:space="0" w:color="auto"/>
        <w:bottom w:val="none" w:sz="0" w:space="0" w:color="auto"/>
        <w:right w:val="none" w:sz="0" w:space="0" w:color="auto"/>
      </w:divBdr>
    </w:div>
    <w:div w:id="1046876728">
      <w:bodyDiv w:val="1"/>
      <w:marLeft w:val="0"/>
      <w:marRight w:val="0"/>
      <w:marTop w:val="0"/>
      <w:marBottom w:val="0"/>
      <w:divBdr>
        <w:top w:val="none" w:sz="0" w:space="0" w:color="auto"/>
        <w:left w:val="none" w:sz="0" w:space="0" w:color="auto"/>
        <w:bottom w:val="none" w:sz="0" w:space="0" w:color="auto"/>
        <w:right w:val="none" w:sz="0" w:space="0" w:color="auto"/>
      </w:divBdr>
    </w:div>
    <w:div w:id="1060712926">
      <w:bodyDiv w:val="1"/>
      <w:marLeft w:val="0"/>
      <w:marRight w:val="0"/>
      <w:marTop w:val="0"/>
      <w:marBottom w:val="0"/>
      <w:divBdr>
        <w:top w:val="none" w:sz="0" w:space="0" w:color="auto"/>
        <w:left w:val="none" w:sz="0" w:space="0" w:color="auto"/>
        <w:bottom w:val="none" w:sz="0" w:space="0" w:color="auto"/>
        <w:right w:val="none" w:sz="0" w:space="0" w:color="auto"/>
      </w:divBdr>
      <w:divsChild>
        <w:div w:id="1927767670">
          <w:marLeft w:val="0"/>
          <w:marRight w:val="0"/>
          <w:marTop w:val="0"/>
          <w:marBottom w:val="0"/>
          <w:divBdr>
            <w:top w:val="none" w:sz="0" w:space="0" w:color="auto"/>
            <w:left w:val="none" w:sz="0" w:space="0" w:color="auto"/>
            <w:bottom w:val="none" w:sz="0" w:space="0" w:color="auto"/>
            <w:right w:val="none" w:sz="0" w:space="0" w:color="auto"/>
          </w:divBdr>
        </w:div>
        <w:div w:id="1434595286">
          <w:marLeft w:val="0"/>
          <w:marRight w:val="0"/>
          <w:marTop w:val="0"/>
          <w:marBottom w:val="0"/>
          <w:divBdr>
            <w:top w:val="none" w:sz="0" w:space="0" w:color="auto"/>
            <w:left w:val="none" w:sz="0" w:space="0" w:color="auto"/>
            <w:bottom w:val="none" w:sz="0" w:space="0" w:color="auto"/>
            <w:right w:val="none" w:sz="0" w:space="0" w:color="auto"/>
          </w:divBdr>
        </w:div>
        <w:div w:id="1075005601">
          <w:marLeft w:val="0"/>
          <w:marRight w:val="0"/>
          <w:marTop w:val="0"/>
          <w:marBottom w:val="0"/>
          <w:divBdr>
            <w:top w:val="none" w:sz="0" w:space="0" w:color="auto"/>
            <w:left w:val="none" w:sz="0" w:space="0" w:color="auto"/>
            <w:bottom w:val="none" w:sz="0" w:space="0" w:color="auto"/>
            <w:right w:val="none" w:sz="0" w:space="0" w:color="auto"/>
          </w:divBdr>
        </w:div>
        <w:div w:id="1773546797">
          <w:marLeft w:val="0"/>
          <w:marRight w:val="0"/>
          <w:marTop w:val="0"/>
          <w:marBottom w:val="0"/>
          <w:divBdr>
            <w:top w:val="none" w:sz="0" w:space="0" w:color="auto"/>
            <w:left w:val="none" w:sz="0" w:space="0" w:color="auto"/>
            <w:bottom w:val="none" w:sz="0" w:space="0" w:color="auto"/>
            <w:right w:val="none" w:sz="0" w:space="0" w:color="auto"/>
          </w:divBdr>
        </w:div>
        <w:div w:id="1029070633">
          <w:marLeft w:val="0"/>
          <w:marRight w:val="0"/>
          <w:marTop w:val="0"/>
          <w:marBottom w:val="0"/>
          <w:divBdr>
            <w:top w:val="none" w:sz="0" w:space="0" w:color="auto"/>
            <w:left w:val="none" w:sz="0" w:space="0" w:color="auto"/>
            <w:bottom w:val="none" w:sz="0" w:space="0" w:color="auto"/>
            <w:right w:val="none" w:sz="0" w:space="0" w:color="auto"/>
          </w:divBdr>
        </w:div>
        <w:div w:id="1485049373">
          <w:marLeft w:val="0"/>
          <w:marRight w:val="0"/>
          <w:marTop w:val="0"/>
          <w:marBottom w:val="0"/>
          <w:divBdr>
            <w:top w:val="none" w:sz="0" w:space="0" w:color="auto"/>
            <w:left w:val="none" w:sz="0" w:space="0" w:color="auto"/>
            <w:bottom w:val="none" w:sz="0" w:space="0" w:color="auto"/>
            <w:right w:val="none" w:sz="0" w:space="0" w:color="auto"/>
          </w:divBdr>
        </w:div>
        <w:div w:id="1901091607">
          <w:marLeft w:val="0"/>
          <w:marRight w:val="0"/>
          <w:marTop w:val="0"/>
          <w:marBottom w:val="0"/>
          <w:divBdr>
            <w:top w:val="none" w:sz="0" w:space="0" w:color="auto"/>
            <w:left w:val="none" w:sz="0" w:space="0" w:color="auto"/>
            <w:bottom w:val="none" w:sz="0" w:space="0" w:color="auto"/>
            <w:right w:val="none" w:sz="0" w:space="0" w:color="auto"/>
          </w:divBdr>
        </w:div>
        <w:div w:id="649867510">
          <w:marLeft w:val="0"/>
          <w:marRight w:val="0"/>
          <w:marTop w:val="0"/>
          <w:marBottom w:val="0"/>
          <w:divBdr>
            <w:top w:val="none" w:sz="0" w:space="0" w:color="auto"/>
            <w:left w:val="none" w:sz="0" w:space="0" w:color="auto"/>
            <w:bottom w:val="none" w:sz="0" w:space="0" w:color="auto"/>
            <w:right w:val="none" w:sz="0" w:space="0" w:color="auto"/>
          </w:divBdr>
        </w:div>
        <w:div w:id="1969891445">
          <w:marLeft w:val="0"/>
          <w:marRight w:val="0"/>
          <w:marTop w:val="0"/>
          <w:marBottom w:val="0"/>
          <w:divBdr>
            <w:top w:val="none" w:sz="0" w:space="0" w:color="auto"/>
            <w:left w:val="none" w:sz="0" w:space="0" w:color="auto"/>
            <w:bottom w:val="none" w:sz="0" w:space="0" w:color="auto"/>
            <w:right w:val="none" w:sz="0" w:space="0" w:color="auto"/>
          </w:divBdr>
        </w:div>
        <w:div w:id="467750545">
          <w:marLeft w:val="0"/>
          <w:marRight w:val="0"/>
          <w:marTop w:val="0"/>
          <w:marBottom w:val="0"/>
          <w:divBdr>
            <w:top w:val="none" w:sz="0" w:space="0" w:color="auto"/>
            <w:left w:val="none" w:sz="0" w:space="0" w:color="auto"/>
            <w:bottom w:val="none" w:sz="0" w:space="0" w:color="auto"/>
            <w:right w:val="none" w:sz="0" w:space="0" w:color="auto"/>
          </w:divBdr>
        </w:div>
        <w:div w:id="744842454">
          <w:marLeft w:val="0"/>
          <w:marRight w:val="0"/>
          <w:marTop w:val="0"/>
          <w:marBottom w:val="0"/>
          <w:divBdr>
            <w:top w:val="none" w:sz="0" w:space="0" w:color="auto"/>
            <w:left w:val="none" w:sz="0" w:space="0" w:color="auto"/>
            <w:bottom w:val="none" w:sz="0" w:space="0" w:color="auto"/>
            <w:right w:val="none" w:sz="0" w:space="0" w:color="auto"/>
          </w:divBdr>
        </w:div>
        <w:div w:id="192766459">
          <w:marLeft w:val="0"/>
          <w:marRight w:val="0"/>
          <w:marTop w:val="0"/>
          <w:marBottom w:val="0"/>
          <w:divBdr>
            <w:top w:val="none" w:sz="0" w:space="0" w:color="auto"/>
            <w:left w:val="none" w:sz="0" w:space="0" w:color="auto"/>
            <w:bottom w:val="none" w:sz="0" w:space="0" w:color="auto"/>
            <w:right w:val="none" w:sz="0" w:space="0" w:color="auto"/>
          </w:divBdr>
        </w:div>
        <w:div w:id="1821652775">
          <w:marLeft w:val="0"/>
          <w:marRight w:val="0"/>
          <w:marTop w:val="0"/>
          <w:marBottom w:val="0"/>
          <w:divBdr>
            <w:top w:val="none" w:sz="0" w:space="0" w:color="auto"/>
            <w:left w:val="none" w:sz="0" w:space="0" w:color="auto"/>
            <w:bottom w:val="none" w:sz="0" w:space="0" w:color="auto"/>
            <w:right w:val="none" w:sz="0" w:space="0" w:color="auto"/>
          </w:divBdr>
        </w:div>
        <w:div w:id="2108963689">
          <w:marLeft w:val="0"/>
          <w:marRight w:val="0"/>
          <w:marTop w:val="0"/>
          <w:marBottom w:val="0"/>
          <w:divBdr>
            <w:top w:val="none" w:sz="0" w:space="0" w:color="auto"/>
            <w:left w:val="none" w:sz="0" w:space="0" w:color="auto"/>
            <w:bottom w:val="none" w:sz="0" w:space="0" w:color="auto"/>
            <w:right w:val="none" w:sz="0" w:space="0" w:color="auto"/>
          </w:divBdr>
        </w:div>
        <w:div w:id="1164395793">
          <w:marLeft w:val="0"/>
          <w:marRight w:val="0"/>
          <w:marTop w:val="0"/>
          <w:marBottom w:val="0"/>
          <w:divBdr>
            <w:top w:val="none" w:sz="0" w:space="0" w:color="auto"/>
            <w:left w:val="none" w:sz="0" w:space="0" w:color="auto"/>
            <w:bottom w:val="none" w:sz="0" w:space="0" w:color="auto"/>
            <w:right w:val="none" w:sz="0" w:space="0" w:color="auto"/>
          </w:divBdr>
        </w:div>
        <w:div w:id="697707354">
          <w:marLeft w:val="0"/>
          <w:marRight w:val="0"/>
          <w:marTop w:val="0"/>
          <w:marBottom w:val="0"/>
          <w:divBdr>
            <w:top w:val="none" w:sz="0" w:space="0" w:color="auto"/>
            <w:left w:val="none" w:sz="0" w:space="0" w:color="auto"/>
            <w:bottom w:val="none" w:sz="0" w:space="0" w:color="auto"/>
            <w:right w:val="none" w:sz="0" w:space="0" w:color="auto"/>
          </w:divBdr>
        </w:div>
        <w:div w:id="723719057">
          <w:marLeft w:val="0"/>
          <w:marRight w:val="0"/>
          <w:marTop w:val="0"/>
          <w:marBottom w:val="0"/>
          <w:divBdr>
            <w:top w:val="none" w:sz="0" w:space="0" w:color="auto"/>
            <w:left w:val="none" w:sz="0" w:space="0" w:color="auto"/>
            <w:bottom w:val="none" w:sz="0" w:space="0" w:color="auto"/>
            <w:right w:val="none" w:sz="0" w:space="0" w:color="auto"/>
          </w:divBdr>
        </w:div>
      </w:divsChild>
    </w:div>
    <w:div w:id="1074818955">
      <w:bodyDiv w:val="1"/>
      <w:marLeft w:val="0"/>
      <w:marRight w:val="0"/>
      <w:marTop w:val="0"/>
      <w:marBottom w:val="0"/>
      <w:divBdr>
        <w:top w:val="none" w:sz="0" w:space="0" w:color="auto"/>
        <w:left w:val="none" w:sz="0" w:space="0" w:color="auto"/>
        <w:bottom w:val="none" w:sz="0" w:space="0" w:color="auto"/>
        <w:right w:val="none" w:sz="0" w:space="0" w:color="auto"/>
      </w:divBdr>
    </w:div>
    <w:div w:id="1116368652">
      <w:bodyDiv w:val="1"/>
      <w:marLeft w:val="0"/>
      <w:marRight w:val="0"/>
      <w:marTop w:val="0"/>
      <w:marBottom w:val="0"/>
      <w:divBdr>
        <w:top w:val="none" w:sz="0" w:space="0" w:color="auto"/>
        <w:left w:val="none" w:sz="0" w:space="0" w:color="auto"/>
        <w:bottom w:val="none" w:sz="0" w:space="0" w:color="auto"/>
        <w:right w:val="none" w:sz="0" w:space="0" w:color="auto"/>
      </w:divBdr>
    </w:div>
    <w:div w:id="1217427761">
      <w:bodyDiv w:val="1"/>
      <w:marLeft w:val="0"/>
      <w:marRight w:val="0"/>
      <w:marTop w:val="0"/>
      <w:marBottom w:val="0"/>
      <w:divBdr>
        <w:top w:val="none" w:sz="0" w:space="0" w:color="auto"/>
        <w:left w:val="none" w:sz="0" w:space="0" w:color="auto"/>
        <w:bottom w:val="none" w:sz="0" w:space="0" w:color="auto"/>
        <w:right w:val="none" w:sz="0" w:space="0" w:color="auto"/>
      </w:divBdr>
    </w:div>
    <w:div w:id="1247613279">
      <w:bodyDiv w:val="1"/>
      <w:marLeft w:val="0"/>
      <w:marRight w:val="0"/>
      <w:marTop w:val="0"/>
      <w:marBottom w:val="0"/>
      <w:divBdr>
        <w:top w:val="none" w:sz="0" w:space="0" w:color="auto"/>
        <w:left w:val="none" w:sz="0" w:space="0" w:color="auto"/>
        <w:bottom w:val="none" w:sz="0" w:space="0" w:color="auto"/>
        <w:right w:val="none" w:sz="0" w:space="0" w:color="auto"/>
      </w:divBdr>
    </w:div>
    <w:div w:id="1261791168">
      <w:bodyDiv w:val="1"/>
      <w:marLeft w:val="0"/>
      <w:marRight w:val="0"/>
      <w:marTop w:val="0"/>
      <w:marBottom w:val="0"/>
      <w:divBdr>
        <w:top w:val="none" w:sz="0" w:space="0" w:color="auto"/>
        <w:left w:val="none" w:sz="0" w:space="0" w:color="auto"/>
        <w:bottom w:val="none" w:sz="0" w:space="0" w:color="auto"/>
        <w:right w:val="none" w:sz="0" w:space="0" w:color="auto"/>
      </w:divBdr>
    </w:div>
    <w:div w:id="1299215555">
      <w:bodyDiv w:val="1"/>
      <w:marLeft w:val="0"/>
      <w:marRight w:val="0"/>
      <w:marTop w:val="0"/>
      <w:marBottom w:val="0"/>
      <w:divBdr>
        <w:top w:val="none" w:sz="0" w:space="0" w:color="auto"/>
        <w:left w:val="none" w:sz="0" w:space="0" w:color="auto"/>
        <w:bottom w:val="none" w:sz="0" w:space="0" w:color="auto"/>
        <w:right w:val="none" w:sz="0" w:space="0" w:color="auto"/>
      </w:divBdr>
    </w:div>
    <w:div w:id="1307513096">
      <w:bodyDiv w:val="1"/>
      <w:marLeft w:val="0"/>
      <w:marRight w:val="0"/>
      <w:marTop w:val="0"/>
      <w:marBottom w:val="0"/>
      <w:divBdr>
        <w:top w:val="none" w:sz="0" w:space="0" w:color="auto"/>
        <w:left w:val="none" w:sz="0" w:space="0" w:color="auto"/>
        <w:bottom w:val="none" w:sz="0" w:space="0" w:color="auto"/>
        <w:right w:val="none" w:sz="0" w:space="0" w:color="auto"/>
      </w:divBdr>
    </w:div>
    <w:div w:id="1314408341">
      <w:bodyDiv w:val="1"/>
      <w:marLeft w:val="0"/>
      <w:marRight w:val="0"/>
      <w:marTop w:val="0"/>
      <w:marBottom w:val="0"/>
      <w:divBdr>
        <w:top w:val="none" w:sz="0" w:space="0" w:color="auto"/>
        <w:left w:val="none" w:sz="0" w:space="0" w:color="auto"/>
        <w:bottom w:val="none" w:sz="0" w:space="0" w:color="auto"/>
        <w:right w:val="none" w:sz="0" w:space="0" w:color="auto"/>
      </w:divBdr>
    </w:div>
    <w:div w:id="1355575694">
      <w:bodyDiv w:val="1"/>
      <w:marLeft w:val="0"/>
      <w:marRight w:val="0"/>
      <w:marTop w:val="0"/>
      <w:marBottom w:val="0"/>
      <w:divBdr>
        <w:top w:val="none" w:sz="0" w:space="0" w:color="auto"/>
        <w:left w:val="none" w:sz="0" w:space="0" w:color="auto"/>
        <w:bottom w:val="none" w:sz="0" w:space="0" w:color="auto"/>
        <w:right w:val="none" w:sz="0" w:space="0" w:color="auto"/>
      </w:divBdr>
    </w:div>
    <w:div w:id="1389918266">
      <w:bodyDiv w:val="1"/>
      <w:marLeft w:val="0"/>
      <w:marRight w:val="0"/>
      <w:marTop w:val="0"/>
      <w:marBottom w:val="0"/>
      <w:divBdr>
        <w:top w:val="none" w:sz="0" w:space="0" w:color="auto"/>
        <w:left w:val="none" w:sz="0" w:space="0" w:color="auto"/>
        <w:bottom w:val="none" w:sz="0" w:space="0" w:color="auto"/>
        <w:right w:val="none" w:sz="0" w:space="0" w:color="auto"/>
      </w:divBdr>
    </w:div>
    <w:div w:id="1411808649">
      <w:bodyDiv w:val="1"/>
      <w:marLeft w:val="0"/>
      <w:marRight w:val="0"/>
      <w:marTop w:val="0"/>
      <w:marBottom w:val="0"/>
      <w:divBdr>
        <w:top w:val="none" w:sz="0" w:space="0" w:color="auto"/>
        <w:left w:val="none" w:sz="0" w:space="0" w:color="auto"/>
        <w:bottom w:val="none" w:sz="0" w:space="0" w:color="auto"/>
        <w:right w:val="none" w:sz="0" w:space="0" w:color="auto"/>
      </w:divBdr>
    </w:div>
    <w:div w:id="1424956459">
      <w:bodyDiv w:val="1"/>
      <w:marLeft w:val="0"/>
      <w:marRight w:val="0"/>
      <w:marTop w:val="0"/>
      <w:marBottom w:val="0"/>
      <w:divBdr>
        <w:top w:val="none" w:sz="0" w:space="0" w:color="auto"/>
        <w:left w:val="none" w:sz="0" w:space="0" w:color="auto"/>
        <w:bottom w:val="none" w:sz="0" w:space="0" w:color="auto"/>
        <w:right w:val="none" w:sz="0" w:space="0" w:color="auto"/>
      </w:divBdr>
    </w:div>
    <w:div w:id="1453793024">
      <w:bodyDiv w:val="1"/>
      <w:marLeft w:val="0"/>
      <w:marRight w:val="0"/>
      <w:marTop w:val="0"/>
      <w:marBottom w:val="0"/>
      <w:divBdr>
        <w:top w:val="none" w:sz="0" w:space="0" w:color="auto"/>
        <w:left w:val="none" w:sz="0" w:space="0" w:color="auto"/>
        <w:bottom w:val="none" w:sz="0" w:space="0" w:color="auto"/>
        <w:right w:val="none" w:sz="0" w:space="0" w:color="auto"/>
      </w:divBdr>
    </w:div>
    <w:div w:id="1466268117">
      <w:bodyDiv w:val="1"/>
      <w:marLeft w:val="0"/>
      <w:marRight w:val="0"/>
      <w:marTop w:val="0"/>
      <w:marBottom w:val="0"/>
      <w:divBdr>
        <w:top w:val="none" w:sz="0" w:space="0" w:color="auto"/>
        <w:left w:val="none" w:sz="0" w:space="0" w:color="auto"/>
        <w:bottom w:val="none" w:sz="0" w:space="0" w:color="auto"/>
        <w:right w:val="none" w:sz="0" w:space="0" w:color="auto"/>
      </w:divBdr>
    </w:div>
    <w:div w:id="1604846446">
      <w:bodyDiv w:val="1"/>
      <w:marLeft w:val="0"/>
      <w:marRight w:val="0"/>
      <w:marTop w:val="0"/>
      <w:marBottom w:val="0"/>
      <w:divBdr>
        <w:top w:val="none" w:sz="0" w:space="0" w:color="auto"/>
        <w:left w:val="none" w:sz="0" w:space="0" w:color="auto"/>
        <w:bottom w:val="none" w:sz="0" w:space="0" w:color="auto"/>
        <w:right w:val="none" w:sz="0" w:space="0" w:color="auto"/>
      </w:divBdr>
    </w:div>
    <w:div w:id="1632518238">
      <w:bodyDiv w:val="1"/>
      <w:marLeft w:val="0"/>
      <w:marRight w:val="0"/>
      <w:marTop w:val="0"/>
      <w:marBottom w:val="0"/>
      <w:divBdr>
        <w:top w:val="none" w:sz="0" w:space="0" w:color="auto"/>
        <w:left w:val="none" w:sz="0" w:space="0" w:color="auto"/>
        <w:bottom w:val="none" w:sz="0" w:space="0" w:color="auto"/>
        <w:right w:val="none" w:sz="0" w:space="0" w:color="auto"/>
      </w:divBdr>
      <w:divsChild>
        <w:div w:id="1956405918">
          <w:marLeft w:val="0"/>
          <w:marRight w:val="0"/>
          <w:marTop w:val="0"/>
          <w:marBottom w:val="0"/>
          <w:divBdr>
            <w:top w:val="none" w:sz="0" w:space="0" w:color="auto"/>
            <w:left w:val="none" w:sz="0" w:space="0" w:color="auto"/>
            <w:bottom w:val="none" w:sz="0" w:space="0" w:color="auto"/>
            <w:right w:val="none" w:sz="0" w:space="0" w:color="auto"/>
          </w:divBdr>
        </w:div>
        <w:div w:id="1803964011">
          <w:marLeft w:val="0"/>
          <w:marRight w:val="0"/>
          <w:marTop w:val="0"/>
          <w:marBottom w:val="0"/>
          <w:divBdr>
            <w:top w:val="none" w:sz="0" w:space="0" w:color="auto"/>
            <w:left w:val="none" w:sz="0" w:space="0" w:color="auto"/>
            <w:bottom w:val="none" w:sz="0" w:space="0" w:color="auto"/>
            <w:right w:val="none" w:sz="0" w:space="0" w:color="auto"/>
          </w:divBdr>
        </w:div>
        <w:div w:id="65610468">
          <w:marLeft w:val="0"/>
          <w:marRight w:val="0"/>
          <w:marTop w:val="0"/>
          <w:marBottom w:val="0"/>
          <w:divBdr>
            <w:top w:val="none" w:sz="0" w:space="0" w:color="auto"/>
            <w:left w:val="none" w:sz="0" w:space="0" w:color="auto"/>
            <w:bottom w:val="none" w:sz="0" w:space="0" w:color="auto"/>
            <w:right w:val="none" w:sz="0" w:space="0" w:color="auto"/>
          </w:divBdr>
        </w:div>
        <w:div w:id="189993775">
          <w:marLeft w:val="0"/>
          <w:marRight w:val="0"/>
          <w:marTop w:val="0"/>
          <w:marBottom w:val="0"/>
          <w:divBdr>
            <w:top w:val="none" w:sz="0" w:space="0" w:color="auto"/>
            <w:left w:val="none" w:sz="0" w:space="0" w:color="auto"/>
            <w:bottom w:val="none" w:sz="0" w:space="0" w:color="auto"/>
            <w:right w:val="none" w:sz="0" w:space="0" w:color="auto"/>
          </w:divBdr>
        </w:div>
        <w:div w:id="2139948797">
          <w:marLeft w:val="0"/>
          <w:marRight w:val="0"/>
          <w:marTop w:val="0"/>
          <w:marBottom w:val="0"/>
          <w:divBdr>
            <w:top w:val="none" w:sz="0" w:space="0" w:color="auto"/>
            <w:left w:val="none" w:sz="0" w:space="0" w:color="auto"/>
            <w:bottom w:val="none" w:sz="0" w:space="0" w:color="auto"/>
            <w:right w:val="none" w:sz="0" w:space="0" w:color="auto"/>
          </w:divBdr>
        </w:div>
        <w:div w:id="636030697">
          <w:marLeft w:val="0"/>
          <w:marRight w:val="0"/>
          <w:marTop w:val="0"/>
          <w:marBottom w:val="0"/>
          <w:divBdr>
            <w:top w:val="none" w:sz="0" w:space="0" w:color="auto"/>
            <w:left w:val="none" w:sz="0" w:space="0" w:color="auto"/>
            <w:bottom w:val="none" w:sz="0" w:space="0" w:color="auto"/>
            <w:right w:val="none" w:sz="0" w:space="0" w:color="auto"/>
          </w:divBdr>
        </w:div>
        <w:div w:id="190345593">
          <w:marLeft w:val="0"/>
          <w:marRight w:val="0"/>
          <w:marTop w:val="0"/>
          <w:marBottom w:val="0"/>
          <w:divBdr>
            <w:top w:val="none" w:sz="0" w:space="0" w:color="auto"/>
            <w:left w:val="none" w:sz="0" w:space="0" w:color="auto"/>
            <w:bottom w:val="none" w:sz="0" w:space="0" w:color="auto"/>
            <w:right w:val="none" w:sz="0" w:space="0" w:color="auto"/>
          </w:divBdr>
        </w:div>
        <w:div w:id="1308701796">
          <w:marLeft w:val="0"/>
          <w:marRight w:val="0"/>
          <w:marTop w:val="0"/>
          <w:marBottom w:val="0"/>
          <w:divBdr>
            <w:top w:val="none" w:sz="0" w:space="0" w:color="auto"/>
            <w:left w:val="none" w:sz="0" w:space="0" w:color="auto"/>
            <w:bottom w:val="none" w:sz="0" w:space="0" w:color="auto"/>
            <w:right w:val="none" w:sz="0" w:space="0" w:color="auto"/>
          </w:divBdr>
        </w:div>
        <w:div w:id="1822963599">
          <w:marLeft w:val="0"/>
          <w:marRight w:val="0"/>
          <w:marTop w:val="0"/>
          <w:marBottom w:val="0"/>
          <w:divBdr>
            <w:top w:val="none" w:sz="0" w:space="0" w:color="auto"/>
            <w:left w:val="none" w:sz="0" w:space="0" w:color="auto"/>
            <w:bottom w:val="none" w:sz="0" w:space="0" w:color="auto"/>
            <w:right w:val="none" w:sz="0" w:space="0" w:color="auto"/>
          </w:divBdr>
        </w:div>
        <w:div w:id="2020348159">
          <w:marLeft w:val="0"/>
          <w:marRight w:val="0"/>
          <w:marTop w:val="0"/>
          <w:marBottom w:val="0"/>
          <w:divBdr>
            <w:top w:val="none" w:sz="0" w:space="0" w:color="auto"/>
            <w:left w:val="none" w:sz="0" w:space="0" w:color="auto"/>
            <w:bottom w:val="none" w:sz="0" w:space="0" w:color="auto"/>
            <w:right w:val="none" w:sz="0" w:space="0" w:color="auto"/>
          </w:divBdr>
        </w:div>
        <w:div w:id="636909209">
          <w:marLeft w:val="0"/>
          <w:marRight w:val="0"/>
          <w:marTop w:val="0"/>
          <w:marBottom w:val="0"/>
          <w:divBdr>
            <w:top w:val="none" w:sz="0" w:space="0" w:color="auto"/>
            <w:left w:val="none" w:sz="0" w:space="0" w:color="auto"/>
            <w:bottom w:val="none" w:sz="0" w:space="0" w:color="auto"/>
            <w:right w:val="none" w:sz="0" w:space="0" w:color="auto"/>
          </w:divBdr>
        </w:div>
        <w:div w:id="1902641348">
          <w:marLeft w:val="0"/>
          <w:marRight w:val="0"/>
          <w:marTop w:val="0"/>
          <w:marBottom w:val="0"/>
          <w:divBdr>
            <w:top w:val="none" w:sz="0" w:space="0" w:color="auto"/>
            <w:left w:val="none" w:sz="0" w:space="0" w:color="auto"/>
            <w:bottom w:val="none" w:sz="0" w:space="0" w:color="auto"/>
            <w:right w:val="none" w:sz="0" w:space="0" w:color="auto"/>
          </w:divBdr>
        </w:div>
        <w:div w:id="1765760746">
          <w:marLeft w:val="0"/>
          <w:marRight w:val="0"/>
          <w:marTop w:val="0"/>
          <w:marBottom w:val="0"/>
          <w:divBdr>
            <w:top w:val="none" w:sz="0" w:space="0" w:color="auto"/>
            <w:left w:val="none" w:sz="0" w:space="0" w:color="auto"/>
            <w:bottom w:val="none" w:sz="0" w:space="0" w:color="auto"/>
            <w:right w:val="none" w:sz="0" w:space="0" w:color="auto"/>
          </w:divBdr>
        </w:div>
        <w:div w:id="1233810090">
          <w:marLeft w:val="0"/>
          <w:marRight w:val="0"/>
          <w:marTop w:val="0"/>
          <w:marBottom w:val="0"/>
          <w:divBdr>
            <w:top w:val="none" w:sz="0" w:space="0" w:color="auto"/>
            <w:left w:val="none" w:sz="0" w:space="0" w:color="auto"/>
            <w:bottom w:val="none" w:sz="0" w:space="0" w:color="auto"/>
            <w:right w:val="none" w:sz="0" w:space="0" w:color="auto"/>
          </w:divBdr>
        </w:div>
        <w:div w:id="135992226">
          <w:marLeft w:val="0"/>
          <w:marRight w:val="0"/>
          <w:marTop w:val="0"/>
          <w:marBottom w:val="0"/>
          <w:divBdr>
            <w:top w:val="none" w:sz="0" w:space="0" w:color="auto"/>
            <w:left w:val="none" w:sz="0" w:space="0" w:color="auto"/>
            <w:bottom w:val="none" w:sz="0" w:space="0" w:color="auto"/>
            <w:right w:val="none" w:sz="0" w:space="0" w:color="auto"/>
          </w:divBdr>
        </w:div>
        <w:div w:id="679233443">
          <w:marLeft w:val="0"/>
          <w:marRight w:val="0"/>
          <w:marTop w:val="0"/>
          <w:marBottom w:val="0"/>
          <w:divBdr>
            <w:top w:val="none" w:sz="0" w:space="0" w:color="auto"/>
            <w:left w:val="none" w:sz="0" w:space="0" w:color="auto"/>
            <w:bottom w:val="none" w:sz="0" w:space="0" w:color="auto"/>
            <w:right w:val="none" w:sz="0" w:space="0" w:color="auto"/>
          </w:divBdr>
        </w:div>
        <w:div w:id="1444492284">
          <w:marLeft w:val="0"/>
          <w:marRight w:val="0"/>
          <w:marTop w:val="0"/>
          <w:marBottom w:val="0"/>
          <w:divBdr>
            <w:top w:val="none" w:sz="0" w:space="0" w:color="auto"/>
            <w:left w:val="none" w:sz="0" w:space="0" w:color="auto"/>
            <w:bottom w:val="none" w:sz="0" w:space="0" w:color="auto"/>
            <w:right w:val="none" w:sz="0" w:space="0" w:color="auto"/>
          </w:divBdr>
        </w:div>
      </w:divsChild>
    </w:div>
    <w:div w:id="1650983003">
      <w:bodyDiv w:val="1"/>
      <w:marLeft w:val="0"/>
      <w:marRight w:val="0"/>
      <w:marTop w:val="0"/>
      <w:marBottom w:val="0"/>
      <w:divBdr>
        <w:top w:val="none" w:sz="0" w:space="0" w:color="auto"/>
        <w:left w:val="none" w:sz="0" w:space="0" w:color="auto"/>
        <w:bottom w:val="none" w:sz="0" w:space="0" w:color="auto"/>
        <w:right w:val="none" w:sz="0" w:space="0" w:color="auto"/>
      </w:divBdr>
    </w:div>
    <w:div w:id="1669210843">
      <w:bodyDiv w:val="1"/>
      <w:marLeft w:val="0"/>
      <w:marRight w:val="0"/>
      <w:marTop w:val="0"/>
      <w:marBottom w:val="0"/>
      <w:divBdr>
        <w:top w:val="none" w:sz="0" w:space="0" w:color="auto"/>
        <w:left w:val="none" w:sz="0" w:space="0" w:color="auto"/>
        <w:bottom w:val="none" w:sz="0" w:space="0" w:color="auto"/>
        <w:right w:val="none" w:sz="0" w:space="0" w:color="auto"/>
      </w:divBdr>
    </w:div>
    <w:div w:id="1679965448">
      <w:bodyDiv w:val="1"/>
      <w:marLeft w:val="0"/>
      <w:marRight w:val="0"/>
      <w:marTop w:val="0"/>
      <w:marBottom w:val="0"/>
      <w:divBdr>
        <w:top w:val="none" w:sz="0" w:space="0" w:color="auto"/>
        <w:left w:val="none" w:sz="0" w:space="0" w:color="auto"/>
        <w:bottom w:val="none" w:sz="0" w:space="0" w:color="auto"/>
        <w:right w:val="none" w:sz="0" w:space="0" w:color="auto"/>
      </w:divBdr>
    </w:div>
    <w:div w:id="1695229098">
      <w:bodyDiv w:val="1"/>
      <w:marLeft w:val="0"/>
      <w:marRight w:val="0"/>
      <w:marTop w:val="0"/>
      <w:marBottom w:val="0"/>
      <w:divBdr>
        <w:top w:val="none" w:sz="0" w:space="0" w:color="auto"/>
        <w:left w:val="none" w:sz="0" w:space="0" w:color="auto"/>
        <w:bottom w:val="none" w:sz="0" w:space="0" w:color="auto"/>
        <w:right w:val="none" w:sz="0" w:space="0" w:color="auto"/>
      </w:divBdr>
    </w:div>
    <w:div w:id="1760447349">
      <w:bodyDiv w:val="1"/>
      <w:marLeft w:val="0"/>
      <w:marRight w:val="0"/>
      <w:marTop w:val="0"/>
      <w:marBottom w:val="0"/>
      <w:divBdr>
        <w:top w:val="none" w:sz="0" w:space="0" w:color="auto"/>
        <w:left w:val="none" w:sz="0" w:space="0" w:color="auto"/>
        <w:bottom w:val="none" w:sz="0" w:space="0" w:color="auto"/>
        <w:right w:val="none" w:sz="0" w:space="0" w:color="auto"/>
      </w:divBdr>
    </w:div>
    <w:div w:id="1762411678">
      <w:bodyDiv w:val="1"/>
      <w:marLeft w:val="0"/>
      <w:marRight w:val="0"/>
      <w:marTop w:val="0"/>
      <w:marBottom w:val="0"/>
      <w:divBdr>
        <w:top w:val="none" w:sz="0" w:space="0" w:color="auto"/>
        <w:left w:val="none" w:sz="0" w:space="0" w:color="auto"/>
        <w:bottom w:val="none" w:sz="0" w:space="0" w:color="auto"/>
        <w:right w:val="none" w:sz="0" w:space="0" w:color="auto"/>
      </w:divBdr>
    </w:div>
    <w:div w:id="1835761225">
      <w:bodyDiv w:val="1"/>
      <w:marLeft w:val="0"/>
      <w:marRight w:val="0"/>
      <w:marTop w:val="0"/>
      <w:marBottom w:val="0"/>
      <w:divBdr>
        <w:top w:val="none" w:sz="0" w:space="0" w:color="auto"/>
        <w:left w:val="none" w:sz="0" w:space="0" w:color="auto"/>
        <w:bottom w:val="none" w:sz="0" w:space="0" w:color="auto"/>
        <w:right w:val="none" w:sz="0" w:space="0" w:color="auto"/>
      </w:divBdr>
    </w:div>
    <w:div w:id="1839270921">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900238755">
      <w:bodyDiv w:val="1"/>
      <w:marLeft w:val="0"/>
      <w:marRight w:val="0"/>
      <w:marTop w:val="0"/>
      <w:marBottom w:val="0"/>
      <w:divBdr>
        <w:top w:val="none" w:sz="0" w:space="0" w:color="auto"/>
        <w:left w:val="none" w:sz="0" w:space="0" w:color="auto"/>
        <w:bottom w:val="none" w:sz="0" w:space="0" w:color="auto"/>
        <w:right w:val="none" w:sz="0" w:space="0" w:color="auto"/>
      </w:divBdr>
    </w:div>
    <w:div w:id="1968004743">
      <w:bodyDiv w:val="1"/>
      <w:marLeft w:val="0"/>
      <w:marRight w:val="0"/>
      <w:marTop w:val="0"/>
      <w:marBottom w:val="0"/>
      <w:divBdr>
        <w:top w:val="none" w:sz="0" w:space="0" w:color="auto"/>
        <w:left w:val="none" w:sz="0" w:space="0" w:color="auto"/>
        <w:bottom w:val="none" w:sz="0" w:space="0" w:color="auto"/>
        <w:right w:val="none" w:sz="0" w:space="0" w:color="auto"/>
      </w:divBdr>
    </w:div>
    <w:div w:id="1983072414">
      <w:bodyDiv w:val="1"/>
      <w:marLeft w:val="0"/>
      <w:marRight w:val="0"/>
      <w:marTop w:val="0"/>
      <w:marBottom w:val="0"/>
      <w:divBdr>
        <w:top w:val="none" w:sz="0" w:space="0" w:color="auto"/>
        <w:left w:val="none" w:sz="0" w:space="0" w:color="auto"/>
        <w:bottom w:val="none" w:sz="0" w:space="0" w:color="auto"/>
        <w:right w:val="none" w:sz="0" w:space="0" w:color="auto"/>
      </w:divBdr>
    </w:div>
    <w:div w:id="201926207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4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63A9-1E7D-48AD-90B1-844E2704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6296</Words>
  <Characters>40265</Characters>
  <Application>Microsoft Office Word</Application>
  <DocSecurity>0</DocSecurity>
  <Lines>335</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Part IB Summary of Product Characteristics</vt:lpstr>
      <vt:lpstr>Part IB Summary of Product Characteristics</vt:lpstr>
    </vt:vector>
  </TitlesOfParts>
  <Company>Accenture</Company>
  <LinksUpToDate>false</LinksUpToDate>
  <CharactersWithSpaces>46469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creator>Martina Hudecova</dc:creator>
  <cp:lastModifiedBy>Hudecová, Martina</cp:lastModifiedBy>
  <cp:revision>2</cp:revision>
  <cp:lastPrinted>2019-12-05T12:30:00Z</cp:lastPrinted>
  <dcterms:created xsi:type="dcterms:W3CDTF">2020-11-20T07:18:00Z</dcterms:created>
  <dcterms:modified xsi:type="dcterms:W3CDTF">2020-11-20T07:18:00Z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