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0A9" w:rsidRPr="005069B7" w:rsidRDefault="006D50A9">
      <w:pPr>
        <w:pStyle w:val="Podtitul"/>
        <w:rPr>
          <w:b w:val="0"/>
        </w:rPr>
      </w:pPr>
      <w:bookmarkStart w:id="0" w:name="_GoBack"/>
      <w:bookmarkEnd w:id="0"/>
    </w:p>
    <w:p w:rsidR="00E67A5A" w:rsidRPr="001406E8" w:rsidRDefault="0073186F">
      <w:pPr>
        <w:pStyle w:val="Podtitul"/>
        <w:rPr>
          <w:szCs w:val="22"/>
        </w:rPr>
      </w:pPr>
      <w:r w:rsidRPr="001406E8">
        <w:t>SÚHRN CHARAKTERISTICKÝCH VLASTNOSTÍ LIEKU</w:t>
      </w:r>
    </w:p>
    <w:p w:rsidR="00E67A5A" w:rsidRPr="001406E8" w:rsidRDefault="00E67A5A">
      <w:pPr>
        <w:ind w:left="0" w:firstLine="0"/>
        <w:rPr>
          <w:b/>
          <w:szCs w:val="22"/>
        </w:rPr>
      </w:pPr>
    </w:p>
    <w:p w:rsidR="0073186F" w:rsidRPr="001406E8" w:rsidRDefault="0073186F">
      <w:pPr>
        <w:ind w:left="0" w:firstLine="0"/>
        <w:rPr>
          <w:b/>
          <w:szCs w:val="22"/>
        </w:rPr>
      </w:pPr>
    </w:p>
    <w:p w:rsidR="00E67A5A" w:rsidRPr="001406E8" w:rsidRDefault="00E67A5A">
      <w:pPr>
        <w:ind w:left="0" w:firstLine="0"/>
        <w:rPr>
          <w:szCs w:val="22"/>
        </w:rPr>
      </w:pPr>
      <w:r w:rsidRPr="001406E8">
        <w:rPr>
          <w:b/>
          <w:szCs w:val="22"/>
        </w:rPr>
        <w:t>1.</w:t>
      </w:r>
      <w:r w:rsidRPr="001406E8">
        <w:rPr>
          <w:b/>
          <w:szCs w:val="22"/>
        </w:rPr>
        <w:tab/>
        <w:t>NÁZOV LIEKU</w:t>
      </w:r>
    </w:p>
    <w:p w:rsidR="00E67A5A" w:rsidRPr="001406E8" w:rsidRDefault="00E67A5A">
      <w:pPr>
        <w:rPr>
          <w:szCs w:val="22"/>
        </w:rPr>
      </w:pPr>
    </w:p>
    <w:p w:rsidR="00E67A5A" w:rsidRPr="001406E8" w:rsidRDefault="00E67A5A">
      <w:pPr>
        <w:rPr>
          <w:szCs w:val="22"/>
        </w:rPr>
      </w:pPr>
      <w:r w:rsidRPr="001406E8">
        <w:rPr>
          <w:szCs w:val="22"/>
        </w:rPr>
        <w:t>Indapamid STADA 1,5 mg</w:t>
      </w:r>
    </w:p>
    <w:p w:rsidR="00E67A5A" w:rsidRPr="001406E8" w:rsidRDefault="00E67A5A">
      <w:pPr>
        <w:rPr>
          <w:szCs w:val="22"/>
        </w:rPr>
      </w:pPr>
      <w:r w:rsidRPr="001406E8">
        <w:rPr>
          <w:szCs w:val="22"/>
        </w:rPr>
        <w:t>tablety s predĺženým uvoľňovaním</w:t>
      </w:r>
    </w:p>
    <w:p w:rsidR="00E67A5A" w:rsidRPr="001406E8" w:rsidRDefault="00E67A5A">
      <w:pPr>
        <w:rPr>
          <w:szCs w:val="22"/>
        </w:rPr>
      </w:pPr>
    </w:p>
    <w:p w:rsidR="00E67A5A" w:rsidRPr="001406E8" w:rsidRDefault="00E67A5A">
      <w:pPr>
        <w:rPr>
          <w:szCs w:val="22"/>
        </w:rPr>
      </w:pPr>
    </w:p>
    <w:p w:rsidR="00E67A5A" w:rsidRPr="001406E8" w:rsidRDefault="00E67A5A">
      <w:pPr>
        <w:rPr>
          <w:szCs w:val="22"/>
        </w:rPr>
      </w:pPr>
      <w:r w:rsidRPr="001406E8">
        <w:rPr>
          <w:b/>
          <w:szCs w:val="22"/>
        </w:rPr>
        <w:t>2.</w:t>
      </w:r>
      <w:r w:rsidRPr="001406E8">
        <w:rPr>
          <w:b/>
          <w:szCs w:val="22"/>
        </w:rPr>
        <w:tab/>
        <w:t>KVALITATÍVNE A KVANTITATÍVNE ZLOŽENIE</w:t>
      </w:r>
    </w:p>
    <w:p w:rsidR="00E67A5A" w:rsidRPr="001406E8" w:rsidRDefault="00E67A5A">
      <w:pPr>
        <w:rPr>
          <w:i/>
          <w:szCs w:val="22"/>
        </w:rPr>
      </w:pPr>
    </w:p>
    <w:p w:rsidR="00E67A5A" w:rsidRPr="001406E8" w:rsidRDefault="00E67A5A" w:rsidP="00B51E57">
      <w:pPr>
        <w:pStyle w:val="EMEAEnBodyText"/>
        <w:autoSpaceDE w:val="0"/>
        <w:autoSpaceDN w:val="0"/>
        <w:adjustRightInd w:val="0"/>
        <w:spacing w:before="0" w:after="0"/>
        <w:rPr>
          <w:bCs/>
          <w:lang w:val="sk-SK"/>
        </w:rPr>
      </w:pPr>
      <w:r w:rsidRPr="001406E8">
        <w:rPr>
          <w:bCs/>
          <w:lang w:val="sk-SK"/>
        </w:rPr>
        <w:t>Každá tableta s predĺženým uvoľňovaním obsahuje 1,5 mg indapamidu.</w:t>
      </w:r>
    </w:p>
    <w:p w:rsidR="00BE0B2B" w:rsidRPr="001406E8" w:rsidRDefault="00BE0B2B" w:rsidP="00B51E57">
      <w:pPr>
        <w:pStyle w:val="EMEAEnBodyText"/>
        <w:autoSpaceDE w:val="0"/>
        <w:autoSpaceDN w:val="0"/>
        <w:adjustRightInd w:val="0"/>
        <w:spacing w:before="0" w:after="0"/>
        <w:rPr>
          <w:bCs/>
          <w:lang w:val="sk-SK"/>
        </w:rPr>
      </w:pPr>
    </w:p>
    <w:p w:rsidR="00BE0B2B" w:rsidRPr="001406E8" w:rsidRDefault="00BE0B2B" w:rsidP="00B51E57">
      <w:pPr>
        <w:pStyle w:val="EMEAEnBodyText"/>
        <w:autoSpaceDE w:val="0"/>
        <w:autoSpaceDN w:val="0"/>
        <w:adjustRightInd w:val="0"/>
        <w:spacing w:before="0" w:after="0"/>
        <w:rPr>
          <w:bCs/>
          <w:u w:val="single"/>
          <w:lang w:val="sk-SK"/>
        </w:rPr>
      </w:pPr>
      <w:r w:rsidRPr="001406E8">
        <w:rPr>
          <w:bCs/>
          <w:u w:val="single"/>
          <w:lang w:val="sk-SK"/>
        </w:rPr>
        <w:t>Pomocná látka so známym účinkom:</w:t>
      </w:r>
    </w:p>
    <w:p w:rsidR="00E67A5A" w:rsidRPr="001406E8" w:rsidRDefault="00906B20" w:rsidP="005069B7">
      <w:pPr>
        <w:pStyle w:val="EMEAEnBodyText"/>
        <w:autoSpaceDE w:val="0"/>
        <w:autoSpaceDN w:val="0"/>
        <w:adjustRightInd w:val="0"/>
        <w:spacing w:before="0" w:after="0"/>
        <w:jc w:val="left"/>
        <w:rPr>
          <w:bCs/>
          <w:lang w:val="sk-SK"/>
        </w:rPr>
      </w:pPr>
      <w:r>
        <w:rPr>
          <w:bCs/>
          <w:lang w:val="sk-SK"/>
        </w:rPr>
        <w:t xml:space="preserve">Každá </w:t>
      </w:r>
      <w:r w:rsidRPr="001406E8">
        <w:rPr>
          <w:bCs/>
          <w:lang w:val="sk-SK"/>
        </w:rPr>
        <w:t>tablet</w:t>
      </w:r>
      <w:r>
        <w:rPr>
          <w:bCs/>
          <w:lang w:val="sk-SK"/>
        </w:rPr>
        <w:t>a</w:t>
      </w:r>
      <w:r w:rsidRPr="001406E8">
        <w:rPr>
          <w:bCs/>
          <w:lang w:val="sk-SK"/>
        </w:rPr>
        <w:t xml:space="preserve"> s predĺženým uvoľňovaním</w:t>
      </w:r>
      <w:r>
        <w:rPr>
          <w:bCs/>
          <w:lang w:val="sk-SK"/>
        </w:rPr>
        <w:t xml:space="preserve"> obsahuje </w:t>
      </w:r>
      <w:r w:rsidR="00E67A5A" w:rsidRPr="001406E8">
        <w:rPr>
          <w:bCs/>
          <w:lang w:val="sk-SK"/>
        </w:rPr>
        <w:t>144,22 mg monohydrátu laktózy</w:t>
      </w:r>
      <w:r>
        <w:rPr>
          <w:bCs/>
          <w:lang w:val="sk-SK"/>
        </w:rPr>
        <w:t>.</w:t>
      </w:r>
      <w:r w:rsidR="00E67A5A" w:rsidRPr="001406E8">
        <w:rPr>
          <w:bCs/>
          <w:lang w:val="sk-SK"/>
        </w:rPr>
        <w:t> </w:t>
      </w:r>
    </w:p>
    <w:p w:rsidR="00E67A5A" w:rsidRPr="001406E8" w:rsidRDefault="00E67A5A" w:rsidP="00730DE1">
      <w:pPr>
        <w:outlineLvl w:val="0"/>
        <w:rPr>
          <w:szCs w:val="22"/>
        </w:rPr>
      </w:pPr>
      <w:bookmarkStart w:id="1" w:name="OLE_LINK1"/>
      <w:r w:rsidRPr="001406E8">
        <w:rPr>
          <w:szCs w:val="22"/>
        </w:rPr>
        <w:t>Úplný zoznam pomocných látok, pozri časť 6.1.</w:t>
      </w:r>
      <w:bookmarkEnd w:id="1"/>
    </w:p>
    <w:p w:rsidR="00E67A5A" w:rsidRPr="001406E8" w:rsidRDefault="00E67A5A">
      <w:pPr>
        <w:rPr>
          <w:szCs w:val="22"/>
        </w:rPr>
      </w:pPr>
    </w:p>
    <w:p w:rsidR="00E67A5A" w:rsidRPr="001406E8" w:rsidRDefault="00E67A5A">
      <w:pPr>
        <w:rPr>
          <w:szCs w:val="22"/>
        </w:rPr>
      </w:pPr>
    </w:p>
    <w:p w:rsidR="00E67A5A" w:rsidRPr="001406E8" w:rsidRDefault="00E67A5A">
      <w:pPr>
        <w:rPr>
          <w:caps/>
          <w:szCs w:val="22"/>
        </w:rPr>
      </w:pPr>
      <w:r w:rsidRPr="001406E8">
        <w:rPr>
          <w:b/>
          <w:szCs w:val="22"/>
        </w:rPr>
        <w:t>3.</w:t>
      </w:r>
      <w:r w:rsidRPr="001406E8">
        <w:rPr>
          <w:b/>
          <w:szCs w:val="22"/>
        </w:rPr>
        <w:tab/>
        <w:t>LIEKOVÁ FORMA</w:t>
      </w:r>
    </w:p>
    <w:p w:rsidR="00E67A5A" w:rsidRPr="001406E8" w:rsidRDefault="00E67A5A">
      <w:pPr>
        <w:rPr>
          <w:szCs w:val="22"/>
        </w:rPr>
      </w:pPr>
    </w:p>
    <w:p w:rsidR="00E67A5A" w:rsidRPr="001406E8" w:rsidRDefault="00E67A5A">
      <w:pPr>
        <w:pStyle w:val="Zkladntext"/>
      </w:pPr>
      <w:r w:rsidRPr="001406E8">
        <w:t>Tableta s predĺženým uvoľňovaním.</w:t>
      </w:r>
    </w:p>
    <w:p w:rsidR="00E67A5A" w:rsidRPr="001406E8" w:rsidRDefault="00E67A5A">
      <w:pPr>
        <w:pStyle w:val="Zkladntext"/>
      </w:pPr>
      <w:r w:rsidRPr="001406E8">
        <w:t>Biela až sivobiela bikonvexná filmom obalená tableta okrúhleho tvaru.</w:t>
      </w:r>
    </w:p>
    <w:p w:rsidR="00E67A5A" w:rsidRPr="001406E8" w:rsidRDefault="00E67A5A"/>
    <w:p w:rsidR="00E67A5A" w:rsidRPr="001406E8" w:rsidRDefault="00E67A5A">
      <w:pPr>
        <w:rPr>
          <w:szCs w:val="22"/>
        </w:rPr>
      </w:pPr>
    </w:p>
    <w:p w:rsidR="00E67A5A" w:rsidRPr="001406E8" w:rsidRDefault="00E67A5A">
      <w:pPr>
        <w:rPr>
          <w:caps/>
          <w:szCs w:val="22"/>
        </w:rPr>
      </w:pPr>
      <w:r w:rsidRPr="001406E8">
        <w:rPr>
          <w:b/>
          <w:caps/>
          <w:szCs w:val="22"/>
        </w:rPr>
        <w:t>4.</w:t>
      </w:r>
      <w:r w:rsidRPr="001406E8">
        <w:rPr>
          <w:b/>
          <w:caps/>
          <w:szCs w:val="22"/>
        </w:rPr>
        <w:tab/>
        <w:t>KLINICKÉ ÚDAJE</w:t>
      </w:r>
    </w:p>
    <w:p w:rsidR="00E67A5A" w:rsidRPr="001406E8" w:rsidRDefault="00E67A5A">
      <w:pPr>
        <w:rPr>
          <w:szCs w:val="22"/>
        </w:rPr>
      </w:pPr>
    </w:p>
    <w:p w:rsidR="00E67A5A" w:rsidRPr="001406E8" w:rsidRDefault="00E67A5A">
      <w:pPr>
        <w:rPr>
          <w:szCs w:val="22"/>
        </w:rPr>
      </w:pPr>
      <w:r w:rsidRPr="001406E8">
        <w:rPr>
          <w:b/>
          <w:szCs w:val="22"/>
        </w:rPr>
        <w:t>4.1</w:t>
      </w:r>
      <w:r w:rsidRPr="001406E8">
        <w:rPr>
          <w:b/>
          <w:szCs w:val="22"/>
        </w:rPr>
        <w:tab/>
        <w:t>Terapeutické indikácie</w:t>
      </w:r>
    </w:p>
    <w:p w:rsidR="00E67A5A" w:rsidRPr="001406E8" w:rsidRDefault="00E67A5A">
      <w:pPr>
        <w:rPr>
          <w:szCs w:val="22"/>
        </w:rPr>
      </w:pPr>
    </w:p>
    <w:p w:rsidR="001406E8" w:rsidRPr="008E5E84" w:rsidRDefault="001406E8" w:rsidP="00707825">
      <w:pPr>
        <w:ind w:left="0" w:firstLine="0"/>
        <w:rPr>
          <w:szCs w:val="22"/>
        </w:rPr>
      </w:pPr>
      <w:r w:rsidRPr="001406E8">
        <w:rPr>
          <w:szCs w:val="22"/>
        </w:rPr>
        <w:t>Indapamid STADA 1,5 mg</w:t>
      </w:r>
      <w:r>
        <w:rPr>
          <w:szCs w:val="22"/>
        </w:rPr>
        <w:t xml:space="preserve"> je indikovaný dospelým pri e</w:t>
      </w:r>
      <w:r w:rsidRPr="008E5E84">
        <w:rPr>
          <w:szCs w:val="22"/>
        </w:rPr>
        <w:t>senciáln</w:t>
      </w:r>
      <w:r>
        <w:rPr>
          <w:szCs w:val="22"/>
        </w:rPr>
        <w:t>ej</w:t>
      </w:r>
      <w:r w:rsidRPr="008E5E84">
        <w:rPr>
          <w:szCs w:val="22"/>
        </w:rPr>
        <w:t xml:space="preserve"> hypertenzi</w:t>
      </w:r>
      <w:r>
        <w:rPr>
          <w:szCs w:val="22"/>
        </w:rPr>
        <w:t>i</w:t>
      </w:r>
      <w:r w:rsidRPr="008E5E84">
        <w:rPr>
          <w:szCs w:val="22"/>
        </w:rPr>
        <w:t>.</w:t>
      </w:r>
    </w:p>
    <w:p w:rsidR="00E67A5A" w:rsidRPr="001406E8" w:rsidRDefault="00E67A5A">
      <w:pPr>
        <w:rPr>
          <w:szCs w:val="22"/>
        </w:rPr>
      </w:pPr>
    </w:p>
    <w:p w:rsidR="00E67A5A" w:rsidRPr="001406E8" w:rsidRDefault="00E67A5A">
      <w:pPr>
        <w:rPr>
          <w:szCs w:val="22"/>
        </w:rPr>
      </w:pPr>
      <w:r w:rsidRPr="001406E8">
        <w:rPr>
          <w:b/>
          <w:szCs w:val="22"/>
        </w:rPr>
        <w:t>4.2</w:t>
      </w:r>
      <w:r w:rsidRPr="001406E8">
        <w:rPr>
          <w:b/>
          <w:szCs w:val="22"/>
        </w:rPr>
        <w:tab/>
        <w:t>Dávkovanie a spôsob podávania</w:t>
      </w:r>
    </w:p>
    <w:p w:rsidR="00E67A5A" w:rsidRPr="001406E8" w:rsidRDefault="00E67A5A">
      <w:pPr>
        <w:rPr>
          <w:szCs w:val="22"/>
        </w:rPr>
      </w:pPr>
    </w:p>
    <w:p w:rsidR="00E67A5A" w:rsidRPr="001406E8" w:rsidRDefault="00BE0B2B">
      <w:pPr>
        <w:ind w:left="0" w:firstLine="0"/>
        <w:rPr>
          <w:szCs w:val="22"/>
          <w:u w:val="single"/>
        </w:rPr>
      </w:pPr>
      <w:r w:rsidRPr="001406E8">
        <w:rPr>
          <w:szCs w:val="22"/>
          <w:u w:val="single"/>
        </w:rPr>
        <w:t>Dávkovanie</w:t>
      </w:r>
    </w:p>
    <w:p w:rsidR="00BE0B2B" w:rsidRPr="001406E8" w:rsidRDefault="00BE0B2B">
      <w:pPr>
        <w:ind w:left="0" w:firstLine="0"/>
        <w:rPr>
          <w:szCs w:val="22"/>
          <w:u w:val="single"/>
        </w:rPr>
      </w:pPr>
    </w:p>
    <w:p w:rsidR="001406E8" w:rsidRDefault="001406E8" w:rsidP="001406E8">
      <w:pPr>
        <w:pStyle w:val="Nadpis1"/>
        <w:rPr>
          <w:b w:val="0"/>
        </w:rPr>
      </w:pPr>
      <w:r w:rsidRPr="00707825">
        <w:rPr>
          <w:b w:val="0"/>
        </w:rPr>
        <w:t>Jedna tableta za 24 hodín, prednostne ráno</w:t>
      </w:r>
      <w:r>
        <w:rPr>
          <w:b w:val="0"/>
        </w:rPr>
        <w:t>.</w:t>
      </w:r>
    </w:p>
    <w:p w:rsidR="001406E8" w:rsidRPr="00707825" w:rsidRDefault="001406E8" w:rsidP="00707825"/>
    <w:p w:rsidR="001406E8" w:rsidRPr="007C54A6" w:rsidRDefault="001406E8" w:rsidP="001406E8">
      <w:pPr>
        <w:ind w:left="0" w:firstLine="0"/>
        <w:rPr>
          <w:szCs w:val="22"/>
        </w:rPr>
      </w:pPr>
      <w:r w:rsidRPr="007C54A6">
        <w:rPr>
          <w:szCs w:val="22"/>
        </w:rPr>
        <w:t>Pri vyšších dávkach sa nezvyšuje antihypertenzný účinok indapamidu, ale zvyšuje sa jeho saluretický účinok.</w:t>
      </w:r>
    </w:p>
    <w:p w:rsidR="00E67A5A" w:rsidRDefault="00E67A5A">
      <w:pPr>
        <w:ind w:left="0" w:firstLine="0"/>
        <w:rPr>
          <w:szCs w:val="22"/>
        </w:rPr>
      </w:pPr>
    </w:p>
    <w:p w:rsidR="001406E8" w:rsidRPr="00707825" w:rsidRDefault="001406E8" w:rsidP="001406E8">
      <w:pPr>
        <w:rPr>
          <w:b/>
          <w:i/>
          <w:szCs w:val="22"/>
          <w:u w:val="single"/>
        </w:rPr>
      </w:pPr>
      <w:r w:rsidRPr="00707825">
        <w:rPr>
          <w:b/>
          <w:i/>
          <w:szCs w:val="22"/>
          <w:u w:val="single"/>
        </w:rPr>
        <w:t>Osobitné populácie</w:t>
      </w:r>
    </w:p>
    <w:p w:rsidR="001406E8" w:rsidRPr="008E5E84" w:rsidRDefault="001406E8" w:rsidP="001406E8">
      <w:pPr>
        <w:rPr>
          <w:szCs w:val="22"/>
        </w:rPr>
      </w:pPr>
    </w:p>
    <w:p w:rsidR="001406E8" w:rsidRPr="00707825" w:rsidRDefault="001406E8" w:rsidP="001406E8">
      <w:pPr>
        <w:ind w:left="0" w:firstLine="0"/>
        <w:rPr>
          <w:i/>
          <w:szCs w:val="22"/>
        </w:rPr>
      </w:pPr>
      <w:r w:rsidRPr="00707825">
        <w:rPr>
          <w:i/>
          <w:szCs w:val="22"/>
        </w:rPr>
        <w:t>Staršie osoby (pozri časť 4.4)</w:t>
      </w:r>
    </w:p>
    <w:p w:rsidR="001406E8" w:rsidRDefault="001406E8" w:rsidP="001406E8">
      <w:pPr>
        <w:ind w:left="0" w:firstLine="0"/>
        <w:rPr>
          <w:szCs w:val="22"/>
        </w:rPr>
      </w:pPr>
      <w:r w:rsidRPr="008E5E84">
        <w:rPr>
          <w:szCs w:val="22"/>
        </w:rPr>
        <w:t xml:space="preserve">U starších osôb sa musí hodnota sérového kreatinínu upraviť podľa veku, telesnej hmotnosti a pohlavia. Starší pacienti môžu byť liečení </w:t>
      </w:r>
      <w:r>
        <w:rPr>
          <w:szCs w:val="22"/>
        </w:rPr>
        <w:t>Indapamidom STADA</w:t>
      </w:r>
      <w:r w:rsidRPr="008E5E84">
        <w:rPr>
          <w:szCs w:val="22"/>
        </w:rPr>
        <w:t xml:space="preserve"> len pri</w:t>
      </w:r>
      <w:r>
        <w:rPr>
          <w:szCs w:val="22"/>
        </w:rPr>
        <w:t xml:space="preserve"> </w:t>
      </w:r>
      <w:r w:rsidRPr="008E5E84">
        <w:rPr>
          <w:szCs w:val="22"/>
        </w:rPr>
        <w:t xml:space="preserve">normálnej alebo len minimálne </w:t>
      </w:r>
      <w:r>
        <w:rPr>
          <w:szCs w:val="22"/>
        </w:rPr>
        <w:t>na</w:t>
      </w:r>
      <w:r w:rsidRPr="008E5E84">
        <w:rPr>
          <w:szCs w:val="22"/>
        </w:rPr>
        <w:t>rušenej renálnej funkcii.</w:t>
      </w:r>
    </w:p>
    <w:p w:rsidR="001406E8" w:rsidRPr="001406E8" w:rsidRDefault="001406E8">
      <w:pPr>
        <w:ind w:left="0" w:firstLine="0"/>
        <w:rPr>
          <w:szCs w:val="22"/>
        </w:rPr>
      </w:pPr>
    </w:p>
    <w:p w:rsidR="00E67A5A" w:rsidRPr="00707825" w:rsidRDefault="001406E8">
      <w:pPr>
        <w:ind w:left="0" w:firstLine="0"/>
        <w:rPr>
          <w:i/>
          <w:szCs w:val="22"/>
        </w:rPr>
      </w:pPr>
      <w:r w:rsidRPr="00707825">
        <w:rPr>
          <w:i/>
          <w:szCs w:val="22"/>
        </w:rPr>
        <w:t xml:space="preserve">Porucha funkcie </w:t>
      </w:r>
      <w:r w:rsidR="00E67A5A" w:rsidRPr="00707825">
        <w:rPr>
          <w:i/>
          <w:szCs w:val="22"/>
        </w:rPr>
        <w:t>obličiek (pozri časti 4.3 a 4.4):</w:t>
      </w:r>
    </w:p>
    <w:p w:rsidR="00E67A5A" w:rsidRDefault="00E67A5A">
      <w:pPr>
        <w:pStyle w:val="Zkladntext"/>
        <w:rPr>
          <w:szCs w:val="22"/>
        </w:rPr>
      </w:pPr>
      <w:r w:rsidRPr="001406E8">
        <w:rPr>
          <w:szCs w:val="22"/>
        </w:rPr>
        <w:t xml:space="preserve">Pri závažnom zlyhaní obličiek (klírens kreatinínu pod 30 ml/min) je liečba kontraindikovaná. Tiazidové a im príbuzné diuretiká sú plne účinné iba pri normálnej alebo len minimálne </w:t>
      </w:r>
      <w:r w:rsidR="00730DE1" w:rsidRPr="001406E8">
        <w:rPr>
          <w:szCs w:val="22"/>
        </w:rPr>
        <w:t xml:space="preserve">porušenej </w:t>
      </w:r>
      <w:r w:rsidRPr="001406E8">
        <w:rPr>
          <w:szCs w:val="22"/>
        </w:rPr>
        <w:t xml:space="preserve">funkcii obličiek. </w:t>
      </w:r>
    </w:p>
    <w:p w:rsidR="001406E8" w:rsidRDefault="001406E8">
      <w:pPr>
        <w:pStyle w:val="Zkladntext"/>
        <w:rPr>
          <w:szCs w:val="22"/>
        </w:rPr>
      </w:pPr>
    </w:p>
    <w:p w:rsidR="001406E8" w:rsidRPr="00CA52A7" w:rsidRDefault="001406E8" w:rsidP="001406E8">
      <w:pPr>
        <w:rPr>
          <w:szCs w:val="22"/>
        </w:rPr>
      </w:pPr>
      <w:r w:rsidRPr="00707825">
        <w:rPr>
          <w:i/>
          <w:szCs w:val="22"/>
        </w:rPr>
        <w:t>Porucha funkcie pečene (pozri časti 4.3 a 4.4):</w:t>
      </w:r>
    </w:p>
    <w:p w:rsidR="001406E8" w:rsidRPr="00237CFF" w:rsidRDefault="001406E8" w:rsidP="001406E8">
      <w:pPr>
        <w:rPr>
          <w:szCs w:val="22"/>
        </w:rPr>
      </w:pPr>
      <w:r>
        <w:rPr>
          <w:szCs w:val="22"/>
        </w:rPr>
        <w:t>Pri ťažkej poruche funkcie pečene je liečba kontraindikovaná.</w:t>
      </w:r>
    </w:p>
    <w:p w:rsidR="00E67A5A" w:rsidRPr="001406E8" w:rsidRDefault="00E67A5A">
      <w:pPr>
        <w:ind w:left="0" w:firstLine="0"/>
        <w:jc w:val="both"/>
      </w:pPr>
    </w:p>
    <w:p w:rsidR="00E67A5A" w:rsidRPr="001406E8" w:rsidRDefault="00410686">
      <w:pPr>
        <w:ind w:left="0" w:firstLine="0"/>
        <w:jc w:val="both"/>
        <w:rPr>
          <w:i/>
          <w:iCs/>
        </w:rPr>
      </w:pPr>
      <w:r w:rsidRPr="001406E8">
        <w:rPr>
          <w:i/>
          <w:iCs/>
        </w:rPr>
        <w:lastRenderedPageBreak/>
        <w:t>Pediatrická populácia</w:t>
      </w:r>
    </w:p>
    <w:p w:rsidR="001406E8" w:rsidRDefault="001406E8" w:rsidP="001406E8">
      <w:pPr>
        <w:ind w:left="0" w:firstLine="0"/>
        <w:rPr>
          <w:szCs w:val="22"/>
        </w:rPr>
      </w:pPr>
      <w:r>
        <w:rPr>
          <w:szCs w:val="22"/>
        </w:rPr>
        <w:t>Bezpečnosť a účinnosť Indapamidu STADA u detí a dospievajúcich neboli stanovené. K dispozícii nie sú žiadne údaje.</w:t>
      </w:r>
    </w:p>
    <w:p w:rsidR="00BE0B2B" w:rsidRPr="001406E8" w:rsidRDefault="00BE0B2B" w:rsidP="00BE0B2B">
      <w:pPr>
        <w:pStyle w:val="Nadpis2"/>
      </w:pPr>
    </w:p>
    <w:p w:rsidR="00BE0B2B" w:rsidRPr="00707825" w:rsidRDefault="00BE0B2B" w:rsidP="00BE0B2B">
      <w:pPr>
        <w:pStyle w:val="Nadpis2"/>
        <w:rPr>
          <w:b w:val="0"/>
          <w:u w:val="single"/>
        </w:rPr>
      </w:pPr>
      <w:r w:rsidRPr="00707825">
        <w:rPr>
          <w:b w:val="0"/>
          <w:u w:val="single"/>
        </w:rPr>
        <w:t>Spôsob podávania</w:t>
      </w:r>
    </w:p>
    <w:p w:rsidR="00BE0B2B" w:rsidRPr="001406E8" w:rsidRDefault="00BE0B2B" w:rsidP="00BE0B2B">
      <w:pPr>
        <w:rPr>
          <w:szCs w:val="22"/>
        </w:rPr>
      </w:pPr>
      <w:r w:rsidRPr="001406E8">
        <w:rPr>
          <w:szCs w:val="22"/>
        </w:rPr>
        <w:t>Perorálne použitie.</w:t>
      </w:r>
    </w:p>
    <w:p w:rsidR="00BE0B2B" w:rsidRPr="001406E8" w:rsidRDefault="00BE0B2B" w:rsidP="00BE0B2B">
      <w:pPr>
        <w:rPr>
          <w:szCs w:val="22"/>
        </w:rPr>
      </w:pPr>
    </w:p>
    <w:p w:rsidR="00BE0B2B" w:rsidRPr="001406E8" w:rsidRDefault="00BE0B2B" w:rsidP="00BE0B2B">
      <w:pPr>
        <w:pStyle w:val="Zkladntext"/>
        <w:rPr>
          <w:szCs w:val="22"/>
        </w:rPr>
      </w:pPr>
      <w:r w:rsidRPr="001406E8">
        <w:rPr>
          <w:szCs w:val="22"/>
        </w:rPr>
        <w:t>Tableta sa má prehltnúť a zapiť dostatočným množstvom tekutiny (napr. pohárom vody). Tableta sa nesmie žuvať.</w:t>
      </w:r>
    </w:p>
    <w:p w:rsidR="00E67A5A" w:rsidRPr="001406E8" w:rsidRDefault="00E67A5A">
      <w:pPr>
        <w:rPr>
          <w:szCs w:val="22"/>
        </w:rPr>
      </w:pPr>
    </w:p>
    <w:p w:rsidR="00E67A5A" w:rsidRDefault="00E67A5A" w:rsidP="00707825">
      <w:pPr>
        <w:rPr>
          <w:b/>
          <w:szCs w:val="22"/>
        </w:rPr>
      </w:pPr>
      <w:r w:rsidRPr="001406E8">
        <w:rPr>
          <w:b/>
          <w:szCs w:val="22"/>
        </w:rPr>
        <w:t>4.3</w:t>
      </w:r>
      <w:r w:rsidRPr="001406E8">
        <w:rPr>
          <w:b/>
          <w:szCs w:val="22"/>
        </w:rPr>
        <w:tab/>
        <w:t xml:space="preserve">Kontraindikácie </w:t>
      </w:r>
    </w:p>
    <w:p w:rsidR="00707825" w:rsidRPr="001406E8" w:rsidRDefault="00707825" w:rsidP="00707825">
      <w:pPr>
        <w:rPr>
          <w:szCs w:val="22"/>
        </w:rPr>
      </w:pPr>
    </w:p>
    <w:p w:rsidR="00E67A5A" w:rsidRPr="001406E8" w:rsidRDefault="00E67A5A" w:rsidP="00707825">
      <w:pPr>
        <w:pStyle w:val="Zkladntext3"/>
        <w:numPr>
          <w:ilvl w:val="0"/>
          <w:numId w:val="14"/>
        </w:numPr>
        <w:spacing w:before="0"/>
        <w:ind w:left="567" w:hanging="567"/>
        <w:jc w:val="left"/>
        <w:rPr>
          <w:rFonts w:ascii="Times New Roman" w:hAnsi="Times New Roman"/>
          <w:sz w:val="22"/>
        </w:rPr>
      </w:pPr>
      <w:r w:rsidRPr="001406E8">
        <w:rPr>
          <w:rFonts w:ascii="Times New Roman" w:hAnsi="Times New Roman"/>
          <w:sz w:val="22"/>
        </w:rPr>
        <w:t>Precitlivenosť na</w:t>
      </w:r>
      <w:r w:rsidR="00730DE1" w:rsidRPr="001406E8">
        <w:rPr>
          <w:rFonts w:ascii="Times New Roman" w:hAnsi="Times New Roman"/>
          <w:sz w:val="22"/>
        </w:rPr>
        <w:t xml:space="preserve"> </w:t>
      </w:r>
      <w:r w:rsidR="00BE0B2B" w:rsidRPr="001406E8">
        <w:rPr>
          <w:rFonts w:ascii="Times New Roman" w:hAnsi="Times New Roman"/>
          <w:sz w:val="22"/>
          <w:szCs w:val="22"/>
        </w:rPr>
        <w:t>liečivo</w:t>
      </w:r>
      <w:r w:rsidRPr="001406E8">
        <w:rPr>
          <w:rFonts w:ascii="Times New Roman" w:hAnsi="Times New Roman"/>
          <w:sz w:val="22"/>
          <w:szCs w:val="22"/>
        </w:rPr>
        <w:t>, iné sulfónamidy alebo na ktorúkoľvek z pomocných látok</w:t>
      </w:r>
      <w:r w:rsidR="00410686" w:rsidRPr="001406E8">
        <w:rPr>
          <w:rFonts w:ascii="Times New Roman" w:hAnsi="Times New Roman"/>
          <w:sz w:val="22"/>
          <w:szCs w:val="22"/>
        </w:rPr>
        <w:t xml:space="preserve"> uvedených v časti 6.1</w:t>
      </w:r>
      <w:r w:rsidRPr="001406E8">
        <w:rPr>
          <w:rFonts w:ascii="Times New Roman" w:hAnsi="Times New Roman"/>
          <w:sz w:val="22"/>
        </w:rPr>
        <w:t>.</w:t>
      </w:r>
    </w:p>
    <w:p w:rsidR="00E67A5A" w:rsidRPr="001406E8" w:rsidRDefault="001406E8" w:rsidP="00707825">
      <w:pPr>
        <w:numPr>
          <w:ilvl w:val="0"/>
          <w:numId w:val="14"/>
        </w:numPr>
        <w:ind w:left="567" w:hanging="567"/>
        <w:jc w:val="both"/>
      </w:pPr>
      <w:r>
        <w:t xml:space="preserve">Ťažké </w:t>
      </w:r>
      <w:r w:rsidR="00E67A5A" w:rsidRPr="001406E8">
        <w:t>zlyhanie obličiek.</w:t>
      </w:r>
    </w:p>
    <w:p w:rsidR="00E67A5A" w:rsidRPr="001406E8" w:rsidRDefault="00E67A5A" w:rsidP="00707825">
      <w:pPr>
        <w:numPr>
          <w:ilvl w:val="0"/>
          <w:numId w:val="14"/>
        </w:numPr>
        <w:ind w:left="567" w:hanging="567"/>
        <w:jc w:val="both"/>
      </w:pPr>
      <w:r w:rsidRPr="001406E8">
        <w:t xml:space="preserve">Hepatálna encefalopatia alebo </w:t>
      </w:r>
      <w:r w:rsidR="00730DE1" w:rsidRPr="001406E8">
        <w:t>ťažká porucha</w:t>
      </w:r>
      <w:r w:rsidRPr="001406E8">
        <w:t xml:space="preserve"> funkcie pečene. </w:t>
      </w:r>
    </w:p>
    <w:p w:rsidR="00E67A5A" w:rsidRPr="001406E8" w:rsidRDefault="00E67A5A" w:rsidP="00707825">
      <w:pPr>
        <w:pStyle w:val="Zkladntext"/>
        <w:numPr>
          <w:ilvl w:val="0"/>
          <w:numId w:val="14"/>
        </w:numPr>
        <w:ind w:left="567" w:hanging="567"/>
        <w:rPr>
          <w:szCs w:val="22"/>
        </w:rPr>
      </w:pPr>
      <w:r w:rsidRPr="001406E8">
        <w:t>Hypokaliémia.</w:t>
      </w:r>
    </w:p>
    <w:p w:rsidR="00E67A5A" w:rsidRPr="001406E8" w:rsidRDefault="00E67A5A">
      <w:pPr>
        <w:rPr>
          <w:szCs w:val="22"/>
        </w:rPr>
      </w:pPr>
    </w:p>
    <w:p w:rsidR="00E67A5A" w:rsidRPr="001406E8" w:rsidRDefault="00E67A5A">
      <w:pPr>
        <w:rPr>
          <w:szCs w:val="22"/>
        </w:rPr>
      </w:pPr>
      <w:r w:rsidRPr="001406E8">
        <w:rPr>
          <w:b/>
          <w:szCs w:val="22"/>
        </w:rPr>
        <w:t>4.4</w:t>
      </w:r>
      <w:r w:rsidRPr="001406E8">
        <w:rPr>
          <w:b/>
          <w:szCs w:val="22"/>
        </w:rPr>
        <w:tab/>
        <w:t>Osobitné upozornenia a opatrenia pri používaní</w:t>
      </w:r>
    </w:p>
    <w:p w:rsidR="00E67A5A" w:rsidRPr="001406E8" w:rsidRDefault="00E67A5A">
      <w:pPr>
        <w:rPr>
          <w:szCs w:val="22"/>
        </w:rPr>
      </w:pPr>
    </w:p>
    <w:p w:rsidR="00E67A5A" w:rsidRPr="001406E8" w:rsidRDefault="00E67A5A">
      <w:pPr>
        <w:pStyle w:val="Nadpis5"/>
        <w:spacing w:before="0"/>
        <w:rPr>
          <w:rFonts w:ascii="Times New Roman" w:hAnsi="Times New Roman" w:cs="Times New Roman"/>
          <w:sz w:val="22"/>
        </w:rPr>
      </w:pPr>
      <w:r w:rsidRPr="001406E8">
        <w:rPr>
          <w:rFonts w:ascii="Times New Roman" w:hAnsi="Times New Roman" w:cs="Times New Roman"/>
          <w:sz w:val="22"/>
        </w:rPr>
        <w:t>Osobitné upozornenia</w:t>
      </w:r>
    </w:p>
    <w:p w:rsidR="00E67A5A" w:rsidRPr="001406E8" w:rsidRDefault="00E67A5A">
      <w:pPr>
        <w:pStyle w:val="Zkladntext2"/>
        <w:spacing w:before="0"/>
        <w:jc w:val="left"/>
        <w:rPr>
          <w:sz w:val="22"/>
          <w:lang w:val="sk-SK"/>
        </w:rPr>
      </w:pPr>
      <w:r w:rsidRPr="001406E8">
        <w:rPr>
          <w:sz w:val="22"/>
          <w:lang w:val="sk-SK"/>
        </w:rPr>
        <w:t xml:space="preserve">Pri </w:t>
      </w:r>
      <w:r w:rsidR="00730DE1" w:rsidRPr="001406E8">
        <w:rPr>
          <w:sz w:val="22"/>
          <w:lang w:val="sk-SK"/>
        </w:rPr>
        <w:t xml:space="preserve">poruche </w:t>
      </w:r>
      <w:r w:rsidRPr="001406E8">
        <w:rPr>
          <w:sz w:val="22"/>
          <w:lang w:val="sk-SK"/>
        </w:rPr>
        <w:t>funkcie pečene môžu tiazidu príbuzné diuretiká spôsobiť hepatálnu encefalopatiu, najmä pri nerovnováhe elektrolytov. V takomto prípade sa musí podávanie diuretika okamžite zastaviť.</w:t>
      </w:r>
    </w:p>
    <w:p w:rsidR="00E67A5A" w:rsidRPr="001406E8" w:rsidRDefault="00E67A5A">
      <w:pPr>
        <w:pStyle w:val="Zkladntext2"/>
        <w:spacing w:before="0"/>
        <w:jc w:val="left"/>
        <w:rPr>
          <w:sz w:val="22"/>
          <w:lang w:val="sk-SK"/>
        </w:rPr>
      </w:pPr>
    </w:p>
    <w:p w:rsidR="00E67A5A" w:rsidRPr="001406E8" w:rsidRDefault="00E67A5A">
      <w:pPr>
        <w:pStyle w:val="Zkladntext2"/>
        <w:spacing w:before="0"/>
        <w:jc w:val="left"/>
        <w:rPr>
          <w:i/>
          <w:sz w:val="22"/>
          <w:u w:val="single"/>
          <w:lang w:val="sk-SK"/>
        </w:rPr>
      </w:pPr>
      <w:r w:rsidRPr="001406E8">
        <w:rPr>
          <w:i/>
          <w:sz w:val="22"/>
          <w:u w:val="single"/>
          <w:lang w:val="sk-SK"/>
        </w:rPr>
        <w:t>Precitlivenosť na svetlo</w:t>
      </w:r>
    </w:p>
    <w:p w:rsidR="00E67A5A" w:rsidRDefault="00E67A5A">
      <w:pPr>
        <w:pStyle w:val="Zkladntext2"/>
        <w:spacing w:before="0"/>
        <w:jc w:val="left"/>
        <w:rPr>
          <w:sz w:val="22"/>
          <w:lang w:val="sk-SK"/>
        </w:rPr>
      </w:pPr>
      <w:r w:rsidRPr="001406E8">
        <w:rPr>
          <w:sz w:val="22"/>
          <w:lang w:val="sk-SK"/>
        </w:rPr>
        <w:t>Pri použití tiazidových a tiazidu príbuzných diuretík boli zaznamenané prípady reakcií precitlivenosti na svetlo (pozri časť 4.8). Ak sa počas liečby vyskytne reakcia precitlivenosti na svetlo, odporúča sa liečbu zastaviť. Ak je nevyhnutné opätovné podanie</w:t>
      </w:r>
      <w:r w:rsidR="007C54A6">
        <w:rPr>
          <w:sz w:val="22"/>
          <w:lang w:val="sk-SK"/>
        </w:rPr>
        <w:t xml:space="preserve"> </w:t>
      </w:r>
      <w:r w:rsidR="0071080A">
        <w:rPr>
          <w:sz w:val="22"/>
          <w:lang w:val="sk-SK"/>
        </w:rPr>
        <w:t>diuretika</w:t>
      </w:r>
      <w:r w:rsidRPr="001406E8">
        <w:rPr>
          <w:sz w:val="22"/>
          <w:lang w:val="sk-SK"/>
        </w:rPr>
        <w:t xml:space="preserve">, </w:t>
      </w:r>
      <w:bookmarkStart w:id="2" w:name="OLE_LINK2"/>
      <w:r w:rsidRPr="001406E8">
        <w:rPr>
          <w:sz w:val="22"/>
          <w:lang w:val="sk-SK"/>
        </w:rPr>
        <w:t>odporúča sa chrániť oblasti vystavené slnku alebo umelému UVA žiareniu.</w:t>
      </w:r>
      <w:bookmarkEnd w:id="2"/>
    </w:p>
    <w:p w:rsidR="00906B20" w:rsidRDefault="00906B20">
      <w:pPr>
        <w:pStyle w:val="Zkladntext2"/>
        <w:spacing w:before="0"/>
        <w:jc w:val="left"/>
        <w:rPr>
          <w:sz w:val="22"/>
          <w:lang w:val="sk-SK"/>
        </w:rPr>
      </w:pPr>
    </w:p>
    <w:p w:rsidR="00906B20" w:rsidRPr="005069B7" w:rsidRDefault="00906B20" w:rsidP="00906B20">
      <w:pPr>
        <w:autoSpaceDE w:val="0"/>
        <w:autoSpaceDN w:val="0"/>
        <w:adjustRightInd w:val="0"/>
        <w:rPr>
          <w:i/>
          <w:color w:val="000000"/>
          <w:szCs w:val="22"/>
        </w:rPr>
      </w:pPr>
      <w:r w:rsidRPr="005069B7">
        <w:rPr>
          <w:i/>
          <w:color w:val="000000"/>
          <w:szCs w:val="22"/>
        </w:rPr>
        <w:t>Choroidálna efúzia, akútna myopia a sekund</w:t>
      </w:r>
      <w:r>
        <w:rPr>
          <w:i/>
          <w:color w:val="000000"/>
          <w:szCs w:val="22"/>
        </w:rPr>
        <w:t>árny glaukóm s uzavretým uhlom</w:t>
      </w:r>
    </w:p>
    <w:p w:rsidR="00906B20" w:rsidRPr="006D50A9" w:rsidRDefault="00906B20" w:rsidP="005069B7">
      <w:pPr>
        <w:ind w:left="0" w:firstLine="0"/>
        <w:rPr>
          <w:bCs/>
          <w:szCs w:val="22"/>
        </w:rPr>
      </w:pPr>
      <w:r w:rsidRPr="005069B7">
        <w:rPr>
          <w:color w:val="000000"/>
          <w:szCs w:val="22"/>
        </w:rPr>
        <w:t>Sulfónamid alebo deriváty sulfónamidu môžu spôsobiť idiosynkratickú reakciu vedúcu k choroidálnej efúzii s poruchou zorného poľa, tranzientnej myopii a akútnemu glaukómu s uzavretým uhlom.</w:t>
      </w:r>
      <w:r>
        <w:rPr>
          <w:color w:val="000000"/>
          <w:szCs w:val="22"/>
        </w:rPr>
        <w:t xml:space="preserve"> </w:t>
      </w:r>
      <w:r w:rsidRPr="00C56C53">
        <w:rPr>
          <w:color w:val="000000"/>
          <w:szCs w:val="22"/>
        </w:rPr>
        <w:t xml:space="preserve">Medzi príznaky patrí akútny nástup zníženej ostrosti zraku alebo bolesť </w:t>
      </w:r>
      <w:r>
        <w:rPr>
          <w:color w:val="000000"/>
          <w:szCs w:val="22"/>
        </w:rPr>
        <w:t>oka</w:t>
      </w:r>
      <w:r w:rsidRPr="00C56C53">
        <w:rPr>
          <w:color w:val="000000"/>
          <w:szCs w:val="22"/>
        </w:rPr>
        <w:t xml:space="preserve"> a zvyčajne sa vyskytujú v</w:t>
      </w:r>
      <w:r w:rsidR="006D50A9">
        <w:rPr>
          <w:color w:val="000000"/>
          <w:szCs w:val="22"/>
        </w:rPr>
        <w:t> </w:t>
      </w:r>
      <w:r w:rsidRPr="00C56C53">
        <w:rPr>
          <w:color w:val="000000"/>
          <w:szCs w:val="22"/>
        </w:rPr>
        <w:t xml:space="preserve">priebehu niekoľkých hodín až týždňov od začiatku liečby. Neliečený glaukóm s uzavretým uhlom môže viesť k trvalej strate zraku. Primárnou liečbou je čo najrýchlejšie prerušiť </w:t>
      </w:r>
      <w:r>
        <w:rPr>
          <w:color w:val="000000"/>
          <w:szCs w:val="22"/>
        </w:rPr>
        <w:t>užívanie</w:t>
      </w:r>
      <w:r w:rsidRPr="00C56C53">
        <w:rPr>
          <w:color w:val="000000"/>
          <w:szCs w:val="22"/>
        </w:rPr>
        <w:t xml:space="preserve"> liek</w:t>
      </w:r>
      <w:r>
        <w:rPr>
          <w:color w:val="000000"/>
          <w:szCs w:val="22"/>
        </w:rPr>
        <w:t>u</w:t>
      </w:r>
      <w:r w:rsidRPr="00C56C53">
        <w:rPr>
          <w:color w:val="000000"/>
          <w:szCs w:val="22"/>
        </w:rPr>
        <w:t>. Ak vnútroočný tlak zostáva nekontrolovaný, bude potrebné zvážiť rýchle lekárske alebo chirurgické ošetrenie. Medzi rizikové faktory rozvoja glaukómu s uzatvoreným uhlom môže patriť anamnéza alergie na sulf</w:t>
      </w:r>
      <w:r w:rsidR="006D50A9">
        <w:rPr>
          <w:color w:val="000000"/>
          <w:szCs w:val="22"/>
        </w:rPr>
        <w:t>ó</w:t>
      </w:r>
      <w:r w:rsidRPr="00C56C53">
        <w:rPr>
          <w:color w:val="000000"/>
          <w:szCs w:val="22"/>
        </w:rPr>
        <w:t>namid alebo penicilín.</w:t>
      </w:r>
    </w:p>
    <w:p w:rsidR="00BE0B2B" w:rsidRPr="001406E8" w:rsidRDefault="00BE0B2B">
      <w:pPr>
        <w:pStyle w:val="Zkladntext2"/>
        <w:spacing w:before="0"/>
        <w:jc w:val="left"/>
        <w:rPr>
          <w:sz w:val="22"/>
          <w:lang w:val="sk-SK"/>
        </w:rPr>
      </w:pPr>
    </w:p>
    <w:p w:rsidR="00BE0B2B" w:rsidRPr="001406E8" w:rsidRDefault="00BE0B2B">
      <w:pPr>
        <w:pStyle w:val="Zkladntext2"/>
        <w:spacing w:before="0"/>
        <w:jc w:val="left"/>
        <w:rPr>
          <w:i/>
          <w:sz w:val="22"/>
          <w:u w:val="single"/>
          <w:lang w:val="sk-SK"/>
        </w:rPr>
      </w:pPr>
      <w:r w:rsidRPr="001406E8">
        <w:rPr>
          <w:i/>
          <w:sz w:val="22"/>
          <w:u w:val="single"/>
          <w:lang w:val="sk-SK"/>
        </w:rPr>
        <w:t>Pomocné látky</w:t>
      </w:r>
    </w:p>
    <w:p w:rsidR="00BE0B2B" w:rsidRPr="001406E8" w:rsidRDefault="00BE0B2B" w:rsidP="00BE0B2B">
      <w:pPr>
        <w:ind w:left="0" w:firstLine="0"/>
      </w:pPr>
      <w:r w:rsidRPr="001406E8">
        <w:t xml:space="preserve">Indapamid STADA 1,5 mg obsahuje laktózu. Pacienti so zriedkavými dedičnými problémami galaktózovej intolerancie, </w:t>
      </w:r>
      <w:r w:rsidR="00906B20">
        <w:t xml:space="preserve">celkovým </w:t>
      </w:r>
      <w:r w:rsidRPr="001406E8">
        <w:t>deficit</w:t>
      </w:r>
      <w:r w:rsidR="00906B20">
        <w:t>om</w:t>
      </w:r>
      <w:r w:rsidRPr="001406E8">
        <w:t xml:space="preserve"> laktázy alebo glukózo-galaktózov</w:t>
      </w:r>
      <w:r w:rsidR="00906B20">
        <w:t>ou</w:t>
      </w:r>
      <w:r w:rsidRPr="001406E8">
        <w:t xml:space="preserve"> malabsorpci</w:t>
      </w:r>
      <w:r w:rsidR="00906B20">
        <w:t>ou</w:t>
      </w:r>
      <w:r w:rsidRPr="001406E8">
        <w:t xml:space="preserve"> nesmú užívať tento liek.</w:t>
      </w:r>
    </w:p>
    <w:p w:rsidR="00E67A5A" w:rsidRPr="001406E8" w:rsidRDefault="00E67A5A">
      <w:pPr>
        <w:pStyle w:val="Zkladntext"/>
        <w:rPr>
          <w:szCs w:val="22"/>
        </w:rPr>
      </w:pPr>
    </w:p>
    <w:p w:rsidR="00E67A5A" w:rsidRDefault="00E67A5A">
      <w:pPr>
        <w:jc w:val="both"/>
        <w:rPr>
          <w:i/>
          <w:u w:val="single"/>
        </w:rPr>
      </w:pPr>
      <w:r w:rsidRPr="001406E8">
        <w:rPr>
          <w:i/>
          <w:u w:val="single"/>
        </w:rPr>
        <w:t>Osobitné opatrenia pri používaní</w:t>
      </w:r>
    </w:p>
    <w:p w:rsidR="00707825" w:rsidRPr="001406E8" w:rsidRDefault="00707825">
      <w:pPr>
        <w:jc w:val="both"/>
        <w:rPr>
          <w:i/>
          <w:u w:val="single"/>
        </w:rPr>
      </w:pPr>
    </w:p>
    <w:p w:rsidR="00E67A5A" w:rsidRPr="00707825" w:rsidRDefault="00E67A5A">
      <w:pPr>
        <w:pStyle w:val="Zkladntext"/>
        <w:rPr>
          <w:b/>
          <w:bCs/>
        </w:rPr>
      </w:pPr>
      <w:r w:rsidRPr="00707825">
        <w:rPr>
          <w:b/>
          <w:bCs/>
        </w:rPr>
        <w:t>Rovnováha vody a elektrolytov</w:t>
      </w:r>
    </w:p>
    <w:p w:rsidR="00E67A5A" w:rsidRPr="001406E8" w:rsidRDefault="00E67A5A" w:rsidP="00707825">
      <w:pPr>
        <w:pStyle w:val="Zkladntext2"/>
        <w:numPr>
          <w:ilvl w:val="0"/>
          <w:numId w:val="8"/>
        </w:numPr>
        <w:spacing w:before="0"/>
        <w:ind w:left="567" w:hanging="567"/>
        <w:rPr>
          <w:sz w:val="22"/>
          <w:lang w:val="sk-SK"/>
        </w:rPr>
      </w:pPr>
      <w:r w:rsidRPr="001406E8">
        <w:rPr>
          <w:iCs/>
          <w:sz w:val="22"/>
          <w:lang w:val="sk-SK"/>
        </w:rPr>
        <w:t>Sodík v plazme</w:t>
      </w:r>
    </w:p>
    <w:p w:rsidR="0071080A" w:rsidRPr="008E5E84" w:rsidRDefault="00E67A5A" w:rsidP="0071080A">
      <w:pPr>
        <w:pStyle w:val="Zkladntext2"/>
        <w:spacing w:before="0"/>
        <w:jc w:val="left"/>
        <w:rPr>
          <w:sz w:val="22"/>
          <w:szCs w:val="22"/>
          <w:lang w:val="sk-SK"/>
        </w:rPr>
      </w:pPr>
      <w:r w:rsidRPr="001406E8">
        <w:rPr>
          <w:sz w:val="22"/>
          <w:lang w:val="sk-SK"/>
        </w:rPr>
        <w:t>Musí sa stanoviť pred začiatkom liečby a potom následne v pravidelných intervaloch. Pokles hladiny sodíka v plazme môže byť spočiatku asymptomatický, preto je nevyhnutné pravidelné sledovanie, ktoré má byť ešte častejšie u starších pacientov a pacientov s cirhózou (pozri časti 4.8 a 4.9).</w:t>
      </w:r>
      <w:r w:rsidR="0071080A">
        <w:rPr>
          <w:sz w:val="22"/>
          <w:lang w:val="sk-SK"/>
        </w:rPr>
        <w:t xml:space="preserve"> </w:t>
      </w:r>
      <w:r w:rsidR="0071080A">
        <w:rPr>
          <w:sz w:val="22"/>
          <w:szCs w:val="22"/>
          <w:lang w:val="sk-SK"/>
        </w:rPr>
        <w:t>Akákoľvek diuretická liečba môže vyvolať hyponatriémiu, niekedy s veľmi závažnými následkami. Hyponatriémia s hypovolémiou môžu byť zodpovedné za dehydrátaciu a ortostatickú hypotenziu. Súbežná strata chloridových iónov môže viesť k sekundárnej kompenzačnej metabolickej alkalóze: výskyt a stupeň tohto účinku je mierny.</w:t>
      </w:r>
    </w:p>
    <w:p w:rsidR="00E67A5A" w:rsidRPr="001406E8" w:rsidRDefault="00E67A5A">
      <w:pPr>
        <w:jc w:val="both"/>
      </w:pPr>
    </w:p>
    <w:p w:rsidR="00E67A5A" w:rsidRPr="001406E8" w:rsidRDefault="00E67A5A" w:rsidP="0071080A">
      <w:pPr>
        <w:numPr>
          <w:ilvl w:val="0"/>
          <w:numId w:val="8"/>
        </w:numPr>
        <w:ind w:left="567" w:hanging="567"/>
        <w:jc w:val="both"/>
      </w:pPr>
      <w:r w:rsidRPr="001406E8">
        <w:rPr>
          <w:iCs/>
        </w:rPr>
        <w:t>Draslík v plazme</w:t>
      </w:r>
    </w:p>
    <w:p w:rsidR="00E67A5A" w:rsidRPr="001406E8" w:rsidRDefault="00E67A5A" w:rsidP="0071080A">
      <w:pPr>
        <w:pStyle w:val="EMEAEnBodyText"/>
        <w:spacing w:before="0" w:after="0"/>
        <w:jc w:val="left"/>
        <w:rPr>
          <w:szCs w:val="24"/>
          <w:lang w:val="sk-SK" w:eastAsia="sk-SK"/>
        </w:rPr>
      </w:pPr>
      <w:r w:rsidRPr="001406E8">
        <w:rPr>
          <w:szCs w:val="24"/>
          <w:lang w:val="sk-SK" w:eastAsia="sk-SK"/>
        </w:rPr>
        <w:t>Deplécia draslíka s hypokaliémiou predstavuje hlavné riziko podávania tiazidových a im príbuzných diuretík. Riziku vzniku hypokaliémie (&lt;3,4 mmol/l) sa musí predísť v niektorých vysoko rizikových skupinách pacientov, t.j. u starších pacientov, u podvyživených a/alebo u polymedikovaných pacientov, u cirhotických pacientov s opuchmi a ascitom, u pacientov s ochorením koronárnych tepien a srdcovým zlyhaním. V týchto prípadoch hypokaliémia zvyšuje kardiotoxicitu srdcových glykozidov a riziká vzniku arytmií.</w:t>
      </w:r>
    </w:p>
    <w:p w:rsidR="00E67A5A" w:rsidRPr="001406E8" w:rsidRDefault="00E67A5A" w:rsidP="0071080A">
      <w:pPr>
        <w:ind w:left="0" w:firstLine="0"/>
        <w:jc w:val="both"/>
      </w:pPr>
    </w:p>
    <w:p w:rsidR="00E67A5A" w:rsidRPr="001406E8" w:rsidRDefault="00E67A5A" w:rsidP="0071080A">
      <w:pPr>
        <w:ind w:left="0" w:firstLine="0"/>
      </w:pPr>
      <w:r w:rsidRPr="001406E8">
        <w:t xml:space="preserve">Ohrození sú aj jedinci s dlhým QT intervalom, či už je pôvod vrodený alebo iatrogénny. Hypokaliémia, podobne ako aj bradykardia, je potom predisponujúcim faktorom vzniku závažných arytmií, osobitne potenciálne fatálnych </w:t>
      </w:r>
      <w:r w:rsidRPr="001406E8">
        <w:rPr>
          <w:i/>
        </w:rPr>
        <w:t>torsades de pointes.</w:t>
      </w:r>
    </w:p>
    <w:p w:rsidR="00E67A5A" w:rsidRPr="001406E8" w:rsidRDefault="00E67A5A" w:rsidP="0071080A">
      <w:pPr>
        <w:pStyle w:val="Hlavika"/>
        <w:jc w:val="both"/>
        <w:rPr>
          <w:rFonts w:ascii="Times New Roman" w:hAnsi="Times New Roman"/>
          <w:noProof w:val="0"/>
          <w:sz w:val="22"/>
          <w:lang w:val="sk-SK"/>
        </w:rPr>
      </w:pPr>
    </w:p>
    <w:p w:rsidR="00E67A5A" w:rsidRPr="001406E8" w:rsidRDefault="00E67A5A" w:rsidP="0071080A">
      <w:pPr>
        <w:pStyle w:val="Zkladntext"/>
      </w:pPr>
      <w:r w:rsidRPr="001406E8">
        <w:t>Vo všetkých vyššie uvedených prípadoch sa vyžaduje častejšie sledovanie kaliémie. Prvé vyšetrenie kaliémie sa má uskutočniť v prvom týždni od začiatku liečby.</w:t>
      </w:r>
    </w:p>
    <w:p w:rsidR="00E67A5A" w:rsidRPr="001406E8" w:rsidRDefault="00E67A5A" w:rsidP="0071080A">
      <w:pPr>
        <w:pStyle w:val="Zkladntext"/>
        <w:rPr>
          <w:szCs w:val="22"/>
        </w:rPr>
      </w:pPr>
      <w:r w:rsidRPr="001406E8">
        <w:t>Zistenie hypokaliémie si vyžaduje jej úpravu.</w:t>
      </w:r>
    </w:p>
    <w:p w:rsidR="00E67A5A" w:rsidRPr="001406E8" w:rsidRDefault="00E67A5A" w:rsidP="0071080A">
      <w:pPr>
        <w:tabs>
          <w:tab w:val="left" w:pos="1701"/>
        </w:tabs>
        <w:jc w:val="both"/>
      </w:pPr>
    </w:p>
    <w:p w:rsidR="00E67A5A" w:rsidRPr="001406E8" w:rsidRDefault="00E67A5A" w:rsidP="0071080A">
      <w:pPr>
        <w:pStyle w:val="EMEAEnBodyText"/>
        <w:numPr>
          <w:ilvl w:val="0"/>
          <w:numId w:val="8"/>
        </w:numPr>
        <w:tabs>
          <w:tab w:val="left" w:pos="540"/>
        </w:tabs>
        <w:spacing w:before="0" w:after="0"/>
        <w:ind w:left="567" w:hanging="567"/>
        <w:rPr>
          <w:szCs w:val="24"/>
          <w:lang w:val="sk-SK" w:eastAsia="sk-SK"/>
        </w:rPr>
      </w:pPr>
      <w:r w:rsidRPr="001406E8">
        <w:rPr>
          <w:szCs w:val="24"/>
          <w:lang w:val="sk-SK" w:eastAsia="sk-SK"/>
        </w:rPr>
        <w:tab/>
        <w:t>Vápnik v plazme:</w:t>
      </w:r>
    </w:p>
    <w:p w:rsidR="00BE0B2B" w:rsidRPr="001406E8" w:rsidRDefault="00E67A5A">
      <w:pPr>
        <w:pStyle w:val="Zkladntext3"/>
        <w:spacing w:before="0"/>
        <w:jc w:val="left"/>
        <w:rPr>
          <w:rFonts w:ascii="Times New Roman" w:hAnsi="Times New Roman"/>
          <w:sz w:val="22"/>
        </w:rPr>
      </w:pPr>
      <w:r w:rsidRPr="001406E8">
        <w:rPr>
          <w:rFonts w:ascii="Times New Roman" w:hAnsi="Times New Roman"/>
          <w:sz w:val="22"/>
        </w:rPr>
        <w:t xml:space="preserve">Tiazidové a im príbuzné diuretiká môžu znížiť vylučovanie vápnika močom a spôsobiť mierne a prechodné zvýšenie hladín vápnika v plazme. Klinická hyperkalciémia môže súvisieť s vopred nediagnostikovaným hyperparatyreoidizmom. </w:t>
      </w:r>
    </w:p>
    <w:p w:rsidR="00E67A5A" w:rsidRPr="001406E8" w:rsidRDefault="00E67A5A">
      <w:pPr>
        <w:pStyle w:val="Zkladntext3"/>
        <w:spacing w:before="0"/>
        <w:jc w:val="left"/>
        <w:rPr>
          <w:rFonts w:ascii="Times New Roman" w:hAnsi="Times New Roman"/>
          <w:sz w:val="22"/>
        </w:rPr>
      </w:pPr>
      <w:r w:rsidRPr="001406E8">
        <w:rPr>
          <w:rFonts w:ascii="Times New Roman" w:hAnsi="Times New Roman"/>
          <w:sz w:val="22"/>
        </w:rPr>
        <w:t>Pred vyšetrením paratyreoidálnych funkcií je potrebné liečbu prerušiť.</w:t>
      </w:r>
    </w:p>
    <w:p w:rsidR="00E67A5A" w:rsidRPr="001406E8" w:rsidRDefault="00E67A5A">
      <w:pPr>
        <w:jc w:val="both"/>
        <w:rPr>
          <w:b/>
        </w:rPr>
      </w:pPr>
    </w:p>
    <w:p w:rsidR="00E67A5A" w:rsidRPr="00707825" w:rsidRDefault="00E67A5A">
      <w:pPr>
        <w:jc w:val="both"/>
        <w:rPr>
          <w:b/>
        </w:rPr>
      </w:pPr>
      <w:r w:rsidRPr="00707825">
        <w:rPr>
          <w:b/>
        </w:rPr>
        <w:t>Glykémia</w:t>
      </w:r>
    </w:p>
    <w:p w:rsidR="00E67A5A" w:rsidRPr="007C54A6" w:rsidRDefault="00E67A5A">
      <w:pPr>
        <w:jc w:val="both"/>
      </w:pPr>
      <w:r w:rsidRPr="007C54A6">
        <w:t>Sledovanie glykémie je dôležité u diabetikov, najmä s prítomnou hypokaliémiou.</w:t>
      </w:r>
    </w:p>
    <w:p w:rsidR="00E67A5A" w:rsidRPr="00CA52A7" w:rsidRDefault="00E67A5A">
      <w:pPr>
        <w:jc w:val="both"/>
      </w:pPr>
    </w:p>
    <w:p w:rsidR="00E67A5A" w:rsidRPr="00707825" w:rsidRDefault="00E67A5A">
      <w:pPr>
        <w:pStyle w:val="Zkladntext"/>
        <w:rPr>
          <w:b/>
          <w:bCs/>
        </w:rPr>
      </w:pPr>
      <w:r w:rsidRPr="00707825">
        <w:rPr>
          <w:b/>
          <w:bCs/>
        </w:rPr>
        <w:t>Urikémia</w:t>
      </w:r>
    </w:p>
    <w:p w:rsidR="00E67A5A" w:rsidRPr="007C54A6" w:rsidRDefault="00E67A5A">
      <w:pPr>
        <w:pStyle w:val="Zarkazkladnhotextu"/>
        <w:spacing w:before="0"/>
        <w:ind w:left="0" w:firstLine="0"/>
        <w:rPr>
          <w:sz w:val="22"/>
        </w:rPr>
      </w:pPr>
      <w:r w:rsidRPr="007C54A6">
        <w:rPr>
          <w:sz w:val="22"/>
        </w:rPr>
        <w:t>U pacientov so zvýšenými hladinami kyseliny močovej môže byť zvýšená tendencia k záchvatom dny.</w:t>
      </w:r>
    </w:p>
    <w:p w:rsidR="00E67A5A" w:rsidRPr="00CA52A7" w:rsidRDefault="00E67A5A">
      <w:pPr>
        <w:pStyle w:val="a"/>
        <w:jc w:val="both"/>
        <w:rPr>
          <w:sz w:val="22"/>
          <w:lang w:val="sk-SK"/>
        </w:rPr>
      </w:pPr>
    </w:p>
    <w:p w:rsidR="00E67A5A" w:rsidRPr="00707825" w:rsidRDefault="00E67A5A">
      <w:pPr>
        <w:jc w:val="both"/>
        <w:rPr>
          <w:b/>
        </w:rPr>
      </w:pPr>
      <w:r w:rsidRPr="00707825">
        <w:rPr>
          <w:b/>
        </w:rPr>
        <w:t>Renálna funkcia a diuretiká</w:t>
      </w:r>
    </w:p>
    <w:p w:rsidR="00E67A5A" w:rsidRPr="001406E8" w:rsidRDefault="00E67A5A">
      <w:pPr>
        <w:ind w:left="0" w:firstLine="0"/>
      </w:pPr>
      <w:r w:rsidRPr="001406E8">
        <w:t>Tiazidové a im príbuzné diuretiká sú plne účinné iba pri normálnej alebo len minimálne po</w:t>
      </w:r>
      <w:r w:rsidR="006D50A9">
        <w:t>ruše</w:t>
      </w:r>
      <w:r w:rsidRPr="001406E8">
        <w:t>nej funkcii obličiek (sérový kreatinín pod 25 mg/l, t. j. 220 µmol/l u dospelých osôb). U starších pacientov sa hodnota sérového kreatinínu musí upraviť podľa veku, telesnej hmotnosti a pohlavia.</w:t>
      </w:r>
    </w:p>
    <w:p w:rsidR="00E67A5A" w:rsidRPr="001406E8" w:rsidRDefault="00E67A5A">
      <w:pPr>
        <w:ind w:left="0" w:firstLine="0"/>
      </w:pPr>
      <w:r w:rsidRPr="001406E8">
        <w:t>Hypovolémia, sekundárne spôsobená stratou vody a sodíka, ktorá je indukovaná diuretikom na začiatku liečby, spôsobuje zníženie glomerulárnej filtrácie. Toto môže viesť k zvýšeniu hladín urey  a kreatinínu v krvi. Táto prechodná funkčná renálna insuficiencia nemá žiadne dôsledky pre jedincov s normálnou renálnou funkciou, ale môže zhoršiť už existujúcu renálnu insuficienciu.</w:t>
      </w:r>
    </w:p>
    <w:p w:rsidR="00E67A5A" w:rsidRPr="001406E8" w:rsidRDefault="00E67A5A">
      <w:pPr>
        <w:jc w:val="both"/>
      </w:pPr>
    </w:p>
    <w:p w:rsidR="00E67A5A" w:rsidRPr="001406E8" w:rsidRDefault="00E67A5A">
      <w:pPr>
        <w:jc w:val="both"/>
        <w:rPr>
          <w:b/>
          <w:i/>
        </w:rPr>
      </w:pPr>
      <w:r w:rsidRPr="00707825">
        <w:rPr>
          <w:b/>
        </w:rPr>
        <w:t>Športovci</w:t>
      </w:r>
    </w:p>
    <w:p w:rsidR="00E67A5A" w:rsidRPr="001406E8" w:rsidRDefault="00E67A5A">
      <w:pPr>
        <w:ind w:left="0" w:firstLine="0"/>
      </w:pPr>
      <w:r w:rsidRPr="001406E8">
        <w:t>Pozornosť športovcov je upriamená na fakt, že tento liek obsahuje liečivo, ktoré môže spôsobiť pozitívnu reakciu pri dopingových testoch.</w:t>
      </w:r>
    </w:p>
    <w:p w:rsidR="00410686" w:rsidRPr="001406E8" w:rsidRDefault="00410686" w:rsidP="00563049">
      <w:pPr>
        <w:ind w:left="0" w:firstLine="0"/>
      </w:pPr>
    </w:p>
    <w:p w:rsidR="00E67A5A" w:rsidRPr="001406E8" w:rsidRDefault="00E67A5A">
      <w:pPr>
        <w:jc w:val="both"/>
        <w:rPr>
          <w:b/>
        </w:rPr>
      </w:pPr>
      <w:r w:rsidRPr="001406E8">
        <w:rPr>
          <w:b/>
        </w:rPr>
        <w:t>4.5</w:t>
      </w:r>
      <w:r w:rsidRPr="001406E8">
        <w:rPr>
          <w:b/>
        </w:rPr>
        <w:tab/>
      </w:r>
      <w:smartTag w:uri="urn:schemas-microsoft-com:office:smarttags" w:element="PersonName">
        <w:r w:rsidRPr="001406E8">
          <w:rPr>
            <w:b/>
          </w:rPr>
          <w:t>Liek</w:t>
        </w:r>
      </w:smartTag>
      <w:r w:rsidRPr="001406E8">
        <w:rPr>
          <w:b/>
        </w:rPr>
        <w:t xml:space="preserve">ové a iné interakcie  </w:t>
      </w:r>
    </w:p>
    <w:p w:rsidR="00E67A5A" w:rsidRPr="001406E8" w:rsidRDefault="00E67A5A">
      <w:pPr>
        <w:pStyle w:val="Nadpis5"/>
        <w:spacing w:before="0"/>
        <w:rPr>
          <w:rFonts w:ascii="Times New Roman" w:hAnsi="Times New Roman" w:cs="Times New Roman"/>
          <w:sz w:val="22"/>
        </w:rPr>
      </w:pPr>
    </w:p>
    <w:p w:rsidR="00E67A5A" w:rsidRDefault="00E67A5A">
      <w:pPr>
        <w:pStyle w:val="Nadpis5"/>
        <w:spacing w:before="0"/>
        <w:rPr>
          <w:rFonts w:ascii="Times New Roman" w:hAnsi="Times New Roman" w:cs="Times New Roman"/>
          <w:i w:val="0"/>
          <w:iCs/>
          <w:sz w:val="22"/>
        </w:rPr>
      </w:pPr>
      <w:r w:rsidRPr="001406E8">
        <w:rPr>
          <w:rFonts w:ascii="Times New Roman" w:hAnsi="Times New Roman" w:cs="Times New Roman"/>
          <w:i w:val="0"/>
          <w:iCs/>
          <w:sz w:val="22"/>
        </w:rPr>
        <w:t>Kombinácie, ktoré sa neodporúčajú</w:t>
      </w:r>
    </w:p>
    <w:p w:rsidR="0071080A" w:rsidRPr="00707825" w:rsidRDefault="0071080A" w:rsidP="00707825">
      <w:pPr>
        <w:rPr>
          <w:lang w:eastAsia="en-US"/>
        </w:rPr>
      </w:pPr>
    </w:p>
    <w:p w:rsidR="00E67A5A" w:rsidRPr="001406E8" w:rsidRDefault="00E67A5A">
      <w:pPr>
        <w:pStyle w:val="Zkladntext"/>
        <w:rPr>
          <w:b/>
          <w:bCs/>
          <w:i/>
        </w:rPr>
      </w:pPr>
      <w:r w:rsidRPr="00707825">
        <w:rPr>
          <w:b/>
          <w:bCs/>
        </w:rPr>
        <w:t>Lítium</w:t>
      </w:r>
    </w:p>
    <w:p w:rsidR="00E67A5A" w:rsidRPr="001406E8" w:rsidRDefault="00E67A5A">
      <w:pPr>
        <w:pStyle w:val="Zkladntext"/>
      </w:pPr>
      <w:r w:rsidRPr="001406E8">
        <w:t>Zvýšené hodnoty plazmatického lítia so známkami predávkovania, ako napríklad pri neslanej diéte (znížené vylučovanie lítia močom). Ak je však potrebné použitie diuretika, vyžaduje sa pozorné sledovanie plazmatickej koncentrácie lítia a úprava dávky lieku.</w:t>
      </w:r>
    </w:p>
    <w:p w:rsidR="00BE0B2B" w:rsidRPr="001406E8" w:rsidRDefault="00BE0B2B">
      <w:pPr>
        <w:pStyle w:val="Zkladntext"/>
      </w:pPr>
    </w:p>
    <w:p w:rsidR="00BE0B2B" w:rsidRPr="001406E8" w:rsidRDefault="00BE0B2B" w:rsidP="00B51E57">
      <w:pPr>
        <w:pStyle w:val="a"/>
        <w:tabs>
          <w:tab w:val="clear" w:pos="4819"/>
          <w:tab w:val="clear" w:pos="9071"/>
        </w:tabs>
        <w:rPr>
          <w:b/>
          <w:bCs/>
          <w:i/>
          <w:sz w:val="22"/>
          <w:lang w:val="sk-SK"/>
        </w:rPr>
      </w:pPr>
      <w:r w:rsidRPr="00707825">
        <w:rPr>
          <w:b/>
          <w:bCs/>
          <w:sz w:val="22"/>
          <w:lang w:val="sk-SK"/>
        </w:rPr>
        <w:t>Diuretiká</w:t>
      </w:r>
    </w:p>
    <w:p w:rsidR="00BE0B2B" w:rsidRPr="001406E8" w:rsidRDefault="00BE0B2B" w:rsidP="00B51E57">
      <w:pPr>
        <w:pStyle w:val="a"/>
        <w:tabs>
          <w:tab w:val="clear" w:pos="4819"/>
          <w:tab w:val="clear" w:pos="9071"/>
        </w:tabs>
        <w:rPr>
          <w:sz w:val="22"/>
          <w:lang w:val="sk-SK"/>
        </w:rPr>
      </w:pPr>
      <w:r w:rsidRPr="001406E8">
        <w:rPr>
          <w:sz w:val="22"/>
          <w:lang w:val="sk-SK"/>
        </w:rPr>
        <w:t>Súbežné podávanie indapamidu s diuretikami (bumetanid, furosemid, piretanid, tiazidy a xipamid)</w:t>
      </w:r>
      <w:r w:rsidR="00CA41CD" w:rsidRPr="001406E8">
        <w:rPr>
          <w:sz w:val="22"/>
          <w:lang w:val="sk-SK"/>
        </w:rPr>
        <w:t xml:space="preserve"> môže spôsobiť hypokaliémiu, a preto sa </w:t>
      </w:r>
      <w:r w:rsidR="0071080A" w:rsidRPr="001406E8">
        <w:rPr>
          <w:sz w:val="22"/>
          <w:lang w:val="sk-SK"/>
        </w:rPr>
        <w:t>neodporúča</w:t>
      </w:r>
      <w:r w:rsidR="00CA41CD" w:rsidRPr="001406E8">
        <w:rPr>
          <w:sz w:val="22"/>
          <w:lang w:val="sk-SK"/>
        </w:rPr>
        <w:t>.</w:t>
      </w:r>
    </w:p>
    <w:p w:rsidR="00E67A5A" w:rsidRPr="001406E8" w:rsidRDefault="00E67A5A">
      <w:pPr>
        <w:jc w:val="both"/>
      </w:pPr>
    </w:p>
    <w:p w:rsidR="00E67A5A" w:rsidRPr="001406E8" w:rsidRDefault="00E67A5A">
      <w:pPr>
        <w:pStyle w:val="Nadpis4"/>
        <w:ind w:left="0"/>
        <w:rPr>
          <w:sz w:val="22"/>
        </w:rPr>
      </w:pPr>
      <w:r w:rsidRPr="001406E8">
        <w:rPr>
          <w:sz w:val="22"/>
        </w:rPr>
        <w:t>Kombinácie vyžadujúce si opatrenia pri používaní:</w:t>
      </w:r>
    </w:p>
    <w:p w:rsidR="00E67A5A" w:rsidRPr="001406E8" w:rsidRDefault="00E67A5A">
      <w:pPr>
        <w:jc w:val="both"/>
        <w:rPr>
          <w:b/>
          <w:i/>
        </w:rPr>
      </w:pPr>
      <w:smartTag w:uri="urn:schemas-microsoft-com:office:smarttags" w:element="PersonName">
        <w:r w:rsidRPr="00707825">
          <w:rPr>
            <w:b/>
          </w:rPr>
          <w:t>Liek</w:t>
        </w:r>
      </w:smartTag>
      <w:r w:rsidRPr="00707825">
        <w:rPr>
          <w:b/>
        </w:rPr>
        <w:t>y vyvolávajúce torsades de pointes</w:t>
      </w:r>
    </w:p>
    <w:p w:rsidR="00E67A5A" w:rsidRPr="001406E8" w:rsidRDefault="00E67A5A" w:rsidP="0071080A">
      <w:pPr>
        <w:numPr>
          <w:ilvl w:val="0"/>
          <w:numId w:val="8"/>
        </w:numPr>
        <w:ind w:left="284" w:hanging="284"/>
        <w:jc w:val="both"/>
        <w:rPr>
          <w:bCs/>
        </w:rPr>
      </w:pPr>
      <w:r w:rsidRPr="001406E8">
        <w:rPr>
          <w:bCs/>
        </w:rPr>
        <w:t>antiarytmiká triedy Ia (</w:t>
      </w:r>
      <w:r w:rsidR="00C16F20" w:rsidRPr="001406E8">
        <w:rPr>
          <w:bCs/>
        </w:rPr>
        <w:t>ch</w:t>
      </w:r>
      <w:r w:rsidRPr="001406E8">
        <w:rPr>
          <w:bCs/>
        </w:rPr>
        <w:t>inidín, hydro</w:t>
      </w:r>
      <w:r w:rsidR="00C16F20" w:rsidRPr="001406E8">
        <w:rPr>
          <w:bCs/>
        </w:rPr>
        <w:t>ch</w:t>
      </w:r>
      <w:r w:rsidRPr="001406E8">
        <w:rPr>
          <w:bCs/>
        </w:rPr>
        <w:t>inidín, dizopyramid),</w:t>
      </w:r>
    </w:p>
    <w:p w:rsidR="00E67A5A" w:rsidRPr="001406E8" w:rsidRDefault="00E67A5A" w:rsidP="0071080A">
      <w:pPr>
        <w:numPr>
          <w:ilvl w:val="0"/>
          <w:numId w:val="8"/>
        </w:numPr>
        <w:ind w:left="284" w:hanging="284"/>
        <w:rPr>
          <w:b/>
        </w:rPr>
      </w:pPr>
      <w:r w:rsidRPr="001406E8">
        <w:rPr>
          <w:bCs/>
        </w:rPr>
        <w:t>antiarytmiká triedy III (amiodarón, sotalol, dofetilid, ibutilid),</w:t>
      </w:r>
    </w:p>
    <w:p w:rsidR="00CA41CD" w:rsidRPr="001406E8" w:rsidRDefault="00E67A5A" w:rsidP="0071080A">
      <w:pPr>
        <w:pStyle w:val="EMEAEnBodyText"/>
        <w:numPr>
          <w:ilvl w:val="0"/>
          <w:numId w:val="8"/>
        </w:numPr>
        <w:spacing w:before="0" w:after="0"/>
        <w:ind w:left="284" w:hanging="284"/>
        <w:jc w:val="left"/>
        <w:rPr>
          <w:bCs/>
          <w:szCs w:val="24"/>
          <w:lang w:val="sk-SK" w:eastAsia="sk-SK"/>
        </w:rPr>
      </w:pPr>
      <w:r w:rsidRPr="001406E8">
        <w:rPr>
          <w:bCs/>
          <w:szCs w:val="24"/>
          <w:lang w:val="sk-SK" w:eastAsia="sk-SK"/>
        </w:rPr>
        <w:t xml:space="preserve">niektoré antipsychotiká: </w:t>
      </w:r>
    </w:p>
    <w:p w:rsidR="00CA41CD" w:rsidRPr="001406E8" w:rsidRDefault="00E67A5A" w:rsidP="00B51E57">
      <w:pPr>
        <w:pStyle w:val="EMEAEnBodyText"/>
        <w:numPr>
          <w:ilvl w:val="0"/>
          <w:numId w:val="10"/>
        </w:numPr>
        <w:spacing w:before="0" w:after="0"/>
        <w:jc w:val="left"/>
        <w:rPr>
          <w:bCs/>
          <w:szCs w:val="24"/>
          <w:lang w:val="sk-SK" w:eastAsia="sk-SK"/>
        </w:rPr>
      </w:pPr>
      <w:r w:rsidRPr="001406E8">
        <w:rPr>
          <w:bCs/>
          <w:szCs w:val="24"/>
          <w:lang w:val="sk-SK" w:eastAsia="sk-SK"/>
        </w:rPr>
        <w:t>fenotiazíny (chlórpromazín, cyamemazín, levomepromazín, tioridazín, trifluoperazín),</w:t>
      </w:r>
    </w:p>
    <w:p w:rsidR="00CA41CD" w:rsidRPr="001406E8" w:rsidRDefault="00E67A5A" w:rsidP="00B51E57">
      <w:pPr>
        <w:pStyle w:val="EMEAEnBodyText"/>
        <w:numPr>
          <w:ilvl w:val="0"/>
          <w:numId w:val="10"/>
        </w:numPr>
        <w:spacing w:before="0" w:after="0"/>
        <w:jc w:val="left"/>
        <w:rPr>
          <w:bCs/>
          <w:szCs w:val="24"/>
          <w:lang w:val="sk-SK" w:eastAsia="sk-SK"/>
        </w:rPr>
      </w:pPr>
      <w:r w:rsidRPr="001406E8">
        <w:rPr>
          <w:bCs/>
          <w:szCs w:val="24"/>
          <w:lang w:val="sk-SK" w:eastAsia="sk-SK"/>
        </w:rPr>
        <w:t xml:space="preserve">benzamidy (amisulprid, sulpirid, sultoprid, tiaprid), </w:t>
      </w:r>
    </w:p>
    <w:p w:rsidR="00E67A5A" w:rsidRPr="001406E8" w:rsidRDefault="00E67A5A" w:rsidP="00B51E57">
      <w:pPr>
        <w:pStyle w:val="EMEAEnBodyText"/>
        <w:numPr>
          <w:ilvl w:val="0"/>
          <w:numId w:val="10"/>
        </w:numPr>
        <w:spacing w:before="0" w:after="0"/>
        <w:jc w:val="left"/>
        <w:rPr>
          <w:bCs/>
          <w:szCs w:val="24"/>
          <w:lang w:val="sk-SK" w:eastAsia="sk-SK"/>
        </w:rPr>
      </w:pPr>
      <w:r w:rsidRPr="001406E8">
        <w:rPr>
          <w:bCs/>
          <w:szCs w:val="24"/>
          <w:lang w:val="sk-SK" w:eastAsia="sk-SK"/>
        </w:rPr>
        <w:t>butyrofenóny (droperidol, haloperidol)</w:t>
      </w:r>
    </w:p>
    <w:p w:rsidR="00E67A5A" w:rsidRPr="001406E8" w:rsidRDefault="00E67A5A" w:rsidP="00707825">
      <w:pPr>
        <w:numPr>
          <w:ilvl w:val="0"/>
          <w:numId w:val="4"/>
        </w:numPr>
        <w:tabs>
          <w:tab w:val="clear" w:pos="872"/>
          <w:tab w:val="num" w:pos="0"/>
        </w:tabs>
        <w:ind w:left="709" w:hanging="425"/>
        <w:rPr>
          <w:b/>
        </w:rPr>
      </w:pPr>
      <w:r w:rsidRPr="001406E8">
        <w:rPr>
          <w:bCs/>
        </w:rPr>
        <w:t>iné: bepridil, cisaprid, difemanil, erytromycín i.v., halofantrín, mizolastín, pentamidín, sparfloxacín, moxifloxacín, vinkamín i.v.</w:t>
      </w:r>
    </w:p>
    <w:p w:rsidR="00E67A5A" w:rsidRPr="001406E8" w:rsidRDefault="00E67A5A">
      <w:pPr>
        <w:ind w:left="360"/>
        <w:rPr>
          <w:bCs/>
        </w:rPr>
      </w:pPr>
    </w:p>
    <w:p w:rsidR="00E67A5A" w:rsidRPr="001406E8" w:rsidRDefault="00E67A5A">
      <w:pPr>
        <w:ind w:left="0" w:firstLine="0"/>
      </w:pPr>
      <w:r w:rsidRPr="001406E8">
        <w:rPr>
          <w:bCs/>
        </w:rPr>
        <w:t xml:space="preserve">Zvýšené riziko vzniku ventrikulárnych arytmií, osobitne </w:t>
      </w:r>
      <w:r w:rsidRPr="001406E8">
        <w:rPr>
          <w:i/>
        </w:rPr>
        <w:t>torsades de pointes</w:t>
      </w:r>
      <w:r w:rsidRPr="001406E8">
        <w:rPr>
          <w:iCs/>
        </w:rPr>
        <w:t xml:space="preserve"> (hypokaliémia</w:t>
      </w:r>
      <w:r w:rsidRPr="001406E8">
        <w:t xml:space="preserve"> je rizikový faktor).</w:t>
      </w:r>
    </w:p>
    <w:p w:rsidR="00E67A5A" w:rsidRPr="001406E8" w:rsidRDefault="00E67A5A">
      <w:pPr>
        <w:ind w:left="0" w:firstLine="0"/>
        <w:rPr>
          <w:iCs/>
        </w:rPr>
      </w:pPr>
    </w:p>
    <w:p w:rsidR="00E67A5A" w:rsidRPr="001406E8" w:rsidRDefault="00E67A5A">
      <w:pPr>
        <w:pStyle w:val="Zkladntext"/>
        <w:rPr>
          <w:iCs/>
        </w:rPr>
      </w:pPr>
      <w:r w:rsidRPr="001406E8">
        <w:rPr>
          <w:iCs/>
        </w:rPr>
        <w:t>Pred použitím tejto kombinácie sledujte, či pacient nemá hypokaliémiu a ak je to potrebné, upravte hladiny draslíka. Vykonávajte klinické kontroly, kontroly plazmatických elektrolytov a sledujte EKG.</w:t>
      </w:r>
    </w:p>
    <w:p w:rsidR="00E67A5A" w:rsidRPr="001406E8" w:rsidRDefault="00E67A5A">
      <w:pPr>
        <w:rPr>
          <w:iCs/>
        </w:rPr>
      </w:pPr>
    </w:p>
    <w:p w:rsidR="00E67A5A" w:rsidRPr="001406E8" w:rsidRDefault="00E67A5A">
      <w:pPr>
        <w:rPr>
          <w:b/>
        </w:rPr>
      </w:pPr>
      <w:r w:rsidRPr="001406E8">
        <w:rPr>
          <w:iCs/>
        </w:rPr>
        <w:t>Používajte liečivá, ktoré u pacientov s hypokaliémiou nespôsobujú torsades de pointes</w:t>
      </w:r>
      <w:r w:rsidRPr="001406E8">
        <w:rPr>
          <w:i/>
        </w:rPr>
        <w:t>.</w:t>
      </w:r>
    </w:p>
    <w:p w:rsidR="00E67A5A" w:rsidRPr="001406E8" w:rsidRDefault="00E67A5A">
      <w:pPr>
        <w:tabs>
          <w:tab w:val="left" w:pos="1134"/>
        </w:tabs>
        <w:rPr>
          <w:b/>
        </w:rPr>
      </w:pPr>
    </w:p>
    <w:p w:rsidR="00E67A5A" w:rsidRPr="00707825" w:rsidRDefault="00E67A5A">
      <w:pPr>
        <w:tabs>
          <w:tab w:val="left" w:pos="1134"/>
        </w:tabs>
        <w:ind w:left="0" w:firstLine="0"/>
        <w:rPr>
          <w:b/>
        </w:rPr>
      </w:pPr>
      <w:r w:rsidRPr="00707825">
        <w:rPr>
          <w:b/>
        </w:rPr>
        <w:t>Nesteroidné antiflogistiká (systémové podanie) vrátane selektívnych inhibítorov COX-2, vysokých dávok kyseliny salicylovej (≥ 3 g/deň)</w:t>
      </w:r>
    </w:p>
    <w:p w:rsidR="00E67A5A" w:rsidRPr="001406E8" w:rsidRDefault="00E67A5A">
      <w:pPr>
        <w:tabs>
          <w:tab w:val="left" w:pos="1134"/>
        </w:tabs>
      </w:pPr>
    </w:p>
    <w:p w:rsidR="00E67A5A" w:rsidRPr="001406E8" w:rsidRDefault="00E67A5A">
      <w:r w:rsidRPr="001406E8">
        <w:t xml:space="preserve">Možné zníženie antihypertenzného účinku indapamidu. </w:t>
      </w:r>
    </w:p>
    <w:p w:rsidR="00E67A5A" w:rsidRPr="001406E8" w:rsidRDefault="00E67A5A">
      <w:pPr>
        <w:jc w:val="both"/>
      </w:pPr>
    </w:p>
    <w:p w:rsidR="00E67A5A" w:rsidRPr="001406E8" w:rsidRDefault="00E67A5A">
      <w:pPr>
        <w:jc w:val="both"/>
      </w:pPr>
      <w:r w:rsidRPr="001406E8">
        <w:t>Riziko akútneho renálneho zlyhania u dehydratovaných pacientov (znížená glomerulárna filtrácia).</w:t>
      </w:r>
    </w:p>
    <w:p w:rsidR="00E67A5A" w:rsidRPr="001406E8" w:rsidRDefault="00E67A5A">
      <w:pPr>
        <w:jc w:val="both"/>
      </w:pPr>
      <w:r w:rsidRPr="001406E8">
        <w:t xml:space="preserve">Hydratujte pacienta; na začiatku liečby monitorujte renálne funkcie. </w:t>
      </w:r>
    </w:p>
    <w:p w:rsidR="00E67A5A" w:rsidRPr="001406E8" w:rsidRDefault="00E67A5A">
      <w:pPr>
        <w:jc w:val="both"/>
      </w:pPr>
    </w:p>
    <w:p w:rsidR="00E67A5A" w:rsidRPr="00707825" w:rsidRDefault="00E67A5A">
      <w:pPr>
        <w:tabs>
          <w:tab w:val="left" w:pos="1134"/>
        </w:tabs>
        <w:jc w:val="both"/>
        <w:rPr>
          <w:bCs/>
        </w:rPr>
      </w:pPr>
      <w:r w:rsidRPr="00707825">
        <w:rPr>
          <w:b/>
        </w:rPr>
        <w:t>Inhibítory enzýmu konvertujúceho angiotenzín (ACE)</w:t>
      </w:r>
    </w:p>
    <w:p w:rsidR="00E67A5A" w:rsidRPr="001406E8" w:rsidRDefault="00E67A5A">
      <w:pPr>
        <w:pStyle w:val="Zkladntext3"/>
        <w:spacing w:before="0"/>
        <w:jc w:val="left"/>
        <w:rPr>
          <w:rFonts w:ascii="Times New Roman" w:hAnsi="Times New Roman"/>
          <w:sz w:val="22"/>
        </w:rPr>
      </w:pPr>
      <w:r w:rsidRPr="001406E8">
        <w:rPr>
          <w:rFonts w:ascii="Times New Roman" w:hAnsi="Times New Roman"/>
          <w:sz w:val="22"/>
        </w:rPr>
        <w:t>Ak sa liečba ACE inhibítorom začne pri prítomnej deplécii sodíka (najmä u pacientov so stenózou renálnej artérie), existuje riziko vzniku náhlej hypotenzie a/alebo akútneho renálneho zlyhania.</w:t>
      </w:r>
    </w:p>
    <w:p w:rsidR="00E67A5A" w:rsidRPr="001406E8" w:rsidRDefault="00E67A5A"/>
    <w:p w:rsidR="00E67A5A" w:rsidRPr="001406E8" w:rsidRDefault="00E67A5A">
      <w:r w:rsidRPr="001406E8">
        <w:rPr>
          <w:i/>
        </w:rPr>
        <w:t xml:space="preserve">Pri hypertenzii, </w:t>
      </w:r>
      <w:r w:rsidRPr="001406E8">
        <w:t>ak predchádzajúca liečba diuretikami vyvolala depléciu sodíka, je potrebné:</w:t>
      </w:r>
    </w:p>
    <w:p w:rsidR="00E67A5A" w:rsidRPr="001406E8" w:rsidRDefault="00E67A5A" w:rsidP="00707825">
      <w:pPr>
        <w:numPr>
          <w:ilvl w:val="0"/>
          <w:numId w:val="16"/>
        </w:numPr>
        <w:tabs>
          <w:tab w:val="clear" w:pos="720"/>
          <w:tab w:val="num" w:pos="567"/>
        </w:tabs>
        <w:ind w:left="567" w:hanging="567"/>
      </w:pPr>
      <w:r w:rsidRPr="001406E8">
        <w:t>buď vysadiť diuretikum 3 dni pred začiatkom liečby ACE inhibítorom a v prípade potreby znovu začať podávať hypokaliemizujúce diuretikum,</w:t>
      </w:r>
    </w:p>
    <w:p w:rsidR="00E67A5A" w:rsidRPr="001406E8" w:rsidRDefault="00E67A5A" w:rsidP="00707825">
      <w:pPr>
        <w:pStyle w:val="Zarkazkladnhotextu2"/>
        <w:numPr>
          <w:ilvl w:val="0"/>
          <w:numId w:val="16"/>
        </w:numPr>
        <w:tabs>
          <w:tab w:val="clear" w:pos="720"/>
          <w:tab w:val="num" w:pos="567"/>
        </w:tabs>
        <w:ind w:left="567" w:hanging="567"/>
        <w:jc w:val="left"/>
        <w:rPr>
          <w:sz w:val="22"/>
        </w:rPr>
      </w:pPr>
      <w:r w:rsidRPr="001406E8">
        <w:rPr>
          <w:sz w:val="22"/>
        </w:rPr>
        <w:t>alebo podávať nízke začiatočné dávky ACE inhibítora a dávku zvyšovať len postupne.</w:t>
      </w:r>
    </w:p>
    <w:p w:rsidR="00E67A5A" w:rsidRPr="001406E8" w:rsidRDefault="00E67A5A"/>
    <w:p w:rsidR="00E67A5A" w:rsidRPr="001406E8" w:rsidRDefault="00E67A5A">
      <w:pPr>
        <w:ind w:left="0" w:firstLine="0"/>
        <w:rPr>
          <w:iCs/>
        </w:rPr>
      </w:pPr>
      <w:r w:rsidRPr="001406E8">
        <w:rPr>
          <w:i/>
        </w:rPr>
        <w:t>Pri kongestívnom zlyh</w:t>
      </w:r>
      <w:r w:rsidR="006D50A9">
        <w:rPr>
          <w:i/>
        </w:rPr>
        <w:t>áv</w:t>
      </w:r>
      <w:r w:rsidRPr="001406E8">
        <w:rPr>
          <w:i/>
        </w:rPr>
        <w:t>aní</w:t>
      </w:r>
      <w:r w:rsidRPr="001406E8">
        <w:rPr>
          <w:iCs/>
        </w:rPr>
        <w:t xml:space="preserve"> </w:t>
      </w:r>
      <w:r w:rsidRPr="001406E8">
        <w:rPr>
          <w:i/>
        </w:rPr>
        <w:t xml:space="preserve">srdca </w:t>
      </w:r>
      <w:r w:rsidRPr="001406E8">
        <w:rPr>
          <w:iCs/>
        </w:rPr>
        <w:t>začnite liečbu veľmi nízkou dávkou ACE inhibítora, ak je to možné, tak po znížení dávky súbežne podávaného hypokaliemizujúceho diuretika.</w:t>
      </w:r>
    </w:p>
    <w:p w:rsidR="00E67A5A" w:rsidRPr="001406E8" w:rsidRDefault="00E67A5A"/>
    <w:p w:rsidR="00E67A5A" w:rsidRPr="001406E8" w:rsidRDefault="00E67A5A">
      <w:pPr>
        <w:ind w:left="0" w:firstLine="0"/>
        <w:rPr>
          <w:iCs/>
        </w:rPr>
      </w:pPr>
      <w:r w:rsidRPr="001406E8">
        <w:rPr>
          <w:i/>
        </w:rPr>
        <w:t xml:space="preserve">V každom prípade </w:t>
      </w:r>
      <w:r w:rsidRPr="001406E8">
        <w:rPr>
          <w:iCs/>
        </w:rPr>
        <w:t>počas prvých týždňov liečby ACE inhibítorom sledujte renálnu funkciu (sérový kreatinín).</w:t>
      </w:r>
    </w:p>
    <w:p w:rsidR="00E67A5A" w:rsidRPr="001406E8" w:rsidRDefault="00E67A5A">
      <w:pPr>
        <w:rPr>
          <w:b/>
        </w:rPr>
      </w:pPr>
    </w:p>
    <w:p w:rsidR="00E67A5A" w:rsidRPr="001406E8" w:rsidRDefault="00E67A5A">
      <w:pPr>
        <w:ind w:left="0" w:firstLine="0"/>
        <w:rPr>
          <w:b/>
          <w:i/>
        </w:rPr>
      </w:pPr>
      <w:r w:rsidRPr="00707825">
        <w:rPr>
          <w:b/>
        </w:rPr>
        <w:t>Iné hypokaliemizujúce lieky: amfotericín B (i.v.), glukokortikoidy a minerálokortikoidy (systémové podanie), tetrako</w:t>
      </w:r>
      <w:r w:rsidR="005168F1">
        <w:rPr>
          <w:b/>
        </w:rPr>
        <w:t>z</w:t>
      </w:r>
      <w:r w:rsidRPr="00707825">
        <w:rPr>
          <w:b/>
        </w:rPr>
        <w:t>aktid, stimulačné laxatíva</w:t>
      </w:r>
    </w:p>
    <w:p w:rsidR="00E67A5A" w:rsidRPr="001406E8" w:rsidRDefault="00E67A5A">
      <w:pPr>
        <w:pStyle w:val="Zkladntext"/>
      </w:pPr>
      <w:r w:rsidRPr="001406E8">
        <w:t>Zvýšené riziko hypokaliémie</w:t>
      </w:r>
      <w:r w:rsidR="00CA41CD" w:rsidRPr="001406E8">
        <w:t xml:space="preserve"> (aditívny účinok)</w:t>
      </w:r>
      <w:r w:rsidRPr="001406E8">
        <w:t xml:space="preserve">. </w:t>
      </w:r>
    </w:p>
    <w:p w:rsidR="00E67A5A" w:rsidRPr="001406E8" w:rsidRDefault="00E67A5A">
      <w:pPr>
        <w:pStyle w:val="a"/>
        <w:tabs>
          <w:tab w:val="clear" w:pos="4819"/>
          <w:tab w:val="clear" w:pos="9071"/>
        </w:tabs>
        <w:jc w:val="both"/>
        <w:rPr>
          <w:sz w:val="22"/>
          <w:szCs w:val="22"/>
          <w:lang w:val="sk-SK"/>
        </w:rPr>
      </w:pPr>
    </w:p>
    <w:p w:rsidR="00E67A5A" w:rsidRPr="001406E8" w:rsidRDefault="00CA41CD">
      <w:pPr>
        <w:pStyle w:val="a"/>
        <w:tabs>
          <w:tab w:val="clear" w:pos="4819"/>
          <w:tab w:val="clear" w:pos="9071"/>
        </w:tabs>
        <w:jc w:val="both"/>
        <w:rPr>
          <w:sz w:val="22"/>
          <w:lang w:val="sk-SK"/>
        </w:rPr>
      </w:pPr>
      <w:r w:rsidRPr="001406E8">
        <w:rPr>
          <w:sz w:val="22"/>
          <w:szCs w:val="22"/>
          <w:lang w:val="sk-SK"/>
        </w:rPr>
        <w:t xml:space="preserve">Preto sa majú pozorne sledovať koncentrácie draslíka v plazme a v prípade potreby treba upraviť kaliémiu. </w:t>
      </w:r>
      <w:r w:rsidR="00E67A5A" w:rsidRPr="001406E8">
        <w:rPr>
          <w:sz w:val="22"/>
          <w:szCs w:val="22"/>
          <w:lang w:val="sk-SK"/>
        </w:rPr>
        <w:t>Treba to vziať do úvahy</w:t>
      </w:r>
      <w:r w:rsidR="00E67A5A" w:rsidRPr="001406E8">
        <w:rPr>
          <w:sz w:val="22"/>
          <w:lang w:val="sk-SK"/>
        </w:rPr>
        <w:t xml:space="preserve"> najmä pri súbežnej liečbe srdcovými glykozidmi.</w:t>
      </w:r>
    </w:p>
    <w:p w:rsidR="00E67A5A" w:rsidRPr="001406E8" w:rsidRDefault="00E67A5A">
      <w:pPr>
        <w:pStyle w:val="a"/>
        <w:tabs>
          <w:tab w:val="clear" w:pos="4819"/>
          <w:tab w:val="clear" w:pos="9071"/>
        </w:tabs>
        <w:jc w:val="both"/>
        <w:rPr>
          <w:sz w:val="22"/>
          <w:lang w:val="sk-SK"/>
        </w:rPr>
      </w:pPr>
      <w:r w:rsidRPr="001406E8">
        <w:rPr>
          <w:sz w:val="22"/>
          <w:lang w:val="sk-SK"/>
        </w:rPr>
        <w:t>Používajte nestimulujúce laxatíva.</w:t>
      </w:r>
    </w:p>
    <w:p w:rsidR="00E67A5A" w:rsidRPr="001406E8" w:rsidRDefault="00E67A5A">
      <w:pPr>
        <w:pStyle w:val="a"/>
        <w:tabs>
          <w:tab w:val="clear" w:pos="4819"/>
          <w:tab w:val="clear" w:pos="9071"/>
        </w:tabs>
        <w:jc w:val="both"/>
        <w:rPr>
          <w:sz w:val="22"/>
          <w:lang w:val="sk-SK"/>
        </w:rPr>
      </w:pPr>
    </w:p>
    <w:p w:rsidR="00E67A5A" w:rsidRPr="001406E8" w:rsidRDefault="00E67A5A">
      <w:pPr>
        <w:tabs>
          <w:tab w:val="left" w:pos="1134"/>
        </w:tabs>
        <w:jc w:val="both"/>
        <w:rPr>
          <w:b/>
          <w:i/>
        </w:rPr>
      </w:pPr>
      <w:r w:rsidRPr="00707825">
        <w:rPr>
          <w:b/>
        </w:rPr>
        <w:t>Baklofén</w:t>
      </w:r>
    </w:p>
    <w:p w:rsidR="00E67A5A" w:rsidRPr="001406E8" w:rsidRDefault="00E67A5A">
      <w:pPr>
        <w:pStyle w:val="Zkladntext3"/>
        <w:spacing w:before="0"/>
        <w:rPr>
          <w:rFonts w:ascii="Times New Roman" w:hAnsi="Times New Roman"/>
          <w:sz w:val="22"/>
        </w:rPr>
      </w:pPr>
      <w:r w:rsidRPr="001406E8">
        <w:rPr>
          <w:rFonts w:ascii="Times New Roman" w:hAnsi="Times New Roman"/>
          <w:sz w:val="22"/>
        </w:rPr>
        <w:t>Zvýšený antihypertenzný účinok. Hydratujte pacienta; na začiatku liečby sledujte renálnu funkciu.</w:t>
      </w:r>
    </w:p>
    <w:p w:rsidR="00E67A5A" w:rsidRPr="001406E8" w:rsidRDefault="00E67A5A">
      <w:pPr>
        <w:jc w:val="both"/>
        <w:rPr>
          <w:b/>
        </w:rPr>
      </w:pPr>
    </w:p>
    <w:p w:rsidR="00E67A5A" w:rsidRPr="001406E8" w:rsidRDefault="00E67A5A">
      <w:pPr>
        <w:jc w:val="both"/>
        <w:rPr>
          <w:b/>
          <w:i/>
        </w:rPr>
      </w:pPr>
      <w:r w:rsidRPr="00707825">
        <w:rPr>
          <w:b/>
        </w:rPr>
        <w:t>Srdcové glykozidy</w:t>
      </w:r>
    </w:p>
    <w:p w:rsidR="00E67A5A" w:rsidRPr="001406E8" w:rsidRDefault="00E67A5A">
      <w:pPr>
        <w:pStyle w:val="Zkladntext3"/>
        <w:spacing w:before="0"/>
        <w:rPr>
          <w:rFonts w:ascii="Times New Roman" w:hAnsi="Times New Roman"/>
          <w:sz w:val="22"/>
        </w:rPr>
      </w:pPr>
      <w:r w:rsidRPr="001406E8">
        <w:rPr>
          <w:rFonts w:ascii="Times New Roman" w:hAnsi="Times New Roman"/>
          <w:sz w:val="22"/>
        </w:rPr>
        <w:t xml:space="preserve">Hypokaliémia predisponuje k prejavom toxických účinkov srdcových glykozidov. </w:t>
      </w:r>
    </w:p>
    <w:p w:rsidR="00E67A5A" w:rsidRPr="001406E8" w:rsidRDefault="00E67A5A">
      <w:r w:rsidRPr="001406E8">
        <w:t>Sledujte kaliémiu a EKG a v prípade potreby upravte liečbu.</w:t>
      </w:r>
    </w:p>
    <w:p w:rsidR="00E67A5A" w:rsidRPr="001406E8" w:rsidRDefault="00E67A5A">
      <w:pPr>
        <w:pStyle w:val="a"/>
        <w:rPr>
          <w:sz w:val="22"/>
          <w:lang w:val="sk-SK"/>
        </w:rPr>
      </w:pPr>
    </w:p>
    <w:p w:rsidR="00E67A5A" w:rsidRPr="001406E8" w:rsidRDefault="00E67A5A">
      <w:pPr>
        <w:pStyle w:val="Nadpis2"/>
        <w:ind w:left="0" w:firstLine="0"/>
        <w:rPr>
          <w:b w:val="0"/>
          <w:bCs w:val="0"/>
          <w:i/>
          <w:iCs/>
          <w:u w:val="single"/>
        </w:rPr>
      </w:pPr>
      <w:r w:rsidRPr="001406E8">
        <w:rPr>
          <w:b w:val="0"/>
          <w:bCs w:val="0"/>
          <w:i/>
          <w:iCs/>
          <w:u w:val="single"/>
        </w:rPr>
        <w:t>Kombinácie, ktoré je potrebné vziať do úvahy</w:t>
      </w:r>
    </w:p>
    <w:p w:rsidR="0071080A" w:rsidRDefault="0071080A">
      <w:pPr>
        <w:tabs>
          <w:tab w:val="left" w:pos="1134"/>
        </w:tabs>
        <w:rPr>
          <w:b/>
          <w:i/>
        </w:rPr>
      </w:pPr>
    </w:p>
    <w:p w:rsidR="00E67A5A" w:rsidRPr="00707825" w:rsidRDefault="00E67A5A">
      <w:pPr>
        <w:tabs>
          <w:tab w:val="left" w:pos="1134"/>
        </w:tabs>
        <w:rPr>
          <w:b/>
        </w:rPr>
      </w:pPr>
      <w:r w:rsidRPr="00707825">
        <w:rPr>
          <w:b/>
        </w:rPr>
        <w:t>Draslík šetriace diuretiká (amilorid, spironolaktón, triamterén)</w:t>
      </w:r>
    </w:p>
    <w:p w:rsidR="00E67A5A" w:rsidRPr="00CA52A7" w:rsidRDefault="00E67A5A">
      <w:pPr>
        <w:pStyle w:val="EMEAEnBodyText"/>
        <w:spacing w:before="0" w:after="0"/>
        <w:jc w:val="left"/>
        <w:rPr>
          <w:szCs w:val="24"/>
          <w:lang w:val="sk-SK" w:eastAsia="sk-SK"/>
        </w:rPr>
      </w:pPr>
      <w:r w:rsidRPr="007C54A6">
        <w:rPr>
          <w:szCs w:val="24"/>
          <w:lang w:val="sk-SK" w:eastAsia="sk-SK"/>
        </w:rPr>
        <w:t>Hoci sú racionálne kombinácie u niektorých pacientov užitočné, vždy sa môže vyskytnúť hypokaliémia alebo hyperkaliémia (hlavne u pacientov s renálnym zlyhaním alebo diabetom). Má sa sledovať kaliémia a EKG a v prípade potreby</w:t>
      </w:r>
      <w:r w:rsidRPr="00CA52A7">
        <w:rPr>
          <w:szCs w:val="24"/>
          <w:lang w:val="sk-SK" w:eastAsia="sk-SK"/>
        </w:rPr>
        <w:t xml:space="preserve"> sa má prehodnotiť liečba.</w:t>
      </w:r>
    </w:p>
    <w:p w:rsidR="00E67A5A" w:rsidRPr="00707825" w:rsidRDefault="00E67A5A">
      <w:pPr>
        <w:tabs>
          <w:tab w:val="left" w:pos="1134"/>
        </w:tabs>
      </w:pPr>
    </w:p>
    <w:p w:rsidR="00E67A5A" w:rsidRPr="00707825" w:rsidRDefault="00E67A5A">
      <w:pPr>
        <w:rPr>
          <w:b/>
        </w:rPr>
      </w:pPr>
      <w:r w:rsidRPr="00707825">
        <w:rPr>
          <w:b/>
        </w:rPr>
        <w:t>Metformín</w:t>
      </w:r>
    </w:p>
    <w:p w:rsidR="00E67A5A" w:rsidRPr="00CA52A7" w:rsidRDefault="00E67A5A">
      <w:pPr>
        <w:pStyle w:val="Zkladntext3"/>
        <w:spacing w:before="0"/>
        <w:jc w:val="left"/>
        <w:rPr>
          <w:rFonts w:ascii="Times New Roman" w:hAnsi="Times New Roman"/>
          <w:sz w:val="22"/>
        </w:rPr>
      </w:pPr>
      <w:r w:rsidRPr="007C54A6">
        <w:rPr>
          <w:rFonts w:ascii="Times New Roman" w:hAnsi="Times New Roman"/>
          <w:sz w:val="22"/>
        </w:rPr>
        <w:t xml:space="preserve">Zvýšené riziko vzniku metformínom indukovanej laktátovej acidózy z dôvodu možnosti funkčného renálneho zlyhania spojeného s diuretikami, predovšetkým so slučkovými diuretikami. Nepoužívajte metformín, ak koncentrácia </w:t>
      </w:r>
      <w:r w:rsidRPr="00CA52A7">
        <w:rPr>
          <w:rFonts w:ascii="Times New Roman" w:hAnsi="Times New Roman"/>
          <w:sz w:val="22"/>
        </w:rPr>
        <w:t>kreatinínu v plazme prekročí 15 mg/l (135 µmol/l) u mužov a 12 mg/l (110 µmol/l) u žien.</w:t>
      </w:r>
    </w:p>
    <w:p w:rsidR="00E67A5A" w:rsidRPr="00707825" w:rsidRDefault="00E67A5A">
      <w:pPr>
        <w:pStyle w:val="Hlavika"/>
        <w:rPr>
          <w:rFonts w:ascii="Times New Roman" w:hAnsi="Times New Roman"/>
          <w:noProof w:val="0"/>
          <w:sz w:val="22"/>
          <w:lang w:val="sk-SK"/>
        </w:rPr>
      </w:pPr>
    </w:p>
    <w:p w:rsidR="00E67A5A" w:rsidRPr="00707825" w:rsidRDefault="00E67A5A">
      <w:pPr>
        <w:rPr>
          <w:b/>
        </w:rPr>
      </w:pPr>
      <w:r w:rsidRPr="00707825">
        <w:rPr>
          <w:b/>
        </w:rPr>
        <w:t>Jódované kontrastné látky</w:t>
      </w:r>
    </w:p>
    <w:p w:rsidR="00E67A5A" w:rsidRPr="00CA52A7" w:rsidRDefault="00E67A5A">
      <w:pPr>
        <w:pStyle w:val="Zkladntext3"/>
        <w:spacing w:before="0"/>
        <w:jc w:val="left"/>
        <w:rPr>
          <w:rFonts w:ascii="Times New Roman" w:hAnsi="Times New Roman"/>
          <w:sz w:val="22"/>
        </w:rPr>
      </w:pPr>
      <w:r w:rsidRPr="007C54A6">
        <w:rPr>
          <w:rFonts w:ascii="Times New Roman" w:hAnsi="Times New Roman"/>
          <w:sz w:val="22"/>
        </w:rPr>
        <w:t>Pri dehydratácii spôsobenej diuretikami existuje zvýšené riziko akútneho renálneho zlyhania, najmä pri použití vysokých dávok jódovaných ko</w:t>
      </w:r>
      <w:r w:rsidRPr="00CA52A7">
        <w:rPr>
          <w:rFonts w:ascii="Times New Roman" w:hAnsi="Times New Roman"/>
          <w:sz w:val="22"/>
        </w:rPr>
        <w:t>ntrastných látok.</w:t>
      </w:r>
    </w:p>
    <w:p w:rsidR="00163428" w:rsidRPr="00707825" w:rsidRDefault="00163428"/>
    <w:p w:rsidR="00E67A5A" w:rsidRPr="00707825" w:rsidRDefault="00E67A5A">
      <w:pPr>
        <w:rPr>
          <w:szCs w:val="22"/>
        </w:rPr>
      </w:pPr>
      <w:r w:rsidRPr="00707825">
        <w:t>Pred podaním jódovaných zlúčenín je nevyhnutná rehydratácia.</w:t>
      </w:r>
    </w:p>
    <w:p w:rsidR="00E67A5A" w:rsidRPr="00707825" w:rsidRDefault="00E67A5A">
      <w:pPr>
        <w:rPr>
          <w:szCs w:val="22"/>
        </w:rPr>
      </w:pPr>
    </w:p>
    <w:p w:rsidR="00E67A5A" w:rsidRPr="00707825" w:rsidRDefault="00E67A5A">
      <w:pPr>
        <w:jc w:val="both"/>
        <w:rPr>
          <w:b/>
        </w:rPr>
      </w:pPr>
      <w:r w:rsidRPr="00707825">
        <w:rPr>
          <w:b/>
        </w:rPr>
        <w:t>Imipramínové antidepresíva, neuroleptiká</w:t>
      </w:r>
    </w:p>
    <w:p w:rsidR="00E67A5A" w:rsidRPr="007C54A6" w:rsidRDefault="00E67A5A">
      <w:pPr>
        <w:jc w:val="both"/>
      </w:pPr>
      <w:r w:rsidRPr="007C54A6">
        <w:t xml:space="preserve">Zvýšený antihypertenzný účinok a riziko ortostatickej hypotenzie (aditívny účinok). </w:t>
      </w:r>
    </w:p>
    <w:p w:rsidR="00E67A5A" w:rsidRPr="00CA52A7" w:rsidRDefault="00E67A5A">
      <w:pPr>
        <w:pStyle w:val="Hlavika"/>
        <w:jc w:val="both"/>
        <w:rPr>
          <w:rFonts w:ascii="Times New Roman" w:hAnsi="Times New Roman"/>
          <w:noProof w:val="0"/>
          <w:sz w:val="22"/>
          <w:lang w:val="sk-SK"/>
        </w:rPr>
      </w:pPr>
    </w:p>
    <w:p w:rsidR="00E67A5A" w:rsidRPr="00707825" w:rsidRDefault="00E67A5A">
      <w:pPr>
        <w:jc w:val="both"/>
        <w:rPr>
          <w:b/>
        </w:rPr>
      </w:pPr>
      <w:r w:rsidRPr="00707825">
        <w:rPr>
          <w:b/>
        </w:rPr>
        <w:t>Vápnik (soli)</w:t>
      </w:r>
    </w:p>
    <w:p w:rsidR="00E67A5A" w:rsidRPr="00CA52A7" w:rsidRDefault="00E67A5A">
      <w:pPr>
        <w:jc w:val="both"/>
      </w:pPr>
      <w:r w:rsidRPr="007C54A6">
        <w:t>Riziko hyperkalciémie v dôsledku</w:t>
      </w:r>
      <w:r w:rsidRPr="00CA52A7">
        <w:t xml:space="preserve"> zníženého vylučovania vápnika močom.</w:t>
      </w:r>
    </w:p>
    <w:p w:rsidR="00E67A5A" w:rsidRPr="00707825" w:rsidRDefault="00E67A5A">
      <w:pPr>
        <w:jc w:val="both"/>
      </w:pPr>
    </w:p>
    <w:p w:rsidR="00E67A5A" w:rsidRPr="00707825" w:rsidRDefault="00E67A5A">
      <w:pPr>
        <w:jc w:val="both"/>
        <w:rPr>
          <w:b/>
        </w:rPr>
      </w:pPr>
      <w:r w:rsidRPr="00707825">
        <w:rPr>
          <w:b/>
        </w:rPr>
        <w:t>Cyklosporín, takrolimus</w:t>
      </w:r>
    </w:p>
    <w:p w:rsidR="00E67A5A" w:rsidRPr="001406E8" w:rsidRDefault="00E67A5A">
      <w:pPr>
        <w:pStyle w:val="EMEAEnBodyText"/>
        <w:spacing w:before="0" w:after="0"/>
        <w:rPr>
          <w:szCs w:val="24"/>
          <w:lang w:val="sk-SK" w:eastAsia="sk-SK"/>
        </w:rPr>
      </w:pPr>
      <w:r w:rsidRPr="001406E8">
        <w:rPr>
          <w:szCs w:val="24"/>
          <w:lang w:val="sk-SK" w:eastAsia="sk-SK"/>
        </w:rPr>
        <w:t>Riziko zvýšenia plazmatického kreatinínu bez zmeny hladín cirkulujúceho cyklosporínu, a to aj bez deplécie vody/sodíka.</w:t>
      </w:r>
    </w:p>
    <w:p w:rsidR="00E67A5A" w:rsidRPr="001406E8" w:rsidRDefault="00E67A5A">
      <w:pPr>
        <w:jc w:val="both"/>
      </w:pPr>
    </w:p>
    <w:p w:rsidR="00E67A5A" w:rsidRPr="00707825" w:rsidRDefault="00E67A5A">
      <w:pPr>
        <w:jc w:val="both"/>
        <w:rPr>
          <w:b/>
        </w:rPr>
      </w:pPr>
      <w:r w:rsidRPr="00707825">
        <w:rPr>
          <w:b/>
        </w:rPr>
        <w:t>Kortikosteroidy, tetrako</w:t>
      </w:r>
      <w:r w:rsidR="005168F1">
        <w:rPr>
          <w:b/>
        </w:rPr>
        <w:t>z</w:t>
      </w:r>
      <w:r w:rsidRPr="00707825">
        <w:rPr>
          <w:b/>
        </w:rPr>
        <w:t>aktid (systémové podanie)</w:t>
      </w:r>
    </w:p>
    <w:p w:rsidR="00E67A5A" w:rsidRPr="001406E8" w:rsidRDefault="00E67A5A">
      <w:pPr>
        <w:rPr>
          <w:szCs w:val="22"/>
        </w:rPr>
      </w:pPr>
      <w:r w:rsidRPr="001406E8">
        <w:t>Znížený antihypertenzný účinok (retencia vody/sodíka spôsobená kortikosteroidmi).</w:t>
      </w:r>
    </w:p>
    <w:p w:rsidR="00E67A5A" w:rsidRPr="001406E8" w:rsidRDefault="00E67A5A">
      <w:pPr>
        <w:rPr>
          <w:szCs w:val="22"/>
        </w:rPr>
      </w:pPr>
    </w:p>
    <w:p w:rsidR="00E67A5A" w:rsidRPr="001406E8" w:rsidRDefault="00E67A5A">
      <w:pPr>
        <w:rPr>
          <w:szCs w:val="22"/>
        </w:rPr>
      </w:pPr>
      <w:r w:rsidRPr="001406E8">
        <w:rPr>
          <w:b/>
          <w:szCs w:val="22"/>
        </w:rPr>
        <w:t>4.6</w:t>
      </w:r>
      <w:r w:rsidRPr="001406E8">
        <w:rPr>
          <w:b/>
          <w:szCs w:val="22"/>
        </w:rPr>
        <w:tab/>
      </w:r>
      <w:r w:rsidR="00410686" w:rsidRPr="001406E8">
        <w:rPr>
          <w:b/>
          <w:szCs w:val="22"/>
        </w:rPr>
        <w:t>Fertilita, g</w:t>
      </w:r>
      <w:r w:rsidRPr="001406E8">
        <w:rPr>
          <w:b/>
          <w:szCs w:val="22"/>
        </w:rPr>
        <w:t>ravidita a laktácia</w:t>
      </w:r>
    </w:p>
    <w:p w:rsidR="00E67A5A" w:rsidRPr="001406E8" w:rsidRDefault="00E67A5A">
      <w:pPr>
        <w:rPr>
          <w:szCs w:val="22"/>
        </w:rPr>
      </w:pPr>
    </w:p>
    <w:p w:rsidR="0071080A" w:rsidRPr="00C52824" w:rsidRDefault="0071080A" w:rsidP="0071080A">
      <w:pPr>
        <w:pStyle w:val="Nadpis6"/>
        <w:spacing w:before="0"/>
        <w:ind w:left="0" w:firstLine="0"/>
        <w:jc w:val="left"/>
        <w:rPr>
          <w:b w:val="0"/>
          <w:bCs/>
          <w:sz w:val="22"/>
          <w:szCs w:val="22"/>
          <w:u w:val="single"/>
        </w:rPr>
      </w:pPr>
      <w:r w:rsidRPr="00C52824">
        <w:rPr>
          <w:b w:val="0"/>
          <w:bCs/>
          <w:sz w:val="22"/>
          <w:szCs w:val="22"/>
          <w:u w:val="single"/>
        </w:rPr>
        <w:t>Gravidita</w:t>
      </w:r>
    </w:p>
    <w:p w:rsidR="0071080A" w:rsidRDefault="0071080A" w:rsidP="0071080A">
      <w:pPr>
        <w:ind w:left="0" w:firstLine="0"/>
        <w:rPr>
          <w:noProof/>
        </w:rPr>
      </w:pPr>
      <w:r>
        <w:rPr>
          <w:noProof/>
        </w:rPr>
        <w:t>Nie sú k dispozícii alebo je iba obmedzené množstvo údajov (menej ako 300 ukončených gravidít) o použití indapamidu u gravidných žien. Dlhodobé vystavenie účinkom tiazidov počas tretieho trimestra gravidity môže znížiť objem plazmy u matky, ako aj uteroplacentárny prietok krvi, čo môže zapríčiniť fetoplacentárnu ischémiu a spomalenie rastu.</w:t>
      </w:r>
    </w:p>
    <w:p w:rsidR="0071080A" w:rsidRDefault="0071080A" w:rsidP="0071080A">
      <w:pPr>
        <w:ind w:left="0" w:firstLine="0"/>
        <w:rPr>
          <w:noProof/>
        </w:rPr>
      </w:pPr>
    </w:p>
    <w:p w:rsidR="0071080A" w:rsidRDefault="0071080A" w:rsidP="0071080A">
      <w:pPr>
        <w:ind w:left="0" w:firstLine="0"/>
        <w:rPr>
          <w:noProof/>
        </w:rPr>
      </w:pPr>
      <w:r>
        <w:rPr>
          <w:noProof/>
        </w:rPr>
        <w:t>Štúdie na zvieratách nepreukázali priame alebo nepriame účinky z hľadiska reprodukčnej toxicity (pozri časť 5.3).</w:t>
      </w:r>
    </w:p>
    <w:p w:rsidR="0071080A" w:rsidRDefault="0071080A" w:rsidP="0071080A">
      <w:pPr>
        <w:ind w:left="0" w:firstLine="0"/>
        <w:rPr>
          <w:noProof/>
        </w:rPr>
      </w:pPr>
    </w:p>
    <w:p w:rsidR="0071080A" w:rsidRPr="008E5E84" w:rsidRDefault="0071080A" w:rsidP="0071080A">
      <w:pPr>
        <w:ind w:left="0" w:firstLine="0"/>
        <w:rPr>
          <w:szCs w:val="22"/>
        </w:rPr>
      </w:pPr>
      <w:r>
        <w:rPr>
          <w:noProof/>
        </w:rPr>
        <w:t>Ako preventívne opatrenie je vhodnejšie vyhnúť sa užívaniu indapamidu počas gravidity</w:t>
      </w:r>
      <w:r>
        <w:rPr>
          <w:szCs w:val="22"/>
        </w:rPr>
        <w:t>.</w:t>
      </w:r>
    </w:p>
    <w:p w:rsidR="0071080A" w:rsidRPr="008E5E84" w:rsidRDefault="0071080A" w:rsidP="0071080A">
      <w:pPr>
        <w:ind w:left="0" w:firstLine="0"/>
        <w:rPr>
          <w:szCs w:val="22"/>
        </w:rPr>
      </w:pPr>
    </w:p>
    <w:p w:rsidR="0071080A" w:rsidRPr="00C52824" w:rsidRDefault="0071080A" w:rsidP="0071080A">
      <w:pPr>
        <w:ind w:left="0" w:firstLine="0"/>
        <w:rPr>
          <w:bCs/>
          <w:szCs w:val="22"/>
          <w:u w:val="single"/>
        </w:rPr>
      </w:pPr>
      <w:r>
        <w:rPr>
          <w:bCs/>
          <w:szCs w:val="22"/>
          <w:u w:val="single"/>
        </w:rPr>
        <w:t>Dojčenie</w:t>
      </w:r>
    </w:p>
    <w:p w:rsidR="0071080A" w:rsidRDefault="0071080A" w:rsidP="0071080A">
      <w:pPr>
        <w:ind w:left="0" w:firstLine="0"/>
        <w:rPr>
          <w:rFonts w:eastAsia="SimSun"/>
          <w:color w:val="000000"/>
          <w:szCs w:val="22"/>
          <w:lang w:eastAsia="zh-CN"/>
        </w:rPr>
      </w:pPr>
      <w:r>
        <w:rPr>
          <w:rFonts w:eastAsia="SimSun"/>
          <w:color w:val="000000"/>
          <w:szCs w:val="22"/>
          <w:lang w:eastAsia="zh-CN"/>
        </w:rPr>
        <w:t>Nie sú dostatočné informácie o vylučovaní indapamidu/metabolitov do materského mlieka u ľudí. Môže sa vyskytnúť precitlivenosť na lieky s obsahom sulfónamidových derivátov a hypokaliémia. Riziko u novorodencov/dojčiat nemôže byť vylúčené.</w:t>
      </w:r>
    </w:p>
    <w:p w:rsidR="0071080A" w:rsidRDefault="0071080A" w:rsidP="0071080A">
      <w:pPr>
        <w:ind w:left="0" w:firstLine="0"/>
        <w:rPr>
          <w:szCs w:val="22"/>
        </w:rPr>
      </w:pPr>
      <w:r>
        <w:rPr>
          <w:szCs w:val="22"/>
        </w:rPr>
        <w:t>Indapamid je látka príbuzná s tiazidovými diuretikami, ktoré sa spájali počas dojčenia so znížením alebo dokonca potlačením tvorby mlieka.</w:t>
      </w:r>
    </w:p>
    <w:p w:rsidR="0071080A" w:rsidRDefault="0071080A" w:rsidP="0071080A">
      <w:pPr>
        <w:ind w:left="0" w:firstLine="0"/>
        <w:rPr>
          <w:szCs w:val="22"/>
        </w:rPr>
      </w:pPr>
    </w:p>
    <w:p w:rsidR="0071080A" w:rsidRDefault="0071080A" w:rsidP="0071080A">
      <w:pPr>
        <w:ind w:left="0" w:firstLine="0"/>
        <w:rPr>
          <w:szCs w:val="22"/>
        </w:rPr>
      </w:pPr>
      <w:r>
        <w:rPr>
          <w:szCs w:val="22"/>
        </w:rPr>
        <w:t>Indapamid sa nemá používať počas dojčenia.</w:t>
      </w:r>
    </w:p>
    <w:p w:rsidR="0071080A" w:rsidRDefault="0071080A" w:rsidP="0071080A">
      <w:pPr>
        <w:ind w:left="0" w:firstLine="0"/>
        <w:rPr>
          <w:szCs w:val="22"/>
        </w:rPr>
      </w:pPr>
    </w:p>
    <w:p w:rsidR="0071080A" w:rsidRDefault="0071080A" w:rsidP="0071080A">
      <w:pPr>
        <w:ind w:left="0" w:firstLine="0"/>
        <w:rPr>
          <w:szCs w:val="22"/>
          <w:u w:val="single"/>
        </w:rPr>
      </w:pPr>
      <w:r>
        <w:rPr>
          <w:szCs w:val="22"/>
          <w:u w:val="single"/>
        </w:rPr>
        <w:t>Fertilita</w:t>
      </w:r>
    </w:p>
    <w:p w:rsidR="0071080A" w:rsidRPr="00A400FE" w:rsidRDefault="0071080A" w:rsidP="0071080A">
      <w:pPr>
        <w:ind w:left="0" w:firstLine="0"/>
        <w:rPr>
          <w:szCs w:val="22"/>
        </w:rPr>
      </w:pPr>
      <w:r w:rsidRPr="00C52824">
        <w:rPr>
          <w:szCs w:val="22"/>
        </w:rPr>
        <w:t>Štúdie reprodukčnej toxicity nepreukázali žiadny vplyv na fertilitu samcov a samíc potkanov (pozri časť 5.3). Nepredpokladajú sa žiadne účinky na fertilitu u ľudí.</w:t>
      </w:r>
    </w:p>
    <w:p w:rsidR="00E67A5A" w:rsidRPr="001406E8" w:rsidRDefault="00E67A5A">
      <w:pPr>
        <w:rPr>
          <w:szCs w:val="22"/>
        </w:rPr>
      </w:pPr>
    </w:p>
    <w:p w:rsidR="00E67A5A" w:rsidRPr="001406E8" w:rsidRDefault="00E67A5A">
      <w:pPr>
        <w:rPr>
          <w:szCs w:val="22"/>
        </w:rPr>
      </w:pPr>
      <w:r w:rsidRPr="001406E8">
        <w:rPr>
          <w:b/>
          <w:szCs w:val="22"/>
        </w:rPr>
        <w:t>4.7</w:t>
      </w:r>
      <w:r w:rsidRPr="001406E8">
        <w:rPr>
          <w:b/>
          <w:szCs w:val="22"/>
        </w:rPr>
        <w:tab/>
        <w:t>Ovplyvnenie schopnosti viesť vozidlá a obsluhovať stroje</w:t>
      </w:r>
    </w:p>
    <w:p w:rsidR="00E67A5A" w:rsidRPr="001406E8" w:rsidRDefault="00E67A5A">
      <w:pPr>
        <w:rPr>
          <w:szCs w:val="22"/>
        </w:rPr>
      </w:pPr>
    </w:p>
    <w:p w:rsidR="00E67A5A" w:rsidRPr="001406E8" w:rsidRDefault="00CA41CD">
      <w:pPr>
        <w:ind w:left="0" w:firstLine="0"/>
        <w:rPr>
          <w:szCs w:val="22"/>
        </w:rPr>
      </w:pPr>
      <w:r w:rsidRPr="001406E8">
        <w:t xml:space="preserve">Indapamid neovplyvňuje bdelosť, avšak </w:t>
      </w:r>
      <w:r w:rsidR="00E67A5A" w:rsidRPr="001406E8">
        <w:t>v súvislosti s poklesom tlaku krvi </w:t>
      </w:r>
      <w:r w:rsidRPr="001406E8">
        <w:t xml:space="preserve">sa môžu v individuálnych prípadoch </w:t>
      </w:r>
      <w:r w:rsidR="00E67A5A" w:rsidRPr="001406E8">
        <w:t>vyskytnúť rôzne reakcie, najmä na začiatku liečby alebo pri pridaní iného antihypertenzíva. Dôsledkom môže byť narušená schopnosť viesť vozidlá alebo obsluhovať stroje.</w:t>
      </w:r>
    </w:p>
    <w:p w:rsidR="00E67A5A" w:rsidRPr="001406E8" w:rsidRDefault="00E67A5A">
      <w:pPr>
        <w:rPr>
          <w:szCs w:val="22"/>
        </w:rPr>
      </w:pPr>
    </w:p>
    <w:p w:rsidR="00E67A5A" w:rsidRPr="001406E8" w:rsidRDefault="00E67A5A">
      <w:pPr>
        <w:rPr>
          <w:b/>
          <w:szCs w:val="22"/>
        </w:rPr>
      </w:pPr>
      <w:r w:rsidRPr="001406E8">
        <w:rPr>
          <w:b/>
          <w:szCs w:val="22"/>
        </w:rPr>
        <w:t>4.8</w:t>
      </w:r>
      <w:r w:rsidRPr="001406E8">
        <w:rPr>
          <w:b/>
          <w:szCs w:val="22"/>
        </w:rPr>
        <w:tab/>
        <w:t>Nežiaduce účinky</w:t>
      </w:r>
    </w:p>
    <w:p w:rsidR="0073186F" w:rsidRDefault="0073186F"/>
    <w:p w:rsidR="00BC1F8A" w:rsidRPr="00C52824" w:rsidRDefault="00BC1F8A" w:rsidP="00BC1F8A">
      <w:pPr>
        <w:rPr>
          <w:szCs w:val="22"/>
          <w:u w:val="single"/>
        </w:rPr>
      </w:pPr>
      <w:r>
        <w:rPr>
          <w:szCs w:val="22"/>
          <w:u w:val="single"/>
        </w:rPr>
        <w:t>Súhrn bezpečnostného profilu</w:t>
      </w:r>
    </w:p>
    <w:p w:rsidR="00BC1F8A" w:rsidRDefault="00BC1F8A" w:rsidP="00BC1F8A">
      <w:pPr>
        <w:ind w:left="0" w:firstLine="0"/>
        <w:rPr>
          <w:szCs w:val="22"/>
        </w:rPr>
      </w:pPr>
      <w:r>
        <w:rPr>
          <w:szCs w:val="22"/>
        </w:rPr>
        <w:t>Najčastejšie hlásenými nežiaducimi reakciami sú reakcie precitlivenosti, najmä dermatologické, u jedincov s predispozíciou na alergické a astmatické reakcie a makulopapulárne vyrážky.</w:t>
      </w:r>
    </w:p>
    <w:p w:rsidR="00BC1F8A" w:rsidRDefault="00BC1F8A" w:rsidP="00BC1F8A">
      <w:pPr>
        <w:ind w:left="0" w:firstLine="0"/>
        <w:rPr>
          <w:szCs w:val="22"/>
        </w:rPr>
      </w:pPr>
    </w:p>
    <w:p w:rsidR="00BC1F8A" w:rsidRDefault="00BC1F8A" w:rsidP="00BC1F8A">
      <w:pPr>
        <w:ind w:left="0" w:firstLine="0"/>
        <w:rPr>
          <w:szCs w:val="22"/>
        </w:rPr>
      </w:pPr>
      <w:r>
        <w:rPr>
          <w:szCs w:val="22"/>
        </w:rPr>
        <w:t>Počas klinických skúšaní sa pozorovala hypokaliémia (plazmatický draslík &lt;3,4 mmol/l) u 10 % pacientov a &lt;3,2 mmol/l u 4 % pacientov po 4 až 6 týždňoch liečby. Po 12 týždňoch liečby bola stredná hodnota poklesu plazmatického draslíka 0,23 mmol/l.</w:t>
      </w:r>
    </w:p>
    <w:p w:rsidR="00BC1F8A" w:rsidRDefault="00BC1F8A" w:rsidP="00BC1F8A">
      <w:pPr>
        <w:ind w:left="0" w:firstLine="0"/>
        <w:rPr>
          <w:szCs w:val="22"/>
        </w:rPr>
      </w:pPr>
    </w:p>
    <w:p w:rsidR="00BC1F8A" w:rsidRPr="008E5E84" w:rsidRDefault="00BC1F8A" w:rsidP="00BC1F8A">
      <w:pPr>
        <w:ind w:left="0" w:firstLine="0"/>
        <w:rPr>
          <w:szCs w:val="22"/>
        </w:rPr>
      </w:pPr>
      <w:r w:rsidRPr="008E5E84">
        <w:rPr>
          <w:szCs w:val="22"/>
        </w:rPr>
        <w:t xml:space="preserve">Väčšina nežiaducich </w:t>
      </w:r>
      <w:r w:rsidR="005168F1">
        <w:rPr>
          <w:szCs w:val="22"/>
        </w:rPr>
        <w:t>reakcií</w:t>
      </w:r>
      <w:r w:rsidRPr="008E5E84">
        <w:rPr>
          <w:szCs w:val="22"/>
        </w:rPr>
        <w:t xml:space="preserve"> ovplyvňujúcich klinické alebo laboratórne parametre závisí od dávky.</w:t>
      </w:r>
    </w:p>
    <w:p w:rsidR="00BC1F8A" w:rsidRDefault="00BC1F8A" w:rsidP="00BC1F8A">
      <w:pPr>
        <w:ind w:left="0" w:firstLine="0"/>
        <w:rPr>
          <w:szCs w:val="22"/>
        </w:rPr>
      </w:pPr>
    </w:p>
    <w:p w:rsidR="00BC1F8A" w:rsidRPr="00C52824" w:rsidRDefault="00BC1F8A" w:rsidP="00BC1F8A">
      <w:pPr>
        <w:ind w:left="0" w:firstLine="0"/>
        <w:rPr>
          <w:szCs w:val="22"/>
          <w:u w:val="single"/>
        </w:rPr>
      </w:pPr>
      <w:r>
        <w:rPr>
          <w:szCs w:val="22"/>
          <w:u w:val="single"/>
        </w:rPr>
        <w:t>Tabuľkový súhrn nežiaducich reakcií</w:t>
      </w:r>
    </w:p>
    <w:p w:rsidR="00BC1F8A" w:rsidRPr="008E5E84" w:rsidRDefault="00BC1F8A" w:rsidP="00BC1F8A">
      <w:pPr>
        <w:ind w:left="0" w:firstLine="0"/>
        <w:rPr>
          <w:szCs w:val="22"/>
        </w:rPr>
      </w:pPr>
      <w:r>
        <w:rPr>
          <w:szCs w:val="22"/>
        </w:rPr>
        <w:t xml:space="preserve">Nasledovné nežiaduce účinky sa pozorovali počas liečby indapamidom a sú </w:t>
      </w:r>
      <w:r w:rsidRPr="008E5E84">
        <w:rPr>
          <w:szCs w:val="22"/>
        </w:rPr>
        <w:t>zoradené podľa nasledovnej frekvencie:</w:t>
      </w:r>
    </w:p>
    <w:p w:rsidR="00BC1F8A" w:rsidRDefault="00BC1F8A" w:rsidP="00BC1F8A">
      <w:pPr>
        <w:ind w:left="0" w:firstLine="0"/>
        <w:rPr>
          <w:szCs w:val="22"/>
        </w:rPr>
      </w:pPr>
      <w:r w:rsidRPr="008E5E84">
        <w:rPr>
          <w:szCs w:val="22"/>
        </w:rPr>
        <w:t>veľmi časté (</w:t>
      </w:r>
      <w:r w:rsidRPr="008E5E84">
        <w:rPr>
          <w:szCs w:val="22"/>
          <w:lang w:val="en-GB"/>
        </w:rPr>
        <w:sym w:font="Symbol" w:char="F0B3"/>
      </w:r>
      <w:r w:rsidRPr="008E5E84">
        <w:rPr>
          <w:szCs w:val="22"/>
        </w:rPr>
        <w:t>1/10); časté (</w:t>
      </w:r>
      <w:r w:rsidRPr="008E5E84">
        <w:rPr>
          <w:szCs w:val="22"/>
          <w:lang w:val="en-GB"/>
        </w:rPr>
        <w:sym w:font="Symbol" w:char="F0B3"/>
      </w:r>
      <w:r w:rsidRPr="008E5E84">
        <w:rPr>
          <w:szCs w:val="22"/>
        </w:rPr>
        <w:t>1/100</w:t>
      </w:r>
      <w:r>
        <w:rPr>
          <w:szCs w:val="22"/>
        </w:rPr>
        <w:t xml:space="preserve"> až</w:t>
      </w:r>
      <w:r w:rsidRPr="008E5E84">
        <w:rPr>
          <w:szCs w:val="22"/>
        </w:rPr>
        <w:t xml:space="preserve"> &lt;1/10); menej časté (</w:t>
      </w:r>
      <w:r w:rsidRPr="008E5E84">
        <w:rPr>
          <w:szCs w:val="22"/>
          <w:lang w:val="en-GB"/>
        </w:rPr>
        <w:sym w:font="Symbol" w:char="F0B3"/>
      </w:r>
      <w:r w:rsidRPr="008E5E84">
        <w:rPr>
          <w:szCs w:val="22"/>
        </w:rPr>
        <w:t>1/1 000</w:t>
      </w:r>
      <w:r>
        <w:rPr>
          <w:szCs w:val="22"/>
        </w:rPr>
        <w:t xml:space="preserve"> až</w:t>
      </w:r>
      <w:r w:rsidRPr="008E5E84">
        <w:rPr>
          <w:szCs w:val="22"/>
        </w:rPr>
        <w:t xml:space="preserve"> &lt;1/100); zriedkavé (</w:t>
      </w:r>
      <w:r w:rsidRPr="008E5E84">
        <w:rPr>
          <w:szCs w:val="22"/>
          <w:lang w:val="en-GB"/>
        </w:rPr>
        <w:sym w:font="Symbol" w:char="F0B3"/>
      </w:r>
      <w:r w:rsidRPr="008E5E84">
        <w:rPr>
          <w:szCs w:val="22"/>
        </w:rPr>
        <w:t>1/10 000</w:t>
      </w:r>
      <w:r>
        <w:rPr>
          <w:szCs w:val="22"/>
        </w:rPr>
        <w:t xml:space="preserve"> až</w:t>
      </w:r>
      <w:r w:rsidRPr="008E5E84">
        <w:rPr>
          <w:szCs w:val="22"/>
        </w:rPr>
        <w:t xml:space="preserve"> &lt;1/1 000); veľmi zriedkavé (</w:t>
      </w:r>
      <w:r>
        <w:rPr>
          <w:szCs w:val="22"/>
        </w:rPr>
        <w:t xml:space="preserve">≥1/100 000 až </w:t>
      </w:r>
      <w:r w:rsidRPr="008E5E84">
        <w:rPr>
          <w:szCs w:val="22"/>
        </w:rPr>
        <w:t>&lt;1/10 000), neznáme (z dostupných údajov).</w:t>
      </w:r>
    </w:p>
    <w:p w:rsidR="00BC1F8A" w:rsidRDefault="00BC1F8A"/>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7"/>
        <w:gridCol w:w="5097"/>
        <w:gridCol w:w="1191"/>
      </w:tblGrid>
      <w:tr w:rsidR="00FC4AD5" w:rsidRPr="002767B0" w:rsidTr="0038192F">
        <w:trPr>
          <w:trHeight w:val="689"/>
          <w:jc w:val="center"/>
        </w:trPr>
        <w:tc>
          <w:tcPr>
            <w:tcW w:w="1228" w:type="pct"/>
            <w:tcBorders>
              <w:bottom w:val="single" w:sz="4" w:space="0" w:color="auto"/>
            </w:tcBorders>
            <w:vAlign w:val="center"/>
          </w:tcPr>
          <w:p w:rsidR="00FC4AD5" w:rsidRPr="002767B0" w:rsidRDefault="00FC4AD5" w:rsidP="00707825">
            <w:pPr>
              <w:ind w:left="0" w:firstLine="0"/>
              <w:jc w:val="center"/>
              <w:rPr>
                <w:b/>
                <w:bCs/>
                <w:szCs w:val="22"/>
              </w:rPr>
            </w:pPr>
            <w:r>
              <w:rPr>
                <w:b/>
                <w:bCs/>
                <w:szCs w:val="22"/>
              </w:rPr>
              <w:t xml:space="preserve">Trieda orgánových systémov podľa </w:t>
            </w:r>
            <w:r w:rsidRPr="002767B0">
              <w:rPr>
                <w:b/>
                <w:bCs/>
                <w:szCs w:val="22"/>
              </w:rPr>
              <w:t>MedDRA</w:t>
            </w:r>
          </w:p>
        </w:tc>
        <w:tc>
          <w:tcPr>
            <w:tcW w:w="3058" w:type="pct"/>
            <w:vAlign w:val="center"/>
          </w:tcPr>
          <w:p w:rsidR="00FC4AD5" w:rsidRPr="002767B0" w:rsidRDefault="00FC4AD5" w:rsidP="00707825">
            <w:pPr>
              <w:ind w:left="0" w:firstLine="0"/>
              <w:jc w:val="center"/>
              <w:rPr>
                <w:b/>
                <w:bCs/>
                <w:szCs w:val="22"/>
              </w:rPr>
            </w:pPr>
            <w:r>
              <w:rPr>
                <w:b/>
                <w:bCs/>
                <w:szCs w:val="22"/>
              </w:rPr>
              <w:t>Nežiaduce účinky</w:t>
            </w:r>
          </w:p>
        </w:tc>
        <w:tc>
          <w:tcPr>
            <w:tcW w:w="714" w:type="pct"/>
          </w:tcPr>
          <w:p w:rsidR="00FC4AD5" w:rsidRPr="002767B0" w:rsidRDefault="00FC4AD5" w:rsidP="00707825">
            <w:pPr>
              <w:ind w:left="0" w:firstLine="0"/>
              <w:jc w:val="center"/>
              <w:rPr>
                <w:b/>
                <w:bCs/>
                <w:szCs w:val="22"/>
              </w:rPr>
            </w:pPr>
            <w:r>
              <w:rPr>
                <w:b/>
                <w:bCs/>
                <w:szCs w:val="22"/>
              </w:rPr>
              <w:t>Frekvencia</w:t>
            </w:r>
          </w:p>
        </w:tc>
      </w:tr>
      <w:tr w:rsidR="00FC4AD5" w:rsidRPr="002767B0" w:rsidTr="0038192F">
        <w:trPr>
          <w:trHeight w:val="278"/>
          <w:jc w:val="center"/>
        </w:trPr>
        <w:tc>
          <w:tcPr>
            <w:tcW w:w="1228" w:type="pct"/>
            <w:vMerge w:val="restart"/>
            <w:tcBorders>
              <w:top w:val="single" w:sz="4" w:space="0" w:color="auto"/>
            </w:tcBorders>
            <w:vAlign w:val="center"/>
          </w:tcPr>
          <w:p w:rsidR="00FC4AD5" w:rsidRPr="002767B0" w:rsidRDefault="00FC4AD5" w:rsidP="00707825">
            <w:pPr>
              <w:ind w:left="0" w:firstLine="0"/>
              <w:rPr>
                <w:b/>
                <w:bCs/>
                <w:szCs w:val="22"/>
              </w:rPr>
            </w:pPr>
            <w:r>
              <w:rPr>
                <w:b/>
                <w:bCs/>
                <w:szCs w:val="22"/>
              </w:rPr>
              <w:t>Poruchy krvi a lymfatického systému</w:t>
            </w:r>
          </w:p>
        </w:tc>
        <w:tc>
          <w:tcPr>
            <w:tcW w:w="3058" w:type="pct"/>
            <w:tcBorders>
              <w:top w:val="single" w:sz="4" w:space="0" w:color="auto"/>
            </w:tcBorders>
            <w:vAlign w:val="center"/>
          </w:tcPr>
          <w:p w:rsidR="00FC4AD5" w:rsidRPr="002767B0" w:rsidRDefault="00FC4AD5" w:rsidP="00707825">
            <w:pPr>
              <w:ind w:left="0" w:firstLine="0"/>
              <w:rPr>
                <w:szCs w:val="22"/>
              </w:rPr>
            </w:pPr>
            <w:r w:rsidRPr="002767B0">
              <w:rPr>
                <w:szCs w:val="22"/>
              </w:rPr>
              <w:t>Agranulocyt</w:t>
            </w:r>
            <w:r>
              <w:rPr>
                <w:szCs w:val="22"/>
              </w:rPr>
              <w:t>óza</w:t>
            </w:r>
          </w:p>
        </w:tc>
        <w:tc>
          <w:tcPr>
            <w:tcW w:w="714" w:type="pct"/>
            <w:tcBorders>
              <w:top w:val="single" w:sz="4" w:space="0" w:color="auto"/>
            </w:tcBorders>
            <w:vAlign w:val="center"/>
          </w:tcPr>
          <w:p w:rsidR="00FC4AD5" w:rsidRPr="002767B0" w:rsidRDefault="00FC4AD5" w:rsidP="00707825">
            <w:pPr>
              <w:ind w:left="0" w:firstLine="0"/>
              <w:rPr>
                <w:szCs w:val="22"/>
              </w:rPr>
            </w:pPr>
            <w:r>
              <w:rPr>
                <w:szCs w:val="22"/>
              </w:rPr>
              <w:t>Veľmi zriedkavé</w:t>
            </w:r>
          </w:p>
        </w:tc>
      </w:tr>
      <w:tr w:rsidR="00FC4AD5" w:rsidRPr="002767B0" w:rsidTr="0038192F">
        <w:trPr>
          <w:trHeight w:val="278"/>
          <w:jc w:val="center"/>
        </w:trPr>
        <w:tc>
          <w:tcPr>
            <w:tcW w:w="1228" w:type="pct"/>
            <w:vMerge/>
            <w:vAlign w:val="center"/>
          </w:tcPr>
          <w:p w:rsidR="00FC4AD5" w:rsidRPr="002767B0" w:rsidRDefault="00FC4AD5" w:rsidP="00707825">
            <w:pPr>
              <w:ind w:left="0" w:firstLine="0"/>
              <w:rPr>
                <w:b/>
                <w:bCs/>
                <w:szCs w:val="22"/>
              </w:rPr>
            </w:pPr>
          </w:p>
        </w:tc>
        <w:tc>
          <w:tcPr>
            <w:tcW w:w="3058" w:type="pct"/>
            <w:tcBorders>
              <w:top w:val="single" w:sz="4" w:space="0" w:color="auto"/>
            </w:tcBorders>
            <w:vAlign w:val="center"/>
          </w:tcPr>
          <w:p w:rsidR="00FC4AD5" w:rsidRPr="002767B0" w:rsidRDefault="00FC4AD5" w:rsidP="00707825">
            <w:pPr>
              <w:ind w:left="0" w:firstLine="0"/>
              <w:rPr>
                <w:szCs w:val="22"/>
              </w:rPr>
            </w:pPr>
            <w:r w:rsidRPr="002767B0">
              <w:rPr>
                <w:szCs w:val="22"/>
              </w:rPr>
              <w:t>Aplastic</w:t>
            </w:r>
            <w:r>
              <w:rPr>
                <w:szCs w:val="22"/>
              </w:rPr>
              <w:t>ká ané</w:t>
            </w:r>
            <w:r w:rsidRPr="002767B0">
              <w:rPr>
                <w:szCs w:val="22"/>
              </w:rPr>
              <w:t>mia</w:t>
            </w:r>
          </w:p>
        </w:tc>
        <w:tc>
          <w:tcPr>
            <w:tcW w:w="714" w:type="pct"/>
            <w:tcBorders>
              <w:top w:val="single" w:sz="4" w:space="0" w:color="auto"/>
            </w:tcBorders>
          </w:tcPr>
          <w:p w:rsidR="00FC4AD5" w:rsidRPr="002767B0" w:rsidRDefault="00FC4AD5" w:rsidP="00707825">
            <w:pPr>
              <w:ind w:left="0" w:firstLine="0"/>
              <w:rPr>
                <w:szCs w:val="22"/>
              </w:rPr>
            </w:pPr>
            <w:r w:rsidRPr="00833A58">
              <w:rPr>
                <w:szCs w:val="22"/>
              </w:rPr>
              <w:t>Veľmi zriedkavé</w:t>
            </w:r>
          </w:p>
        </w:tc>
      </w:tr>
      <w:tr w:rsidR="00FC4AD5" w:rsidRPr="002767B0" w:rsidTr="0038192F">
        <w:trPr>
          <w:trHeight w:val="278"/>
          <w:jc w:val="center"/>
        </w:trPr>
        <w:tc>
          <w:tcPr>
            <w:tcW w:w="1228" w:type="pct"/>
            <w:vMerge/>
            <w:vAlign w:val="center"/>
          </w:tcPr>
          <w:p w:rsidR="00FC4AD5" w:rsidRPr="002767B0" w:rsidRDefault="00FC4AD5" w:rsidP="00707825">
            <w:pPr>
              <w:ind w:left="0" w:firstLine="0"/>
              <w:rPr>
                <w:b/>
                <w:bCs/>
                <w:szCs w:val="22"/>
              </w:rPr>
            </w:pPr>
          </w:p>
        </w:tc>
        <w:tc>
          <w:tcPr>
            <w:tcW w:w="3058" w:type="pct"/>
            <w:tcBorders>
              <w:top w:val="single" w:sz="4" w:space="0" w:color="auto"/>
            </w:tcBorders>
            <w:vAlign w:val="center"/>
          </w:tcPr>
          <w:p w:rsidR="00FC4AD5" w:rsidRPr="002767B0" w:rsidRDefault="00FC4AD5" w:rsidP="00707825">
            <w:pPr>
              <w:ind w:left="0" w:firstLine="0"/>
              <w:rPr>
                <w:szCs w:val="22"/>
              </w:rPr>
            </w:pPr>
            <w:r>
              <w:rPr>
                <w:szCs w:val="22"/>
              </w:rPr>
              <w:t>H</w:t>
            </w:r>
            <w:r w:rsidRPr="002767B0">
              <w:rPr>
                <w:szCs w:val="22"/>
              </w:rPr>
              <w:t>emolytic</w:t>
            </w:r>
            <w:r>
              <w:rPr>
                <w:szCs w:val="22"/>
              </w:rPr>
              <w:t>ká ané</w:t>
            </w:r>
            <w:r w:rsidRPr="002767B0">
              <w:rPr>
                <w:szCs w:val="22"/>
              </w:rPr>
              <w:t>mia</w:t>
            </w:r>
          </w:p>
        </w:tc>
        <w:tc>
          <w:tcPr>
            <w:tcW w:w="714" w:type="pct"/>
            <w:tcBorders>
              <w:top w:val="single" w:sz="4" w:space="0" w:color="auto"/>
            </w:tcBorders>
          </w:tcPr>
          <w:p w:rsidR="00FC4AD5" w:rsidRPr="002767B0" w:rsidRDefault="00FC4AD5" w:rsidP="00707825">
            <w:pPr>
              <w:ind w:left="0" w:firstLine="0"/>
              <w:rPr>
                <w:szCs w:val="22"/>
              </w:rPr>
            </w:pPr>
            <w:r w:rsidRPr="00833A58">
              <w:rPr>
                <w:szCs w:val="22"/>
              </w:rPr>
              <w:t>Veľmi zriedkavé</w:t>
            </w:r>
          </w:p>
        </w:tc>
      </w:tr>
      <w:tr w:rsidR="00FC4AD5" w:rsidRPr="002767B0" w:rsidTr="0038192F">
        <w:trPr>
          <w:trHeight w:val="277"/>
          <w:jc w:val="center"/>
        </w:trPr>
        <w:tc>
          <w:tcPr>
            <w:tcW w:w="1228" w:type="pct"/>
            <w:vMerge/>
            <w:vAlign w:val="center"/>
          </w:tcPr>
          <w:p w:rsidR="00FC4AD5" w:rsidRPr="002767B0" w:rsidRDefault="00FC4AD5" w:rsidP="00707825">
            <w:pPr>
              <w:ind w:left="0" w:firstLine="0"/>
              <w:rPr>
                <w:szCs w:val="22"/>
              </w:rPr>
            </w:pPr>
          </w:p>
        </w:tc>
        <w:tc>
          <w:tcPr>
            <w:tcW w:w="3058" w:type="pct"/>
            <w:vAlign w:val="center"/>
          </w:tcPr>
          <w:p w:rsidR="00FC4AD5" w:rsidRPr="002767B0" w:rsidRDefault="00FC4AD5" w:rsidP="00707825">
            <w:pPr>
              <w:ind w:left="0" w:firstLine="0"/>
              <w:rPr>
                <w:szCs w:val="22"/>
              </w:rPr>
            </w:pPr>
            <w:r>
              <w:rPr>
                <w:szCs w:val="22"/>
              </w:rPr>
              <w:t>Leukopé</w:t>
            </w:r>
            <w:r w:rsidRPr="002767B0">
              <w:rPr>
                <w:szCs w:val="22"/>
              </w:rPr>
              <w:t>nia</w:t>
            </w:r>
          </w:p>
        </w:tc>
        <w:tc>
          <w:tcPr>
            <w:tcW w:w="714" w:type="pct"/>
          </w:tcPr>
          <w:p w:rsidR="00FC4AD5" w:rsidRPr="002767B0" w:rsidRDefault="00FC4AD5" w:rsidP="00707825">
            <w:pPr>
              <w:ind w:left="0" w:firstLine="0"/>
              <w:rPr>
                <w:szCs w:val="22"/>
              </w:rPr>
            </w:pPr>
            <w:r w:rsidRPr="00833A58">
              <w:rPr>
                <w:szCs w:val="22"/>
              </w:rPr>
              <w:t>Veľmi zriedkavé</w:t>
            </w:r>
          </w:p>
        </w:tc>
      </w:tr>
      <w:tr w:rsidR="00FC4AD5" w:rsidRPr="002767B0" w:rsidTr="0038192F">
        <w:trPr>
          <w:trHeight w:val="277"/>
          <w:jc w:val="center"/>
        </w:trPr>
        <w:tc>
          <w:tcPr>
            <w:tcW w:w="1228" w:type="pct"/>
            <w:vMerge/>
            <w:vAlign w:val="center"/>
          </w:tcPr>
          <w:p w:rsidR="00FC4AD5" w:rsidRPr="002767B0" w:rsidRDefault="00FC4AD5" w:rsidP="00707825">
            <w:pPr>
              <w:ind w:left="0" w:firstLine="0"/>
              <w:rPr>
                <w:szCs w:val="22"/>
              </w:rPr>
            </w:pPr>
          </w:p>
        </w:tc>
        <w:tc>
          <w:tcPr>
            <w:tcW w:w="3058" w:type="pct"/>
            <w:vAlign w:val="center"/>
          </w:tcPr>
          <w:p w:rsidR="00FC4AD5" w:rsidRPr="002767B0" w:rsidRDefault="00FC4AD5" w:rsidP="00707825">
            <w:pPr>
              <w:ind w:left="0" w:firstLine="0"/>
              <w:rPr>
                <w:szCs w:val="22"/>
              </w:rPr>
            </w:pPr>
            <w:r>
              <w:rPr>
                <w:szCs w:val="22"/>
              </w:rPr>
              <w:t>Trombocytopé</w:t>
            </w:r>
            <w:r w:rsidRPr="002767B0">
              <w:rPr>
                <w:szCs w:val="22"/>
              </w:rPr>
              <w:t>nia</w:t>
            </w:r>
          </w:p>
        </w:tc>
        <w:tc>
          <w:tcPr>
            <w:tcW w:w="714" w:type="pct"/>
          </w:tcPr>
          <w:p w:rsidR="00FC4AD5" w:rsidRPr="002767B0" w:rsidRDefault="00FC4AD5" w:rsidP="00707825">
            <w:pPr>
              <w:ind w:left="0" w:firstLine="0"/>
              <w:rPr>
                <w:szCs w:val="22"/>
              </w:rPr>
            </w:pPr>
            <w:r w:rsidRPr="00833A58">
              <w:rPr>
                <w:szCs w:val="22"/>
              </w:rPr>
              <w:t>Veľmi zriedkavé</w:t>
            </w:r>
          </w:p>
        </w:tc>
      </w:tr>
      <w:tr w:rsidR="00FC4AD5" w:rsidRPr="002767B0" w:rsidTr="0038192F">
        <w:trPr>
          <w:trHeight w:val="342"/>
          <w:jc w:val="center"/>
        </w:trPr>
        <w:tc>
          <w:tcPr>
            <w:tcW w:w="1228" w:type="pct"/>
            <w:vMerge w:val="restart"/>
            <w:vAlign w:val="center"/>
          </w:tcPr>
          <w:p w:rsidR="00FC4AD5" w:rsidRPr="002767B0" w:rsidRDefault="00FC4AD5" w:rsidP="00707825">
            <w:pPr>
              <w:ind w:left="0" w:firstLine="0"/>
              <w:rPr>
                <w:b/>
                <w:bCs/>
                <w:szCs w:val="22"/>
              </w:rPr>
            </w:pPr>
            <w:r>
              <w:rPr>
                <w:b/>
                <w:bCs/>
                <w:szCs w:val="22"/>
              </w:rPr>
              <w:t>Poruchy metabolizmu a výživy</w:t>
            </w:r>
          </w:p>
        </w:tc>
        <w:tc>
          <w:tcPr>
            <w:tcW w:w="3058" w:type="pct"/>
            <w:vAlign w:val="center"/>
          </w:tcPr>
          <w:p w:rsidR="00FC4AD5" w:rsidRPr="002767B0" w:rsidRDefault="00FC4AD5" w:rsidP="00707825">
            <w:pPr>
              <w:ind w:left="0" w:firstLine="0"/>
              <w:rPr>
                <w:szCs w:val="22"/>
              </w:rPr>
            </w:pPr>
            <w:r>
              <w:rPr>
                <w:szCs w:val="22"/>
              </w:rPr>
              <w:t>Hyperkalcié</w:t>
            </w:r>
            <w:r w:rsidRPr="002767B0">
              <w:rPr>
                <w:szCs w:val="22"/>
              </w:rPr>
              <w:t>mia</w:t>
            </w:r>
          </w:p>
        </w:tc>
        <w:tc>
          <w:tcPr>
            <w:tcW w:w="714" w:type="pct"/>
            <w:vAlign w:val="center"/>
          </w:tcPr>
          <w:p w:rsidR="00FC4AD5" w:rsidRPr="002767B0" w:rsidRDefault="00FC4AD5" w:rsidP="00707825">
            <w:pPr>
              <w:ind w:left="0" w:firstLine="0"/>
              <w:rPr>
                <w:szCs w:val="22"/>
              </w:rPr>
            </w:pPr>
            <w:r w:rsidRPr="00833A58">
              <w:rPr>
                <w:szCs w:val="22"/>
              </w:rPr>
              <w:t>Veľmi zriedkavé</w:t>
            </w:r>
          </w:p>
        </w:tc>
      </w:tr>
      <w:tr w:rsidR="00FC4AD5" w:rsidRPr="002767B0" w:rsidTr="0038192F">
        <w:trPr>
          <w:trHeight w:val="342"/>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sidRPr="008E5E84">
              <w:rPr>
                <w:szCs w:val="22"/>
              </w:rPr>
              <w:t>Deplécia draslíka s</w:t>
            </w:r>
            <w:r>
              <w:rPr>
                <w:szCs w:val="22"/>
              </w:rPr>
              <w:t> </w:t>
            </w:r>
            <w:r w:rsidRPr="008E5E84">
              <w:rPr>
                <w:szCs w:val="22"/>
              </w:rPr>
              <w:t>hy</w:t>
            </w:r>
            <w:r>
              <w:rPr>
                <w:szCs w:val="22"/>
              </w:rPr>
              <w:t>pokaliémiou, obzvlášť závažná u</w:t>
            </w:r>
            <w:r w:rsidRPr="008E5E84">
              <w:rPr>
                <w:szCs w:val="22"/>
              </w:rPr>
              <w:t> niektorých vysokorizikových</w:t>
            </w:r>
            <w:r>
              <w:rPr>
                <w:szCs w:val="22"/>
              </w:rPr>
              <w:t xml:space="preserve"> populácií</w:t>
            </w:r>
            <w:r w:rsidRPr="008E5E84">
              <w:rPr>
                <w:szCs w:val="22"/>
              </w:rPr>
              <w:t xml:space="preserve"> </w:t>
            </w:r>
            <w:r w:rsidRPr="002767B0">
              <w:rPr>
                <w:szCs w:val="22"/>
              </w:rPr>
              <w:t>(</w:t>
            </w:r>
            <w:r>
              <w:rPr>
                <w:szCs w:val="22"/>
              </w:rPr>
              <w:t>pozri časť</w:t>
            </w:r>
            <w:r w:rsidRPr="002767B0">
              <w:rPr>
                <w:szCs w:val="22"/>
              </w:rPr>
              <w:t xml:space="preserve"> 4.4)</w:t>
            </w:r>
          </w:p>
        </w:tc>
        <w:tc>
          <w:tcPr>
            <w:tcW w:w="714" w:type="pct"/>
            <w:vAlign w:val="center"/>
          </w:tcPr>
          <w:p w:rsidR="00FC4AD5" w:rsidRPr="002767B0" w:rsidRDefault="00FC4AD5" w:rsidP="00707825">
            <w:pPr>
              <w:ind w:left="0" w:firstLine="0"/>
              <w:rPr>
                <w:szCs w:val="22"/>
              </w:rPr>
            </w:pPr>
            <w:r>
              <w:rPr>
                <w:szCs w:val="22"/>
              </w:rPr>
              <w:t>Neznáme</w:t>
            </w:r>
          </w:p>
        </w:tc>
      </w:tr>
      <w:tr w:rsidR="00FC4AD5" w:rsidRPr="002767B0" w:rsidTr="0038192F">
        <w:trPr>
          <w:trHeight w:val="342"/>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Hyponatrié</w:t>
            </w:r>
            <w:r w:rsidRPr="002767B0">
              <w:rPr>
                <w:szCs w:val="22"/>
              </w:rPr>
              <w:t xml:space="preserve">mia </w:t>
            </w:r>
            <w:r>
              <w:rPr>
                <w:szCs w:val="22"/>
              </w:rPr>
              <w:t>(pozri časť</w:t>
            </w:r>
            <w:r w:rsidRPr="002767B0">
              <w:rPr>
                <w:szCs w:val="22"/>
              </w:rPr>
              <w:t xml:space="preserve"> 4.4)</w:t>
            </w:r>
          </w:p>
        </w:tc>
        <w:tc>
          <w:tcPr>
            <w:tcW w:w="714" w:type="pct"/>
            <w:vAlign w:val="center"/>
          </w:tcPr>
          <w:p w:rsidR="00FC4AD5" w:rsidRPr="002767B0" w:rsidRDefault="00FC4AD5" w:rsidP="00707825">
            <w:pPr>
              <w:ind w:left="0" w:firstLine="0"/>
              <w:rPr>
                <w:szCs w:val="22"/>
              </w:rPr>
            </w:pPr>
            <w:r>
              <w:rPr>
                <w:szCs w:val="22"/>
              </w:rPr>
              <w:t>Neznáme</w:t>
            </w:r>
          </w:p>
        </w:tc>
      </w:tr>
      <w:tr w:rsidR="00FC4AD5" w:rsidRPr="002767B0" w:rsidTr="0038192F">
        <w:trPr>
          <w:trHeight w:val="281"/>
          <w:jc w:val="center"/>
        </w:trPr>
        <w:tc>
          <w:tcPr>
            <w:tcW w:w="1228" w:type="pct"/>
            <w:vMerge w:val="restart"/>
            <w:vAlign w:val="center"/>
          </w:tcPr>
          <w:p w:rsidR="00FC4AD5" w:rsidRPr="002767B0" w:rsidRDefault="00FC4AD5" w:rsidP="00707825">
            <w:pPr>
              <w:ind w:left="0" w:firstLine="0"/>
              <w:rPr>
                <w:b/>
                <w:bCs/>
                <w:szCs w:val="22"/>
              </w:rPr>
            </w:pPr>
            <w:r>
              <w:rPr>
                <w:b/>
                <w:bCs/>
                <w:szCs w:val="22"/>
              </w:rPr>
              <w:t>Poruchy nervového systému</w:t>
            </w:r>
            <w:r w:rsidRPr="002767B0">
              <w:rPr>
                <w:b/>
                <w:bCs/>
                <w:szCs w:val="22"/>
              </w:rPr>
              <w:t xml:space="preserve"> </w:t>
            </w:r>
          </w:p>
        </w:tc>
        <w:tc>
          <w:tcPr>
            <w:tcW w:w="3058" w:type="pct"/>
            <w:vAlign w:val="center"/>
          </w:tcPr>
          <w:p w:rsidR="00FC4AD5" w:rsidRPr="002767B0" w:rsidRDefault="00FC4AD5" w:rsidP="00707825">
            <w:pPr>
              <w:ind w:left="0" w:firstLine="0"/>
              <w:rPr>
                <w:szCs w:val="22"/>
              </w:rPr>
            </w:pPr>
            <w:r w:rsidRPr="002767B0">
              <w:rPr>
                <w:szCs w:val="22"/>
              </w:rPr>
              <w:t>Vertigo</w:t>
            </w:r>
          </w:p>
        </w:tc>
        <w:tc>
          <w:tcPr>
            <w:tcW w:w="714" w:type="pct"/>
            <w:vAlign w:val="center"/>
          </w:tcPr>
          <w:p w:rsidR="00FC4AD5" w:rsidRPr="002767B0" w:rsidRDefault="00FC4AD5" w:rsidP="00707825">
            <w:pPr>
              <w:ind w:left="0" w:firstLine="0"/>
              <w:rPr>
                <w:szCs w:val="22"/>
              </w:rPr>
            </w:pPr>
            <w:r>
              <w:rPr>
                <w:szCs w:val="22"/>
              </w:rPr>
              <w:t>Zriedkavé</w:t>
            </w:r>
          </w:p>
        </w:tc>
      </w:tr>
      <w:tr w:rsidR="00FC4AD5" w:rsidRPr="002767B0" w:rsidTr="0038192F">
        <w:trPr>
          <w:trHeight w:val="212"/>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Únava</w:t>
            </w:r>
          </w:p>
        </w:tc>
        <w:tc>
          <w:tcPr>
            <w:tcW w:w="714" w:type="pct"/>
          </w:tcPr>
          <w:p w:rsidR="00FC4AD5" w:rsidRPr="002767B0" w:rsidRDefault="00FC4AD5" w:rsidP="00707825">
            <w:pPr>
              <w:ind w:left="0" w:firstLine="0"/>
              <w:rPr>
                <w:szCs w:val="22"/>
              </w:rPr>
            </w:pPr>
            <w:r w:rsidRPr="00991F63">
              <w:rPr>
                <w:szCs w:val="22"/>
              </w:rPr>
              <w:t>Zriedkavé</w:t>
            </w:r>
          </w:p>
        </w:tc>
      </w:tr>
      <w:tr w:rsidR="00FC4AD5" w:rsidRPr="002767B0" w:rsidTr="0038192F">
        <w:trPr>
          <w:trHeight w:val="258"/>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Bolesť hlavy</w:t>
            </w:r>
          </w:p>
        </w:tc>
        <w:tc>
          <w:tcPr>
            <w:tcW w:w="714" w:type="pct"/>
          </w:tcPr>
          <w:p w:rsidR="00FC4AD5" w:rsidRPr="002767B0" w:rsidRDefault="00FC4AD5" w:rsidP="00707825">
            <w:pPr>
              <w:ind w:left="0" w:firstLine="0"/>
              <w:rPr>
                <w:szCs w:val="22"/>
              </w:rPr>
            </w:pPr>
            <w:r w:rsidRPr="00991F63">
              <w:rPr>
                <w:szCs w:val="22"/>
              </w:rPr>
              <w:t>Zriedkavé</w:t>
            </w:r>
          </w:p>
        </w:tc>
      </w:tr>
      <w:tr w:rsidR="00FC4AD5" w:rsidRPr="002767B0" w:rsidTr="0038192F">
        <w:trPr>
          <w:trHeight w:val="79"/>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Parestéz</w:t>
            </w:r>
            <w:r w:rsidRPr="002767B0">
              <w:rPr>
                <w:szCs w:val="22"/>
              </w:rPr>
              <w:t>ia</w:t>
            </w:r>
          </w:p>
        </w:tc>
        <w:tc>
          <w:tcPr>
            <w:tcW w:w="714" w:type="pct"/>
          </w:tcPr>
          <w:p w:rsidR="00FC4AD5" w:rsidRPr="002767B0" w:rsidRDefault="00FC4AD5" w:rsidP="00707825">
            <w:pPr>
              <w:ind w:left="0" w:firstLine="0"/>
              <w:rPr>
                <w:szCs w:val="22"/>
              </w:rPr>
            </w:pPr>
            <w:r w:rsidRPr="00991F63">
              <w:rPr>
                <w:szCs w:val="22"/>
              </w:rPr>
              <w:t>Zriedkavé</w:t>
            </w:r>
          </w:p>
        </w:tc>
      </w:tr>
      <w:tr w:rsidR="00FC4AD5" w:rsidRPr="002767B0" w:rsidTr="0038192F">
        <w:trPr>
          <w:trHeight w:val="79"/>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Del="004F5408" w:rsidRDefault="00FC4AD5" w:rsidP="00707825">
            <w:pPr>
              <w:ind w:left="0" w:firstLine="0"/>
              <w:rPr>
                <w:szCs w:val="22"/>
              </w:rPr>
            </w:pPr>
            <w:r>
              <w:rPr>
                <w:szCs w:val="22"/>
              </w:rPr>
              <w:t>Synk</w:t>
            </w:r>
            <w:r w:rsidRPr="002767B0">
              <w:rPr>
                <w:szCs w:val="22"/>
              </w:rPr>
              <w:t>op</w:t>
            </w:r>
            <w:r>
              <w:rPr>
                <w:szCs w:val="22"/>
              </w:rPr>
              <w:t>a</w:t>
            </w:r>
          </w:p>
        </w:tc>
        <w:tc>
          <w:tcPr>
            <w:tcW w:w="714" w:type="pct"/>
            <w:vAlign w:val="center"/>
          </w:tcPr>
          <w:p w:rsidR="00FC4AD5" w:rsidRPr="002767B0" w:rsidRDefault="00FC4AD5" w:rsidP="00707825">
            <w:pPr>
              <w:ind w:left="0" w:firstLine="0"/>
              <w:rPr>
                <w:szCs w:val="22"/>
              </w:rPr>
            </w:pPr>
            <w:r>
              <w:rPr>
                <w:szCs w:val="22"/>
              </w:rPr>
              <w:t>Neznáme</w:t>
            </w:r>
          </w:p>
        </w:tc>
      </w:tr>
      <w:tr w:rsidR="00294D73" w:rsidRPr="00C52824" w:rsidTr="0038192F">
        <w:trPr>
          <w:trHeight w:val="79"/>
          <w:jc w:val="center"/>
        </w:trPr>
        <w:tc>
          <w:tcPr>
            <w:tcW w:w="1228" w:type="pct"/>
            <w:vMerge w:val="restart"/>
            <w:vAlign w:val="center"/>
          </w:tcPr>
          <w:p w:rsidR="00294D73" w:rsidRPr="002767B0" w:rsidRDefault="00294D73" w:rsidP="00707825">
            <w:pPr>
              <w:ind w:left="0" w:firstLine="0"/>
              <w:rPr>
                <w:b/>
                <w:bCs/>
                <w:szCs w:val="22"/>
              </w:rPr>
            </w:pPr>
            <w:r>
              <w:rPr>
                <w:b/>
                <w:bCs/>
                <w:szCs w:val="22"/>
              </w:rPr>
              <w:t>Poruchy oka</w:t>
            </w:r>
          </w:p>
        </w:tc>
        <w:tc>
          <w:tcPr>
            <w:tcW w:w="3058" w:type="pct"/>
            <w:vAlign w:val="center"/>
          </w:tcPr>
          <w:p w:rsidR="00294D73" w:rsidRPr="00C52824" w:rsidRDefault="00294D73" w:rsidP="00707825">
            <w:pPr>
              <w:ind w:left="0" w:firstLine="0"/>
              <w:rPr>
                <w:szCs w:val="22"/>
              </w:rPr>
            </w:pPr>
            <w:r w:rsidRPr="00C52824">
              <w:rPr>
                <w:szCs w:val="22"/>
              </w:rPr>
              <w:t>Myopia</w:t>
            </w:r>
          </w:p>
        </w:tc>
        <w:tc>
          <w:tcPr>
            <w:tcW w:w="714" w:type="pct"/>
          </w:tcPr>
          <w:p w:rsidR="00294D73" w:rsidRPr="00C52824" w:rsidRDefault="00294D73" w:rsidP="00707825">
            <w:pPr>
              <w:ind w:left="0" w:firstLine="0"/>
              <w:rPr>
                <w:szCs w:val="22"/>
              </w:rPr>
            </w:pPr>
            <w:r w:rsidRPr="00EB4B6C">
              <w:rPr>
                <w:szCs w:val="22"/>
              </w:rPr>
              <w:t>Neznáme</w:t>
            </w:r>
          </w:p>
        </w:tc>
      </w:tr>
      <w:tr w:rsidR="00294D73" w:rsidRPr="00C52824" w:rsidTr="0038192F">
        <w:trPr>
          <w:trHeight w:val="79"/>
          <w:jc w:val="center"/>
        </w:trPr>
        <w:tc>
          <w:tcPr>
            <w:tcW w:w="1228" w:type="pct"/>
            <w:vMerge/>
            <w:vAlign w:val="center"/>
          </w:tcPr>
          <w:p w:rsidR="00294D73" w:rsidRPr="002767B0" w:rsidRDefault="00294D73" w:rsidP="00707825">
            <w:pPr>
              <w:ind w:left="0" w:firstLine="0"/>
              <w:rPr>
                <w:b/>
                <w:bCs/>
                <w:szCs w:val="22"/>
              </w:rPr>
            </w:pPr>
          </w:p>
        </w:tc>
        <w:tc>
          <w:tcPr>
            <w:tcW w:w="3058" w:type="pct"/>
            <w:vAlign w:val="center"/>
          </w:tcPr>
          <w:p w:rsidR="00294D73" w:rsidRPr="00C52824" w:rsidRDefault="00294D73" w:rsidP="00707825">
            <w:pPr>
              <w:ind w:left="0" w:firstLine="0"/>
              <w:rPr>
                <w:szCs w:val="22"/>
              </w:rPr>
            </w:pPr>
            <w:r>
              <w:rPr>
                <w:szCs w:val="22"/>
              </w:rPr>
              <w:t>Rozmazané videnie</w:t>
            </w:r>
          </w:p>
        </w:tc>
        <w:tc>
          <w:tcPr>
            <w:tcW w:w="714" w:type="pct"/>
          </w:tcPr>
          <w:p w:rsidR="00294D73" w:rsidRPr="00C52824" w:rsidRDefault="00294D73" w:rsidP="00707825">
            <w:pPr>
              <w:ind w:left="0" w:firstLine="0"/>
              <w:rPr>
                <w:szCs w:val="22"/>
              </w:rPr>
            </w:pPr>
            <w:r w:rsidRPr="00EB4B6C">
              <w:rPr>
                <w:szCs w:val="22"/>
              </w:rPr>
              <w:t>Neznáme</w:t>
            </w:r>
          </w:p>
        </w:tc>
      </w:tr>
      <w:tr w:rsidR="00294D73" w:rsidRPr="00C52824" w:rsidTr="0038192F">
        <w:trPr>
          <w:trHeight w:val="79"/>
          <w:jc w:val="center"/>
        </w:trPr>
        <w:tc>
          <w:tcPr>
            <w:tcW w:w="1228" w:type="pct"/>
            <w:vMerge/>
            <w:vAlign w:val="center"/>
          </w:tcPr>
          <w:p w:rsidR="00294D73" w:rsidRPr="002767B0" w:rsidRDefault="00294D73" w:rsidP="00707825">
            <w:pPr>
              <w:ind w:left="0" w:firstLine="0"/>
              <w:rPr>
                <w:b/>
                <w:bCs/>
                <w:szCs w:val="22"/>
              </w:rPr>
            </w:pPr>
          </w:p>
        </w:tc>
        <w:tc>
          <w:tcPr>
            <w:tcW w:w="3058" w:type="pct"/>
            <w:vAlign w:val="center"/>
          </w:tcPr>
          <w:p w:rsidR="00294D73" w:rsidRPr="00C52824" w:rsidRDefault="00294D73" w:rsidP="00707825">
            <w:pPr>
              <w:ind w:left="0" w:firstLine="0"/>
              <w:rPr>
                <w:szCs w:val="22"/>
              </w:rPr>
            </w:pPr>
            <w:r>
              <w:rPr>
                <w:szCs w:val="22"/>
              </w:rPr>
              <w:t>Poškodenie zraku</w:t>
            </w:r>
          </w:p>
        </w:tc>
        <w:tc>
          <w:tcPr>
            <w:tcW w:w="714" w:type="pct"/>
          </w:tcPr>
          <w:p w:rsidR="00294D73" w:rsidRPr="00C52824" w:rsidRDefault="00294D73" w:rsidP="00707825">
            <w:pPr>
              <w:ind w:left="0" w:firstLine="0"/>
              <w:rPr>
                <w:szCs w:val="22"/>
              </w:rPr>
            </w:pPr>
            <w:r w:rsidRPr="00EB4B6C">
              <w:rPr>
                <w:szCs w:val="22"/>
              </w:rPr>
              <w:t>Neznáme</w:t>
            </w:r>
          </w:p>
        </w:tc>
      </w:tr>
      <w:tr w:rsidR="00294D73" w:rsidRPr="00C52824" w:rsidTr="0038192F">
        <w:trPr>
          <w:trHeight w:val="79"/>
          <w:jc w:val="center"/>
        </w:trPr>
        <w:tc>
          <w:tcPr>
            <w:tcW w:w="1228" w:type="pct"/>
            <w:vMerge/>
            <w:vAlign w:val="center"/>
          </w:tcPr>
          <w:p w:rsidR="00294D73" w:rsidRPr="002767B0" w:rsidRDefault="00294D73" w:rsidP="00707825">
            <w:pPr>
              <w:ind w:left="0" w:firstLine="0"/>
              <w:rPr>
                <w:b/>
                <w:bCs/>
                <w:szCs w:val="22"/>
              </w:rPr>
            </w:pPr>
          </w:p>
        </w:tc>
        <w:tc>
          <w:tcPr>
            <w:tcW w:w="3058" w:type="pct"/>
            <w:vAlign w:val="center"/>
          </w:tcPr>
          <w:p w:rsidR="00294D73" w:rsidRPr="00294D73" w:rsidRDefault="00294D73" w:rsidP="00707825">
            <w:pPr>
              <w:ind w:left="0" w:firstLine="0"/>
              <w:rPr>
                <w:szCs w:val="22"/>
              </w:rPr>
            </w:pPr>
            <w:r w:rsidRPr="00294D73">
              <w:rPr>
                <w:szCs w:val="22"/>
              </w:rPr>
              <w:t>Choroidálna efúzia</w:t>
            </w:r>
          </w:p>
        </w:tc>
        <w:tc>
          <w:tcPr>
            <w:tcW w:w="714" w:type="pct"/>
          </w:tcPr>
          <w:p w:rsidR="00294D73" w:rsidRPr="00294D73" w:rsidRDefault="00294D73" w:rsidP="00707825">
            <w:pPr>
              <w:ind w:left="0" w:firstLine="0"/>
              <w:rPr>
                <w:szCs w:val="22"/>
              </w:rPr>
            </w:pPr>
            <w:r w:rsidRPr="00294D73">
              <w:rPr>
                <w:szCs w:val="22"/>
              </w:rPr>
              <w:t>Neznáme</w:t>
            </w:r>
          </w:p>
        </w:tc>
      </w:tr>
      <w:tr w:rsidR="00294D73" w:rsidRPr="00C52824" w:rsidTr="0038192F">
        <w:trPr>
          <w:trHeight w:val="79"/>
          <w:jc w:val="center"/>
        </w:trPr>
        <w:tc>
          <w:tcPr>
            <w:tcW w:w="1228" w:type="pct"/>
            <w:vMerge/>
            <w:vAlign w:val="center"/>
          </w:tcPr>
          <w:p w:rsidR="00294D73" w:rsidRPr="002767B0" w:rsidRDefault="00294D73" w:rsidP="00707825">
            <w:pPr>
              <w:ind w:left="0" w:firstLine="0"/>
              <w:rPr>
                <w:b/>
                <w:bCs/>
                <w:szCs w:val="22"/>
              </w:rPr>
            </w:pPr>
          </w:p>
        </w:tc>
        <w:tc>
          <w:tcPr>
            <w:tcW w:w="3058" w:type="pct"/>
            <w:vAlign w:val="center"/>
          </w:tcPr>
          <w:p w:rsidR="00294D73" w:rsidRPr="00294D73" w:rsidRDefault="00294D73" w:rsidP="00707825">
            <w:pPr>
              <w:ind w:left="0" w:firstLine="0"/>
              <w:rPr>
                <w:szCs w:val="22"/>
              </w:rPr>
            </w:pPr>
            <w:r w:rsidRPr="006D50A9">
              <w:rPr>
                <w:szCs w:val="22"/>
              </w:rPr>
              <w:t>Akútny glaukóm s uzavretým uhlom</w:t>
            </w:r>
          </w:p>
        </w:tc>
        <w:tc>
          <w:tcPr>
            <w:tcW w:w="714" w:type="pct"/>
            <w:vAlign w:val="center"/>
          </w:tcPr>
          <w:p w:rsidR="00294D73" w:rsidRPr="00294D73" w:rsidRDefault="00294D73" w:rsidP="00707825">
            <w:pPr>
              <w:ind w:left="0" w:firstLine="0"/>
              <w:rPr>
                <w:szCs w:val="22"/>
              </w:rPr>
            </w:pPr>
            <w:r w:rsidRPr="005069B7">
              <w:rPr>
                <w:rFonts w:cs="Arial"/>
                <w:szCs w:val="22"/>
              </w:rPr>
              <w:t>Neznáme</w:t>
            </w:r>
          </w:p>
        </w:tc>
      </w:tr>
      <w:tr w:rsidR="00FC4AD5" w:rsidRPr="002767B0" w:rsidTr="0038192F">
        <w:trPr>
          <w:trHeight w:val="381"/>
          <w:jc w:val="center"/>
        </w:trPr>
        <w:tc>
          <w:tcPr>
            <w:tcW w:w="1228" w:type="pct"/>
            <w:vMerge w:val="restart"/>
            <w:vAlign w:val="center"/>
          </w:tcPr>
          <w:p w:rsidR="00FC4AD5" w:rsidRPr="002767B0" w:rsidRDefault="00FC4AD5" w:rsidP="00707825">
            <w:pPr>
              <w:ind w:left="0" w:firstLine="0"/>
              <w:rPr>
                <w:b/>
                <w:bCs/>
                <w:szCs w:val="22"/>
              </w:rPr>
            </w:pPr>
            <w:r>
              <w:rPr>
                <w:b/>
                <w:bCs/>
                <w:szCs w:val="22"/>
              </w:rPr>
              <w:t>Poruchy srdca a srdcovej činnosti</w:t>
            </w:r>
          </w:p>
        </w:tc>
        <w:tc>
          <w:tcPr>
            <w:tcW w:w="3058" w:type="pct"/>
            <w:vAlign w:val="center"/>
          </w:tcPr>
          <w:p w:rsidR="00FC4AD5" w:rsidRPr="002767B0" w:rsidRDefault="00FC4AD5" w:rsidP="00707825">
            <w:pPr>
              <w:ind w:left="0" w:firstLine="0"/>
              <w:rPr>
                <w:szCs w:val="22"/>
              </w:rPr>
            </w:pPr>
            <w:r>
              <w:rPr>
                <w:szCs w:val="22"/>
              </w:rPr>
              <w:t>Aryt</w:t>
            </w:r>
            <w:r w:rsidRPr="002767B0">
              <w:rPr>
                <w:szCs w:val="22"/>
              </w:rPr>
              <w:t>mia</w:t>
            </w:r>
          </w:p>
        </w:tc>
        <w:tc>
          <w:tcPr>
            <w:tcW w:w="714" w:type="pct"/>
            <w:vAlign w:val="center"/>
          </w:tcPr>
          <w:p w:rsidR="00FC4AD5" w:rsidRPr="002767B0" w:rsidRDefault="00FC4AD5" w:rsidP="00707825">
            <w:pPr>
              <w:ind w:left="0" w:firstLine="0"/>
              <w:rPr>
                <w:szCs w:val="22"/>
              </w:rPr>
            </w:pPr>
            <w:r>
              <w:rPr>
                <w:szCs w:val="22"/>
              </w:rPr>
              <w:t>Veľmi zriedkavé</w:t>
            </w:r>
          </w:p>
        </w:tc>
      </w:tr>
      <w:tr w:rsidR="00FC4AD5" w:rsidRPr="002767B0" w:rsidTr="0038192F">
        <w:trPr>
          <w:trHeight w:val="381"/>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sidRPr="002767B0">
              <w:rPr>
                <w:szCs w:val="22"/>
              </w:rPr>
              <w:t>Torsade de pointes (</w:t>
            </w:r>
            <w:r>
              <w:rPr>
                <w:szCs w:val="22"/>
              </w:rPr>
              <w:t>potenciálne fatálne</w:t>
            </w:r>
            <w:r w:rsidRPr="002767B0">
              <w:rPr>
                <w:szCs w:val="22"/>
              </w:rPr>
              <w:t>) (</w:t>
            </w:r>
            <w:r>
              <w:rPr>
                <w:szCs w:val="22"/>
              </w:rPr>
              <w:t>pozri časti 4.4 a </w:t>
            </w:r>
            <w:r w:rsidRPr="002767B0">
              <w:rPr>
                <w:szCs w:val="22"/>
              </w:rPr>
              <w:t>4.5)</w:t>
            </w:r>
          </w:p>
        </w:tc>
        <w:tc>
          <w:tcPr>
            <w:tcW w:w="714" w:type="pct"/>
            <w:vAlign w:val="center"/>
          </w:tcPr>
          <w:p w:rsidR="00FC4AD5" w:rsidRPr="002767B0" w:rsidRDefault="00FC4AD5" w:rsidP="00707825">
            <w:pPr>
              <w:ind w:left="0" w:firstLine="0"/>
              <w:rPr>
                <w:szCs w:val="22"/>
              </w:rPr>
            </w:pPr>
            <w:r w:rsidRPr="00EB4B6C">
              <w:rPr>
                <w:szCs w:val="22"/>
              </w:rPr>
              <w:t>Neznáme</w:t>
            </w:r>
          </w:p>
        </w:tc>
      </w:tr>
      <w:tr w:rsidR="00FC4AD5" w:rsidRPr="002767B0" w:rsidTr="0038192F">
        <w:trPr>
          <w:trHeight w:val="320"/>
          <w:jc w:val="center"/>
        </w:trPr>
        <w:tc>
          <w:tcPr>
            <w:tcW w:w="1228" w:type="pct"/>
            <w:vAlign w:val="center"/>
          </w:tcPr>
          <w:p w:rsidR="00FC4AD5" w:rsidRPr="002767B0" w:rsidRDefault="00FC4AD5" w:rsidP="00707825">
            <w:pPr>
              <w:ind w:left="0" w:firstLine="0"/>
              <w:rPr>
                <w:b/>
                <w:bCs/>
                <w:szCs w:val="22"/>
              </w:rPr>
            </w:pPr>
            <w:r>
              <w:rPr>
                <w:b/>
                <w:bCs/>
                <w:szCs w:val="22"/>
              </w:rPr>
              <w:t>Poruchy</w:t>
            </w:r>
            <w:r w:rsidRPr="002767B0">
              <w:rPr>
                <w:b/>
                <w:bCs/>
                <w:szCs w:val="22"/>
              </w:rPr>
              <w:t xml:space="preserve"> </w:t>
            </w:r>
            <w:r>
              <w:rPr>
                <w:b/>
                <w:bCs/>
                <w:szCs w:val="22"/>
              </w:rPr>
              <w:t>ciev</w:t>
            </w:r>
          </w:p>
        </w:tc>
        <w:tc>
          <w:tcPr>
            <w:tcW w:w="3058" w:type="pct"/>
            <w:vAlign w:val="center"/>
          </w:tcPr>
          <w:p w:rsidR="00FC4AD5" w:rsidRPr="002767B0" w:rsidRDefault="00FC4AD5" w:rsidP="00707825">
            <w:pPr>
              <w:ind w:left="0" w:firstLine="0"/>
              <w:rPr>
                <w:szCs w:val="22"/>
              </w:rPr>
            </w:pPr>
            <w:r w:rsidRPr="002767B0">
              <w:rPr>
                <w:szCs w:val="22"/>
              </w:rPr>
              <w:t>Hypoten</w:t>
            </w:r>
            <w:r>
              <w:rPr>
                <w:szCs w:val="22"/>
              </w:rPr>
              <w:t>zia</w:t>
            </w:r>
          </w:p>
        </w:tc>
        <w:tc>
          <w:tcPr>
            <w:tcW w:w="714" w:type="pct"/>
            <w:vAlign w:val="center"/>
          </w:tcPr>
          <w:p w:rsidR="00FC4AD5" w:rsidRPr="002767B0" w:rsidRDefault="00FC4AD5" w:rsidP="00707825">
            <w:pPr>
              <w:ind w:left="0" w:firstLine="0"/>
              <w:rPr>
                <w:szCs w:val="22"/>
              </w:rPr>
            </w:pPr>
            <w:r>
              <w:rPr>
                <w:szCs w:val="22"/>
              </w:rPr>
              <w:t>Veľmi zriedkavé</w:t>
            </w:r>
          </w:p>
        </w:tc>
      </w:tr>
      <w:tr w:rsidR="00FC4AD5" w:rsidRPr="002767B0" w:rsidTr="0038192F">
        <w:trPr>
          <w:trHeight w:val="214"/>
          <w:jc w:val="center"/>
        </w:trPr>
        <w:tc>
          <w:tcPr>
            <w:tcW w:w="1228" w:type="pct"/>
            <w:vMerge w:val="restart"/>
            <w:vAlign w:val="center"/>
          </w:tcPr>
          <w:p w:rsidR="00FC4AD5" w:rsidRPr="002767B0" w:rsidRDefault="00FC4AD5" w:rsidP="00707825">
            <w:pPr>
              <w:ind w:left="0" w:firstLine="0"/>
              <w:rPr>
                <w:b/>
                <w:bCs/>
                <w:szCs w:val="22"/>
              </w:rPr>
            </w:pPr>
            <w:r>
              <w:rPr>
                <w:b/>
                <w:bCs/>
                <w:szCs w:val="22"/>
              </w:rPr>
              <w:t>Poruchy gastrointestinálneho traktu</w:t>
            </w:r>
          </w:p>
        </w:tc>
        <w:tc>
          <w:tcPr>
            <w:tcW w:w="3058" w:type="pct"/>
            <w:vAlign w:val="center"/>
          </w:tcPr>
          <w:p w:rsidR="00FC4AD5" w:rsidRPr="002767B0" w:rsidRDefault="00FC4AD5" w:rsidP="00707825">
            <w:pPr>
              <w:ind w:left="0" w:firstLine="0"/>
              <w:rPr>
                <w:szCs w:val="22"/>
              </w:rPr>
            </w:pPr>
            <w:r>
              <w:rPr>
                <w:szCs w:val="22"/>
              </w:rPr>
              <w:t>Vracanie</w:t>
            </w:r>
          </w:p>
        </w:tc>
        <w:tc>
          <w:tcPr>
            <w:tcW w:w="714" w:type="pct"/>
          </w:tcPr>
          <w:p w:rsidR="00FC4AD5" w:rsidRPr="002767B0" w:rsidRDefault="00FC4AD5" w:rsidP="00707825">
            <w:pPr>
              <w:ind w:left="0" w:firstLine="0"/>
              <w:rPr>
                <w:szCs w:val="22"/>
              </w:rPr>
            </w:pPr>
            <w:r>
              <w:rPr>
                <w:szCs w:val="22"/>
              </w:rPr>
              <w:t>Menej časté</w:t>
            </w:r>
          </w:p>
        </w:tc>
      </w:tr>
      <w:tr w:rsidR="00FC4AD5" w:rsidRPr="002767B0" w:rsidTr="0038192F">
        <w:trPr>
          <w:trHeight w:val="246"/>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Nauz</w:t>
            </w:r>
            <w:r w:rsidRPr="002767B0">
              <w:rPr>
                <w:szCs w:val="22"/>
              </w:rPr>
              <w:t>ea</w:t>
            </w:r>
          </w:p>
        </w:tc>
        <w:tc>
          <w:tcPr>
            <w:tcW w:w="714" w:type="pct"/>
          </w:tcPr>
          <w:p w:rsidR="00FC4AD5" w:rsidRPr="002767B0" w:rsidRDefault="00FC4AD5" w:rsidP="00707825">
            <w:pPr>
              <w:ind w:left="0" w:firstLine="0"/>
              <w:rPr>
                <w:szCs w:val="22"/>
              </w:rPr>
            </w:pPr>
            <w:r>
              <w:rPr>
                <w:szCs w:val="22"/>
              </w:rPr>
              <w:t>Zriedkavé</w:t>
            </w:r>
          </w:p>
        </w:tc>
      </w:tr>
      <w:tr w:rsidR="00FC4AD5" w:rsidRPr="002767B0" w:rsidTr="0038192F">
        <w:trPr>
          <w:trHeight w:val="292"/>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Zápcha</w:t>
            </w:r>
          </w:p>
        </w:tc>
        <w:tc>
          <w:tcPr>
            <w:tcW w:w="714" w:type="pct"/>
          </w:tcPr>
          <w:p w:rsidR="00FC4AD5" w:rsidRPr="002767B0" w:rsidRDefault="00FC4AD5" w:rsidP="00707825">
            <w:pPr>
              <w:ind w:left="0" w:firstLine="0"/>
              <w:rPr>
                <w:szCs w:val="22"/>
              </w:rPr>
            </w:pPr>
            <w:r w:rsidRPr="002940D5">
              <w:rPr>
                <w:szCs w:val="22"/>
              </w:rPr>
              <w:t>Zriedkavé</w:t>
            </w:r>
          </w:p>
        </w:tc>
      </w:tr>
      <w:tr w:rsidR="00FC4AD5" w:rsidRPr="002767B0" w:rsidTr="0038192F">
        <w:trPr>
          <w:trHeight w:val="50"/>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Suchosť v ústach</w:t>
            </w:r>
          </w:p>
        </w:tc>
        <w:tc>
          <w:tcPr>
            <w:tcW w:w="714" w:type="pct"/>
          </w:tcPr>
          <w:p w:rsidR="00FC4AD5" w:rsidRPr="002767B0" w:rsidRDefault="00FC4AD5" w:rsidP="00707825">
            <w:pPr>
              <w:ind w:left="0" w:firstLine="0"/>
              <w:rPr>
                <w:szCs w:val="22"/>
              </w:rPr>
            </w:pPr>
            <w:r w:rsidRPr="002940D5">
              <w:rPr>
                <w:szCs w:val="22"/>
              </w:rPr>
              <w:t>Zriedkavé</w:t>
            </w:r>
          </w:p>
        </w:tc>
      </w:tr>
      <w:tr w:rsidR="00FC4AD5" w:rsidRPr="002767B0" w:rsidTr="0038192F">
        <w:trPr>
          <w:trHeight w:val="218"/>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Pank</w:t>
            </w:r>
            <w:r w:rsidRPr="002767B0">
              <w:rPr>
                <w:szCs w:val="22"/>
              </w:rPr>
              <w:t>reatit</w:t>
            </w:r>
            <w:r>
              <w:rPr>
                <w:szCs w:val="22"/>
              </w:rPr>
              <w:t>ída</w:t>
            </w:r>
          </w:p>
        </w:tc>
        <w:tc>
          <w:tcPr>
            <w:tcW w:w="714" w:type="pct"/>
          </w:tcPr>
          <w:p w:rsidR="00FC4AD5" w:rsidRPr="002767B0" w:rsidRDefault="00FC4AD5" w:rsidP="00707825">
            <w:pPr>
              <w:ind w:left="0" w:firstLine="0"/>
              <w:rPr>
                <w:szCs w:val="22"/>
              </w:rPr>
            </w:pPr>
            <w:r>
              <w:rPr>
                <w:szCs w:val="22"/>
              </w:rPr>
              <w:t>Veľmi zriedkavé</w:t>
            </w:r>
          </w:p>
        </w:tc>
      </w:tr>
      <w:tr w:rsidR="00FC4AD5" w:rsidRPr="002767B0" w:rsidTr="0038192F">
        <w:trPr>
          <w:trHeight w:val="279"/>
          <w:jc w:val="center"/>
        </w:trPr>
        <w:tc>
          <w:tcPr>
            <w:tcW w:w="1228" w:type="pct"/>
            <w:vMerge w:val="restart"/>
            <w:vAlign w:val="center"/>
          </w:tcPr>
          <w:p w:rsidR="00FC4AD5" w:rsidRPr="002767B0" w:rsidRDefault="00FC4AD5" w:rsidP="00707825">
            <w:pPr>
              <w:ind w:left="0" w:firstLine="0"/>
              <w:rPr>
                <w:b/>
                <w:bCs/>
                <w:szCs w:val="22"/>
              </w:rPr>
            </w:pPr>
            <w:r>
              <w:rPr>
                <w:b/>
                <w:bCs/>
                <w:szCs w:val="22"/>
              </w:rPr>
              <w:t>Poruchy pečene a žlčových ciest</w:t>
            </w:r>
          </w:p>
        </w:tc>
        <w:tc>
          <w:tcPr>
            <w:tcW w:w="3058" w:type="pct"/>
            <w:tcBorders>
              <w:bottom w:val="single" w:sz="4" w:space="0" w:color="auto"/>
            </w:tcBorders>
            <w:vAlign w:val="center"/>
          </w:tcPr>
          <w:p w:rsidR="00FC4AD5" w:rsidRPr="002767B0" w:rsidRDefault="00FC4AD5" w:rsidP="00707825">
            <w:pPr>
              <w:ind w:left="0" w:firstLine="0"/>
              <w:rPr>
                <w:szCs w:val="22"/>
              </w:rPr>
            </w:pPr>
            <w:r>
              <w:rPr>
                <w:szCs w:val="22"/>
              </w:rPr>
              <w:t>A</w:t>
            </w:r>
            <w:r w:rsidRPr="008E5E84">
              <w:rPr>
                <w:szCs w:val="22"/>
              </w:rPr>
              <w:t>bnormálna hepatálna funkcia</w:t>
            </w:r>
          </w:p>
        </w:tc>
        <w:tc>
          <w:tcPr>
            <w:tcW w:w="714" w:type="pct"/>
          </w:tcPr>
          <w:p w:rsidR="00FC4AD5" w:rsidRPr="002767B0" w:rsidRDefault="00FC4AD5" w:rsidP="00707825">
            <w:pPr>
              <w:ind w:left="0" w:firstLine="0"/>
              <w:rPr>
                <w:szCs w:val="22"/>
              </w:rPr>
            </w:pPr>
            <w:r>
              <w:rPr>
                <w:szCs w:val="22"/>
              </w:rPr>
              <w:t>Veľmi zriedkavé</w:t>
            </w:r>
          </w:p>
        </w:tc>
      </w:tr>
      <w:tr w:rsidR="00FC4AD5" w:rsidRPr="002767B0" w:rsidTr="0038192F">
        <w:trPr>
          <w:trHeight w:val="279"/>
          <w:jc w:val="center"/>
        </w:trPr>
        <w:tc>
          <w:tcPr>
            <w:tcW w:w="1228" w:type="pct"/>
            <w:vMerge/>
            <w:vAlign w:val="center"/>
          </w:tcPr>
          <w:p w:rsidR="00FC4AD5" w:rsidRPr="002767B0" w:rsidRDefault="00FC4AD5" w:rsidP="00707825">
            <w:pPr>
              <w:ind w:left="0" w:firstLine="0"/>
              <w:rPr>
                <w:b/>
                <w:bCs/>
                <w:szCs w:val="22"/>
              </w:rPr>
            </w:pPr>
          </w:p>
        </w:tc>
        <w:tc>
          <w:tcPr>
            <w:tcW w:w="3058" w:type="pct"/>
            <w:tcBorders>
              <w:bottom w:val="single" w:sz="4" w:space="0" w:color="auto"/>
            </w:tcBorders>
            <w:vAlign w:val="center"/>
          </w:tcPr>
          <w:p w:rsidR="00FC4AD5" w:rsidRPr="002767B0" w:rsidRDefault="00FC4AD5" w:rsidP="00707825">
            <w:pPr>
              <w:ind w:left="0" w:firstLine="0"/>
              <w:rPr>
                <w:szCs w:val="22"/>
              </w:rPr>
            </w:pPr>
            <w:r>
              <w:rPr>
                <w:szCs w:val="22"/>
              </w:rPr>
              <w:t>P</w:t>
            </w:r>
            <w:r w:rsidRPr="008E5E84">
              <w:rPr>
                <w:szCs w:val="22"/>
              </w:rPr>
              <w:t>ri hepatálnej insuficiencii je možný vznik hepatálnej encefalopatie</w:t>
            </w:r>
            <w:r>
              <w:rPr>
                <w:szCs w:val="22"/>
              </w:rPr>
              <w:t xml:space="preserve"> (pozri časti 4.3 a </w:t>
            </w:r>
            <w:r w:rsidRPr="002767B0">
              <w:rPr>
                <w:szCs w:val="22"/>
              </w:rPr>
              <w:t>4.4)</w:t>
            </w:r>
          </w:p>
        </w:tc>
        <w:tc>
          <w:tcPr>
            <w:tcW w:w="714" w:type="pct"/>
          </w:tcPr>
          <w:p w:rsidR="00FC4AD5" w:rsidRPr="002767B0" w:rsidRDefault="00FC4AD5" w:rsidP="00707825">
            <w:pPr>
              <w:ind w:left="0" w:firstLine="0"/>
              <w:rPr>
                <w:szCs w:val="22"/>
              </w:rPr>
            </w:pPr>
            <w:r w:rsidRPr="00EB4B6C">
              <w:rPr>
                <w:szCs w:val="22"/>
              </w:rPr>
              <w:t>Neznáme</w:t>
            </w:r>
          </w:p>
        </w:tc>
      </w:tr>
      <w:tr w:rsidR="00FC4AD5" w:rsidRPr="002767B0" w:rsidTr="0038192F">
        <w:trPr>
          <w:trHeight w:val="279"/>
          <w:jc w:val="center"/>
        </w:trPr>
        <w:tc>
          <w:tcPr>
            <w:tcW w:w="1228" w:type="pct"/>
            <w:vMerge/>
            <w:vAlign w:val="center"/>
          </w:tcPr>
          <w:p w:rsidR="00FC4AD5" w:rsidRPr="002767B0" w:rsidRDefault="00FC4AD5" w:rsidP="00707825">
            <w:pPr>
              <w:ind w:left="0" w:firstLine="0"/>
              <w:rPr>
                <w:b/>
                <w:bCs/>
                <w:szCs w:val="22"/>
              </w:rPr>
            </w:pPr>
          </w:p>
        </w:tc>
        <w:tc>
          <w:tcPr>
            <w:tcW w:w="3058" w:type="pct"/>
            <w:tcBorders>
              <w:bottom w:val="single" w:sz="4" w:space="0" w:color="auto"/>
            </w:tcBorders>
            <w:vAlign w:val="center"/>
          </w:tcPr>
          <w:p w:rsidR="00FC4AD5" w:rsidRPr="002767B0" w:rsidRDefault="00FC4AD5" w:rsidP="00707825">
            <w:pPr>
              <w:ind w:left="0" w:firstLine="0"/>
              <w:rPr>
                <w:szCs w:val="22"/>
              </w:rPr>
            </w:pPr>
            <w:r w:rsidRPr="002767B0">
              <w:rPr>
                <w:szCs w:val="22"/>
              </w:rPr>
              <w:t>Hepatit</w:t>
            </w:r>
            <w:r>
              <w:rPr>
                <w:szCs w:val="22"/>
              </w:rPr>
              <w:t>ída</w:t>
            </w:r>
          </w:p>
        </w:tc>
        <w:tc>
          <w:tcPr>
            <w:tcW w:w="714" w:type="pct"/>
          </w:tcPr>
          <w:p w:rsidR="00FC4AD5" w:rsidRPr="002767B0" w:rsidRDefault="00FC4AD5" w:rsidP="00707825">
            <w:pPr>
              <w:ind w:left="0" w:firstLine="0"/>
              <w:rPr>
                <w:szCs w:val="22"/>
              </w:rPr>
            </w:pPr>
            <w:r w:rsidRPr="00EB4B6C">
              <w:rPr>
                <w:szCs w:val="22"/>
              </w:rPr>
              <w:t>Neznáme</w:t>
            </w:r>
          </w:p>
        </w:tc>
      </w:tr>
      <w:tr w:rsidR="00FC4AD5" w:rsidRPr="002767B0" w:rsidTr="0038192F">
        <w:trPr>
          <w:trHeight w:val="111"/>
          <w:jc w:val="center"/>
        </w:trPr>
        <w:tc>
          <w:tcPr>
            <w:tcW w:w="1228" w:type="pct"/>
            <w:vMerge w:val="restart"/>
            <w:vAlign w:val="center"/>
          </w:tcPr>
          <w:p w:rsidR="00FC4AD5" w:rsidRPr="002767B0" w:rsidRDefault="00FC4AD5" w:rsidP="00707825">
            <w:pPr>
              <w:ind w:left="0" w:firstLine="0"/>
              <w:rPr>
                <w:b/>
                <w:bCs/>
                <w:i/>
                <w:szCs w:val="22"/>
              </w:rPr>
            </w:pPr>
            <w:r>
              <w:rPr>
                <w:b/>
                <w:bCs/>
                <w:iCs/>
                <w:szCs w:val="22"/>
              </w:rPr>
              <w:t>Poruchy kože a podkožného tkaniva</w:t>
            </w:r>
          </w:p>
        </w:tc>
        <w:tc>
          <w:tcPr>
            <w:tcW w:w="3058" w:type="pct"/>
            <w:vAlign w:val="center"/>
          </w:tcPr>
          <w:p w:rsidR="00FC4AD5" w:rsidRPr="002767B0" w:rsidRDefault="00FC4AD5" w:rsidP="00707825">
            <w:pPr>
              <w:ind w:left="0" w:firstLine="0"/>
              <w:rPr>
                <w:szCs w:val="22"/>
              </w:rPr>
            </w:pPr>
            <w:r>
              <w:rPr>
                <w:szCs w:val="22"/>
              </w:rPr>
              <w:t>R</w:t>
            </w:r>
            <w:r w:rsidRPr="008E5E84">
              <w:rPr>
                <w:szCs w:val="22"/>
              </w:rPr>
              <w:t>eakcie precitlivenosti</w:t>
            </w:r>
          </w:p>
        </w:tc>
        <w:tc>
          <w:tcPr>
            <w:tcW w:w="714" w:type="pct"/>
          </w:tcPr>
          <w:p w:rsidR="00FC4AD5" w:rsidRPr="002767B0" w:rsidRDefault="00FC4AD5" w:rsidP="00707825">
            <w:pPr>
              <w:ind w:left="0" w:firstLine="0"/>
              <w:rPr>
                <w:szCs w:val="22"/>
              </w:rPr>
            </w:pPr>
            <w:r>
              <w:rPr>
                <w:szCs w:val="22"/>
              </w:rPr>
              <w:t>Časté</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iCs/>
                <w:szCs w:val="22"/>
              </w:rPr>
            </w:pPr>
          </w:p>
        </w:tc>
        <w:tc>
          <w:tcPr>
            <w:tcW w:w="3058" w:type="pct"/>
            <w:vAlign w:val="center"/>
          </w:tcPr>
          <w:p w:rsidR="00FC4AD5" w:rsidRPr="002767B0" w:rsidRDefault="00FC4AD5" w:rsidP="00707825">
            <w:pPr>
              <w:ind w:left="0" w:firstLine="0"/>
              <w:rPr>
                <w:szCs w:val="22"/>
              </w:rPr>
            </w:pPr>
            <w:r>
              <w:rPr>
                <w:szCs w:val="22"/>
              </w:rPr>
              <w:t>M</w:t>
            </w:r>
            <w:r w:rsidRPr="008E5E84">
              <w:rPr>
                <w:szCs w:val="22"/>
              </w:rPr>
              <w:t>akulopapulózne vyrážky</w:t>
            </w:r>
          </w:p>
        </w:tc>
        <w:tc>
          <w:tcPr>
            <w:tcW w:w="714" w:type="pct"/>
          </w:tcPr>
          <w:p w:rsidR="00FC4AD5" w:rsidRPr="002767B0" w:rsidRDefault="00FC4AD5" w:rsidP="00707825">
            <w:pPr>
              <w:ind w:left="0" w:firstLine="0"/>
              <w:rPr>
                <w:szCs w:val="22"/>
              </w:rPr>
            </w:pPr>
            <w:r>
              <w:rPr>
                <w:szCs w:val="22"/>
              </w:rPr>
              <w:t>Časté</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i/>
                <w:szCs w:val="22"/>
              </w:rPr>
            </w:pPr>
          </w:p>
        </w:tc>
        <w:tc>
          <w:tcPr>
            <w:tcW w:w="3058" w:type="pct"/>
            <w:vAlign w:val="center"/>
          </w:tcPr>
          <w:p w:rsidR="00FC4AD5" w:rsidRPr="002767B0" w:rsidRDefault="00FC4AD5" w:rsidP="00707825">
            <w:pPr>
              <w:ind w:left="0" w:firstLine="0"/>
              <w:rPr>
                <w:szCs w:val="22"/>
              </w:rPr>
            </w:pPr>
            <w:r w:rsidRPr="002767B0">
              <w:rPr>
                <w:szCs w:val="22"/>
              </w:rPr>
              <w:t>Purpura</w:t>
            </w:r>
          </w:p>
        </w:tc>
        <w:tc>
          <w:tcPr>
            <w:tcW w:w="714" w:type="pct"/>
          </w:tcPr>
          <w:p w:rsidR="00FC4AD5" w:rsidRPr="002767B0" w:rsidRDefault="00FC4AD5" w:rsidP="00707825">
            <w:pPr>
              <w:ind w:left="0" w:firstLine="0"/>
              <w:rPr>
                <w:szCs w:val="22"/>
              </w:rPr>
            </w:pPr>
            <w:r>
              <w:rPr>
                <w:szCs w:val="22"/>
              </w:rPr>
              <w:t>Menej časté</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i/>
                <w:szCs w:val="22"/>
              </w:rPr>
            </w:pPr>
          </w:p>
        </w:tc>
        <w:tc>
          <w:tcPr>
            <w:tcW w:w="3058" w:type="pct"/>
            <w:vAlign w:val="center"/>
          </w:tcPr>
          <w:p w:rsidR="00FC4AD5" w:rsidRPr="002767B0" w:rsidRDefault="00FC4AD5" w:rsidP="00707825">
            <w:pPr>
              <w:ind w:left="0" w:firstLine="0"/>
              <w:rPr>
                <w:szCs w:val="22"/>
              </w:rPr>
            </w:pPr>
            <w:r>
              <w:rPr>
                <w:szCs w:val="22"/>
              </w:rPr>
              <w:t>Angioedé</w:t>
            </w:r>
            <w:r w:rsidRPr="002767B0">
              <w:rPr>
                <w:szCs w:val="22"/>
              </w:rPr>
              <w:t>m</w:t>
            </w:r>
          </w:p>
        </w:tc>
        <w:tc>
          <w:tcPr>
            <w:tcW w:w="714" w:type="pct"/>
          </w:tcPr>
          <w:p w:rsidR="00FC4AD5" w:rsidRPr="002767B0" w:rsidRDefault="00FC4AD5" w:rsidP="00707825">
            <w:pPr>
              <w:ind w:left="0" w:firstLine="0"/>
              <w:rPr>
                <w:szCs w:val="22"/>
              </w:rPr>
            </w:pPr>
            <w:r>
              <w:rPr>
                <w:szCs w:val="22"/>
              </w:rPr>
              <w:t>Veľmi zriedkavé</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i/>
                <w:szCs w:val="22"/>
              </w:rPr>
            </w:pPr>
          </w:p>
        </w:tc>
        <w:tc>
          <w:tcPr>
            <w:tcW w:w="3058" w:type="pct"/>
            <w:vAlign w:val="center"/>
          </w:tcPr>
          <w:p w:rsidR="00FC4AD5" w:rsidRPr="002767B0" w:rsidRDefault="00FC4AD5" w:rsidP="00707825">
            <w:pPr>
              <w:ind w:left="0" w:firstLine="0"/>
              <w:rPr>
                <w:szCs w:val="22"/>
              </w:rPr>
            </w:pPr>
            <w:r>
              <w:rPr>
                <w:szCs w:val="22"/>
              </w:rPr>
              <w:t>Urtiká</w:t>
            </w:r>
            <w:r w:rsidRPr="002767B0">
              <w:rPr>
                <w:szCs w:val="22"/>
              </w:rPr>
              <w:t>ria</w:t>
            </w:r>
          </w:p>
        </w:tc>
        <w:tc>
          <w:tcPr>
            <w:tcW w:w="714" w:type="pct"/>
          </w:tcPr>
          <w:p w:rsidR="00FC4AD5" w:rsidRPr="002767B0" w:rsidRDefault="00FC4AD5" w:rsidP="00707825">
            <w:pPr>
              <w:ind w:left="0" w:firstLine="0"/>
              <w:rPr>
                <w:szCs w:val="22"/>
              </w:rPr>
            </w:pPr>
            <w:r w:rsidRPr="00C00508">
              <w:rPr>
                <w:szCs w:val="22"/>
              </w:rPr>
              <w:t>Veľmi zriedkavé</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i/>
                <w:szCs w:val="22"/>
              </w:rPr>
            </w:pPr>
          </w:p>
        </w:tc>
        <w:tc>
          <w:tcPr>
            <w:tcW w:w="3058" w:type="pct"/>
            <w:vAlign w:val="center"/>
          </w:tcPr>
          <w:p w:rsidR="00FC4AD5" w:rsidRPr="002767B0" w:rsidRDefault="00FC4AD5" w:rsidP="00707825">
            <w:pPr>
              <w:ind w:left="0" w:firstLine="0"/>
              <w:rPr>
                <w:szCs w:val="22"/>
              </w:rPr>
            </w:pPr>
            <w:r w:rsidRPr="002767B0">
              <w:rPr>
                <w:szCs w:val="22"/>
              </w:rPr>
              <w:t>Toxic</w:t>
            </w:r>
            <w:r>
              <w:rPr>
                <w:szCs w:val="22"/>
              </w:rPr>
              <w:t>ká epidermálna</w:t>
            </w:r>
            <w:r w:rsidRPr="002767B0">
              <w:rPr>
                <w:szCs w:val="22"/>
              </w:rPr>
              <w:t xml:space="preserve"> n</w:t>
            </w:r>
            <w:r>
              <w:rPr>
                <w:szCs w:val="22"/>
              </w:rPr>
              <w:t>ek</w:t>
            </w:r>
            <w:r w:rsidRPr="002767B0">
              <w:rPr>
                <w:szCs w:val="22"/>
              </w:rPr>
              <w:t>rol</w:t>
            </w:r>
            <w:r>
              <w:rPr>
                <w:szCs w:val="22"/>
              </w:rPr>
              <w:t>ýza</w:t>
            </w:r>
          </w:p>
        </w:tc>
        <w:tc>
          <w:tcPr>
            <w:tcW w:w="714" w:type="pct"/>
          </w:tcPr>
          <w:p w:rsidR="00FC4AD5" w:rsidRPr="002767B0" w:rsidRDefault="00FC4AD5" w:rsidP="00707825">
            <w:pPr>
              <w:ind w:left="0" w:firstLine="0"/>
              <w:rPr>
                <w:szCs w:val="22"/>
              </w:rPr>
            </w:pPr>
            <w:r w:rsidRPr="00C00508">
              <w:rPr>
                <w:szCs w:val="22"/>
              </w:rPr>
              <w:t>Veľmi zriedkavé</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i/>
                <w:szCs w:val="22"/>
              </w:rPr>
            </w:pPr>
          </w:p>
        </w:tc>
        <w:tc>
          <w:tcPr>
            <w:tcW w:w="3058" w:type="pct"/>
            <w:vAlign w:val="center"/>
          </w:tcPr>
          <w:p w:rsidR="00FC4AD5" w:rsidRPr="002767B0" w:rsidRDefault="00FC4AD5" w:rsidP="00707825">
            <w:pPr>
              <w:ind w:left="0" w:firstLine="0"/>
              <w:rPr>
                <w:szCs w:val="22"/>
              </w:rPr>
            </w:pPr>
            <w:r w:rsidRPr="002767B0">
              <w:rPr>
                <w:szCs w:val="22"/>
              </w:rPr>
              <w:t>Stevens</w:t>
            </w:r>
            <w:r>
              <w:rPr>
                <w:szCs w:val="22"/>
              </w:rPr>
              <w:t>ov</w:t>
            </w:r>
            <w:r w:rsidRPr="002767B0">
              <w:rPr>
                <w:szCs w:val="22"/>
              </w:rPr>
              <w:t>-Johnson</w:t>
            </w:r>
            <w:r>
              <w:rPr>
                <w:szCs w:val="22"/>
              </w:rPr>
              <w:t>ov syndró</w:t>
            </w:r>
            <w:r w:rsidRPr="002767B0">
              <w:rPr>
                <w:szCs w:val="22"/>
              </w:rPr>
              <w:t>m</w:t>
            </w:r>
          </w:p>
        </w:tc>
        <w:tc>
          <w:tcPr>
            <w:tcW w:w="714" w:type="pct"/>
          </w:tcPr>
          <w:p w:rsidR="00FC4AD5" w:rsidRPr="002767B0" w:rsidRDefault="00FC4AD5" w:rsidP="00707825">
            <w:pPr>
              <w:ind w:left="0" w:firstLine="0"/>
              <w:rPr>
                <w:szCs w:val="22"/>
              </w:rPr>
            </w:pPr>
            <w:r w:rsidRPr="00C00508">
              <w:rPr>
                <w:szCs w:val="22"/>
              </w:rPr>
              <w:t>Veľmi zriedkavé</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i/>
                <w:szCs w:val="22"/>
              </w:rPr>
            </w:pPr>
          </w:p>
        </w:tc>
        <w:tc>
          <w:tcPr>
            <w:tcW w:w="3058" w:type="pct"/>
            <w:vAlign w:val="center"/>
          </w:tcPr>
          <w:p w:rsidR="00FC4AD5" w:rsidRPr="002767B0" w:rsidRDefault="00FC4AD5" w:rsidP="00707825">
            <w:pPr>
              <w:ind w:left="0" w:firstLine="0"/>
              <w:rPr>
                <w:szCs w:val="22"/>
              </w:rPr>
            </w:pPr>
            <w:r>
              <w:rPr>
                <w:szCs w:val="22"/>
              </w:rPr>
              <w:t>M</w:t>
            </w:r>
            <w:r w:rsidRPr="008E5E84">
              <w:rPr>
                <w:szCs w:val="22"/>
              </w:rPr>
              <w:t>ožné zhoršenie už existujúceho akútneho diseminovaného lupus</w:t>
            </w:r>
            <w:r>
              <w:rPr>
                <w:szCs w:val="22"/>
              </w:rPr>
              <w:t>u</w:t>
            </w:r>
            <w:r w:rsidRPr="008E5E84">
              <w:rPr>
                <w:szCs w:val="22"/>
              </w:rPr>
              <w:t xml:space="preserve"> erythematosus</w:t>
            </w:r>
          </w:p>
        </w:tc>
        <w:tc>
          <w:tcPr>
            <w:tcW w:w="714" w:type="pct"/>
          </w:tcPr>
          <w:p w:rsidR="00FC4AD5" w:rsidRPr="002767B0" w:rsidRDefault="00FC4AD5" w:rsidP="00707825">
            <w:pPr>
              <w:ind w:left="0" w:firstLine="0"/>
              <w:rPr>
                <w:szCs w:val="22"/>
              </w:rPr>
            </w:pPr>
            <w:r>
              <w:rPr>
                <w:szCs w:val="22"/>
              </w:rPr>
              <w:t>Neznáme</w:t>
            </w:r>
          </w:p>
        </w:tc>
      </w:tr>
      <w:tr w:rsidR="00FC4AD5" w:rsidRPr="002767B0" w:rsidTr="0038192F">
        <w:trPr>
          <w:trHeight w:val="111"/>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Pr>
                <w:szCs w:val="22"/>
              </w:rPr>
              <w:t>Fotosenzitívne reakcie (pozri časť</w:t>
            </w:r>
            <w:r w:rsidRPr="002767B0">
              <w:rPr>
                <w:szCs w:val="22"/>
              </w:rPr>
              <w:t xml:space="preserve"> 4.4)</w:t>
            </w:r>
          </w:p>
        </w:tc>
        <w:tc>
          <w:tcPr>
            <w:tcW w:w="714" w:type="pct"/>
          </w:tcPr>
          <w:p w:rsidR="00FC4AD5" w:rsidRPr="002767B0" w:rsidRDefault="00FC4AD5" w:rsidP="00707825">
            <w:pPr>
              <w:ind w:left="0" w:firstLine="0"/>
              <w:rPr>
                <w:szCs w:val="22"/>
              </w:rPr>
            </w:pPr>
            <w:r>
              <w:rPr>
                <w:szCs w:val="22"/>
              </w:rPr>
              <w:t>Neznáme</w:t>
            </w:r>
          </w:p>
        </w:tc>
      </w:tr>
      <w:tr w:rsidR="00FC4AD5" w:rsidRPr="002767B0" w:rsidTr="0038192F">
        <w:trPr>
          <w:trHeight w:val="409"/>
          <w:jc w:val="center"/>
        </w:trPr>
        <w:tc>
          <w:tcPr>
            <w:tcW w:w="1228" w:type="pct"/>
            <w:vAlign w:val="center"/>
          </w:tcPr>
          <w:p w:rsidR="00FC4AD5" w:rsidRPr="002767B0" w:rsidRDefault="00FC4AD5" w:rsidP="00707825">
            <w:pPr>
              <w:ind w:left="0" w:firstLine="0"/>
              <w:rPr>
                <w:b/>
                <w:bCs/>
                <w:szCs w:val="22"/>
              </w:rPr>
            </w:pPr>
            <w:r>
              <w:rPr>
                <w:b/>
                <w:bCs/>
                <w:szCs w:val="22"/>
              </w:rPr>
              <w:t>Poruchy obličiek a močových ciest</w:t>
            </w:r>
          </w:p>
        </w:tc>
        <w:tc>
          <w:tcPr>
            <w:tcW w:w="3058" w:type="pct"/>
            <w:vAlign w:val="center"/>
          </w:tcPr>
          <w:p w:rsidR="00FC4AD5" w:rsidRPr="002767B0" w:rsidRDefault="00FC4AD5" w:rsidP="00707825">
            <w:pPr>
              <w:ind w:left="0" w:firstLine="0"/>
              <w:rPr>
                <w:szCs w:val="22"/>
              </w:rPr>
            </w:pPr>
            <w:r>
              <w:rPr>
                <w:szCs w:val="22"/>
              </w:rPr>
              <w:t>R</w:t>
            </w:r>
            <w:r w:rsidRPr="008E5E84">
              <w:rPr>
                <w:szCs w:val="22"/>
              </w:rPr>
              <w:t>enálne zlyhanie</w:t>
            </w:r>
          </w:p>
        </w:tc>
        <w:tc>
          <w:tcPr>
            <w:tcW w:w="714" w:type="pct"/>
          </w:tcPr>
          <w:p w:rsidR="00FC4AD5" w:rsidRPr="002767B0" w:rsidRDefault="00FC4AD5" w:rsidP="00707825">
            <w:pPr>
              <w:ind w:left="0" w:firstLine="0"/>
              <w:rPr>
                <w:szCs w:val="22"/>
              </w:rPr>
            </w:pPr>
            <w:r w:rsidRPr="00C00508">
              <w:rPr>
                <w:szCs w:val="22"/>
              </w:rPr>
              <w:t>Veľmi zriedkavé</w:t>
            </w:r>
          </w:p>
        </w:tc>
      </w:tr>
      <w:tr w:rsidR="00FC4AD5" w:rsidRPr="002767B0" w:rsidTr="0038192F">
        <w:trPr>
          <w:trHeight w:val="270"/>
          <w:jc w:val="center"/>
        </w:trPr>
        <w:tc>
          <w:tcPr>
            <w:tcW w:w="1228" w:type="pct"/>
            <w:vMerge w:val="restart"/>
            <w:vAlign w:val="center"/>
          </w:tcPr>
          <w:p w:rsidR="00FC4AD5" w:rsidRPr="002767B0" w:rsidRDefault="00FC4AD5" w:rsidP="00707825">
            <w:pPr>
              <w:ind w:left="0" w:firstLine="0"/>
              <w:rPr>
                <w:b/>
                <w:bCs/>
                <w:szCs w:val="22"/>
              </w:rPr>
            </w:pPr>
            <w:r>
              <w:rPr>
                <w:b/>
                <w:bCs/>
                <w:szCs w:val="22"/>
              </w:rPr>
              <w:t>Laboratórne a funkčné vyšetrenia</w:t>
            </w:r>
          </w:p>
        </w:tc>
        <w:tc>
          <w:tcPr>
            <w:tcW w:w="3058" w:type="pct"/>
            <w:vAlign w:val="center"/>
          </w:tcPr>
          <w:p w:rsidR="00FC4AD5" w:rsidRPr="002767B0" w:rsidRDefault="00FC4AD5" w:rsidP="00707825">
            <w:pPr>
              <w:ind w:left="0" w:firstLine="0"/>
              <w:rPr>
                <w:szCs w:val="22"/>
              </w:rPr>
            </w:pPr>
            <w:r w:rsidRPr="008E5E84">
              <w:rPr>
                <w:szCs w:val="22"/>
              </w:rPr>
              <w:t>Predĺžený QT interval na elektrokardiograme</w:t>
            </w:r>
            <w:r w:rsidRPr="002767B0">
              <w:rPr>
                <w:szCs w:val="22"/>
              </w:rPr>
              <w:t xml:space="preserve"> (</w:t>
            </w:r>
            <w:r>
              <w:rPr>
                <w:szCs w:val="22"/>
              </w:rPr>
              <w:t>pozri časti 4.4 a </w:t>
            </w:r>
            <w:r w:rsidRPr="002767B0">
              <w:rPr>
                <w:szCs w:val="22"/>
              </w:rPr>
              <w:t>4.5)</w:t>
            </w:r>
          </w:p>
        </w:tc>
        <w:tc>
          <w:tcPr>
            <w:tcW w:w="714" w:type="pct"/>
          </w:tcPr>
          <w:p w:rsidR="00FC4AD5" w:rsidRPr="002767B0" w:rsidRDefault="00FC4AD5" w:rsidP="00707825">
            <w:pPr>
              <w:ind w:left="0" w:firstLine="0"/>
              <w:rPr>
                <w:szCs w:val="22"/>
              </w:rPr>
            </w:pPr>
            <w:r w:rsidRPr="00792AB3">
              <w:rPr>
                <w:szCs w:val="22"/>
              </w:rPr>
              <w:t>Neznáme</w:t>
            </w:r>
          </w:p>
        </w:tc>
      </w:tr>
      <w:tr w:rsidR="00FC4AD5" w:rsidRPr="002767B0" w:rsidTr="0038192F">
        <w:trPr>
          <w:trHeight w:val="274"/>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sidRPr="008E5E84">
              <w:rPr>
                <w:szCs w:val="22"/>
              </w:rPr>
              <w:t xml:space="preserve">Zvýšenie </w:t>
            </w:r>
            <w:r>
              <w:rPr>
                <w:szCs w:val="22"/>
              </w:rPr>
              <w:t>glukózy v krvi (pozri časť</w:t>
            </w:r>
            <w:r w:rsidRPr="002767B0">
              <w:rPr>
                <w:szCs w:val="22"/>
              </w:rPr>
              <w:t xml:space="preserve"> 4.4)</w:t>
            </w:r>
          </w:p>
        </w:tc>
        <w:tc>
          <w:tcPr>
            <w:tcW w:w="714" w:type="pct"/>
          </w:tcPr>
          <w:p w:rsidR="00FC4AD5" w:rsidRPr="002767B0" w:rsidRDefault="00FC4AD5" w:rsidP="00707825">
            <w:pPr>
              <w:ind w:left="0" w:firstLine="0"/>
              <w:rPr>
                <w:szCs w:val="22"/>
              </w:rPr>
            </w:pPr>
            <w:r w:rsidRPr="00792AB3">
              <w:rPr>
                <w:szCs w:val="22"/>
              </w:rPr>
              <w:t>Neznáme</w:t>
            </w:r>
          </w:p>
        </w:tc>
      </w:tr>
      <w:tr w:rsidR="00FC4AD5" w:rsidRPr="002767B0" w:rsidTr="0038192F">
        <w:trPr>
          <w:trHeight w:val="274"/>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sidRPr="008E5E84">
              <w:rPr>
                <w:szCs w:val="22"/>
              </w:rPr>
              <w:t xml:space="preserve">Zvýšenie </w:t>
            </w:r>
            <w:r>
              <w:rPr>
                <w:szCs w:val="22"/>
              </w:rPr>
              <w:t>kyseliny močovej v krvi</w:t>
            </w:r>
            <w:r w:rsidRPr="002767B0">
              <w:rPr>
                <w:szCs w:val="22"/>
              </w:rPr>
              <w:t xml:space="preserve"> </w:t>
            </w:r>
            <w:r>
              <w:rPr>
                <w:szCs w:val="22"/>
              </w:rPr>
              <w:t>(pozri časť</w:t>
            </w:r>
            <w:r w:rsidRPr="002767B0">
              <w:rPr>
                <w:szCs w:val="22"/>
              </w:rPr>
              <w:t xml:space="preserve"> 4.4)</w:t>
            </w:r>
          </w:p>
        </w:tc>
        <w:tc>
          <w:tcPr>
            <w:tcW w:w="714" w:type="pct"/>
          </w:tcPr>
          <w:p w:rsidR="00FC4AD5" w:rsidRPr="002767B0" w:rsidRDefault="00FC4AD5" w:rsidP="00707825">
            <w:pPr>
              <w:ind w:left="0" w:firstLine="0"/>
              <w:rPr>
                <w:szCs w:val="22"/>
              </w:rPr>
            </w:pPr>
            <w:r w:rsidRPr="00792AB3">
              <w:rPr>
                <w:szCs w:val="22"/>
              </w:rPr>
              <w:t>Neznáme</w:t>
            </w:r>
          </w:p>
        </w:tc>
      </w:tr>
      <w:tr w:rsidR="00FC4AD5" w:rsidRPr="002767B0" w:rsidTr="0038192F">
        <w:trPr>
          <w:trHeight w:val="274"/>
          <w:jc w:val="center"/>
        </w:trPr>
        <w:tc>
          <w:tcPr>
            <w:tcW w:w="1228" w:type="pct"/>
            <w:vMerge/>
            <w:vAlign w:val="center"/>
          </w:tcPr>
          <w:p w:rsidR="00FC4AD5" w:rsidRPr="002767B0" w:rsidRDefault="00FC4AD5" w:rsidP="00707825">
            <w:pPr>
              <w:ind w:left="0" w:firstLine="0"/>
              <w:rPr>
                <w:b/>
                <w:bCs/>
                <w:szCs w:val="22"/>
              </w:rPr>
            </w:pPr>
          </w:p>
        </w:tc>
        <w:tc>
          <w:tcPr>
            <w:tcW w:w="3058" w:type="pct"/>
            <w:vAlign w:val="center"/>
          </w:tcPr>
          <w:p w:rsidR="00FC4AD5" w:rsidRPr="002767B0" w:rsidRDefault="00FC4AD5" w:rsidP="00707825">
            <w:pPr>
              <w:ind w:left="0" w:firstLine="0"/>
              <w:rPr>
                <w:szCs w:val="22"/>
              </w:rPr>
            </w:pPr>
            <w:r w:rsidRPr="008E5E84">
              <w:rPr>
                <w:szCs w:val="22"/>
              </w:rPr>
              <w:t>Zvýšené hladiny pečeňových enzýmov</w:t>
            </w:r>
          </w:p>
        </w:tc>
        <w:tc>
          <w:tcPr>
            <w:tcW w:w="714" w:type="pct"/>
          </w:tcPr>
          <w:p w:rsidR="00FC4AD5" w:rsidRPr="002767B0" w:rsidRDefault="00FC4AD5" w:rsidP="00707825">
            <w:pPr>
              <w:ind w:left="0" w:firstLine="0"/>
              <w:rPr>
                <w:szCs w:val="22"/>
              </w:rPr>
            </w:pPr>
            <w:r w:rsidRPr="00792AB3">
              <w:rPr>
                <w:szCs w:val="22"/>
              </w:rPr>
              <w:t>Neznáme</w:t>
            </w:r>
          </w:p>
        </w:tc>
      </w:tr>
    </w:tbl>
    <w:p w:rsidR="00BC1F8A" w:rsidRPr="001406E8" w:rsidRDefault="00BC1F8A"/>
    <w:p w:rsidR="00906B20" w:rsidRDefault="00906B20" w:rsidP="00906B20">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u w:val="single"/>
        </w:rPr>
      </w:pPr>
      <w:r>
        <w:rPr>
          <w:u w:val="single"/>
        </w:rPr>
        <w:t>Hlásenie podozrení na nežiaduce reakcie</w:t>
      </w:r>
    </w:p>
    <w:p w:rsidR="00906B20" w:rsidRDefault="00906B20" w:rsidP="00906B20">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Style w:val="Hypertextovprepojenie"/>
        </w:rPr>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C0C0C0"/>
        </w:rPr>
        <w:t>národné centrum hlásenia uvedené v </w:t>
      </w:r>
      <w:hyperlink r:id="rId7" w:history="1">
        <w:r>
          <w:rPr>
            <w:rStyle w:val="Hypertextovprepojenie"/>
            <w:shd w:val="clear" w:color="auto" w:fill="C0C0C0"/>
          </w:rPr>
          <w:t>Prílohe V</w:t>
        </w:r>
      </w:hyperlink>
      <w:r>
        <w:rPr>
          <w:rStyle w:val="Hypertextovprepojenie"/>
        </w:rPr>
        <w:t>.</w:t>
      </w:r>
    </w:p>
    <w:p w:rsidR="00E67A5A" w:rsidRPr="001406E8" w:rsidRDefault="00E67A5A">
      <w:pPr>
        <w:rPr>
          <w:szCs w:val="22"/>
        </w:rPr>
      </w:pPr>
    </w:p>
    <w:p w:rsidR="00E67A5A" w:rsidRPr="001406E8" w:rsidRDefault="00E67A5A">
      <w:pPr>
        <w:rPr>
          <w:szCs w:val="22"/>
        </w:rPr>
      </w:pPr>
      <w:r w:rsidRPr="001406E8">
        <w:rPr>
          <w:b/>
          <w:szCs w:val="22"/>
        </w:rPr>
        <w:t>4.9</w:t>
      </w:r>
      <w:r w:rsidRPr="001406E8">
        <w:rPr>
          <w:b/>
          <w:szCs w:val="22"/>
        </w:rPr>
        <w:tab/>
        <w:t>Predávkovanie</w:t>
      </w:r>
    </w:p>
    <w:p w:rsidR="00E67A5A" w:rsidRPr="001406E8" w:rsidRDefault="00E67A5A">
      <w:pPr>
        <w:rPr>
          <w:szCs w:val="22"/>
        </w:rPr>
      </w:pPr>
    </w:p>
    <w:p w:rsidR="00E67A5A" w:rsidRPr="00707825" w:rsidRDefault="00E67A5A">
      <w:pPr>
        <w:pStyle w:val="Nadpis7"/>
        <w:tabs>
          <w:tab w:val="clear" w:pos="-720"/>
          <w:tab w:val="clear" w:pos="567"/>
          <w:tab w:val="clear" w:pos="4536"/>
        </w:tabs>
        <w:suppressAutoHyphens w:val="0"/>
        <w:spacing w:line="240" w:lineRule="auto"/>
        <w:rPr>
          <w:i w:val="0"/>
          <w:iCs/>
          <w:szCs w:val="24"/>
          <w:u w:val="single"/>
          <w:lang w:val="sk-SK" w:eastAsia="sk-SK"/>
        </w:rPr>
      </w:pPr>
      <w:r w:rsidRPr="00707825">
        <w:rPr>
          <w:i w:val="0"/>
          <w:iCs/>
          <w:szCs w:val="24"/>
          <w:u w:val="single"/>
          <w:lang w:val="sk-SK" w:eastAsia="sk-SK"/>
        </w:rPr>
        <w:t>Príznaky</w:t>
      </w:r>
    </w:p>
    <w:p w:rsidR="00E67A5A" w:rsidRPr="001406E8" w:rsidRDefault="00E67A5A">
      <w:pPr>
        <w:ind w:left="0" w:firstLine="0"/>
      </w:pPr>
      <w:r w:rsidRPr="001406E8">
        <w:t>Nepozorovali sa toxické účinky indapamidu až do dávky 40 mg, t.j. 27-násobku terapeutickej dávky.</w:t>
      </w:r>
    </w:p>
    <w:p w:rsidR="00E67A5A" w:rsidRPr="001406E8" w:rsidRDefault="00E67A5A">
      <w:pPr>
        <w:pStyle w:val="EMEAEnBodyText"/>
        <w:spacing w:before="0" w:after="0"/>
        <w:jc w:val="left"/>
        <w:rPr>
          <w:szCs w:val="24"/>
          <w:lang w:val="sk-SK" w:eastAsia="sk-SK"/>
        </w:rPr>
      </w:pPr>
      <w:r w:rsidRPr="001406E8">
        <w:rPr>
          <w:szCs w:val="24"/>
          <w:lang w:val="sk-SK" w:eastAsia="sk-SK"/>
        </w:rPr>
        <w:t>Príznaky akútnej otravy sa prejavujú hlavne ako narušenie rovnováhy vody/elektrolytov (hyponatriémia, hypokaliémia). Z klinických prejavov do úvahy prichádza nauzea, vracanie, hypotenzia, kŕče, závrat, ospalosť, zmätenosť, polyúria alebo oligúria až anúria (v dôsledku hypovolémie).</w:t>
      </w:r>
    </w:p>
    <w:p w:rsidR="00E67A5A" w:rsidRPr="001406E8" w:rsidRDefault="00E67A5A">
      <w:pPr>
        <w:ind w:left="0" w:firstLine="0"/>
      </w:pPr>
    </w:p>
    <w:p w:rsidR="00E67A5A" w:rsidRPr="00707825" w:rsidRDefault="00E67A5A">
      <w:pPr>
        <w:ind w:left="0" w:firstLine="0"/>
        <w:rPr>
          <w:iCs/>
          <w:u w:val="single"/>
        </w:rPr>
      </w:pPr>
      <w:r w:rsidRPr="00707825">
        <w:rPr>
          <w:iCs/>
          <w:u w:val="single"/>
        </w:rPr>
        <w:t>Liečba</w:t>
      </w:r>
    </w:p>
    <w:p w:rsidR="00E67A5A" w:rsidRPr="001406E8" w:rsidRDefault="00E67A5A">
      <w:pPr>
        <w:ind w:left="0" w:firstLine="0"/>
        <w:rPr>
          <w:szCs w:val="22"/>
        </w:rPr>
      </w:pPr>
      <w:r w:rsidRPr="001406E8">
        <w:t>Začiatočné opatrenia zahŕňajú urýchlenú elimináciu požitej látky (látok) gastrickou lavážou a/alebo podaním živočíšneho uhlia s následnou obnovou rovnováhy vody/elektrolytov v špecializovanom zdravotníckom zariadení.</w:t>
      </w:r>
    </w:p>
    <w:p w:rsidR="00E67A5A" w:rsidRPr="001406E8" w:rsidRDefault="00E67A5A">
      <w:pPr>
        <w:rPr>
          <w:szCs w:val="22"/>
        </w:rPr>
      </w:pPr>
    </w:p>
    <w:p w:rsidR="00563049" w:rsidRPr="001406E8" w:rsidRDefault="00563049">
      <w:pPr>
        <w:rPr>
          <w:szCs w:val="22"/>
        </w:rPr>
      </w:pPr>
    </w:p>
    <w:p w:rsidR="00E67A5A" w:rsidRPr="001406E8" w:rsidRDefault="00E67A5A">
      <w:pPr>
        <w:rPr>
          <w:szCs w:val="22"/>
        </w:rPr>
      </w:pPr>
      <w:r w:rsidRPr="001406E8">
        <w:rPr>
          <w:b/>
          <w:szCs w:val="22"/>
        </w:rPr>
        <w:t>5.</w:t>
      </w:r>
      <w:r w:rsidRPr="001406E8">
        <w:rPr>
          <w:b/>
          <w:szCs w:val="22"/>
        </w:rPr>
        <w:tab/>
        <w:t>FARMAKOLOGICKÉ VLASTNOSTI</w:t>
      </w:r>
    </w:p>
    <w:p w:rsidR="00E67A5A" w:rsidRPr="001406E8" w:rsidRDefault="00E67A5A">
      <w:pPr>
        <w:rPr>
          <w:bCs/>
          <w:szCs w:val="22"/>
        </w:rPr>
      </w:pPr>
    </w:p>
    <w:p w:rsidR="00E67A5A" w:rsidRPr="001406E8" w:rsidRDefault="00E67A5A">
      <w:pPr>
        <w:rPr>
          <w:szCs w:val="22"/>
        </w:rPr>
      </w:pPr>
      <w:r w:rsidRPr="001406E8">
        <w:rPr>
          <w:b/>
          <w:szCs w:val="22"/>
        </w:rPr>
        <w:t>5.1</w:t>
      </w:r>
      <w:r w:rsidRPr="001406E8">
        <w:rPr>
          <w:b/>
          <w:szCs w:val="22"/>
        </w:rPr>
        <w:tab/>
        <w:t>Farmakodynamické vlastnosti</w:t>
      </w:r>
    </w:p>
    <w:p w:rsidR="00E67A5A" w:rsidRPr="001406E8" w:rsidRDefault="00E67A5A">
      <w:pPr>
        <w:rPr>
          <w:szCs w:val="22"/>
        </w:rPr>
      </w:pPr>
    </w:p>
    <w:p w:rsidR="00E67A5A" w:rsidRPr="001406E8" w:rsidRDefault="00E67A5A">
      <w:pPr>
        <w:jc w:val="both"/>
      </w:pPr>
      <w:r w:rsidRPr="001406E8">
        <w:t>Farmakoterapeutická skupina: diuretiká, sulfónamidy, samotné</w:t>
      </w:r>
    </w:p>
    <w:p w:rsidR="00E67A5A" w:rsidRPr="001406E8" w:rsidRDefault="00E67A5A">
      <w:pPr>
        <w:jc w:val="both"/>
        <w:rPr>
          <w:bCs/>
        </w:rPr>
      </w:pPr>
      <w:r w:rsidRPr="001406E8">
        <w:rPr>
          <w:bCs/>
        </w:rPr>
        <w:t>ATC kód: C03BA11</w:t>
      </w:r>
    </w:p>
    <w:p w:rsidR="00E67A5A" w:rsidRPr="001406E8" w:rsidRDefault="00E67A5A">
      <w:pPr>
        <w:jc w:val="both"/>
      </w:pPr>
    </w:p>
    <w:p w:rsidR="00FC4AD5" w:rsidRPr="00707825" w:rsidRDefault="00FC4AD5" w:rsidP="00707825">
      <w:pPr>
        <w:rPr>
          <w:szCs w:val="22"/>
          <w:u w:val="single"/>
        </w:rPr>
      </w:pPr>
      <w:r>
        <w:rPr>
          <w:szCs w:val="22"/>
          <w:u w:val="single"/>
        </w:rPr>
        <w:t>Mechanizmus účinku</w:t>
      </w:r>
    </w:p>
    <w:p w:rsidR="00E67A5A" w:rsidRPr="001406E8" w:rsidRDefault="00E67A5A">
      <w:pPr>
        <w:pStyle w:val="EMEAEnBodyText"/>
        <w:spacing w:before="0" w:after="0"/>
        <w:jc w:val="left"/>
        <w:rPr>
          <w:szCs w:val="24"/>
          <w:lang w:val="sk-SK" w:eastAsia="sk-SK"/>
        </w:rPr>
      </w:pPr>
      <w:r w:rsidRPr="001406E8">
        <w:rPr>
          <w:szCs w:val="24"/>
          <w:lang w:val="sk-SK" w:eastAsia="sk-SK"/>
        </w:rPr>
        <w:t>Indapamid je sulfónamidový derivát s indolovým kruhom, farmakologicky príbuzný tiazidovým diuretikám, ktorý pôsobí prostredníctvom inhibície reabsorpcie sodíka v kortikálnom dilučnom segmente. Zvyšuje vylučovanie sodíka a chloridov močom a v menšej miere vylučovanie draslíka a horčíka, čím sa zvyšuje diuréza a prejavuje antihypertenzný účinok.</w:t>
      </w:r>
    </w:p>
    <w:p w:rsidR="00E67A5A" w:rsidRPr="001406E8" w:rsidRDefault="00E67A5A"/>
    <w:p w:rsidR="00FC4AD5" w:rsidRPr="00C52824" w:rsidRDefault="00FC4AD5" w:rsidP="00FC4AD5">
      <w:pPr>
        <w:pStyle w:val="a"/>
        <w:tabs>
          <w:tab w:val="clear" w:pos="4819"/>
          <w:tab w:val="center" w:pos="993"/>
        </w:tabs>
        <w:rPr>
          <w:color w:val="000000"/>
          <w:sz w:val="22"/>
          <w:szCs w:val="22"/>
          <w:u w:val="single"/>
          <w:lang w:val="sk-SK"/>
        </w:rPr>
      </w:pPr>
      <w:r>
        <w:rPr>
          <w:color w:val="000000"/>
          <w:sz w:val="22"/>
          <w:szCs w:val="22"/>
          <w:u w:val="single"/>
          <w:lang w:val="sk-SK"/>
        </w:rPr>
        <w:t>Farmakodynamické účinky</w:t>
      </w:r>
    </w:p>
    <w:p w:rsidR="00E67A5A" w:rsidRPr="001406E8" w:rsidRDefault="00E67A5A">
      <w:pPr>
        <w:pStyle w:val="a"/>
        <w:tabs>
          <w:tab w:val="clear" w:pos="4819"/>
          <w:tab w:val="center" w:pos="993"/>
        </w:tabs>
        <w:rPr>
          <w:color w:val="000000"/>
          <w:sz w:val="22"/>
          <w:lang w:val="sk-SK"/>
        </w:rPr>
      </w:pPr>
      <w:r w:rsidRPr="001406E8">
        <w:rPr>
          <w:color w:val="000000"/>
          <w:sz w:val="22"/>
          <w:lang w:val="sk-SK"/>
        </w:rPr>
        <w:t xml:space="preserve">Štúdie II. a III. fázy s monoterapiou preukázali antihypertenzný účinok trvajúci 24 hodín. Tento účinok sa dosiahol pri dávkach vyvolávajúcich len mierny diuretický účinok. </w:t>
      </w:r>
    </w:p>
    <w:p w:rsidR="00E67A5A" w:rsidRPr="001406E8" w:rsidRDefault="00E67A5A">
      <w:pPr>
        <w:pStyle w:val="a"/>
        <w:tabs>
          <w:tab w:val="clear" w:pos="4819"/>
          <w:tab w:val="center" w:pos="993"/>
        </w:tabs>
        <w:jc w:val="both"/>
        <w:rPr>
          <w:color w:val="000000"/>
          <w:sz w:val="22"/>
          <w:lang w:val="sk-SK"/>
        </w:rPr>
      </w:pPr>
    </w:p>
    <w:p w:rsidR="00E67A5A" w:rsidRPr="001406E8" w:rsidRDefault="00E67A5A">
      <w:pPr>
        <w:pStyle w:val="a"/>
        <w:tabs>
          <w:tab w:val="clear" w:pos="4819"/>
          <w:tab w:val="center" w:pos="993"/>
        </w:tabs>
        <w:jc w:val="both"/>
        <w:rPr>
          <w:color w:val="000000"/>
          <w:sz w:val="22"/>
          <w:lang w:val="sk-SK"/>
        </w:rPr>
      </w:pPr>
      <w:r w:rsidRPr="001406E8">
        <w:rPr>
          <w:color w:val="000000"/>
          <w:sz w:val="22"/>
          <w:lang w:val="sk-SK"/>
        </w:rPr>
        <w:t>Antihypertenzný účinok indapamidu súvisí so zlepšením pružnosti artérií a znížením arteriolárnej a celkovej periférnej rezistencie.</w:t>
      </w:r>
    </w:p>
    <w:p w:rsidR="00E67A5A" w:rsidRPr="001406E8" w:rsidRDefault="00E67A5A">
      <w:pPr>
        <w:jc w:val="both"/>
      </w:pPr>
    </w:p>
    <w:p w:rsidR="00E67A5A" w:rsidRPr="001406E8" w:rsidRDefault="00E67A5A">
      <w:pPr>
        <w:jc w:val="both"/>
      </w:pPr>
      <w:r w:rsidRPr="001406E8">
        <w:t>Indapamid redukuje hypertrofiu ľavej komory.</w:t>
      </w:r>
    </w:p>
    <w:p w:rsidR="00E67A5A" w:rsidRPr="001406E8" w:rsidRDefault="00E67A5A">
      <w:pPr>
        <w:jc w:val="both"/>
      </w:pPr>
    </w:p>
    <w:p w:rsidR="00E67A5A" w:rsidRPr="001406E8" w:rsidRDefault="00E67A5A">
      <w:pPr>
        <w:pStyle w:val="EMEAEnBodyText"/>
        <w:spacing w:before="0" w:after="0"/>
        <w:rPr>
          <w:szCs w:val="24"/>
          <w:lang w:val="sk-SK" w:eastAsia="sk-SK"/>
        </w:rPr>
      </w:pPr>
      <w:r w:rsidRPr="001406E8">
        <w:rPr>
          <w:szCs w:val="24"/>
          <w:lang w:val="sk-SK" w:eastAsia="sk-SK"/>
        </w:rPr>
        <w:t>Pri tiazidových a im príbuzných diuretikách dosiahne terapeutický účinok pri istej dávke plató, zatiaľ čo výskyt nežiaducich účinkov naďalej so zvyšovaním dávky stúpa. Dávka sa nemá zvyšovať, ak liečba nie je účinná.</w:t>
      </w:r>
    </w:p>
    <w:p w:rsidR="00E67A5A" w:rsidRPr="001406E8" w:rsidRDefault="00E67A5A">
      <w:pPr>
        <w:jc w:val="both"/>
      </w:pPr>
    </w:p>
    <w:p w:rsidR="00E67A5A" w:rsidRPr="001406E8" w:rsidRDefault="00E67A5A">
      <w:pPr>
        <w:ind w:left="0" w:firstLine="0"/>
      </w:pPr>
      <w:r w:rsidRPr="001406E8">
        <w:t>U hypertenzných pacientov bolo z krátkodobého, strednodobého a dlhodobého hľadiska taktiež dokázané, že indapamid:</w:t>
      </w:r>
    </w:p>
    <w:p w:rsidR="00E67A5A" w:rsidRPr="001406E8" w:rsidRDefault="00E67A5A" w:rsidP="00707825">
      <w:pPr>
        <w:numPr>
          <w:ilvl w:val="0"/>
          <w:numId w:val="17"/>
        </w:numPr>
        <w:ind w:left="567" w:hanging="567"/>
      </w:pPr>
      <w:r w:rsidRPr="001406E8">
        <w:t>neinterferuje s metabolizmom lipidov: triglyceridov, LDL-cholesterolu a HDL-cholesterolu;</w:t>
      </w:r>
    </w:p>
    <w:p w:rsidR="00E67A5A" w:rsidRPr="001406E8" w:rsidRDefault="00E67A5A" w:rsidP="00707825">
      <w:pPr>
        <w:numPr>
          <w:ilvl w:val="0"/>
          <w:numId w:val="17"/>
        </w:numPr>
        <w:tabs>
          <w:tab w:val="left" w:pos="0"/>
        </w:tabs>
        <w:ind w:left="567" w:hanging="567"/>
        <w:rPr>
          <w:szCs w:val="22"/>
        </w:rPr>
      </w:pPr>
      <w:r w:rsidRPr="001406E8">
        <w:t>neinterferuje s metabolizmom sacharidov, a to ani u diabetických hypertonikov.</w:t>
      </w:r>
    </w:p>
    <w:p w:rsidR="00E67A5A" w:rsidRPr="001406E8" w:rsidRDefault="00E67A5A">
      <w:pPr>
        <w:tabs>
          <w:tab w:val="left" w:pos="0"/>
        </w:tabs>
        <w:ind w:left="0" w:firstLine="0"/>
        <w:rPr>
          <w:szCs w:val="22"/>
        </w:rPr>
      </w:pPr>
    </w:p>
    <w:p w:rsidR="00E67A5A" w:rsidRPr="001406E8" w:rsidRDefault="00E67A5A">
      <w:pPr>
        <w:rPr>
          <w:szCs w:val="22"/>
        </w:rPr>
      </w:pPr>
      <w:r w:rsidRPr="001406E8">
        <w:rPr>
          <w:b/>
          <w:szCs w:val="22"/>
        </w:rPr>
        <w:t>5.2</w:t>
      </w:r>
      <w:r w:rsidRPr="001406E8">
        <w:rPr>
          <w:b/>
          <w:szCs w:val="22"/>
        </w:rPr>
        <w:tab/>
        <w:t>Farmakokinetické vlastnosti</w:t>
      </w:r>
    </w:p>
    <w:p w:rsidR="00E67A5A" w:rsidRPr="001406E8" w:rsidRDefault="00E67A5A">
      <w:pPr>
        <w:rPr>
          <w:szCs w:val="22"/>
        </w:rPr>
      </w:pPr>
    </w:p>
    <w:p w:rsidR="00E67A5A" w:rsidRPr="001406E8" w:rsidRDefault="00E67A5A">
      <w:pPr>
        <w:ind w:left="0" w:firstLine="0"/>
        <w:rPr>
          <w:color w:val="000000"/>
        </w:rPr>
      </w:pPr>
      <w:r w:rsidRPr="001406E8">
        <w:rPr>
          <w:color w:val="000000"/>
        </w:rPr>
        <w:t>Indapamid 1,5 mg sa dodáva v liekovej forme s predĺženým uvoľňovaním, založenej na matricovom systéme, v ktorom je liečivo rozptýlené v podpornom systéme, čo umožňuje postupné uvoľňovanie indapamidu.</w:t>
      </w:r>
    </w:p>
    <w:p w:rsidR="00E67A5A" w:rsidRPr="001406E8" w:rsidRDefault="00E67A5A">
      <w:pPr>
        <w:rPr>
          <w:color w:val="000000"/>
        </w:rPr>
      </w:pPr>
    </w:p>
    <w:p w:rsidR="00E67A5A" w:rsidRPr="001406E8" w:rsidRDefault="00E67A5A">
      <w:pPr>
        <w:pStyle w:val="Nadpis9"/>
        <w:ind w:left="0" w:firstLine="0"/>
        <w:rPr>
          <w:i w:val="0"/>
          <w:iCs w:val="0"/>
          <w:color w:val="000000"/>
          <w:u w:val="single"/>
        </w:rPr>
      </w:pPr>
      <w:r w:rsidRPr="001406E8">
        <w:rPr>
          <w:i w:val="0"/>
          <w:iCs w:val="0"/>
          <w:color w:val="000000"/>
          <w:u w:val="single"/>
        </w:rPr>
        <w:t xml:space="preserve">Absorpcia </w:t>
      </w:r>
    </w:p>
    <w:p w:rsidR="00E67A5A" w:rsidRPr="001406E8" w:rsidRDefault="00E67A5A">
      <w:pPr>
        <w:ind w:left="0" w:firstLine="0"/>
        <w:rPr>
          <w:color w:val="000000"/>
        </w:rPr>
      </w:pPr>
      <w:r w:rsidRPr="001406E8">
        <w:rPr>
          <w:color w:val="000000"/>
        </w:rPr>
        <w:t>Uvoľnená frakcia indapamidu sa rýchlo a úplne absorbuje gastrointestinálnym tráviacim traktom.</w:t>
      </w:r>
    </w:p>
    <w:p w:rsidR="00E67A5A" w:rsidRPr="001406E8" w:rsidRDefault="00E67A5A">
      <w:pPr>
        <w:ind w:left="0" w:firstLine="0"/>
        <w:rPr>
          <w:color w:val="000000"/>
        </w:rPr>
      </w:pPr>
    </w:p>
    <w:p w:rsidR="00E67A5A" w:rsidRPr="001406E8" w:rsidRDefault="00E67A5A">
      <w:pPr>
        <w:ind w:left="0" w:firstLine="0"/>
        <w:rPr>
          <w:color w:val="000000"/>
        </w:rPr>
      </w:pPr>
      <w:r w:rsidRPr="001406E8">
        <w:rPr>
          <w:color w:val="000000"/>
        </w:rPr>
        <w:t>Príjem potravy mierne zvyšuje rýchlosť absorpcie, nemá však vplyv na množstvo absorbovaného lieku.</w:t>
      </w:r>
    </w:p>
    <w:p w:rsidR="00E67A5A" w:rsidRPr="001406E8" w:rsidRDefault="00E67A5A">
      <w:pPr>
        <w:ind w:left="0" w:firstLine="0"/>
        <w:rPr>
          <w:color w:val="000000"/>
        </w:rPr>
      </w:pPr>
    </w:p>
    <w:p w:rsidR="00E67A5A" w:rsidRPr="001406E8" w:rsidRDefault="00E67A5A">
      <w:pPr>
        <w:ind w:left="0" w:firstLine="0"/>
      </w:pPr>
      <w:r w:rsidRPr="001406E8">
        <w:rPr>
          <w:color w:val="000000"/>
        </w:rPr>
        <w:t>Po užití jednorazovej dávky sa maximálna sérová koncentrácia dosahuje približne 12 hodín po požití, opakované podanie znižuje variabilitu sérových koncentrácií medzi 2 dávkami. Existuje intraindividuálna variabilita.</w:t>
      </w:r>
    </w:p>
    <w:p w:rsidR="00E67A5A" w:rsidRPr="001406E8" w:rsidRDefault="00E67A5A">
      <w:pPr>
        <w:ind w:left="0" w:firstLine="0"/>
      </w:pPr>
    </w:p>
    <w:p w:rsidR="00E67A5A" w:rsidRPr="001406E8" w:rsidRDefault="00E67A5A">
      <w:pPr>
        <w:pStyle w:val="Nadpis9"/>
        <w:ind w:left="0" w:firstLine="0"/>
        <w:rPr>
          <w:i w:val="0"/>
          <w:iCs w:val="0"/>
          <w:u w:val="single"/>
        </w:rPr>
      </w:pPr>
      <w:r w:rsidRPr="001406E8">
        <w:rPr>
          <w:i w:val="0"/>
          <w:iCs w:val="0"/>
          <w:u w:val="single"/>
        </w:rPr>
        <w:t>Distribúcia</w:t>
      </w:r>
    </w:p>
    <w:p w:rsidR="00E67A5A" w:rsidRPr="001406E8" w:rsidRDefault="00E67A5A">
      <w:pPr>
        <w:pStyle w:val="Nadpis9"/>
        <w:ind w:left="0" w:firstLine="0"/>
        <w:rPr>
          <w:color w:val="000000"/>
        </w:rPr>
      </w:pPr>
      <w:r w:rsidRPr="001406E8">
        <w:rPr>
          <w:i w:val="0"/>
          <w:iCs w:val="0"/>
        </w:rPr>
        <w:t xml:space="preserve">Väzba indapamidu na plazmatické proteíny je 79 %. Plazmatický eliminačný polčas je 14 až 24 hodín (priemer 18 hodín). </w:t>
      </w:r>
      <w:r w:rsidRPr="001406E8">
        <w:rPr>
          <w:i w:val="0"/>
          <w:iCs w:val="0"/>
          <w:color w:val="000000"/>
        </w:rPr>
        <w:t>Rovnovážny stav sa dosiahne po 7 dňoch. Opakované podávanie nevedie k akumulácii.</w:t>
      </w:r>
    </w:p>
    <w:p w:rsidR="00E67A5A" w:rsidRPr="001406E8" w:rsidRDefault="00E67A5A">
      <w:pPr>
        <w:ind w:left="0" w:firstLine="0"/>
      </w:pPr>
    </w:p>
    <w:p w:rsidR="00E67A5A" w:rsidRPr="001406E8" w:rsidRDefault="00E67A5A">
      <w:pPr>
        <w:pStyle w:val="Nadpis9"/>
        <w:ind w:left="0" w:firstLine="0"/>
        <w:rPr>
          <w:i w:val="0"/>
          <w:iCs w:val="0"/>
          <w:u w:val="single"/>
        </w:rPr>
      </w:pPr>
      <w:r w:rsidRPr="001406E8">
        <w:rPr>
          <w:i w:val="0"/>
          <w:iCs w:val="0"/>
          <w:u w:val="single"/>
        </w:rPr>
        <w:t>Metabolizmus</w:t>
      </w:r>
    </w:p>
    <w:p w:rsidR="00E67A5A" w:rsidRPr="001406E8" w:rsidRDefault="00E67A5A">
      <w:pPr>
        <w:rPr>
          <w:color w:val="000000"/>
        </w:rPr>
      </w:pPr>
      <w:r w:rsidRPr="001406E8">
        <w:rPr>
          <w:color w:val="000000"/>
        </w:rPr>
        <w:t>Eliminácia je prevažne močom (70 % dávky) a stolicou (22 %) vo forme neaktívnych metabolitov.</w:t>
      </w:r>
    </w:p>
    <w:p w:rsidR="00E67A5A" w:rsidRPr="001406E8" w:rsidRDefault="00E67A5A">
      <w:pPr>
        <w:jc w:val="both"/>
      </w:pPr>
    </w:p>
    <w:p w:rsidR="00E67A5A" w:rsidRPr="001406E8" w:rsidRDefault="00E67A5A">
      <w:pPr>
        <w:pStyle w:val="Hlavika"/>
        <w:tabs>
          <w:tab w:val="left" w:pos="851"/>
        </w:tabs>
        <w:jc w:val="both"/>
        <w:rPr>
          <w:rFonts w:ascii="Times New Roman" w:hAnsi="Times New Roman"/>
          <w:noProof w:val="0"/>
          <w:sz w:val="22"/>
          <w:u w:val="single"/>
          <w:lang w:val="sk-SK"/>
        </w:rPr>
      </w:pPr>
      <w:r w:rsidRPr="001406E8">
        <w:rPr>
          <w:rFonts w:ascii="Times New Roman" w:hAnsi="Times New Roman"/>
          <w:noProof w:val="0"/>
          <w:sz w:val="22"/>
          <w:u w:val="single"/>
          <w:lang w:val="sk-SK"/>
        </w:rPr>
        <w:t>Vysoko rizikoví jedinci:</w:t>
      </w:r>
    </w:p>
    <w:p w:rsidR="00E67A5A" w:rsidRPr="001406E8" w:rsidRDefault="00E67A5A">
      <w:pPr>
        <w:jc w:val="both"/>
      </w:pPr>
      <w:r w:rsidRPr="001406E8">
        <w:t>U pacientov s renálnym zlyhaním sa farmakokinetické parametre nemenia.</w:t>
      </w:r>
    </w:p>
    <w:p w:rsidR="00E67A5A" w:rsidRPr="001406E8" w:rsidRDefault="00E67A5A">
      <w:pPr>
        <w:rPr>
          <w:szCs w:val="22"/>
        </w:rPr>
      </w:pPr>
    </w:p>
    <w:p w:rsidR="00E67A5A" w:rsidRPr="001406E8" w:rsidRDefault="00E67A5A">
      <w:pPr>
        <w:rPr>
          <w:szCs w:val="22"/>
        </w:rPr>
      </w:pPr>
      <w:r w:rsidRPr="001406E8">
        <w:rPr>
          <w:b/>
          <w:szCs w:val="22"/>
        </w:rPr>
        <w:t>5.3</w:t>
      </w:r>
      <w:r w:rsidRPr="001406E8">
        <w:rPr>
          <w:b/>
          <w:szCs w:val="22"/>
        </w:rPr>
        <w:tab/>
        <w:t>Predklinické údaje o bezpečnosti</w:t>
      </w:r>
    </w:p>
    <w:p w:rsidR="00E67A5A" w:rsidRPr="001406E8" w:rsidRDefault="00E67A5A">
      <w:pPr>
        <w:rPr>
          <w:szCs w:val="22"/>
        </w:rPr>
      </w:pPr>
    </w:p>
    <w:p w:rsidR="00FC4AD5" w:rsidRDefault="00FC4AD5" w:rsidP="00FC4AD5">
      <w:pPr>
        <w:pStyle w:val="Zkladntext3"/>
        <w:spacing w:before="0"/>
        <w:jc w:val="left"/>
        <w:rPr>
          <w:rFonts w:ascii="Times New Roman" w:hAnsi="Times New Roman"/>
          <w:sz w:val="22"/>
          <w:szCs w:val="22"/>
        </w:rPr>
      </w:pPr>
      <w:r w:rsidRPr="008E5E84">
        <w:rPr>
          <w:rFonts w:ascii="Times New Roman" w:hAnsi="Times New Roman"/>
          <w:sz w:val="22"/>
          <w:szCs w:val="22"/>
        </w:rPr>
        <w:t>Testy na mutagénne a karcinogénne vlastnosti indapamidu boli negatívne.</w:t>
      </w:r>
    </w:p>
    <w:p w:rsidR="00FC4AD5" w:rsidRDefault="00FC4AD5">
      <w:pPr>
        <w:pStyle w:val="Zkladntext3"/>
        <w:spacing w:before="0"/>
        <w:jc w:val="left"/>
        <w:rPr>
          <w:rFonts w:ascii="Times New Roman" w:hAnsi="Times New Roman"/>
          <w:sz w:val="22"/>
        </w:rPr>
      </w:pPr>
    </w:p>
    <w:p w:rsidR="00E67A5A" w:rsidRPr="001406E8" w:rsidRDefault="00E67A5A">
      <w:pPr>
        <w:pStyle w:val="Zkladntext3"/>
        <w:spacing w:before="0"/>
        <w:jc w:val="left"/>
        <w:rPr>
          <w:rFonts w:ascii="Times New Roman" w:hAnsi="Times New Roman"/>
          <w:sz w:val="22"/>
        </w:rPr>
      </w:pPr>
      <w:r w:rsidRPr="001406E8">
        <w:rPr>
          <w:rFonts w:ascii="Times New Roman" w:hAnsi="Times New Roman"/>
          <w:sz w:val="22"/>
        </w:rPr>
        <w:t xml:space="preserve">Najvyššie dávky podané perorálne rôznym živočíšnym druhom (40 až 8 000-násobky terapeutickej dávky) potvrdili exacerbáciu diuretických vlastností indapamidu. Hlavné symptómy otravy počas štúdií akútnej toxicity s indapamidom podaným intravenózne alebo intraperitoneálne súviseli s farmakologickým účinkom indapamidu, t.j. bradypnoe a periférna vazodilatácia. </w:t>
      </w:r>
    </w:p>
    <w:p w:rsidR="00672CED" w:rsidRPr="001406E8" w:rsidRDefault="00672CED"/>
    <w:p w:rsidR="00E67A5A" w:rsidRPr="001406E8" w:rsidRDefault="00E67A5A">
      <w:pPr>
        <w:rPr>
          <w:szCs w:val="22"/>
        </w:rPr>
      </w:pPr>
    </w:p>
    <w:p w:rsidR="00FC4AD5" w:rsidRDefault="00FC4AD5" w:rsidP="00FC4AD5">
      <w:pPr>
        <w:pStyle w:val="Zkladntext3"/>
        <w:spacing w:before="0"/>
        <w:jc w:val="left"/>
        <w:rPr>
          <w:rFonts w:ascii="Times New Roman" w:hAnsi="Times New Roman"/>
          <w:sz w:val="22"/>
          <w:szCs w:val="22"/>
        </w:rPr>
      </w:pPr>
      <w:r>
        <w:rPr>
          <w:rFonts w:ascii="Times New Roman" w:hAnsi="Times New Roman"/>
          <w:sz w:val="22"/>
          <w:szCs w:val="22"/>
        </w:rPr>
        <w:t>Štúdie reprodukčnej toxicity nepreukázali embryotoxicitu a</w:t>
      </w:r>
      <w:r w:rsidR="00CA52A7">
        <w:rPr>
          <w:rFonts w:ascii="Times New Roman" w:hAnsi="Times New Roman"/>
          <w:sz w:val="22"/>
          <w:szCs w:val="22"/>
        </w:rPr>
        <w:t xml:space="preserve">ni </w:t>
      </w:r>
      <w:r>
        <w:rPr>
          <w:rFonts w:ascii="Times New Roman" w:hAnsi="Times New Roman"/>
          <w:sz w:val="22"/>
          <w:szCs w:val="22"/>
        </w:rPr>
        <w:t>teratogenitu.</w:t>
      </w:r>
    </w:p>
    <w:p w:rsidR="00FC4AD5" w:rsidRPr="008E5E84" w:rsidRDefault="00FC4AD5" w:rsidP="00FC4AD5">
      <w:pPr>
        <w:pStyle w:val="Zkladntext3"/>
        <w:spacing w:before="0"/>
        <w:jc w:val="left"/>
        <w:rPr>
          <w:rFonts w:ascii="Times New Roman" w:hAnsi="Times New Roman"/>
          <w:sz w:val="22"/>
          <w:szCs w:val="22"/>
        </w:rPr>
      </w:pPr>
      <w:r>
        <w:rPr>
          <w:rFonts w:ascii="Times New Roman" w:hAnsi="Times New Roman"/>
          <w:sz w:val="22"/>
          <w:szCs w:val="22"/>
        </w:rPr>
        <w:t>Fertilita nebola ovplyvnená ani u samcov ani u samíc potkanov.</w:t>
      </w:r>
    </w:p>
    <w:p w:rsidR="00E67A5A" w:rsidRPr="001406E8" w:rsidRDefault="00E67A5A">
      <w:pPr>
        <w:rPr>
          <w:szCs w:val="22"/>
        </w:rPr>
      </w:pPr>
    </w:p>
    <w:p w:rsidR="00E67A5A" w:rsidRPr="001406E8" w:rsidRDefault="00E67A5A">
      <w:pPr>
        <w:rPr>
          <w:szCs w:val="22"/>
        </w:rPr>
      </w:pPr>
    </w:p>
    <w:p w:rsidR="00E67A5A" w:rsidRPr="001406E8" w:rsidRDefault="00E67A5A">
      <w:pPr>
        <w:rPr>
          <w:b/>
          <w:szCs w:val="22"/>
        </w:rPr>
      </w:pPr>
      <w:r w:rsidRPr="001406E8">
        <w:rPr>
          <w:b/>
          <w:szCs w:val="22"/>
        </w:rPr>
        <w:t>6.</w:t>
      </w:r>
      <w:r w:rsidRPr="001406E8">
        <w:rPr>
          <w:b/>
          <w:szCs w:val="22"/>
        </w:rPr>
        <w:tab/>
        <w:t>FARMACEUTICKÉ INFORMÁCIE</w:t>
      </w:r>
    </w:p>
    <w:p w:rsidR="00E67A5A" w:rsidRPr="001406E8" w:rsidRDefault="00E67A5A">
      <w:pPr>
        <w:rPr>
          <w:szCs w:val="22"/>
        </w:rPr>
      </w:pPr>
    </w:p>
    <w:p w:rsidR="00E67A5A" w:rsidRPr="001406E8" w:rsidRDefault="00E67A5A">
      <w:pPr>
        <w:rPr>
          <w:szCs w:val="22"/>
        </w:rPr>
      </w:pPr>
      <w:r w:rsidRPr="001406E8">
        <w:rPr>
          <w:b/>
          <w:szCs w:val="22"/>
        </w:rPr>
        <w:t>6.1</w:t>
      </w:r>
      <w:r w:rsidRPr="001406E8">
        <w:rPr>
          <w:b/>
          <w:szCs w:val="22"/>
        </w:rPr>
        <w:tab/>
        <w:t>Zoznam pomocných látok</w:t>
      </w:r>
    </w:p>
    <w:p w:rsidR="00E67A5A" w:rsidRPr="001406E8" w:rsidRDefault="00E67A5A">
      <w:pPr>
        <w:rPr>
          <w:szCs w:val="22"/>
        </w:rPr>
      </w:pPr>
    </w:p>
    <w:p w:rsidR="00E67A5A" w:rsidRPr="001406E8" w:rsidRDefault="00E67A5A">
      <w:pPr>
        <w:pStyle w:val="a"/>
        <w:tabs>
          <w:tab w:val="clear" w:pos="4819"/>
          <w:tab w:val="clear" w:pos="9071"/>
        </w:tabs>
        <w:jc w:val="both"/>
        <w:rPr>
          <w:i/>
          <w:sz w:val="22"/>
          <w:lang w:val="sk-SK"/>
        </w:rPr>
      </w:pPr>
      <w:r w:rsidRPr="005069B7">
        <w:rPr>
          <w:sz w:val="22"/>
          <w:u w:val="single"/>
          <w:lang w:val="sk-SK"/>
        </w:rPr>
        <w:t>Jadro tablety</w:t>
      </w:r>
    </w:p>
    <w:p w:rsidR="00E67A5A" w:rsidRPr="001406E8" w:rsidRDefault="00A8455B">
      <w:pPr>
        <w:pStyle w:val="a"/>
        <w:tabs>
          <w:tab w:val="clear" w:pos="4819"/>
          <w:tab w:val="clear" w:pos="9071"/>
        </w:tabs>
        <w:jc w:val="both"/>
        <w:rPr>
          <w:sz w:val="22"/>
          <w:lang w:val="sk-SK"/>
        </w:rPr>
      </w:pPr>
      <w:r>
        <w:rPr>
          <w:sz w:val="22"/>
          <w:lang w:val="sk-SK"/>
        </w:rPr>
        <w:t xml:space="preserve">laktóza, </w:t>
      </w:r>
      <w:r w:rsidR="00B1337D" w:rsidRPr="001406E8">
        <w:rPr>
          <w:sz w:val="22"/>
          <w:lang w:val="sk-SK"/>
        </w:rPr>
        <w:t>m</w:t>
      </w:r>
      <w:r w:rsidR="00E67A5A" w:rsidRPr="001406E8">
        <w:rPr>
          <w:sz w:val="22"/>
          <w:lang w:val="sk-SK"/>
        </w:rPr>
        <w:t xml:space="preserve">onohydrát </w:t>
      </w:r>
    </w:p>
    <w:p w:rsidR="0038192F" w:rsidRDefault="00A8455B">
      <w:pPr>
        <w:pStyle w:val="a"/>
        <w:tabs>
          <w:tab w:val="clear" w:pos="4819"/>
          <w:tab w:val="clear" w:pos="9071"/>
        </w:tabs>
        <w:jc w:val="both"/>
        <w:rPr>
          <w:sz w:val="22"/>
          <w:lang w:val="sk-SK"/>
        </w:rPr>
      </w:pPr>
      <w:r>
        <w:rPr>
          <w:sz w:val="22"/>
          <w:lang w:val="sk-SK"/>
        </w:rPr>
        <w:t>kukuričný škrob, predželatínovaný</w:t>
      </w:r>
    </w:p>
    <w:p w:rsidR="00E67A5A" w:rsidRPr="001406E8" w:rsidRDefault="00B1337D">
      <w:pPr>
        <w:pStyle w:val="a"/>
        <w:tabs>
          <w:tab w:val="clear" w:pos="4819"/>
          <w:tab w:val="clear" w:pos="9071"/>
        </w:tabs>
        <w:jc w:val="both"/>
        <w:rPr>
          <w:sz w:val="22"/>
          <w:lang w:val="sk-SK"/>
        </w:rPr>
      </w:pPr>
      <w:r w:rsidRPr="001406E8">
        <w:rPr>
          <w:sz w:val="22"/>
          <w:lang w:val="sk-SK"/>
        </w:rPr>
        <w:t>h</w:t>
      </w:r>
      <w:r w:rsidR="00E67A5A" w:rsidRPr="001406E8">
        <w:rPr>
          <w:sz w:val="22"/>
          <w:lang w:val="sk-SK"/>
        </w:rPr>
        <w:t>ypromelóza</w:t>
      </w:r>
    </w:p>
    <w:p w:rsidR="00E67A5A" w:rsidRPr="001406E8" w:rsidRDefault="00E67A5A">
      <w:pPr>
        <w:pStyle w:val="a"/>
        <w:tabs>
          <w:tab w:val="clear" w:pos="4819"/>
          <w:tab w:val="clear" w:pos="9071"/>
        </w:tabs>
        <w:jc w:val="both"/>
        <w:rPr>
          <w:sz w:val="22"/>
          <w:lang w:val="sk-SK"/>
        </w:rPr>
      </w:pPr>
      <w:r w:rsidRPr="001406E8">
        <w:rPr>
          <w:sz w:val="22"/>
          <w:lang w:val="sk-SK"/>
        </w:rPr>
        <w:t>oxid kremičitý</w:t>
      </w:r>
      <w:r w:rsidR="00A8455B">
        <w:rPr>
          <w:sz w:val="22"/>
          <w:lang w:val="sk-SK"/>
        </w:rPr>
        <w:t>,</w:t>
      </w:r>
      <w:r w:rsidR="00A8455B" w:rsidRPr="00A8455B">
        <w:rPr>
          <w:sz w:val="22"/>
          <w:lang w:val="sk-SK"/>
        </w:rPr>
        <w:t xml:space="preserve"> </w:t>
      </w:r>
      <w:r w:rsidR="00A8455B" w:rsidRPr="001406E8">
        <w:rPr>
          <w:sz w:val="22"/>
          <w:lang w:val="sk-SK"/>
        </w:rPr>
        <w:t>koloidný</w:t>
      </w:r>
    </w:p>
    <w:p w:rsidR="00E67A5A" w:rsidRPr="001406E8" w:rsidRDefault="00A8455B">
      <w:pPr>
        <w:pStyle w:val="a"/>
        <w:tabs>
          <w:tab w:val="clear" w:pos="4819"/>
          <w:tab w:val="clear" w:pos="9071"/>
        </w:tabs>
        <w:jc w:val="both"/>
        <w:rPr>
          <w:sz w:val="22"/>
          <w:lang w:val="sk-SK"/>
        </w:rPr>
      </w:pPr>
      <w:r>
        <w:rPr>
          <w:sz w:val="22"/>
          <w:lang w:val="sk-SK"/>
        </w:rPr>
        <w:t>stear</w:t>
      </w:r>
      <w:r w:rsidR="0022264B">
        <w:rPr>
          <w:sz w:val="22"/>
          <w:lang w:val="sk-SK"/>
        </w:rPr>
        <w:t>át</w:t>
      </w:r>
      <w:r>
        <w:rPr>
          <w:sz w:val="22"/>
          <w:lang w:val="sk-SK"/>
        </w:rPr>
        <w:t xml:space="preserve"> horečnatý</w:t>
      </w:r>
      <w:r w:rsidR="00E67A5A" w:rsidRPr="001406E8">
        <w:rPr>
          <w:sz w:val="22"/>
          <w:lang w:val="sk-SK"/>
        </w:rPr>
        <w:t xml:space="preserve"> </w:t>
      </w:r>
    </w:p>
    <w:p w:rsidR="00E67A5A" w:rsidRPr="001406E8" w:rsidRDefault="00E67A5A">
      <w:pPr>
        <w:pStyle w:val="a"/>
        <w:tabs>
          <w:tab w:val="clear" w:pos="4819"/>
          <w:tab w:val="clear" w:pos="9071"/>
        </w:tabs>
        <w:jc w:val="both"/>
        <w:rPr>
          <w:sz w:val="22"/>
          <w:lang w:val="sk-SK"/>
        </w:rPr>
      </w:pPr>
    </w:p>
    <w:p w:rsidR="00E67A5A" w:rsidRPr="001406E8" w:rsidRDefault="00E67A5A">
      <w:pPr>
        <w:pStyle w:val="a"/>
        <w:tabs>
          <w:tab w:val="clear" w:pos="4819"/>
          <w:tab w:val="clear" w:pos="9071"/>
        </w:tabs>
        <w:jc w:val="both"/>
        <w:rPr>
          <w:i/>
          <w:sz w:val="22"/>
          <w:lang w:val="sk-SK"/>
        </w:rPr>
      </w:pPr>
      <w:r w:rsidRPr="005069B7">
        <w:rPr>
          <w:sz w:val="22"/>
          <w:u w:val="single"/>
          <w:lang w:val="sk-SK"/>
        </w:rPr>
        <w:t>Filmová vrstva</w:t>
      </w:r>
    </w:p>
    <w:p w:rsidR="00E67A5A" w:rsidRPr="001406E8" w:rsidRDefault="00B1337D">
      <w:pPr>
        <w:pStyle w:val="a"/>
        <w:tabs>
          <w:tab w:val="clear" w:pos="4819"/>
          <w:tab w:val="clear" w:pos="9071"/>
        </w:tabs>
        <w:jc w:val="both"/>
        <w:rPr>
          <w:sz w:val="22"/>
          <w:lang w:val="sk-SK"/>
        </w:rPr>
      </w:pPr>
      <w:r w:rsidRPr="001406E8">
        <w:rPr>
          <w:sz w:val="22"/>
          <w:lang w:val="sk-SK"/>
        </w:rPr>
        <w:t>h</w:t>
      </w:r>
      <w:r w:rsidR="00E67A5A" w:rsidRPr="001406E8">
        <w:rPr>
          <w:sz w:val="22"/>
          <w:lang w:val="sk-SK"/>
        </w:rPr>
        <w:t>ypromelóza</w:t>
      </w:r>
    </w:p>
    <w:p w:rsidR="00E67A5A" w:rsidRPr="001406E8" w:rsidRDefault="00B1337D">
      <w:pPr>
        <w:pStyle w:val="a"/>
        <w:tabs>
          <w:tab w:val="clear" w:pos="4819"/>
          <w:tab w:val="clear" w:pos="9071"/>
        </w:tabs>
        <w:jc w:val="both"/>
        <w:rPr>
          <w:sz w:val="22"/>
          <w:lang w:val="sk-SK"/>
        </w:rPr>
      </w:pPr>
      <w:r w:rsidRPr="001406E8">
        <w:rPr>
          <w:sz w:val="22"/>
          <w:lang w:val="sk-SK"/>
        </w:rPr>
        <w:t>m</w:t>
      </w:r>
      <w:r w:rsidR="00E67A5A" w:rsidRPr="001406E8">
        <w:rPr>
          <w:sz w:val="22"/>
          <w:lang w:val="sk-SK"/>
        </w:rPr>
        <w:t>akrogol 6000</w:t>
      </w:r>
    </w:p>
    <w:p w:rsidR="00E67A5A" w:rsidRPr="001406E8" w:rsidRDefault="00B1337D">
      <w:pPr>
        <w:rPr>
          <w:szCs w:val="22"/>
        </w:rPr>
      </w:pPr>
      <w:r w:rsidRPr="001406E8">
        <w:t>o</w:t>
      </w:r>
      <w:r w:rsidR="00E67A5A" w:rsidRPr="001406E8">
        <w:t>xid titaničitý (E 171)</w:t>
      </w:r>
    </w:p>
    <w:p w:rsidR="00E67A5A" w:rsidRPr="001406E8" w:rsidRDefault="00E67A5A">
      <w:pPr>
        <w:rPr>
          <w:szCs w:val="22"/>
        </w:rPr>
      </w:pPr>
    </w:p>
    <w:p w:rsidR="00E67A5A" w:rsidRPr="001406E8" w:rsidRDefault="00E67A5A">
      <w:pPr>
        <w:rPr>
          <w:szCs w:val="22"/>
        </w:rPr>
      </w:pPr>
      <w:r w:rsidRPr="001406E8">
        <w:rPr>
          <w:b/>
          <w:szCs w:val="22"/>
        </w:rPr>
        <w:t>6.2</w:t>
      </w:r>
      <w:r w:rsidRPr="001406E8">
        <w:rPr>
          <w:b/>
          <w:szCs w:val="22"/>
        </w:rPr>
        <w:tab/>
        <w:t>Inkompatibility</w:t>
      </w:r>
    </w:p>
    <w:p w:rsidR="00E67A5A" w:rsidRPr="001406E8" w:rsidRDefault="00E67A5A">
      <w:pPr>
        <w:rPr>
          <w:szCs w:val="22"/>
        </w:rPr>
      </w:pPr>
    </w:p>
    <w:p w:rsidR="00E67A5A" w:rsidRPr="001406E8" w:rsidRDefault="00E67A5A">
      <w:pPr>
        <w:rPr>
          <w:szCs w:val="22"/>
        </w:rPr>
      </w:pPr>
      <w:r w:rsidRPr="001406E8">
        <w:t>Neaplikovateľné</w:t>
      </w:r>
      <w:r w:rsidRPr="001406E8">
        <w:rPr>
          <w:szCs w:val="22"/>
        </w:rPr>
        <w:t>.</w:t>
      </w:r>
    </w:p>
    <w:p w:rsidR="00E67A5A" w:rsidRPr="001406E8" w:rsidRDefault="00E67A5A">
      <w:pPr>
        <w:rPr>
          <w:szCs w:val="22"/>
        </w:rPr>
      </w:pPr>
    </w:p>
    <w:p w:rsidR="00E67A5A" w:rsidRPr="001406E8" w:rsidRDefault="00E67A5A">
      <w:pPr>
        <w:rPr>
          <w:szCs w:val="22"/>
        </w:rPr>
      </w:pPr>
      <w:r w:rsidRPr="001406E8">
        <w:rPr>
          <w:b/>
          <w:szCs w:val="22"/>
        </w:rPr>
        <w:t>6.3</w:t>
      </w:r>
      <w:r w:rsidRPr="001406E8">
        <w:rPr>
          <w:b/>
          <w:szCs w:val="22"/>
        </w:rPr>
        <w:tab/>
        <w:t>Čas použiteľnosti</w:t>
      </w:r>
    </w:p>
    <w:p w:rsidR="00E67A5A" w:rsidRPr="001406E8" w:rsidRDefault="00E67A5A">
      <w:pPr>
        <w:rPr>
          <w:szCs w:val="22"/>
        </w:rPr>
      </w:pPr>
    </w:p>
    <w:p w:rsidR="00E67A5A" w:rsidRPr="001406E8" w:rsidRDefault="00E67A5A">
      <w:pPr>
        <w:ind w:left="540" w:hanging="540"/>
        <w:rPr>
          <w:szCs w:val="22"/>
        </w:rPr>
      </w:pPr>
      <w:r w:rsidRPr="001406E8">
        <w:rPr>
          <w:szCs w:val="22"/>
        </w:rPr>
        <w:t>5 rokov</w:t>
      </w:r>
    </w:p>
    <w:p w:rsidR="00E67A5A" w:rsidRPr="001406E8" w:rsidRDefault="00E67A5A">
      <w:pPr>
        <w:rPr>
          <w:szCs w:val="22"/>
        </w:rPr>
      </w:pPr>
    </w:p>
    <w:p w:rsidR="00E67A5A" w:rsidRPr="001406E8" w:rsidRDefault="00E67A5A">
      <w:pPr>
        <w:rPr>
          <w:szCs w:val="22"/>
        </w:rPr>
      </w:pPr>
      <w:r w:rsidRPr="001406E8">
        <w:rPr>
          <w:b/>
          <w:szCs w:val="22"/>
        </w:rPr>
        <w:t>6.4</w:t>
      </w:r>
      <w:r w:rsidRPr="001406E8">
        <w:rPr>
          <w:b/>
          <w:szCs w:val="22"/>
        </w:rPr>
        <w:tab/>
        <w:t>Špeciálne upozornenia na uchovávanie</w:t>
      </w:r>
    </w:p>
    <w:p w:rsidR="00E67A5A" w:rsidRPr="001406E8" w:rsidRDefault="00E67A5A"/>
    <w:p w:rsidR="00E67A5A" w:rsidRPr="001406E8" w:rsidRDefault="00E67A5A">
      <w:r w:rsidRPr="001406E8">
        <w:t>Tento liek nevyžaduje žiadne zvláštne podmienky na uchovávanie.</w:t>
      </w:r>
    </w:p>
    <w:p w:rsidR="00E67A5A" w:rsidRPr="001406E8" w:rsidRDefault="00E67A5A">
      <w:pPr>
        <w:rPr>
          <w:szCs w:val="22"/>
        </w:rPr>
      </w:pPr>
    </w:p>
    <w:p w:rsidR="00E67A5A" w:rsidRPr="001406E8" w:rsidRDefault="00E67A5A">
      <w:pPr>
        <w:rPr>
          <w:szCs w:val="22"/>
        </w:rPr>
      </w:pPr>
      <w:r w:rsidRPr="001406E8">
        <w:rPr>
          <w:b/>
          <w:szCs w:val="22"/>
        </w:rPr>
        <w:t>6.5</w:t>
      </w:r>
      <w:r w:rsidRPr="001406E8">
        <w:rPr>
          <w:b/>
          <w:szCs w:val="22"/>
        </w:rPr>
        <w:tab/>
        <w:t>Druh obalu a obsah balenia</w:t>
      </w:r>
      <w:r w:rsidRPr="001406E8">
        <w:rPr>
          <w:b/>
          <w:color w:val="0000FF"/>
          <w:szCs w:val="22"/>
        </w:rPr>
        <w:t xml:space="preserve"> </w:t>
      </w:r>
    </w:p>
    <w:p w:rsidR="00E67A5A" w:rsidRPr="001406E8" w:rsidRDefault="00E67A5A">
      <w:pPr>
        <w:rPr>
          <w:szCs w:val="22"/>
        </w:rPr>
      </w:pPr>
    </w:p>
    <w:p w:rsidR="00E67A5A" w:rsidRPr="001406E8" w:rsidRDefault="00E67A5A">
      <w:pPr>
        <w:pStyle w:val="Zkladntext"/>
        <w:rPr>
          <w:szCs w:val="22"/>
        </w:rPr>
      </w:pPr>
      <w:r w:rsidRPr="001406E8">
        <w:rPr>
          <w:szCs w:val="22"/>
        </w:rPr>
        <w:t>Veľkosti balenia: 10, 15, 30, 50, 60, 90, 100 tabliet s predĺženým uvoľňovaním v blistroch (PVC/hliník).</w:t>
      </w:r>
    </w:p>
    <w:p w:rsidR="00E67A5A" w:rsidRPr="001406E8" w:rsidRDefault="0073186F">
      <w:pPr>
        <w:rPr>
          <w:szCs w:val="22"/>
        </w:rPr>
      </w:pPr>
      <w:r w:rsidRPr="001406E8">
        <w:rPr>
          <w:szCs w:val="22"/>
        </w:rPr>
        <w:t>Na trh nemusia byť uvedené všetky veľkosti balenia.</w:t>
      </w:r>
    </w:p>
    <w:p w:rsidR="00172011" w:rsidRPr="001406E8" w:rsidRDefault="00172011">
      <w:pPr>
        <w:rPr>
          <w:b/>
          <w:szCs w:val="22"/>
        </w:rPr>
      </w:pPr>
    </w:p>
    <w:p w:rsidR="00E67A5A" w:rsidRPr="001406E8" w:rsidRDefault="00E67A5A">
      <w:pPr>
        <w:rPr>
          <w:b/>
          <w:szCs w:val="22"/>
        </w:rPr>
      </w:pPr>
      <w:r w:rsidRPr="001406E8">
        <w:rPr>
          <w:b/>
          <w:szCs w:val="22"/>
        </w:rPr>
        <w:t>6.6</w:t>
      </w:r>
      <w:r w:rsidRPr="001406E8">
        <w:rPr>
          <w:b/>
          <w:szCs w:val="22"/>
        </w:rPr>
        <w:tab/>
      </w:r>
      <w:r w:rsidRPr="001406E8">
        <w:rPr>
          <w:b/>
          <w:bCs/>
        </w:rPr>
        <w:t xml:space="preserve">Špeciálne opatrenia na likvidáciu </w:t>
      </w:r>
      <w:r w:rsidRPr="001406E8">
        <w:rPr>
          <w:b/>
          <w:szCs w:val="22"/>
        </w:rPr>
        <w:t>a iné zaobchádzanie s liekom</w:t>
      </w:r>
    </w:p>
    <w:p w:rsidR="00E67A5A" w:rsidRPr="001406E8" w:rsidRDefault="00E67A5A">
      <w:pPr>
        <w:rPr>
          <w:szCs w:val="22"/>
        </w:rPr>
      </w:pPr>
    </w:p>
    <w:p w:rsidR="00E67A5A" w:rsidRPr="001406E8" w:rsidRDefault="00E67A5A">
      <w:pPr>
        <w:rPr>
          <w:szCs w:val="22"/>
        </w:rPr>
      </w:pPr>
      <w:r w:rsidRPr="001406E8">
        <w:rPr>
          <w:szCs w:val="22"/>
        </w:rPr>
        <w:t>Žiadne zvláštne požiadavky.</w:t>
      </w:r>
    </w:p>
    <w:p w:rsidR="00E67A5A" w:rsidRPr="001406E8" w:rsidRDefault="00E67A5A">
      <w:pPr>
        <w:rPr>
          <w:szCs w:val="22"/>
        </w:rPr>
      </w:pPr>
    </w:p>
    <w:p w:rsidR="00E67A5A" w:rsidRPr="001406E8" w:rsidRDefault="00E67A5A">
      <w:pPr>
        <w:rPr>
          <w:szCs w:val="22"/>
        </w:rPr>
      </w:pPr>
    </w:p>
    <w:p w:rsidR="00E67A5A" w:rsidRPr="001406E8" w:rsidRDefault="00E67A5A">
      <w:pPr>
        <w:rPr>
          <w:szCs w:val="22"/>
        </w:rPr>
      </w:pPr>
      <w:r w:rsidRPr="001406E8">
        <w:rPr>
          <w:b/>
          <w:szCs w:val="22"/>
        </w:rPr>
        <w:t>7.</w:t>
      </w:r>
      <w:r w:rsidRPr="001406E8">
        <w:rPr>
          <w:b/>
          <w:szCs w:val="22"/>
        </w:rPr>
        <w:tab/>
        <w:t>DRŽITEĽ ROZHODNUTIA O REGISTRÁCII</w:t>
      </w:r>
    </w:p>
    <w:p w:rsidR="00E67A5A" w:rsidRPr="001406E8" w:rsidRDefault="00E67A5A">
      <w:pPr>
        <w:rPr>
          <w:szCs w:val="22"/>
        </w:rPr>
      </w:pPr>
    </w:p>
    <w:p w:rsidR="00E67A5A" w:rsidRPr="001406E8" w:rsidRDefault="00E67A5A">
      <w:pPr>
        <w:rPr>
          <w:szCs w:val="22"/>
        </w:rPr>
      </w:pPr>
      <w:r w:rsidRPr="001406E8">
        <w:rPr>
          <w:szCs w:val="22"/>
        </w:rPr>
        <w:t>STADA Arzneimittel AG</w:t>
      </w:r>
    </w:p>
    <w:p w:rsidR="00E67A5A" w:rsidRPr="001406E8" w:rsidRDefault="00E67A5A">
      <w:pPr>
        <w:rPr>
          <w:szCs w:val="22"/>
        </w:rPr>
      </w:pPr>
      <w:r w:rsidRPr="001406E8">
        <w:rPr>
          <w:szCs w:val="22"/>
        </w:rPr>
        <w:t>Stadastrasse 2-18</w:t>
      </w:r>
    </w:p>
    <w:p w:rsidR="00E67A5A" w:rsidRPr="001406E8" w:rsidRDefault="00E67A5A">
      <w:pPr>
        <w:rPr>
          <w:szCs w:val="22"/>
        </w:rPr>
      </w:pPr>
      <w:r w:rsidRPr="001406E8">
        <w:rPr>
          <w:szCs w:val="22"/>
        </w:rPr>
        <w:t>61118 Bad Vilbel</w:t>
      </w:r>
    </w:p>
    <w:p w:rsidR="00E67A5A" w:rsidRPr="001406E8" w:rsidRDefault="00E67A5A">
      <w:r w:rsidRPr="001406E8">
        <w:rPr>
          <w:szCs w:val="22"/>
        </w:rPr>
        <w:t>Nemecko</w:t>
      </w:r>
    </w:p>
    <w:p w:rsidR="00E67A5A" w:rsidRPr="001406E8" w:rsidRDefault="00E67A5A">
      <w:pPr>
        <w:rPr>
          <w:szCs w:val="22"/>
        </w:rPr>
      </w:pPr>
    </w:p>
    <w:p w:rsidR="00E67A5A" w:rsidRPr="001406E8" w:rsidRDefault="00E67A5A">
      <w:pPr>
        <w:rPr>
          <w:szCs w:val="22"/>
        </w:rPr>
      </w:pPr>
    </w:p>
    <w:p w:rsidR="00E67A5A" w:rsidRPr="001406E8" w:rsidRDefault="00E67A5A">
      <w:pPr>
        <w:rPr>
          <w:b/>
          <w:szCs w:val="22"/>
        </w:rPr>
      </w:pPr>
      <w:r w:rsidRPr="001406E8">
        <w:rPr>
          <w:b/>
          <w:szCs w:val="22"/>
        </w:rPr>
        <w:t>8.</w:t>
      </w:r>
      <w:r w:rsidRPr="001406E8">
        <w:rPr>
          <w:b/>
          <w:szCs w:val="22"/>
        </w:rPr>
        <w:tab/>
        <w:t xml:space="preserve">REGISTRAČNÉ ČÍSLO </w:t>
      </w:r>
    </w:p>
    <w:p w:rsidR="00E67A5A" w:rsidRPr="001406E8" w:rsidRDefault="00E67A5A">
      <w:pPr>
        <w:rPr>
          <w:szCs w:val="22"/>
        </w:rPr>
      </w:pPr>
    </w:p>
    <w:p w:rsidR="00E67A5A" w:rsidRPr="001406E8" w:rsidRDefault="00E67A5A">
      <w:pPr>
        <w:rPr>
          <w:szCs w:val="22"/>
        </w:rPr>
      </w:pPr>
      <w:r w:rsidRPr="001406E8">
        <w:rPr>
          <w:szCs w:val="22"/>
        </w:rPr>
        <w:t>58/0144/08-S</w:t>
      </w:r>
    </w:p>
    <w:p w:rsidR="00E67A5A" w:rsidRPr="001406E8" w:rsidRDefault="00E67A5A">
      <w:pPr>
        <w:rPr>
          <w:szCs w:val="22"/>
        </w:rPr>
      </w:pPr>
    </w:p>
    <w:p w:rsidR="00E67A5A" w:rsidRPr="001406E8" w:rsidRDefault="00E67A5A">
      <w:pPr>
        <w:rPr>
          <w:szCs w:val="22"/>
        </w:rPr>
      </w:pPr>
    </w:p>
    <w:p w:rsidR="00E67A5A" w:rsidRPr="001406E8" w:rsidRDefault="00E67A5A">
      <w:pPr>
        <w:rPr>
          <w:szCs w:val="22"/>
        </w:rPr>
      </w:pPr>
      <w:r w:rsidRPr="001406E8">
        <w:rPr>
          <w:b/>
          <w:szCs w:val="22"/>
        </w:rPr>
        <w:t>9.</w:t>
      </w:r>
      <w:r w:rsidRPr="001406E8">
        <w:rPr>
          <w:b/>
          <w:szCs w:val="22"/>
        </w:rPr>
        <w:tab/>
        <w:t>DÁTUM PRVEJ REGISTRÁCIE/ PREDĹŽENIA REGISTRÁCIE</w:t>
      </w:r>
    </w:p>
    <w:p w:rsidR="00E67A5A" w:rsidRPr="001406E8" w:rsidRDefault="00E67A5A"/>
    <w:p w:rsidR="00E67A5A" w:rsidRPr="001406E8" w:rsidRDefault="0073186F">
      <w:r w:rsidRPr="001406E8">
        <w:t xml:space="preserve">Dátum prvej registrácie: </w:t>
      </w:r>
      <w:r w:rsidR="00E67A5A" w:rsidRPr="001406E8">
        <w:t>15.</w:t>
      </w:r>
      <w:r w:rsidRPr="001406E8">
        <w:t xml:space="preserve"> apríla </w:t>
      </w:r>
      <w:r w:rsidR="00E67A5A" w:rsidRPr="001406E8">
        <w:t>2008</w:t>
      </w:r>
    </w:p>
    <w:p w:rsidR="00672CED" w:rsidRPr="001406E8" w:rsidRDefault="00672CED">
      <w:r w:rsidRPr="001406E8">
        <w:t xml:space="preserve">Dátum posledného predĺženia registrácie: </w:t>
      </w:r>
      <w:r w:rsidR="00B51E57" w:rsidRPr="001406E8">
        <w:t>16. novembra 2016</w:t>
      </w:r>
    </w:p>
    <w:p w:rsidR="00E67A5A" w:rsidRPr="001406E8" w:rsidRDefault="00E67A5A"/>
    <w:p w:rsidR="00E67A5A" w:rsidRPr="001406E8" w:rsidRDefault="00E67A5A">
      <w:pPr>
        <w:rPr>
          <w:szCs w:val="22"/>
        </w:rPr>
      </w:pPr>
    </w:p>
    <w:p w:rsidR="00E67A5A" w:rsidRPr="001406E8" w:rsidRDefault="00E67A5A">
      <w:pPr>
        <w:rPr>
          <w:b/>
          <w:szCs w:val="22"/>
        </w:rPr>
      </w:pPr>
      <w:r w:rsidRPr="001406E8">
        <w:rPr>
          <w:b/>
          <w:szCs w:val="22"/>
        </w:rPr>
        <w:t>10.</w:t>
      </w:r>
      <w:r w:rsidRPr="001406E8">
        <w:rPr>
          <w:b/>
          <w:szCs w:val="22"/>
        </w:rPr>
        <w:tab/>
        <w:t>DÁTUM REVÍZIE TEXTU</w:t>
      </w:r>
    </w:p>
    <w:p w:rsidR="00E67A5A" w:rsidRPr="001406E8" w:rsidRDefault="00E67A5A">
      <w:pPr>
        <w:rPr>
          <w:szCs w:val="22"/>
        </w:rPr>
      </w:pPr>
    </w:p>
    <w:p w:rsidR="006D50A9" w:rsidRDefault="006D50A9" w:rsidP="00730DE1">
      <w:pPr>
        <w:rPr>
          <w:szCs w:val="22"/>
        </w:rPr>
      </w:pPr>
      <w:r>
        <w:rPr>
          <w:szCs w:val="22"/>
        </w:rPr>
        <w:t>11/2020</w:t>
      </w: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6D50A9" w:rsidRPr="006D50A9" w:rsidRDefault="006D50A9">
      <w:pPr>
        <w:rPr>
          <w:szCs w:val="22"/>
        </w:rPr>
      </w:pPr>
    </w:p>
    <w:p w:rsidR="00E67A5A" w:rsidRPr="006D50A9" w:rsidRDefault="00E67A5A" w:rsidP="005069B7">
      <w:pPr>
        <w:jc w:val="center"/>
        <w:rPr>
          <w:szCs w:val="22"/>
        </w:rPr>
      </w:pPr>
    </w:p>
    <w:sectPr w:rsidR="00E67A5A" w:rsidRPr="006D50A9" w:rsidSect="0070782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A30" w:rsidRDefault="00570A30">
      <w:r>
        <w:separator/>
      </w:r>
    </w:p>
  </w:endnote>
  <w:endnote w:type="continuationSeparator" w:id="0">
    <w:p w:rsidR="00570A30" w:rsidRDefault="0057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5A" w:rsidRDefault="00E67A5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67A5A" w:rsidRDefault="00E67A5A">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FB8" w:rsidRDefault="003C4FB8">
    <w:pPr>
      <w:pStyle w:val="Pta"/>
      <w:jc w:val="center"/>
      <w:rPr>
        <w:sz w:val="18"/>
        <w:szCs w:val="18"/>
      </w:rPr>
    </w:pPr>
  </w:p>
  <w:p w:rsidR="00BE0B2B" w:rsidRPr="00B51E57" w:rsidRDefault="00BE0B2B">
    <w:pPr>
      <w:pStyle w:val="Pta"/>
      <w:jc w:val="center"/>
      <w:rPr>
        <w:sz w:val="18"/>
        <w:szCs w:val="18"/>
      </w:rPr>
    </w:pPr>
    <w:r w:rsidRPr="00B51E57">
      <w:rPr>
        <w:sz w:val="18"/>
        <w:szCs w:val="18"/>
      </w:rPr>
      <w:fldChar w:fldCharType="begin"/>
    </w:r>
    <w:r w:rsidRPr="00B51E57">
      <w:rPr>
        <w:sz w:val="18"/>
        <w:szCs w:val="18"/>
      </w:rPr>
      <w:instrText>PAGE   \* MERGEFORMAT</w:instrText>
    </w:r>
    <w:r w:rsidRPr="00B51E57">
      <w:rPr>
        <w:sz w:val="18"/>
        <w:szCs w:val="18"/>
      </w:rPr>
      <w:fldChar w:fldCharType="separate"/>
    </w:r>
    <w:r w:rsidR="00570A30">
      <w:rPr>
        <w:noProof/>
        <w:sz w:val="18"/>
        <w:szCs w:val="18"/>
      </w:rPr>
      <w:t>1</w:t>
    </w:r>
    <w:r w:rsidRPr="00B51E57">
      <w:rPr>
        <w:sz w:val="18"/>
        <w:szCs w:val="18"/>
      </w:rPr>
      <w:fldChar w:fldCharType="end"/>
    </w:r>
  </w:p>
  <w:p w:rsidR="00E67A5A" w:rsidRPr="005069B7" w:rsidRDefault="00E67A5A">
    <w:pPr>
      <w:pStyle w:val="Pta"/>
      <w:ind w:right="360"/>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2B" w:rsidRPr="00B51E57" w:rsidRDefault="00BE0B2B">
    <w:pPr>
      <w:pStyle w:val="Pta"/>
      <w:jc w:val="center"/>
      <w:rPr>
        <w:sz w:val="18"/>
        <w:szCs w:val="18"/>
      </w:rPr>
    </w:pPr>
    <w:r w:rsidRPr="00B51E57">
      <w:rPr>
        <w:sz w:val="18"/>
        <w:szCs w:val="18"/>
      </w:rPr>
      <w:fldChar w:fldCharType="begin"/>
    </w:r>
    <w:r w:rsidRPr="00B51E57">
      <w:rPr>
        <w:sz w:val="18"/>
        <w:szCs w:val="18"/>
      </w:rPr>
      <w:instrText>PAGE   \* MERGEFORMAT</w:instrText>
    </w:r>
    <w:r w:rsidRPr="00B51E57">
      <w:rPr>
        <w:sz w:val="18"/>
        <w:szCs w:val="18"/>
      </w:rPr>
      <w:fldChar w:fldCharType="separate"/>
    </w:r>
    <w:r w:rsidR="00751A26">
      <w:rPr>
        <w:noProof/>
        <w:sz w:val="18"/>
        <w:szCs w:val="18"/>
      </w:rPr>
      <w:t>1</w:t>
    </w:r>
    <w:r w:rsidRPr="00B51E57">
      <w:rPr>
        <w:sz w:val="18"/>
        <w:szCs w:val="18"/>
      </w:rPr>
      <w:fldChar w:fldCharType="end"/>
    </w:r>
  </w:p>
  <w:p w:rsidR="00BE0B2B" w:rsidRDefault="00BE0B2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A30" w:rsidRDefault="00570A30">
      <w:r>
        <w:separator/>
      </w:r>
    </w:p>
  </w:footnote>
  <w:footnote w:type="continuationSeparator" w:id="0">
    <w:p w:rsidR="00570A30" w:rsidRDefault="00570A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D4B" w:rsidRDefault="00FA2D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A26" w:rsidRPr="005069B7" w:rsidRDefault="00906B20" w:rsidP="005069B7">
    <w:pPr>
      <w:ind w:left="0" w:firstLine="0"/>
      <w:rPr>
        <w:sz w:val="18"/>
        <w:szCs w:val="18"/>
      </w:rPr>
    </w:pPr>
    <w:r w:rsidRPr="00FA2D4B">
      <w:rPr>
        <w:sz w:val="18"/>
        <w:szCs w:val="18"/>
        <w:lang w:eastAsia="en-US"/>
      </w:rPr>
      <w:t>Príloha č. 1 k notifikácii o zmene, ev. č.: 2020/</w:t>
    </w:r>
    <w:r w:rsidR="00294D73" w:rsidRPr="00FA2D4B">
      <w:rPr>
        <w:sz w:val="18"/>
        <w:szCs w:val="18"/>
        <w:lang w:eastAsia="en-US"/>
      </w:rPr>
      <w:t>03068-Z1B</w:t>
    </w:r>
  </w:p>
  <w:p w:rsidR="00751A26" w:rsidRPr="00FA2D4B" w:rsidRDefault="00751A26" w:rsidP="00707825">
    <w:pPr>
      <w:rPr>
        <w:sz w:val="18"/>
        <w:szCs w:val="18"/>
        <w:lang w:val="en-US" w:eastAsia="en-US"/>
      </w:rPr>
    </w:pPr>
  </w:p>
  <w:p w:rsidR="006D50A9" w:rsidRPr="005069B7" w:rsidRDefault="006D50A9" w:rsidP="00707825">
    <w:pPr>
      <w:rPr>
        <w:sz w:val="18"/>
        <w:szCs w:val="18"/>
        <w:lang w:val="en-US" w:eastAsia="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2B" w:rsidRPr="00707825" w:rsidRDefault="00BE0B2B" w:rsidP="00BE0B2B">
    <w:pPr>
      <w:pStyle w:val="Hlavika"/>
      <w:rPr>
        <w:rFonts w:ascii="Times New Roman" w:hAnsi="Times New Roman"/>
        <w:noProof w:val="0"/>
        <w:sz w:val="18"/>
        <w:szCs w:val="18"/>
        <w:lang w:val="sk-SK"/>
      </w:rPr>
    </w:pPr>
  </w:p>
  <w:p w:rsidR="001406E8" w:rsidRDefault="001406E8" w:rsidP="00707825">
    <w:pPr>
      <w:rPr>
        <w:sz w:val="18"/>
        <w:szCs w:val="18"/>
        <w:lang w:eastAsia="en-US"/>
      </w:rPr>
    </w:pPr>
    <w:r w:rsidRPr="00707825">
      <w:rPr>
        <w:sz w:val="18"/>
        <w:szCs w:val="18"/>
        <w:lang w:eastAsia="en-US"/>
      </w:rPr>
      <w:t>Príloha č. 1 k notifikácii o zmene, ev. č.: 2017/0</w:t>
    </w:r>
    <w:r w:rsidR="00B4781F">
      <w:rPr>
        <w:sz w:val="18"/>
        <w:szCs w:val="18"/>
        <w:lang w:eastAsia="en-US"/>
      </w:rPr>
      <w:t>3879-Z1B</w:t>
    </w:r>
  </w:p>
  <w:p w:rsidR="00751A26" w:rsidRDefault="00751A26" w:rsidP="00707825">
    <w:pPr>
      <w:rPr>
        <w:sz w:val="18"/>
        <w:szCs w:val="18"/>
        <w:lang w:eastAsia="en-US"/>
      </w:rPr>
    </w:pPr>
  </w:p>
  <w:p w:rsidR="00751A26" w:rsidRPr="00707825" w:rsidRDefault="00751A26" w:rsidP="00707825">
    <w:pPr>
      <w:rPr>
        <w:sz w:val="18"/>
        <w:szCs w:val="18"/>
        <w:lan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73592"/>
    <w:multiLevelType w:val="hybridMultilevel"/>
    <w:tmpl w:val="8208F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817A82"/>
    <w:multiLevelType w:val="hybridMultilevel"/>
    <w:tmpl w:val="417801C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3F41D18"/>
    <w:multiLevelType w:val="hybridMultilevel"/>
    <w:tmpl w:val="8E363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B2F0B4A"/>
    <w:multiLevelType w:val="hybridMultilevel"/>
    <w:tmpl w:val="351CEFC4"/>
    <w:lvl w:ilvl="0" w:tplc="AF04D9E8">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6B7E89"/>
    <w:multiLevelType w:val="hybridMultilevel"/>
    <w:tmpl w:val="24BED484"/>
    <w:lvl w:ilvl="0" w:tplc="5498DBC2">
      <w:numFmt w:val="bullet"/>
      <w:lvlText w:val="-"/>
      <w:lvlJc w:val="left"/>
      <w:pPr>
        <w:tabs>
          <w:tab w:val="num" w:pos="360"/>
        </w:tabs>
        <w:ind w:left="340" w:hanging="340"/>
      </w:pPr>
      <w:rPr>
        <w:rFonts w:ascii="Times New Roman" w:eastAsia="Times New Roman" w:hAnsi="Times New Roman" w:cs="Times New Roman" w:hint="default"/>
        <w:u w:val="none"/>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4499B"/>
    <w:multiLevelType w:val="hybridMultilevel"/>
    <w:tmpl w:val="2D1E614E"/>
    <w:lvl w:ilvl="0" w:tplc="C804C16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9AD7EDD"/>
    <w:multiLevelType w:val="hybridMultilevel"/>
    <w:tmpl w:val="6F9E6DB4"/>
    <w:lvl w:ilvl="0" w:tplc="5498DBC2">
      <w:numFmt w:val="bullet"/>
      <w:lvlText w:val="-"/>
      <w:lvlJc w:val="left"/>
      <w:pPr>
        <w:tabs>
          <w:tab w:val="num" w:pos="360"/>
        </w:tabs>
        <w:ind w:left="340" w:hanging="340"/>
      </w:pPr>
      <w:rPr>
        <w:rFonts w:ascii="Times New Roman" w:eastAsia="Times New Roman" w:hAnsi="Times New Roman" w:cs="Times New Roman" w:hint="default"/>
        <w:u w:val="none"/>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8418E"/>
    <w:multiLevelType w:val="hybridMultilevel"/>
    <w:tmpl w:val="6C3EE6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3393A"/>
    <w:multiLevelType w:val="hybridMultilevel"/>
    <w:tmpl w:val="5A027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5557523"/>
    <w:multiLevelType w:val="hybridMultilevel"/>
    <w:tmpl w:val="F9F02832"/>
    <w:lvl w:ilvl="0" w:tplc="7B027A30">
      <w:start w:val="4"/>
      <w:numFmt w:val="bullet"/>
      <w:lvlText w:val="-"/>
      <w:lvlJc w:val="left"/>
      <w:pPr>
        <w:tabs>
          <w:tab w:val="num" w:pos="872"/>
        </w:tabs>
        <w:ind w:left="872" w:hanging="360"/>
      </w:pPr>
      <w:rPr>
        <w:rFonts w:ascii="Times New Roman" w:eastAsia="Times New Roman" w:hAnsi="Times New Roman" w:cs="Times New Roman" w:hint="default"/>
      </w:rPr>
    </w:lvl>
    <w:lvl w:ilvl="1" w:tplc="041B0003" w:tentative="1">
      <w:start w:val="1"/>
      <w:numFmt w:val="bullet"/>
      <w:lvlText w:val="o"/>
      <w:lvlJc w:val="left"/>
      <w:pPr>
        <w:tabs>
          <w:tab w:val="num" w:pos="1592"/>
        </w:tabs>
        <w:ind w:left="1592" w:hanging="360"/>
      </w:pPr>
      <w:rPr>
        <w:rFonts w:ascii="Courier New" w:hAnsi="Courier New" w:hint="default"/>
      </w:rPr>
    </w:lvl>
    <w:lvl w:ilvl="2" w:tplc="041B0005" w:tentative="1">
      <w:start w:val="1"/>
      <w:numFmt w:val="bullet"/>
      <w:lvlText w:val=""/>
      <w:lvlJc w:val="left"/>
      <w:pPr>
        <w:tabs>
          <w:tab w:val="num" w:pos="2312"/>
        </w:tabs>
        <w:ind w:left="2312" w:hanging="360"/>
      </w:pPr>
      <w:rPr>
        <w:rFonts w:ascii="Wingdings" w:hAnsi="Wingdings" w:hint="default"/>
      </w:rPr>
    </w:lvl>
    <w:lvl w:ilvl="3" w:tplc="041B0001" w:tentative="1">
      <w:start w:val="1"/>
      <w:numFmt w:val="bullet"/>
      <w:lvlText w:val=""/>
      <w:lvlJc w:val="left"/>
      <w:pPr>
        <w:tabs>
          <w:tab w:val="num" w:pos="3032"/>
        </w:tabs>
        <w:ind w:left="3032" w:hanging="360"/>
      </w:pPr>
      <w:rPr>
        <w:rFonts w:ascii="Symbol" w:hAnsi="Symbol" w:hint="default"/>
      </w:rPr>
    </w:lvl>
    <w:lvl w:ilvl="4" w:tplc="041B0003" w:tentative="1">
      <w:start w:val="1"/>
      <w:numFmt w:val="bullet"/>
      <w:lvlText w:val="o"/>
      <w:lvlJc w:val="left"/>
      <w:pPr>
        <w:tabs>
          <w:tab w:val="num" w:pos="3752"/>
        </w:tabs>
        <w:ind w:left="3752" w:hanging="360"/>
      </w:pPr>
      <w:rPr>
        <w:rFonts w:ascii="Courier New" w:hAnsi="Courier New" w:hint="default"/>
      </w:rPr>
    </w:lvl>
    <w:lvl w:ilvl="5" w:tplc="041B0005" w:tentative="1">
      <w:start w:val="1"/>
      <w:numFmt w:val="bullet"/>
      <w:lvlText w:val=""/>
      <w:lvlJc w:val="left"/>
      <w:pPr>
        <w:tabs>
          <w:tab w:val="num" w:pos="4472"/>
        </w:tabs>
        <w:ind w:left="4472" w:hanging="360"/>
      </w:pPr>
      <w:rPr>
        <w:rFonts w:ascii="Wingdings" w:hAnsi="Wingdings" w:hint="default"/>
      </w:rPr>
    </w:lvl>
    <w:lvl w:ilvl="6" w:tplc="041B0001" w:tentative="1">
      <w:start w:val="1"/>
      <w:numFmt w:val="bullet"/>
      <w:lvlText w:val=""/>
      <w:lvlJc w:val="left"/>
      <w:pPr>
        <w:tabs>
          <w:tab w:val="num" w:pos="5192"/>
        </w:tabs>
        <w:ind w:left="5192" w:hanging="360"/>
      </w:pPr>
      <w:rPr>
        <w:rFonts w:ascii="Symbol" w:hAnsi="Symbol" w:hint="default"/>
      </w:rPr>
    </w:lvl>
    <w:lvl w:ilvl="7" w:tplc="041B0003" w:tentative="1">
      <w:start w:val="1"/>
      <w:numFmt w:val="bullet"/>
      <w:lvlText w:val="o"/>
      <w:lvlJc w:val="left"/>
      <w:pPr>
        <w:tabs>
          <w:tab w:val="num" w:pos="5912"/>
        </w:tabs>
        <w:ind w:left="5912" w:hanging="360"/>
      </w:pPr>
      <w:rPr>
        <w:rFonts w:ascii="Courier New" w:hAnsi="Courier New" w:hint="default"/>
      </w:rPr>
    </w:lvl>
    <w:lvl w:ilvl="8" w:tplc="041B0005" w:tentative="1">
      <w:start w:val="1"/>
      <w:numFmt w:val="bullet"/>
      <w:lvlText w:val=""/>
      <w:lvlJc w:val="left"/>
      <w:pPr>
        <w:tabs>
          <w:tab w:val="num" w:pos="6632"/>
        </w:tabs>
        <w:ind w:left="6632" w:hanging="360"/>
      </w:pPr>
      <w:rPr>
        <w:rFonts w:ascii="Wingdings" w:hAnsi="Wingdings" w:hint="default"/>
      </w:rPr>
    </w:lvl>
  </w:abstractNum>
  <w:abstractNum w:abstractNumId="11" w15:restartNumberingAfterBreak="0">
    <w:nsid w:val="638773C3"/>
    <w:multiLevelType w:val="hybridMultilevel"/>
    <w:tmpl w:val="89BC851C"/>
    <w:lvl w:ilvl="0" w:tplc="041B0003">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6255B0"/>
    <w:multiLevelType w:val="hybridMultilevel"/>
    <w:tmpl w:val="1FD8E2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83E62E4"/>
    <w:multiLevelType w:val="hybridMultilevel"/>
    <w:tmpl w:val="2F2C23F0"/>
    <w:lvl w:ilvl="0" w:tplc="3D8C9454">
      <w:start w:val="1"/>
      <w:numFmt w:val="upperLetter"/>
      <w:lvlText w:val="%1."/>
      <w:lvlJc w:val="left"/>
      <w:pPr>
        <w:tabs>
          <w:tab w:val="num" w:pos="1701"/>
        </w:tabs>
        <w:ind w:left="170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60189F"/>
    <w:multiLevelType w:val="hybridMultilevel"/>
    <w:tmpl w:val="023AA79C"/>
    <w:lvl w:ilvl="0" w:tplc="C804C16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FBB6E1E"/>
    <w:multiLevelType w:val="hybridMultilevel"/>
    <w:tmpl w:val="E0FCA87C"/>
    <w:lvl w:ilvl="0" w:tplc="AF04D9E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3"/>
  </w:num>
  <w:num w:numId="4">
    <w:abstractNumId w:val="10"/>
  </w:num>
  <w:num w:numId="5">
    <w:abstractNumId w:val="5"/>
  </w:num>
  <w:num w:numId="6">
    <w:abstractNumId w:val="7"/>
  </w:num>
  <w:num w:numId="7">
    <w:abstractNumId w:val="11"/>
  </w:num>
  <w:num w:numId="8">
    <w:abstractNumId w:val="1"/>
  </w:num>
  <w:num w:numId="9">
    <w:abstractNumId w:val="4"/>
  </w:num>
  <w:num w:numId="10">
    <w:abstractNumId w:val="15"/>
  </w:num>
  <w:num w:numId="11">
    <w:abstractNumId w:val="3"/>
  </w:num>
  <w:num w:numId="12">
    <w:abstractNumId w:val="14"/>
  </w:num>
  <w:num w:numId="13">
    <w:abstractNumId w:val="6"/>
  </w:num>
  <w:num w:numId="14">
    <w:abstractNumId w:val="2"/>
  </w:num>
  <w:num w:numId="15">
    <w:abstractNumId w:val="9"/>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86F"/>
    <w:rsid w:val="000211E8"/>
    <w:rsid w:val="001406E8"/>
    <w:rsid w:val="00163428"/>
    <w:rsid w:val="00172011"/>
    <w:rsid w:val="00220728"/>
    <w:rsid w:val="0022264B"/>
    <w:rsid w:val="00294D73"/>
    <w:rsid w:val="002A0002"/>
    <w:rsid w:val="002B292E"/>
    <w:rsid w:val="00346A89"/>
    <w:rsid w:val="003818FA"/>
    <w:rsid w:val="0038192F"/>
    <w:rsid w:val="003C4FB8"/>
    <w:rsid w:val="00410686"/>
    <w:rsid w:val="00486820"/>
    <w:rsid w:val="005069B7"/>
    <w:rsid w:val="005168F1"/>
    <w:rsid w:val="005214E7"/>
    <w:rsid w:val="00563049"/>
    <w:rsid w:val="00570A30"/>
    <w:rsid w:val="006325EE"/>
    <w:rsid w:val="00661C29"/>
    <w:rsid w:val="00672CED"/>
    <w:rsid w:val="006D50A9"/>
    <w:rsid w:val="00707825"/>
    <w:rsid w:val="0071080A"/>
    <w:rsid w:val="00730DE1"/>
    <w:rsid w:val="0073186F"/>
    <w:rsid w:val="00751A26"/>
    <w:rsid w:val="0075328D"/>
    <w:rsid w:val="007C54A6"/>
    <w:rsid w:val="00841FBD"/>
    <w:rsid w:val="00843180"/>
    <w:rsid w:val="0087687B"/>
    <w:rsid w:val="008C552F"/>
    <w:rsid w:val="00906B20"/>
    <w:rsid w:val="00973CB2"/>
    <w:rsid w:val="00A8455B"/>
    <w:rsid w:val="00B1337D"/>
    <w:rsid w:val="00B35CD3"/>
    <w:rsid w:val="00B4781F"/>
    <w:rsid w:val="00B51E57"/>
    <w:rsid w:val="00BC1F8A"/>
    <w:rsid w:val="00BE0B2B"/>
    <w:rsid w:val="00BF00B5"/>
    <w:rsid w:val="00C16F20"/>
    <w:rsid w:val="00C51F76"/>
    <w:rsid w:val="00CA41CD"/>
    <w:rsid w:val="00CA52A7"/>
    <w:rsid w:val="00CC1C49"/>
    <w:rsid w:val="00CC2958"/>
    <w:rsid w:val="00DF6D69"/>
    <w:rsid w:val="00E67A5A"/>
    <w:rsid w:val="00F50BCE"/>
    <w:rsid w:val="00FA2D4B"/>
    <w:rsid w:val="00FC4AD5"/>
    <w:rsid w:val="00FF7E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73FB7787-362C-4EF2-B3F3-F22876D5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keepNext/>
      <w:tabs>
        <w:tab w:val="left" w:pos="540"/>
      </w:tabs>
      <w:ind w:left="0" w:firstLine="0"/>
      <w:outlineLvl w:val="0"/>
    </w:pPr>
    <w:rPr>
      <w:b/>
      <w:szCs w:val="22"/>
    </w:rPr>
  </w:style>
  <w:style w:type="paragraph" w:styleId="Nadpis2">
    <w:name w:val="heading 2"/>
    <w:basedOn w:val="Normlny"/>
    <w:next w:val="Normlny"/>
    <w:qFormat/>
    <w:pPr>
      <w:keepNext/>
      <w:outlineLvl w:val="1"/>
    </w:pPr>
    <w:rPr>
      <w:b/>
      <w:bCs/>
      <w:szCs w:val="22"/>
    </w:rPr>
  </w:style>
  <w:style w:type="paragraph" w:styleId="Nadpis3">
    <w:name w:val="heading 3"/>
    <w:basedOn w:val="Normlny"/>
    <w:next w:val="Normlny"/>
    <w:qFormat/>
    <w:pPr>
      <w:keepNext/>
      <w:tabs>
        <w:tab w:val="left" w:pos="8505"/>
      </w:tabs>
      <w:ind w:left="0" w:right="566" w:firstLine="0"/>
      <w:outlineLvl w:val="2"/>
    </w:pPr>
    <w:rPr>
      <w:rFonts w:ascii="Arial" w:hAnsi="Arial"/>
      <w:i/>
      <w:sz w:val="24"/>
      <w:szCs w:val="20"/>
      <w:lang w:eastAsia="en-US"/>
    </w:rPr>
  </w:style>
  <w:style w:type="paragraph" w:styleId="Nadpis4">
    <w:name w:val="heading 4"/>
    <w:basedOn w:val="Normlny"/>
    <w:next w:val="Normlny"/>
    <w:qFormat/>
    <w:pPr>
      <w:keepNext/>
      <w:ind w:left="851" w:firstLine="0"/>
      <w:jc w:val="both"/>
      <w:outlineLvl w:val="3"/>
    </w:pPr>
    <w:rPr>
      <w:i/>
      <w:sz w:val="24"/>
      <w:szCs w:val="20"/>
      <w:u w:val="single"/>
      <w:lang w:eastAsia="en-US"/>
    </w:rPr>
  </w:style>
  <w:style w:type="paragraph" w:styleId="Nadpis5">
    <w:name w:val="heading 5"/>
    <w:basedOn w:val="Normlny"/>
    <w:next w:val="Normlny"/>
    <w:qFormat/>
    <w:pPr>
      <w:keepNext/>
      <w:spacing w:before="120"/>
      <w:ind w:left="0" w:firstLine="0"/>
      <w:jc w:val="both"/>
      <w:outlineLvl w:val="4"/>
    </w:pPr>
    <w:rPr>
      <w:rFonts w:ascii="Arial" w:hAnsi="Arial" w:cs="Arial"/>
      <w:i/>
      <w:sz w:val="20"/>
      <w:szCs w:val="20"/>
      <w:u w:val="single"/>
      <w:lang w:eastAsia="en-US"/>
    </w:rPr>
  </w:style>
  <w:style w:type="paragraph" w:styleId="Nadpis6">
    <w:name w:val="heading 6"/>
    <w:basedOn w:val="Normlny"/>
    <w:next w:val="Normlny"/>
    <w:qFormat/>
    <w:pPr>
      <w:keepNext/>
      <w:spacing w:before="120"/>
      <w:ind w:left="851" w:hanging="851"/>
      <w:jc w:val="both"/>
      <w:outlineLvl w:val="5"/>
    </w:pPr>
    <w:rPr>
      <w:b/>
      <w:sz w:val="24"/>
      <w:szCs w:val="20"/>
      <w:lang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jc w:val="both"/>
      <w:outlineLvl w:val="7"/>
    </w:pPr>
    <w:rPr>
      <w:i/>
      <w:u w:val="single"/>
    </w:rPr>
  </w:style>
  <w:style w:type="paragraph" w:styleId="Nadpis9">
    <w:name w:val="heading 9"/>
    <w:basedOn w:val="Normlny"/>
    <w:next w:val="Normlny"/>
    <w:qFormat/>
    <w:pPr>
      <w:keepNext/>
      <w:outlineLvl w:val="8"/>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semiHidden/>
    <w:pPr>
      <w:ind w:left="0" w:firstLine="0"/>
    </w:pPr>
  </w:style>
  <w:style w:type="paragraph" w:styleId="Nzov">
    <w:name w:val="Title"/>
    <w:basedOn w:val="Normlny"/>
    <w:qFormat/>
    <w:pPr>
      <w:tabs>
        <w:tab w:val="left" w:pos="284"/>
      </w:tabs>
      <w:ind w:left="0" w:firstLine="0"/>
      <w:jc w:val="center"/>
    </w:pPr>
    <w:rPr>
      <w:b/>
      <w:sz w:val="28"/>
      <w:szCs w:val="20"/>
      <w:lang w:val="cs-CZ" w:eastAsia="cs-CZ"/>
    </w:rPr>
  </w:style>
  <w:style w:type="paragraph" w:styleId="Podtitul">
    <w:name w:val="Subtitle"/>
    <w:basedOn w:val="Normlny"/>
    <w:qFormat/>
    <w:pPr>
      <w:ind w:left="0" w:firstLine="0"/>
      <w:jc w:val="center"/>
    </w:pPr>
    <w:rPr>
      <w:b/>
    </w:rPr>
  </w:style>
  <w:style w:type="paragraph" w:styleId="Zarkazkladnhotextu3">
    <w:name w:val="Body Text Indent 3"/>
    <w:basedOn w:val="Normlny"/>
    <w:semiHidden/>
    <w:pPr>
      <w:ind w:left="900" w:firstLine="0"/>
    </w:pPr>
    <w:rPr>
      <w:szCs w:val="22"/>
    </w:rPr>
  </w:style>
  <w:style w:type="character" w:styleId="PouitHypertextovPrepojenie">
    <w:name w:val="FollowedHyperlink"/>
    <w:semiHidden/>
    <w:rPr>
      <w:color w:val="800080"/>
      <w:u w:val="single"/>
    </w:rPr>
  </w:style>
  <w:style w:type="paragraph" w:styleId="Zkladntext3">
    <w:name w:val="Body Text 3"/>
    <w:basedOn w:val="Normlny"/>
    <w:pPr>
      <w:spacing w:before="120"/>
      <w:ind w:left="0" w:firstLine="0"/>
      <w:jc w:val="both"/>
    </w:pPr>
    <w:rPr>
      <w:rFonts w:ascii="Arial" w:hAnsi="Arial"/>
      <w:sz w:val="20"/>
      <w:szCs w:val="20"/>
      <w:lang w:eastAsia="en-US"/>
    </w:rPr>
  </w:style>
  <w:style w:type="paragraph" w:styleId="Zkladntext2">
    <w:name w:val="Body Text 2"/>
    <w:basedOn w:val="Normlny"/>
    <w:pPr>
      <w:spacing w:before="120"/>
      <w:ind w:left="0" w:firstLine="0"/>
      <w:jc w:val="both"/>
    </w:pPr>
    <w:rPr>
      <w:sz w:val="24"/>
      <w:szCs w:val="20"/>
      <w:lang w:val="en-GB" w:eastAsia="en-US"/>
    </w:rPr>
  </w:style>
  <w:style w:type="paragraph" w:styleId="Hlavika">
    <w:name w:val="header"/>
    <w:next w:val="Normlny"/>
    <w:link w:val="HlavikaChar"/>
    <w:uiPriority w:val="99"/>
    <w:rPr>
      <w:rFonts w:ascii="Times" w:hAnsi="Times"/>
      <w:noProof/>
      <w:lang w:val="en-US" w:eastAsia="en-US"/>
    </w:rPr>
  </w:style>
  <w:style w:type="paragraph" w:customStyle="1" w:styleId="a">
    <w:name w:val="("/>
    <w:pPr>
      <w:tabs>
        <w:tab w:val="center" w:pos="4819"/>
        <w:tab w:val="right" w:pos="9071"/>
      </w:tabs>
    </w:pPr>
    <w:rPr>
      <w:lang w:val="fr-FR" w:eastAsia="en-US"/>
    </w:rPr>
  </w:style>
  <w:style w:type="paragraph" w:styleId="Zarkazkladnhotextu">
    <w:name w:val="Body Text Indent"/>
    <w:basedOn w:val="Normlny"/>
    <w:semiHidden/>
    <w:pPr>
      <w:spacing w:before="120"/>
      <w:ind w:left="1134" w:firstLine="2"/>
      <w:jc w:val="both"/>
    </w:pPr>
    <w:rPr>
      <w:sz w:val="24"/>
      <w:szCs w:val="20"/>
      <w:lang w:eastAsia="en-US"/>
    </w:rPr>
  </w:style>
  <w:style w:type="paragraph" w:styleId="Zarkazkladnhotextu2">
    <w:name w:val="Body Text Indent 2"/>
    <w:basedOn w:val="Normlny"/>
    <w:semiHidden/>
    <w:pPr>
      <w:tabs>
        <w:tab w:val="left" w:pos="1418"/>
      </w:tabs>
      <w:ind w:left="1418" w:hanging="284"/>
      <w:jc w:val="both"/>
    </w:pPr>
    <w:rPr>
      <w:sz w:val="24"/>
      <w:szCs w:val="20"/>
      <w:lang w:eastAsia="en-US"/>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character" w:customStyle="1" w:styleId="HlavikaChar">
    <w:name w:val="Hlavička Char"/>
    <w:link w:val="Hlavika"/>
    <w:uiPriority w:val="99"/>
    <w:rsid w:val="00BE0B2B"/>
    <w:rPr>
      <w:rFonts w:ascii="Times" w:hAnsi="Times"/>
      <w:noProof/>
      <w:lang w:val="en-US" w:eastAsia="en-US"/>
    </w:rPr>
  </w:style>
  <w:style w:type="character" w:customStyle="1" w:styleId="PtaChar">
    <w:name w:val="Päta Char"/>
    <w:link w:val="Pta"/>
    <w:uiPriority w:val="99"/>
    <w:rsid w:val="00BE0B2B"/>
    <w:rPr>
      <w:sz w:val="22"/>
      <w:szCs w:val="24"/>
    </w:rPr>
  </w:style>
  <w:style w:type="character" w:customStyle="1" w:styleId="TextChar1">
    <w:name w:val="Text Char1"/>
    <w:link w:val="Text"/>
    <w:locked/>
    <w:rsid w:val="00707825"/>
    <w:rPr>
      <w:rFonts w:ascii="SimSun" w:hAnsi="SimSun"/>
      <w:color w:val="000000"/>
    </w:rPr>
  </w:style>
  <w:style w:type="paragraph" w:customStyle="1" w:styleId="Text">
    <w:name w:val="Text"/>
    <w:basedOn w:val="Normlny"/>
    <w:link w:val="TextChar1"/>
    <w:rsid w:val="00707825"/>
    <w:pPr>
      <w:spacing w:after="240" w:line="276" w:lineRule="auto"/>
      <w:ind w:left="1134" w:firstLine="0"/>
      <w:jc w:val="both"/>
    </w:pPr>
    <w:rPr>
      <w:rFonts w:ascii="SimSun" w:hAnsi="SimSu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3153</Words>
  <Characters>17976</Characters>
  <Application>Microsoft Office Word</Application>
  <DocSecurity>0</DocSecurity>
  <Lines>149</Lines>
  <Paragraphs>42</Paragraphs>
  <ScaleCrop>false</ScaleCrop>
  <HeadingPairs>
    <vt:vector size="6" baseType="variant">
      <vt:variant>
        <vt:lpstr>Názov</vt:lpstr>
      </vt:variant>
      <vt:variant>
        <vt:i4>1</vt:i4>
      </vt:variant>
      <vt:variant>
        <vt:lpstr>Nadpisy</vt:lpstr>
      </vt:variant>
      <vt:variant>
        <vt:i4>5</vt:i4>
      </vt:variant>
      <vt:variant>
        <vt:lpstr>Název</vt:lpstr>
      </vt:variant>
      <vt:variant>
        <vt:i4>1</vt:i4>
      </vt:variant>
    </vt:vector>
  </HeadingPairs>
  <TitlesOfParts>
    <vt:vector size="7" baseType="lpstr">
      <vt:lpstr>[Version 7, 07/2005]</vt:lpstr>
      <vt:lpstr>Úplný zoznam pomocných látok, pozri časť 6.1.</vt:lpstr>
      <vt:lpstr>Jedna tableta za 24 hodín, prednostne ráno.</vt:lpstr>
      <vt:lpstr>    </vt:lpstr>
      <vt:lpstr>    Spôsob podávania</vt:lpstr>
      <vt:lpstr>    Kombinácie, ktoré je potrebné vziať do úvahy</vt:lpstr>
      <vt:lpstr>[Version 7, 07/2005]</vt:lpstr>
    </vt:vector>
  </TitlesOfParts>
  <Company>Štátny ústav pre kontrolu liečiv</Company>
  <LinksUpToDate>false</LinksUpToDate>
  <CharactersWithSpaces>21087</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 07/2005]</dc:title>
  <dc:subject>General-EMEA/248615/2005</dc:subject>
  <dc:creator>R-Pharmaservices</dc:creator>
  <cp:lastModifiedBy>ZGr</cp:lastModifiedBy>
  <cp:revision>8</cp:revision>
  <cp:lastPrinted>2018-06-19T08:45:00Z</cp:lastPrinted>
  <dcterms:created xsi:type="dcterms:W3CDTF">2020-05-14T11:05:00Z</dcterms:created>
  <dcterms:modified xsi:type="dcterms:W3CDTF">2020-11-20T08:32:00Z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General-EMEA/248615/2005</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 final 280705</vt:lpwstr>
  </property>
  <property fmtid="{D5CDD505-2E9C-101B-9397-08002B2CF9AE}" pid="9" name="DM_Owner">
    <vt:lpwstr>Buch Monica</vt:lpwstr>
  </property>
  <property fmtid="{D5CDD505-2E9C-101B-9397-08002B2CF9AE}" pid="10" name="DM_Creation_Date">
    <vt:lpwstr>28/07/2005 10:20:54</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28/07/2005 12:13:38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EMEA/248615/2005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248615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ies>
</file>