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5E135" w14:textId="77777777" w:rsidR="00701B6B" w:rsidRPr="006A2CB1" w:rsidRDefault="00701B6B" w:rsidP="0064531B">
      <w:pPr>
        <w:pStyle w:val="Nzov"/>
      </w:pPr>
    </w:p>
    <w:p w14:paraId="685D9D85" w14:textId="77777777" w:rsidR="005E1185" w:rsidRPr="006A2CB1" w:rsidRDefault="005E1185">
      <w:pPr>
        <w:widowControl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Súhrn charakteristických vlastností lieku</w:t>
      </w:r>
    </w:p>
    <w:p w14:paraId="6A70ED6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09506C73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6D5D3E0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NÁZOV LIEKU </w:t>
      </w:r>
    </w:p>
    <w:p w14:paraId="2D22ADD3" w14:textId="77777777" w:rsidR="005E1185" w:rsidRPr="006A2CB1" w:rsidRDefault="005E1185">
      <w:pPr>
        <w:pStyle w:val="Nadpis1"/>
        <w:rPr>
          <w:rFonts w:ascii="Times New Roman" w:hAnsi="Times New Roman" w:cs="Times New Roman"/>
        </w:rPr>
      </w:pPr>
    </w:p>
    <w:p w14:paraId="2673528B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color w:val="000000"/>
        </w:rPr>
        <w:t xml:space="preserve">ADVIL RAPID </w:t>
      </w:r>
    </w:p>
    <w:p w14:paraId="31325EA3" w14:textId="77777777" w:rsidR="005E1185" w:rsidRPr="006A2CB1" w:rsidRDefault="003800CA">
      <w:pPr>
        <w:pStyle w:val="Nadpis1"/>
        <w:rPr>
          <w:rFonts w:ascii="Times New Roman" w:hAnsi="Times New Roman" w:cs="Times New Roman"/>
          <w:b w:val="0"/>
          <w:bCs w:val="0"/>
        </w:rPr>
      </w:pPr>
      <w:r w:rsidRPr="006A2CB1">
        <w:rPr>
          <w:rFonts w:ascii="Times New Roman" w:hAnsi="Times New Roman" w:cs="Times New Roman"/>
          <w:b w:val="0"/>
          <w:bCs w:val="0"/>
        </w:rPr>
        <w:t xml:space="preserve">400 mg </w:t>
      </w:r>
      <w:r w:rsidR="005E1185" w:rsidRPr="006A2CB1">
        <w:rPr>
          <w:rFonts w:ascii="Times New Roman" w:hAnsi="Times New Roman" w:cs="Times New Roman"/>
          <w:b w:val="0"/>
          <w:bCs w:val="0"/>
        </w:rPr>
        <w:t>mäkké kapsuly</w:t>
      </w:r>
    </w:p>
    <w:p w14:paraId="7465594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F1EA5E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05CF4FE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KVALITATÍVNE A KVANTITATÍVNE ZLOŽENIE </w:t>
      </w:r>
    </w:p>
    <w:p w14:paraId="7D38572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574935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Každá kapsula obsahuje 400 mg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u.</w:t>
      </w:r>
    </w:p>
    <w:p w14:paraId="14463E1D" w14:textId="11EF077D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Pomocné látky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so známym účinkom</w:t>
      </w:r>
      <w:r w:rsidRPr="006A2CB1">
        <w:rPr>
          <w:rFonts w:ascii="Times New Roman" w:hAnsi="Times New Roman" w:cs="Times New Roman"/>
          <w:sz w:val="22"/>
          <w:szCs w:val="22"/>
        </w:rPr>
        <w:t xml:space="preserve">: čiastočne dehydrovaný </w:t>
      </w:r>
      <w:r w:rsidR="009E2BF8">
        <w:rPr>
          <w:rFonts w:ascii="Times New Roman" w:hAnsi="Times New Roman" w:cs="Times New Roman"/>
          <w:sz w:val="22"/>
          <w:szCs w:val="22"/>
        </w:rPr>
        <w:t>roztok</w:t>
      </w:r>
      <w:r w:rsidR="009E2BF8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sorbitol</w:t>
      </w:r>
      <w:r w:rsidR="009E2BF8">
        <w:rPr>
          <w:rFonts w:ascii="Times New Roman" w:hAnsi="Times New Roman" w:cs="Times New Roman"/>
          <w:sz w:val="22"/>
          <w:szCs w:val="22"/>
        </w:rPr>
        <w:t>u</w:t>
      </w:r>
      <w:r w:rsidRPr="006A2CB1">
        <w:rPr>
          <w:rFonts w:ascii="Times New Roman" w:hAnsi="Times New Roman" w:cs="Times New Roman"/>
          <w:sz w:val="22"/>
          <w:szCs w:val="22"/>
        </w:rPr>
        <w:t xml:space="preserve"> 114,08 mg</w:t>
      </w:r>
    </w:p>
    <w:p w14:paraId="65C9A497" w14:textId="77777777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</w:p>
    <w:p w14:paraId="03BC2EB1" w14:textId="77777777"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14:paraId="6557FD1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B961FF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9545BA8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LIEKOVÁ FORMA</w:t>
      </w:r>
    </w:p>
    <w:p w14:paraId="444D26A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D0C0B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Mäkká kapsula. </w:t>
      </w:r>
    </w:p>
    <w:p w14:paraId="097E037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Priehľadné bezfarebné oválne mäkké želatínové kapsuly s čiernou potlačou „400“ obsahujúce bezfarebnú tekutinu.</w:t>
      </w:r>
    </w:p>
    <w:p w14:paraId="42580E6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72C556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AD5838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KLINICKÉ ÚDAJE </w:t>
      </w:r>
    </w:p>
    <w:p w14:paraId="3C227D9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23A187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Terapeutické indikácie</w:t>
      </w:r>
    </w:p>
    <w:p w14:paraId="59C9C06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2BE6550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Na zmiernenie reumatických bolestí a bolesti svalov, bolesti chrbta, bolesti hlavy (vrátane migrény), bolesti zubov, menštruačnej bolesti, horúčky, pri </w:t>
      </w:r>
      <w:r w:rsidR="005A6939" w:rsidRPr="006A2CB1">
        <w:rPr>
          <w:rFonts w:ascii="Times New Roman" w:hAnsi="Times New Roman" w:cs="Times New Roman"/>
        </w:rPr>
        <w:t xml:space="preserve">osteoartróze </w:t>
      </w:r>
      <w:r w:rsidRPr="006A2CB1">
        <w:rPr>
          <w:rFonts w:ascii="Times New Roman" w:hAnsi="Times New Roman" w:cs="Times New Roman"/>
        </w:rPr>
        <w:t xml:space="preserve">a na zmiernenie príznakov prechladnutia a chrípky. </w:t>
      </w:r>
    </w:p>
    <w:p w14:paraId="3E59D1AD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CDC0A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Dávkovanie a spôsob podávania</w:t>
      </w:r>
    </w:p>
    <w:p w14:paraId="6E64823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0E52126" w14:textId="77777777" w:rsidR="00C83B3D" w:rsidRPr="006A2CB1" w:rsidRDefault="00C83B3D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Dávkovanie</w:t>
      </w:r>
    </w:p>
    <w:p w14:paraId="11357145" w14:textId="77777777" w:rsidR="00C83B3D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</w:p>
    <w:p w14:paraId="4A471BF6" w14:textId="77777777" w:rsidR="005E1185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Pre d</w:t>
      </w:r>
      <w:r w:rsidR="005E1185" w:rsidRPr="006A2CB1">
        <w:rPr>
          <w:rFonts w:ascii="Times New Roman" w:hAnsi="Times New Roman" w:cs="Times New Roman"/>
          <w:i/>
          <w:iCs/>
        </w:rPr>
        <w:t>ospel</w:t>
      </w:r>
      <w:r w:rsidRPr="006A2CB1">
        <w:rPr>
          <w:rFonts w:ascii="Times New Roman" w:hAnsi="Times New Roman" w:cs="Times New Roman"/>
          <w:i/>
          <w:iCs/>
        </w:rPr>
        <w:t>ých</w:t>
      </w:r>
      <w:r w:rsidR="005E1185" w:rsidRPr="006A2CB1">
        <w:rPr>
          <w:rFonts w:ascii="Times New Roman" w:hAnsi="Times New Roman" w:cs="Times New Roman"/>
          <w:i/>
          <w:iCs/>
        </w:rPr>
        <w:t>, starší</w:t>
      </w:r>
      <w:r w:rsidRPr="006A2CB1">
        <w:rPr>
          <w:rFonts w:ascii="Times New Roman" w:hAnsi="Times New Roman" w:cs="Times New Roman"/>
          <w:i/>
          <w:iCs/>
        </w:rPr>
        <w:t>ch</w:t>
      </w:r>
      <w:r w:rsidR="005E1185" w:rsidRPr="006A2CB1">
        <w:rPr>
          <w:rFonts w:ascii="Times New Roman" w:hAnsi="Times New Roman" w:cs="Times New Roman"/>
          <w:i/>
          <w:iCs/>
        </w:rPr>
        <w:t xml:space="preserve"> pacient</w:t>
      </w:r>
      <w:r w:rsidRPr="006A2CB1">
        <w:rPr>
          <w:rFonts w:ascii="Times New Roman" w:hAnsi="Times New Roman" w:cs="Times New Roman"/>
          <w:i/>
          <w:iCs/>
        </w:rPr>
        <w:t>ov</w:t>
      </w:r>
      <w:r w:rsidR="005E1185" w:rsidRPr="006A2CB1">
        <w:rPr>
          <w:rFonts w:ascii="Times New Roman" w:hAnsi="Times New Roman" w:cs="Times New Roman"/>
          <w:i/>
          <w:iCs/>
        </w:rPr>
        <w:t xml:space="preserve"> a</w:t>
      </w:r>
      <w:r w:rsidRPr="006A2CB1">
        <w:rPr>
          <w:rFonts w:ascii="Times New Roman" w:hAnsi="Times New Roman" w:cs="Times New Roman"/>
          <w:i/>
          <w:iCs/>
        </w:rPr>
        <w:t> dospievajúcich</w:t>
      </w:r>
      <w:r w:rsidR="005E1185" w:rsidRPr="006A2CB1">
        <w:rPr>
          <w:rFonts w:ascii="Times New Roman" w:hAnsi="Times New Roman" w:cs="Times New Roman"/>
          <w:i/>
          <w:iCs/>
        </w:rPr>
        <w:t xml:space="preserve"> od 12 rokov</w:t>
      </w:r>
      <w:r w:rsidRPr="006A2CB1">
        <w:rPr>
          <w:rFonts w:ascii="Times New Roman" w:hAnsi="Times New Roman" w:cs="Times New Roman"/>
          <w:i/>
          <w:iCs/>
        </w:rPr>
        <w:t>:</w:t>
      </w:r>
      <w:r w:rsidR="005E1185" w:rsidRPr="006A2CB1">
        <w:rPr>
          <w:rFonts w:ascii="Times New Roman" w:hAnsi="Times New Roman" w:cs="Times New Roman"/>
          <w:i/>
          <w:iCs/>
        </w:rPr>
        <w:t xml:space="preserve"> </w:t>
      </w:r>
    </w:p>
    <w:p w14:paraId="2508998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Jedna kapsula (400 mg) podľa potreby maximálne trikrát denne. </w:t>
      </w:r>
    </w:p>
    <w:p w14:paraId="55F70F8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Dávka sa nemá opakovať častejšie ako každé 4</w:t>
      </w:r>
      <w:r w:rsidR="000575AC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-</w:t>
      </w:r>
      <w:r w:rsidR="000575AC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6 hodín a počas 24 hodín sa nemajú užiť viac ako 3 kapsuly (1</w:t>
      </w:r>
      <w:r w:rsidR="00701B6B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200 mg). </w:t>
      </w:r>
    </w:p>
    <w:p w14:paraId="021CC548" w14:textId="77777777" w:rsidR="00701B6B" w:rsidRPr="006A2CB1" w:rsidRDefault="00701B6B">
      <w:pPr>
        <w:pStyle w:val="Zkladntext"/>
        <w:rPr>
          <w:rFonts w:ascii="Times New Roman" w:hAnsi="Times New Roman" w:cs="Times New Roman"/>
        </w:rPr>
      </w:pPr>
    </w:p>
    <w:p w14:paraId="24C916F3" w14:textId="77777777" w:rsidR="00D7262F" w:rsidRPr="006A2CB1" w:rsidRDefault="00D7262F" w:rsidP="00D7262F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Pre dospievajúcich (vekový rozsah </w:t>
      </w:r>
      <w:r w:rsidRPr="006A2CB1">
        <w:rPr>
          <w:rFonts w:ascii="Times New Roman" w:hAnsi="Times New Roman" w:cs="Times New Roman"/>
          <w:i/>
          <w:iCs/>
          <w:u w:val="single"/>
        </w:rPr>
        <w:t>&gt;</w:t>
      </w:r>
      <w:r w:rsidRPr="006A2CB1">
        <w:rPr>
          <w:rFonts w:ascii="Times New Roman" w:hAnsi="Times New Roman" w:cs="Times New Roman"/>
          <w:i/>
          <w:iCs/>
        </w:rPr>
        <w:t xml:space="preserve"> 12 rokov až &lt; 18 rokov): </w:t>
      </w:r>
    </w:p>
    <w:p w14:paraId="5182402B" w14:textId="77777777" w:rsidR="00701B6B" w:rsidRPr="006A2CB1" w:rsidRDefault="00701B6B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 sa tento liek vyžaduje podávať dospievajúcim dlhšie ako 3 dni alebo ak sa symptómy zhoršia, je potrebné vyhľadať lekára.</w:t>
      </w:r>
    </w:p>
    <w:p w14:paraId="0CE4A4F0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3A985392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Pacienti s</w:t>
      </w:r>
      <w:r w:rsidR="00626B2D"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 poruchou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>funkcie obličiek a pečene</w:t>
      </w:r>
    </w:p>
    <w:p w14:paraId="00CACD5A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Opatrnosť je potrebná u pacientov s poškodením funkcie obličiek alebo pečene. Vhodnosť podávania, dávkovanie a dĺžka liečby sa má stanoviť individuálne. Dávka má byť čo najnižšia (pozri tiež časť 4.4).</w:t>
      </w:r>
    </w:p>
    <w:p w14:paraId="7F34A9D8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2264AD7F" w14:textId="77777777" w:rsidR="00626B2D" w:rsidRPr="006A2CB1" w:rsidRDefault="00626B2D" w:rsidP="00626B2D">
      <w:pPr>
        <w:jc w:val="both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14:paraId="0B60A10E" w14:textId="77777777" w:rsidR="004058C5" w:rsidRPr="006A2CB1" w:rsidRDefault="004058C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150F473E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môžu užívať aj diabetici. </w:t>
      </w:r>
    </w:p>
    <w:p w14:paraId="062CCEFF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000DCC54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i/>
          <w:sz w:val="22"/>
          <w:szCs w:val="22"/>
          <w:u w:val="single"/>
        </w:rPr>
        <w:t>Pediatrická populácia</w:t>
      </w:r>
    </w:p>
    <w:p w14:paraId="2C647521" w14:textId="77777777" w:rsidR="00C83B3D" w:rsidRPr="006A2CB1" w:rsidRDefault="004E576B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</w:rPr>
      </w:pPr>
      <w:r w:rsidRPr="006A2CB1">
        <w:rPr>
          <w:rFonts w:ascii="Times New Roman" w:hAnsi="Times New Roman" w:cs="Times New Roman"/>
          <w:i/>
          <w:sz w:val="22"/>
          <w:szCs w:val="22"/>
        </w:rPr>
        <w:lastRenderedPageBreak/>
        <w:t>Deti</w:t>
      </w:r>
      <w:r w:rsidR="00C83B3D" w:rsidRPr="006A2CB1">
        <w:rPr>
          <w:rFonts w:ascii="Times New Roman" w:hAnsi="Times New Roman" w:cs="Times New Roman"/>
          <w:i/>
          <w:sz w:val="22"/>
          <w:szCs w:val="22"/>
        </w:rPr>
        <w:t xml:space="preserve"> do 12 rokov:</w:t>
      </w:r>
    </w:p>
    <w:p w14:paraId="24EE38D3" w14:textId="77777777"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Tento liek nie je indikovaný deťom do 12 rokov.</w:t>
      </w:r>
    </w:p>
    <w:p w14:paraId="6206C2DA" w14:textId="77777777"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14:paraId="386E1AFC" w14:textId="77777777" w:rsidR="005E1185" w:rsidRPr="006A2CB1" w:rsidRDefault="005E1185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Spôsob podávania</w:t>
      </w:r>
    </w:p>
    <w:p w14:paraId="730DFDB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Kapsuly sa majú prehltnúť a zapiť vodou. </w:t>
      </w:r>
    </w:p>
    <w:p w14:paraId="7ACAB92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E2E1A8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Kontraindikácie</w:t>
      </w:r>
    </w:p>
    <w:p w14:paraId="59BDB07F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5D28DC1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Precitlivenosť na liečivo alebo na ktorúkoľvek z pomocných látok</w:t>
      </w:r>
      <w:r w:rsidR="00C83B3D" w:rsidRPr="006A2CB1">
        <w:rPr>
          <w:rFonts w:ascii="Times New Roman" w:hAnsi="Times New Roman" w:cs="Times New Roman"/>
        </w:rPr>
        <w:t xml:space="preserve"> uvedených v časti 6.1</w:t>
      </w:r>
      <w:r w:rsidRPr="006A2CB1">
        <w:rPr>
          <w:rFonts w:ascii="Times New Roman" w:hAnsi="Times New Roman" w:cs="Times New Roman"/>
        </w:rPr>
        <w:t>.</w:t>
      </w:r>
    </w:p>
    <w:p w14:paraId="0390440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Precitlivenosť na salicyláty alebo na iné nesteroidné antiflogistiká (NSAID). </w:t>
      </w:r>
    </w:p>
    <w:p w14:paraId="508ED36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Výskyt bronchospazmu, astmatických príznakov, rinitídy alebo urtikárie po podaní nesteroidných antireumatík v anamnéze. </w:t>
      </w:r>
    </w:p>
    <w:p w14:paraId="1250F0D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Gastrointestinálne krvácanie v anamnéze alebo perforácia vo vzťahu k predchádzajúcej liečbe nesteroidnými antireumatikami. </w:t>
      </w:r>
    </w:p>
    <w:p w14:paraId="4634E49D" w14:textId="66F8DD4C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Aktívny alebo rekurentný peptický vred v anamnéze/gastrointestinálne hemorágie (dve alebo viac epizód dokázanej ulcerácie alebo krvácania).</w:t>
      </w:r>
    </w:p>
    <w:p w14:paraId="763339D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Poruchy hemokoagulácie alebo hemopoézy.</w:t>
      </w:r>
    </w:p>
    <w:p w14:paraId="263DFE8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Tretí trimester gravidity </w:t>
      </w:r>
    </w:p>
    <w:p w14:paraId="3359BD8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Závažné zlyh</w:t>
      </w:r>
      <w:r w:rsidR="008D7076" w:rsidRPr="006A2CB1">
        <w:rPr>
          <w:rFonts w:ascii="Times New Roman" w:hAnsi="Times New Roman" w:cs="Times New Roman"/>
          <w:sz w:val="22"/>
          <w:szCs w:val="22"/>
        </w:rPr>
        <w:t>áv</w:t>
      </w:r>
      <w:r w:rsidRPr="006A2CB1">
        <w:rPr>
          <w:rFonts w:ascii="Times New Roman" w:hAnsi="Times New Roman" w:cs="Times New Roman"/>
          <w:sz w:val="22"/>
          <w:szCs w:val="22"/>
        </w:rPr>
        <w:t>anie srdca</w:t>
      </w:r>
      <w:r w:rsidR="004058C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626B2D" w:rsidRPr="006A2CB1">
        <w:rPr>
          <w:rFonts w:ascii="Times New Roman" w:hAnsi="Times New Roman"/>
          <w:sz w:val="22"/>
          <w:szCs w:val="22"/>
        </w:rPr>
        <w:t>(</w:t>
      </w:r>
      <w:r w:rsidR="008D7076" w:rsidRPr="006A2CB1">
        <w:rPr>
          <w:rFonts w:ascii="Times New Roman" w:hAnsi="Times New Roman"/>
          <w:sz w:val="22"/>
          <w:szCs w:val="22"/>
        </w:rPr>
        <w:t>štádium</w:t>
      </w:r>
      <w:r w:rsidR="00626B2D" w:rsidRPr="006A2CB1">
        <w:rPr>
          <w:rFonts w:ascii="Times New Roman" w:hAnsi="Times New Roman"/>
          <w:sz w:val="22"/>
          <w:szCs w:val="22"/>
        </w:rPr>
        <w:t xml:space="preserve"> NYHA</w:t>
      </w:r>
      <w:r w:rsidR="008D7076" w:rsidRPr="006A2CB1">
        <w:rPr>
          <w:rFonts w:ascii="Times New Roman" w:hAnsi="Times New Roman"/>
          <w:sz w:val="22"/>
          <w:szCs w:val="22"/>
        </w:rPr>
        <w:t xml:space="preserve"> IV</w:t>
      </w:r>
      <w:r w:rsidR="00626B2D" w:rsidRPr="006A2CB1">
        <w:rPr>
          <w:rFonts w:ascii="Times New Roman" w:hAnsi="Times New Roman"/>
          <w:sz w:val="22"/>
          <w:szCs w:val="22"/>
        </w:rPr>
        <w:t>)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Pr="006A2CB1">
        <w:rPr>
          <w:rFonts w:ascii="Times New Roman" w:hAnsi="Times New Roman" w:cs="Times New Roman"/>
          <w:sz w:val="22"/>
          <w:szCs w:val="22"/>
        </w:rPr>
        <w:t>obdobie tesne pred operáciou alebo po operácii.</w:t>
      </w:r>
    </w:p>
    <w:p w14:paraId="14C8F15C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BE01FE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Osobitné upozornenia a opatrenia pri používaní</w:t>
      </w:r>
    </w:p>
    <w:p w14:paraId="6035A83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582BC52" w14:textId="77777777" w:rsidR="00701B6B" w:rsidRPr="006A2CB1" w:rsidRDefault="00701B6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dehydratovaných dospievajúcich existuje riziko </w:t>
      </w:r>
      <w:r w:rsidR="00A84E88" w:rsidRPr="006A2CB1">
        <w:rPr>
          <w:rFonts w:ascii="Times New Roman" w:hAnsi="Times New Roman" w:cs="Times New Roman"/>
          <w:sz w:val="22"/>
          <w:szCs w:val="22"/>
        </w:rPr>
        <w:t xml:space="preserve">poruchy </w:t>
      </w:r>
      <w:r w:rsidRPr="006A2CB1">
        <w:rPr>
          <w:rFonts w:ascii="Times New Roman" w:hAnsi="Times New Roman" w:cs="Times New Roman"/>
          <w:sz w:val="22"/>
          <w:szCs w:val="22"/>
        </w:rPr>
        <w:t xml:space="preserve">funkcie </w:t>
      </w:r>
      <w:r w:rsidR="00A84E88" w:rsidRPr="006A2CB1">
        <w:rPr>
          <w:rFonts w:ascii="Times New Roman" w:hAnsi="Times New Roman" w:cs="Times New Roman"/>
          <w:sz w:val="22"/>
          <w:szCs w:val="22"/>
        </w:rPr>
        <w:t>obličiek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7F38B6" w14:textId="77777777" w:rsidR="00B02F7A" w:rsidRPr="006A2CB1" w:rsidRDefault="00B02F7A">
      <w:pPr>
        <w:rPr>
          <w:rFonts w:ascii="Times New Roman" w:hAnsi="Times New Roman" w:cs="Times New Roman"/>
          <w:sz w:val="22"/>
          <w:szCs w:val="22"/>
        </w:rPr>
      </w:pPr>
    </w:p>
    <w:p w14:paraId="42AF43F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ADVIL RAPID sa nemá podávať súbežne s inými nesteroidnými antireumatikami (NSAID) vrátane selektívnych inhibítorov cyklooxygenázy.</w:t>
      </w:r>
    </w:p>
    <w:p w14:paraId="58CEDD6D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3118D1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Nežiaduce účinky možno minimalizovať podávaním najnižšej účinnej dávky a čo najkratším obdobím potrebným na liečbu príznakov (pozri časť 4.2 a GI a kardiovaskulárne riziká uvedené nižšie).</w:t>
      </w:r>
    </w:p>
    <w:p w14:paraId="235F8EA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3F0F6A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starších 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ľudí </w:t>
      </w:r>
      <w:r w:rsidRPr="006A2CB1">
        <w:rPr>
          <w:rFonts w:ascii="Times New Roman" w:hAnsi="Times New Roman" w:cs="Times New Roman"/>
          <w:sz w:val="22"/>
          <w:szCs w:val="22"/>
        </w:rPr>
        <w:t>je zvýšený výskyt nežiaducich účinkov, najmä gastrointestinálneho krvácania a perforácie, ktoré môžu byť život ohrozujúce (pozri časť 4.8).</w:t>
      </w:r>
    </w:p>
    <w:p w14:paraId="6E328DC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474E3FB" w14:textId="77777777"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Gastrointestinálne krvácanie, vredy a perforácia: GIT krvácania, ulcerácia a perforácia, ktoré môžu byť smrteľné, sú popísané u všetkých NSAID a môžu sa vyskytnúť kedykoľvek počas liečby, a to s varovnými príznakmi alebo bez nich alebo bez predchádzajúcej anamnézy závažných gastrointestinálnych príhod.</w:t>
      </w:r>
    </w:p>
    <w:p w14:paraId="335AD6F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EF4D5A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Nesteroidné antireumatiká sa musia podávať s opatrnosťou u pa</w:t>
      </w:r>
      <w:r w:rsidR="006C5310">
        <w:rPr>
          <w:rFonts w:ascii="Times New Roman" w:hAnsi="Times New Roman" w:cs="Times New Roman"/>
          <w:sz w:val="22"/>
          <w:szCs w:val="22"/>
        </w:rPr>
        <w:t xml:space="preserve">cientov s gastrointestinálnymi </w:t>
      </w:r>
      <w:r w:rsidRPr="006A2CB1">
        <w:rPr>
          <w:rFonts w:ascii="Times New Roman" w:hAnsi="Times New Roman" w:cs="Times New Roman"/>
          <w:sz w:val="22"/>
          <w:szCs w:val="22"/>
        </w:rPr>
        <w:t>chorobami v anamnéze (ulcerózna kolitída, Crohnova choroba), pretože ich stav sa môže touto liečbou zhoršiť (pozri časť 4.8).</w:t>
      </w:r>
    </w:p>
    <w:p w14:paraId="51B6774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00A134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Pacienti s gastrointestinálnou toxicitou v anamnéze, najmä v staršom veku, musia byť poučení, aby včas hlásili všetky neobvyklé gastrointestinálne príznaky (najmä gastrointestinálne krvácanie), predovšetkým na začiatku liečby.</w:t>
      </w:r>
    </w:p>
    <w:p w14:paraId="7D91EDF1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2623960" w14:textId="77777777"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Riziko gastrointestinálneho krvácania, ulcerácie a perforácie sa zvyšuje so zvyšujúcou sa dávkou NSAID, u pacientov s vredovou chorobou v anamnéze, obzvlášť ak bola komplikovaná krvácaním alebo perforáciou (pozri časť 4.3) a u starších</w:t>
      </w:r>
      <w:r w:rsidR="008F5862" w:rsidRPr="006A2CB1">
        <w:rPr>
          <w:rFonts w:ascii="Times New Roman" w:hAnsi="Times New Roman" w:cs="Times New Roman"/>
        </w:rPr>
        <w:t xml:space="preserve"> </w:t>
      </w:r>
      <w:r w:rsidR="00C83B3D" w:rsidRPr="006A2CB1">
        <w:rPr>
          <w:rFonts w:ascii="Times New Roman" w:hAnsi="Times New Roman" w:cs="Times New Roman"/>
        </w:rPr>
        <w:t>ľudí</w:t>
      </w:r>
      <w:r w:rsidRPr="006A2CB1">
        <w:rPr>
          <w:rFonts w:ascii="Times New Roman" w:hAnsi="Times New Roman" w:cs="Times New Roman"/>
        </w:rPr>
        <w:t>. U takýchto pacientov treba začať s najnižšou možnou dávkou.</w:t>
      </w:r>
    </w:p>
    <w:p w14:paraId="6D3FF768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4A03415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počas liečby ADVILOM RAPID objavia gastrointestinálne vredy alebo krvácanie (krv pri vracaní alebo krv v stolici či tmavá stolica), liečba sa musí ukončiť.</w:t>
      </w:r>
    </w:p>
    <w:p w14:paraId="79EDE06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5C67B5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 pacientov zo zvýšeným rizikom nežiaducich účinkov, medzi nich patria aj pacienti dlhodobo liečení kyselinou acetylsalicylovou v antiagregačných dávkach alebo inými liekmi zvyšujúcimi gastrointestinálne riziko (pozri časť 4.5), je vhodné zvážiť súbežné podávanie protektívnych látok </w:t>
      </w:r>
      <w:r w:rsidRPr="006A2CB1">
        <w:rPr>
          <w:rFonts w:ascii="Times New Roman" w:hAnsi="Times New Roman" w:cs="Times New Roman"/>
          <w:sz w:val="22"/>
          <w:szCs w:val="22"/>
        </w:rPr>
        <w:lastRenderedPageBreak/>
        <w:t>(napr. mizoprostol alebo inhibítory protónovej pumpy).</w:t>
      </w:r>
    </w:p>
    <w:p w14:paraId="1A760A1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D6D5C7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Zvýšenú opatrnosť je treba u pacientov liečených súbežne liekmi, ktoré môžu zvyšovať riziko ulcerácie alebo krvácania, ako sú perorálne kortikosteroidy, antikoagulanciá ako warfarín, SSRI alebo antiagregačné lieky, ako je kyselina acetylsalicylová (pozri časť 4.5).</w:t>
      </w:r>
    </w:p>
    <w:p w14:paraId="2780E16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652F6C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Klinické štúdie a epidemiologické údaje naznačujú, že používanie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najmä vo vysokých dávkach (2400 mg denne) a dlhodobo sa môže spájať s miernym zvýšením rizika arteriálnych trombotických príhod (napr. infarkt myokardu alebo cievna mozgová príhoda). Všeobecne však z epidemiologických štúdií nevyplýva, že by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nízkej dávke (napr. 1200 mg) zvyšoval riziko infarktu myokardu.</w:t>
      </w:r>
    </w:p>
    <w:p w14:paraId="07D2983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52596D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 liečbe pacientov s hypertenziou a/alebo zlyhaním srdca v anamnéze je potrebná zvýšená opatrnosť (konzultácia s lekárom alebo s lekárnikom), pretože vo vzťahu k liečbe nesteroidnými antireumatikami sa hlásili prípady retencie tekutín a edémy.</w:t>
      </w:r>
    </w:p>
    <w:p w14:paraId="7E17DC4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7469FEB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Opatrnosť je potrebná u pacientov s astmou, s kardiálnou insuficienciou, cirhózou pečene alebo inou hepatálnou alebo chronickou renálnou insuficienciou, nefrotickým syndrómom a u pacientov užívajúcich diuretiká. Dávka má byť čo najnižšia a v začiatočnej fáze liečby je potrebné monitorovať diurézu a renálne funkcie, pretože môže dôjsť k zhoršeniu funkcie obličiek. </w:t>
      </w:r>
    </w:p>
    <w:p w14:paraId="215D561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14BBD52C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 boli vo vzťahu k liečbe nesteroidnými antireumatikami hlásené závažné kožné reakcie, z ktorých niektoré boli život ohrozujúce vrátane Stevensovho-Johnsonovho syndrómu a toxickej epidermálnej nekrolýzy (pozri časť 4.8). Týmito reakciami sú najviac ohrození pacienti na začiatku liečby, začiatok reakcie sa najčastejšie objavuje v priebehu prvého mesiaca liečby. </w:t>
      </w:r>
    </w:p>
    <w:p w14:paraId="04EDAA4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CAAA04A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musí vysadiť pri prvých známkach výskytu vyrážky, léziách na sliznici alebo pri akýchkoľvek iných príznakoch precitlivenosti.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vyvolať závažné alergické reakcie najmä u ľudí alergických na kyselinu acetylsalicylovú vrátane sčervenenia kože, vyrážky alebo pľuzgierov.</w:t>
      </w:r>
    </w:p>
    <w:p w14:paraId="28D414B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Bronchospazmus môže byť vyvolaný u pacientov s astmou alebo alergickým ochorením alebo ich výskytom v anamnéze.</w:t>
      </w:r>
    </w:p>
    <w:p w14:paraId="6B2AB40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0492F55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 systémovom lupus erythematosus a niektorých kolagenózach sa zaznamenali prípady aseptickej meningitídy (pozri časť 4.8).</w:t>
      </w:r>
    </w:p>
    <w:p w14:paraId="72A9B21B" w14:textId="77777777" w:rsidR="005E1185" w:rsidRPr="006A2CB1" w:rsidRDefault="005E1185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322BB07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Existujú dôkazy o tom že lieky, ktoré inhibujú cyklooxygenázu / syntézu prostaglandínov ovplyvňujú ovuláciu, a tým môžu spôsobiť zníženie alebo poruchu ženskej plodnosti. Poškodenie je reverzibilné a odznie po ukončení liečby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(pozri časť 4.6)</w:t>
      </w:r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14:paraId="166DFA40" w14:textId="77777777" w:rsidR="004058C5" w:rsidRPr="006A2CB1" w:rsidRDefault="004058C5">
      <w:pPr>
        <w:rPr>
          <w:rFonts w:ascii="Times New Roman" w:hAnsi="Times New Roman" w:cs="Times New Roman"/>
          <w:sz w:val="22"/>
          <w:szCs w:val="22"/>
        </w:rPr>
      </w:pPr>
    </w:p>
    <w:p w14:paraId="142622B9" w14:textId="744E9967"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Klinické štúdie naznačili, že používanie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 (napr. 1 200 mg denne) boli spojené so zvýšeným rizikom arteriálnych trombotických udalostí. </w:t>
      </w:r>
    </w:p>
    <w:p w14:paraId="160ED2E6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1BD842A" w14:textId="77777777"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>Pacienti s nekontrolovanou hypertenziou, kongestívnym zlyh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>áv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aním srdca (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štádium NYHA 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II – III), diagnostikovaným ischemickým ochorením srdca, ochorením periférnych artérií a cerebrovaskulárnym ochorením majú byť liečení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om len po dôkladnom zvážení a nemajú sa používať vysoké dávky (2 400 mg denne). </w:t>
      </w:r>
    </w:p>
    <w:p w14:paraId="6E842B74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F83E611" w14:textId="77777777" w:rsidR="00626B2D" w:rsidRDefault="00626B2D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Pred začatím dlhodobej liečby pacientov s rizikovými faktormi pre vznik kardiovaskulárnych udalostí (napr. hypertenzia, hyperlipidémia, diabetes mellitus, fajčenie) je potrebné dôsledné zváženie, najmä v prípade, že sú potrebné vysoké dávky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 (2 400 mg/denne).</w:t>
      </w:r>
    </w:p>
    <w:p w14:paraId="621E0DCA" w14:textId="77777777" w:rsidR="00B73073" w:rsidRDefault="00B73073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03E2A3" w14:textId="77777777" w:rsidR="00B73073" w:rsidRPr="0064531B" w:rsidRDefault="00B73073" w:rsidP="00B73073">
      <w:pPr>
        <w:pStyle w:val="Default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64531B">
        <w:rPr>
          <w:rFonts w:ascii="Times New Roman" w:hAnsi="Times New Roman" w:cs="Times New Roman"/>
          <w:iCs/>
          <w:sz w:val="22"/>
          <w:szCs w:val="22"/>
          <w:u w:val="single"/>
        </w:rPr>
        <w:t xml:space="preserve">Závažné kožné reakcie </w:t>
      </w:r>
    </w:p>
    <w:p w14:paraId="4E1A6267" w14:textId="77777777" w:rsidR="00B73073" w:rsidRDefault="00B73073" w:rsidP="00B730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3DE56E" w14:textId="77777777" w:rsidR="00B73073" w:rsidRPr="00B73073" w:rsidRDefault="00B73073" w:rsidP="00BF35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lastRenderedPageBreak/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14:paraId="129788E7" w14:textId="77777777" w:rsidR="00C83B3D" w:rsidRPr="006A2CB1" w:rsidRDefault="00C83B3D">
      <w:pPr>
        <w:rPr>
          <w:rFonts w:ascii="Times New Roman" w:hAnsi="Times New Roman" w:cs="Times New Roman"/>
          <w:sz w:val="22"/>
          <w:szCs w:val="22"/>
        </w:rPr>
      </w:pPr>
    </w:p>
    <w:p w14:paraId="5A6BB486" w14:textId="77777777" w:rsidR="000575AC" w:rsidRPr="0064531B" w:rsidRDefault="000575AC" w:rsidP="00A902F7">
      <w:pPr>
        <w:pStyle w:val="Zkladntext"/>
        <w:rPr>
          <w:rFonts w:ascii="Times New Roman" w:hAnsi="Times New Roman" w:cs="Times New Roman"/>
        </w:rPr>
      </w:pPr>
      <w:r w:rsidRPr="0064531B">
        <w:rPr>
          <w:rFonts w:ascii="Times New Roman" w:hAnsi="Times New Roman" w:cs="Times New Roman"/>
          <w:u w:val="single" w:color="B5082D"/>
        </w:rPr>
        <w:t>Maskovanie symptómov existujúcich infekcií</w:t>
      </w:r>
    </w:p>
    <w:p w14:paraId="27C2CB49" w14:textId="77777777" w:rsidR="000575AC" w:rsidRPr="0064531B" w:rsidRDefault="000575AC" w:rsidP="0064531B">
      <w:pPr>
        <w:pStyle w:val="Zkladntext"/>
        <w:ind w:right="671"/>
        <w:rPr>
          <w:rFonts w:ascii="Times New Roman" w:hAnsi="Times New Roman" w:cs="Times New Roman"/>
          <w:u w:color="B5082D"/>
        </w:rPr>
      </w:pPr>
      <w:r w:rsidRPr="0064531B">
        <w:rPr>
          <w:rFonts w:ascii="Times New Roman" w:hAnsi="Times New Roman" w:cs="Times New Roman"/>
          <w:u w:color="B5082D"/>
        </w:rPr>
        <w:t>ADVIL RAPID môže maskovať symptómy infekcie, čo môže viesť k oneskorenému začatiu</w:t>
      </w:r>
      <w:r w:rsidRPr="0064531B">
        <w:rPr>
          <w:rFonts w:ascii="Times New Roman" w:hAnsi="Times New Roman" w:cs="Times New Roman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vhodnej liečby, a tým aj k zhoršeniu výsledku infekcie. Táto skutočnosť sa pozorovala v prípade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bakteriálnej pneumónie získanej v komunite a bakteriálnych komplikácií súvisiacich s ovčími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kiahňami. Ak sa ADVIL RAPID podáva na zníženie horúčky alebo zmiernenie bolesti súvisiacej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 xml:space="preserve">s infekciou, odporúča sa sledovanie infekcie. V podmienkach mimo nemocnice je potrebné, aby </w:t>
      </w:r>
      <w:r w:rsidRPr="0064531B">
        <w:rPr>
          <w:rFonts w:ascii="Times New Roman" w:hAnsi="Times New Roman" w:cs="Times New Roman"/>
          <w:spacing w:val="-56"/>
          <w:u w:color="B5082D"/>
        </w:rPr>
        <w:t xml:space="preserve"> </w:t>
      </w:r>
      <w:r w:rsidRPr="0064531B">
        <w:rPr>
          <w:rFonts w:ascii="Times New Roman" w:hAnsi="Times New Roman" w:cs="Times New Roman"/>
          <w:u w:color="B5082D"/>
        </w:rPr>
        <w:t>sa pacient obrátil na lekára, pokiaľ symptómy pretrvávajú alebo sa zhoršujú.</w:t>
      </w:r>
      <w:bookmarkStart w:id="0" w:name="_GoBack"/>
      <w:bookmarkEnd w:id="0"/>
    </w:p>
    <w:p w14:paraId="76FD6564" w14:textId="77777777" w:rsidR="000575AC" w:rsidRDefault="000575AC" w:rsidP="000575AC">
      <w:pPr>
        <w:rPr>
          <w:rFonts w:ascii="Times New Roman" w:hAnsi="Times New Roman" w:cs="Times New Roman"/>
          <w:sz w:val="22"/>
          <w:szCs w:val="22"/>
        </w:rPr>
      </w:pPr>
    </w:p>
    <w:p w14:paraId="72279E2B" w14:textId="2FF0EC53" w:rsidR="000575AC" w:rsidRPr="00273AAE" w:rsidRDefault="005E1185" w:rsidP="000575AC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ADVIL RAPID obsahuje</w:t>
      </w:r>
      <w:r w:rsidR="002C28D2">
        <w:rPr>
          <w:rFonts w:ascii="Times New Roman" w:hAnsi="Times New Roman" w:cs="Times New Roman"/>
          <w:sz w:val="22"/>
          <w:szCs w:val="22"/>
        </w:rPr>
        <w:t xml:space="preserve"> približne </w:t>
      </w:r>
      <w:r w:rsidR="00A902F7">
        <w:rPr>
          <w:rFonts w:ascii="Times New Roman" w:hAnsi="Times New Roman" w:cs="Times New Roman"/>
          <w:sz w:val="22"/>
          <w:szCs w:val="22"/>
        </w:rPr>
        <w:t>8</w:t>
      </w:r>
      <w:r w:rsidR="002C28D2">
        <w:rPr>
          <w:rFonts w:ascii="Times New Roman" w:hAnsi="Times New Roman" w:cs="Times New Roman"/>
          <w:sz w:val="22"/>
          <w:szCs w:val="22"/>
        </w:rPr>
        <w:t>0</w:t>
      </w:r>
      <w:r w:rsidR="000575AC">
        <w:rPr>
          <w:rFonts w:ascii="Times New Roman" w:hAnsi="Times New Roman" w:cs="Times New Roman"/>
          <w:sz w:val="22"/>
          <w:szCs w:val="22"/>
        </w:rPr>
        <w:t xml:space="preserve"> mg</w:t>
      </w:r>
      <w:r w:rsidRPr="006A2CB1">
        <w:rPr>
          <w:rFonts w:ascii="Times New Roman" w:hAnsi="Times New Roman" w:cs="Times New Roman"/>
          <w:sz w:val="22"/>
          <w:szCs w:val="22"/>
        </w:rPr>
        <w:t xml:space="preserve"> sorbitol</w:t>
      </w:r>
      <w:r w:rsidR="000575AC">
        <w:rPr>
          <w:rFonts w:ascii="Times New Roman" w:hAnsi="Times New Roman" w:cs="Times New Roman"/>
          <w:sz w:val="22"/>
          <w:szCs w:val="22"/>
        </w:rPr>
        <w:t>u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0575AC">
        <w:rPr>
          <w:rFonts w:ascii="Times New Roman" w:hAnsi="Times New Roman" w:cs="Times New Roman"/>
          <w:sz w:val="22"/>
          <w:szCs w:val="22"/>
        </w:rPr>
        <w:t>v každej kapsule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Pacienti</w:t>
      </w:r>
      <w:r w:rsidR="000575AC" w:rsidRPr="00A06CA4">
        <w:rPr>
          <w:rFonts w:ascii="Times New Roman" w:hAnsi="Times New Roman" w:cs="Times New Roman"/>
          <w:spacing w:val="-23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s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hereditárnou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intoleranciou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fruktózy</w:t>
      </w:r>
      <w:r w:rsidR="000575AC" w:rsidRPr="00A06CA4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(HFI) nesmú</w:t>
      </w:r>
      <w:r w:rsidR="000575AC" w:rsidRPr="00A06CA4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užiť</w:t>
      </w:r>
      <w:r w:rsidR="000575AC" w:rsidRPr="00A06CA4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tento</w:t>
      </w:r>
      <w:r w:rsidR="000575AC" w:rsidRPr="00A06CA4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0575AC" w:rsidRPr="00A06CA4">
        <w:rPr>
          <w:rFonts w:ascii="Times New Roman" w:hAnsi="Times New Roman" w:cs="Times New Roman"/>
          <w:w w:val="105"/>
          <w:sz w:val="22"/>
          <w:szCs w:val="22"/>
        </w:rPr>
        <w:t>liek.</w:t>
      </w:r>
    </w:p>
    <w:p w14:paraId="74EBC6BD" w14:textId="37E76545" w:rsidR="000575AC" w:rsidRPr="00A06CA4" w:rsidRDefault="000575AC" w:rsidP="000575AC">
      <w:pPr>
        <w:pStyle w:val="TableParagraph"/>
        <w:spacing w:before="0"/>
        <w:ind w:left="0" w:right="69"/>
        <w:rPr>
          <w:rFonts w:ascii="Times New Roman" w:hAnsi="Times New Roman" w:cs="Times New Roman"/>
          <w:w w:val="105"/>
          <w:lang w:val="sk-SK"/>
        </w:rPr>
      </w:pPr>
      <w:r w:rsidRPr="00A06CA4">
        <w:rPr>
          <w:rFonts w:ascii="Times New Roman" w:hAnsi="Times New Roman" w:cs="Times New Roman"/>
          <w:w w:val="105"/>
          <w:lang w:val="sk-SK"/>
        </w:rPr>
        <w:t>Musí sa vziať do úvahy aditívny účinok súbežne podávaných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liekov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obsahujúcich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sorbitol</w:t>
      </w:r>
      <w:r w:rsidRPr="00A06CA4">
        <w:rPr>
          <w:rFonts w:ascii="Times New Roman" w:hAnsi="Times New Roman" w:cs="Times New Roman"/>
          <w:spacing w:val="-26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(alebo</w:t>
      </w:r>
      <w:r w:rsidRPr="00A06CA4">
        <w:rPr>
          <w:rFonts w:ascii="Times New Roman" w:hAnsi="Times New Roman" w:cs="Times New Roman"/>
          <w:spacing w:val="-25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fruktózu) a príjem sorbitolu (alebo fruktózy) v</w:t>
      </w:r>
      <w:r w:rsidRPr="00A06CA4">
        <w:rPr>
          <w:rFonts w:ascii="Times New Roman" w:hAnsi="Times New Roman" w:cs="Times New Roman"/>
          <w:spacing w:val="-34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strave.</w:t>
      </w:r>
      <w:r>
        <w:rPr>
          <w:rFonts w:ascii="Times New Roman" w:hAnsi="Times New Roman" w:cs="Times New Roman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Obsah sorbitolu v liekoch na perorálne použitie môže ovplyvniť</w:t>
      </w:r>
      <w:r w:rsidRPr="00A06CA4">
        <w:rPr>
          <w:rFonts w:ascii="Times New Roman" w:hAnsi="Times New Roman" w:cs="Times New Roman"/>
          <w:spacing w:val="-22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biologickú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dostupnosť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iných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liekov</w:t>
      </w:r>
      <w:r w:rsidRPr="00A06CA4">
        <w:rPr>
          <w:rFonts w:ascii="Times New Roman" w:hAnsi="Times New Roman" w:cs="Times New Roman"/>
          <w:spacing w:val="-21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na</w:t>
      </w:r>
      <w:r w:rsidRPr="00A06CA4">
        <w:rPr>
          <w:rFonts w:ascii="Times New Roman" w:hAnsi="Times New Roman" w:cs="Times New Roman"/>
          <w:spacing w:val="-22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perorálne použitie podávaných</w:t>
      </w:r>
      <w:r w:rsidRPr="00A06CA4">
        <w:rPr>
          <w:rFonts w:ascii="Times New Roman" w:hAnsi="Times New Roman" w:cs="Times New Roman"/>
          <w:spacing w:val="-8"/>
          <w:w w:val="105"/>
          <w:lang w:val="sk-SK"/>
        </w:rPr>
        <w:t xml:space="preserve"> </w:t>
      </w:r>
      <w:r w:rsidRPr="00A06CA4">
        <w:rPr>
          <w:rFonts w:ascii="Times New Roman" w:hAnsi="Times New Roman" w:cs="Times New Roman"/>
          <w:w w:val="105"/>
          <w:lang w:val="sk-SK"/>
        </w:rPr>
        <w:t>súbežne.</w:t>
      </w:r>
    </w:p>
    <w:p w14:paraId="143428E3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3011596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24A0264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Liekové a iné interakcie</w:t>
      </w:r>
    </w:p>
    <w:p w14:paraId="2EE850E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2175484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U pacientov liečených niektorým z nasledovných liekov sa má postupovať s opatrnosťou, pretože u niektorých pacientov sa hlásili interakcie.</w:t>
      </w:r>
    </w:p>
    <w:p w14:paraId="2B6182E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6E7FF4F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Iné analgetiká: súbežné podanie kyseliny acetylsalicylovej</w:t>
      </w:r>
      <w:r w:rsidRPr="006A2CB1">
        <w:rPr>
          <w:sz w:val="20"/>
          <w:szCs w:val="2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a iných NSAID môže mať za následok zvýšenie výskytu nežiaducich účinkov. Opatrnosť je potrebná, ak sa kyselina acetylsalicylová užíva na prevenciu pred infarktom alebo mozgovou príhodou (v kardiologickej indikácii), lebo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znížiť prínos jej užívania. Ak sa kyselina acetylsalicylová podáva ako antiagregans, je potrebné zohľadniť riziko gastrointestinálneho krvácania (pozri časť 4.4).</w:t>
      </w:r>
    </w:p>
    <w:p w14:paraId="1D3A4B4C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0677507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Antikoagulanciá: zvýšený antikoagulačný účinok.</w:t>
      </w:r>
      <w:r w:rsidRPr="006A2CB1">
        <w:rPr>
          <w:rFonts w:ascii="Times New Roman" w:hAnsi="Times New Roman" w:cs="Times New Roman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Pri užívaní antikoagulancií, napr. warfarínu je potrebné zohľadniť, že dlhodobé podávanie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 môže zvýšiť riziko krvácania (pozri časť 4.4).</w:t>
      </w:r>
    </w:p>
    <w:p w14:paraId="7C018640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18836FD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Antihypertenzíva: znížený antihypertenzný účinok.</w:t>
      </w:r>
    </w:p>
    <w:p w14:paraId="41B27DEC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7795A3CB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Lítium: znížené vylučovanie lítia.</w:t>
      </w:r>
    </w:p>
    <w:p w14:paraId="42B99383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45CF0AA" w14:textId="77777777" w:rsidR="005E1185" w:rsidRPr="006A2CB1" w:rsidRDefault="009C6992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zvyšovať farmakologicky aktívny voľný fenytoín. Pacienti dlhodobo užívajúci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majú byť sledovaní.</w:t>
      </w:r>
    </w:p>
    <w:p w14:paraId="5C898F0F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24422278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Kardioglykozidy: NSAID môžu exacerbovať zlyhanie srdca, znížiť GFR a zvýšiť hladiny glykozidov v plazme. U pacientov so zníženou renálnou funkciou alebo kongestívnym zlyhaním srdca sa preto majú sledovať koncentrácie digoxínu v sére.</w:t>
      </w:r>
    </w:p>
    <w:p w14:paraId="18311E47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2F63449D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Metotrexát: znížená eliminácia metotrexátu. Súbežné podávanie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 so strednými až vysokými dávkami metotrexátu môže viesť k závažnej až fatálnej toxicite metotrexátom. Pacienti so zníženou funkciou obličiek môžu mať zvýšené riziko toxicity z tejto kombinácie, aj keď užívajú nízke dávky metotrexátu (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>&lt;</w:t>
      </w:r>
      <w:r w:rsidR="000575AC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20</w:t>
      </w:r>
      <w:r w:rsidR="005D25A8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 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mg/týždeň).</w:t>
      </w:r>
    </w:p>
    <w:p w14:paraId="0E4C0511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156B2256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Kortikosteroidy: zvýšené riziko krvácania do gastrointestinálneho traktu a ulcerácie.</w:t>
      </w:r>
    </w:p>
    <w:p w14:paraId="4A1109D2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0AB28932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Cyklosporín: zvýšené riziko krvácania do gastrointestinálneho traktu (pozri časť 4.4).</w:t>
      </w:r>
    </w:p>
    <w:p w14:paraId="7E45F6B6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5D16A31F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Selektívne inhibítory spätného vychytávania sérotonínu (SSRI): zvýšené riziko GI krvácania (pozri časť 4.4).</w:t>
      </w:r>
    </w:p>
    <w:p w14:paraId="487CB19B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72B65CE0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Mifepriston: NSAID sa nemajú užívať 8</w:t>
      </w:r>
      <w:r w:rsidR="000C2C4A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-</w:t>
      </w:r>
      <w:r w:rsidR="000C2C4A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12 dní po mifepristone, pretože NSAID môžu znížiť jeho účinok.</w:t>
      </w:r>
    </w:p>
    <w:p w14:paraId="5915E7D9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386C4E05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Diuretiká: znížený účinok tiazidových diuretík.</w:t>
      </w:r>
    </w:p>
    <w:p w14:paraId="2DF9D5A8" w14:textId="77777777"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14:paraId="64865E94" w14:textId="77777777"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Niektoré antacidá môžu predlžovať gastrointestinálnu absorpciu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u. Považuje sa to za klinicky významné najmä počas dlhodobej liečby </w:t>
      </w:r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om.</w:t>
      </w:r>
    </w:p>
    <w:p w14:paraId="11E737B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517385" w14:textId="77777777" w:rsidR="005E1185" w:rsidRPr="006A2CB1" w:rsidRDefault="005E1185" w:rsidP="0035702D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inhibovať účinok nízkej dávky kyseliny acetylsalicylovej na agregáciu doštičiek, keď sa podávajú súbežne. Limitácie týchto údajov a neistoty extrapolácie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vivo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a žiadny klinicky významný účinok sa nepovažuje za pravdepodobný pri príležitostnom použití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(pozri časť 5.1).</w:t>
      </w:r>
    </w:p>
    <w:p w14:paraId="45C9A1D0" w14:textId="77777777" w:rsidR="004058C5" w:rsidRPr="006A2CB1" w:rsidRDefault="004058C5" w:rsidP="0035702D">
      <w:pPr>
        <w:rPr>
          <w:rFonts w:ascii="Times New Roman" w:hAnsi="Times New Roman" w:cs="Times New Roman"/>
          <w:sz w:val="22"/>
          <w:szCs w:val="22"/>
        </w:rPr>
      </w:pPr>
    </w:p>
    <w:p w14:paraId="63518300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Kyselina acetylsalicylová </w:t>
      </w:r>
    </w:p>
    <w:p w14:paraId="491B7A0E" w14:textId="77777777"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Súčasné podávanie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u a kyseliny acetylsalicylovej sa neodporúča z dôvodu možných zvýšených nežiaducich udalostí. </w:t>
      </w:r>
    </w:p>
    <w:p w14:paraId="3E2649DF" w14:textId="77777777"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môže pri súčasnom dávkovaní kompetitívne inhibovať účinok nízkej dávky kyseliny acetylsalicylovej na agregáciu trombocytov. Hoci existujú nejasnosti </w:t>
      </w:r>
      <w:r w:rsidRPr="006A2CB1">
        <w:rPr>
          <w:rFonts w:ascii="Times New Roman" w:hAnsi="Times New Roman" w:cs="Times New Roman"/>
          <w:sz w:val="22"/>
          <w:szCs w:val="22"/>
        </w:rPr>
        <w:t xml:space="preserve">s ohľadom na extrapoláciu týchto údajov na klinickú situáciu, nedá sa vylúčiť možnosť, že pravidelné, dlhodobé používanie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14:paraId="5DECC13C" w14:textId="77777777" w:rsidR="005E1185" w:rsidRPr="006A2CB1" w:rsidRDefault="005E1185" w:rsidP="002A4366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BDF0BD" w14:textId="77777777" w:rsidR="005E1185" w:rsidRPr="006A2CB1" w:rsidRDefault="005E1185" w:rsidP="000979E0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Fertilita, gravidita a laktácia</w:t>
      </w:r>
    </w:p>
    <w:p w14:paraId="37C9699D" w14:textId="77777777" w:rsidR="005E1185" w:rsidRPr="006A2CB1" w:rsidRDefault="005E1185" w:rsidP="008F5862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4E5758A" w14:textId="77777777" w:rsidR="00275AAB" w:rsidRPr="006A2CB1" w:rsidRDefault="00275AAB" w:rsidP="00275AAB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  <w:color w:val="000000"/>
        </w:rPr>
        <w:t>Fertilita</w:t>
      </w:r>
    </w:p>
    <w:p w14:paraId="31DB103E" w14:textId="77777777" w:rsidR="00275AAB" w:rsidRPr="006A2CB1" w:rsidRDefault="00275AAB" w:rsidP="00275A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Existujú dôkazy, že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lieky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ktoré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inhibujú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syntézu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cyklooxygenázy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/prostaglandínov, môžu spôsobiť </w:t>
      </w:r>
      <w:r w:rsidR="004E576B"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zníženie 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ženskej plodnosti pôsobením na ovuláciu. Toto poškodenie je reverzibilné a odznie po ukončení liečby.</w:t>
      </w:r>
    </w:p>
    <w:p w14:paraId="3C0ADD96" w14:textId="77777777" w:rsidR="00275AAB" w:rsidRPr="006A2CB1" w:rsidRDefault="00275AAB" w:rsidP="0035702D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</w:p>
    <w:p w14:paraId="07E38CC7" w14:textId="77777777" w:rsidR="005E1185" w:rsidRPr="006A2CB1" w:rsidRDefault="005E1185" w:rsidP="002A4366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Gravidita</w:t>
      </w:r>
    </w:p>
    <w:p w14:paraId="3F9C5422" w14:textId="77777777" w:rsidR="003856DB" w:rsidRPr="006A2CB1" w:rsidRDefault="005E1185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Inhibícia syntézy prostaglandínov môže nepriaznivo ovplyvňovať graviditu a vývoj embrya alebo plodu. Údaje z epidemiologických štúdií poukazujú na zvýšené riziko potratov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 a</w:t>
      </w:r>
      <w:r w:rsidRPr="006A2CB1">
        <w:rPr>
          <w:rFonts w:ascii="Times New Roman" w:hAnsi="Times New Roman" w:cs="Times New Roman"/>
          <w:sz w:val="22"/>
          <w:szCs w:val="22"/>
        </w:rPr>
        <w:t xml:space="preserve"> kardiálnych malformácií po užívaní inhibítorov syntézy prostaglandínov v začiatkoch gravidity. Absolútne riziko kardiovaskulárnych malformácií sa zvýšilo z menej ako 1 % na približne 1,5 %. Predpokladá sa, že sa riziko zvyšuje s dávkou a dĺžkou terapie. U zvierat podávanie inhibítorov syntézy prostaglandínov ukázalo zvýšenie pre- a postimplantačných strát a embryo-fetálnu letalitu. 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Okrem toho 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zvierat, ktoré dostávali počas organogenézy inhibítory syntézy prostaglandínov, bola opísaná zvýšená incidencia rôznych malformácií, vrátane kardiovaskulárnych. Pokiaľ to nie je jednoznačne nevyhnutné,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sa nemá podávať počas prvého a druhého trimestra gravidity. Ak ibuprofén užíva žena, ktorá sa snaží otehotnieť alebo žena v prvom alebo druhom trimestri gravidity, má užívať nízke dávky a liečba má byť čo najkratšia. </w:t>
      </w:r>
    </w:p>
    <w:p w14:paraId="6B546BC6" w14:textId="77777777" w:rsidR="003856DB" w:rsidRPr="006A2CB1" w:rsidRDefault="003856DB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užíva počas prvého </w:t>
      </w:r>
      <w:r w:rsidR="005E1185" w:rsidRPr="006A2CB1">
        <w:rPr>
          <w:rFonts w:ascii="Times New Roman" w:hAnsi="Times New Roman" w:cs="Times New Roman"/>
          <w:sz w:val="22"/>
          <w:szCs w:val="22"/>
        </w:rPr>
        <w:t>trimestr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gravidity všetky inhibítory syntézy prostaglandínov </w:t>
      </w:r>
      <w:r w:rsidRPr="006A2CB1">
        <w:rPr>
          <w:rFonts w:ascii="Times New Roman" w:hAnsi="Times New Roman" w:cs="Times New Roman"/>
          <w:sz w:val="22"/>
          <w:szCs w:val="22"/>
        </w:rPr>
        <w:t>môžu spôsobiť nasledovné nežiaduce účinky:</w:t>
      </w:r>
    </w:p>
    <w:p w14:paraId="20B77973" w14:textId="77777777" w:rsidR="003856DB" w:rsidRPr="006A2CB1" w:rsidRDefault="003856DB" w:rsidP="008F5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plodu:</w:t>
      </w:r>
    </w:p>
    <w:p w14:paraId="39BB079F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kardiovaskulárn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toxicit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(s predčasným uzáverom ductus arteriosus a pulmonálnou hypertenziou) </w:t>
      </w:r>
    </w:p>
    <w:p w14:paraId="5720263E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renáln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ktorá môže progredovať do poškodenia obličiek s oligohydramniónom </w:t>
      </w:r>
    </w:p>
    <w:p w14:paraId="0767FD4E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matky a dieťaťa na konci gravidity:</w:t>
      </w:r>
    </w:p>
    <w:p w14:paraId="3B6D5893" w14:textId="77777777"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možné predĺženi</w:t>
      </w:r>
      <w:r w:rsidRPr="006A2CB1">
        <w:rPr>
          <w:rFonts w:ascii="Times New Roman" w:hAnsi="Times New Roman" w:cs="Times New Roman"/>
          <w:sz w:val="22"/>
          <w:szCs w:val="22"/>
        </w:rPr>
        <w:t>e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času krvácania </w:t>
      </w:r>
    </w:p>
    <w:p w14:paraId="6CEBE4EE" w14:textId="77777777" w:rsidR="005E1185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inhibíci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kontrakcií maternice rezultujúcich do oneskoreného alebo predĺženého pôrodu.</w:t>
      </w:r>
    </w:p>
    <w:p w14:paraId="30BA5D0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dôsledku toho je </w:t>
      </w:r>
      <w:r w:rsidR="003856DB" w:rsidRPr="006A2CB1">
        <w:rPr>
          <w:rFonts w:ascii="Times New Roman" w:hAnsi="Times New Roman" w:cs="Times New Roman"/>
          <w:sz w:val="22"/>
          <w:szCs w:val="22"/>
        </w:rPr>
        <w:t xml:space="preserve">ADVIL RAPID </w:t>
      </w:r>
      <w:r w:rsidRPr="006A2CB1">
        <w:rPr>
          <w:rFonts w:ascii="Times New Roman" w:hAnsi="Times New Roman" w:cs="Times New Roman"/>
          <w:sz w:val="22"/>
          <w:szCs w:val="22"/>
        </w:rPr>
        <w:t>kontraindikovaný v treťom trimestri gravidity.</w:t>
      </w:r>
    </w:p>
    <w:p w14:paraId="788F6BA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21892F" w14:textId="77777777" w:rsidR="00626B2D" w:rsidRPr="006A2CB1" w:rsidRDefault="004058C5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bCs/>
          <w:i/>
          <w:iCs/>
          <w:sz w:val="22"/>
          <w:szCs w:val="22"/>
        </w:rPr>
        <w:t>Dojčenie</w:t>
      </w:r>
    </w:p>
    <w:p w14:paraId="6E98ADC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Malé množstvo liečiva,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a jeho metabolitov sa vylučuje do materského mlieka. </w:t>
      </w:r>
      <w:r w:rsidR="00626B2D" w:rsidRPr="006A2CB1">
        <w:rPr>
          <w:rFonts w:ascii="Times New Roman" w:hAnsi="Times New Roman" w:cs="Times New Roman"/>
          <w:sz w:val="22"/>
          <w:szCs w:val="22"/>
        </w:rPr>
        <w:t>Keď</w:t>
      </w:r>
      <w:r w:rsidRPr="006A2CB1">
        <w:rPr>
          <w:rFonts w:ascii="Times New Roman" w:hAnsi="Times New Roman" w:cs="Times New Roman"/>
          <w:sz w:val="22"/>
          <w:szCs w:val="22"/>
        </w:rPr>
        <w:t>že</w:t>
      </w:r>
    </w:p>
    <w:p w14:paraId="7250C0F4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dosiaľ nie sú známe 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nežiaduce </w:t>
      </w:r>
      <w:r w:rsidRPr="006A2CB1">
        <w:rPr>
          <w:rFonts w:ascii="Times New Roman" w:hAnsi="Times New Roman" w:cs="Times New Roman"/>
          <w:sz w:val="22"/>
          <w:szCs w:val="22"/>
        </w:rPr>
        <w:t xml:space="preserve">účinky na dojča, pri krátkodobej liečbe nie je potrebné prerušiť dojčenie. Ak je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14:paraId="1F073A11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734B678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4.7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Ovplyvnenie schopnosti viesť vozidlá a obsluhovať stroje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2ECF9F9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29BC37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 užití NSAID sú možnými nežiaducimi účinkami závrat a bolesť hlavy. Ak sa prejavia, pacient nemá viesť vozidlo alebo obsluhovať stroje. </w:t>
      </w:r>
    </w:p>
    <w:p w14:paraId="522686CF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B0EA4B8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Nežiaduce účinky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BD1E16F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DC2612C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Nežiaduce účinky uvedené v tejto časti sa týkajú krátkodobého podávania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 v uvedených indikáciách. Pri dlhodobej liečbe je potrebné zvážiť výskyt ďalších nežiaducich účinkov.</w:t>
      </w:r>
    </w:p>
    <w:p w14:paraId="5516CCF2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6C13268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Najčastejšie pozorované nežiaduce účinky sú gastrointestinálne. Môžu sa objaviť peptické vredy, perforácie alebo gastrointestinálne krvácanie, niekedy fatálne, najmä u starších osôb (pozri časť 4.4).</w:t>
      </w:r>
    </w:p>
    <w:p w14:paraId="1CB7BF76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5038D92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S používaním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môžu súvisieť nežiaduce účinky, ktoré sú uvedené pod príslušnou triedou orgánových systémov </w:t>
      </w:r>
      <w:r w:rsidR="004E576B" w:rsidRPr="006A2CB1">
        <w:rPr>
          <w:rFonts w:ascii="Times New Roman" w:hAnsi="Times New Roman" w:cs="Times New Roman"/>
          <w:sz w:val="22"/>
          <w:szCs w:val="22"/>
        </w:rPr>
        <w:t>podľa Me</w:t>
      </w:r>
      <w:r w:rsidR="008E2569" w:rsidRPr="006A2CB1">
        <w:rPr>
          <w:rFonts w:ascii="Times New Roman" w:hAnsi="Times New Roman" w:cs="Times New Roman"/>
          <w:sz w:val="22"/>
          <w:szCs w:val="22"/>
        </w:rPr>
        <w:t>d</w:t>
      </w:r>
      <w:r w:rsidR="004E576B" w:rsidRPr="006A2CB1">
        <w:rPr>
          <w:rFonts w:ascii="Times New Roman" w:hAnsi="Times New Roman" w:cs="Times New Roman"/>
          <w:sz w:val="22"/>
          <w:szCs w:val="22"/>
        </w:rPr>
        <w:t xml:space="preserve">DRA </w:t>
      </w:r>
      <w:r w:rsidRPr="006A2CB1">
        <w:rPr>
          <w:rFonts w:ascii="Times New Roman" w:hAnsi="Times New Roman" w:cs="Times New Roman"/>
          <w:sz w:val="22"/>
          <w:szCs w:val="22"/>
        </w:rPr>
        <w:t>a na základe nasledovných frekvencií výskytu:</w:t>
      </w:r>
    </w:p>
    <w:p w14:paraId="2FEE7080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695EAA1A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Veľmi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1/10)</w:t>
      </w:r>
    </w:p>
    <w:p w14:paraId="6FB08BD9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Časté:       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 až &lt;1/10)</w:t>
      </w:r>
    </w:p>
    <w:p w14:paraId="62F1ECF4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Menej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1/1000 až &lt;1/100)</w:t>
      </w:r>
    </w:p>
    <w:p w14:paraId="761C46D8" w14:textId="77777777"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Zriedkavé: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1/10 000 až &lt;1/1000)</w:t>
      </w:r>
    </w:p>
    <w:p w14:paraId="35D6D67D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  <w:lang w:eastAsia="cs-CZ"/>
        </w:rPr>
        <w:t xml:space="preserve">Veľmi zriedkavé: </w:t>
      </w:r>
      <w:r w:rsidRPr="006A2CB1">
        <w:rPr>
          <w:rFonts w:ascii="Times New Roman" w:hAnsi="Times New Roman" w:cs="Times New Roman"/>
          <w:sz w:val="22"/>
          <w:szCs w:val="22"/>
          <w:lang w:eastAsia="cs-CZ"/>
        </w:rPr>
        <w:tab/>
        <w:t>(&lt;1/10 000), neznáme (z dostupných údajov)</w:t>
      </w:r>
    </w:p>
    <w:p w14:paraId="0DEF435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14:paraId="2EF82B57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Infekcie a nákazy</w:t>
      </w:r>
    </w:p>
    <w:p w14:paraId="01A3794F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zriedkavé: aseptická meningitída (najmä u pacientov so systémovým lupus </w:t>
      </w:r>
      <w:r w:rsidR="00F936C7" w:rsidRPr="006A2CB1">
        <w:rPr>
          <w:rFonts w:ascii="Times New Roman" w:hAnsi="Times New Roman" w:cs="Times New Roman"/>
          <w:sz w:val="22"/>
          <w:szCs w:val="22"/>
        </w:rPr>
        <w:t>erythematosus</w:t>
      </w:r>
      <w:r w:rsidRPr="006A2CB1">
        <w:rPr>
          <w:rFonts w:ascii="Times New Roman" w:hAnsi="Times New Roman" w:cs="Times New Roman"/>
          <w:sz w:val="22"/>
          <w:szCs w:val="22"/>
        </w:rPr>
        <w:t xml:space="preserve"> a u niektorých kolagenóz), meningitída.</w:t>
      </w:r>
    </w:p>
    <w:p w14:paraId="777170D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603ABB9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krvi a lymfatického systému</w:t>
      </w:r>
    </w:p>
    <w:p w14:paraId="65DFAAB3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aplastická anémia, hemolytická anémia, agranulocytóza, leukopénia, trombocytopénia, anémia</w:t>
      </w:r>
    </w:p>
    <w:p w14:paraId="50A494B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4E9AB02" w14:textId="77777777"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imunitného systému</w:t>
      </w:r>
    </w:p>
    <w:p w14:paraId="235261F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precitlivenosť (alergická reakcia)</w:t>
      </w:r>
    </w:p>
    <w:p w14:paraId="2A850C56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anafylaktická reakcia</w:t>
      </w:r>
    </w:p>
    <w:p w14:paraId="4D36FD4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19F9C4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Psychiatrické poruchy </w:t>
      </w:r>
    </w:p>
    <w:p w14:paraId="733B49E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nervozita</w:t>
      </w:r>
    </w:p>
    <w:p w14:paraId="448FE5C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F6F1E05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nervového systému</w:t>
      </w:r>
    </w:p>
    <w:p w14:paraId="44DF830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závrat, bolesť hlavy, cievna mozgová príhoda</w:t>
      </w:r>
    </w:p>
    <w:p w14:paraId="4DB27BE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3476CDC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oka</w:t>
      </w:r>
    </w:p>
    <w:p w14:paraId="7628130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poruchy zraku (abnormálne videnie alebo zmeny videnia)</w:t>
      </w:r>
    </w:p>
    <w:p w14:paraId="7A6DFA75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682E4653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ucha a labyrintu</w:t>
      </w:r>
    </w:p>
    <w:p w14:paraId="524CC6A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Zriedkavé: tinnitus, vertigo</w:t>
      </w:r>
    </w:p>
    <w:p w14:paraId="666EC39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42529BE0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srdca a srdcovej činnosti</w:t>
      </w:r>
    </w:p>
    <w:p w14:paraId="7632AB4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lastRenderedPageBreak/>
        <w:t>Veľmi zriedkavé: zlyhanie srdca, infarkt myokardu, angina pectoris</w:t>
      </w:r>
    </w:p>
    <w:p w14:paraId="10E29B64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Klinické skúšania a epidemiologické údaje naznačujú, že používanie ibuprofénu (najmä vysokých dávok 2400 mg denne) a dlhodobá liečba môže súvisieť s malým zvýšením rizika arteriálnych trombotických príhod (napr. infarkt myokardu alebo mozgová príhoda) (pozri časť 4.4).</w:t>
      </w:r>
    </w:p>
    <w:p w14:paraId="60700CE4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45AB5E32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ciev</w:t>
      </w:r>
    </w:p>
    <w:p w14:paraId="5A49760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hypertenzia</w:t>
      </w:r>
    </w:p>
    <w:p w14:paraId="4F430BB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5A26603F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dýchacej sústavy, hrudníka a mediastína</w:t>
      </w:r>
    </w:p>
    <w:p w14:paraId="0D47442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bronchospazmus, astma</w:t>
      </w:r>
    </w:p>
    <w:p w14:paraId="020D676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dyspnoe, sipot</w:t>
      </w:r>
    </w:p>
    <w:p w14:paraId="5744A3D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7F4E95F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gastrointestinálneho traktu</w:t>
      </w:r>
    </w:p>
    <w:p w14:paraId="04DC4FA5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dyspepsia (pálenie záhy alebo poruchy trávenia), bolesť brucha, nevoľnosť</w:t>
      </w:r>
    </w:p>
    <w:p w14:paraId="12E82CD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vracanie, hnačka, napätie podbrušia (nadúvanie), zápcha </w:t>
      </w:r>
    </w:p>
    <w:p w14:paraId="700DA51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gastrointestinálna perforácia, hemateméza, gastrointestinálna hemorágia, gastrointestinálne vredy, gastritída, zhoršenie kolitídy a Crohnovej choroby (pozri časť 4.4), bolesť nadbrušia, meléna, tvorba vredov v ústach (ulceratívna stomatitída)</w:t>
      </w:r>
    </w:p>
    <w:p w14:paraId="5682A9BC" w14:textId="77777777" w:rsidR="005E1185" w:rsidRPr="006A2CB1" w:rsidRDefault="005E1185">
      <w:pPr>
        <w:pStyle w:val="Zkladntext"/>
        <w:rPr>
          <w:rFonts w:ascii="Times New Roman" w:hAnsi="Times New Roman" w:cs="Times New Roman"/>
          <w:b/>
          <w:bCs/>
        </w:rPr>
      </w:pPr>
    </w:p>
    <w:p w14:paraId="6DB6776C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pečene a žlčových ciest</w:t>
      </w:r>
    </w:p>
    <w:p w14:paraId="0C105A2E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porucha pečene (hepatická dysfunkcia), hepatitída a žltačka.</w:t>
      </w:r>
    </w:p>
    <w:p w14:paraId="6A605892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0D32CC4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kože a podkožného tkaniva</w:t>
      </w:r>
    </w:p>
    <w:p w14:paraId="70D3A791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Zriedkavé: angioneurotický edém</w:t>
      </w:r>
    </w:p>
    <w:p w14:paraId="02D05579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toxická epidermálna nekrolýza, bulózne dermatózy, multiformný erytém, Stevensov-Johnsonov syndróm, opuch tváre, makulopapulárna vyrážka, kožný exantém, žihľavka, pruritus</w:t>
      </w:r>
    </w:p>
    <w:p w14:paraId="0D6BB6BC" w14:textId="77777777" w:rsidR="00B73073" w:rsidRPr="00BF2FDA" w:rsidRDefault="009C6992" w:rsidP="00B73073">
      <w:pPr>
        <w:pStyle w:val="Default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Neznáme: </w:t>
      </w:r>
      <w:r w:rsidRPr="006A2CB1">
        <w:rPr>
          <w:rFonts w:ascii="Times New Roman" w:hAnsi="Times New Roman" w:cs="Times New Roman"/>
          <w:bCs/>
          <w:sz w:val="22"/>
          <w:szCs w:val="22"/>
        </w:rPr>
        <w:t>lieková reakcia s eozinofíliou a systémovými príznakmi (syndróm DRESS)</w:t>
      </w:r>
      <w:r w:rsidR="00B7307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73073" w:rsidRPr="00BF2FDA">
        <w:rPr>
          <w:rFonts w:ascii="Times New Roman" w:hAnsi="Times New Roman" w:cs="Times New Roman"/>
          <w:sz w:val="22"/>
          <w:szCs w:val="22"/>
        </w:rPr>
        <w:t>akútna</w:t>
      </w:r>
      <w:r w:rsidR="00813E78">
        <w:rPr>
          <w:rFonts w:ascii="Times New Roman" w:hAnsi="Times New Roman" w:cs="Times New Roman"/>
          <w:sz w:val="22"/>
          <w:szCs w:val="22"/>
        </w:rPr>
        <w:t xml:space="preserve"> </w:t>
      </w:r>
      <w:r w:rsidR="00B73073" w:rsidRPr="00BF2FDA">
        <w:rPr>
          <w:rFonts w:ascii="Times New Roman" w:hAnsi="Times New Roman" w:cs="Times New Roman"/>
          <w:sz w:val="22"/>
          <w:szCs w:val="22"/>
        </w:rPr>
        <w:t>generalizovaná exantematózna pustulóza (AGEP)</w:t>
      </w:r>
    </w:p>
    <w:p w14:paraId="784E117A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66017B97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Poruchy obličiek a močových ciest </w:t>
      </w:r>
    </w:p>
    <w:p w14:paraId="61EF3CE0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hematúria, zlyhanie obličiek, nefrotický syndróm, renálna papilárna nekróza, intersticiálna nefritída, proteinúria .</w:t>
      </w:r>
    </w:p>
    <w:p w14:paraId="31FF423B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289C97A5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Celkové poruchy a reakcie v mieste podania</w:t>
      </w:r>
    </w:p>
    <w:p w14:paraId="1A724FF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retencia sodíka a tekutín s edémom, periférny edém.</w:t>
      </w:r>
    </w:p>
    <w:p w14:paraId="2E73557B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19A32ED8" w14:textId="77777777"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Laboratórne a funkčné vyšetrenia</w:t>
      </w:r>
    </w:p>
    <w:p w14:paraId="2448E22C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Znížený hematokrit a hemoglobín.</w:t>
      </w:r>
    </w:p>
    <w:p w14:paraId="1B197353" w14:textId="77777777" w:rsidR="008C37F1" w:rsidRPr="005640D4" w:rsidRDefault="008C37F1">
      <w:pPr>
        <w:pStyle w:val="Zkladntext"/>
        <w:rPr>
          <w:rFonts w:ascii="Times New Roman" w:hAnsi="Times New Roman" w:cs="Times New Roman"/>
        </w:rPr>
      </w:pPr>
    </w:p>
    <w:p w14:paraId="3A69F99D" w14:textId="77777777" w:rsidR="00626B2D" w:rsidRPr="00162954" w:rsidRDefault="00626B2D" w:rsidP="00626B2D">
      <w:pPr>
        <w:jc w:val="both"/>
        <w:rPr>
          <w:rFonts w:ascii="Times New Roman" w:hAnsi="Times New Roman" w:cs="Times New Roman"/>
          <w:sz w:val="22"/>
          <w:szCs w:val="22"/>
        </w:rPr>
      </w:pPr>
      <w:r w:rsidRPr="00162954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9C6992" w:rsidRPr="00162954">
        <w:rPr>
          <w:rFonts w:ascii="Times New Roman" w:hAnsi="Times New Roman" w:cs="Times New Roman"/>
          <w:sz w:val="22"/>
          <w:szCs w:val="22"/>
        </w:rPr>
        <w:t>ibuprofén</w:t>
      </w:r>
      <w:r w:rsidRPr="00162954">
        <w:rPr>
          <w:rFonts w:ascii="Times New Roman" w:hAnsi="Times New Roman" w:cs="Times New Roman"/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</w:p>
    <w:p w14:paraId="0E99DA4C" w14:textId="77777777" w:rsidR="004058C5" w:rsidRPr="00162954" w:rsidRDefault="004058C5">
      <w:pPr>
        <w:pStyle w:val="Zkladntext"/>
        <w:rPr>
          <w:rFonts w:ascii="Times New Roman" w:hAnsi="Times New Roman" w:cs="Times New Roman"/>
        </w:rPr>
      </w:pPr>
    </w:p>
    <w:p w14:paraId="3F585C6B" w14:textId="77777777" w:rsidR="00162954" w:rsidRPr="00162954" w:rsidRDefault="00162954" w:rsidP="0016295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sz w:val="22"/>
          <w:u w:val="single"/>
        </w:rPr>
      </w:pPr>
      <w:r w:rsidRPr="00162954">
        <w:rPr>
          <w:rFonts w:ascii="Times New Roman" w:hAnsi="Times New Roman" w:cs="Times New Roman"/>
          <w:sz w:val="22"/>
          <w:u w:val="single"/>
        </w:rPr>
        <w:t>Hlásenie podozrení na nežiaduce reakcie</w:t>
      </w:r>
    </w:p>
    <w:p w14:paraId="3BDE414C" w14:textId="33C65F10" w:rsidR="00162954" w:rsidRPr="00162954" w:rsidRDefault="00162954" w:rsidP="0016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 w:cs="Times New Roman"/>
        </w:rPr>
      </w:pPr>
      <w:r w:rsidRPr="00162954">
        <w:rPr>
          <w:rFonts w:ascii="Times New Roman" w:hAnsi="Times New Roman" w:cs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62954">
        <w:rPr>
          <w:rFonts w:ascii="Times New Roman" w:hAnsi="Times New Roman" w:cs="Times New Roman"/>
          <w:sz w:val="22"/>
          <w:shd w:val="clear" w:color="auto" w:fill="C0C0C0"/>
        </w:rPr>
        <w:t>národné centrum hlásenia uvedené v </w:t>
      </w:r>
      <w:hyperlink r:id="rId9" w:history="1">
        <w:r w:rsidRPr="00162954">
          <w:rPr>
            <w:rStyle w:val="Hypertextovprepojenie"/>
            <w:rFonts w:ascii="Times New Roman" w:hAnsi="Times New Roman" w:cs="Times New Roman"/>
            <w:sz w:val="22"/>
            <w:shd w:val="clear" w:color="auto" w:fill="C0C0C0"/>
          </w:rPr>
          <w:t>Prílohe V</w:t>
        </w:r>
      </w:hyperlink>
      <w:r w:rsidRPr="00162954">
        <w:rPr>
          <w:rStyle w:val="Hypertextovprepojenie"/>
          <w:rFonts w:ascii="Times New Roman" w:hAnsi="Times New Roman" w:cs="Times New Roman"/>
          <w:sz w:val="22"/>
        </w:rPr>
        <w:t>.</w:t>
      </w:r>
    </w:p>
    <w:p w14:paraId="587BE4F0" w14:textId="77777777" w:rsidR="005A6939" w:rsidRPr="005640D4" w:rsidRDefault="005A6939" w:rsidP="005A6939">
      <w:pPr>
        <w:rPr>
          <w:rFonts w:ascii="Times New Roman" w:hAnsi="Times New Roman" w:cs="Times New Roman"/>
        </w:rPr>
      </w:pPr>
    </w:p>
    <w:p w14:paraId="240AAD58" w14:textId="77777777" w:rsidR="005E1185" w:rsidRPr="005640D4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5640D4">
        <w:rPr>
          <w:rFonts w:ascii="Times New Roman" w:hAnsi="Times New Roman" w:cs="Times New Roman"/>
          <w:b/>
          <w:bCs/>
          <w:sz w:val="22"/>
          <w:szCs w:val="22"/>
        </w:rPr>
        <w:t>4.9</w:t>
      </w:r>
      <w:r w:rsidRPr="005640D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Predávkovanie </w:t>
      </w:r>
    </w:p>
    <w:p w14:paraId="48A8E0DC" w14:textId="77777777" w:rsidR="005E1185" w:rsidRPr="005640D4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1C7343D" w14:textId="77777777" w:rsidR="005E1185" w:rsidRPr="005640D4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5640D4">
        <w:rPr>
          <w:rFonts w:ascii="Times New Roman" w:hAnsi="Times New Roman" w:cs="Times New Roman"/>
          <w:i/>
          <w:iCs/>
          <w:sz w:val="22"/>
          <w:szCs w:val="22"/>
        </w:rPr>
        <w:t>Symptómy</w:t>
      </w:r>
    </w:p>
    <w:p w14:paraId="222BB33F" w14:textId="77777777" w:rsidR="005E1185" w:rsidRPr="006A2CB1" w:rsidRDefault="004E576B" w:rsidP="009C699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640D4">
        <w:rPr>
          <w:rFonts w:ascii="Times New Roman" w:hAnsi="Times New Roman" w:cs="Times New Roman"/>
          <w:sz w:val="22"/>
          <w:szCs w:val="22"/>
        </w:rPr>
        <w:t xml:space="preserve">Pri </w:t>
      </w:r>
      <w:r w:rsidR="005E1185" w:rsidRPr="005640D4">
        <w:rPr>
          <w:rFonts w:ascii="Times New Roman" w:hAnsi="Times New Roman" w:cs="Times New Roman"/>
          <w:sz w:val="22"/>
          <w:szCs w:val="22"/>
        </w:rPr>
        <w:t>predávkovan</w:t>
      </w:r>
      <w:r w:rsidRPr="005640D4">
        <w:rPr>
          <w:rFonts w:ascii="Times New Roman" w:hAnsi="Times New Roman" w:cs="Times New Roman"/>
          <w:sz w:val="22"/>
          <w:szCs w:val="22"/>
        </w:rPr>
        <w:t>í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 i</w:t>
      </w:r>
      <w:r w:rsidR="008E1BFB" w:rsidRPr="005640D4">
        <w:rPr>
          <w:rFonts w:ascii="Times New Roman" w:hAnsi="Times New Roman" w:cs="Times New Roman"/>
          <w:sz w:val="22"/>
          <w:szCs w:val="22"/>
        </w:rPr>
        <w:t>b</w:t>
      </w:r>
      <w:r w:rsidR="005E1185" w:rsidRPr="005640D4">
        <w:rPr>
          <w:rFonts w:ascii="Times New Roman" w:hAnsi="Times New Roman" w:cs="Times New Roman"/>
          <w:sz w:val="22"/>
          <w:szCs w:val="22"/>
        </w:rPr>
        <w:t>uprof</w:t>
      </w:r>
      <w:r w:rsidR="008E1BFB" w:rsidRPr="005640D4">
        <w:rPr>
          <w:rFonts w:ascii="Times New Roman" w:hAnsi="Times New Roman" w:cs="Times New Roman"/>
          <w:sz w:val="22"/>
          <w:szCs w:val="22"/>
        </w:rPr>
        <w:t>é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nom sa </w:t>
      </w:r>
      <w:r w:rsidRPr="005640D4">
        <w:rPr>
          <w:rFonts w:ascii="Times New Roman" w:hAnsi="Times New Roman" w:cs="Times New Roman"/>
          <w:sz w:val="22"/>
          <w:szCs w:val="22"/>
        </w:rPr>
        <w:t xml:space="preserve">pozorovali </w:t>
      </w:r>
      <w:r w:rsidR="005E1185" w:rsidRPr="005640D4">
        <w:rPr>
          <w:rFonts w:ascii="Times New Roman" w:hAnsi="Times New Roman" w:cs="Times New Roman"/>
          <w:sz w:val="22"/>
          <w:szCs w:val="22"/>
        </w:rPr>
        <w:t>nasledovné</w:t>
      </w:r>
      <w:r w:rsidR="008E2569" w:rsidRPr="005640D4">
        <w:rPr>
          <w:rFonts w:ascii="Times New Roman" w:hAnsi="Times New Roman" w:cs="Times New Roman"/>
          <w:sz w:val="22"/>
          <w:szCs w:val="22"/>
        </w:rPr>
        <w:t xml:space="preserve"> </w:t>
      </w:r>
      <w:r w:rsidRPr="005640D4">
        <w:rPr>
          <w:rFonts w:ascii="Times New Roman" w:hAnsi="Times New Roman" w:cs="Times New Roman"/>
          <w:sz w:val="22"/>
          <w:szCs w:val="22"/>
        </w:rPr>
        <w:t>príznaky</w:t>
      </w:r>
      <w:r w:rsidR="005E1185" w:rsidRPr="005640D4">
        <w:rPr>
          <w:rFonts w:ascii="Times New Roman" w:hAnsi="Times New Roman" w:cs="Times New Roman"/>
          <w:sz w:val="22"/>
          <w:szCs w:val="22"/>
        </w:rPr>
        <w:t>: vertigo, bolesť brucha, nevoľnosť, vracanie, hepatická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dysfunkcia, hyperkaliémia, závrat, somnolencia (ospalosť), bolesť hlavy, strata vedomia, kŕče (záchvaty), zlyhanie obličiek, dyspnoe, útlm dýchania a hypotenzia. </w:t>
      </w:r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acidóza. </w:t>
      </w:r>
    </w:p>
    <w:p w14:paraId="01883C6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280E319" w14:textId="77777777" w:rsidR="005E1185" w:rsidRPr="006A2CB1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lastRenderedPageBreak/>
        <w:t>Liečba</w:t>
      </w:r>
    </w:p>
    <w:p w14:paraId="0595271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Nie je známe špecifické antidotum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u. V prípade masívneho predávkovania je potrebné vykonať výplach žalúdka a následne upraviť a monitorovať hladiny elektrolytov, funkciu obličiek a krvný tlak. </w:t>
      </w:r>
    </w:p>
    <w:p w14:paraId="4608E5E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E68E599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93D0322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FARMAKOLOGICKÉ VLASTNOSTI </w:t>
      </w:r>
    </w:p>
    <w:p w14:paraId="34AE266A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18047C1D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Farmakodynamické vlastnosti</w:t>
      </w:r>
      <w:r w:rsidRPr="006A2C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7F1A229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8AD4A87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Farmakoterapeutická skupina: </w:t>
      </w:r>
      <w:r w:rsidR="004058C5" w:rsidRPr="006A2CB1">
        <w:rPr>
          <w:rFonts w:ascii="Times New Roman" w:hAnsi="Times New Roman"/>
        </w:rPr>
        <w:t>Antiflogistiká a antireumatiká</w:t>
      </w:r>
      <w:r w:rsidR="008D7076" w:rsidRPr="006A2CB1">
        <w:rPr>
          <w:rFonts w:ascii="Times New Roman" w:hAnsi="Times New Roman"/>
        </w:rPr>
        <w:t>, deriváty kyseliny propiónovej</w:t>
      </w:r>
    </w:p>
    <w:p w14:paraId="1B10F0E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ATC kód: M01AE01</w:t>
      </w:r>
    </w:p>
    <w:p w14:paraId="73F6181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308271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Ibuprofén je derivát kyseliny propi</w:t>
      </w:r>
      <w:r w:rsidR="00F936C7" w:rsidRPr="006A2CB1">
        <w:rPr>
          <w:rFonts w:ascii="Times New Roman" w:hAnsi="Times New Roman" w:cs="Times New Roman"/>
          <w:sz w:val="22"/>
          <w:szCs w:val="22"/>
        </w:rPr>
        <w:t>ó</w:t>
      </w:r>
      <w:r w:rsidRPr="006A2CB1">
        <w:rPr>
          <w:rFonts w:ascii="Times New Roman" w:hAnsi="Times New Roman" w:cs="Times New Roman"/>
          <w:sz w:val="22"/>
          <w:szCs w:val="22"/>
        </w:rPr>
        <w:t xml:space="preserve">novej s analgetickým, protizápalovým a antipyretickým pôsobením. Najpravdepodobnejšie farmakologické pôsobenie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závisí od jeho schopností inhibície syntézy prostaglandínov.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zvyšuje čas krvácania reverzibilnou blokádou agregácie krvných doštičiek.</w:t>
      </w:r>
    </w:p>
    <w:p w14:paraId="2ACF8DDF" w14:textId="77777777" w:rsidR="00BB5C00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7825D8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môže inhibovať účinok nízkej dávky kyseliny acetylsalicylovej na agregáciu doštičiek, keď sa podávajú súbežne. </w:t>
      </w:r>
    </w:p>
    <w:p w14:paraId="5F4BFD9B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jednej štúdii, keď sa jednotlivá dávka 400 mg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podala buď 8 hodín pred podaním kyseliny acetylsalicylovej na okamžité uvoľnenie (81 mg) alebo do 30 minút po jej podaní, došlo k zníženému účinku kyseliny acetylsalicylovej na tvorbu tromboxánu alebo k agregácii trombocytov. </w:t>
      </w:r>
    </w:p>
    <w:p w14:paraId="014D083E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Limitácie týchto údajov a neistoty extrapolácie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vivo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u, a žiadny klinicky významný účinok sa nepovažuje za pravdepodobný pri príležitostnom použití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u.</w:t>
      </w:r>
    </w:p>
    <w:p w14:paraId="0341D957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3B9588" w14:textId="77777777"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 xml:space="preserve">Experimentálne údaje naznačujú, že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 400 mg užitého v priebehu 8 hodín pred alebo v priebehu 30 minút po užití dávky kyseliny acetylsalicylovej s okamžitým uvoľňovaním (81 mg) došlo k zníženému účinku kyseliny acetylsalicylovej na tvorbu trombox</w:t>
      </w:r>
      <w:r w:rsidR="008E1BFB" w:rsidRPr="006A2CB1">
        <w:rPr>
          <w:rFonts w:ascii="Times New Roman" w:hAnsi="Times New Roman"/>
          <w:sz w:val="22"/>
          <w:szCs w:val="22"/>
        </w:rPr>
        <w:t>á</w:t>
      </w:r>
      <w:r w:rsidRPr="006A2CB1">
        <w:rPr>
          <w:rFonts w:ascii="Times New Roman" w:hAnsi="Times New Roman"/>
          <w:sz w:val="22"/>
          <w:szCs w:val="22"/>
        </w:rPr>
        <w:t xml:space="preserve">nu alebo agregáciu trombocytov. Hoci existujú nejasnosti s ohľadom na extrapoláciu týchto údajov na klinickú situáciu, nedá sa vylúčiť možnosť, že pravidelné, dlhodobé používanie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 sa žiaden klinicky relevantný účinok nepovažuje za pravdepodobný (pozri časť 4.5).</w:t>
      </w:r>
    </w:p>
    <w:p w14:paraId="58E446DA" w14:textId="77777777" w:rsidR="004058C5" w:rsidRPr="006A2CB1" w:rsidRDefault="004058C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87EEC7A" w14:textId="77777777" w:rsidR="005E1185" w:rsidRPr="006A2CB1" w:rsidRDefault="005E1185">
      <w:pPr>
        <w:widowControl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Farmakokinetické vlastnosti</w:t>
      </w:r>
    </w:p>
    <w:p w14:paraId="4842ED3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A936292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v mäkkých želatínových kapsulách, ktorý sa rýchlo absorbuje po perorálnom podaní, ak sa podá nalačno. </w:t>
      </w:r>
    </w:p>
    <w:p w14:paraId="13396417" w14:textId="77777777"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Porovnávacie štúdie ukazujú,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rýchlejšie absorbuje (t</w:t>
      </w:r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 xml:space="preserve">max </w:t>
      </w:r>
      <w:r w:rsidRPr="006A2CB1">
        <w:rPr>
          <w:rFonts w:ascii="Times New Roman" w:hAnsi="Times New Roman" w:cs="Times New Roman"/>
          <w:sz w:val="22"/>
          <w:szCs w:val="22"/>
        </w:rPr>
        <w:t xml:space="preserve">kapsúl ADVIL RAPID je 35 minút) v porovnaní s bežnými tabletami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(približne 90 minút), čo znamená, že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absorbuje dvakrát rýchlejšie než bežné tablety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u. </w:t>
      </w:r>
    </w:p>
    <w:p w14:paraId="1BC1932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C37465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užije s jedlom, vrcholové hladiny sa dosiahnu za 1 - 2 hodiny. Účinok na zmiernenie bolesti pretrváva až 8 hodín.</w:t>
      </w:r>
    </w:p>
    <w:p w14:paraId="1F924529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973E95F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Štúdie účinnosti ukazujú, že </w:t>
      </w:r>
      <w:r w:rsidR="009C6992" w:rsidRPr="006A2CB1">
        <w:rPr>
          <w:rFonts w:ascii="Times New Roman" w:hAnsi="Times New Roman" w:cs="Times New Roman"/>
        </w:rPr>
        <w:t>ibuprofén</w:t>
      </w:r>
      <w:r w:rsidRPr="006A2CB1">
        <w:rPr>
          <w:rFonts w:ascii="Times New Roman" w:hAnsi="Times New Roman" w:cs="Times New Roman"/>
        </w:rPr>
        <w:t xml:space="preserve"> v tekutej forme (400 mg) poskytuje rýchlejšie zmiernenie účinku a kratší čas do nástupu zmiernenia bolesti a vyššiu celkovú účinnosť v porovnaní s paracetamolom (1000 mg) a placebom pri </w:t>
      </w:r>
      <w:r w:rsidR="005A6939" w:rsidRPr="006A2CB1">
        <w:rPr>
          <w:rFonts w:ascii="Times New Roman" w:hAnsi="Times New Roman" w:cs="Times New Roman"/>
        </w:rPr>
        <w:t xml:space="preserve">epizodickej tenznej </w:t>
      </w:r>
      <w:r w:rsidRPr="006A2CB1">
        <w:rPr>
          <w:rFonts w:ascii="Times New Roman" w:hAnsi="Times New Roman" w:cs="Times New Roman"/>
        </w:rPr>
        <w:t>bolesti hlavy a bolesti zubov.</w:t>
      </w:r>
    </w:p>
    <w:p w14:paraId="7ECCB32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E02EB78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Väzba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na plazmatické bielkoviny je približne 99 %. Po perorálnej dávke sa 75 – 85 % </w:t>
      </w:r>
    </w:p>
    <w:p w14:paraId="2110028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vylučuje obličkami v priebehu 24 hodín (prevažne vo forme dvoch neaktívnych metabolitov), zvyšok sa po vylúčení žlčou vylučuje do stolice. Vylučovanie je ukončené do 24 hodín. </w:t>
      </w:r>
    </w:p>
    <w:p w14:paraId="7E3DEE2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Biologický polčas </w:t>
      </w:r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 xml:space="preserve">u sú približne 2 hodiny. </w:t>
      </w:r>
    </w:p>
    <w:p w14:paraId="28E52FD9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7B6952C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Predklinické údaje o bezpečnosti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9A5A7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68C5E1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Predklinické údaje na základe obvyklých štúdií farmakologickej bezpečnosti, toxicity po opakovanom podávaní, genotoxicity, karcinogénneho potenciálu a reprodukčnej toxicity neodhalili žiadne osobitné riziko pre ľudí. </w:t>
      </w:r>
    </w:p>
    <w:p w14:paraId="1203802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 štúdiách na zvieratách sa nedokázali žiadne teratogénne účinky, avšak, ak je to možné, počas gravidity sa má vyhnúť použitiu ibuprofénu. </w:t>
      </w:r>
    </w:p>
    <w:p w14:paraId="2B5887E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Predklinické účinky sa pozorovali iba pri expozíciách považovaných za dostatočne presahujúce normálnu expozíciu ľudí, čo naznačuje malý význam pre klinickú prax.</w:t>
      </w:r>
    </w:p>
    <w:p w14:paraId="7E61743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BB3512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293CCE1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FARMACEUTICKÉ INFORMÁCIE</w:t>
      </w:r>
    </w:p>
    <w:p w14:paraId="1CBAED2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4A28856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Zoznam pomocných látok </w:t>
      </w:r>
    </w:p>
    <w:p w14:paraId="0F92758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C81DB4A" w14:textId="4B726960" w:rsidR="00852F85" w:rsidRDefault="00852F85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6A2CB1">
        <w:rPr>
          <w:rFonts w:ascii="Times New Roman" w:hAnsi="Times New Roman" w:cs="Times New Roman"/>
          <w:sz w:val="22"/>
          <w:szCs w:val="22"/>
        </w:rPr>
        <w:t xml:space="preserve">akrogol </w:t>
      </w:r>
      <w:r w:rsidR="005E1185" w:rsidRPr="006A2CB1">
        <w:rPr>
          <w:rFonts w:ascii="Times New Roman" w:hAnsi="Times New Roman" w:cs="Times New Roman"/>
          <w:sz w:val="22"/>
          <w:szCs w:val="22"/>
        </w:rPr>
        <w:t>600</w:t>
      </w:r>
    </w:p>
    <w:p w14:paraId="54052610" w14:textId="7F416336" w:rsidR="00852F85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hydroxid draselný </w:t>
      </w:r>
    </w:p>
    <w:p w14:paraId="5292AC4C" w14:textId="1D57A660" w:rsidR="00852F85" w:rsidRDefault="009C6992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čiastočne dehydrovaný roztok</w:t>
      </w:r>
      <w:r w:rsidR="00083C03">
        <w:rPr>
          <w:rFonts w:ascii="Times New Roman" w:hAnsi="Times New Roman" w:cs="Times New Roman"/>
          <w:sz w:val="22"/>
          <w:szCs w:val="22"/>
        </w:rPr>
        <w:t xml:space="preserve"> </w:t>
      </w:r>
      <w:r w:rsidR="00083C03" w:rsidRPr="006A2CB1">
        <w:rPr>
          <w:rFonts w:ascii="Times New Roman" w:hAnsi="Times New Roman" w:cs="Times New Roman"/>
          <w:sz w:val="22"/>
          <w:szCs w:val="22"/>
        </w:rPr>
        <w:t>sorbitol</w:t>
      </w:r>
      <w:r w:rsidR="00083C03">
        <w:rPr>
          <w:rFonts w:ascii="Times New Roman" w:hAnsi="Times New Roman" w:cs="Times New Roman"/>
          <w:sz w:val="22"/>
          <w:szCs w:val="22"/>
        </w:rPr>
        <w:t>u</w:t>
      </w:r>
    </w:p>
    <w:p w14:paraId="7CF72FC4" w14:textId="4696603B" w:rsidR="00852F85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želatína</w:t>
      </w:r>
    </w:p>
    <w:p w14:paraId="70AF6E1C" w14:textId="6E4C4634" w:rsidR="00852F85" w:rsidRDefault="00852F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čistená </w:t>
      </w:r>
      <w:r w:rsidR="005E1185" w:rsidRPr="006A2CB1">
        <w:rPr>
          <w:rFonts w:ascii="Times New Roman" w:hAnsi="Times New Roman" w:cs="Times New Roman"/>
          <w:sz w:val="22"/>
          <w:szCs w:val="22"/>
        </w:rPr>
        <w:t>voda</w:t>
      </w:r>
    </w:p>
    <w:p w14:paraId="00B42706" w14:textId="03E2E7E5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čierny atrament (etanol, etyl</w:t>
      </w:r>
      <w:r w:rsidR="00852F85">
        <w:rPr>
          <w:rFonts w:ascii="Times New Roman" w:hAnsi="Times New Roman" w:cs="Times New Roman"/>
          <w:sz w:val="22"/>
          <w:szCs w:val="22"/>
        </w:rPr>
        <w:t>-</w:t>
      </w:r>
      <w:r w:rsidRPr="006A2CB1">
        <w:rPr>
          <w:rFonts w:ascii="Times New Roman" w:hAnsi="Times New Roman" w:cs="Times New Roman"/>
          <w:sz w:val="22"/>
          <w:szCs w:val="22"/>
        </w:rPr>
        <w:t xml:space="preserve">acetát, propylénglykol, čierny oxid železitý </w:t>
      </w:r>
      <w:r w:rsidR="00083C03">
        <w:rPr>
          <w:rFonts w:ascii="Times New Roman" w:hAnsi="Times New Roman" w:cs="Times New Roman"/>
          <w:sz w:val="22"/>
          <w:szCs w:val="22"/>
        </w:rPr>
        <w:t>(</w:t>
      </w:r>
      <w:r w:rsidRPr="006A2CB1">
        <w:rPr>
          <w:rFonts w:ascii="Times New Roman" w:hAnsi="Times New Roman" w:cs="Times New Roman"/>
          <w:sz w:val="22"/>
          <w:szCs w:val="22"/>
        </w:rPr>
        <w:t>E172</w:t>
      </w:r>
      <w:r w:rsidR="00083C03">
        <w:rPr>
          <w:rFonts w:ascii="Times New Roman" w:hAnsi="Times New Roman" w:cs="Times New Roman"/>
          <w:sz w:val="22"/>
          <w:szCs w:val="22"/>
        </w:rPr>
        <w:t>)</w:t>
      </w:r>
      <w:r w:rsidRPr="006A2CB1">
        <w:rPr>
          <w:rFonts w:ascii="Times New Roman" w:hAnsi="Times New Roman" w:cs="Times New Roman"/>
          <w:sz w:val="22"/>
          <w:szCs w:val="22"/>
        </w:rPr>
        <w:t>, polyvinyl</w:t>
      </w:r>
      <w:r w:rsidR="00852F85">
        <w:rPr>
          <w:rFonts w:ascii="Times New Roman" w:hAnsi="Times New Roman" w:cs="Times New Roman"/>
          <w:sz w:val="22"/>
          <w:szCs w:val="22"/>
        </w:rPr>
        <w:t>-</w:t>
      </w:r>
      <w:r w:rsidRPr="006A2CB1">
        <w:rPr>
          <w:rFonts w:ascii="Times New Roman" w:hAnsi="Times New Roman" w:cs="Times New Roman"/>
          <w:sz w:val="22"/>
          <w:szCs w:val="22"/>
        </w:rPr>
        <w:t xml:space="preserve">acetátftalát, izopropylalkohol, makrogol 400, </w:t>
      </w:r>
      <w:r w:rsidR="00852F85">
        <w:rPr>
          <w:rFonts w:ascii="Times New Roman" w:hAnsi="Times New Roman" w:cs="Times New Roman"/>
          <w:sz w:val="22"/>
          <w:szCs w:val="22"/>
        </w:rPr>
        <w:t>hydroxid</w:t>
      </w:r>
      <w:r w:rsidR="00852F85" w:rsidRPr="006A2CB1">
        <w:rPr>
          <w:rFonts w:ascii="Times New Roman" w:hAnsi="Times New Roman" w:cs="Times New Roman"/>
          <w:sz w:val="22"/>
          <w:szCs w:val="22"/>
        </w:rPr>
        <w:t xml:space="preserve"> am</w:t>
      </w:r>
      <w:r w:rsidR="00852F85">
        <w:rPr>
          <w:rFonts w:ascii="Times New Roman" w:hAnsi="Times New Roman" w:cs="Times New Roman"/>
          <w:sz w:val="22"/>
          <w:szCs w:val="22"/>
        </w:rPr>
        <w:t>ónny</w:t>
      </w:r>
      <w:r w:rsidRPr="006A2CB1">
        <w:rPr>
          <w:rFonts w:ascii="Times New Roman" w:hAnsi="Times New Roman" w:cs="Times New Roman"/>
          <w:sz w:val="22"/>
          <w:szCs w:val="22"/>
        </w:rPr>
        <w:t>)</w:t>
      </w:r>
    </w:p>
    <w:p w14:paraId="1A49B64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8E24B8A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Inkompatibility</w:t>
      </w:r>
    </w:p>
    <w:p w14:paraId="3C789D46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14:paraId="7A366818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Nie sú známe. </w:t>
      </w:r>
    </w:p>
    <w:p w14:paraId="14446B3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FD0DDB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Čas použiteľnosti </w:t>
      </w:r>
    </w:p>
    <w:p w14:paraId="2AD58D3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D966BF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3 roky.</w:t>
      </w:r>
    </w:p>
    <w:p w14:paraId="6EB9A4E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62F8CDAB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upozornenia na uchovávanie</w:t>
      </w:r>
    </w:p>
    <w:p w14:paraId="7DF71486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ADB5F1B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8D3850" w:rsidRPr="006A2CB1">
        <w:rPr>
          <w:rFonts w:ascii="Times New Roman" w:hAnsi="Times New Roman" w:cs="Times New Roman"/>
          <w:sz w:val="22"/>
          <w:szCs w:val="22"/>
        </w:rPr>
        <w:t xml:space="preserve">neprevyšujúcej </w:t>
      </w:r>
      <w:r w:rsidRPr="006A2CB1">
        <w:rPr>
          <w:rFonts w:ascii="Times New Roman" w:hAnsi="Times New Roman" w:cs="Times New Roman"/>
          <w:sz w:val="22"/>
          <w:szCs w:val="22"/>
        </w:rPr>
        <w:t>25 °C v pôvodnom obale na ochranu pred vlhkosťou.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DC3D31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482444FC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Druh obalu a obsah balenia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775CA0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829413D" w14:textId="77777777"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ADVIL RAPID obsahuje 2, 4, 8, 10, 16 alebo 20 mäkkých kapsúl v bielych, nepriehľadných PVC/PE/PVdC(Triplex)/A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 blistroch alebo bielych, nepriehľadných PVC/PVdC (Duplex)/A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>/pergamenový papier blistroch v papierovej škatuľke.</w:t>
      </w:r>
    </w:p>
    <w:p w14:paraId="51B89634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6728F3" w14:textId="77777777"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14:paraId="5D9AC6DF" w14:textId="77777777" w:rsidR="008E2569" w:rsidRPr="006A2CB1" w:rsidRDefault="008E2569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5CC35A0" w14:textId="77777777" w:rsidR="005E1185" w:rsidRPr="006A2CB1" w:rsidRDefault="005E118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opatrenia na likvidáciu a iné zaobchádzanie s liekom</w:t>
      </w:r>
    </w:p>
    <w:p w14:paraId="56320215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786B9FE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Žiadne zvláštne požiadavky.</w:t>
      </w:r>
    </w:p>
    <w:p w14:paraId="669A215C" w14:textId="77777777" w:rsidR="005E1185" w:rsidRPr="006A2CB1" w:rsidRDefault="008E1BFB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Všetok n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epoužitý liek alebo odpad vzniknutý z lieku </w:t>
      </w:r>
      <w:r w:rsidRPr="006A2CB1">
        <w:rPr>
          <w:rFonts w:ascii="Times New Roman" w:hAnsi="Times New Roman" w:cs="Times New Roman"/>
          <w:sz w:val="22"/>
          <w:szCs w:val="22"/>
        </w:rPr>
        <w:t>sa má zlikvidovať v súlade s národnými požiadavkami</w:t>
      </w:r>
      <w:r w:rsidR="00BB5C00" w:rsidRPr="006A2CB1">
        <w:rPr>
          <w:rFonts w:ascii="Times New Roman" w:hAnsi="Times New Roman" w:cs="Times New Roman"/>
          <w:sz w:val="22"/>
          <w:szCs w:val="22"/>
        </w:rPr>
        <w:t>.</w:t>
      </w:r>
    </w:p>
    <w:p w14:paraId="41FEA95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1B2CC5D" w14:textId="77777777" w:rsidR="00BB5C00" w:rsidRPr="006A2CB1" w:rsidRDefault="00BB5C00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356E540" w14:textId="77777777"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7.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>Držiteľ rozhodnutia o registrácii</w:t>
      </w:r>
    </w:p>
    <w:p w14:paraId="57A59D71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795E60D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GlaxoSmithKline Consumer Healthcare Czech Republic s.r.o.</w:t>
      </w:r>
    </w:p>
    <w:p w14:paraId="1CA726B7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Hvězdova 1734/2c</w:t>
      </w:r>
    </w:p>
    <w:p w14:paraId="5384F17A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140 00 Praha 4 – Nusle</w:t>
      </w:r>
    </w:p>
    <w:p w14:paraId="2E30BB99" w14:textId="77777777"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Česká republika</w:t>
      </w:r>
    </w:p>
    <w:p w14:paraId="1E99B41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099F02EB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43FB11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8.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Registračné číslo </w:t>
      </w:r>
    </w:p>
    <w:p w14:paraId="0A78756D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4A3D9C6E" w14:textId="77777777" w:rsidR="005E1185" w:rsidRPr="006A2CB1" w:rsidRDefault="005E1185">
      <w:pPr>
        <w:widowControl/>
        <w:rPr>
          <w:rFonts w:ascii="Times New Roman" w:hAnsi="Times New Roman" w:cs="Times New Roman"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Cs/>
          <w:caps/>
          <w:sz w:val="22"/>
          <w:szCs w:val="22"/>
        </w:rPr>
        <w:t>29/0330/09-S</w:t>
      </w:r>
    </w:p>
    <w:p w14:paraId="38A70CE4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7BA6540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6F187A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9.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prvej registrácie / predĺženie registrácie </w:t>
      </w:r>
    </w:p>
    <w:p w14:paraId="6AEDCAB0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F85A48B" w14:textId="77777777"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prvej registrácie: 9. júna 2009</w:t>
      </w:r>
    </w:p>
    <w:p w14:paraId="050643D6" w14:textId="77777777" w:rsidR="00BB5C00" w:rsidRPr="006A2CB1" w:rsidRDefault="00BB5C00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posledného predĺženia registrácie:</w:t>
      </w:r>
      <w:r w:rsidR="00133B3D" w:rsidRPr="006A2CB1">
        <w:rPr>
          <w:rFonts w:ascii="Times New Roman" w:hAnsi="Times New Roman" w:cs="Times New Roman"/>
          <w:sz w:val="22"/>
          <w:szCs w:val="22"/>
        </w:rPr>
        <w:t xml:space="preserve"> 17. januára 2014</w:t>
      </w:r>
    </w:p>
    <w:p w14:paraId="5C652C53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30626636" w14:textId="77777777"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49F7FB56" w14:textId="77777777"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10.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revízie </w:t>
      </w:r>
      <w:r w:rsidR="00BB5C00"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TEXTU</w:t>
      </w:r>
    </w:p>
    <w:p w14:paraId="4971E44A" w14:textId="77777777"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14FC0C0" w14:textId="32E6DC09" w:rsidR="005E1185" w:rsidRPr="006A2CB1" w:rsidRDefault="000575AC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8B104D">
        <w:rPr>
          <w:rFonts w:ascii="Times New Roman" w:hAnsi="Times New Roman" w:cs="Times New Roman"/>
          <w:sz w:val="22"/>
          <w:szCs w:val="22"/>
        </w:rPr>
        <w:t>/2020</w:t>
      </w:r>
    </w:p>
    <w:sectPr w:rsidR="005E1185" w:rsidRPr="006A2CB1" w:rsidSect="00DD349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E36744" w15:done="0"/>
  <w15:commentEx w15:paraId="3FFD66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E36744" w16cid:durableId="2343AB9A"/>
  <w16cid:commentId w16cid:paraId="3FFD6642" w16cid:durableId="2343AD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05C7" w14:textId="77777777" w:rsidR="00FA60C8" w:rsidRDefault="00FA60C8">
      <w:r>
        <w:separator/>
      </w:r>
    </w:p>
  </w:endnote>
  <w:endnote w:type="continuationSeparator" w:id="0">
    <w:p w14:paraId="691EE443" w14:textId="77777777" w:rsidR="00FA60C8" w:rsidRDefault="00FA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6681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8A948BC" w14:textId="77777777" w:rsidR="000F1940" w:rsidRPr="00813E78" w:rsidRDefault="00813E78" w:rsidP="00813E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13E78">
          <w:rPr>
            <w:rFonts w:ascii="Times New Roman" w:hAnsi="Times New Roman"/>
            <w:sz w:val="18"/>
            <w:szCs w:val="18"/>
          </w:rPr>
          <w:fldChar w:fldCharType="begin"/>
        </w:r>
        <w:r w:rsidRPr="00813E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3E78">
          <w:rPr>
            <w:rFonts w:ascii="Times New Roman" w:hAnsi="Times New Roman"/>
            <w:sz w:val="18"/>
            <w:szCs w:val="18"/>
          </w:rPr>
          <w:fldChar w:fldCharType="separate"/>
        </w:r>
        <w:r w:rsidR="0064531B" w:rsidRPr="0064531B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813E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D6033" w14:textId="77777777" w:rsidR="000F1940" w:rsidRPr="00626B2D" w:rsidRDefault="000F1940">
    <w:pPr>
      <w:pStyle w:val="Pta"/>
      <w:jc w:val="center"/>
      <w:rPr>
        <w:rFonts w:ascii="Times New Roman" w:hAnsi="Times New Roman"/>
        <w:sz w:val="18"/>
        <w:szCs w:val="18"/>
      </w:rPr>
    </w:pPr>
    <w:r w:rsidRPr="00626B2D">
      <w:rPr>
        <w:rFonts w:ascii="Times New Roman" w:hAnsi="Times New Roman"/>
        <w:sz w:val="18"/>
        <w:szCs w:val="18"/>
      </w:rPr>
      <w:fldChar w:fldCharType="begin"/>
    </w:r>
    <w:r w:rsidRPr="00626B2D">
      <w:rPr>
        <w:rFonts w:ascii="Times New Roman" w:hAnsi="Times New Roman"/>
        <w:sz w:val="18"/>
        <w:szCs w:val="18"/>
      </w:rPr>
      <w:instrText>PAGE   \* MERGEFORMAT</w:instrText>
    </w:r>
    <w:r w:rsidRPr="00626B2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626B2D">
      <w:rPr>
        <w:rFonts w:ascii="Times New Roman" w:hAnsi="Times New Roman"/>
        <w:sz w:val="18"/>
        <w:szCs w:val="18"/>
      </w:rPr>
      <w:fldChar w:fldCharType="end"/>
    </w:r>
  </w:p>
  <w:p w14:paraId="61C05F7D" w14:textId="77777777" w:rsidR="000F1940" w:rsidRDefault="000F19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C62DB" w14:textId="77777777" w:rsidR="00FA60C8" w:rsidRDefault="00FA60C8">
      <w:r>
        <w:separator/>
      </w:r>
    </w:p>
  </w:footnote>
  <w:footnote w:type="continuationSeparator" w:id="0">
    <w:p w14:paraId="7490551C" w14:textId="77777777" w:rsidR="00FA60C8" w:rsidRDefault="00FA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08AAA" w14:textId="17B8975A" w:rsidR="000575AC" w:rsidRPr="00A06CA4" w:rsidRDefault="000575AC" w:rsidP="000575AC">
    <w:pPr>
      <w:pStyle w:val="Hlavika"/>
      <w:rPr>
        <w:rFonts w:ascii="Times New Roman" w:hAnsi="Times New Roman"/>
        <w:sz w:val="18"/>
        <w:szCs w:val="18"/>
      </w:rPr>
    </w:pPr>
    <w:r w:rsidRPr="00A06CA4">
      <w:rPr>
        <w:rFonts w:ascii="Times New Roman" w:hAnsi="Times New Roman"/>
        <w:sz w:val="18"/>
        <w:szCs w:val="18"/>
      </w:rPr>
      <w:t>Príloha č. 1 k notifikácii o zmene, ev. č.:</w:t>
    </w:r>
    <w:r>
      <w:rPr>
        <w:rFonts w:ascii="Times New Roman" w:hAnsi="Times New Roman"/>
        <w:sz w:val="18"/>
        <w:szCs w:val="18"/>
      </w:rPr>
      <w:t xml:space="preserve"> </w:t>
    </w:r>
    <w:r w:rsidRPr="00ED56A5">
      <w:rPr>
        <w:rFonts w:ascii="Times New Roman" w:hAnsi="Times New Roman"/>
        <w:sz w:val="18"/>
        <w:szCs w:val="18"/>
      </w:rPr>
      <w:t>2020/0516</w:t>
    </w:r>
    <w:r w:rsidR="009E2BF8">
      <w:rPr>
        <w:rFonts w:ascii="Times New Roman" w:hAnsi="Times New Roman"/>
        <w:sz w:val="18"/>
        <w:szCs w:val="18"/>
      </w:rPr>
      <w:t>5</w:t>
    </w:r>
    <w:r w:rsidRPr="00ED56A5">
      <w:rPr>
        <w:rFonts w:ascii="Times New Roman" w:hAnsi="Times New Roman"/>
        <w:sz w:val="18"/>
        <w:szCs w:val="18"/>
      </w:rPr>
      <w:t>-Z1B</w:t>
    </w:r>
    <w:r w:rsidR="009E2BF8">
      <w:rPr>
        <w:rFonts w:ascii="Times New Roman" w:hAnsi="Times New Roman"/>
        <w:sz w:val="18"/>
        <w:szCs w:val="18"/>
      </w:rPr>
      <w:t>,</w:t>
    </w:r>
    <w:r>
      <w:rPr>
        <w:rFonts w:ascii="Times New Roman" w:hAnsi="Times New Roman"/>
        <w:sz w:val="18"/>
        <w:szCs w:val="18"/>
      </w:rPr>
      <w:t xml:space="preserve"> </w:t>
    </w:r>
    <w:r w:rsidRPr="00ED56A5">
      <w:rPr>
        <w:rFonts w:ascii="Times New Roman" w:hAnsi="Times New Roman"/>
        <w:sz w:val="18"/>
        <w:szCs w:val="18"/>
      </w:rPr>
      <w:t>2020/05461-Z1B</w:t>
    </w:r>
  </w:p>
  <w:p w14:paraId="06048350" w14:textId="77777777" w:rsidR="00B73073" w:rsidRDefault="00B730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13447" w14:textId="77777777" w:rsidR="000F1940" w:rsidRPr="00F50BF4" w:rsidRDefault="000F1940" w:rsidP="004058C5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5</w:t>
    </w:r>
    <w:r w:rsidRPr="00F50BF4">
      <w:rPr>
        <w:rFonts w:ascii="Times New Roman" w:hAnsi="Times New Roman" w:cs="Times New Roman"/>
        <w:bCs/>
        <w:sz w:val="18"/>
        <w:szCs w:val="18"/>
      </w:rPr>
      <w:t>/</w:t>
    </w:r>
    <w:r>
      <w:rPr>
        <w:rFonts w:ascii="Times New Roman" w:hAnsi="Times New Roman" w:cs="Times New Roman"/>
        <w:bCs/>
        <w:sz w:val="18"/>
        <w:szCs w:val="18"/>
      </w:rPr>
      <w:t>05893-Z1B</w:t>
    </w:r>
  </w:p>
  <w:p w14:paraId="27BF860D" w14:textId="77777777" w:rsidR="000F1940" w:rsidRPr="00F50BF4" w:rsidRDefault="000F1940" w:rsidP="009C6992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8/01122-Z1A</w:t>
    </w:r>
  </w:p>
  <w:p w14:paraId="798656BE" w14:textId="77777777" w:rsidR="000F1940" w:rsidRDefault="000F19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76D"/>
    <w:multiLevelType w:val="hybridMultilevel"/>
    <w:tmpl w:val="EB4C69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7796404"/>
    <w:multiLevelType w:val="hybridMultilevel"/>
    <w:tmpl w:val="58B6A8E2"/>
    <w:lvl w:ilvl="0" w:tplc="0840EC46">
      <w:start w:val="1"/>
      <w:numFmt w:val="bullet"/>
      <w:lvlText w:val="-"/>
      <w:lvlJc w:val="left"/>
      <w:pPr>
        <w:tabs>
          <w:tab w:val="num" w:pos="-360"/>
        </w:tabs>
        <w:ind w:left="340" w:hanging="34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527F2A68"/>
    <w:multiLevelType w:val="hybridMultilevel"/>
    <w:tmpl w:val="84CAAE4E"/>
    <w:lvl w:ilvl="0" w:tplc="E222C6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3D"/>
    <w:rsid w:val="000516E9"/>
    <w:rsid w:val="000575AC"/>
    <w:rsid w:val="00064DF8"/>
    <w:rsid w:val="00083C03"/>
    <w:rsid w:val="000979E0"/>
    <w:rsid w:val="000C2C4A"/>
    <w:rsid w:val="000D341E"/>
    <w:rsid w:val="000F1940"/>
    <w:rsid w:val="00133B3D"/>
    <w:rsid w:val="00153621"/>
    <w:rsid w:val="00161CBF"/>
    <w:rsid w:val="00162954"/>
    <w:rsid w:val="001B12DC"/>
    <w:rsid w:val="00211B05"/>
    <w:rsid w:val="00222308"/>
    <w:rsid w:val="00275AAB"/>
    <w:rsid w:val="002A3EDD"/>
    <w:rsid w:val="002A4366"/>
    <w:rsid w:val="002A4F4D"/>
    <w:rsid w:val="002C28D2"/>
    <w:rsid w:val="00347BEF"/>
    <w:rsid w:val="0035702D"/>
    <w:rsid w:val="003705EF"/>
    <w:rsid w:val="003800CA"/>
    <w:rsid w:val="003856DB"/>
    <w:rsid w:val="003F4F23"/>
    <w:rsid w:val="004058C5"/>
    <w:rsid w:val="00420B79"/>
    <w:rsid w:val="00491194"/>
    <w:rsid w:val="004E576B"/>
    <w:rsid w:val="00531F3C"/>
    <w:rsid w:val="005640D4"/>
    <w:rsid w:val="00586AE7"/>
    <w:rsid w:val="005A6939"/>
    <w:rsid w:val="005B322E"/>
    <w:rsid w:val="005D25A8"/>
    <w:rsid w:val="005E1185"/>
    <w:rsid w:val="00626B2D"/>
    <w:rsid w:val="0064531B"/>
    <w:rsid w:val="006A2CB1"/>
    <w:rsid w:val="006B35F0"/>
    <w:rsid w:val="006C5310"/>
    <w:rsid w:val="00701B6B"/>
    <w:rsid w:val="00740D4E"/>
    <w:rsid w:val="007C3021"/>
    <w:rsid w:val="007D2D0F"/>
    <w:rsid w:val="00813E78"/>
    <w:rsid w:val="0082692B"/>
    <w:rsid w:val="00827193"/>
    <w:rsid w:val="00852F85"/>
    <w:rsid w:val="008553D5"/>
    <w:rsid w:val="008B104D"/>
    <w:rsid w:val="008C37F1"/>
    <w:rsid w:val="008D0158"/>
    <w:rsid w:val="008D3850"/>
    <w:rsid w:val="008D5E57"/>
    <w:rsid w:val="008D7076"/>
    <w:rsid w:val="008E1BFB"/>
    <w:rsid w:val="008E2569"/>
    <w:rsid w:val="008F5862"/>
    <w:rsid w:val="009420BA"/>
    <w:rsid w:val="009C6992"/>
    <w:rsid w:val="009E2BF8"/>
    <w:rsid w:val="009E4398"/>
    <w:rsid w:val="00A167E6"/>
    <w:rsid w:val="00A2378F"/>
    <w:rsid w:val="00A50A03"/>
    <w:rsid w:val="00A84E88"/>
    <w:rsid w:val="00A86A94"/>
    <w:rsid w:val="00A902F7"/>
    <w:rsid w:val="00B02F7A"/>
    <w:rsid w:val="00B408FC"/>
    <w:rsid w:val="00B44671"/>
    <w:rsid w:val="00B73073"/>
    <w:rsid w:val="00BB5C00"/>
    <w:rsid w:val="00BC4677"/>
    <w:rsid w:val="00BE3DA2"/>
    <w:rsid w:val="00BF2FDA"/>
    <w:rsid w:val="00BF3503"/>
    <w:rsid w:val="00C55079"/>
    <w:rsid w:val="00C55AC3"/>
    <w:rsid w:val="00C83B3D"/>
    <w:rsid w:val="00CD03E6"/>
    <w:rsid w:val="00CF0834"/>
    <w:rsid w:val="00CF2B7B"/>
    <w:rsid w:val="00D4421F"/>
    <w:rsid w:val="00D63185"/>
    <w:rsid w:val="00D7262F"/>
    <w:rsid w:val="00D731D4"/>
    <w:rsid w:val="00DD3496"/>
    <w:rsid w:val="00E01662"/>
    <w:rsid w:val="00E8636E"/>
    <w:rsid w:val="00EA67D9"/>
    <w:rsid w:val="00EC2D5B"/>
    <w:rsid w:val="00EF43F5"/>
    <w:rsid w:val="00F06908"/>
    <w:rsid w:val="00F23BA4"/>
    <w:rsid w:val="00F50BF4"/>
    <w:rsid w:val="00F77C16"/>
    <w:rsid w:val="00F936C7"/>
    <w:rsid w:val="00FA60C8"/>
    <w:rsid w:val="00FC472B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85C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  <w:style w:type="paragraph" w:customStyle="1" w:styleId="yiv7953334852msonormal">
    <w:name w:val="yiv7953334852msonormal"/>
    <w:basedOn w:val="Normlny"/>
    <w:rsid w:val="00C550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0575AC"/>
    <w:pPr>
      <w:adjustRightInd/>
      <w:spacing w:before="2"/>
      <w:ind w:left="38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  <w:style w:type="paragraph" w:customStyle="1" w:styleId="yiv7953334852msonormal">
    <w:name w:val="yiv7953334852msonormal"/>
    <w:basedOn w:val="Normlny"/>
    <w:rsid w:val="00C550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0575AC"/>
    <w:pPr>
      <w:adjustRightInd/>
      <w:spacing w:before="2"/>
      <w:ind w:left="38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2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0BD5-6F84-49D9-B200-3D74F605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3793</Words>
  <Characters>21621</Characters>
  <Application>Microsoft Office Word</Application>
  <DocSecurity>0</DocSecurity>
  <Lines>180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25364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Uhnáková Milota</cp:lastModifiedBy>
  <cp:revision>2</cp:revision>
  <cp:lastPrinted>2018-02-08T16:08:00Z</cp:lastPrinted>
  <dcterms:created xsi:type="dcterms:W3CDTF">2020-11-23T09:37:00Z</dcterms:created>
  <dcterms:modified xsi:type="dcterms:W3CDTF">2020-11-23T09:37:00Z</dcterms:modified>
</cp:coreProperties>
</file>