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08DF54" w14:textId="77777777" w:rsidR="0035791E" w:rsidRPr="004C15A2" w:rsidRDefault="0035791E" w:rsidP="00097A42">
      <w:pPr>
        <w:pStyle w:val="Hlavika"/>
        <w:jc w:val="center"/>
        <w:rPr>
          <w:b/>
          <w:sz w:val="22"/>
          <w:szCs w:val="22"/>
          <w:lang w:val="sk-SK"/>
        </w:rPr>
      </w:pPr>
      <w:r w:rsidRPr="004C15A2">
        <w:rPr>
          <w:b/>
          <w:sz w:val="22"/>
          <w:szCs w:val="22"/>
          <w:lang w:val="sk-SK"/>
        </w:rPr>
        <w:t>SÚHRN CHARAKTERISTICKÝCH VLASTNOSTÍ LIEKU</w:t>
      </w:r>
    </w:p>
    <w:p w14:paraId="0A6C8737" w14:textId="77777777" w:rsidR="0035791E" w:rsidRPr="004C15A2" w:rsidRDefault="0035791E" w:rsidP="00097A42">
      <w:pPr>
        <w:pStyle w:val="Hlavika"/>
        <w:tabs>
          <w:tab w:val="clear" w:pos="4320"/>
          <w:tab w:val="clear" w:pos="8640"/>
        </w:tabs>
        <w:overflowPunct/>
        <w:autoSpaceDE/>
        <w:autoSpaceDN/>
        <w:adjustRightInd/>
        <w:textAlignment w:val="auto"/>
        <w:rPr>
          <w:sz w:val="22"/>
          <w:szCs w:val="22"/>
          <w:lang w:val="sk-SK"/>
        </w:rPr>
      </w:pPr>
    </w:p>
    <w:p w14:paraId="008BF977" w14:textId="77777777" w:rsidR="0035791E" w:rsidRPr="004C15A2" w:rsidRDefault="0035791E" w:rsidP="00097A42">
      <w:pPr>
        <w:pStyle w:val="Nadpis1"/>
        <w:tabs>
          <w:tab w:val="left" w:pos="567"/>
        </w:tabs>
        <w:spacing w:before="0"/>
        <w:rPr>
          <w:sz w:val="22"/>
          <w:szCs w:val="22"/>
        </w:rPr>
      </w:pPr>
      <w:r w:rsidRPr="004C15A2">
        <w:rPr>
          <w:sz w:val="22"/>
          <w:szCs w:val="22"/>
        </w:rPr>
        <w:t xml:space="preserve">1. </w:t>
      </w:r>
      <w:r w:rsidRPr="004C15A2">
        <w:rPr>
          <w:sz w:val="22"/>
          <w:szCs w:val="22"/>
        </w:rPr>
        <w:tab/>
        <w:t>NÁZOV LIEKU</w:t>
      </w:r>
    </w:p>
    <w:p w14:paraId="14EDEB5A" w14:textId="77777777" w:rsidR="0035791E" w:rsidRPr="004C15A2" w:rsidRDefault="0035791E" w:rsidP="00097A42">
      <w:pPr>
        <w:rPr>
          <w:sz w:val="22"/>
          <w:szCs w:val="22"/>
          <w:lang w:val="sk-SK"/>
        </w:rPr>
      </w:pPr>
    </w:p>
    <w:p w14:paraId="066A9A1E" w14:textId="77777777" w:rsidR="0035791E" w:rsidRPr="004C15A2" w:rsidRDefault="0035791E" w:rsidP="00097A42">
      <w:pPr>
        <w:pStyle w:val="Nadpis2"/>
        <w:jc w:val="left"/>
        <w:rPr>
          <w:bCs/>
          <w:sz w:val="22"/>
          <w:szCs w:val="22"/>
          <w:lang w:val="sk-SK"/>
        </w:rPr>
      </w:pPr>
      <w:r w:rsidRPr="004C15A2">
        <w:rPr>
          <w:bCs/>
          <w:sz w:val="22"/>
          <w:szCs w:val="22"/>
          <w:lang w:val="sk-SK"/>
        </w:rPr>
        <w:t>XALACOM</w:t>
      </w:r>
    </w:p>
    <w:p w14:paraId="42A71547" w14:textId="77777777" w:rsidR="002117E4" w:rsidRPr="004C15A2" w:rsidRDefault="00D40AE9" w:rsidP="00097A42">
      <w:pPr>
        <w:rPr>
          <w:bCs/>
          <w:sz w:val="22"/>
          <w:szCs w:val="22"/>
          <w:lang w:val="sk-SK"/>
        </w:rPr>
      </w:pPr>
      <w:r w:rsidRPr="004C15A2">
        <w:rPr>
          <w:bCs/>
          <w:sz w:val="22"/>
          <w:szCs w:val="22"/>
          <w:lang w:val="sk-SK"/>
        </w:rPr>
        <w:t>0,0</w:t>
      </w:r>
      <w:r w:rsidR="002117E4" w:rsidRPr="004C15A2">
        <w:rPr>
          <w:bCs/>
          <w:sz w:val="22"/>
          <w:szCs w:val="22"/>
          <w:lang w:val="sk-SK"/>
        </w:rPr>
        <w:t>5</w:t>
      </w:r>
      <w:r w:rsidRPr="004C15A2">
        <w:rPr>
          <w:bCs/>
          <w:sz w:val="22"/>
          <w:szCs w:val="22"/>
          <w:lang w:val="sk-SK"/>
        </w:rPr>
        <w:t xml:space="preserve"> mg/ml + 5 mg/ml, </w:t>
      </w:r>
      <w:r w:rsidR="002117E4" w:rsidRPr="004C15A2">
        <w:rPr>
          <w:bCs/>
          <w:sz w:val="22"/>
          <w:szCs w:val="22"/>
          <w:lang w:val="sk-SK"/>
        </w:rPr>
        <w:t>očná roztoková instilácia</w:t>
      </w:r>
    </w:p>
    <w:p w14:paraId="1EE8129C" w14:textId="77777777" w:rsidR="0035791E" w:rsidRPr="004C15A2" w:rsidRDefault="0035791E" w:rsidP="00097A42">
      <w:pPr>
        <w:rPr>
          <w:sz w:val="22"/>
          <w:szCs w:val="22"/>
          <w:lang w:val="sk-SK"/>
        </w:rPr>
      </w:pPr>
    </w:p>
    <w:p w14:paraId="481EA351" w14:textId="77777777" w:rsidR="0035791E" w:rsidRPr="00673AFB" w:rsidRDefault="0035791E" w:rsidP="00097A42">
      <w:pPr>
        <w:rPr>
          <w:sz w:val="22"/>
          <w:szCs w:val="22"/>
          <w:lang w:val="sk-SK"/>
        </w:rPr>
      </w:pPr>
    </w:p>
    <w:p w14:paraId="5A6C408D" w14:textId="77777777" w:rsidR="0035791E" w:rsidRPr="00673AFB" w:rsidRDefault="0035791E" w:rsidP="00097A42">
      <w:pPr>
        <w:tabs>
          <w:tab w:val="left" w:pos="567"/>
        </w:tabs>
        <w:rPr>
          <w:b/>
          <w:sz w:val="22"/>
          <w:szCs w:val="22"/>
          <w:lang w:val="sk-SK"/>
        </w:rPr>
      </w:pPr>
      <w:r w:rsidRPr="00673AFB">
        <w:rPr>
          <w:b/>
          <w:sz w:val="22"/>
          <w:szCs w:val="22"/>
          <w:lang w:val="sk-SK"/>
        </w:rPr>
        <w:t xml:space="preserve">2. </w:t>
      </w:r>
      <w:r w:rsidRPr="00673AFB">
        <w:rPr>
          <w:b/>
          <w:sz w:val="22"/>
          <w:szCs w:val="22"/>
          <w:lang w:val="sk-SK"/>
        </w:rPr>
        <w:tab/>
        <w:t>KVALITATÍVNE A KVANTITATÍVNE ZLOŽENIE</w:t>
      </w:r>
    </w:p>
    <w:p w14:paraId="05F5512B" w14:textId="77777777" w:rsidR="0035791E" w:rsidRPr="00673AFB" w:rsidRDefault="0035791E" w:rsidP="00097A42">
      <w:pPr>
        <w:rPr>
          <w:sz w:val="22"/>
          <w:szCs w:val="22"/>
          <w:lang w:val="sk-SK"/>
        </w:rPr>
      </w:pPr>
    </w:p>
    <w:p w14:paraId="2F37A056" w14:textId="057F8959" w:rsidR="0035791E" w:rsidRPr="00673AFB" w:rsidRDefault="0035791E" w:rsidP="00097A42">
      <w:pPr>
        <w:rPr>
          <w:sz w:val="22"/>
          <w:szCs w:val="22"/>
          <w:lang w:val="sk-SK"/>
        </w:rPr>
      </w:pPr>
      <w:r w:rsidRPr="00673AFB">
        <w:rPr>
          <w:sz w:val="22"/>
          <w:szCs w:val="22"/>
          <w:lang w:val="sk-SK"/>
        </w:rPr>
        <w:t xml:space="preserve">1 ml očnej roztokovej instilácie obsahuje </w:t>
      </w:r>
      <w:r w:rsidR="00726504">
        <w:rPr>
          <w:sz w:val="22"/>
          <w:szCs w:val="22"/>
          <w:lang w:val="sk-SK"/>
        </w:rPr>
        <w:t>0,0</w:t>
      </w:r>
      <w:r w:rsidRPr="002C3A01">
        <w:rPr>
          <w:sz w:val="22"/>
          <w:szCs w:val="22"/>
          <w:lang w:val="sk-SK"/>
        </w:rPr>
        <w:t>5</w:t>
      </w:r>
      <w:r w:rsidR="00757AE7" w:rsidRPr="002C3A01">
        <w:rPr>
          <w:sz w:val="22"/>
          <w:szCs w:val="22"/>
        </w:rPr>
        <w:t xml:space="preserve"> m</w:t>
      </w:r>
      <w:r w:rsidR="00726504">
        <w:rPr>
          <w:sz w:val="22"/>
          <w:szCs w:val="22"/>
        </w:rPr>
        <w:t>g</w:t>
      </w:r>
      <w:r w:rsidRPr="002C3A01">
        <w:rPr>
          <w:sz w:val="22"/>
          <w:szCs w:val="22"/>
          <w:lang w:val="sk-SK"/>
        </w:rPr>
        <w:t xml:space="preserve"> </w:t>
      </w:r>
      <w:r w:rsidRPr="00673AFB">
        <w:rPr>
          <w:sz w:val="22"/>
          <w:szCs w:val="22"/>
          <w:lang w:val="sk-SK"/>
        </w:rPr>
        <w:t xml:space="preserve">latanoprostu a 5,0 mg timololu (ako 6,8 mg </w:t>
      </w:r>
      <w:r w:rsidR="00673AFB" w:rsidRPr="00170A8F">
        <w:rPr>
          <w:sz w:val="22"/>
          <w:szCs w:val="22"/>
        </w:rPr>
        <w:t>timolólium-hydrogenmaleát</w:t>
      </w:r>
      <w:r w:rsidR="00673AFB">
        <w:rPr>
          <w:sz w:val="22"/>
          <w:szCs w:val="22"/>
        </w:rPr>
        <w:t>u</w:t>
      </w:r>
      <w:r w:rsidRPr="00673AFB">
        <w:rPr>
          <w:sz w:val="22"/>
          <w:szCs w:val="22"/>
          <w:lang w:val="sk-SK"/>
        </w:rPr>
        <w:t>).</w:t>
      </w:r>
    </w:p>
    <w:p w14:paraId="040EC230" w14:textId="77777777" w:rsidR="0035791E" w:rsidRPr="00CD2862" w:rsidRDefault="0035791E" w:rsidP="00097A42">
      <w:pPr>
        <w:rPr>
          <w:sz w:val="22"/>
          <w:szCs w:val="22"/>
          <w:lang w:val="sk-SK"/>
        </w:rPr>
      </w:pPr>
    </w:p>
    <w:p w14:paraId="453C4EBB" w14:textId="276D59C6" w:rsidR="0035791E" w:rsidRPr="00CD2862" w:rsidRDefault="0035791E" w:rsidP="00097A42">
      <w:pPr>
        <w:rPr>
          <w:sz w:val="22"/>
          <w:szCs w:val="22"/>
          <w:lang w:val="sk-SK"/>
        </w:rPr>
      </w:pPr>
      <w:r w:rsidRPr="00CD2862">
        <w:rPr>
          <w:sz w:val="22"/>
          <w:szCs w:val="22"/>
          <w:lang w:val="sk-SK"/>
        </w:rPr>
        <w:t xml:space="preserve">1 kvapka obsahuje približne </w:t>
      </w:r>
      <w:r w:rsidR="00D65C4E" w:rsidRPr="00D65C4E">
        <w:rPr>
          <w:sz w:val="22"/>
          <w:szCs w:val="22"/>
          <w:lang w:val="sk-SK"/>
        </w:rPr>
        <w:t>0,0015 mg latanoprostu a 0,15 mg timololu</w:t>
      </w:r>
      <w:r w:rsidRPr="00CD2862">
        <w:rPr>
          <w:sz w:val="22"/>
          <w:szCs w:val="22"/>
          <w:lang w:val="sk-SK"/>
        </w:rPr>
        <w:t>.</w:t>
      </w:r>
    </w:p>
    <w:p w14:paraId="35A5249D" w14:textId="77777777" w:rsidR="0035791E" w:rsidRPr="00CD2862" w:rsidRDefault="0035791E" w:rsidP="00097A42">
      <w:pPr>
        <w:rPr>
          <w:sz w:val="22"/>
          <w:szCs w:val="22"/>
          <w:lang w:val="sk-SK"/>
        </w:rPr>
      </w:pPr>
    </w:p>
    <w:p w14:paraId="1B7A7C38" w14:textId="29124950" w:rsidR="00922211" w:rsidRPr="00673AFB" w:rsidRDefault="0035791E" w:rsidP="00097A42">
      <w:pPr>
        <w:rPr>
          <w:sz w:val="22"/>
          <w:szCs w:val="22"/>
          <w:u w:val="single"/>
          <w:lang w:val="sk-SK"/>
        </w:rPr>
      </w:pPr>
      <w:r w:rsidRPr="00673AFB">
        <w:rPr>
          <w:sz w:val="22"/>
          <w:szCs w:val="22"/>
          <w:u w:val="single"/>
          <w:lang w:val="sk-SK"/>
        </w:rPr>
        <w:t>Pomocn</w:t>
      </w:r>
      <w:r w:rsidR="008E145C">
        <w:rPr>
          <w:sz w:val="22"/>
          <w:szCs w:val="22"/>
          <w:u w:val="single"/>
          <w:lang w:val="sk-SK"/>
        </w:rPr>
        <w:t>é</w:t>
      </w:r>
      <w:r w:rsidRPr="00673AFB">
        <w:rPr>
          <w:sz w:val="22"/>
          <w:szCs w:val="22"/>
          <w:u w:val="single"/>
          <w:lang w:val="sk-SK"/>
        </w:rPr>
        <w:t xml:space="preserve"> látk</w:t>
      </w:r>
      <w:r w:rsidR="008E145C">
        <w:rPr>
          <w:sz w:val="22"/>
          <w:szCs w:val="22"/>
          <w:u w:val="single"/>
          <w:lang w:val="sk-SK"/>
        </w:rPr>
        <w:t>y</w:t>
      </w:r>
      <w:r w:rsidR="00922211" w:rsidRPr="00673AFB">
        <w:rPr>
          <w:sz w:val="22"/>
          <w:szCs w:val="22"/>
          <w:u w:val="single"/>
          <w:lang w:val="sk-SK"/>
        </w:rPr>
        <w:t xml:space="preserve"> so známym účinkom</w:t>
      </w:r>
      <w:r w:rsidR="00673AFB">
        <w:rPr>
          <w:sz w:val="22"/>
          <w:szCs w:val="22"/>
          <w:u w:val="single"/>
          <w:lang w:val="sk-SK"/>
        </w:rPr>
        <w:t>:</w:t>
      </w:r>
    </w:p>
    <w:p w14:paraId="1B583A09" w14:textId="2495EFFF" w:rsidR="00443162" w:rsidRPr="00906112" w:rsidRDefault="00673AFB" w:rsidP="00097A42">
      <w:pPr>
        <w:rPr>
          <w:bCs/>
          <w:sz w:val="22"/>
          <w:szCs w:val="22"/>
          <w:lang w:val="sk-SK"/>
        </w:rPr>
      </w:pPr>
      <w:r>
        <w:rPr>
          <w:sz w:val="22"/>
          <w:szCs w:val="22"/>
          <w:lang w:val="sk-SK"/>
        </w:rPr>
        <w:t>b</w:t>
      </w:r>
      <w:r w:rsidR="00A7317A">
        <w:rPr>
          <w:sz w:val="22"/>
          <w:szCs w:val="22"/>
          <w:lang w:val="sk-SK"/>
        </w:rPr>
        <w:t>enzalkónium</w:t>
      </w:r>
      <w:r>
        <w:rPr>
          <w:sz w:val="22"/>
          <w:szCs w:val="22"/>
          <w:lang w:val="sk-SK"/>
        </w:rPr>
        <w:noBreakHyphen/>
      </w:r>
      <w:r w:rsidR="00A7317A">
        <w:rPr>
          <w:sz w:val="22"/>
          <w:szCs w:val="22"/>
          <w:lang w:val="sk-SK"/>
        </w:rPr>
        <w:t>chlorid 0,2 mg/ml</w:t>
      </w:r>
      <w:r w:rsidR="00237F05">
        <w:rPr>
          <w:sz w:val="22"/>
          <w:szCs w:val="22"/>
          <w:lang w:val="sk-SK"/>
        </w:rPr>
        <w:t>.</w:t>
      </w:r>
    </w:p>
    <w:p w14:paraId="22B737D9" w14:textId="2724C68E" w:rsidR="0035791E" w:rsidRPr="00673AFB" w:rsidRDefault="00673AFB" w:rsidP="00097A42">
      <w:pPr>
        <w:rPr>
          <w:bCs/>
          <w:sz w:val="22"/>
          <w:szCs w:val="22"/>
          <w:lang w:val="sk-SK"/>
        </w:rPr>
      </w:pPr>
      <w:r>
        <w:rPr>
          <w:bCs/>
          <w:sz w:val="22"/>
          <w:szCs w:val="22"/>
          <w:lang w:val="sk-SK"/>
        </w:rPr>
        <w:t>h</w:t>
      </w:r>
      <w:r w:rsidR="0008423B">
        <w:rPr>
          <w:bCs/>
          <w:sz w:val="22"/>
          <w:szCs w:val="22"/>
          <w:lang w:val="sk-SK"/>
        </w:rPr>
        <w:t>ydrogenf</w:t>
      </w:r>
      <w:r w:rsidR="00A7317A" w:rsidRPr="00673AFB">
        <w:rPr>
          <w:bCs/>
          <w:sz w:val="22"/>
          <w:szCs w:val="22"/>
          <w:lang w:val="sk-SK"/>
        </w:rPr>
        <w:t>osforečnan sodný (E339ii)</w:t>
      </w:r>
      <w:r w:rsidR="00785ED0">
        <w:rPr>
          <w:bCs/>
          <w:sz w:val="22"/>
          <w:szCs w:val="22"/>
          <w:lang w:val="sk-SK"/>
        </w:rPr>
        <w:t>,</w:t>
      </w:r>
      <w:r w:rsidR="00A7317A" w:rsidRPr="00673AFB">
        <w:rPr>
          <w:bCs/>
          <w:sz w:val="22"/>
          <w:szCs w:val="22"/>
          <w:lang w:val="sk-SK"/>
        </w:rPr>
        <w:t xml:space="preserve"> </w:t>
      </w:r>
      <w:r w:rsidR="00785ED0">
        <w:rPr>
          <w:bCs/>
          <w:sz w:val="22"/>
          <w:szCs w:val="22"/>
          <w:lang w:val="sk-SK"/>
        </w:rPr>
        <w:t>mono</w:t>
      </w:r>
      <w:r w:rsidR="00785ED0" w:rsidRPr="0073725F">
        <w:rPr>
          <w:bCs/>
          <w:sz w:val="22"/>
          <w:szCs w:val="22"/>
          <w:lang w:val="sk-SK"/>
        </w:rPr>
        <w:t>hydrát</w:t>
      </w:r>
      <w:r w:rsidR="00785ED0">
        <w:rPr>
          <w:bCs/>
          <w:sz w:val="22"/>
          <w:szCs w:val="22"/>
          <w:lang w:val="sk-SK"/>
        </w:rPr>
        <w:t xml:space="preserve"> </w:t>
      </w:r>
      <w:r w:rsidR="00757AE7">
        <w:rPr>
          <w:bCs/>
          <w:sz w:val="22"/>
          <w:szCs w:val="22"/>
          <w:lang w:val="sk-SK"/>
        </w:rPr>
        <w:t>d</w:t>
      </w:r>
      <w:r w:rsidR="00A7317A" w:rsidRPr="00673AFB">
        <w:rPr>
          <w:bCs/>
          <w:sz w:val="22"/>
          <w:szCs w:val="22"/>
          <w:lang w:val="sk-SK"/>
        </w:rPr>
        <w:t>ihydrogenfosforečnan</w:t>
      </w:r>
      <w:r w:rsidR="004C0B60">
        <w:rPr>
          <w:bCs/>
          <w:sz w:val="22"/>
          <w:szCs w:val="22"/>
          <w:lang w:val="sk-SK"/>
        </w:rPr>
        <w:t>u</w:t>
      </w:r>
      <w:r w:rsidR="00A7317A" w:rsidRPr="00673AFB">
        <w:rPr>
          <w:bCs/>
          <w:sz w:val="22"/>
          <w:szCs w:val="22"/>
          <w:lang w:val="sk-SK"/>
        </w:rPr>
        <w:t xml:space="preserve"> sodn</w:t>
      </w:r>
      <w:r w:rsidR="004C0B60">
        <w:rPr>
          <w:bCs/>
          <w:sz w:val="22"/>
          <w:szCs w:val="22"/>
          <w:lang w:val="sk-SK"/>
        </w:rPr>
        <w:t>ého</w:t>
      </w:r>
      <w:r w:rsidR="00A7317A" w:rsidRPr="00673AFB">
        <w:rPr>
          <w:bCs/>
          <w:sz w:val="22"/>
          <w:szCs w:val="22"/>
          <w:lang w:val="sk-SK"/>
        </w:rPr>
        <w:t xml:space="preserve"> (E339i) (c</w:t>
      </w:r>
      <w:r w:rsidR="00906112" w:rsidRPr="00673AFB">
        <w:rPr>
          <w:bCs/>
          <w:sz w:val="22"/>
          <w:szCs w:val="22"/>
          <w:lang w:val="sk-SK"/>
        </w:rPr>
        <w:t>elkový obsah fosforečnanov</w:t>
      </w:r>
      <w:r w:rsidR="00A7317A" w:rsidRPr="00673AFB">
        <w:rPr>
          <w:bCs/>
          <w:sz w:val="22"/>
          <w:szCs w:val="22"/>
          <w:lang w:val="sk-SK"/>
        </w:rPr>
        <w:t xml:space="preserve"> 6</w:t>
      </w:r>
      <w:r w:rsidR="008E145C">
        <w:rPr>
          <w:bCs/>
          <w:sz w:val="22"/>
          <w:szCs w:val="22"/>
          <w:lang w:val="sk-SK"/>
        </w:rPr>
        <w:t>,</w:t>
      </w:r>
      <w:r w:rsidR="00A7317A" w:rsidRPr="00673AFB">
        <w:rPr>
          <w:bCs/>
          <w:sz w:val="22"/>
          <w:szCs w:val="22"/>
          <w:lang w:val="sk-SK"/>
        </w:rPr>
        <w:t>3 mg/</w:t>
      </w:r>
      <w:r w:rsidR="00906112" w:rsidRPr="00673AFB">
        <w:rPr>
          <w:bCs/>
          <w:sz w:val="22"/>
          <w:szCs w:val="22"/>
          <w:lang w:val="sk-SK"/>
        </w:rPr>
        <w:t>ml</w:t>
      </w:r>
      <w:r w:rsidR="00A7317A" w:rsidRPr="00673AFB">
        <w:rPr>
          <w:bCs/>
          <w:sz w:val="22"/>
          <w:szCs w:val="22"/>
          <w:lang w:val="sk-SK"/>
        </w:rPr>
        <w:t>)</w:t>
      </w:r>
      <w:r w:rsidR="00237F05">
        <w:rPr>
          <w:bCs/>
          <w:sz w:val="22"/>
          <w:szCs w:val="22"/>
          <w:lang w:val="sk-SK"/>
        </w:rPr>
        <w:t>.</w:t>
      </w:r>
    </w:p>
    <w:p w14:paraId="69E64BBB" w14:textId="77777777" w:rsidR="00A7317A" w:rsidRPr="00170A8F" w:rsidRDefault="00A7317A" w:rsidP="00097A42">
      <w:pPr>
        <w:rPr>
          <w:sz w:val="22"/>
          <w:szCs w:val="22"/>
          <w:lang w:val="sk-SK"/>
        </w:rPr>
      </w:pPr>
    </w:p>
    <w:p w14:paraId="42F44536" w14:textId="77777777" w:rsidR="0035791E" w:rsidRPr="002C3A01" w:rsidRDefault="0035791E" w:rsidP="00097A42">
      <w:pPr>
        <w:rPr>
          <w:sz w:val="22"/>
          <w:szCs w:val="22"/>
          <w:lang w:val="sk-SK"/>
        </w:rPr>
      </w:pPr>
      <w:r w:rsidRPr="002C3A01">
        <w:rPr>
          <w:sz w:val="22"/>
          <w:szCs w:val="22"/>
          <w:lang w:val="sk-SK"/>
        </w:rPr>
        <w:t>Úplný zoznam pomocných látok, pozri časť 6.1.</w:t>
      </w:r>
    </w:p>
    <w:p w14:paraId="30100142" w14:textId="77777777" w:rsidR="0035791E" w:rsidRPr="00170A8F" w:rsidRDefault="0035791E" w:rsidP="00097A42">
      <w:pPr>
        <w:rPr>
          <w:sz w:val="22"/>
          <w:szCs w:val="22"/>
          <w:lang w:val="sk-SK"/>
        </w:rPr>
      </w:pPr>
    </w:p>
    <w:p w14:paraId="710D163E" w14:textId="77777777" w:rsidR="0035791E" w:rsidRPr="00170A8F" w:rsidRDefault="0035791E" w:rsidP="00097A42">
      <w:pPr>
        <w:rPr>
          <w:sz w:val="22"/>
          <w:szCs w:val="22"/>
          <w:lang w:val="sk-SK"/>
        </w:rPr>
      </w:pPr>
    </w:p>
    <w:p w14:paraId="1E1B3D7D" w14:textId="77777777" w:rsidR="0035791E" w:rsidRPr="004C15A2" w:rsidRDefault="0035791E" w:rsidP="00097A42">
      <w:pPr>
        <w:tabs>
          <w:tab w:val="left" w:pos="567"/>
        </w:tabs>
        <w:rPr>
          <w:b/>
          <w:sz w:val="22"/>
          <w:szCs w:val="22"/>
          <w:lang w:val="sk-SK"/>
        </w:rPr>
      </w:pPr>
      <w:r w:rsidRPr="004C15A2">
        <w:rPr>
          <w:b/>
          <w:sz w:val="22"/>
          <w:szCs w:val="22"/>
          <w:lang w:val="sk-SK"/>
        </w:rPr>
        <w:t xml:space="preserve">3. </w:t>
      </w:r>
      <w:r w:rsidRPr="004C15A2">
        <w:rPr>
          <w:b/>
          <w:sz w:val="22"/>
          <w:szCs w:val="22"/>
          <w:lang w:val="sk-SK"/>
        </w:rPr>
        <w:tab/>
        <w:t>LIEKOVÁ FORMA</w:t>
      </w:r>
    </w:p>
    <w:p w14:paraId="1612ACB8" w14:textId="77777777" w:rsidR="0035791E" w:rsidRPr="004C15A2" w:rsidRDefault="0035791E" w:rsidP="00097A42">
      <w:pPr>
        <w:rPr>
          <w:b/>
          <w:sz w:val="22"/>
          <w:szCs w:val="22"/>
          <w:lang w:val="sk-SK"/>
        </w:rPr>
      </w:pPr>
    </w:p>
    <w:p w14:paraId="6578CD2F" w14:textId="77777777" w:rsidR="0035791E" w:rsidRPr="004C15A2" w:rsidRDefault="0035791E" w:rsidP="00097A42">
      <w:pPr>
        <w:pStyle w:val="Nadpis3"/>
        <w:numPr>
          <w:ilvl w:val="0"/>
          <w:numId w:val="0"/>
        </w:numPr>
        <w:jc w:val="left"/>
        <w:rPr>
          <w:rFonts w:ascii="Times New Roman" w:hAnsi="Times New Roman" w:cs="Times New Roman"/>
          <w:b w:val="0"/>
          <w:sz w:val="22"/>
          <w:szCs w:val="22"/>
          <w:lang w:val="sk-SK"/>
        </w:rPr>
      </w:pPr>
      <w:r w:rsidRPr="004C15A2">
        <w:rPr>
          <w:rFonts w:ascii="Times New Roman" w:hAnsi="Times New Roman" w:cs="Times New Roman"/>
          <w:b w:val="0"/>
          <w:sz w:val="22"/>
          <w:szCs w:val="22"/>
          <w:lang w:val="sk-SK"/>
        </w:rPr>
        <w:t>Očná roztoková instilácia</w:t>
      </w:r>
      <w:r w:rsidR="0006656D" w:rsidRPr="004C15A2">
        <w:rPr>
          <w:rFonts w:ascii="Times New Roman" w:hAnsi="Times New Roman" w:cs="Times New Roman"/>
          <w:b w:val="0"/>
          <w:sz w:val="22"/>
          <w:szCs w:val="22"/>
          <w:lang w:val="sk-SK"/>
        </w:rPr>
        <w:t xml:space="preserve"> je číry bezfarebný roztok.</w:t>
      </w:r>
    </w:p>
    <w:p w14:paraId="666462B5" w14:textId="77777777" w:rsidR="0035791E" w:rsidRPr="004C15A2" w:rsidRDefault="0035791E" w:rsidP="00097A42">
      <w:pPr>
        <w:rPr>
          <w:sz w:val="22"/>
          <w:szCs w:val="22"/>
          <w:lang w:val="sk-SK"/>
        </w:rPr>
      </w:pPr>
    </w:p>
    <w:p w14:paraId="342BA367" w14:textId="77777777" w:rsidR="0035791E" w:rsidRPr="004C15A2" w:rsidRDefault="0035791E" w:rsidP="00097A42">
      <w:pPr>
        <w:rPr>
          <w:sz w:val="22"/>
          <w:szCs w:val="22"/>
          <w:lang w:val="sk-SK"/>
        </w:rPr>
      </w:pPr>
    </w:p>
    <w:p w14:paraId="0928849B" w14:textId="77777777" w:rsidR="0035791E" w:rsidRPr="004C15A2" w:rsidRDefault="0035791E" w:rsidP="00097A42">
      <w:pPr>
        <w:tabs>
          <w:tab w:val="left" w:pos="567"/>
        </w:tabs>
        <w:rPr>
          <w:b/>
          <w:sz w:val="22"/>
          <w:szCs w:val="22"/>
          <w:lang w:val="sk-SK"/>
        </w:rPr>
      </w:pPr>
      <w:r w:rsidRPr="004C15A2">
        <w:rPr>
          <w:b/>
          <w:sz w:val="22"/>
          <w:szCs w:val="22"/>
          <w:lang w:val="sk-SK"/>
        </w:rPr>
        <w:t xml:space="preserve">4. </w:t>
      </w:r>
      <w:r w:rsidRPr="004C15A2">
        <w:rPr>
          <w:b/>
          <w:sz w:val="22"/>
          <w:szCs w:val="22"/>
          <w:lang w:val="sk-SK"/>
        </w:rPr>
        <w:tab/>
        <w:t>KLINICKÉ ÚDAJE</w:t>
      </w:r>
    </w:p>
    <w:p w14:paraId="7273EE25" w14:textId="77777777" w:rsidR="0035791E" w:rsidRPr="00170A8F" w:rsidRDefault="0035791E" w:rsidP="00097A42">
      <w:pPr>
        <w:rPr>
          <w:sz w:val="22"/>
          <w:szCs w:val="22"/>
          <w:lang w:val="sk-SK"/>
        </w:rPr>
      </w:pPr>
    </w:p>
    <w:p w14:paraId="6483F85A" w14:textId="77777777" w:rsidR="0035791E" w:rsidRPr="004C15A2" w:rsidRDefault="0035791E" w:rsidP="00097A42">
      <w:pPr>
        <w:tabs>
          <w:tab w:val="left" w:pos="567"/>
        </w:tabs>
        <w:rPr>
          <w:b/>
          <w:sz w:val="22"/>
          <w:szCs w:val="22"/>
          <w:lang w:val="sk-SK"/>
        </w:rPr>
      </w:pPr>
      <w:r w:rsidRPr="004C15A2">
        <w:rPr>
          <w:b/>
          <w:sz w:val="22"/>
          <w:szCs w:val="22"/>
          <w:lang w:val="sk-SK"/>
        </w:rPr>
        <w:t>4.1</w:t>
      </w:r>
      <w:r w:rsidRPr="004C15A2">
        <w:rPr>
          <w:b/>
          <w:sz w:val="22"/>
          <w:szCs w:val="22"/>
          <w:lang w:val="sk-SK"/>
        </w:rPr>
        <w:tab/>
        <w:t>Terapeutické indikácie</w:t>
      </w:r>
    </w:p>
    <w:p w14:paraId="35DB78BA" w14:textId="77777777" w:rsidR="0035791E" w:rsidRPr="00170A8F" w:rsidRDefault="0035791E" w:rsidP="00097A42">
      <w:pPr>
        <w:rPr>
          <w:sz w:val="22"/>
          <w:szCs w:val="22"/>
          <w:lang w:val="sk-SK"/>
        </w:rPr>
      </w:pPr>
    </w:p>
    <w:p w14:paraId="3FB33DDA" w14:textId="1E4B4311" w:rsidR="0035791E" w:rsidRPr="004C15A2" w:rsidRDefault="002C3A01" w:rsidP="00097A42">
      <w:pPr>
        <w:numPr>
          <w:ilvl w:val="12"/>
          <w:numId w:val="0"/>
        </w:numPr>
        <w:rPr>
          <w:sz w:val="22"/>
          <w:szCs w:val="22"/>
          <w:lang w:val="sk-SK"/>
        </w:rPr>
      </w:pPr>
      <w:r>
        <w:rPr>
          <w:sz w:val="22"/>
          <w:szCs w:val="22"/>
          <w:lang w:val="sk-SK"/>
        </w:rPr>
        <w:t>XALACOM je indikovaný dospelým, vrátane starších pacientov, na z</w:t>
      </w:r>
      <w:r w:rsidR="0035791E" w:rsidRPr="004C15A2">
        <w:rPr>
          <w:sz w:val="22"/>
          <w:szCs w:val="22"/>
          <w:lang w:val="sk-SK"/>
        </w:rPr>
        <w:t xml:space="preserve">níženie vnútroočného tlaku (VOT) </w:t>
      </w:r>
      <w:r>
        <w:rPr>
          <w:sz w:val="22"/>
          <w:szCs w:val="22"/>
          <w:lang w:val="sk-SK"/>
        </w:rPr>
        <w:t>pri</w:t>
      </w:r>
      <w:r w:rsidR="0035791E" w:rsidRPr="004C15A2">
        <w:rPr>
          <w:sz w:val="22"/>
          <w:szCs w:val="22"/>
          <w:lang w:val="sk-SK"/>
        </w:rPr>
        <w:t> glaukóm</w:t>
      </w:r>
      <w:r>
        <w:rPr>
          <w:sz w:val="22"/>
          <w:szCs w:val="22"/>
          <w:lang w:val="sk-SK"/>
        </w:rPr>
        <w:t>e</w:t>
      </w:r>
      <w:r w:rsidR="0035791E" w:rsidRPr="004C15A2">
        <w:rPr>
          <w:sz w:val="22"/>
          <w:szCs w:val="22"/>
          <w:lang w:val="sk-SK"/>
        </w:rPr>
        <w:t xml:space="preserve"> s otvoreným uhlom a</w:t>
      </w:r>
      <w:r w:rsidR="00F52D57" w:rsidRPr="004C15A2">
        <w:rPr>
          <w:sz w:val="22"/>
          <w:szCs w:val="22"/>
          <w:lang w:val="sk-SK"/>
        </w:rPr>
        <w:t xml:space="preserve">lebo </w:t>
      </w:r>
      <w:r>
        <w:rPr>
          <w:sz w:val="22"/>
          <w:szCs w:val="22"/>
          <w:lang w:val="sk-SK"/>
        </w:rPr>
        <w:t xml:space="preserve">pri </w:t>
      </w:r>
      <w:r w:rsidR="0035791E" w:rsidRPr="004C15A2">
        <w:rPr>
          <w:sz w:val="22"/>
          <w:szCs w:val="22"/>
          <w:lang w:val="sk-SK"/>
        </w:rPr>
        <w:t>očn</w:t>
      </w:r>
      <w:r>
        <w:rPr>
          <w:sz w:val="22"/>
          <w:szCs w:val="22"/>
          <w:lang w:val="sk-SK"/>
        </w:rPr>
        <w:t>ej</w:t>
      </w:r>
      <w:r w:rsidR="0035791E" w:rsidRPr="004C15A2">
        <w:rPr>
          <w:sz w:val="22"/>
          <w:szCs w:val="22"/>
          <w:lang w:val="sk-SK"/>
        </w:rPr>
        <w:t xml:space="preserve"> hypertenzi</w:t>
      </w:r>
      <w:r>
        <w:rPr>
          <w:sz w:val="22"/>
          <w:szCs w:val="22"/>
          <w:lang w:val="sk-SK"/>
        </w:rPr>
        <w:t>i</w:t>
      </w:r>
      <w:r w:rsidR="0035791E" w:rsidRPr="004C15A2">
        <w:rPr>
          <w:sz w:val="22"/>
          <w:szCs w:val="22"/>
          <w:lang w:val="sk-SK"/>
        </w:rPr>
        <w:t xml:space="preserve"> s nedostatočnou odpoveďou na liečbu lokálnymi </w:t>
      </w:r>
      <w:r w:rsidR="004D2658" w:rsidRPr="004C15A2">
        <w:rPr>
          <w:sz w:val="22"/>
          <w:szCs w:val="22"/>
          <w:lang w:val="sk-SK"/>
        </w:rPr>
        <w:t>betablokátormi alebo analógmi prostaglandínov.</w:t>
      </w:r>
    </w:p>
    <w:p w14:paraId="5A58BC92" w14:textId="77777777" w:rsidR="0035791E" w:rsidRPr="004C15A2" w:rsidRDefault="0035791E" w:rsidP="00097A42">
      <w:pPr>
        <w:numPr>
          <w:ilvl w:val="12"/>
          <w:numId w:val="0"/>
        </w:numPr>
        <w:rPr>
          <w:sz w:val="22"/>
          <w:szCs w:val="22"/>
          <w:lang w:val="sk-SK"/>
        </w:rPr>
      </w:pPr>
    </w:p>
    <w:p w14:paraId="194707DB" w14:textId="77777777" w:rsidR="0035791E" w:rsidRPr="004C15A2" w:rsidRDefault="0035791E" w:rsidP="00097A42">
      <w:pPr>
        <w:tabs>
          <w:tab w:val="left" w:pos="567"/>
        </w:tabs>
        <w:rPr>
          <w:b/>
          <w:sz w:val="22"/>
          <w:szCs w:val="22"/>
          <w:lang w:val="sk-SK"/>
        </w:rPr>
      </w:pPr>
      <w:r w:rsidRPr="004C15A2">
        <w:rPr>
          <w:b/>
          <w:sz w:val="22"/>
          <w:szCs w:val="22"/>
          <w:lang w:val="sk-SK"/>
        </w:rPr>
        <w:t>4.2</w:t>
      </w:r>
      <w:r w:rsidRPr="004C15A2">
        <w:rPr>
          <w:b/>
          <w:sz w:val="22"/>
          <w:szCs w:val="22"/>
          <w:lang w:val="sk-SK"/>
        </w:rPr>
        <w:tab/>
        <w:t>Dávkovanie a spôsob podávania</w:t>
      </w:r>
    </w:p>
    <w:p w14:paraId="550515BA" w14:textId="77777777" w:rsidR="0035791E" w:rsidRPr="004C15A2" w:rsidRDefault="0035791E" w:rsidP="00097A42">
      <w:pPr>
        <w:numPr>
          <w:ilvl w:val="12"/>
          <w:numId w:val="0"/>
        </w:numPr>
        <w:rPr>
          <w:b/>
          <w:sz w:val="22"/>
          <w:szCs w:val="22"/>
          <w:lang w:val="sk-SK"/>
        </w:rPr>
      </w:pPr>
    </w:p>
    <w:p w14:paraId="3F1F711D" w14:textId="0B86C019" w:rsidR="008E145C" w:rsidRPr="00170A8F" w:rsidRDefault="002C3A01" w:rsidP="00097A42">
      <w:pPr>
        <w:rPr>
          <w:sz w:val="22"/>
          <w:szCs w:val="22"/>
          <w:u w:val="single"/>
          <w:lang w:val="sk-SK"/>
        </w:rPr>
      </w:pPr>
      <w:r>
        <w:rPr>
          <w:sz w:val="22"/>
          <w:szCs w:val="22"/>
          <w:u w:val="single"/>
          <w:lang w:val="sk-SK"/>
        </w:rPr>
        <w:t>Dávkovanie</w:t>
      </w:r>
      <w:r w:rsidR="0035791E" w:rsidRPr="00170A8F">
        <w:rPr>
          <w:sz w:val="22"/>
          <w:szCs w:val="22"/>
          <w:u w:val="single"/>
          <w:lang w:val="sk-SK"/>
        </w:rPr>
        <w:t>:</w:t>
      </w:r>
    </w:p>
    <w:p w14:paraId="344338A2" w14:textId="77777777" w:rsidR="0035791E" w:rsidRPr="002C3A01" w:rsidRDefault="0035791E" w:rsidP="00097A42">
      <w:pPr>
        <w:rPr>
          <w:sz w:val="22"/>
          <w:szCs w:val="22"/>
          <w:lang w:val="sk-SK"/>
        </w:rPr>
      </w:pPr>
      <w:r w:rsidRPr="002C3A01">
        <w:rPr>
          <w:sz w:val="22"/>
          <w:szCs w:val="22"/>
          <w:lang w:val="sk-SK"/>
        </w:rPr>
        <w:t>Odporúčaná dávka X</w:t>
      </w:r>
      <w:r w:rsidR="001F7C27" w:rsidRPr="002C3A01">
        <w:rPr>
          <w:sz w:val="22"/>
          <w:szCs w:val="22"/>
          <w:lang w:val="sk-SK"/>
        </w:rPr>
        <w:t>ALACOMU</w:t>
      </w:r>
      <w:r w:rsidRPr="002C3A01">
        <w:rPr>
          <w:sz w:val="22"/>
          <w:szCs w:val="22"/>
          <w:vertAlign w:val="superscript"/>
          <w:lang w:val="sk-SK"/>
        </w:rPr>
        <w:t xml:space="preserve"> </w:t>
      </w:r>
      <w:r w:rsidRPr="002C3A01">
        <w:rPr>
          <w:sz w:val="22"/>
          <w:szCs w:val="22"/>
          <w:lang w:val="sk-SK"/>
        </w:rPr>
        <w:t>je jedna kvapka do postihnutého oka/očí jedenkrát denne.</w:t>
      </w:r>
    </w:p>
    <w:p w14:paraId="11E06330" w14:textId="77777777" w:rsidR="0035791E" w:rsidRPr="002C3A01" w:rsidRDefault="0035791E" w:rsidP="00097A42">
      <w:pPr>
        <w:rPr>
          <w:sz w:val="22"/>
          <w:szCs w:val="22"/>
          <w:lang w:val="sk-SK"/>
        </w:rPr>
      </w:pPr>
    </w:p>
    <w:p w14:paraId="6849F516" w14:textId="4B844630" w:rsidR="00F52D57" w:rsidRPr="00CD2862" w:rsidRDefault="00F52D57" w:rsidP="00097A42">
      <w:pPr>
        <w:rPr>
          <w:sz w:val="22"/>
          <w:szCs w:val="22"/>
          <w:lang w:val="sk-SK"/>
        </w:rPr>
      </w:pPr>
      <w:r w:rsidRPr="00CD2862">
        <w:rPr>
          <w:sz w:val="22"/>
          <w:szCs w:val="22"/>
          <w:lang w:val="sk-SK"/>
        </w:rPr>
        <w:t>Dávkovanie latanoprost-</w:t>
      </w:r>
      <w:r w:rsidR="002C3A01" w:rsidRPr="00CD2862">
        <w:rPr>
          <w:sz w:val="22"/>
          <w:szCs w:val="22"/>
        </w:rPr>
        <w:t xml:space="preserve"> timolólium-hydrogenmaleátu</w:t>
      </w:r>
      <w:r w:rsidRPr="00CD2862">
        <w:rPr>
          <w:sz w:val="22"/>
          <w:szCs w:val="22"/>
          <w:lang w:val="sk-SK"/>
        </w:rPr>
        <w:t xml:space="preserve"> nemá prekročiť</w:t>
      </w:r>
      <w:r w:rsidR="002E326C" w:rsidRPr="00CD2862">
        <w:rPr>
          <w:sz w:val="22"/>
          <w:szCs w:val="22"/>
          <w:lang w:val="sk-SK"/>
        </w:rPr>
        <w:t xml:space="preserve"> </w:t>
      </w:r>
      <w:r w:rsidRPr="00CD2862">
        <w:rPr>
          <w:sz w:val="22"/>
          <w:szCs w:val="22"/>
          <w:lang w:val="sk-SK"/>
        </w:rPr>
        <w:t>dávkovanie raz denne, pretože sa preukázalo, že častejšie podávanie latanoprost</w:t>
      </w:r>
      <w:r w:rsidR="002E326C" w:rsidRPr="00CD2862">
        <w:rPr>
          <w:sz w:val="22"/>
          <w:szCs w:val="22"/>
          <w:lang w:val="sk-SK"/>
        </w:rPr>
        <w:t>u</w:t>
      </w:r>
      <w:r w:rsidRPr="00CD2862">
        <w:rPr>
          <w:sz w:val="22"/>
          <w:szCs w:val="22"/>
          <w:lang w:val="sk-SK"/>
        </w:rPr>
        <w:t xml:space="preserve"> znižuje účinok </w:t>
      </w:r>
      <w:r w:rsidR="002E326C" w:rsidRPr="00CD2862">
        <w:rPr>
          <w:sz w:val="22"/>
          <w:szCs w:val="22"/>
          <w:lang w:val="sk-SK"/>
        </w:rPr>
        <w:t>znižujúci</w:t>
      </w:r>
      <w:r w:rsidRPr="00CD2862">
        <w:rPr>
          <w:sz w:val="22"/>
          <w:szCs w:val="22"/>
          <w:lang w:val="sk-SK"/>
        </w:rPr>
        <w:t xml:space="preserve"> vnútroočný tlak.</w:t>
      </w:r>
    </w:p>
    <w:p w14:paraId="784C4639" w14:textId="77777777" w:rsidR="00F52D57" w:rsidRPr="00CD2862" w:rsidRDefault="00F52D57" w:rsidP="00097A42">
      <w:pPr>
        <w:rPr>
          <w:sz w:val="22"/>
          <w:szCs w:val="22"/>
          <w:lang w:val="sk-SK"/>
        </w:rPr>
      </w:pPr>
    </w:p>
    <w:p w14:paraId="212EF4DE" w14:textId="77777777" w:rsidR="0035791E" w:rsidRDefault="0035791E" w:rsidP="00097A42">
      <w:pPr>
        <w:rPr>
          <w:sz w:val="22"/>
          <w:szCs w:val="22"/>
          <w:lang w:val="sk-SK"/>
        </w:rPr>
      </w:pPr>
      <w:r w:rsidRPr="004C15A2">
        <w:rPr>
          <w:sz w:val="22"/>
          <w:szCs w:val="22"/>
          <w:lang w:val="sk-SK"/>
        </w:rPr>
        <w:t>Ak pacient zabudne užiť dávku, nasledujúca dávka sa má podať v čase ďalšej dávky.</w:t>
      </w:r>
    </w:p>
    <w:p w14:paraId="62AB84B7" w14:textId="77777777" w:rsidR="002C3A01" w:rsidRPr="004C15A2" w:rsidRDefault="002C3A01" w:rsidP="00097A42">
      <w:pPr>
        <w:rPr>
          <w:sz w:val="22"/>
          <w:szCs w:val="22"/>
          <w:lang w:val="sk-SK"/>
        </w:rPr>
      </w:pPr>
    </w:p>
    <w:p w14:paraId="1FEA5494" w14:textId="77777777" w:rsidR="002C3A01" w:rsidRPr="004C15A2" w:rsidRDefault="002C3A01" w:rsidP="002C3A01">
      <w:pPr>
        <w:rPr>
          <w:sz w:val="22"/>
          <w:szCs w:val="22"/>
          <w:lang w:val="sk-SK"/>
        </w:rPr>
      </w:pPr>
      <w:r w:rsidRPr="004C15A2">
        <w:rPr>
          <w:bCs/>
          <w:i/>
          <w:iCs/>
          <w:sz w:val="22"/>
          <w:szCs w:val="22"/>
          <w:lang w:val="sk-SK"/>
        </w:rPr>
        <w:t>Pediatrická populácia:</w:t>
      </w:r>
    </w:p>
    <w:p w14:paraId="7BBB7CB1" w14:textId="77777777" w:rsidR="002C3A01" w:rsidRPr="004C15A2" w:rsidRDefault="002C3A01" w:rsidP="002C3A01">
      <w:pPr>
        <w:rPr>
          <w:b/>
          <w:bCs/>
          <w:i/>
          <w:iCs/>
          <w:sz w:val="22"/>
          <w:szCs w:val="22"/>
          <w:u w:val="single"/>
          <w:lang w:val="sk-SK"/>
        </w:rPr>
      </w:pPr>
      <w:r w:rsidRPr="004C15A2">
        <w:rPr>
          <w:sz w:val="22"/>
          <w:szCs w:val="22"/>
          <w:lang w:val="sk-SK"/>
        </w:rPr>
        <w:t>Bezpečnosť a účinnosť lieku u detí nebola stanovená.</w:t>
      </w:r>
    </w:p>
    <w:p w14:paraId="21749B61" w14:textId="77777777" w:rsidR="0035791E" w:rsidRPr="004C15A2" w:rsidRDefault="0035791E" w:rsidP="00097A42">
      <w:pPr>
        <w:rPr>
          <w:sz w:val="22"/>
          <w:szCs w:val="22"/>
          <w:lang w:val="sk-SK"/>
        </w:rPr>
      </w:pPr>
    </w:p>
    <w:p w14:paraId="11798A98" w14:textId="77777777" w:rsidR="008E145C" w:rsidRDefault="00A818DB" w:rsidP="00170A8F">
      <w:pPr>
        <w:keepNext/>
        <w:rPr>
          <w:sz w:val="22"/>
          <w:u w:val="single"/>
          <w:lang w:val="sk-SK"/>
        </w:rPr>
      </w:pPr>
      <w:r w:rsidRPr="00170A8F">
        <w:rPr>
          <w:sz w:val="22"/>
          <w:u w:val="single"/>
          <w:lang w:val="sk-SK"/>
        </w:rPr>
        <w:lastRenderedPageBreak/>
        <w:t>Spôsob p</w:t>
      </w:r>
      <w:r w:rsidR="0035791E" w:rsidRPr="00170A8F">
        <w:rPr>
          <w:sz w:val="22"/>
          <w:u w:val="single"/>
          <w:lang w:val="sk-SK"/>
        </w:rPr>
        <w:t>odávani</w:t>
      </w:r>
      <w:r w:rsidRPr="00170A8F">
        <w:rPr>
          <w:sz w:val="22"/>
          <w:u w:val="single"/>
          <w:lang w:val="sk-SK"/>
        </w:rPr>
        <w:t>a</w:t>
      </w:r>
      <w:r w:rsidR="0035791E" w:rsidRPr="00170A8F">
        <w:rPr>
          <w:sz w:val="22"/>
          <w:u w:val="single"/>
          <w:lang w:val="sk-SK"/>
        </w:rPr>
        <w:t>:</w:t>
      </w:r>
    </w:p>
    <w:p w14:paraId="73E98CC5" w14:textId="2D5785D5" w:rsidR="002C3A01" w:rsidRDefault="002C3A01" w:rsidP="00170A8F">
      <w:pPr>
        <w:keepNext/>
        <w:rPr>
          <w:sz w:val="22"/>
          <w:lang w:val="sk-SK"/>
        </w:rPr>
      </w:pPr>
      <w:r w:rsidRPr="00170A8F">
        <w:rPr>
          <w:sz w:val="22"/>
          <w:lang w:val="sk-SK"/>
        </w:rPr>
        <w:t xml:space="preserve">Na podanie do oka. </w:t>
      </w:r>
    </w:p>
    <w:p w14:paraId="1DF5BB85" w14:textId="1502A0A3" w:rsidR="00D452BF" w:rsidRPr="00D452BF" w:rsidRDefault="00D452BF" w:rsidP="00170A8F">
      <w:pPr>
        <w:keepNext/>
        <w:rPr>
          <w:sz w:val="22"/>
          <w:lang w:val="sk-SK"/>
        </w:rPr>
      </w:pPr>
    </w:p>
    <w:p w14:paraId="7EC69F17" w14:textId="4ADD025E" w:rsidR="0035791E" w:rsidRPr="004C15A2" w:rsidRDefault="0035791E" w:rsidP="00097A42">
      <w:pPr>
        <w:pStyle w:val="Paragraph"/>
        <w:spacing w:after="0"/>
        <w:rPr>
          <w:sz w:val="22"/>
          <w:szCs w:val="22"/>
          <w:lang w:val="sk-SK"/>
        </w:rPr>
      </w:pPr>
      <w:r w:rsidRPr="00DB4240">
        <w:rPr>
          <w:sz w:val="22"/>
          <w:szCs w:val="22"/>
          <w:lang w:val="sk-SK"/>
        </w:rPr>
        <w:t xml:space="preserve">Kontaktné šošovky sa majú pred podaním očnej roztokovej instilácie odložiť a môžu sa opätovne vložiť </w:t>
      </w:r>
      <w:r w:rsidR="002E326C" w:rsidRPr="00DB4240">
        <w:rPr>
          <w:sz w:val="22"/>
          <w:szCs w:val="22"/>
          <w:lang w:val="sk-SK"/>
        </w:rPr>
        <w:t xml:space="preserve">aspoň </w:t>
      </w:r>
      <w:r w:rsidRPr="00DB4240">
        <w:rPr>
          <w:sz w:val="22"/>
          <w:szCs w:val="22"/>
          <w:lang w:val="sk-SK"/>
        </w:rPr>
        <w:t>15 minút po podaní</w:t>
      </w:r>
      <w:r w:rsidR="002E326C" w:rsidRPr="00DB4240">
        <w:rPr>
          <w:sz w:val="22"/>
          <w:szCs w:val="22"/>
          <w:lang w:val="sk-SK"/>
        </w:rPr>
        <w:t xml:space="preserve"> (pozri časť 4.4)</w:t>
      </w:r>
      <w:r w:rsidRPr="00DB4240">
        <w:rPr>
          <w:sz w:val="22"/>
          <w:szCs w:val="22"/>
          <w:lang w:val="sk-SK"/>
        </w:rPr>
        <w:t>.</w:t>
      </w:r>
    </w:p>
    <w:p w14:paraId="24D22633" w14:textId="77777777" w:rsidR="002E326C" w:rsidRPr="004C15A2" w:rsidRDefault="002E326C" w:rsidP="00097A42">
      <w:pPr>
        <w:pStyle w:val="Paragraph"/>
        <w:spacing w:after="0"/>
        <w:rPr>
          <w:sz w:val="22"/>
          <w:szCs w:val="22"/>
          <w:lang w:val="sk-SK"/>
        </w:rPr>
      </w:pPr>
    </w:p>
    <w:p w14:paraId="2D103B49" w14:textId="77777777" w:rsidR="0035791E" w:rsidRPr="004C15A2" w:rsidRDefault="0035791E" w:rsidP="00097A42">
      <w:pPr>
        <w:rPr>
          <w:sz w:val="22"/>
          <w:szCs w:val="22"/>
          <w:lang w:val="sk-SK"/>
        </w:rPr>
      </w:pPr>
      <w:r w:rsidRPr="004C15A2">
        <w:rPr>
          <w:sz w:val="22"/>
          <w:szCs w:val="22"/>
          <w:lang w:val="sk-SK"/>
        </w:rPr>
        <w:t>Ak sa lokálne používa viac ako jeden očný liek, časový odstup medzi liekmi má byť aspoň 5 minút.</w:t>
      </w:r>
    </w:p>
    <w:p w14:paraId="62BF214E" w14:textId="77777777" w:rsidR="0035791E" w:rsidRPr="004C15A2" w:rsidRDefault="0035791E" w:rsidP="00097A42">
      <w:pPr>
        <w:rPr>
          <w:sz w:val="22"/>
          <w:szCs w:val="22"/>
          <w:lang w:val="sk-SK"/>
        </w:rPr>
      </w:pPr>
    </w:p>
    <w:p w14:paraId="596D999B" w14:textId="77777777" w:rsidR="003511FC" w:rsidRPr="004C15A2" w:rsidRDefault="003511FC" w:rsidP="00097A42">
      <w:pPr>
        <w:rPr>
          <w:sz w:val="22"/>
          <w:szCs w:val="22"/>
          <w:lang w:val="sk-SK"/>
        </w:rPr>
      </w:pPr>
      <w:r w:rsidRPr="004C15A2">
        <w:rPr>
          <w:sz w:val="22"/>
          <w:szCs w:val="22"/>
          <w:lang w:val="sk-SK"/>
        </w:rPr>
        <w:t>Keď je použitá nazolakrimálna oklúzia alebo privretie očných viečok počas</w:t>
      </w:r>
      <w:r w:rsidR="00F728AA" w:rsidRPr="004C15A2">
        <w:rPr>
          <w:sz w:val="22"/>
          <w:szCs w:val="22"/>
          <w:lang w:val="sk-SK"/>
        </w:rPr>
        <w:t xml:space="preserve"> </w:t>
      </w:r>
      <w:r w:rsidRPr="004C15A2">
        <w:rPr>
          <w:sz w:val="22"/>
          <w:szCs w:val="22"/>
          <w:lang w:val="sk-SK"/>
        </w:rPr>
        <w:t>2 minút, systémová absorpcia je znížená. To môže spôsobiť zníženie systémových vedľajších účinkov a zvýšenie lokálnej aktivity.</w:t>
      </w:r>
    </w:p>
    <w:p w14:paraId="46D1BA35" w14:textId="77777777" w:rsidR="0035791E" w:rsidRPr="004C15A2" w:rsidRDefault="0035791E" w:rsidP="00097A42">
      <w:pPr>
        <w:numPr>
          <w:ilvl w:val="12"/>
          <w:numId w:val="0"/>
        </w:numPr>
        <w:rPr>
          <w:sz w:val="22"/>
          <w:szCs w:val="22"/>
          <w:lang w:val="sk-SK"/>
        </w:rPr>
      </w:pPr>
    </w:p>
    <w:p w14:paraId="76E170A5" w14:textId="77777777" w:rsidR="0035791E" w:rsidRPr="004C15A2" w:rsidRDefault="0035791E" w:rsidP="00097A42">
      <w:pPr>
        <w:tabs>
          <w:tab w:val="left" w:pos="567"/>
        </w:tabs>
        <w:rPr>
          <w:b/>
          <w:sz w:val="22"/>
          <w:szCs w:val="22"/>
          <w:lang w:val="sk-SK"/>
        </w:rPr>
      </w:pPr>
      <w:r w:rsidRPr="004C15A2">
        <w:rPr>
          <w:b/>
          <w:sz w:val="22"/>
          <w:szCs w:val="22"/>
          <w:lang w:val="sk-SK"/>
        </w:rPr>
        <w:t xml:space="preserve">4.3 </w:t>
      </w:r>
      <w:r w:rsidRPr="004C15A2">
        <w:rPr>
          <w:b/>
          <w:sz w:val="22"/>
          <w:szCs w:val="22"/>
          <w:lang w:val="sk-SK"/>
        </w:rPr>
        <w:tab/>
        <w:t>Kontraindikácie</w:t>
      </w:r>
    </w:p>
    <w:p w14:paraId="41AB71A3" w14:textId="77777777" w:rsidR="0035791E" w:rsidRPr="00170A8F" w:rsidRDefault="0035791E" w:rsidP="00097A42">
      <w:pPr>
        <w:numPr>
          <w:ilvl w:val="12"/>
          <w:numId w:val="0"/>
        </w:numPr>
        <w:rPr>
          <w:sz w:val="22"/>
          <w:szCs w:val="22"/>
          <w:lang w:val="sk-SK"/>
        </w:rPr>
      </w:pPr>
    </w:p>
    <w:p w14:paraId="69335241" w14:textId="77777777" w:rsidR="0035791E" w:rsidRPr="004C15A2" w:rsidRDefault="0035791E" w:rsidP="00097A42">
      <w:pPr>
        <w:numPr>
          <w:ilvl w:val="12"/>
          <w:numId w:val="0"/>
        </w:numPr>
        <w:rPr>
          <w:sz w:val="22"/>
          <w:szCs w:val="22"/>
          <w:lang w:val="sk-SK"/>
        </w:rPr>
      </w:pPr>
      <w:r w:rsidRPr="004C15A2">
        <w:rPr>
          <w:sz w:val="22"/>
          <w:szCs w:val="22"/>
          <w:lang w:val="sk-SK"/>
        </w:rPr>
        <w:t>X</w:t>
      </w:r>
      <w:r w:rsidR="00AB178E" w:rsidRPr="004C15A2">
        <w:rPr>
          <w:sz w:val="22"/>
          <w:szCs w:val="22"/>
          <w:lang w:val="sk-SK"/>
        </w:rPr>
        <w:t>ALACOM</w:t>
      </w:r>
      <w:r w:rsidRPr="004C15A2">
        <w:rPr>
          <w:sz w:val="22"/>
          <w:szCs w:val="22"/>
          <w:lang w:val="sk-SK"/>
        </w:rPr>
        <w:t xml:space="preserve"> je kontraindikovaný u týchto stavov:</w:t>
      </w:r>
    </w:p>
    <w:p w14:paraId="70E771DC" w14:textId="77777777" w:rsidR="0035791E" w:rsidRPr="004C15A2" w:rsidRDefault="0035791E" w:rsidP="009D3632">
      <w:pPr>
        <w:numPr>
          <w:ilvl w:val="0"/>
          <w:numId w:val="4"/>
        </w:numPr>
        <w:rPr>
          <w:sz w:val="22"/>
          <w:szCs w:val="22"/>
          <w:lang w:val="sk-SK"/>
        </w:rPr>
      </w:pPr>
      <w:r w:rsidRPr="004C15A2">
        <w:rPr>
          <w:sz w:val="22"/>
          <w:szCs w:val="22"/>
          <w:lang w:val="sk-SK"/>
        </w:rPr>
        <w:t xml:space="preserve">reaktívne ochorenia dýchacích ciest vrátane astmy bronchiale alebo astmy bronchiale v anamnéze, </w:t>
      </w:r>
      <w:r w:rsidR="00AB178E" w:rsidRPr="004C15A2">
        <w:rPr>
          <w:sz w:val="22"/>
          <w:szCs w:val="22"/>
          <w:lang w:val="sk-SK"/>
        </w:rPr>
        <w:t>závažn</w:t>
      </w:r>
      <w:r w:rsidRPr="004C15A2">
        <w:rPr>
          <w:sz w:val="22"/>
          <w:szCs w:val="22"/>
          <w:lang w:val="sk-SK"/>
        </w:rPr>
        <w:t>ý stupeň chro</w:t>
      </w:r>
      <w:r w:rsidR="005301DC" w:rsidRPr="004C15A2">
        <w:rPr>
          <w:sz w:val="22"/>
          <w:szCs w:val="22"/>
          <w:lang w:val="sk-SK"/>
        </w:rPr>
        <w:t>nickej obštrukčnej choroby pľúc</w:t>
      </w:r>
    </w:p>
    <w:p w14:paraId="7A07F47D" w14:textId="77777777" w:rsidR="0035791E" w:rsidRPr="004C15A2" w:rsidRDefault="0035791E" w:rsidP="009D3632">
      <w:pPr>
        <w:numPr>
          <w:ilvl w:val="0"/>
          <w:numId w:val="4"/>
        </w:numPr>
        <w:rPr>
          <w:sz w:val="22"/>
          <w:szCs w:val="22"/>
          <w:lang w:val="sk-SK"/>
        </w:rPr>
      </w:pPr>
      <w:r w:rsidRPr="004C15A2">
        <w:rPr>
          <w:sz w:val="22"/>
          <w:szCs w:val="22"/>
          <w:lang w:val="sk-SK"/>
        </w:rPr>
        <w:t xml:space="preserve">sínusová bradykardia, </w:t>
      </w:r>
      <w:r w:rsidR="00B64ACB" w:rsidRPr="004C15A2">
        <w:rPr>
          <w:sz w:val="22"/>
          <w:szCs w:val="22"/>
          <w:lang w:val="sk-SK"/>
        </w:rPr>
        <w:t xml:space="preserve">syndróm chorého sínu, sinoatriálna blokáda, </w:t>
      </w:r>
      <w:r w:rsidRPr="004C15A2">
        <w:rPr>
          <w:sz w:val="22"/>
          <w:szCs w:val="22"/>
          <w:lang w:val="sk-SK"/>
        </w:rPr>
        <w:t>AV blokáda II. alebo III. stupňa</w:t>
      </w:r>
      <w:r w:rsidR="00B64ACB" w:rsidRPr="004C15A2">
        <w:rPr>
          <w:sz w:val="22"/>
          <w:szCs w:val="22"/>
          <w:lang w:val="sk-SK"/>
        </w:rPr>
        <w:t xml:space="preserve"> nekontrolovaná kardiostimulátorom</w:t>
      </w:r>
      <w:r w:rsidRPr="004C15A2">
        <w:rPr>
          <w:sz w:val="22"/>
          <w:szCs w:val="22"/>
          <w:lang w:val="sk-SK"/>
        </w:rPr>
        <w:t>, zjavné srdcové zlyh</w:t>
      </w:r>
      <w:r w:rsidR="003E6832" w:rsidRPr="004C15A2">
        <w:rPr>
          <w:sz w:val="22"/>
          <w:szCs w:val="22"/>
          <w:lang w:val="sk-SK"/>
        </w:rPr>
        <w:t>áva</w:t>
      </w:r>
      <w:r w:rsidRPr="004C15A2">
        <w:rPr>
          <w:sz w:val="22"/>
          <w:szCs w:val="22"/>
          <w:lang w:val="sk-SK"/>
        </w:rPr>
        <w:t>nie, kardiogénny šok</w:t>
      </w:r>
    </w:p>
    <w:p w14:paraId="1E3B4B16" w14:textId="77777777" w:rsidR="0035791E" w:rsidRPr="004C15A2" w:rsidRDefault="0035791E" w:rsidP="009D3632">
      <w:pPr>
        <w:numPr>
          <w:ilvl w:val="0"/>
          <w:numId w:val="4"/>
        </w:numPr>
        <w:rPr>
          <w:sz w:val="22"/>
          <w:szCs w:val="22"/>
          <w:lang w:val="sk-SK"/>
        </w:rPr>
      </w:pPr>
      <w:r w:rsidRPr="004C15A2">
        <w:rPr>
          <w:sz w:val="22"/>
          <w:szCs w:val="22"/>
          <w:lang w:val="sk-SK"/>
        </w:rPr>
        <w:t>precitlivenosť na liečivá alebo na ktorúkoľvek z pomocných látok</w:t>
      </w:r>
      <w:r w:rsidR="00B64ACB" w:rsidRPr="004C15A2">
        <w:rPr>
          <w:sz w:val="22"/>
          <w:szCs w:val="22"/>
          <w:lang w:val="sk-SK"/>
        </w:rPr>
        <w:t xml:space="preserve"> uvedených v časti 6.1.</w:t>
      </w:r>
    </w:p>
    <w:p w14:paraId="63BC3F37" w14:textId="77777777" w:rsidR="0035791E" w:rsidRPr="004C15A2" w:rsidRDefault="0035791E" w:rsidP="00097A42">
      <w:pPr>
        <w:rPr>
          <w:sz w:val="22"/>
          <w:szCs w:val="22"/>
          <w:lang w:val="sk-SK"/>
        </w:rPr>
      </w:pPr>
    </w:p>
    <w:p w14:paraId="47D211F9" w14:textId="77777777" w:rsidR="0035791E" w:rsidRPr="004C15A2" w:rsidRDefault="0035791E" w:rsidP="00097A42">
      <w:pPr>
        <w:tabs>
          <w:tab w:val="left" w:pos="567"/>
        </w:tabs>
        <w:rPr>
          <w:b/>
          <w:sz w:val="22"/>
          <w:szCs w:val="22"/>
          <w:lang w:val="sk-SK"/>
        </w:rPr>
      </w:pPr>
      <w:r w:rsidRPr="004C15A2">
        <w:rPr>
          <w:b/>
          <w:sz w:val="22"/>
          <w:szCs w:val="22"/>
          <w:lang w:val="sk-SK"/>
        </w:rPr>
        <w:t>4.4</w:t>
      </w:r>
      <w:r w:rsidRPr="004C15A2">
        <w:rPr>
          <w:b/>
          <w:sz w:val="22"/>
          <w:szCs w:val="22"/>
          <w:lang w:val="sk-SK"/>
        </w:rPr>
        <w:tab/>
        <w:t>Osobitné upozornenia a opatrenia pri používaní</w:t>
      </w:r>
    </w:p>
    <w:p w14:paraId="610853FF" w14:textId="77777777" w:rsidR="0035791E" w:rsidRPr="004C15A2" w:rsidRDefault="0035791E" w:rsidP="00097A42">
      <w:pPr>
        <w:numPr>
          <w:ilvl w:val="12"/>
          <w:numId w:val="0"/>
        </w:numPr>
        <w:rPr>
          <w:sz w:val="22"/>
          <w:szCs w:val="22"/>
          <w:lang w:val="sk-SK"/>
        </w:rPr>
      </w:pPr>
    </w:p>
    <w:p w14:paraId="41938573" w14:textId="77777777" w:rsidR="00D452BF" w:rsidRPr="00170A8F" w:rsidRDefault="00D452BF" w:rsidP="00097A42">
      <w:pPr>
        <w:numPr>
          <w:ilvl w:val="12"/>
          <w:numId w:val="0"/>
        </w:numPr>
        <w:rPr>
          <w:b/>
          <w:sz w:val="22"/>
          <w:szCs w:val="22"/>
        </w:rPr>
      </w:pPr>
      <w:r w:rsidRPr="00170A8F">
        <w:rPr>
          <w:b/>
          <w:sz w:val="22"/>
          <w:szCs w:val="22"/>
        </w:rPr>
        <w:t>Timolólium-hydrogenmaleát</w:t>
      </w:r>
    </w:p>
    <w:p w14:paraId="576E005B" w14:textId="77777777" w:rsidR="00ED1591" w:rsidRPr="004C15A2" w:rsidRDefault="00ED1591" w:rsidP="00097A42">
      <w:pPr>
        <w:numPr>
          <w:ilvl w:val="12"/>
          <w:numId w:val="0"/>
        </w:numPr>
        <w:rPr>
          <w:i/>
          <w:sz w:val="22"/>
          <w:szCs w:val="22"/>
          <w:lang w:val="en-US"/>
        </w:rPr>
      </w:pPr>
    </w:p>
    <w:p w14:paraId="3210872A" w14:textId="77777777" w:rsidR="005D73BB" w:rsidRPr="004C15A2" w:rsidRDefault="004E6276" w:rsidP="00097A42">
      <w:pPr>
        <w:numPr>
          <w:ilvl w:val="12"/>
          <w:numId w:val="0"/>
        </w:numPr>
        <w:rPr>
          <w:i/>
          <w:sz w:val="22"/>
          <w:szCs w:val="22"/>
          <w:u w:val="single"/>
          <w:lang w:val="en-US"/>
        </w:rPr>
      </w:pPr>
      <w:r w:rsidRPr="004C15A2">
        <w:rPr>
          <w:i/>
          <w:sz w:val="22"/>
          <w:szCs w:val="22"/>
          <w:u w:val="single"/>
          <w:lang w:val="en-US"/>
        </w:rPr>
        <w:t xml:space="preserve">Kardiovaskulárne a </w:t>
      </w:r>
      <w:r w:rsidR="00ED1591" w:rsidRPr="004C15A2">
        <w:rPr>
          <w:i/>
          <w:sz w:val="22"/>
          <w:szCs w:val="22"/>
          <w:u w:val="single"/>
          <w:lang w:val="en-US"/>
        </w:rPr>
        <w:t>respiračné reakcie</w:t>
      </w:r>
    </w:p>
    <w:p w14:paraId="3F1E2382" w14:textId="77777777" w:rsidR="005D73BB" w:rsidRPr="004C15A2" w:rsidRDefault="005D73BB" w:rsidP="00097A42">
      <w:pPr>
        <w:numPr>
          <w:ilvl w:val="12"/>
          <w:numId w:val="0"/>
        </w:numPr>
        <w:rPr>
          <w:i/>
          <w:sz w:val="22"/>
          <w:szCs w:val="22"/>
          <w:lang w:val="sk-SK"/>
        </w:rPr>
      </w:pPr>
    </w:p>
    <w:p w14:paraId="0245167C" w14:textId="20BA40E2" w:rsidR="0035791E" w:rsidRPr="004C15A2" w:rsidRDefault="0035791E" w:rsidP="00097A42">
      <w:pPr>
        <w:rPr>
          <w:sz w:val="22"/>
          <w:szCs w:val="22"/>
          <w:lang w:val="sk-SK"/>
        </w:rPr>
      </w:pPr>
      <w:r w:rsidRPr="004C15A2">
        <w:rPr>
          <w:sz w:val="22"/>
          <w:szCs w:val="22"/>
          <w:lang w:val="sk-SK"/>
        </w:rPr>
        <w:t>X</w:t>
      </w:r>
      <w:r w:rsidR="00AB178E" w:rsidRPr="004C15A2">
        <w:rPr>
          <w:sz w:val="22"/>
          <w:szCs w:val="22"/>
          <w:lang w:val="sk-SK"/>
        </w:rPr>
        <w:t>ALACOM</w:t>
      </w:r>
      <w:r w:rsidRPr="004C15A2">
        <w:rPr>
          <w:sz w:val="22"/>
          <w:szCs w:val="22"/>
          <w:lang w:val="sk-SK"/>
        </w:rPr>
        <w:t xml:space="preserve"> sa, tak ako iné lokálne podávané očné lieky, môže absorbovať do krvného obehu. Vzhľadom na to, že obsahuje betaadrenergnú zložku timolol, môže sa objaviť rovnaký typ kardiovaskulárnych a pľúcnych nežiaducich reakcií, aké sa vyskytujú pri systémovo podaných betablokátoroch.</w:t>
      </w:r>
      <w:r w:rsidR="009752EE" w:rsidRPr="004C15A2">
        <w:rPr>
          <w:sz w:val="22"/>
          <w:szCs w:val="22"/>
          <w:lang w:val="sk-SK"/>
        </w:rPr>
        <w:t xml:space="preserve"> U pacientov s anamnézou závažného srdcového ochorenia sa majú starostlivo sledovať prejavy zlyhania srdca. Po</w:t>
      </w:r>
      <w:r w:rsidR="00E4282B" w:rsidRPr="004C15A2">
        <w:rPr>
          <w:sz w:val="22"/>
          <w:szCs w:val="22"/>
          <w:lang w:val="sk-SK"/>
        </w:rPr>
        <w:t> </w:t>
      </w:r>
      <w:r w:rsidR="009752EE" w:rsidRPr="004C15A2">
        <w:rPr>
          <w:sz w:val="22"/>
          <w:szCs w:val="22"/>
          <w:lang w:val="sk-SK"/>
        </w:rPr>
        <w:t xml:space="preserve">lokálnom podaní </w:t>
      </w:r>
      <w:r w:rsidR="00D452BF">
        <w:rPr>
          <w:sz w:val="22"/>
          <w:szCs w:val="22"/>
          <w:lang w:val="sk-SK"/>
        </w:rPr>
        <w:t>t</w:t>
      </w:r>
      <w:r w:rsidR="00D452BF" w:rsidRPr="00BE1625">
        <w:rPr>
          <w:sz w:val="22"/>
          <w:szCs w:val="22"/>
        </w:rPr>
        <w:t>imolólium-hydrogenmaleát</w:t>
      </w:r>
      <w:r w:rsidR="009752EE" w:rsidRPr="004C15A2">
        <w:rPr>
          <w:sz w:val="22"/>
          <w:szCs w:val="22"/>
          <w:lang w:val="sk-SK"/>
        </w:rPr>
        <w:t>u sa môžu vyskytnúť nasledovné srdcové a respiračné reakcie:</w:t>
      </w:r>
    </w:p>
    <w:p w14:paraId="2F7C47DF" w14:textId="77777777" w:rsidR="009752EE" w:rsidRPr="004C15A2" w:rsidRDefault="009752EE" w:rsidP="009D3632">
      <w:pPr>
        <w:numPr>
          <w:ilvl w:val="0"/>
          <w:numId w:val="3"/>
        </w:numPr>
        <w:ind w:left="0" w:firstLine="0"/>
        <w:rPr>
          <w:sz w:val="22"/>
          <w:szCs w:val="22"/>
          <w:lang w:val="sk-SK"/>
        </w:rPr>
      </w:pPr>
      <w:r w:rsidRPr="004C15A2">
        <w:rPr>
          <w:sz w:val="22"/>
          <w:szCs w:val="22"/>
          <w:lang w:val="sk-SK"/>
        </w:rPr>
        <w:t>zhoršenie Prinzmetalovej angíny</w:t>
      </w:r>
    </w:p>
    <w:p w14:paraId="4DDE1207" w14:textId="77777777" w:rsidR="009752EE" w:rsidRPr="004C15A2" w:rsidRDefault="009752EE" w:rsidP="009D3632">
      <w:pPr>
        <w:numPr>
          <w:ilvl w:val="0"/>
          <w:numId w:val="3"/>
        </w:numPr>
        <w:ind w:left="0" w:firstLine="0"/>
        <w:rPr>
          <w:sz w:val="22"/>
          <w:szCs w:val="22"/>
          <w:lang w:val="sk-SK"/>
        </w:rPr>
      </w:pPr>
      <w:r w:rsidRPr="004C15A2">
        <w:rPr>
          <w:sz w:val="22"/>
          <w:szCs w:val="22"/>
          <w:lang w:val="sk-SK"/>
        </w:rPr>
        <w:t>zhoršenie porúch periférneho a centrálneho obehu</w:t>
      </w:r>
    </w:p>
    <w:p w14:paraId="5B66631E" w14:textId="77777777" w:rsidR="009752EE" w:rsidRPr="004C15A2" w:rsidRDefault="009752EE" w:rsidP="009D3632">
      <w:pPr>
        <w:numPr>
          <w:ilvl w:val="0"/>
          <w:numId w:val="3"/>
        </w:numPr>
        <w:ind w:left="0" w:firstLine="0"/>
        <w:rPr>
          <w:sz w:val="22"/>
          <w:szCs w:val="22"/>
          <w:lang w:val="sk-SK"/>
        </w:rPr>
      </w:pPr>
      <w:r w:rsidRPr="004C15A2">
        <w:rPr>
          <w:sz w:val="22"/>
          <w:szCs w:val="22"/>
          <w:lang w:val="sk-SK"/>
        </w:rPr>
        <w:t>hypotenzia</w:t>
      </w:r>
    </w:p>
    <w:p w14:paraId="01F5682B" w14:textId="77777777" w:rsidR="009752EE" w:rsidRPr="004C15A2" w:rsidRDefault="009752EE" w:rsidP="009D3632">
      <w:pPr>
        <w:numPr>
          <w:ilvl w:val="0"/>
          <w:numId w:val="3"/>
        </w:numPr>
        <w:ind w:left="0" w:firstLine="0"/>
        <w:rPr>
          <w:sz w:val="22"/>
          <w:szCs w:val="22"/>
          <w:lang w:val="sk-SK"/>
        </w:rPr>
      </w:pPr>
      <w:r w:rsidRPr="004C15A2">
        <w:rPr>
          <w:sz w:val="22"/>
          <w:szCs w:val="22"/>
          <w:lang w:val="sk-SK"/>
        </w:rPr>
        <w:t>zlyh</w:t>
      </w:r>
      <w:r w:rsidR="00E4282B" w:rsidRPr="004C15A2">
        <w:rPr>
          <w:sz w:val="22"/>
          <w:szCs w:val="22"/>
          <w:lang w:val="sk-SK"/>
        </w:rPr>
        <w:t>áva</w:t>
      </w:r>
      <w:r w:rsidRPr="004C15A2">
        <w:rPr>
          <w:sz w:val="22"/>
          <w:szCs w:val="22"/>
          <w:lang w:val="sk-SK"/>
        </w:rPr>
        <w:t>nie srdca s následkom smrti</w:t>
      </w:r>
    </w:p>
    <w:p w14:paraId="3EA9ED2C" w14:textId="77777777" w:rsidR="009752EE" w:rsidRPr="004C15A2" w:rsidRDefault="009752EE" w:rsidP="009D3632">
      <w:pPr>
        <w:numPr>
          <w:ilvl w:val="0"/>
          <w:numId w:val="3"/>
        </w:numPr>
        <w:ind w:left="0" w:firstLine="0"/>
        <w:rPr>
          <w:sz w:val="22"/>
          <w:szCs w:val="22"/>
          <w:lang w:val="sk-SK"/>
        </w:rPr>
      </w:pPr>
      <w:r w:rsidRPr="004C15A2">
        <w:rPr>
          <w:sz w:val="22"/>
          <w:szCs w:val="22"/>
          <w:lang w:val="sk-SK"/>
        </w:rPr>
        <w:t>závažné respiračné reakcie, vrátane fatálneho bronchospazmu u pacientov s astmou</w:t>
      </w:r>
    </w:p>
    <w:p w14:paraId="17FC89A1" w14:textId="77777777" w:rsidR="009752EE" w:rsidRPr="004C15A2" w:rsidRDefault="009752EE" w:rsidP="009D3632">
      <w:pPr>
        <w:numPr>
          <w:ilvl w:val="0"/>
          <w:numId w:val="3"/>
        </w:numPr>
        <w:ind w:left="0" w:firstLine="0"/>
        <w:rPr>
          <w:sz w:val="22"/>
          <w:szCs w:val="22"/>
          <w:lang w:val="sk-SK"/>
        </w:rPr>
      </w:pPr>
      <w:r w:rsidRPr="004C15A2">
        <w:rPr>
          <w:sz w:val="22"/>
          <w:szCs w:val="22"/>
          <w:lang w:val="sk-SK"/>
        </w:rPr>
        <w:t>bradykardia</w:t>
      </w:r>
    </w:p>
    <w:p w14:paraId="4E38AB65" w14:textId="77777777" w:rsidR="0035791E" w:rsidRPr="004C15A2" w:rsidRDefault="0035791E" w:rsidP="00097A42">
      <w:pPr>
        <w:pStyle w:val="Zarkazkladnhotextu"/>
        <w:numPr>
          <w:ilvl w:val="0"/>
          <w:numId w:val="0"/>
        </w:numPr>
        <w:jc w:val="left"/>
        <w:rPr>
          <w:rFonts w:ascii="Times New Roman" w:hAnsi="Times New Roman" w:cs="Times New Roman"/>
          <w:sz w:val="22"/>
          <w:szCs w:val="22"/>
          <w:lang w:val="sk-SK"/>
        </w:rPr>
      </w:pPr>
    </w:p>
    <w:p w14:paraId="6F142D96" w14:textId="77777777" w:rsidR="009752EE" w:rsidRPr="004C15A2" w:rsidRDefault="009752EE" w:rsidP="00097A42">
      <w:pPr>
        <w:pStyle w:val="Zarkazkladnhotextu"/>
        <w:numPr>
          <w:ilvl w:val="0"/>
          <w:numId w:val="0"/>
        </w:numPr>
        <w:jc w:val="left"/>
        <w:rPr>
          <w:rFonts w:ascii="Times New Roman" w:hAnsi="Times New Roman" w:cs="Times New Roman"/>
          <w:sz w:val="22"/>
          <w:szCs w:val="22"/>
          <w:lang w:val="sk-SK"/>
        </w:rPr>
      </w:pPr>
      <w:r w:rsidRPr="004C15A2">
        <w:rPr>
          <w:rFonts w:ascii="Times New Roman" w:hAnsi="Times New Roman" w:cs="Times New Roman"/>
          <w:sz w:val="22"/>
          <w:szCs w:val="22"/>
          <w:lang w:val="sk-SK"/>
        </w:rPr>
        <w:t>Vzhľadom na negatívny účinok na prevodový čas sa majú betablokátory podávať len s opatrnosťou pacientom so srdcovou blokádou prvého stupňa.</w:t>
      </w:r>
    </w:p>
    <w:p w14:paraId="7425C2E8" w14:textId="77777777" w:rsidR="009752EE" w:rsidRPr="004C15A2" w:rsidRDefault="009752EE" w:rsidP="00097A42">
      <w:pPr>
        <w:pStyle w:val="Zarkazkladnhotextu"/>
        <w:numPr>
          <w:ilvl w:val="0"/>
          <w:numId w:val="0"/>
        </w:numPr>
        <w:jc w:val="left"/>
        <w:rPr>
          <w:rFonts w:ascii="Times New Roman" w:hAnsi="Times New Roman" w:cs="Times New Roman"/>
          <w:sz w:val="22"/>
          <w:szCs w:val="22"/>
          <w:lang w:val="sk-SK"/>
        </w:rPr>
      </w:pPr>
    </w:p>
    <w:p w14:paraId="67B34261" w14:textId="77777777" w:rsidR="009752EE" w:rsidRPr="00CD2862" w:rsidRDefault="009752EE" w:rsidP="00097A42">
      <w:pPr>
        <w:pStyle w:val="Zarkazkladnhotextu"/>
        <w:numPr>
          <w:ilvl w:val="0"/>
          <w:numId w:val="0"/>
        </w:numPr>
        <w:jc w:val="left"/>
        <w:rPr>
          <w:rFonts w:ascii="Times New Roman" w:hAnsi="Times New Roman" w:cs="Times New Roman"/>
          <w:sz w:val="22"/>
          <w:szCs w:val="22"/>
          <w:lang w:val="sk-SK"/>
        </w:rPr>
      </w:pPr>
      <w:r w:rsidRPr="00D452BF">
        <w:rPr>
          <w:rFonts w:ascii="Times New Roman" w:hAnsi="Times New Roman" w:cs="Times New Roman"/>
          <w:sz w:val="22"/>
          <w:szCs w:val="22"/>
          <w:lang w:val="sk-SK"/>
        </w:rPr>
        <w:t>Pacienti s</w:t>
      </w:r>
      <w:r w:rsidR="00E4282B" w:rsidRPr="00D452BF">
        <w:rPr>
          <w:rFonts w:ascii="Times New Roman" w:hAnsi="Times New Roman" w:cs="Times New Roman"/>
          <w:sz w:val="22"/>
          <w:szCs w:val="22"/>
          <w:lang w:val="sk-SK"/>
        </w:rPr>
        <w:t>o závažn</w:t>
      </w:r>
      <w:r w:rsidRPr="00D452BF">
        <w:rPr>
          <w:rFonts w:ascii="Times New Roman" w:hAnsi="Times New Roman" w:cs="Times New Roman"/>
          <w:sz w:val="22"/>
          <w:szCs w:val="22"/>
          <w:lang w:val="sk-SK"/>
        </w:rPr>
        <w:t xml:space="preserve">ou poruchou/chorobami periférneho obehu (t.j. </w:t>
      </w:r>
      <w:r w:rsidR="00E4282B" w:rsidRPr="00D452BF">
        <w:rPr>
          <w:rFonts w:ascii="Times New Roman" w:hAnsi="Times New Roman" w:cs="Times New Roman"/>
          <w:sz w:val="22"/>
          <w:szCs w:val="22"/>
          <w:lang w:val="sk-SK"/>
        </w:rPr>
        <w:t>závažn</w:t>
      </w:r>
      <w:r w:rsidRPr="00D452BF">
        <w:rPr>
          <w:rFonts w:ascii="Times New Roman" w:hAnsi="Times New Roman" w:cs="Times New Roman"/>
          <w:sz w:val="22"/>
          <w:szCs w:val="22"/>
          <w:lang w:val="sk-SK"/>
        </w:rPr>
        <w:t xml:space="preserve">é formy Raynaudovej choroby alebo Raynaudovho syndrómu) </w:t>
      </w:r>
      <w:r w:rsidR="00EB52BF" w:rsidRPr="00CD2862">
        <w:rPr>
          <w:rFonts w:ascii="Times New Roman" w:hAnsi="Times New Roman" w:cs="Times New Roman"/>
          <w:sz w:val="22"/>
          <w:szCs w:val="22"/>
          <w:lang w:val="sk-SK"/>
        </w:rPr>
        <w:t xml:space="preserve">sa </w:t>
      </w:r>
      <w:r w:rsidRPr="00CD2862">
        <w:rPr>
          <w:rFonts w:ascii="Times New Roman" w:hAnsi="Times New Roman" w:cs="Times New Roman"/>
          <w:sz w:val="22"/>
          <w:szCs w:val="22"/>
          <w:lang w:val="sk-SK"/>
        </w:rPr>
        <w:t>majú lieč</w:t>
      </w:r>
      <w:r w:rsidR="00EB52BF" w:rsidRPr="00CD2862">
        <w:rPr>
          <w:rFonts w:ascii="Times New Roman" w:hAnsi="Times New Roman" w:cs="Times New Roman"/>
          <w:sz w:val="22"/>
          <w:szCs w:val="22"/>
          <w:lang w:val="sk-SK"/>
        </w:rPr>
        <w:t>iť</w:t>
      </w:r>
      <w:r w:rsidRPr="00CD2862">
        <w:rPr>
          <w:rFonts w:ascii="Times New Roman" w:hAnsi="Times New Roman" w:cs="Times New Roman"/>
          <w:sz w:val="22"/>
          <w:szCs w:val="22"/>
          <w:lang w:val="sk-SK"/>
        </w:rPr>
        <w:t xml:space="preserve"> opatrn</w:t>
      </w:r>
      <w:r w:rsidR="00EB52BF" w:rsidRPr="00CD2862">
        <w:rPr>
          <w:rFonts w:ascii="Times New Roman" w:hAnsi="Times New Roman" w:cs="Times New Roman"/>
          <w:sz w:val="22"/>
          <w:szCs w:val="22"/>
          <w:lang w:val="sk-SK"/>
        </w:rPr>
        <w:t>e</w:t>
      </w:r>
      <w:r w:rsidRPr="00CD2862">
        <w:rPr>
          <w:rFonts w:ascii="Times New Roman" w:hAnsi="Times New Roman" w:cs="Times New Roman"/>
          <w:sz w:val="22"/>
          <w:szCs w:val="22"/>
          <w:lang w:val="sk-SK"/>
        </w:rPr>
        <w:t>.</w:t>
      </w:r>
    </w:p>
    <w:p w14:paraId="63066611" w14:textId="77777777" w:rsidR="009752EE" w:rsidRPr="00CD2862" w:rsidRDefault="009752EE" w:rsidP="00097A42">
      <w:pPr>
        <w:pStyle w:val="Zarkazkladnhotextu"/>
        <w:numPr>
          <w:ilvl w:val="0"/>
          <w:numId w:val="0"/>
        </w:numPr>
        <w:jc w:val="left"/>
        <w:rPr>
          <w:rFonts w:ascii="Times New Roman" w:hAnsi="Times New Roman" w:cs="Times New Roman"/>
          <w:sz w:val="22"/>
          <w:szCs w:val="22"/>
          <w:lang w:val="sk-SK"/>
        </w:rPr>
      </w:pPr>
    </w:p>
    <w:p w14:paraId="07868A6C" w14:textId="2457D0AE" w:rsidR="00715BEF" w:rsidRPr="004C15A2" w:rsidRDefault="00D452BF" w:rsidP="00097A42">
      <w:pPr>
        <w:pStyle w:val="Zarkazkladnhotextu"/>
        <w:numPr>
          <w:ilvl w:val="0"/>
          <w:numId w:val="0"/>
        </w:numPr>
        <w:jc w:val="left"/>
        <w:rPr>
          <w:rFonts w:ascii="Times New Roman" w:hAnsi="Times New Roman" w:cs="Times New Roman"/>
          <w:sz w:val="22"/>
          <w:szCs w:val="22"/>
          <w:lang w:val="sk-SK"/>
        </w:rPr>
      </w:pPr>
      <w:r w:rsidRPr="00170A8F">
        <w:rPr>
          <w:rFonts w:ascii="Times New Roman" w:hAnsi="Times New Roman" w:cs="Times New Roman"/>
          <w:sz w:val="22"/>
          <w:szCs w:val="22"/>
        </w:rPr>
        <w:t>Timolólium-hydrogenmaleát</w:t>
      </w:r>
      <w:r w:rsidR="00715BEF" w:rsidRPr="00D452BF">
        <w:rPr>
          <w:rFonts w:ascii="Times New Roman" w:hAnsi="Times New Roman" w:cs="Times New Roman"/>
          <w:sz w:val="22"/>
          <w:szCs w:val="22"/>
          <w:lang w:val="sk-SK"/>
        </w:rPr>
        <w:t xml:space="preserve"> </w:t>
      </w:r>
      <w:r w:rsidR="00BE4A32" w:rsidRPr="00D452BF">
        <w:rPr>
          <w:rFonts w:ascii="Times New Roman" w:hAnsi="Times New Roman" w:cs="Times New Roman"/>
          <w:sz w:val="22"/>
          <w:szCs w:val="22"/>
          <w:lang w:val="sk-SK"/>
        </w:rPr>
        <w:t>sa má</w:t>
      </w:r>
      <w:r w:rsidR="00715BEF" w:rsidRPr="00D452BF">
        <w:rPr>
          <w:rFonts w:ascii="Times New Roman" w:hAnsi="Times New Roman" w:cs="Times New Roman"/>
          <w:sz w:val="22"/>
          <w:szCs w:val="22"/>
          <w:lang w:val="sk-SK"/>
        </w:rPr>
        <w:t xml:space="preserve"> používa</w:t>
      </w:r>
      <w:r w:rsidR="00BE4A32" w:rsidRPr="00D452BF">
        <w:rPr>
          <w:rFonts w:ascii="Times New Roman" w:hAnsi="Times New Roman" w:cs="Times New Roman"/>
          <w:sz w:val="22"/>
          <w:szCs w:val="22"/>
          <w:lang w:val="sk-SK"/>
        </w:rPr>
        <w:t>ť</w:t>
      </w:r>
      <w:r w:rsidR="00715BEF" w:rsidRPr="00D452BF">
        <w:rPr>
          <w:rFonts w:ascii="Times New Roman" w:hAnsi="Times New Roman" w:cs="Times New Roman"/>
          <w:sz w:val="22"/>
          <w:szCs w:val="22"/>
          <w:lang w:val="sk-SK"/>
        </w:rPr>
        <w:t xml:space="preserve"> opatrn</w:t>
      </w:r>
      <w:r w:rsidR="00BE4A32" w:rsidRPr="00CD2862">
        <w:rPr>
          <w:rFonts w:ascii="Times New Roman" w:hAnsi="Times New Roman" w:cs="Times New Roman"/>
          <w:sz w:val="22"/>
          <w:szCs w:val="22"/>
          <w:lang w:val="sk-SK"/>
        </w:rPr>
        <w:t>e</w:t>
      </w:r>
      <w:r w:rsidR="00715BEF" w:rsidRPr="00CD2862">
        <w:rPr>
          <w:rFonts w:ascii="Times New Roman" w:hAnsi="Times New Roman" w:cs="Times New Roman"/>
          <w:sz w:val="22"/>
          <w:szCs w:val="22"/>
          <w:lang w:val="sk-SK"/>
        </w:rPr>
        <w:t xml:space="preserve"> u pacientov s miernou/stredne </w:t>
      </w:r>
      <w:r w:rsidR="00E4282B" w:rsidRPr="00CD2862">
        <w:rPr>
          <w:rFonts w:ascii="Times New Roman" w:hAnsi="Times New Roman" w:cs="Times New Roman"/>
          <w:sz w:val="22"/>
          <w:szCs w:val="22"/>
          <w:lang w:val="sk-SK"/>
        </w:rPr>
        <w:t>závažn</w:t>
      </w:r>
      <w:r w:rsidR="00715BEF" w:rsidRPr="00CD2862">
        <w:rPr>
          <w:rFonts w:ascii="Times New Roman" w:hAnsi="Times New Roman" w:cs="Times New Roman"/>
          <w:sz w:val="22"/>
          <w:szCs w:val="22"/>
          <w:lang w:val="sk-SK"/>
        </w:rPr>
        <w:t>ou chronick</w:t>
      </w:r>
      <w:r w:rsidR="00BE4A32" w:rsidRPr="00CD2862">
        <w:rPr>
          <w:rFonts w:ascii="Times New Roman" w:hAnsi="Times New Roman" w:cs="Times New Roman"/>
          <w:sz w:val="22"/>
          <w:szCs w:val="22"/>
          <w:lang w:val="sk-SK"/>
        </w:rPr>
        <w:t>ou</w:t>
      </w:r>
      <w:r w:rsidR="00715BEF" w:rsidRPr="00CD2862">
        <w:rPr>
          <w:rFonts w:ascii="Times New Roman" w:hAnsi="Times New Roman" w:cs="Times New Roman"/>
          <w:sz w:val="22"/>
          <w:szCs w:val="22"/>
          <w:lang w:val="sk-SK"/>
        </w:rPr>
        <w:t xml:space="preserve"> obštrukčn</w:t>
      </w:r>
      <w:r w:rsidR="00BE4A32" w:rsidRPr="00CD2862">
        <w:rPr>
          <w:rFonts w:ascii="Times New Roman" w:hAnsi="Times New Roman" w:cs="Times New Roman"/>
          <w:sz w:val="22"/>
          <w:szCs w:val="22"/>
          <w:lang w:val="sk-SK"/>
        </w:rPr>
        <w:t>ou</w:t>
      </w:r>
      <w:r w:rsidR="00715BEF" w:rsidRPr="00CD2862">
        <w:rPr>
          <w:rFonts w:ascii="Times New Roman" w:hAnsi="Times New Roman" w:cs="Times New Roman"/>
          <w:sz w:val="22"/>
          <w:szCs w:val="22"/>
          <w:lang w:val="sk-SK"/>
        </w:rPr>
        <w:t xml:space="preserve"> chorob</w:t>
      </w:r>
      <w:r w:rsidR="00BE4A32" w:rsidRPr="00CD2862">
        <w:rPr>
          <w:rFonts w:ascii="Times New Roman" w:hAnsi="Times New Roman" w:cs="Times New Roman"/>
          <w:sz w:val="22"/>
          <w:szCs w:val="22"/>
          <w:lang w:val="sk-SK"/>
        </w:rPr>
        <w:t>ou pľúc (</w:t>
      </w:r>
      <w:r w:rsidR="00715BEF" w:rsidRPr="00CD2862">
        <w:rPr>
          <w:rFonts w:ascii="Times New Roman" w:hAnsi="Times New Roman" w:cs="Times New Roman"/>
          <w:sz w:val="22"/>
          <w:szCs w:val="22"/>
          <w:lang w:val="sk-SK"/>
        </w:rPr>
        <w:t>CHOCHP), a to iba v prípade, že potenciálny prínos liečby preváži potenciálne</w:t>
      </w:r>
      <w:r w:rsidR="00715BEF" w:rsidRPr="004C15A2">
        <w:rPr>
          <w:rFonts w:ascii="Times New Roman" w:hAnsi="Times New Roman" w:cs="Times New Roman"/>
          <w:sz w:val="22"/>
          <w:szCs w:val="22"/>
          <w:lang w:val="sk-SK"/>
        </w:rPr>
        <w:t xml:space="preserve"> riziko</w:t>
      </w:r>
      <w:r w:rsidR="00BE4A32" w:rsidRPr="004C15A2">
        <w:rPr>
          <w:rFonts w:ascii="Times New Roman" w:hAnsi="Times New Roman" w:cs="Times New Roman"/>
          <w:sz w:val="22"/>
          <w:szCs w:val="22"/>
          <w:lang w:val="sk-SK"/>
        </w:rPr>
        <w:t>.</w:t>
      </w:r>
    </w:p>
    <w:p w14:paraId="4F790875" w14:textId="77777777" w:rsidR="00715BEF" w:rsidRPr="004C15A2" w:rsidRDefault="00715BEF" w:rsidP="00097A42">
      <w:pPr>
        <w:pStyle w:val="Zarkazkladnhotextu"/>
        <w:numPr>
          <w:ilvl w:val="0"/>
          <w:numId w:val="0"/>
        </w:numPr>
        <w:jc w:val="left"/>
        <w:rPr>
          <w:rFonts w:ascii="Times New Roman" w:hAnsi="Times New Roman" w:cs="Times New Roman"/>
          <w:sz w:val="22"/>
          <w:szCs w:val="22"/>
          <w:lang w:val="sk-SK"/>
        </w:rPr>
      </w:pPr>
    </w:p>
    <w:p w14:paraId="71464552" w14:textId="77777777" w:rsidR="00715BEF" w:rsidRPr="004C15A2" w:rsidRDefault="00BE4A32" w:rsidP="00097A42">
      <w:pPr>
        <w:pStyle w:val="Zarkazkladnhotextu"/>
        <w:numPr>
          <w:ilvl w:val="0"/>
          <w:numId w:val="0"/>
        </w:numPr>
        <w:jc w:val="left"/>
        <w:rPr>
          <w:rFonts w:ascii="Times New Roman" w:hAnsi="Times New Roman" w:cs="Times New Roman"/>
          <w:sz w:val="22"/>
          <w:szCs w:val="22"/>
          <w:lang w:val="sk-SK"/>
        </w:rPr>
      </w:pPr>
      <w:r w:rsidRPr="004C15A2">
        <w:rPr>
          <w:rFonts w:ascii="Times New Roman" w:hAnsi="Times New Roman" w:cs="Times New Roman"/>
          <w:sz w:val="22"/>
          <w:szCs w:val="22"/>
          <w:lang w:val="sk-SK"/>
        </w:rPr>
        <w:lastRenderedPageBreak/>
        <w:t>Je potrebné zvážiť p</w:t>
      </w:r>
      <w:r w:rsidR="00715BEF" w:rsidRPr="004C15A2">
        <w:rPr>
          <w:rFonts w:ascii="Times New Roman" w:hAnsi="Times New Roman" w:cs="Times New Roman"/>
          <w:sz w:val="22"/>
          <w:szCs w:val="22"/>
          <w:lang w:val="sk-SK"/>
        </w:rPr>
        <w:t xml:space="preserve">ostupné </w:t>
      </w:r>
      <w:r w:rsidRPr="004C15A2">
        <w:rPr>
          <w:rFonts w:ascii="Times New Roman" w:hAnsi="Times New Roman" w:cs="Times New Roman"/>
          <w:sz w:val="22"/>
          <w:szCs w:val="22"/>
          <w:lang w:val="sk-SK"/>
        </w:rPr>
        <w:t>vysadenie</w:t>
      </w:r>
      <w:r w:rsidR="00715BEF" w:rsidRPr="004C15A2">
        <w:rPr>
          <w:rFonts w:ascii="Times New Roman" w:hAnsi="Times New Roman" w:cs="Times New Roman"/>
          <w:sz w:val="22"/>
          <w:szCs w:val="22"/>
          <w:lang w:val="sk-SK"/>
        </w:rPr>
        <w:t xml:space="preserve"> betablokátorov pred hlavným </w:t>
      </w:r>
      <w:r w:rsidRPr="004C15A2">
        <w:rPr>
          <w:rFonts w:ascii="Times New Roman" w:hAnsi="Times New Roman" w:cs="Times New Roman"/>
          <w:sz w:val="22"/>
          <w:szCs w:val="22"/>
          <w:lang w:val="sk-SK"/>
        </w:rPr>
        <w:t>chirurgickým</w:t>
      </w:r>
      <w:r w:rsidR="00715BEF" w:rsidRPr="004C15A2">
        <w:rPr>
          <w:rFonts w:ascii="Times New Roman" w:hAnsi="Times New Roman" w:cs="Times New Roman"/>
          <w:sz w:val="22"/>
          <w:szCs w:val="22"/>
          <w:lang w:val="sk-SK"/>
        </w:rPr>
        <w:t xml:space="preserve"> zákrokom. Betablokátory zhoršujú schopnosť srdca reagovať na betaadrenergic</w:t>
      </w:r>
      <w:r w:rsidRPr="004C15A2">
        <w:rPr>
          <w:rFonts w:ascii="Times New Roman" w:hAnsi="Times New Roman" w:cs="Times New Roman"/>
          <w:sz w:val="22"/>
          <w:szCs w:val="22"/>
          <w:lang w:val="sk-SK"/>
        </w:rPr>
        <w:t>ky</w:t>
      </w:r>
      <w:r w:rsidR="00715BEF" w:rsidRPr="004C15A2">
        <w:rPr>
          <w:rFonts w:ascii="Times New Roman" w:hAnsi="Times New Roman" w:cs="Times New Roman"/>
          <w:sz w:val="22"/>
          <w:szCs w:val="22"/>
          <w:lang w:val="sk-SK"/>
        </w:rPr>
        <w:t xml:space="preserve"> sprostredkované reflexné stimuly, ktoré môžu zvyš</w:t>
      </w:r>
      <w:r w:rsidRPr="004C15A2">
        <w:rPr>
          <w:rFonts w:ascii="Times New Roman" w:hAnsi="Times New Roman" w:cs="Times New Roman"/>
          <w:sz w:val="22"/>
          <w:szCs w:val="22"/>
          <w:lang w:val="sk-SK"/>
        </w:rPr>
        <w:t>ovať</w:t>
      </w:r>
      <w:r w:rsidR="00715BEF" w:rsidRPr="004C15A2">
        <w:rPr>
          <w:rFonts w:ascii="Times New Roman" w:hAnsi="Times New Roman" w:cs="Times New Roman"/>
          <w:sz w:val="22"/>
          <w:szCs w:val="22"/>
          <w:lang w:val="sk-SK"/>
        </w:rPr>
        <w:t xml:space="preserve"> riziko celkovej anestézie pri chirurgických </w:t>
      </w:r>
      <w:r w:rsidRPr="004C15A2">
        <w:rPr>
          <w:rFonts w:ascii="Times New Roman" w:hAnsi="Times New Roman" w:cs="Times New Roman"/>
          <w:sz w:val="22"/>
          <w:szCs w:val="22"/>
          <w:lang w:val="sk-SK"/>
        </w:rPr>
        <w:t>zákrokoch</w:t>
      </w:r>
      <w:r w:rsidR="00715BEF" w:rsidRPr="004C15A2">
        <w:rPr>
          <w:rFonts w:ascii="Times New Roman" w:hAnsi="Times New Roman" w:cs="Times New Roman"/>
          <w:sz w:val="22"/>
          <w:szCs w:val="22"/>
          <w:lang w:val="sk-SK"/>
        </w:rPr>
        <w:t xml:space="preserve">. </w:t>
      </w:r>
      <w:r w:rsidRPr="004C15A2">
        <w:rPr>
          <w:rFonts w:ascii="Times New Roman" w:hAnsi="Times New Roman" w:cs="Times New Roman"/>
          <w:sz w:val="22"/>
          <w:szCs w:val="22"/>
          <w:lang w:val="sk-SK"/>
        </w:rPr>
        <w:t>Zaznamenala sa p</w:t>
      </w:r>
      <w:r w:rsidR="00715BEF" w:rsidRPr="004C15A2">
        <w:rPr>
          <w:rFonts w:ascii="Times New Roman" w:hAnsi="Times New Roman" w:cs="Times New Roman"/>
          <w:sz w:val="22"/>
          <w:szCs w:val="22"/>
          <w:lang w:val="sk-SK"/>
        </w:rPr>
        <w:t>redĺžen</w:t>
      </w:r>
      <w:r w:rsidRPr="004C15A2">
        <w:rPr>
          <w:rFonts w:ascii="Times New Roman" w:hAnsi="Times New Roman" w:cs="Times New Roman"/>
          <w:sz w:val="22"/>
          <w:szCs w:val="22"/>
          <w:lang w:val="sk-SK"/>
        </w:rPr>
        <w:t xml:space="preserve">á </w:t>
      </w:r>
      <w:r w:rsidR="00715BEF" w:rsidRPr="004C15A2">
        <w:rPr>
          <w:rFonts w:ascii="Times New Roman" w:hAnsi="Times New Roman" w:cs="Times New Roman"/>
          <w:sz w:val="22"/>
          <w:szCs w:val="22"/>
          <w:lang w:val="sk-SK"/>
        </w:rPr>
        <w:t xml:space="preserve">závažná hypotenzia počas anestézie a </w:t>
      </w:r>
      <w:r w:rsidRPr="004C15A2">
        <w:rPr>
          <w:rFonts w:ascii="Times New Roman" w:hAnsi="Times New Roman" w:cs="Times New Roman"/>
          <w:sz w:val="22"/>
          <w:szCs w:val="22"/>
          <w:lang w:val="sk-SK"/>
        </w:rPr>
        <w:t>ťažk</w:t>
      </w:r>
      <w:r w:rsidR="00715BEF" w:rsidRPr="004C15A2">
        <w:rPr>
          <w:rFonts w:ascii="Times New Roman" w:hAnsi="Times New Roman" w:cs="Times New Roman"/>
          <w:sz w:val="22"/>
          <w:szCs w:val="22"/>
          <w:lang w:val="sk-SK"/>
        </w:rPr>
        <w:t xml:space="preserve">osti </w:t>
      </w:r>
      <w:r w:rsidRPr="004C15A2">
        <w:rPr>
          <w:rFonts w:ascii="Times New Roman" w:hAnsi="Times New Roman" w:cs="Times New Roman"/>
          <w:sz w:val="22"/>
          <w:szCs w:val="22"/>
          <w:lang w:val="sk-SK"/>
        </w:rPr>
        <w:t>pri obnovovaní</w:t>
      </w:r>
      <w:r w:rsidR="00715BEF" w:rsidRPr="004C15A2">
        <w:rPr>
          <w:rFonts w:ascii="Times New Roman" w:hAnsi="Times New Roman" w:cs="Times New Roman"/>
          <w:sz w:val="22"/>
          <w:szCs w:val="22"/>
          <w:lang w:val="sk-SK"/>
        </w:rPr>
        <w:t xml:space="preserve"> a</w:t>
      </w:r>
      <w:r w:rsidRPr="004C15A2">
        <w:rPr>
          <w:rFonts w:ascii="Times New Roman" w:hAnsi="Times New Roman" w:cs="Times New Roman"/>
          <w:sz w:val="22"/>
          <w:szCs w:val="22"/>
          <w:lang w:val="sk-SK"/>
        </w:rPr>
        <w:t> </w:t>
      </w:r>
      <w:r w:rsidR="00715BEF" w:rsidRPr="004C15A2">
        <w:rPr>
          <w:rFonts w:ascii="Times New Roman" w:hAnsi="Times New Roman" w:cs="Times New Roman"/>
          <w:sz w:val="22"/>
          <w:szCs w:val="22"/>
          <w:lang w:val="sk-SK"/>
        </w:rPr>
        <w:t>udržiavan</w:t>
      </w:r>
      <w:r w:rsidRPr="004C15A2">
        <w:rPr>
          <w:rFonts w:ascii="Times New Roman" w:hAnsi="Times New Roman" w:cs="Times New Roman"/>
          <w:sz w:val="22"/>
          <w:szCs w:val="22"/>
          <w:lang w:val="sk-SK"/>
        </w:rPr>
        <w:t>í srdcového rytmu</w:t>
      </w:r>
      <w:r w:rsidR="00715BEF" w:rsidRPr="004C15A2">
        <w:rPr>
          <w:rFonts w:ascii="Times New Roman" w:hAnsi="Times New Roman" w:cs="Times New Roman"/>
          <w:sz w:val="22"/>
          <w:szCs w:val="22"/>
          <w:lang w:val="sk-SK"/>
        </w:rPr>
        <w:t xml:space="preserve">. Počas </w:t>
      </w:r>
      <w:r w:rsidRPr="004C15A2">
        <w:rPr>
          <w:rFonts w:ascii="Times New Roman" w:hAnsi="Times New Roman" w:cs="Times New Roman"/>
          <w:sz w:val="22"/>
          <w:szCs w:val="22"/>
          <w:lang w:val="sk-SK"/>
        </w:rPr>
        <w:t>chirurgického zákroku</w:t>
      </w:r>
      <w:r w:rsidR="00715BEF" w:rsidRPr="004C15A2">
        <w:rPr>
          <w:rFonts w:ascii="Times New Roman" w:hAnsi="Times New Roman" w:cs="Times New Roman"/>
          <w:sz w:val="22"/>
          <w:szCs w:val="22"/>
          <w:lang w:val="sk-SK"/>
        </w:rPr>
        <w:t xml:space="preserve"> </w:t>
      </w:r>
      <w:r w:rsidRPr="004C15A2">
        <w:rPr>
          <w:rFonts w:ascii="Times New Roman" w:hAnsi="Times New Roman" w:cs="Times New Roman"/>
          <w:sz w:val="22"/>
          <w:szCs w:val="22"/>
          <w:lang w:val="sk-SK"/>
        </w:rPr>
        <w:t xml:space="preserve">sa </w:t>
      </w:r>
      <w:r w:rsidR="00715BEF" w:rsidRPr="004C15A2">
        <w:rPr>
          <w:rFonts w:ascii="Times New Roman" w:hAnsi="Times New Roman" w:cs="Times New Roman"/>
          <w:sz w:val="22"/>
          <w:szCs w:val="22"/>
          <w:lang w:val="sk-SK"/>
        </w:rPr>
        <w:t>môžu účinky betablokátorov zvrátiť dostatočný</w:t>
      </w:r>
      <w:r w:rsidRPr="004C15A2">
        <w:rPr>
          <w:rFonts w:ascii="Times New Roman" w:hAnsi="Times New Roman" w:cs="Times New Roman"/>
          <w:sz w:val="22"/>
          <w:szCs w:val="22"/>
          <w:lang w:val="sk-SK"/>
        </w:rPr>
        <w:t>mi</w:t>
      </w:r>
      <w:r w:rsidR="00715BEF" w:rsidRPr="004C15A2">
        <w:rPr>
          <w:rFonts w:ascii="Times New Roman" w:hAnsi="Times New Roman" w:cs="Times New Roman"/>
          <w:sz w:val="22"/>
          <w:szCs w:val="22"/>
          <w:lang w:val="sk-SK"/>
        </w:rPr>
        <w:t xml:space="preserve"> dávka</w:t>
      </w:r>
      <w:r w:rsidRPr="004C15A2">
        <w:rPr>
          <w:rFonts w:ascii="Times New Roman" w:hAnsi="Times New Roman" w:cs="Times New Roman"/>
          <w:sz w:val="22"/>
          <w:szCs w:val="22"/>
          <w:lang w:val="sk-SK"/>
        </w:rPr>
        <w:t>mi</w:t>
      </w:r>
      <w:r w:rsidR="00715BEF" w:rsidRPr="004C15A2">
        <w:rPr>
          <w:rFonts w:ascii="Times New Roman" w:hAnsi="Times New Roman" w:cs="Times New Roman"/>
          <w:sz w:val="22"/>
          <w:szCs w:val="22"/>
          <w:lang w:val="sk-SK"/>
        </w:rPr>
        <w:t xml:space="preserve"> adrenergných agonistov.</w:t>
      </w:r>
    </w:p>
    <w:p w14:paraId="2FDE4C4F" w14:textId="77777777" w:rsidR="00AF1F4F" w:rsidRPr="004C15A2" w:rsidRDefault="00AF1F4F" w:rsidP="00097A42">
      <w:pPr>
        <w:pStyle w:val="Zarkazkladnhotextu"/>
        <w:numPr>
          <w:ilvl w:val="0"/>
          <w:numId w:val="0"/>
        </w:numPr>
        <w:jc w:val="left"/>
        <w:rPr>
          <w:rFonts w:ascii="Times New Roman" w:hAnsi="Times New Roman" w:cs="Times New Roman"/>
          <w:sz w:val="22"/>
          <w:szCs w:val="22"/>
          <w:lang w:val="sk-SK"/>
        </w:rPr>
      </w:pPr>
    </w:p>
    <w:p w14:paraId="7E222D5D" w14:textId="77777777" w:rsidR="00AF1F4F" w:rsidRPr="004C15A2" w:rsidRDefault="00AF1F4F" w:rsidP="00097A42">
      <w:pPr>
        <w:pStyle w:val="Zarkazkladnhotextu"/>
        <w:numPr>
          <w:ilvl w:val="0"/>
          <w:numId w:val="0"/>
        </w:numPr>
        <w:jc w:val="left"/>
        <w:rPr>
          <w:rFonts w:ascii="Times New Roman" w:hAnsi="Times New Roman" w:cs="Times New Roman"/>
          <w:sz w:val="22"/>
          <w:szCs w:val="22"/>
          <w:lang w:val="sk-SK"/>
        </w:rPr>
      </w:pPr>
      <w:r w:rsidRPr="004C15A2">
        <w:rPr>
          <w:rFonts w:ascii="Times New Roman" w:hAnsi="Times New Roman" w:cs="Times New Roman"/>
          <w:sz w:val="22"/>
          <w:szCs w:val="22"/>
          <w:lang w:val="sk-SK"/>
        </w:rPr>
        <w:t>Očné lieky obsahujúce betablokátory môžu blokovať systémové beta-agonistické účinky, napr. adrenalínu. Je potrebné informovať anestéziológa, ak pacient dostáva timolol.</w:t>
      </w:r>
    </w:p>
    <w:p w14:paraId="0033519C" w14:textId="77777777" w:rsidR="00715BEF" w:rsidRPr="004C15A2" w:rsidRDefault="00715BEF" w:rsidP="00097A42">
      <w:pPr>
        <w:pStyle w:val="Zarkazkladnhotextu"/>
        <w:numPr>
          <w:ilvl w:val="0"/>
          <w:numId w:val="0"/>
        </w:numPr>
        <w:jc w:val="left"/>
        <w:rPr>
          <w:rFonts w:ascii="Times New Roman" w:hAnsi="Times New Roman" w:cs="Times New Roman"/>
          <w:sz w:val="22"/>
          <w:szCs w:val="22"/>
          <w:lang w:val="sk-SK"/>
        </w:rPr>
      </w:pPr>
    </w:p>
    <w:p w14:paraId="4BCE74DC" w14:textId="77777777" w:rsidR="005D73BB" w:rsidRPr="004C15A2" w:rsidRDefault="005D73BB" w:rsidP="00097A42">
      <w:pPr>
        <w:pStyle w:val="Pta"/>
        <w:rPr>
          <w:i/>
          <w:sz w:val="22"/>
          <w:szCs w:val="22"/>
          <w:u w:val="single"/>
        </w:rPr>
      </w:pPr>
      <w:r w:rsidRPr="004C15A2">
        <w:rPr>
          <w:i/>
          <w:sz w:val="22"/>
          <w:szCs w:val="22"/>
          <w:u w:val="single"/>
        </w:rPr>
        <w:t>Hypoglykémia</w:t>
      </w:r>
    </w:p>
    <w:p w14:paraId="4A65F5B0" w14:textId="77777777" w:rsidR="005D73BB" w:rsidRPr="004C15A2" w:rsidRDefault="005D73BB" w:rsidP="00097A42">
      <w:pPr>
        <w:pStyle w:val="Zarkazkladnhotextu"/>
        <w:numPr>
          <w:ilvl w:val="0"/>
          <w:numId w:val="0"/>
        </w:numPr>
        <w:jc w:val="left"/>
        <w:rPr>
          <w:rFonts w:ascii="Times New Roman" w:hAnsi="Times New Roman" w:cs="Times New Roman"/>
          <w:sz w:val="22"/>
          <w:szCs w:val="22"/>
          <w:lang w:val="sk-SK"/>
        </w:rPr>
      </w:pPr>
    </w:p>
    <w:p w14:paraId="448F3A07" w14:textId="77777777" w:rsidR="005D73BB" w:rsidRPr="004C15A2" w:rsidRDefault="0035791E" w:rsidP="00097A42">
      <w:pPr>
        <w:pStyle w:val="Zarkazkladnhotextu"/>
        <w:numPr>
          <w:ilvl w:val="0"/>
          <w:numId w:val="0"/>
        </w:numPr>
        <w:jc w:val="left"/>
        <w:rPr>
          <w:rFonts w:ascii="Times New Roman" w:hAnsi="Times New Roman" w:cs="Times New Roman"/>
          <w:sz w:val="22"/>
          <w:szCs w:val="22"/>
          <w:lang w:val="sk-SK"/>
        </w:rPr>
      </w:pPr>
      <w:r w:rsidRPr="004C15A2">
        <w:rPr>
          <w:rFonts w:ascii="Times New Roman" w:hAnsi="Times New Roman" w:cs="Times New Roman"/>
          <w:sz w:val="22"/>
          <w:szCs w:val="22"/>
          <w:lang w:val="sk-SK"/>
        </w:rPr>
        <w:t xml:space="preserve">Betablokátory sa majú podávať opatrne pacientom so sklonom ku spontánnym hypoglykémiám a pacientom s labilným inzulín-dependentným diabetom, pretože betablokátory môžu </w:t>
      </w:r>
      <w:r w:rsidR="005C4BFB" w:rsidRPr="004C15A2">
        <w:rPr>
          <w:rFonts w:ascii="Times New Roman" w:hAnsi="Times New Roman" w:cs="Times New Roman"/>
          <w:sz w:val="22"/>
          <w:szCs w:val="22"/>
          <w:lang w:val="sk-SK"/>
        </w:rPr>
        <w:t xml:space="preserve">zvyšovať hypoglykemický účinok liekov používaných na liečbu cukrovky a tiež </w:t>
      </w:r>
      <w:r w:rsidRPr="004C15A2">
        <w:rPr>
          <w:rFonts w:ascii="Times New Roman" w:hAnsi="Times New Roman" w:cs="Times New Roman"/>
          <w:sz w:val="22"/>
          <w:szCs w:val="22"/>
          <w:lang w:val="sk-SK"/>
        </w:rPr>
        <w:t xml:space="preserve">maskovať prejavy a príznaky akútnej hypoglykémie. </w:t>
      </w:r>
    </w:p>
    <w:p w14:paraId="45B1F742" w14:textId="77777777" w:rsidR="005D73BB" w:rsidRPr="004C15A2" w:rsidRDefault="005D73BB" w:rsidP="00097A42">
      <w:pPr>
        <w:pStyle w:val="Zarkazkladnhotextu"/>
        <w:numPr>
          <w:ilvl w:val="0"/>
          <w:numId w:val="0"/>
        </w:numPr>
        <w:jc w:val="left"/>
        <w:rPr>
          <w:rFonts w:ascii="Times New Roman" w:hAnsi="Times New Roman" w:cs="Times New Roman"/>
          <w:sz w:val="22"/>
          <w:szCs w:val="22"/>
          <w:lang w:val="sk-SK"/>
        </w:rPr>
      </w:pPr>
    </w:p>
    <w:p w14:paraId="57677B36" w14:textId="77777777" w:rsidR="005D73BB" w:rsidRPr="004C15A2" w:rsidRDefault="005D73BB" w:rsidP="009D3632">
      <w:pPr>
        <w:rPr>
          <w:i/>
          <w:sz w:val="22"/>
          <w:szCs w:val="22"/>
          <w:u w:val="single"/>
        </w:rPr>
      </w:pPr>
      <w:r w:rsidRPr="004C15A2">
        <w:rPr>
          <w:i/>
          <w:sz w:val="22"/>
          <w:szCs w:val="22"/>
          <w:u w:val="single"/>
        </w:rPr>
        <w:t>Hypertyreóza</w:t>
      </w:r>
    </w:p>
    <w:p w14:paraId="37EEB776" w14:textId="77777777" w:rsidR="005D73BB" w:rsidRPr="004C15A2" w:rsidRDefault="005D73BB" w:rsidP="00097A42">
      <w:pPr>
        <w:pStyle w:val="Zarkazkladnhotextu"/>
        <w:numPr>
          <w:ilvl w:val="0"/>
          <w:numId w:val="0"/>
        </w:numPr>
        <w:jc w:val="left"/>
        <w:rPr>
          <w:rFonts w:ascii="Times New Roman" w:hAnsi="Times New Roman" w:cs="Times New Roman"/>
          <w:sz w:val="22"/>
          <w:szCs w:val="22"/>
          <w:lang w:val="sk-SK"/>
        </w:rPr>
      </w:pPr>
    </w:p>
    <w:p w14:paraId="5C00F279" w14:textId="77777777" w:rsidR="0035791E" w:rsidRPr="004C15A2" w:rsidRDefault="0035791E" w:rsidP="00097A42">
      <w:pPr>
        <w:pStyle w:val="Zarkazkladnhotextu"/>
        <w:numPr>
          <w:ilvl w:val="0"/>
          <w:numId w:val="0"/>
        </w:numPr>
        <w:jc w:val="left"/>
        <w:rPr>
          <w:rFonts w:ascii="Times New Roman" w:hAnsi="Times New Roman" w:cs="Times New Roman"/>
          <w:sz w:val="22"/>
          <w:szCs w:val="22"/>
          <w:lang w:val="sk-SK"/>
        </w:rPr>
      </w:pPr>
      <w:r w:rsidRPr="004C15A2">
        <w:rPr>
          <w:rFonts w:ascii="Times New Roman" w:hAnsi="Times New Roman" w:cs="Times New Roman"/>
          <w:sz w:val="22"/>
          <w:szCs w:val="22"/>
          <w:lang w:val="sk-SK"/>
        </w:rPr>
        <w:t>Betablokátory môžu tiež maskovať príznaky hypertyreózy.</w:t>
      </w:r>
      <w:r w:rsidR="005C4BFB" w:rsidRPr="004C15A2">
        <w:rPr>
          <w:rFonts w:ascii="Times New Roman" w:hAnsi="Times New Roman" w:cs="Times New Roman"/>
          <w:sz w:val="22"/>
          <w:szCs w:val="22"/>
          <w:lang w:val="sk-SK"/>
        </w:rPr>
        <w:t xml:space="preserve"> Náhle vysadenie liečby môže vyvolať zhoršenie tohto ochorenia.</w:t>
      </w:r>
    </w:p>
    <w:p w14:paraId="2B62E62C" w14:textId="77777777" w:rsidR="0035791E" w:rsidRPr="004C15A2" w:rsidRDefault="0035791E" w:rsidP="00097A42">
      <w:pPr>
        <w:rPr>
          <w:sz w:val="22"/>
          <w:szCs w:val="22"/>
          <w:lang w:val="sk-SK"/>
        </w:rPr>
      </w:pPr>
    </w:p>
    <w:p w14:paraId="0C24F423" w14:textId="77777777" w:rsidR="005D73BB" w:rsidRPr="004C15A2" w:rsidRDefault="005D73BB" w:rsidP="00097A42">
      <w:pPr>
        <w:rPr>
          <w:i/>
          <w:sz w:val="22"/>
          <w:szCs w:val="22"/>
          <w:u w:val="single"/>
        </w:rPr>
      </w:pPr>
      <w:r w:rsidRPr="004C15A2">
        <w:rPr>
          <w:i/>
          <w:sz w:val="22"/>
          <w:szCs w:val="22"/>
          <w:u w:val="single"/>
        </w:rPr>
        <w:t>Hypersenzitívne reakcie</w:t>
      </w:r>
    </w:p>
    <w:p w14:paraId="00B6A781" w14:textId="77777777" w:rsidR="005D73BB" w:rsidRPr="004C15A2" w:rsidRDefault="005D73BB" w:rsidP="00097A42">
      <w:pPr>
        <w:rPr>
          <w:i/>
          <w:sz w:val="22"/>
          <w:szCs w:val="22"/>
          <w:u w:val="single"/>
          <w:lang w:val="sk-SK"/>
        </w:rPr>
      </w:pPr>
    </w:p>
    <w:p w14:paraId="7A44A998" w14:textId="77777777" w:rsidR="0035791E" w:rsidRPr="004C15A2" w:rsidRDefault="0035791E" w:rsidP="00097A42">
      <w:pPr>
        <w:rPr>
          <w:sz w:val="22"/>
          <w:szCs w:val="22"/>
          <w:lang w:val="sk-SK"/>
        </w:rPr>
      </w:pPr>
      <w:r w:rsidRPr="004C15A2">
        <w:rPr>
          <w:sz w:val="22"/>
          <w:szCs w:val="22"/>
          <w:lang w:val="sk-SK"/>
        </w:rPr>
        <w:t>Počas užívania betablokátorov pacienti s atopiou v anamnéze alebo závažnými anafylaktickými reakciami na rôzne alergény v anamnéze nemusia odpovedať na bežné dávky adrenalínu používané v liečbe anafylaktických reakcií.</w:t>
      </w:r>
    </w:p>
    <w:p w14:paraId="372B3317" w14:textId="77777777" w:rsidR="005C4BFB" w:rsidRPr="004C15A2" w:rsidRDefault="005C4BFB" w:rsidP="00097A42">
      <w:pPr>
        <w:rPr>
          <w:sz w:val="22"/>
          <w:szCs w:val="22"/>
          <w:lang w:val="sk-SK"/>
        </w:rPr>
      </w:pPr>
    </w:p>
    <w:p w14:paraId="0F53DCF0" w14:textId="77777777" w:rsidR="005D73BB" w:rsidRPr="004C15A2" w:rsidRDefault="004F7B1F" w:rsidP="00097A42">
      <w:pPr>
        <w:keepNext/>
        <w:keepLines/>
        <w:rPr>
          <w:i/>
          <w:sz w:val="22"/>
          <w:szCs w:val="22"/>
          <w:u w:val="single"/>
        </w:rPr>
      </w:pPr>
      <w:r w:rsidRPr="004C15A2">
        <w:rPr>
          <w:i/>
          <w:sz w:val="22"/>
          <w:szCs w:val="22"/>
          <w:u w:val="single"/>
        </w:rPr>
        <w:t>Myast</w:t>
      </w:r>
      <w:r w:rsidR="00993873" w:rsidRPr="004C15A2">
        <w:rPr>
          <w:i/>
          <w:sz w:val="22"/>
          <w:szCs w:val="22"/>
          <w:u w:val="single"/>
        </w:rPr>
        <w:t>é</w:t>
      </w:r>
      <w:r w:rsidR="005D73BB" w:rsidRPr="004C15A2">
        <w:rPr>
          <w:i/>
          <w:sz w:val="22"/>
          <w:szCs w:val="22"/>
          <w:u w:val="single"/>
        </w:rPr>
        <w:t>nia gravis</w:t>
      </w:r>
    </w:p>
    <w:p w14:paraId="1F4FA607" w14:textId="77777777" w:rsidR="005D73BB" w:rsidRPr="004C15A2" w:rsidRDefault="005D73BB" w:rsidP="00097A42">
      <w:pPr>
        <w:rPr>
          <w:sz w:val="22"/>
          <w:szCs w:val="22"/>
          <w:lang w:val="sk-SK"/>
        </w:rPr>
      </w:pPr>
    </w:p>
    <w:p w14:paraId="4DA10EEB" w14:textId="57ED6DFD" w:rsidR="005C4BFB" w:rsidRPr="004C15A2" w:rsidRDefault="005C4BFB" w:rsidP="00097A42">
      <w:pPr>
        <w:rPr>
          <w:sz w:val="22"/>
          <w:szCs w:val="22"/>
          <w:lang w:val="sk-SK"/>
        </w:rPr>
      </w:pPr>
      <w:r w:rsidRPr="004C15A2">
        <w:rPr>
          <w:sz w:val="22"/>
          <w:szCs w:val="22"/>
          <w:lang w:val="sk-SK"/>
        </w:rPr>
        <w:t>Zaznamenalo sa, že t</w:t>
      </w:r>
      <w:r w:rsidR="00D452BF" w:rsidRPr="00BE1625">
        <w:rPr>
          <w:sz w:val="22"/>
          <w:szCs w:val="22"/>
        </w:rPr>
        <w:t>imolólium-hydrogenmaleát</w:t>
      </w:r>
      <w:r w:rsidR="00D452BF">
        <w:rPr>
          <w:sz w:val="22"/>
          <w:szCs w:val="22"/>
        </w:rPr>
        <w:t xml:space="preserve"> </w:t>
      </w:r>
      <w:r w:rsidRPr="004C15A2">
        <w:rPr>
          <w:sz w:val="22"/>
          <w:szCs w:val="22"/>
          <w:lang w:val="sk-SK"/>
        </w:rPr>
        <w:t>zriedkavo zvyšuje svalovú slabosť u niektorých pacientov s myasténiou gravis alebo myastenickými príznakmi (napr. diplopia, ptóza, celková slabosť).</w:t>
      </w:r>
    </w:p>
    <w:p w14:paraId="36C625F0" w14:textId="77777777" w:rsidR="005C4BFB" w:rsidRPr="004C15A2" w:rsidRDefault="005C4BFB" w:rsidP="00097A42">
      <w:pPr>
        <w:rPr>
          <w:sz w:val="22"/>
          <w:szCs w:val="22"/>
          <w:lang w:val="sk-SK"/>
        </w:rPr>
      </w:pPr>
    </w:p>
    <w:p w14:paraId="6AAA367C" w14:textId="77777777" w:rsidR="00F312A5" w:rsidRPr="004C15A2" w:rsidRDefault="00F312A5" w:rsidP="00097A42">
      <w:pPr>
        <w:rPr>
          <w:i/>
          <w:sz w:val="22"/>
          <w:szCs w:val="22"/>
          <w:lang w:val="sk-SK"/>
        </w:rPr>
      </w:pPr>
      <w:r w:rsidRPr="004C15A2">
        <w:rPr>
          <w:i/>
          <w:sz w:val="22"/>
          <w:szCs w:val="22"/>
          <w:lang w:val="sk-SK"/>
        </w:rPr>
        <w:t>Korneálne poruchy</w:t>
      </w:r>
    </w:p>
    <w:p w14:paraId="1EF92C22" w14:textId="77777777" w:rsidR="005C4BFB" w:rsidRPr="004C15A2" w:rsidRDefault="005C4BFB" w:rsidP="00097A42">
      <w:pPr>
        <w:rPr>
          <w:sz w:val="22"/>
          <w:szCs w:val="22"/>
          <w:lang w:val="sk-SK"/>
        </w:rPr>
      </w:pPr>
      <w:r w:rsidRPr="004C15A2">
        <w:rPr>
          <w:sz w:val="22"/>
          <w:szCs w:val="22"/>
          <w:lang w:val="sk-SK"/>
        </w:rPr>
        <w:t>Oftalmologické betablokátory môžu vyvolať suchosť očí. Pacienti s ochorením rohovky sa majú liečiť opatrne.</w:t>
      </w:r>
    </w:p>
    <w:p w14:paraId="581EDC35" w14:textId="77777777" w:rsidR="0035791E" w:rsidRPr="004C15A2" w:rsidRDefault="0035791E" w:rsidP="00097A42">
      <w:pPr>
        <w:rPr>
          <w:sz w:val="22"/>
          <w:szCs w:val="22"/>
          <w:lang w:val="sk-SK"/>
        </w:rPr>
      </w:pPr>
    </w:p>
    <w:p w14:paraId="32F2BE83" w14:textId="77777777" w:rsidR="0035791E" w:rsidRPr="004C15A2" w:rsidRDefault="0035791E" w:rsidP="00097A42">
      <w:pPr>
        <w:rPr>
          <w:i/>
          <w:sz w:val="22"/>
          <w:szCs w:val="22"/>
          <w:u w:val="single"/>
          <w:lang w:val="sk-SK"/>
        </w:rPr>
      </w:pPr>
      <w:r w:rsidRPr="004C15A2">
        <w:rPr>
          <w:i/>
          <w:sz w:val="22"/>
          <w:szCs w:val="22"/>
          <w:u w:val="single"/>
          <w:lang w:val="sk-SK"/>
        </w:rPr>
        <w:t>Sú</w:t>
      </w:r>
      <w:r w:rsidR="00F312A5" w:rsidRPr="004C15A2">
        <w:rPr>
          <w:i/>
          <w:sz w:val="22"/>
          <w:szCs w:val="22"/>
          <w:u w:val="single"/>
          <w:lang w:val="sk-SK"/>
        </w:rPr>
        <w:t>bež</w:t>
      </w:r>
      <w:r w:rsidRPr="004C15A2">
        <w:rPr>
          <w:i/>
          <w:sz w:val="22"/>
          <w:szCs w:val="22"/>
          <w:u w:val="single"/>
          <w:lang w:val="sk-SK"/>
        </w:rPr>
        <w:t>ne prebiehajúca liečba:</w:t>
      </w:r>
    </w:p>
    <w:p w14:paraId="25837897" w14:textId="77777777" w:rsidR="0035791E" w:rsidRPr="004C15A2" w:rsidRDefault="0035791E" w:rsidP="00097A42">
      <w:pPr>
        <w:rPr>
          <w:sz w:val="22"/>
          <w:szCs w:val="22"/>
          <w:lang w:val="sk-SK"/>
        </w:rPr>
      </w:pPr>
      <w:r w:rsidRPr="004C15A2">
        <w:rPr>
          <w:sz w:val="22"/>
          <w:szCs w:val="22"/>
          <w:lang w:val="sk-SK"/>
        </w:rPr>
        <w:t>Timolol môže interagovať s inými liekmi (pozri časť 4.5).</w:t>
      </w:r>
    </w:p>
    <w:p w14:paraId="3FB5F9E5" w14:textId="77777777" w:rsidR="0035791E" w:rsidRPr="004C15A2" w:rsidRDefault="0035791E" w:rsidP="00097A42">
      <w:pPr>
        <w:rPr>
          <w:sz w:val="22"/>
          <w:szCs w:val="22"/>
          <w:lang w:val="sk-SK"/>
        </w:rPr>
      </w:pPr>
      <w:r w:rsidRPr="004C15A2">
        <w:rPr>
          <w:sz w:val="22"/>
          <w:szCs w:val="22"/>
          <w:lang w:val="sk-SK"/>
        </w:rPr>
        <w:t>Účinok na vnútroočný tlak alebo známy systémový betablokátorový účinok sa môže potencovať vtedy, ak sa X</w:t>
      </w:r>
      <w:r w:rsidR="00F312A5" w:rsidRPr="004C15A2">
        <w:rPr>
          <w:sz w:val="22"/>
          <w:szCs w:val="22"/>
          <w:lang w:val="sk-SK"/>
        </w:rPr>
        <w:t>ALACOM</w:t>
      </w:r>
      <w:r w:rsidRPr="004C15A2">
        <w:rPr>
          <w:sz w:val="22"/>
          <w:szCs w:val="22"/>
          <w:lang w:val="sk-SK"/>
        </w:rPr>
        <w:t xml:space="preserve"> podáva pacientom, ktorí sú už liečení perorálne podávanými betablokátormi. Neodporúča sa používanie dvoch lokálne pôsobiacich betablokátorov alebo dvoch lokálne pôsobiacich prostaglandínov.</w:t>
      </w:r>
    </w:p>
    <w:p w14:paraId="43409325" w14:textId="77777777" w:rsidR="005D73BB" w:rsidRPr="004C15A2" w:rsidRDefault="005D73BB" w:rsidP="00097A42">
      <w:pPr>
        <w:rPr>
          <w:sz w:val="22"/>
          <w:szCs w:val="22"/>
          <w:lang w:val="sk-SK"/>
        </w:rPr>
      </w:pPr>
    </w:p>
    <w:p w14:paraId="1F59BAD3" w14:textId="77777777" w:rsidR="005D73BB" w:rsidRPr="00170A8F" w:rsidRDefault="005D73BB" w:rsidP="00097A42">
      <w:pPr>
        <w:rPr>
          <w:iCs/>
          <w:sz w:val="22"/>
          <w:szCs w:val="22"/>
          <w:u w:val="single"/>
          <w:lang w:val="en-US"/>
        </w:rPr>
      </w:pPr>
      <w:r w:rsidRPr="00170A8F">
        <w:rPr>
          <w:b/>
          <w:iCs/>
          <w:sz w:val="22"/>
          <w:szCs w:val="22"/>
          <w:u w:val="single"/>
          <w:lang w:val="en-US"/>
        </w:rPr>
        <w:t>Latanoprost</w:t>
      </w:r>
    </w:p>
    <w:p w14:paraId="5060F5F6" w14:textId="77777777" w:rsidR="005D73BB" w:rsidRPr="004C15A2" w:rsidRDefault="005D73BB" w:rsidP="00097A42">
      <w:pPr>
        <w:rPr>
          <w:i/>
          <w:sz w:val="22"/>
          <w:szCs w:val="22"/>
          <w:u w:val="single"/>
          <w:lang w:val="en-US"/>
        </w:rPr>
      </w:pPr>
    </w:p>
    <w:p w14:paraId="32C8B8E2" w14:textId="77777777" w:rsidR="005D73BB" w:rsidRPr="004C15A2" w:rsidRDefault="00ED1591" w:rsidP="00097A42">
      <w:pPr>
        <w:rPr>
          <w:i/>
          <w:sz w:val="22"/>
          <w:szCs w:val="22"/>
          <w:u w:val="single"/>
          <w:lang w:val="en-US"/>
        </w:rPr>
      </w:pPr>
      <w:r w:rsidRPr="004C15A2">
        <w:rPr>
          <w:i/>
          <w:sz w:val="22"/>
          <w:szCs w:val="22"/>
          <w:u w:val="single"/>
          <w:lang w:val="en-US"/>
        </w:rPr>
        <w:t>Zmeny pigmentácie dúhovky</w:t>
      </w:r>
    </w:p>
    <w:p w14:paraId="596979C3" w14:textId="77777777" w:rsidR="005D73BB" w:rsidRPr="004C15A2" w:rsidRDefault="005D73BB" w:rsidP="00097A42">
      <w:pPr>
        <w:rPr>
          <w:sz w:val="22"/>
          <w:szCs w:val="22"/>
          <w:lang w:val="sk-SK"/>
        </w:rPr>
      </w:pPr>
    </w:p>
    <w:p w14:paraId="3E710881" w14:textId="4AA16763" w:rsidR="0035791E" w:rsidRPr="004C15A2" w:rsidRDefault="0035791E" w:rsidP="00097A42">
      <w:pPr>
        <w:rPr>
          <w:sz w:val="22"/>
          <w:szCs w:val="22"/>
          <w:lang w:val="sk-SK"/>
        </w:rPr>
      </w:pPr>
      <w:r w:rsidRPr="004C15A2">
        <w:rPr>
          <w:sz w:val="22"/>
          <w:szCs w:val="22"/>
          <w:lang w:val="sk-SK"/>
        </w:rPr>
        <w:t xml:space="preserve">Latanoprost môže postupne meniť farbu očí zvyšovaním množstva hnedého pigmentu v dúhovke. </w:t>
      </w:r>
      <w:r w:rsidR="003D0BA5" w:rsidRPr="004C15A2">
        <w:rPr>
          <w:sz w:val="22"/>
          <w:szCs w:val="22"/>
          <w:lang w:val="sk-SK"/>
        </w:rPr>
        <w:t xml:space="preserve">Ku zmene farby dochádza v dôsledku zvýšeného obsahu melanínu v stromálnych melanocytoch dúhovky, a nie kvôli zvýšenému počtu melanocytov. V postihnutých očiach sa typicky šíri hnedá pigmentácia okolo pupíl koncentricky smerom k periférii, a hnedou sa môže stať celá dúhovka alebo jej časť. Zmeny farby </w:t>
      </w:r>
      <w:r w:rsidR="003D0BA5" w:rsidRPr="004C15A2">
        <w:rPr>
          <w:sz w:val="22"/>
          <w:szCs w:val="22"/>
          <w:lang w:val="sk-SK"/>
        </w:rPr>
        <w:lastRenderedPageBreak/>
        <w:t xml:space="preserve">dúhovky sú vo väčšine prípadov mierne a často klinicky nepozorovateľné. </w:t>
      </w:r>
      <w:r w:rsidRPr="004C15A2">
        <w:rPr>
          <w:sz w:val="22"/>
          <w:szCs w:val="22"/>
          <w:lang w:val="sk-SK"/>
        </w:rPr>
        <w:t xml:space="preserve">Podobne ako u očnej roztokovej instilácie latanoprostu sa zvýšená pigmentácia dúhovky pozorovala u 16 – 20 % pacientov liečených Xalacomom počas jedného roka (na základe fotografií). Tento účinok bol pozorovaný </w:t>
      </w:r>
      <w:r w:rsidR="006A39EC" w:rsidRPr="004C15A2">
        <w:rPr>
          <w:sz w:val="22"/>
          <w:szCs w:val="22"/>
          <w:lang w:val="sk-SK"/>
        </w:rPr>
        <w:t xml:space="preserve">v jednom oku alebo obidvoch očiach, </w:t>
      </w:r>
      <w:r w:rsidRPr="004C15A2">
        <w:rPr>
          <w:sz w:val="22"/>
          <w:szCs w:val="22"/>
          <w:lang w:val="sk-SK"/>
        </w:rPr>
        <w:t xml:space="preserve">predovšetkým u pacientov so zmiešanou farbou dúhovky, </w:t>
      </w:r>
      <w:r w:rsidR="003D0BA5" w:rsidRPr="004C15A2">
        <w:rPr>
          <w:sz w:val="22"/>
          <w:szCs w:val="22"/>
          <w:lang w:val="sk-SK"/>
        </w:rPr>
        <w:t>ktorá obsahovala hnedú ako základ</w:t>
      </w:r>
      <w:r w:rsidR="00A9749D" w:rsidRPr="004C15A2">
        <w:rPr>
          <w:sz w:val="22"/>
          <w:szCs w:val="22"/>
          <w:lang w:val="sk-SK"/>
        </w:rPr>
        <w:t>.</w:t>
      </w:r>
      <w:r w:rsidRPr="004C15A2">
        <w:rPr>
          <w:sz w:val="22"/>
          <w:szCs w:val="22"/>
          <w:lang w:val="sk-SK"/>
        </w:rPr>
        <w:t xml:space="preserve"> V klinických štúdiách počas dvojročného sledovania liečby latanoprostom sa farebné zmeny u pacientov s rovnomerne modrými, šedými, zelenými alebo hnedými očami pozorovali len zriedka.</w:t>
      </w:r>
    </w:p>
    <w:p w14:paraId="11600E77" w14:textId="77777777" w:rsidR="0035791E" w:rsidRPr="004C15A2" w:rsidRDefault="0035791E" w:rsidP="00097A42">
      <w:pPr>
        <w:rPr>
          <w:sz w:val="22"/>
          <w:szCs w:val="22"/>
          <w:lang w:val="sk-SK"/>
        </w:rPr>
      </w:pPr>
    </w:p>
    <w:p w14:paraId="2D17974A" w14:textId="77777777" w:rsidR="0035791E" w:rsidRPr="004C15A2" w:rsidRDefault="0035791E" w:rsidP="00097A42">
      <w:pPr>
        <w:rPr>
          <w:sz w:val="22"/>
          <w:szCs w:val="22"/>
          <w:lang w:val="sk-SK"/>
        </w:rPr>
      </w:pPr>
      <w:r w:rsidRPr="004C15A2">
        <w:rPr>
          <w:sz w:val="22"/>
          <w:szCs w:val="22"/>
          <w:lang w:val="sk-SK"/>
        </w:rPr>
        <w:t>Zmeny vo farbe dúhovky sa objavujú pomaly, nemusia byť viditeľné niekoľko mesiacov alebo rokov a nie sú spojené so žiadnymi inými príznakmi alebo patologickými zmenami.</w:t>
      </w:r>
    </w:p>
    <w:p w14:paraId="7D13C43A" w14:textId="77777777" w:rsidR="001C43D1" w:rsidRPr="004C15A2" w:rsidRDefault="001C43D1" w:rsidP="00097A42">
      <w:pPr>
        <w:rPr>
          <w:sz w:val="22"/>
          <w:szCs w:val="22"/>
          <w:lang w:val="sk-SK"/>
        </w:rPr>
      </w:pPr>
    </w:p>
    <w:p w14:paraId="7A5BD6CF" w14:textId="77777777" w:rsidR="001C43D1" w:rsidRPr="004C15A2" w:rsidRDefault="001C43D1" w:rsidP="00097A42">
      <w:pPr>
        <w:rPr>
          <w:sz w:val="22"/>
          <w:szCs w:val="22"/>
          <w:lang w:val="sk-SK"/>
        </w:rPr>
      </w:pPr>
      <w:r w:rsidRPr="004C15A2">
        <w:rPr>
          <w:sz w:val="22"/>
          <w:szCs w:val="22"/>
          <w:lang w:val="sk-SK"/>
        </w:rPr>
        <w:t>V klinick</w:t>
      </w:r>
      <w:r w:rsidR="00772962" w:rsidRPr="004C15A2">
        <w:rPr>
          <w:sz w:val="22"/>
          <w:szCs w:val="22"/>
          <w:lang w:val="sk-SK"/>
        </w:rPr>
        <w:t>ej</w:t>
      </w:r>
      <w:r w:rsidRPr="004C15A2">
        <w:rPr>
          <w:sz w:val="22"/>
          <w:szCs w:val="22"/>
          <w:lang w:val="sk-SK"/>
        </w:rPr>
        <w:t xml:space="preserve"> štúdi</w:t>
      </w:r>
      <w:r w:rsidR="00772962" w:rsidRPr="004C15A2">
        <w:rPr>
          <w:sz w:val="22"/>
          <w:szCs w:val="22"/>
          <w:lang w:val="sk-SK"/>
        </w:rPr>
        <w:t>i</w:t>
      </w:r>
      <w:r w:rsidRPr="004C15A2">
        <w:rPr>
          <w:sz w:val="22"/>
          <w:szCs w:val="22"/>
          <w:lang w:val="sk-SK"/>
        </w:rPr>
        <w:t xml:space="preserve"> hodnotiac</w:t>
      </w:r>
      <w:r w:rsidR="00772962" w:rsidRPr="004C15A2">
        <w:rPr>
          <w:sz w:val="22"/>
          <w:szCs w:val="22"/>
          <w:lang w:val="sk-SK"/>
        </w:rPr>
        <w:t>ej</w:t>
      </w:r>
      <w:r w:rsidRPr="004C15A2">
        <w:rPr>
          <w:sz w:val="22"/>
          <w:szCs w:val="22"/>
          <w:lang w:val="sk-SK"/>
        </w:rPr>
        <w:t xml:space="preserve"> pigmentáciu dúhovky trvajúc</w:t>
      </w:r>
      <w:r w:rsidR="00772962" w:rsidRPr="004C15A2">
        <w:rPr>
          <w:sz w:val="22"/>
          <w:szCs w:val="22"/>
          <w:lang w:val="sk-SK"/>
        </w:rPr>
        <w:t>ej</w:t>
      </w:r>
      <w:r w:rsidRPr="004C15A2">
        <w:rPr>
          <w:sz w:val="22"/>
          <w:szCs w:val="22"/>
          <w:lang w:val="sk-SK"/>
        </w:rPr>
        <w:t xml:space="preserve"> päť rokov</w:t>
      </w:r>
      <w:r w:rsidR="00772962" w:rsidRPr="004C15A2">
        <w:rPr>
          <w:sz w:val="22"/>
          <w:szCs w:val="22"/>
          <w:lang w:val="sk-SK"/>
        </w:rPr>
        <w:t xml:space="preserve"> sa nedokázali </w:t>
      </w:r>
      <w:r w:rsidRPr="004C15A2">
        <w:rPr>
          <w:sz w:val="22"/>
          <w:szCs w:val="22"/>
          <w:lang w:val="sk-SK"/>
        </w:rPr>
        <w:t>žiadn</w:t>
      </w:r>
      <w:r w:rsidR="00772962" w:rsidRPr="004C15A2">
        <w:rPr>
          <w:sz w:val="22"/>
          <w:szCs w:val="22"/>
          <w:lang w:val="sk-SK"/>
        </w:rPr>
        <w:t>e</w:t>
      </w:r>
      <w:r w:rsidRPr="004C15A2">
        <w:rPr>
          <w:sz w:val="22"/>
          <w:szCs w:val="22"/>
          <w:lang w:val="sk-SK"/>
        </w:rPr>
        <w:t xml:space="preserve"> </w:t>
      </w:r>
      <w:r w:rsidR="00772962" w:rsidRPr="004C15A2">
        <w:rPr>
          <w:sz w:val="22"/>
          <w:szCs w:val="22"/>
          <w:lang w:val="sk-SK"/>
        </w:rPr>
        <w:t>nežiaduce</w:t>
      </w:r>
      <w:r w:rsidRPr="004C15A2">
        <w:rPr>
          <w:sz w:val="22"/>
          <w:szCs w:val="22"/>
          <w:lang w:val="sk-SK"/>
        </w:rPr>
        <w:t xml:space="preserve"> </w:t>
      </w:r>
      <w:r w:rsidR="00772962" w:rsidRPr="004C15A2">
        <w:rPr>
          <w:sz w:val="22"/>
          <w:szCs w:val="22"/>
          <w:lang w:val="sk-SK"/>
        </w:rPr>
        <w:t>ná</w:t>
      </w:r>
      <w:r w:rsidRPr="004C15A2">
        <w:rPr>
          <w:sz w:val="22"/>
          <w:szCs w:val="22"/>
          <w:lang w:val="sk-SK"/>
        </w:rPr>
        <w:t>sledk</w:t>
      </w:r>
      <w:r w:rsidR="00772962" w:rsidRPr="004C15A2">
        <w:rPr>
          <w:sz w:val="22"/>
          <w:szCs w:val="22"/>
          <w:lang w:val="sk-SK"/>
        </w:rPr>
        <w:t>y</w:t>
      </w:r>
      <w:r w:rsidRPr="004C15A2">
        <w:rPr>
          <w:sz w:val="22"/>
          <w:szCs w:val="22"/>
          <w:lang w:val="sk-SK"/>
        </w:rPr>
        <w:t xml:space="preserve"> spôsoben</w:t>
      </w:r>
      <w:r w:rsidR="00772962" w:rsidRPr="004C15A2">
        <w:rPr>
          <w:sz w:val="22"/>
          <w:szCs w:val="22"/>
          <w:lang w:val="sk-SK"/>
        </w:rPr>
        <w:t>é</w:t>
      </w:r>
      <w:r w:rsidRPr="004C15A2">
        <w:rPr>
          <w:sz w:val="22"/>
          <w:szCs w:val="22"/>
          <w:lang w:val="sk-SK"/>
        </w:rPr>
        <w:t xml:space="preserve"> zvýšen</w:t>
      </w:r>
      <w:r w:rsidR="00772962" w:rsidRPr="004C15A2">
        <w:rPr>
          <w:sz w:val="22"/>
          <w:szCs w:val="22"/>
          <w:lang w:val="sk-SK"/>
        </w:rPr>
        <w:t>ou</w:t>
      </w:r>
      <w:r w:rsidRPr="004C15A2">
        <w:rPr>
          <w:sz w:val="22"/>
          <w:szCs w:val="22"/>
          <w:lang w:val="sk-SK"/>
        </w:rPr>
        <w:t xml:space="preserve"> pigmentáci</w:t>
      </w:r>
      <w:r w:rsidR="00772962" w:rsidRPr="004C15A2">
        <w:rPr>
          <w:sz w:val="22"/>
          <w:szCs w:val="22"/>
          <w:lang w:val="sk-SK"/>
        </w:rPr>
        <w:t>o</w:t>
      </w:r>
      <w:r w:rsidRPr="004C15A2">
        <w:rPr>
          <w:sz w:val="22"/>
          <w:szCs w:val="22"/>
          <w:lang w:val="sk-SK"/>
        </w:rPr>
        <w:t xml:space="preserve">u aj </w:t>
      </w:r>
      <w:r w:rsidR="00772962" w:rsidRPr="004C15A2">
        <w:rPr>
          <w:sz w:val="22"/>
          <w:szCs w:val="22"/>
          <w:lang w:val="sk-SK"/>
        </w:rPr>
        <w:t>pri pokračovaní v podávaní</w:t>
      </w:r>
      <w:r w:rsidRPr="004C15A2">
        <w:rPr>
          <w:sz w:val="22"/>
          <w:szCs w:val="22"/>
          <w:lang w:val="sk-SK"/>
        </w:rPr>
        <w:t xml:space="preserve"> latanoprostu. Tieto výsledky s</w:t>
      </w:r>
      <w:r w:rsidR="00772962" w:rsidRPr="004C15A2">
        <w:rPr>
          <w:sz w:val="22"/>
          <w:szCs w:val="22"/>
          <w:lang w:val="sk-SK"/>
        </w:rPr>
        <w:t>a</w:t>
      </w:r>
      <w:r w:rsidRPr="004C15A2">
        <w:rPr>
          <w:sz w:val="22"/>
          <w:szCs w:val="22"/>
          <w:lang w:val="sk-SK"/>
        </w:rPr>
        <w:t xml:space="preserve"> </w:t>
      </w:r>
      <w:r w:rsidR="00772962" w:rsidRPr="004C15A2">
        <w:rPr>
          <w:sz w:val="22"/>
          <w:szCs w:val="22"/>
          <w:lang w:val="sk-SK"/>
        </w:rPr>
        <w:t>zhodujú</w:t>
      </w:r>
      <w:r w:rsidRPr="004C15A2">
        <w:rPr>
          <w:sz w:val="22"/>
          <w:szCs w:val="22"/>
          <w:lang w:val="sk-SK"/>
        </w:rPr>
        <w:t xml:space="preserve"> s klinick</w:t>
      </w:r>
      <w:r w:rsidR="00772962" w:rsidRPr="004C15A2">
        <w:rPr>
          <w:sz w:val="22"/>
          <w:szCs w:val="22"/>
          <w:lang w:val="sk-SK"/>
        </w:rPr>
        <w:t>ými</w:t>
      </w:r>
      <w:r w:rsidRPr="004C15A2">
        <w:rPr>
          <w:sz w:val="22"/>
          <w:szCs w:val="22"/>
          <w:lang w:val="sk-SK"/>
        </w:rPr>
        <w:t xml:space="preserve"> skúsenos</w:t>
      </w:r>
      <w:r w:rsidR="00772962" w:rsidRPr="004C15A2">
        <w:rPr>
          <w:sz w:val="22"/>
          <w:szCs w:val="22"/>
          <w:lang w:val="sk-SK"/>
        </w:rPr>
        <w:t>ťami po uvedení lieku na trh</w:t>
      </w:r>
      <w:r w:rsidRPr="004C15A2">
        <w:rPr>
          <w:sz w:val="22"/>
          <w:szCs w:val="22"/>
          <w:lang w:val="sk-SK"/>
        </w:rPr>
        <w:t xml:space="preserve"> </w:t>
      </w:r>
      <w:r w:rsidR="00772962" w:rsidRPr="004C15A2">
        <w:rPr>
          <w:sz w:val="22"/>
          <w:szCs w:val="22"/>
          <w:lang w:val="sk-SK"/>
        </w:rPr>
        <w:t>od</w:t>
      </w:r>
      <w:r w:rsidRPr="004C15A2">
        <w:rPr>
          <w:sz w:val="22"/>
          <w:szCs w:val="22"/>
          <w:lang w:val="sk-SK"/>
        </w:rPr>
        <w:t xml:space="preserve"> roku 1996. Okrem toho, zníženie </w:t>
      </w:r>
      <w:r w:rsidR="00772962" w:rsidRPr="004C15A2">
        <w:rPr>
          <w:sz w:val="22"/>
          <w:szCs w:val="22"/>
          <w:lang w:val="sk-SK"/>
        </w:rPr>
        <w:t>V</w:t>
      </w:r>
      <w:r w:rsidRPr="004C15A2">
        <w:rPr>
          <w:sz w:val="22"/>
          <w:szCs w:val="22"/>
          <w:lang w:val="sk-SK"/>
        </w:rPr>
        <w:t>OT bol</w:t>
      </w:r>
      <w:r w:rsidR="00772962" w:rsidRPr="004C15A2">
        <w:rPr>
          <w:sz w:val="22"/>
          <w:szCs w:val="22"/>
          <w:lang w:val="sk-SK"/>
        </w:rPr>
        <w:t>o</w:t>
      </w:r>
      <w:r w:rsidRPr="004C15A2">
        <w:rPr>
          <w:sz w:val="22"/>
          <w:szCs w:val="22"/>
          <w:lang w:val="sk-SK"/>
        </w:rPr>
        <w:t xml:space="preserve"> </w:t>
      </w:r>
      <w:r w:rsidR="00772962" w:rsidRPr="004C15A2">
        <w:rPr>
          <w:sz w:val="22"/>
          <w:szCs w:val="22"/>
          <w:lang w:val="sk-SK"/>
        </w:rPr>
        <w:t>rovnaké</w:t>
      </w:r>
      <w:r w:rsidRPr="004C15A2">
        <w:rPr>
          <w:sz w:val="22"/>
          <w:szCs w:val="22"/>
          <w:lang w:val="sk-SK"/>
        </w:rPr>
        <w:t xml:space="preserve"> u pacientov bez ohľadu na vývoj zvýšenej pigmentácie dúhovky. Preto </w:t>
      </w:r>
      <w:r w:rsidR="00772962" w:rsidRPr="004C15A2">
        <w:rPr>
          <w:sz w:val="22"/>
          <w:szCs w:val="22"/>
          <w:lang w:val="sk-SK"/>
        </w:rPr>
        <w:t xml:space="preserve">sa </w:t>
      </w:r>
      <w:r w:rsidRPr="004C15A2">
        <w:rPr>
          <w:sz w:val="22"/>
          <w:szCs w:val="22"/>
          <w:lang w:val="sk-SK"/>
        </w:rPr>
        <w:t xml:space="preserve">môže </w:t>
      </w:r>
      <w:r w:rsidR="00772962" w:rsidRPr="004C15A2">
        <w:rPr>
          <w:sz w:val="22"/>
          <w:szCs w:val="22"/>
          <w:lang w:val="sk-SK"/>
        </w:rPr>
        <w:t>v</w:t>
      </w:r>
      <w:r w:rsidRPr="004C15A2">
        <w:rPr>
          <w:sz w:val="22"/>
          <w:szCs w:val="22"/>
          <w:lang w:val="sk-SK"/>
        </w:rPr>
        <w:t xml:space="preserve"> liečb</w:t>
      </w:r>
      <w:r w:rsidR="00772962" w:rsidRPr="004C15A2">
        <w:rPr>
          <w:sz w:val="22"/>
          <w:szCs w:val="22"/>
          <w:lang w:val="sk-SK"/>
        </w:rPr>
        <w:t>e</w:t>
      </w:r>
      <w:r w:rsidRPr="004C15A2">
        <w:rPr>
          <w:sz w:val="22"/>
          <w:szCs w:val="22"/>
          <w:lang w:val="sk-SK"/>
        </w:rPr>
        <w:t xml:space="preserve"> latanoprost</w:t>
      </w:r>
      <w:r w:rsidR="00772962" w:rsidRPr="004C15A2">
        <w:rPr>
          <w:sz w:val="22"/>
          <w:szCs w:val="22"/>
          <w:lang w:val="sk-SK"/>
        </w:rPr>
        <w:t>om</w:t>
      </w:r>
      <w:r w:rsidRPr="004C15A2">
        <w:rPr>
          <w:sz w:val="22"/>
          <w:szCs w:val="22"/>
          <w:lang w:val="sk-SK"/>
        </w:rPr>
        <w:t xml:space="preserve"> pokračovať u pacientov, u ktorých sa vyvinie zvýšená pigmentácia dúhovky. Títo pacienti</w:t>
      </w:r>
      <w:r w:rsidR="003B6847" w:rsidRPr="004C15A2">
        <w:rPr>
          <w:sz w:val="22"/>
          <w:szCs w:val="22"/>
          <w:lang w:val="sk-SK"/>
        </w:rPr>
        <w:t xml:space="preserve"> sa majú</w:t>
      </w:r>
      <w:r w:rsidRPr="004C15A2">
        <w:rPr>
          <w:sz w:val="22"/>
          <w:szCs w:val="22"/>
          <w:lang w:val="sk-SK"/>
        </w:rPr>
        <w:t xml:space="preserve"> pravidelne </w:t>
      </w:r>
      <w:r w:rsidR="003B6847" w:rsidRPr="004C15A2">
        <w:rPr>
          <w:sz w:val="22"/>
          <w:szCs w:val="22"/>
          <w:lang w:val="sk-SK"/>
        </w:rPr>
        <w:t xml:space="preserve">vyšetrovať </w:t>
      </w:r>
      <w:r w:rsidRPr="004C15A2">
        <w:rPr>
          <w:sz w:val="22"/>
          <w:szCs w:val="22"/>
          <w:lang w:val="sk-SK"/>
        </w:rPr>
        <w:t>a</w:t>
      </w:r>
      <w:r w:rsidR="003B6847" w:rsidRPr="004C15A2">
        <w:rPr>
          <w:sz w:val="22"/>
          <w:szCs w:val="22"/>
          <w:lang w:val="sk-SK"/>
        </w:rPr>
        <w:t xml:space="preserve"> v </w:t>
      </w:r>
      <w:r w:rsidRPr="004C15A2">
        <w:rPr>
          <w:sz w:val="22"/>
          <w:szCs w:val="22"/>
          <w:lang w:val="sk-SK"/>
        </w:rPr>
        <w:t xml:space="preserve">závislosti </w:t>
      </w:r>
      <w:r w:rsidR="009752EE" w:rsidRPr="004C15A2">
        <w:rPr>
          <w:sz w:val="22"/>
          <w:szCs w:val="22"/>
          <w:lang w:val="sk-SK"/>
        </w:rPr>
        <w:t>od</w:t>
      </w:r>
      <w:r w:rsidRPr="004C15A2">
        <w:rPr>
          <w:sz w:val="22"/>
          <w:szCs w:val="22"/>
          <w:lang w:val="sk-SK"/>
        </w:rPr>
        <w:t xml:space="preserve"> klinick</w:t>
      </w:r>
      <w:r w:rsidR="009752EE" w:rsidRPr="004C15A2">
        <w:rPr>
          <w:sz w:val="22"/>
          <w:szCs w:val="22"/>
          <w:lang w:val="sk-SK"/>
        </w:rPr>
        <w:t>ého stavu</w:t>
      </w:r>
      <w:r w:rsidR="003B6847" w:rsidRPr="004C15A2">
        <w:rPr>
          <w:sz w:val="22"/>
          <w:szCs w:val="22"/>
          <w:lang w:val="sk-SK"/>
        </w:rPr>
        <w:t xml:space="preserve"> sa</w:t>
      </w:r>
      <w:r w:rsidRPr="004C15A2">
        <w:rPr>
          <w:sz w:val="22"/>
          <w:szCs w:val="22"/>
          <w:lang w:val="sk-SK"/>
        </w:rPr>
        <w:t xml:space="preserve"> môže liečba ukonč</w:t>
      </w:r>
      <w:r w:rsidR="003B6847" w:rsidRPr="004C15A2">
        <w:rPr>
          <w:sz w:val="22"/>
          <w:szCs w:val="22"/>
          <w:lang w:val="sk-SK"/>
        </w:rPr>
        <w:t>iť</w:t>
      </w:r>
      <w:r w:rsidRPr="004C15A2">
        <w:rPr>
          <w:sz w:val="22"/>
          <w:szCs w:val="22"/>
          <w:lang w:val="sk-SK"/>
        </w:rPr>
        <w:t>.</w:t>
      </w:r>
    </w:p>
    <w:p w14:paraId="304CB936" w14:textId="77777777" w:rsidR="001C43D1" w:rsidRPr="004C15A2" w:rsidRDefault="001C43D1" w:rsidP="00097A42">
      <w:pPr>
        <w:rPr>
          <w:sz w:val="22"/>
          <w:szCs w:val="22"/>
          <w:lang w:val="sk-SK"/>
        </w:rPr>
      </w:pPr>
    </w:p>
    <w:p w14:paraId="0A6A29C2" w14:textId="77777777" w:rsidR="0035791E" w:rsidRPr="004C15A2" w:rsidRDefault="003B6847" w:rsidP="00097A42">
      <w:pPr>
        <w:rPr>
          <w:sz w:val="22"/>
          <w:szCs w:val="22"/>
          <w:lang w:val="sk-SK"/>
        </w:rPr>
      </w:pPr>
      <w:r w:rsidRPr="004C15A2">
        <w:rPr>
          <w:sz w:val="22"/>
          <w:szCs w:val="22"/>
          <w:lang w:val="sk-SK"/>
        </w:rPr>
        <w:t>K n</w:t>
      </w:r>
      <w:r w:rsidR="001C43D1" w:rsidRPr="004C15A2">
        <w:rPr>
          <w:sz w:val="22"/>
          <w:szCs w:val="22"/>
          <w:lang w:val="sk-SK"/>
        </w:rPr>
        <w:t>ástup</w:t>
      </w:r>
      <w:r w:rsidRPr="004C15A2">
        <w:rPr>
          <w:sz w:val="22"/>
          <w:szCs w:val="22"/>
          <w:lang w:val="sk-SK"/>
        </w:rPr>
        <w:t>u</w:t>
      </w:r>
      <w:r w:rsidR="001C43D1" w:rsidRPr="004C15A2">
        <w:rPr>
          <w:sz w:val="22"/>
          <w:szCs w:val="22"/>
          <w:lang w:val="sk-SK"/>
        </w:rPr>
        <w:t xml:space="preserve"> zvýšenej pigmentácie dúhovky zvyčajne dochádza počas prvého rok</w:t>
      </w:r>
      <w:r w:rsidRPr="004C15A2">
        <w:rPr>
          <w:sz w:val="22"/>
          <w:szCs w:val="22"/>
          <w:lang w:val="sk-SK"/>
        </w:rPr>
        <w:t>a</w:t>
      </w:r>
      <w:r w:rsidR="001C43D1" w:rsidRPr="004C15A2">
        <w:rPr>
          <w:sz w:val="22"/>
          <w:szCs w:val="22"/>
          <w:lang w:val="sk-SK"/>
        </w:rPr>
        <w:t xml:space="preserve"> liečby, zriedkavo počas druhého alebo tretieho rok</w:t>
      </w:r>
      <w:r w:rsidRPr="004C15A2">
        <w:rPr>
          <w:sz w:val="22"/>
          <w:szCs w:val="22"/>
          <w:lang w:val="sk-SK"/>
        </w:rPr>
        <w:t>a</w:t>
      </w:r>
      <w:r w:rsidR="001C43D1" w:rsidRPr="004C15A2">
        <w:rPr>
          <w:sz w:val="22"/>
          <w:szCs w:val="22"/>
          <w:lang w:val="sk-SK"/>
        </w:rPr>
        <w:t>, a</w:t>
      </w:r>
      <w:r w:rsidRPr="004C15A2">
        <w:rPr>
          <w:sz w:val="22"/>
          <w:szCs w:val="22"/>
          <w:lang w:val="sk-SK"/>
        </w:rPr>
        <w:t> </w:t>
      </w:r>
      <w:r w:rsidR="001C43D1" w:rsidRPr="004C15A2">
        <w:rPr>
          <w:sz w:val="22"/>
          <w:szCs w:val="22"/>
          <w:lang w:val="sk-SK"/>
        </w:rPr>
        <w:t>po štvrtom roku liečby</w:t>
      </w:r>
      <w:r w:rsidRPr="004C15A2">
        <w:rPr>
          <w:sz w:val="22"/>
          <w:szCs w:val="22"/>
          <w:lang w:val="sk-SK"/>
        </w:rPr>
        <w:t xml:space="preserve"> sa nepozorovalo</w:t>
      </w:r>
      <w:r w:rsidR="001C43D1" w:rsidRPr="004C15A2">
        <w:rPr>
          <w:sz w:val="22"/>
          <w:szCs w:val="22"/>
          <w:lang w:val="sk-SK"/>
        </w:rPr>
        <w:t xml:space="preserve">. </w:t>
      </w:r>
      <w:r w:rsidRPr="004C15A2">
        <w:rPr>
          <w:sz w:val="22"/>
          <w:szCs w:val="22"/>
          <w:lang w:val="sk-SK"/>
        </w:rPr>
        <w:t>Miera</w:t>
      </w:r>
      <w:r w:rsidR="001C43D1" w:rsidRPr="004C15A2">
        <w:rPr>
          <w:sz w:val="22"/>
          <w:szCs w:val="22"/>
          <w:lang w:val="sk-SK"/>
        </w:rPr>
        <w:t xml:space="preserve"> progresie pigmentácie dúhovky sa časom znižuje a je stabilná </w:t>
      </w:r>
      <w:r w:rsidRPr="004C15A2">
        <w:rPr>
          <w:sz w:val="22"/>
          <w:szCs w:val="22"/>
          <w:lang w:val="sk-SK"/>
        </w:rPr>
        <w:t>po</w:t>
      </w:r>
      <w:r w:rsidR="001C43D1" w:rsidRPr="004C15A2">
        <w:rPr>
          <w:sz w:val="22"/>
          <w:szCs w:val="22"/>
          <w:lang w:val="sk-SK"/>
        </w:rPr>
        <w:t xml:space="preserve"> p</w:t>
      </w:r>
      <w:r w:rsidRPr="004C15A2">
        <w:rPr>
          <w:sz w:val="22"/>
          <w:szCs w:val="22"/>
          <w:lang w:val="sk-SK"/>
        </w:rPr>
        <w:t>iatich</w:t>
      </w:r>
      <w:r w:rsidR="001C43D1" w:rsidRPr="004C15A2">
        <w:rPr>
          <w:sz w:val="22"/>
          <w:szCs w:val="22"/>
          <w:lang w:val="sk-SK"/>
        </w:rPr>
        <w:t xml:space="preserve"> roko</w:t>
      </w:r>
      <w:r w:rsidRPr="004C15A2">
        <w:rPr>
          <w:sz w:val="22"/>
          <w:szCs w:val="22"/>
          <w:lang w:val="sk-SK"/>
        </w:rPr>
        <w:t>ch</w:t>
      </w:r>
      <w:r w:rsidR="001C43D1" w:rsidRPr="004C15A2">
        <w:rPr>
          <w:sz w:val="22"/>
          <w:szCs w:val="22"/>
          <w:lang w:val="sk-SK"/>
        </w:rPr>
        <w:t xml:space="preserve">. Účinky zvýšenej pigmentácie </w:t>
      </w:r>
      <w:r w:rsidR="00B8137F" w:rsidRPr="004C15A2">
        <w:rPr>
          <w:sz w:val="22"/>
          <w:szCs w:val="22"/>
          <w:lang w:val="sk-SK"/>
        </w:rPr>
        <w:t xml:space="preserve">trvajúcej </w:t>
      </w:r>
      <w:r w:rsidR="001C43D1" w:rsidRPr="004C15A2">
        <w:rPr>
          <w:sz w:val="22"/>
          <w:szCs w:val="22"/>
          <w:lang w:val="sk-SK"/>
        </w:rPr>
        <w:t xml:space="preserve">dlhšie ako päť rokov </w:t>
      </w:r>
      <w:r w:rsidRPr="004C15A2">
        <w:rPr>
          <w:sz w:val="22"/>
          <w:szCs w:val="22"/>
          <w:lang w:val="sk-SK"/>
        </w:rPr>
        <w:t>s</w:t>
      </w:r>
      <w:r w:rsidR="001C43D1" w:rsidRPr="004C15A2">
        <w:rPr>
          <w:sz w:val="22"/>
          <w:szCs w:val="22"/>
          <w:lang w:val="sk-SK"/>
        </w:rPr>
        <w:t xml:space="preserve">a </w:t>
      </w:r>
      <w:r w:rsidRPr="004C15A2">
        <w:rPr>
          <w:sz w:val="22"/>
          <w:szCs w:val="22"/>
          <w:lang w:val="sk-SK"/>
        </w:rPr>
        <w:t>ne</w:t>
      </w:r>
      <w:r w:rsidR="001C43D1" w:rsidRPr="004C15A2">
        <w:rPr>
          <w:sz w:val="22"/>
          <w:szCs w:val="22"/>
          <w:lang w:val="sk-SK"/>
        </w:rPr>
        <w:t>hodnot</w:t>
      </w:r>
      <w:r w:rsidRPr="004C15A2">
        <w:rPr>
          <w:sz w:val="22"/>
          <w:szCs w:val="22"/>
          <w:lang w:val="sk-SK"/>
        </w:rPr>
        <w:t>ili</w:t>
      </w:r>
      <w:r w:rsidR="001C43D1" w:rsidRPr="004C15A2">
        <w:rPr>
          <w:sz w:val="22"/>
          <w:szCs w:val="22"/>
          <w:lang w:val="sk-SK"/>
        </w:rPr>
        <w:t xml:space="preserve">. </w:t>
      </w:r>
      <w:r w:rsidR="0035791E" w:rsidRPr="004C15A2">
        <w:rPr>
          <w:sz w:val="22"/>
          <w:szCs w:val="22"/>
          <w:lang w:val="sk-SK"/>
        </w:rPr>
        <w:t>Po prerušení liečby sa nepozoroval ďalší nárast hnedej pigmentácie dúhovky, ale výsledná farebná zmena môže byť trvalá.</w:t>
      </w:r>
    </w:p>
    <w:p w14:paraId="25D0A27D" w14:textId="77777777" w:rsidR="00475873" w:rsidRPr="004C15A2" w:rsidRDefault="00475873" w:rsidP="00097A42">
      <w:pPr>
        <w:rPr>
          <w:sz w:val="22"/>
          <w:szCs w:val="22"/>
          <w:lang w:val="sk-SK"/>
        </w:rPr>
      </w:pPr>
    </w:p>
    <w:p w14:paraId="4FF652ED" w14:textId="77777777" w:rsidR="00475873" w:rsidRPr="004C15A2" w:rsidRDefault="00475873" w:rsidP="00475873">
      <w:pPr>
        <w:rPr>
          <w:sz w:val="22"/>
          <w:szCs w:val="22"/>
          <w:lang w:val="sk-SK"/>
        </w:rPr>
      </w:pPr>
      <w:r w:rsidRPr="004C15A2">
        <w:rPr>
          <w:sz w:val="22"/>
          <w:szCs w:val="22"/>
          <w:lang w:val="sk-SK"/>
        </w:rPr>
        <w:t>Liečbou nie sú ovplyvnené ani pehy, ani névy na dúhovke.</w:t>
      </w:r>
    </w:p>
    <w:p w14:paraId="37D82CCF" w14:textId="77777777" w:rsidR="00475873" w:rsidRPr="004C15A2" w:rsidRDefault="00475873" w:rsidP="00475873">
      <w:pPr>
        <w:rPr>
          <w:sz w:val="22"/>
          <w:szCs w:val="22"/>
          <w:lang w:val="sk-SK"/>
        </w:rPr>
      </w:pPr>
    </w:p>
    <w:p w14:paraId="7B3BCB73" w14:textId="77777777" w:rsidR="00475873" w:rsidRPr="004C15A2" w:rsidRDefault="00475873" w:rsidP="00475873">
      <w:pPr>
        <w:rPr>
          <w:sz w:val="22"/>
          <w:szCs w:val="22"/>
          <w:lang w:val="sk-SK"/>
        </w:rPr>
      </w:pPr>
      <w:r w:rsidRPr="004C15A2">
        <w:rPr>
          <w:sz w:val="22"/>
          <w:szCs w:val="22"/>
          <w:lang w:val="sk-SK"/>
        </w:rPr>
        <w:t>V klinických štúdiách nebolo pozorované hromadenie pigmentu v trabekulárnej sieťovine, ani nikde inde v prednej komore. Pacientov je však nutné pravidelne kontrolovať a v závislosti od klinickej situácie je možné pri zvýšení pigmentácie dúhovky liečbu prerušiť.</w:t>
      </w:r>
    </w:p>
    <w:p w14:paraId="3FF8FB34" w14:textId="77777777" w:rsidR="00475873" w:rsidRPr="004C15A2" w:rsidRDefault="00475873" w:rsidP="00475873">
      <w:pPr>
        <w:rPr>
          <w:sz w:val="22"/>
          <w:szCs w:val="22"/>
          <w:lang w:val="sk-SK"/>
        </w:rPr>
      </w:pPr>
    </w:p>
    <w:p w14:paraId="4DC9E09E" w14:textId="77777777" w:rsidR="00475873" w:rsidRPr="004C15A2" w:rsidRDefault="00475873" w:rsidP="00475873">
      <w:pPr>
        <w:rPr>
          <w:sz w:val="22"/>
          <w:szCs w:val="22"/>
          <w:lang w:val="sk-SK"/>
        </w:rPr>
      </w:pPr>
      <w:r w:rsidRPr="004C15A2">
        <w:rPr>
          <w:sz w:val="22"/>
          <w:szCs w:val="22"/>
          <w:lang w:val="sk-SK"/>
        </w:rPr>
        <w:t>Pred začiatkom liečby je potrebné informovať pacienta o možn</w:t>
      </w:r>
      <w:r w:rsidR="005F1F5E" w:rsidRPr="004C15A2">
        <w:rPr>
          <w:sz w:val="22"/>
          <w:szCs w:val="22"/>
          <w:lang w:val="sk-SK"/>
        </w:rPr>
        <w:t>ej</w:t>
      </w:r>
      <w:r w:rsidRPr="004C15A2">
        <w:rPr>
          <w:sz w:val="22"/>
          <w:szCs w:val="22"/>
          <w:lang w:val="sk-SK"/>
        </w:rPr>
        <w:t xml:space="preserve"> zmen</w:t>
      </w:r>
      <w:r w:rsidR="005F1F5E" w:rsidRPr="004C15A2">
        <w:rPr>
          <w:sz w:val="22"/>
          <w:szCs w:val="22"/>
          <w:lang w:val="sk-SK"/>
        </w:rPr>
        <w:t>e</w:t>
      </w:r>
      <w:r w:rsidRPr="004C15A2">
        <w:rPr>
          <w:sz w:val="22"/>
          <w:szCs w:val="22"/>
          <w:lang w:val="sk-SK"/>
        </w:rPr>
        <w:t xml:space="preserve"> farby oka.</w:t>
      </w:r>
    </w:p>
    <w:p w14:paraId="54BAE85C" w14:textId="77777777" w:rsidR="0035791E" w:rsidRPr="004C15A2" w:rsidRDefault="0035791E" w:rsidP="00097A42">
      <w:pPr>
        <w:rPr>
          <w:sz w:val="22"/>
          <w:szCs w:val="22"/>
          <w:lang w:val="sk-SK"/>
        </w:rPr>
      </w:pPr>
    </w:p>
    <w:p w14:paraId="2170FEE5" w14:textId="77777777" w:rsidR="00ED1591" w:rsidRPr="004C15A2" w:rsidRDefault="000A5722" w:rsidP="00097A42">
      <w:pPr>
        <w:rPr>
          <w:sz w:val="22"/>
          <w:szCs w:val="22"/>
          <w:highlight w:val="yellow"/>
        </w:rPr>
      </w:pPr>
      <w:r w:rsidRPr="004C15A2">
        <w:rPr>
          <w:sz w:val="22"/>
          <w:szCs w:val="22"/>
        </w:rPr>
        <w:t xml:space="preserve">U pacientov užívajúcich jednostrannú liečbu </w:t>
      </w:r>
      <w:r w:rsidR="004E6276" w:rsidRPr="004C15A2">
        <w:rPr>
          <w:sz w:val="22"/>
          <w:szCs w:val="22"/>
        </w:rPr>
        <w:t>môže dôjsť ku vzniku</w:t>
      </w:r>
      <w:r w:rsidRPr="004C15A2">
        <w:rPr>
          <w:sz w:val="22"/>
          <w:szCs w:val="22"/>
        </w:rPr>
        <w:t xml:space="preserve"> </w:t>
      </w:r>
      <w:r w:rsidR="00983CBC" w:rsidRPr="004C15A2">
        <w:rPr>
          <w:sz w:val="22"/>
          <w:szCs w:val="22"/>
        </w:rPr>
        <w:t>heterochrómi</w:t>
      </w:r>
      <w:r w:rsidRPr="004C15A2">
        <w:rPr>
          <w:sz w:val="22"/>
          <w:szCs w:val="22"/>
        </w:rPr>
        <w:t>e</w:t>
      </w:r>
      <w:r w:rsidR="00983CBC" w:rsidRPr="004C15A2">
        <w:rPr>
          <w:sz w:val="22"/>
          <w:szCs w:val="22"/>
        </w:rPr>
        <w:t>.</w:t>
      </w:r>
    </w:p>
    <w:p w14:paraId="06EF5922" w14:textId="77777777" w:rsidR="00ED1591" w:rsidRPr="004C15A2" w:rsidRDefault="00ED1591" w:rsidP="00097A42">
      <w:pPr>
        <w:rPr>
          <w:sz w:val="22"/>
          <w:szCs w:val="22"/>
          <w:highlight w:val="yellow"/>
        </w:rPr>
      </w:pPr>
    </w:p>
    <w:p w14:paraId="273B1AD6" w14:textId="77777777" w:rsidR="00ED1591" w:rsidRPr="004C15A2" w:rsidRDefault="00983CBC" w:rsidP="00097A42">
      <w:pPr>
        <w:rPr>
          <w:i/>
          <w:sz w:val="22"/>
          <w:szCs w:val="22"/>
          <w:u w:val="single"/>
        </w:rPr>
      </w:pPr>
      <w:r w:rsidRPr="004C15A2">
        <w:rPr>
          <w:i/>
          <w:sz w:val="22"/>
          <w:szCs w:val="22"/>
          <w:u w:val="single"/>
        </w:rPr>
        <w:t>Zmeny očných viečok a mihalníc</w:t>
      </w:r>
    </w:p>
    <w:p w14:paraId="21814109" w14:textId="77777777" w:rsidR="00ED1591" w:rsidRPr="004C15A2" w:rsidRDefault="00ED1591" w:rsidP="00097A42">
      <w:pPr>
        <w:rPr>
          <w:sz w:val="22"/>
          <w:szCs w:val="22"/>
          <w:lang w:val="sk-SK"/>
        </w:rPr>
      </w:pPr>
    </w:p>
    <w:p w14:paraId="76A8C012" w14:textId="77777777" w:rsidR="00B8137F" w:rsidRPr="004C15A2" w:rsidRDefault="00B8137F" w:rsidP="00097A42">
      <w:pPr>
        <w:rPr>
          <w:sz w:val="22"/>
          <w:szCs w:val="22"/>
          <w:lang w:val="sk-SK"/>
        </w:rPr>
      </w:pPr>
      <w:r w:rsidRPr="004C15A2">
        <w:rPr>
          <w:sz w:val="22"/>
          <w:szCs w:val="22"/>
          <w:lang w:val="sk-SK"/>
        </w:rPr>
        <w:t>V súvislosti s používaním latanoprostu sa zaznamenalo stmavnutie kože očných viečok, ktoré môže byť reverzibilné.</w:t>
      </w:r>
    </w:p>
    <w:p w14:paraId="42DD6F85" w14:textId="77777777" w:rsidR="00B8137F" w:rsidRPr="004C15A2" w:rsidRDefault="00B8137F" w:rsidP="00097A42">
      <w:pPr>
        <w:rPr>
          <w:sz w:val="22"/>
          <w:szCs w:val="22"/>
          <w:lang w:val="sk-SK"/>
        </w:rPr>
      </w:pPr>
    </w:p>
    <w:p w14:paraId="440C1A42" w14:textId="77777777" w:rsidR="0035791E" w:rsidRPr="004C15A2" w:rsidRDefault="00B8137F" w:rsidP="00475873">
      <w:pPr>
        <w:rPr>
          <w:sz w:val="22"/>
          <w:szCs w:val="22"/>
          <w:lang w:val="sk-SK"/>
        </w:rPr>
      </w:pPr>
      <w:r w:rsidRPr="004C15A2">
        <w:rPr>
          <w:sz w:val="22"/>
          <w:szCs w:val="22"/>
          <w:lang w:val="sk-SK"/>
        </w:rPr>
        <w:t xml:space="preserve">Latanoprost môže postupne meniť riasy a </w:t>
      </w:r>
      <w:r w:rsidR="005C689F" w:rsidRPr="004C15A2">
        <w:rPr>
          <w:sz w:val="22"/>
          <w:szCs w:val="22"/>
          <w:lang w:val="sk-SK"/>
        </w:rPr>
        <w:t>ochlpenie</w:t>
      </w:r>
      <w:r w:rsidRPr="004C15A2">
        <w:rPr>
          <w:sz w:val="22"/>
          <w:szCs w:val="22"/>
          <w:lang w:val="sk-SK"/>
        </w:rPr>
        <w:t xml:space="preserve"> liečeného oka</w:t>
      </w:r>
      <w:r w:rsidR="005C689F" w:rsidRPr="004C15A2">
        <w:rPr>
          <w:sz w:val="22"/>
          <w:szCs w:val="22"/>
          <w:lang w:val="sk-SK"/>
        </w:rPr>
        <w:t>;</w:t>
      </w:r>
      <w:r w:rsidRPr="004C15A2">
        <w:rPr>
          <w:sz w:val="22"/>
          <w:szCs w:val="22"/>
          <w:lang w:val="sk-SK"/>
        </w:rPr>
        <w:t xml:space="preserve"> </w:t>
      </w:r>
      <w:r w:rsidR="005C689F" w:rsidRPr="004C15A2">
        <w:rPr>
          <w:sz w:val="22"/>
          <w:szCs w:val="22"/>
          <w:lang w:val="sk-SK"/>
        </w:rPr>
        <w:t xml:space="preserve">medzi </w:t>
      </w:r>
      <w:r w:rsidRPr="004C15A2">
        <w:rPr>
          <w:sz w:val="22"/>
          <w:szCs w:val="22"/>
          <w:lang w:val="sk-SK"/>
        </w:rPr>
        <w:t>tieto zmeny patrí predĺženie, z</w:t>
      </w:r>
      <w:r w:rsidR="00D81911" w:rsidRPr="004C15A2">
        <w:rPr>
          <w:sz w:val="22"/>
          <w:szCs w:val="22"/>
          <w:lang w:val="sk-SK"/>
        </w:rPr>
        <w:t>hrubnutie</w:t>
      </w:r>
      <w:r w:rsidRPr="004C15A2">
        <w:rPr>
          <w:sz w:val="22"/>
          <w:szCs w:val="22"/>
          <w:lang w:val="sk-SK"/>
        </w:rPr>
        <w:t>, pigmentáci</w:t>
      </w:r>
      <w:r w:rsidR="005C689F" w:rsidRPr="004C15A2">
        <w:rPr>
          <w:sz w:val="22"/>
          <w:szCs w:val="22"/>
          <w:lang w:val="sk-SK"/>
        </w:rPr>
        <w:t>a</w:t>
      </w:r>
      <w:r w:rsidRPr="004C15A2">
        <w:rPr>
          <w:sz w:val="22"/>
          <w:szCs w:val="22"/>
          <w:lang w:val="sk-SK"/>
        </w:rPr>
        <w:t xml:space="preserve"> a počet rias alebo chĺpkov a</w:t>
      </w:r>
      <w:r w:rsidR="005C689F" w:rsidRPr="004C15A2">
        <w:rPr>
          <w:sz w:val="22"/>
          <w:szCs w:val="22"/>
          <w:lang w:val="sk-SK"/>
        </w:rPr>
        <w:t> nesprávny smer</w:t>
      </w:r>
      <w:r w:rsidRPr="004C15A2">
        <w:rPr>
          <w:sz w:val="22"/>
          <w:szCs w:val="22"/>
          <w:lang w:val="sk-SK"/>
        </w:rPr>
        <w:t xml:space="preserve"> rast</w:t>
      </w:r>
      <w:r w:rsidR="005C689F" w:rsidRPr="004C15A2">
        <w:rPr>
          <w:sz w:val="22"/>
          <w:szCs w:val="22"/>
          <w:lang w:val="sk-SK"/>
        </w:rPr>
        <w:t>u</w:t>
      </w:r>
      <w:r w:rsidRPr="004C15A2">
        <w:rPr>
          <w:sz w:val="22"/>
          <w:szCs w:val="22"/>
          <w:lang w:val="sk-SK"/>
        </w:rPr>
        <w:t xml:space="preserve"> rias. Zmeny rias sú reverzibilné po ukončení liečby.</w:t>
      </w:r>
    </w:p>
    <w:p w14:paraId="1F5820C2" w14:textId="77777777" w:rsidR="0035791E" w:rsidRPr="004C15A2" w:rsidRDefault="0035791E" w:rsidP="00097A42">
      <w:pPr>
        <w:rPr>
          <w:sz w:val="22"/>
          <w:szCs w:val="22"/>
          <w:lang w:val="sk-SK"/>
        </w:rPr>
      </w:pPr>
    </w:p>
    <w:p w14:paraId="12ED7098" w14:textId="77777777" w:rsidR="00ED1591" w:rsidRPr="004C15A2" w:rsidRDefault="00ED1591" w:rsidP="00097A42">
      <w:pPr>
        <w:rPr>
          <w:i/>
          <w:sz w:val="22"/>
          <w:szCs w:val="22"/>
          <w:u w:val="single"/>
          <w:lang w:val="en-US"/>
        </w:rPr>
      </w:pPr>
      <w:r w:rsidRPr="004C15A2">
        <w:rPr>
          <w:i/>
          <w:sz w:val="22"/>
          <w:szCs w:val="22"/>
          <w:u w:val="single"/>
          <w:lang w:val="en-US"/>
        </w:rPr>
        <w:t>Glaukóm</w:t>
      </w:r>
    </w:p>
    <w:p w14:paraId="3A0540F3" w14:textId="77777777" w:rsidR="00ED1591" w:rsidRPr="004C15A2" w:rsidRDefault="00ED1591" w:rsidP="00097A42">
      <w:pPr>
        <w:rPr>
          <w:sz w:val="22"/>
          <w:szCs w:val="22"/>
          <w:lang w:val="sk-SK"/>
        </w:rPr>
      </w:pPr>
    </w:p>
    <w:p w14:paraId="769979EC" w14:textId="77777777" w:rsidR="0035791E" w:rsidRPr="004C15A2" w:rsidRDefault="0035791E" w:rsidP="00097A42">
      <w:pPr>
        <w:rPr>
          <w:sz w:val="22"/>
          <w:szCs w:val="22"/>
          <w:lang w:val="sk-SK"/>
        </w:rPr>
      </w:pPr>
      <w:r w:rsidRPr="004C15A2">
        <w:rPr>
          <w:sz w:val="22"/>
          <w:szCs w:val="22"/>
          <w:lang w:val="sk-SK"/>
        </w:rPr>
        <w:t>Nie sú žiadne zdokumentované skúsenosti s latanoprostom v liečbe zápalového, neovaskulárneho alebo chronického glaukómu s uzavretým uhlom, glaukómu s otvoreným uhlom u pseudofakických pacientov a u pigmentového glaukómu. Latanoprost nemá žiadny alebo má</w:t>
      </w:r>
      <w:r w:rsidR="00595594" w:rsidRPr="004C15A2">
        <w:rPr>
          <w:sz w:val="22"/>
          <w:szCs w:val="22"/>
          <w:lang w:val="sk-SK"/>
        </w:rPr>
        <w:t xml:space="preserve"> len</w:t>
      </w:r>
      <w:r w:rsidRPr="004C15A2">
        <w:rPr>
          <w:sz w:val="22"/>
          <w:szCs w:val="22"/>
          <w:lang w:val="sk-SK"/>
        </w:rPr>
        <w:t xml:space="preserve"> malý účinok na zreničku</w:t>
      </w:r>
      <w:r w:rsidR="00595594" w:rsidRPr="004C15A2">
        <w:rPr>
          <w:sz w:val="22"/>
          <w:szCs w:val="22"/>
          <w:lang w:val="sk-SK"/>
        </w:rPr>
        <w:t>,</w:t>
      </w:r>
      <w:r w:rsidRPr="004C15A2">
        <w:rPr>
          <w:sz w:val="22"/>
          <w:szCs w:val="22"/>
          <w:lang w:val="sk-SK"/>
        </w:rPr>
        <w:t xml:space="preserve"> avšak nie sú žiadne zdokumentované skúsenosti pri akútnych záchvatoch glaukómu s uzavretým uhlom. Preto sa odporúča používať X</w:t>
      </w:r>
      <w:r w:rsidR="00306FFC" w:rsidRPr="004C15A2">
        <w:rPr>
          <w:sz w:val="22"/>
          <w:szCs w:val="22"/>
          <w:lang w:val="sk-SK"/>
        </w:rPr>
        <w:t>ALACOM</w:t>
      </w:r>
      <w:r w:rsidRPr="004C15A2">
        <w:rPr>
          <w:sz w:val="22"/>
          <w:szCs w:val="22"/>
          <w:lang w:val="sk-SK"/>
        </w:rPr>
        <w:t xml:space="preserve"> v týchto situáciách s opatrnosťou, kým sa nezískajú ďalšie skúsenosti.</w:t>
      </w:r>
    </w:p>
    <w:p w14:paraId="78E75628" w14:textId="77777777" w:rsidR="0035791E" w:rsidRPr="004C15A2" w:rsidRDefault="0035791E" w:rsidP="00097A42">
      <w:pPr>
        <w:rPr>
          <w:sz w:val="22"/>
          <w:szCs w:val="22"/>
          <w:lang w:val="sk-SK"/>
        </w:rPr>
      </w:pPr>
    </w:p>
    <w:p w14:paraId="5DE12D72" w14:textId="77777777" w:rsidR="00983CBC" w:rsidRPr="004C15A2" w:rsidRDefault="00983CBC" w:rsidP="00170A8F">
      <w:pPr>
        <w:keepNext/>
        <w:rPr>
          <w:i/>
          <w:sz w:val="22"/>
          <w:szCs w:val="22"/>
          <w:u w:val="single"/>
          <w:lang w:val="en-US"/>
        </w:rPr>
      </w:pPr>
      <w:r w:rsidRPr="004C15A2">
        <w:rPr>
          <w:i/>
          <w:sz w:val="22"/>
          <w:szCs w:val="22"/>
          <w:u w:val="single"/>
          <w:lang w:val="en-US"/>
        </w:rPr>
        <w:t>Herpetická keratitída</w:t>
      </w:r>
    </w:p>
    <w:p w14:paraId="2299646E" w14:textId="77777777" w:rsidR="00983CBC" w:rsidRPr="004C15A2" w:rsidRDefault="00983CBC" w:rsidP="00170A8F">
      <w:pPr>
        <w:keepNext/>
        <w:rPr>
          <w:sz w:val="22"/>
          <w:szCs w:val="22"/>
          <w:lang w:val="sk-SK"/>
        </w:rPr>
      </w:pPr>
    </w:p>
    <w:p w14:paraId="71AE86A8" w14:textId="77777777" w:rsidR="0035791E" w:rsidRPr="004C15A2" w:rsidRDefault="0035791E" w:rsidP="00170A8F">
      <w:pPr>
        <w:keepNext/>
        <w:rPr>
          <w:sz w:val="22"/>
          <w:szCs w:val="22"/>
          <w:lang w:val="sk-SK"/>
        </w:rPr>
      </w:pPr>
      <w:r w:rsidRPr="004C15A2">
        <w:rPr>
          <w:sz w:val="22"/>
          <w:szCs w:val="22"/>
          <w:lang w:val="sk-SK"/>
        </w:rPr>
        <w:t xml:space="preserve">Latanoprost sa má používať opatrne u pacientov </w:t>
      </w:r>
      <w:r w:rsidR="00595594" w:rsidRPr="004C15A2">
        <w:rPr>
          <w:sz w:val="22"/>
          <w:szCs w:val="22"/>
          <w:lang w:val="sk-SK"/>
        </w:rPr>
        <w:t xml:space="preserve">s </w:t>
      </w:r>
      <w:r w:rsidRPr="004C15A2">
        <w:rPr>
          <w:sz w:val="22"/>
          <w:szCs w:val="22"/>
          <w:lang w:val="sk-SK"/>
        </w:rPr>
        <w:t>herpetick</w:t>
      </w:r>
      <w:r w:rsidR="00595594" w:rsidRPr="004C15A2">
        <w:rPr>
          <w:sz w:val="22"/>
          <w:szCs w:val="22"/>
          <w:lang w:val="sk-SK"/>
        </w:rPr>
        <w:t>ou</w:t>
      </w:r>
      <w:r w:rsidRPr="004C15A2">
        <w:rPr>
          <w:sz w:val="22"/>
          <w:szCs w:val="22"/>
          <w:lang w:val="sk-SK"/>
        </w:rPr>
        <w:t xml:space="preserve"> keratitíd</w:t>
      </w:r>
      <w:r w:rsidR="00595594" w:rsidRPr="004C15A2">
        <w:rPr>
          <w:sz w:val="22"/>
          <w:szCs w:val="22"/>
          <w:lang w:val="sk-SK"/>
        </w:rPr>
        <w:t>ou</w:t>
      </w:r>
      <w:r w:rsidRPr="004C15A2">
        <w:rPr>
          <w:sz w:val="22"/>
          <w:szCs w:val="22"/>
          <w:lang w:val="sk-SK"/>
        </w:rPr>
        <w:t xml:space="preserve"> v anamnéze a treba sa mu vyhýbať v prípadoch aktívnej herpes simplex keratitídy a u</w:t>
      </w:r>
      <w:r w:rsidR="00C352CD" w:rsidRPr="004C15A2">
        <w:rPr>
          <w:sz w:val="22"/>
          <w:szCs w:val="22"/>
          <w:lang w:val="sk-SK"/>
        </w:rPr>
        <w:t> </w:t>
      </w:r>
      <w:r w:rsidRPr="004C15A2">
        <w:rPr>
          <w:sz w:val="22"/>
          <w:szCs w:val="22"/>
          <w:lang w:val="sk-SK"/>
        </w:rPr>
        <w:t>pacientov</w:t>
      </w:r>
      <w:r w:rsidR="00C352CD" w:rsidRPr="004C15A2">
        <w:rPr>
          <w:sz w:val="22"/>
          <w:szCs w:val="22"/>
          <w:lang w:val="sk-SK"/>
        </w:rPr>
        <w:t xml:space="preserve"> s</w:t>
      </w:r>
      <w:r w:rsidRPr="004C15A2">
        <w:rPr>
          <w:sz w:val="22"/>
          <w:szCs w:val="22"/>
          <w:lang w:val="sk-SK"/>
        </w:rPr>
        <w:t xml:space="preserve"> rekurentnou herpetickou keratitíou v anamnéze, obzvlášť spojenej s analógmi prostaglandínov.</w:t>
      </w:r>
    </w:p>
    <w:p w14:paraId="4F70CBCC" w14:textId="77777777" w:rsidR="0035791E" w:rsidRPr="004C15A2" w:rsidRDefault="0035791E" w:rsidP="00097A42">
      <w:pPr>
        <w:rPr>
          <w:sz w:val="22"/>
          <w:szCs w:val="22"/>
          <w:lang w:val="sk-SK"/>
        </w:rPr>
      </w:pPr>
    </w:p>
    <w:p w14:paraId="35473930" w14:textId="77777777" w:rsidR="00ED1591" w:rsidRPr="004C15A2" w:rsidRDefault="00983CBC" w:rsidP="00170A8F">
      <w:pPr>
        <w:keepNext/>
        <w:rPr>
          <w:i/>
          <w:sz w:val="22"/>
          <w:szCs w:val="22"/>
          <w:u w:val="single"/>
        </w:rPr>
      </w:pPr>
      <w:r w:rsidRPr="004C15A2">
        <w:rPr>
          <w:i/>
          <w:sz w:val="22"/>
          <w:szCs w:val="22"/>
          <w:u w:val="single"/>
        </w:rPr>
        <w:t>Makulárny edém</w:t>
      </w:r>
    </w:p>
    <w:p w14:paraId="0869A562" w14:textId="77777777" w:rsidR="00ED1591" w:rsidRPr="004C15A2" w:rsidRDefault="00ED1591" w:rsidP="00170A8F">
      <w:pPr>
        <w:keepNext/>
        <w:rPr>
          <w:sz w:val="22"/>
          <w:szCs w:val="22"/>
          <w:lang w:val="sk-SK"/>
        </w:rPr>
      </w:pPr>
    </w:p>
    <w:p w14:paraId="57FA43E4" w14:textId="77777777" w:rsidR="0035791E" w:rsidRPr="004C15A2" w:rsidRDefault="0035791E" w:rsidP="00170A8F">
      <w:pPr>
        <w:keepNext/>
        <w:rPr>
          <w:sz w:val="22"/>
          <w:szCs w:val="22"/>
          <w:lang w:val="sk-SK"/>
        </w:rPr>
      </w:pPr>
      <w:r w:rsidRPr="004C15A2">
        <w:rPr>
          <w:sz w:val="22"/>
          <w:szCs w:val="22"/>
          <w:lang w:val="sk-SK"/>
        </w:rPr>
        <w:t>Počas liečby latanoprostom bol popísaný makulárny edém vrátane cystoidného makulárneho edému. Tieto hlásenia sa väčšinou objavili u afakických pacientov, u pseudofakických pacientov s roztrhnutím zadnej šošovkovej kapsuly alebo u pacientov so známymi rizikovými faktormi pre vznik makulárneho edému. U týchto pacientov sa má X</w:t>
      </w:r>
      <w:r w:rsidR="00306FFC" w:rsidRPr="004C15A2">
        <w:rPr>
          <w:sz w:val="22"/>
          <w:szCs w:val="22"/>
          <w:lang w:val="sk-SK"/>
        </w:rPr>
        <w:t>ALACOM</w:t>
      </w:r>
      <w:r w:rsidRPr="004C15A2">
        <w:rPr>
          <w:sz w:val="22"/>
          <w:szCs w:val="22"/>
          <w:lang w:val="sk-SK"/>
        </w:rPr>
        <w:t xml:space="preserve"> používať s opatrnosťou.</w:t>
      </w:r>
    </w:p>
    <w:p w14:paraId="370B70DF" w14:textId="77777777" w:rsidR="0035791E" w:rsidRPr="004C15A2" w:rsidRDefault="0035791E" w:rsidP="00097A42">
      <w:pPr>
        <w:rPr>
          <w:sz w:val="22"/>
          <w:szCs w:val="22"/>
          <w:lang w:val="sk-SK"/>
        </w:rPr>
      </w:pPr>
    </w:p>
    <w:p w14:paraId="4CF5FC31" w14:textId="77777777" w:rsidR="00ED1591" w:rsidRPr="004C15A2" w:rsidRDefault="00983CBC" w:rsidP="00097A42">
      <w:pPr>
        <w:rPr>
          <w:sz w:val="22"/>
          <w:szCs w:val="22"/>
          <w:u w:val="single"/>
        </w:rPr>
      </w:pPr>
      <w:r w:rsidRPr="004C15A2">
        <w:rPr>
          <w:i/>
          <w:sz w:val="22"/>
          <w:szCs w:val="22"/>
          <w:u w:val="single"/>
        </w:rPr>
        <w:t>Odlúčenie chorioidey</w:t>
      </w:r>
      <w:r w:rsidR="00ED1591" w:rsidRPr="004C15A2">
        <w:rPr>
          <w:sz w:val="22"/>
          <w:szCs w:val="22"/>
          <w:u w:val="single"/>
        </w:rPr>
        <w:t xml:space="preserve"> </w:t>
      </w:r>
    </w:p>
    <w:p w14:paraId="13D8D432" w14:textId="77777777" w:rsidR="00ED1591" w:rsidRPr="004C15A2" w:rsidRDefault="00ED1591" w:rsidP="00097A42">
      <w:pPr>
        <w:rPr>
          <w:sz w:val="22"/>
          <w:szCs w:val="22"/>
          <w:lang w:val="sk-SK"/>
        </w:rPr>
      </w:pPr>
    </w:p>
    <w:p w14:paraId="00514754" w14:textId="77777777" w:rsidR="00306FFC" w:rsidRPr="00CD2862" w:rsidRDefault="0035791E" w:rsidP="00097A42">
      <w:pPr>
        <w:rPr>
          <w:sz w:val="22"/>
          <w:szCs w:val="22"/>
          <w:lang w:val="sk-SK"/>
        </w:rPr>
      </w:pPr>
      <w:r w:rsidRPr="004C15A2">
        <w:rPr>
          <w:sz w:val="22"/>
          <w:szCs w:val="22"/>
          <w:lang w:val="sk-SK"/>
        </w:rPr>
        <w:t xml:space="preserve">V súvislosti s podávaním očných roztokových instilácií znižujúcich očný tlak (napr. timolol, </w:t>
      </w:r>
      <w:r w:rsidRPr="00CD2862">
        <w:rPr>
          <w:sz w:val="22"/>
          <w:szCs w:val="22"/>
          <w:lang w:val="sk-SK"/>
        </w:rPr>
        <w:t>acetazolamid) sa popísalo odlúčenie chorioidey po filtračných procesoch.</w:t>
      </w:r>
    </w:p>
    <w:p w14:paraId="492A07BB" w14:textId="77777777" w:rsidR="0035791E" w:rsidRPr="00CD2862" w:rsidRDefault="0035791E" w:rsidP="00097A42">
      <w:pPr>
        <w:rPr>
          <w:sz w:val="22"/>
          <w:szCs w:val="22"/>
          <w:lang w:val="sk-SK"/>
        </w:rPr>
      </w:pPr>
    </w:p>
    <w:p w14:paraId="3A31660B" w14:textId="1F99BDD9" w:rsidR="009750ED" w:rsidRPr="00CD2862" w:rsidRDefault="00CD2862" w:rsidP="00097A42">
      <w:pPr>
        <w:rPr>
          <w:i/>
          <w:iCs/>
          <w:sz w:val="22"/>
          <w:szCs w:val="22"/>
          <w:u w:val="single"/>
          <w:lang w:val="sk-SK"/>
        </w:rPr>
      </w:pPr>
      <w:r w:rsidRPr="00170A8F">
        <w:rPr>
          <w:b/>
          <w:sz w:val="22"/>
          <w:szCs w:val="22"/>
          <w:lang w:val="sk-SK"/>
        </w:rPr>
        <w:t>XALACOM obsahuje benzalkónium</w:t>
      </w:r>
      <w:r w:rsidRPr="00170A8F">
        <w:rPr>
          <w:b/>
          <w:sz w:val="22"/>
          <w:szCs w:val="22"/>
          <w:lang w:val="sk-SK"/>
        </w:rPr>
        <w:noBreakHyphen/>
      </w:r>
      <w:r w:rsidRPr="00CD2862">
        <w:rPr>
          <w:b/>
          <w:sz w:val="22"/>
          <w:szCs w:val="22"/>
          <w:lang w:val="sk-SK"/>
        </w:rPr>
        <w:t>chlorid</w:t>
      </w:r>
    </w:p>
    <w:p w14:paraId="0B87CC24" w14:textId="4FB587C2" w:rsidR="00CD2862" w:rsidRDefault="00CD2862" w:rsidP="00097A42">
      <w:pPr>
        <w:rPr>
          <w:sz w:val="22"/>
          <w:szCs w:val="22"/>
        </w:rPr>
      </w:pPr>
      <w:r w:rsidRPr="00170A8F">
        <w:rPr>
          <w:sz w:val="22"/>
          <w:szCs w:val="22"/>
        </w:rPr>
        <w:t>Bolo hlásené, že benzalkónium</w:t>
      </w:r>
      <w:r w:rsidRPr="00CD2862">
        <w:rPr>
          <w:sz w:val="22"/>
          <w:szCs w:val="22"/>
        </w:rPr>
        <w:noBreakHyphen/>
      </w:r>
      <w:r w:rsidRPr="00170A8F">
        <w:rPr>
          <w:sz w:val="22"/>
          <w:szCs w:val="22"/>
        </w:rPr>
        <w:t>chlorid spôsobuje podráždenie očí, príznaky suchých očí a môže ovplyvniť slzný film a povrch rohovky. Liek sa musí používať s opatrnosťou u pacientov so suchými očami a u pacientov, ktorí môžu mať poškodenú rohovku. V prípade dlhodobého použitia musia byť pacienti monitorovaní.</w:t>
      </w:r>
    </w:p>
    <w:p w14:paraId="42A7D6C3" w14:textId="0E5FB240" w:rsidR="00CD2862" w:rsidRPr="00170A8F" w:rsidRDefault="00CD2862" w:rsidP="00097A42">
      <w:pPr>
        <w:rPr>
          <w:iCs/>
          <w:sz w:val="22"/>
          <w:szCs w:val="22"/>
          <w:lang w:val="sk-SK"/>
        </w:rPr>
      </w:pPr>
      <w:r w:rsidRPr="00170A8F">
        <w:rPr>
          <w:sz w:val="22"/>
          <w:szCs w:val="22"/>
        </w:rPr>
        <w:t>Mäkké kontaktné šošovky môžu reagovať s benzalkónium</w:t>
      </w:r>
      <w:r>
        <w:rPr>
          <w:sz w:val="22"/>
          <w:szCs w:val="22"/>
        </w:rPr>
        <w:noBreakHyphen/>
      </w:r>
      <w:r w:rsidRPr="00170A8F">
        <w:rPr>
          <w:sz w:val="22"/>
          <w:szCs w:val="22"/>
        </w:rPr>
        <w:t xml:space="preserve">chloridom a môže sa zmeniť farba kontaktných šošoviek. Pred použitím tohto lieku si </w:t>
      </w:r>
      <w:r>
        <w:rPr>
          <w:sz w:val="22"/>
          <w:szCs w:val="22"/>
        </w:rPr>
        <w:t xml:space="preserve">pacient </w:t>
      </w:r>
      <w:r w:rsidRPr="00170A8F">
        <w:rPr>
          <w:sz w:val="22"/>
          <w:szCs w:val="22"/>
        </w:rPr>
        <w:t>musí vybrať kontaktné šošovky a naspäť ich vlož</w:t>
      </w:r>
      <w:r>
        <w:rPr>
          <w:sz w:val="22"/>
          <w:szCs w:val="22"/>
        </w:rPr>
        <w:t>iť</w:t>
      </w:r>
      <w:r w:rsidRPr="00170A8F">
        <w:rPr>
          <w:sz w:val="22"/>
          <w:szCs w:val="22"/>
        </w:rPr>
        <w:t xml:space="preserve"> po 15 minútach.</w:t>
      </w:r>
    </w:p>
    <w:p w14:paraId="1854B5CA" w14:textId="77777777" w:rsidR="009750ED" w:rsidRPr="004C15A2" w:rsidRDefault="009750ED" w:rsidP="00097A42">
      <w:pPr>
        <w:numPr>
          <w:ilvl w:val="12"/>
          <w:numId w:val="0"/>
        </w:numPr>
        <w:rPr>
          <w:sz w:val="22"/>
          <w:szCs w:val="22"/>
          <w:lang w:val="sk-SK"/>
        </w:rPr>
      </w:pPr>
    </w:p>
    <w:p w14:paraId="04CED031" w14:textId="77777777" w:rsidR="0035791E" w:rsidRPr="004C15A2" w:rsidRDefault="0035791E" w:rsidP="00097A42">
      <w:pPr>
        <w:tabs>
          <w:tab w:val="left" w:pos="567"/>
        </w:tabs>
        <w:rPr>
          <w:b/>
          <w:sz w:val="22"/>
          <w:szCs w:val="22"/>
          <w:lang w:val="sk-SK"/>
        </w:rPr>
      </w:pPr>
      <w:r w:rsidRPr="004C15A2">
        <w:rPr>
          <w:b/>
          <w:sz w:val="22"/>
          <w:szCs w:val="22"/>
          <w:lang w:val="sk-SK"/>
        </w:rPr>
        <w:t>4.5</w:t>
      </w:r>
      <w:r w:rsidRPr="004C15A2">
        <w:rPr>
          <w:b/>
          <w:sz w:val="22"/>
          <w:szCs w:val="22"/>
          <w:lang w:val="sk-SK"/>
        </w:rPr>
        <w:tab/>
        <w:t>Liekové a iné interakcie</w:t>
      </w:r>
    </w:p>
    <w:p w14:paraId="0D15980F" w14:textId="77777777" w:rsidR="0035791E" w:rsidRPr="004C15A2" w:rsidRDefault="0035791E" w:rsidP="00097A42">
      <w:pPr>
        <w:numPr>
          <w:ilvl w:val="12"/>
          <w:numId w:val="0"/>
        </w:numPr>
        <w:rPr>
          <w:b/>
          <w:sz w:val="22"/>
          <w:szCs w:val="22"/>
          <w:lang w:val="sk-SK"/>
        </w:rPr>
      </w:pPr>
    </w:p>
    <w:p w14:paraId="10772A07" w14:textId="77777777" w:rsidR="0035791E" w:rsidRPr="004C15A2" w:rsidRDefault="0035791E" w:rsidP="00097A42">
      <w:pPr>
        <w:numPr>
          <w:ilvl w:val="12"/>
          <w:numId w:val="0"/>
        </w:numPr>
        <w:rPr>
          <w:sz w:val="22"/>
          <w:szCs w:val="22"/>
          <w:lang w:val="sk-SK"/>
        </w:rPr>
      </w:pPr>
      <w:r w:rsidRPr="004C15A2">
        <w:rPr>
          <w:sz w:val="22"/>
          <w:szCs w:val="22"/>
          <w:lang w:val="sk-SK"/>
        </w:rPr>
        <w:t>Neuskutočnili sa žiadne špecifické interakčné štúdie s X</w:t>
      </w:r>
      <w:r w:rsidR="000E60CA" w:rsidRPr="004C15A2">
        <w:rPr>
          <w:sz w:val="22"/>
          <w:szCs w:val="22"/>
          <w:lang w:val="sk-SK"/>
        </w:rPr>
        <w:t>ALACOMOM</w:t>
      </w:r>
      <w:r w:rsidRPr="004C15A2">
        <w:rPr>
          <w:sz w:val="22"/>
          <w:szCs w:val="22"/>
          <w:lang w:val="sk-SK"/>
        </w:rPr>
        <w:t>.</w:t>
      </w:r>
    </w:p>
    <w:p w14:paraId="46941952" w14:textId="77777777" w:rsidR="0035791E" w:rsidRPr="004C15A2" w:rsidRDefault="0035791E" w:rsidP="00097A42">
      <w:pPr>
        <w:numPr>
          <w:ilvl w:val="12"/>
          <w:numId w:val="0"/>
        </w:numPr>
        <w:rPr>
          <w:sz w:val="22"/>
          <w:szCs w:val="22"/>
          <w:lang w:val="sk-SK"/>
        </w:rPr>
      </w:pPr>
    </w:p>
    <w:p w14:paraId="3A9C4345" w14:textId="77777777" w:rsidR="0035791E" w:rsidRPr="004C15A2" w:rsidRDefault="0035791E" w:rsidP="00097A42">
      <w:pPr>
        <w:pStyle w:val="Paragraph"/>
        <w:spacing w:after="0"/>
        <w:rPr>
          <w:sz w:val="22"/>
          <w:szCs w:val="22"/>
          <w:lang w:val="sk-SK"/>
        </w:rPr>
      </w:pPr>
      <w:r w:rsidRPr="004C15A2">
        <w:rPr>
          <w:sz w:val="22"/>
          <w:szCs w:val="22"/>
          <w:lang w:val="sk-SK"/>
        </w:rPr>
        <w:t>Po sú</w:t>
      </w:r>
      <w:r w:rsidR="000E60CA" w:rsidRPr="004C15A2">
        <w:rPr>
          <w:sz w:val="22"/>
          <w:szCs w:val="22"/>
          <w:lang w:val="sk-SK"/>
        </w:rPr>
        <w:t>bež</w:t>
      </w:r>
      <w:r w:rsidRPr="004C15A2">
        <w:rPr>
          <w:sz w:val="22"/>
          <w:szCs w:val="22"/>
          <w:lang w:val="sk-SK"/>
        </w:rPr>
        <w:t>nom očnom podaní dvoch analógov prostaglandínov boli hlásené prípady paradoxného zvýšenia vnútroočného tlaku. Preto sa neodporúča používanie dvoch alebo viacerých prostaglandínov, analógov prostaglandínov alebo prostaglandínových derivátov.</w:t>
      </w:r>
    </w:p>
    <w:p w14:paraId="17CD77CC" w14:textId="77777777" w:rsidR="0035791E" w:rsidRPr="004C15A2" w:rsidRDefault="0035791E" w:rsidP="00097A42">
      <w:pPr>
        <w:pStyle w:val="Paragraph"/>
        <w:spacing w:after="0"/>
        <w:rPr>
          <w:sz w:val="22"/>
          <w:szCs w:val="22"/>
          <w:lang w:val="sk-SK"/>
        </w:rPr>
      </w:pPr>
    </w:p>
    <w:p w14:paraId="40799CC2" w14:textId="77777777" w:rsidR="0035791E" w:rsidRPr="004C15A2" w:rsidRDefault="0035791E" w:rsidP="00097A42">
      <w:pPr>
        <w:pStyle w:val="Paragraph"/>
        <w:rPr>
          <w:sz w:val="22"/>
          <w:szCs w:val="22"/>
          <w:lang w:val="sk-SK"/>
        </w:rPr>
      </w:pPr>
      <w:r w:rsidRPr="004C15A2">
        <w:rPr>
          <w:sz w:val="22"/>
          <w:szCs w:val="22"/>
          <w:lang w:val="sk-SK"/>
        </w:rPr>
        <w:t>Ak sa X</w:t>
      </w:r>
      <w:r w:rsidR="00E13FEB" w:rsidRPr="004C15A2">
        <w:rPr>
          <w:sz w:val="22"/>
          <w:szCs w:val="22"/>
          <w:lang w:val="sk-SK"/>
        </w:rPr>
        <w:t>ALACOM</w:t>
      </w:r>
      <w:r w:rsidRPr="004C15A2">
        <w:rPr>
          <w:sz w:val="22"/>
          <w:szCs w:val="22"/>
          <w:lang w:val="sk-SK"/>
        </w:rPr>
        <w:t xml:space="preserve"> podáva pacientom, ktorí už užívajú perorálne betablokátory, môže sa potencovať účinok na vnútroočný tlak alebo známe systémové účinky inhibície beta-adrenergných receptorov a</w:t>
      </w:r>
      <w:r w:rsidR="00595594" w:rsidRPr="004C15A2">
        <w:rPr>
          <w:sz w:val="22"/>
          <w:szCs w:val="22"/>
          <w:lang w:val="sk-SK"/>
        </w:rPr>
        <w:t xml:space="preserve"> preto sa </w:t>
      </w:r>
      <w:r w:rsidRPr="004C15A2">
        <w:rPr>
          <w:sz w:val="22"/>
          <w:szCs w:val="22"/>
          <w:lang w:val="sk-SK"/>
        </w:rPr>
        <w:t>používanie dvoch alebo viacerých lokálnych betablokátorov neodporúča.</w:t>
      </w:r>
    </w:p>
    <w:p w14:paraId="147F9B8A" w14:textId="77777777" w:rsidR="0035791E" w:rsidRPr="004C15A2" w:rsidRDefault="0035791E" w:rsidP="00097A42">
      <w:pPr>
        <w:pStyle w:val="Paragraph"/>
        <w:rPr>
          <w:sz w:val="22"/>
          <w:szCs w:val="22"/>
          <w:lang w:val="sk-SK"/>
        </w:rPr>
      </w:pPr>
      <w:r w:rsidRPr="004C15A2">
        <w:rPr>
          <w:sz w:val="22"/>
          <w:szCs w:val="22"/>
          <w:lang w:val="sk-SK"/>
        </w:rPr>
        <w:t>Po podávaní timololu s adrenalínom sa príležitostne hlásila mydriáza.</w:t>
      </w:r>
    </w:p>
    <w:p w14:paraId="7E7EC788" w14:textId="0DAA14CD" w:rsidR="0035791E" w:rsidRPr="004C15A2" w:rsidRDefault="0035791E" w:rsidP="00097A42">
      <w:pPr>
        <w:numPr>
          <w:ilvl w:val="12"/>
          <w:numId w:val="0"/>
        </w:numPr>
        <w:rPr>
          <w:sz w:val="22"/>
          <w:szCs w:val="22"/>
          <w:lang w:val="sk-SK"/>
        </w:rPr>
      </w:pPr>
      <w:r w:rsidRPr="004C15A2">
        <w:rPr>
          <w:sz w:val="22"/>
          <w:szCs w:val="22"/>
          <w:lang w:val="sk-SK"/>
        </w:rPr>
        <w:t>Existuje potenciálne riziko aditívneho účinku spočívajúce v</w:t>
      </w:r>
      <w:r w:rsidR="0028154F" w:rsidRPr="004C15A2">
        <w:rPr>
          <w:sz w:val="22"/>
          <w:szCs w:val="22"/>
          <w:lang w:val="sk-SK"/>
        </w:rPr>
        <w:t xml:space="preserve"> systémovej </w:t>
      </w:r>
      <w:r w:rsidRPr="004C15A2">
        <w:rPr>
          <w:sz w:val="22"/>
          <w:szCs w:val="22"/>
          <w:lang w:val="sk-SK"/>
        </w:rPr>
        <w:t xml:space="preserve">hypotenzii a/alebo </w:t>
      </w:r>
      <w:r w:rsidR="0028154F" w:rsidRPr="004C15A2">
        <w:rPr>
          <w:sz w:val="22"/>
          <w:szCs w:val="22"/>
          <w:lang w:val="sk-SK"/>
        </w:rPr>
        <w:t xml:space="preserve">výraznej </w:t>
      </w:r>
      <w:r w:rsidRPr="004C15A2">
        <w:rPr>
          <w:sz w:val="22"/>
          <w:szCs w:val="22"/>
          <w:lang w:val="sk-SK"/>
        </w:rPr>
        <w:t>bradykardii, ak sa očné kvapky s timololom podávajú spolu s blokátormi kalciového kanála, guanetidínom alebo betablokátormi, antiarytmikami</w:t>
      </w:r>
      <w:r w:rsidR="0028154F" w:rsidRPr="004C15A2">
        <w:rPr>
          <w:sz w:val="22"/>
          <w:szCs w:val="22"/>
          <w:lang w:val="sk-SK"/>
        </w:rPr>
        <w:t xml:space="preserve"> (vrátane amiodarónu)</w:t>
      </w:r>
      <w:r w:rsidRPr="004C15A2">
        <w:rPr>
          <w:sz w:val="22"/>
          <w:szCs w:val="22"/>
          <w:lang w:val="sk-SK"/>
        </w:rPr>
        <w:t xml:space="preserve">, srdcovými glykozidmi alebo </w:t>
      </w:r>
      <w:r w:rsidR="0028154F" w:rsidRPr="004C15A2">
        <w:rPr>
          <w:sz w:val="22"/>
          <w:szCs w:val="22"/>
          <w:lang w:val="sk-SK"/>
        </w:rPr>
        <w:t>liek</w:t>
      </w:r>
      <w:r w:rsidR="00D249CF" w:rsidRPr="004C15A2">
        <w:rPr>
          <w:sz w:val="22"/>
          <w:szCs w:val="22"/>
          <w:lang w:val="sk-SK"/>
        </w:rPr>
        <w:t>mi</w:t>
      </w:r>
      <w:r w:rsidR="0028154F" w:rsidRPr="004C15A2">
        <w:rPr>
          <w:sz w:val="22"/>
          <w:szCs w:val="22"/>
          <w:lang w:val="sk-SK"/>
        </w:rPr>
        <w:t xml:space="preserve"> znižujúc</w:t>
      </w:r>
      <w:r w:rsidR="00D249CF" w:rsidRPr="004C15A2">
        <w:rPr>
          <w:sz w:val="22"/>
          <w:szCs w:val="22"/>
          <w:lang w:val="sk-SK"/>
        </w:rPr>
        <w:t>imi</w:t>
      </w:r>
      <w:r w:rsidR="0028154F" w:rsidRPr="004C15A2">
        <w:rPr>
          <w:sz w:val="22"/>
          <w:szCs w:val="22"/>
          <w:lang w:val="sk-SK"/>
        </w:rPr>
        <w:t xml:space="preserve"> účinky katecholamínov</w:t>
      </w:r>
      <w:r w:rsidRPr="004C15A2">
        <w:rPr>
          <w:sz w:val="22"/>
          <w:szCs w:val="22"/>
          <w:lang w:val="sk-SK"/>
        </w:rPr>
        <w:t>.</w:t>
      </w:r>
    </w:p>
    <w:p w14:paraId="60B9BAC5" w14:textId="77777777" w:rsidR="0035791E" w:rsidRPr="004C15A2" w:rsidRDefault="0035791E" w:rsidP="00097A42">
      <w:pPr>
        <w:numPr>
          <w:ilvl w:val="12"/>
          <w:numId w:val="0"/>
        </w:numPr>
        <w:rPr>
          <w:sz w:val="22"/>
          <w:szCs w:val="22"/>
          <w:lang w:val="sk-SK"/>
        </w:rPr>
      </w:pPr>
    </w:p>
    <w:p w14:paraId="503EF5E7" w14:textId="77777777" w:rsidR="0035791E" w:rsidRPr="004C15A2" w:rsidRDefault="0028154F" w:rsidP="00097A42">
      <w:pPr>
        <w:numPr>
          <w:ilvl w:val="12"/>
          <w:numId w:val="0"/>
        </w:numPr>
        <w:rPr>
          <w:sz w:val="22"/>
          <w:szCs w:val="22"/>
          <w:lang w:val="sk-SK"/>
        </w:rPr>
      </w:pPr>
      <w:r w:rsidRPr="004C15A2">
        <w:rPr>
          <w:sz w:val="22"/>
          <w:szCs w:val="22"/>
          <w:lang w:val="sk-SK"/>
        </w:rPr>
        <w:t>Počas kombinovanej liečby inhibítormi CYP2D6 (napr. chinidín, fluoxetín, paroxetín) a timololom sa zaznamenala potenciovaná systémová betablokáda (napr. zníženie srdcovej frekvencie, depresia).</w:t>
      </w:r>
    </w:p>
    <w:p w14:paraId="1A6C6CB2" w14:textId="77777777" w:rsidR="004D2658" w:rsidRPr="004C15A2" w:rsidRDefault="004D2658" w:rsidP="00097A42">
      <w:pPr>
        <w:pStyle w:val="Zarkazkladnhotextu"/>
        <w:ind w:left="0"/>
        <w:jc w:val="left"/>
        <w:rPr>
          <w:rFonts w:ascii="Times New Roman" w:hAnsi="Times New Roman" w:cs="Times New Roman"/>
          <w:sz w:val="22"/>
          <w:szCs w:val="22"/>
          <w:lang w:val="sk-SK"/>
        </w:rPr>
      </w:pPr>
      <w:r w:rsidRPr="004C15A2">
        <w:rPr>
          <w:rFonts w:ascii="Times New Roman" w:hAnsi="Times New Roman" w:cs="Times New Roman"/>
          <w:sz w:val="22"/>
          <w:szCs w:val="22"/>
          <w:lang w:val="sk-SK"/>
        </w:rPr>
        <w:t>Hypertenzná reakcia na náhle vynechanie klonidínu môže byť potencovaná sú</w:t>
      </w:r>
      <w:r w:rsidR="00E13FEB" w:rsidRPr="004C15A2">
        <w:rPr>
          <w:rFonts w:ascii="Times New Roman" w:hAnsi="Times New Roman" w:cs="Times New Roman"/>
          <w:sz w:val="22"/>
          <w:szCs w:val="22"/>
          <w:lang w:val="sk-SK"/>
        </w:rPr>
        <w:t>bež</w:t>
      </w:r>
      <w:r w:rsidRPr="004C15A2">
        <w:rPr>
          <w:rFonts w:ascii="Times New Roman" w:hAnsi="Times New Roman" w:cs="Times New Roman"/>
          <w:sz w:val="22"/>
          <w:szCs w:val="22"/>
          <w:lang w:val="sk-SK"/>
        </w:rPr>
        <w:t>ným užívaním betablokátorov.</w:t>
      </w:r>
    </w:p>
    <w:p w14:paraId="4C92B0F8" w14:textId="77777777" w:rsidR="0035791E" w:rsidRPr="004C15A2" w:rsidRDefault="0035791E" w:rsidP="00097A42">
      <w:pPr>
        <w:numPr>
          <w:ilvl w:val="12"/>
          <w:numId w:val="0"/>
        </w:numPr>
        <w:rPr>
          <w:sz w:val="22"/>
          <w:szCs w:val="22"/>
          <w:lang w:val="sk-SK"/>
        </w:rPr>
      </w:pPr>
      <w:r w:rsidRPr="004C15A2">
        <w:rPr>
          <w:sz w:val="22"/>
          <w:szCs w:val="22"/>
          <w:lang w:val="sk-SK"/>
        </w:rPr>
        <w:t>Betablokátory môžu zvýšiť hypoglykemizujúci účinok antidiabetík. Betablokátory môžu maskovať príznaky a prejavy hypoglykémie (pozri časť 4.4).</w:t>
      </w:r>
    </w:p>
    <w:p w14:paraId="329BFECC" w14:textId="77777777" w:rsidR="0035791E" w:rsidRPr="004C15A2" w:rsidRDefault="0035791E" w:rsidP="00097A42">
      <w:pPr>
        <w:numPr>
          <w:ilvl w:val="12"/>
          <w:numId w:val="0"/>
        </w:numPr>
        <w:rPr>
          <w:sz w:val="22"/>
          <w:szCs w:val="22"/>
          <w:lang w:val="sk-SK"/>
        </w:rPr>
      </w:pPr>
    </w:p>
    <w:p w14:paraId="258AB6BF" w14:textId="77777777" w:rsidR="0035791E" w:rsidRPr="004C15A2" w:rsidRDefault="0035791E" w:rsidP="00170A8F">
      <w:pPr>
        <w:keepNext/>
        <w:tabs>
          <w:tab w:val="left" w:pos="567"/>
        </w:tabs>
        <w:rPr>
          <w:b/>
          <w:sz w:val="22"/>
          <w:szCs w:val="22"/>
          <w:lang w:val="sk-SK"/>
        </w:rPr>
      </w:pPr>
      <w:r w:rsidRPr="004C15A2">
        <w:rPr>
          <w:b/>
          <w:sz w:val="22"/>
          <w:szCs w:val="22"/>
          <w:lang w:val="sk-SK"/>
        </w:rPr>
        <w:t>4.6</w:t>
      </w:r>
      <w:r w:rsidRPr="004C15A2">
        <w:rPr>
          <w:b/>
          <w:sz w:val="22"/>
          <w:szCs w:val="22"/>
          <w:lang w:val="sk-SK"/>
        </w:rPr>
        <w:tab/>
        <w:t>Fertilita, gravidita a laktácia</w:t>
      </w:r>
    </w:p>
    <w:p w14:paraId="559180AC" w14:textId="77777777" w:rsidR="0035791E" w:rsidRPr="004C15A2" w:rsidRDefault="0035791E" w:rsidP="00170A8F">
      <w:pPr>
        <w:keepNext/>
        <w:numPr>
          <w:ilvl w:val="12"/>
          <w:numId w:val="0"/>
        </w:numPr>
        <w:rPr>
          <w:sz w:val="22"/>
          <w:szCs w:val="22"/>
          <w:lang w:val="sk-SK"/>
        </w:rPr>
      </w:pPr>
    </w:p>
    <w:p w14:paraId="392BE0FC" w14:textId="5D56D79E" w:rsidR="0035791E" w:rsidRPr="00170A8F" w:rsidRDefault="0035791E" w:rsidP="00170A8F">
      <w:pPr>
        <w:pStyle w:val="Nadpis6"/>
        <w:ind w:left="0"/>
        <w:jc w:val="left"/>
        <w:rPr>
          <w:rFonts w:ascii="Times New Roman" w:hAnsi="Times New Roman"/>
          <w:b w:val="0"/>
          <w:i w:val="0"/>
          <w:sz w:val="22"/>
          <w:szCs w:val="22"/>
        </w:rPr>
      </w:pPr>
      <w:r w:rsidRPr="00170A8F">
        <w:rPr>
          <w:rFonts w:ascii="Times New Roman" w:hAnsi="Times New Roman"/>
          <w:b w:val="0"/>
          <w:i w:val="0"/>
          <w:sz w:val="22"/>
          <w:szCs w:val="22"/>
        </w:rPr>
        <w:t>Gravidita</w:t>
      </w:r>
    </w:p>
    <w:p w14:paraId="6362E2DC" w14:textId="77777777" w:rsidR="0035791E" w:rsidRPr="00170A8F" w:rsidRDefault="0035791E" w:rsidP="00170A8F">
      <w:pPr>
        <w:pStyle w:val="Nadpis4"/>
        <w:ind w:left="0"/>
        <w:jc w:val="left"/>
        <w:rPr>
          <w:rFonts w:ascii="Times New Roman" w:hAnsi="Times New Roman"/>
          <w:i/>
          <w:sz w:val="22"/>
          <w:szCs w:val="22"/>
        </w:rPr>
      </w:pPr>
      <w:r w:rsidRPr="00170A8F">
        <w:rPr>
          <w:rFonts w:ascii="Times New Roman" w:hAnsi="Times New Roman"/>
          <w:i/>
          <w:sz w:val="22"/>
          <w:szCs w:val="22"/>
        </w:rPr>
        <w:t>Latanoprost</w:t>
      </w:r>
    </w:p>
    <w:p w14:paraId="63A5FE6B" w14:textId="77777777" w:rsidR="0035791E" w:rsidRPr="004C15A2" w:rsidRDefault="0035791E" w:rsidP="00170A8F">
      <w:pPr>
        <w:keepNext/>
        <w:numPr>
          <w:ilvl w:val="12"/>
          <w:numId w:val="0"/>
        </w:numPr>
        <w:rPr>
          <w:sz w:val="22"/>
          <w:szCs w:val="22"/>
          <w:lang w:val="sk-SK"/>
        </w:rPr>
      </w:pPr>
      <w:r w:rsidRPr="004C15A2">
        <w:rPr>
          <w:sz w:val="22"/>
          <w:szCs w:val="22"/>
          <w:lang w:val="sk-SK"/>
        </w:rPr>
        <w:t>Nie sú k dispozícii žiadne adekvátne údaje o používaní latanoprostu u gravidných žien. Štúdie na</w:t>
      </w:r>
      <w:r w:rsidR="00E13FEB" w:rsidRPr="004C15A2">
        <w:rPr>
          <w:sz w:val="22"/>
          <w:szCs w:val="22"/>
          <w:lang w:val="sk-SK"/>
        </w:rPr>
        <w:t> </w:t>
      </w:r>
      <w:r w:rsidRPr="004C15A2">
        <w:rPr>
          <w:sz w:val="22"/>
          <w:szCs w:val="22"/>
          <w:lang w:val="sk-SK"/>
        </w:rPr>
        <w:t>zvieratách preukázali reprodukčnú toxicitu (pozri časť 5.3</w:t>
      </w:r>
      <w:r w:rsidRPr="004C15A2">
        <w:rPr>
          <w:iCs/>
          <w:sz w:val="22"/>
          <w:szCs w:val="22"/>
          <w:lang w:val="sk-SK"/>
        </w:rPr>
        <w:t>)</w:t>
      </w:r>
      <w:r w:rsidRPr="004C15A2">
        <w:rPr>
          <w:i/>
          <w:iCs/>
          <w:sz w:val="22"/>
          <w:szCs w:val="22"/>
          <w:lang w:val="sk-SK"/>
        </w:rPr>
        <w:t>.</w:t>
      </w:r>
      <w:r w:rsidRPr="004C15A2">
        <w:rPr>
          <w:sz w:val="22"/>
          <w:szCs w:val="22"/>
          <w:lang w:val="sk-SK"/>
        </w:rPr>
        <w:t xml:space="preserve"> Možné riziko pre ľudí nie je známe.</w:t>
      </w:r>
    </w:p>
    <w:p w14:paraId="721E294F" w14:textId="77777777" w:rsidR="0035791E" w:rsidRPr="004C15A2" w:rsidRDefault="0035791E" w:rsidP="00097A42">
      <w:pPr>
        <w:pStyle w:val="Nadpis5"/>
        <w:ind w:left="0"/>
        <w:jc w:val="left"/>
        <w:rPr>
          <w:rFonts w:ascii="Times New Roman" w:hAnsi="Times New Roman"/>
          <w:sz w:val="22"/>
          <w:szCs w:val="22"/>
        </w:rPr>
      </w:pPr>
    </w:p>
    <w:p w14:paraId="0A239EC2" w14:textId="77777777" w:rsidR="0035791E" w:rsidRPr="00170A8F" w:rsidRDefault="0035791E" w:rsidP="00097A42">
      <w:pPr>
        <w:pStyle w:val="Nadpis5"/>
        <w:ind w:left="0"/>
        <w:jc w:val="left"/>
        <w:rPr>
          <w:rFonts w:ascii="Times New Roman" w:hAnsi="Times New Roman"/>
          <w:i/>
          <w:sz w:val="22"/>
          <w:szCs w:val="22"/>
        </w:rPr>
      </w:pPr>
      <w:r w:rsidRPr="00170A8F">
        <w:rPr>
          <w:rFonts w:ascii="Times New Roman" w:hAnsi="Times New Roman"/>
          <w:i/>
          <w:sz w:val="22"/>
          <w:szCs w:val="22"/>
        </w:rPr>
        <w:t>Timolol</w:t>
      </w:r>
    </w:p>
    <w:p w14:paraId="138E310D" w14:textId="77777777" w:rsidR="0035791E" w:rsidRPr="004C15A2" w:rsidRDefault="0035791E" w:rsidP="00097A42">
      <w:pPr>
        <w:pStyle w:val="Zarkazkladnhotextu2"/>
        <w:ind w:left="0"/>
        <w:jc w:val="left"/>
        <w:rPr>
          <w:rFonts w:ascii="Times New Roman" w:hAnsi="Times New Roman" w:cs="Times New Roman"/>
          <w:sz w:val="22"/>
          <w:szCs w:val="22"/>
        </w:rPr>
      </w:pPr>
      <w:r w:rsidRPr="004C15A2">
        <w:rPr>
          <w:rFonts w:ascii="Times New Roman" w:hAnsi="Times New Roman" w:cs="Times New Roman"/>
          <w:sz w:val="22"/>
          <w:szCs w:val="22"/>
        </w:rPr>
        <w:t>Dobre kontrolované epidemiologické štúdie so systémovým použitím betablokátorov nepreukázali malformačný účinok, avšak u plodov alebo novorodencov sa pozorovali niektoré farmakologické účinky ako napr. bradykardia. Preto sa X</w:t>
      </w:r>
      <w:r w:rsidR="00561272" w:rsidRPr="004C15A2">
        <w:rPr>
          <w:rFonts w:ascii="Times New Roman" w:hAnsi="Times New Roman" w:cs="Times New Roman"/>
          <w:sz w:val="22"/>
          <w:szCs w:val="22"/>
        </w:rPr>
        <w:t>ALACOM</w:t>
      </w:r>
      <w:r w:rsidRPr="004C15A2">
        <w:rPr>
          <w:rFonts w:ascii="Times New Roman" w:hAnsi="Times New Roman" w:cs="Times New Roman"/>
          <w:sz w:val="22"/>
          <w:szCs w:val="22"/>
        </w:rPr>
        <w:t xml:space="preserve"> počas tehotenstva nemá používať (pozri časť 5.3).</w:t>
      </w:r>
    </w:p>
    <w:p w14:paraId="50FC7885" w14:textId="77777777" w:rsidR="0035791E" w:rsidRPr="004C15A2" w:rsidRDefault="0035791E" w:rsidP="00097A42">
      <w:pPr>
        <w:numPr>
          <w:ilvl w:val="12"/>
          <w:numId w:val="0"/>
        </w:numPr>
        <w:rPr>
          <w:sz w:val="22"/>
          <w:szCs w:val="22"/>
          <w:lang w:val="sk-SK"/>
        </w:rPr>
      </w:pPr>
    </w:p>
    <w:p w14:paraId="00A85405" w14:textId="77777777" w:rsidR="0035791E" w:rsidRPr="00170A8F" w:rsidRDefault="00E13FEB" w:rsidP="00170A8F">
      <w:pPr>
        <w:keepNext/>
        <w:numPr>
          <w:ilvl w:val="12"/>
          <w:numId w:val="0"/>
        </w:numPr>
        <w:rPr>
          <w:sz w:val="22"/>
          <w:szCs w:val="22"/>
          <w:u w:val="single"/>
          <w:lang w:val="sk-SK"/>
        </w:rPr>
      </w:pPr>
      <w:r w:rsidRPr="00170A8F">
        <w:rPr>
          <w:sz w:val="22"/>
          <w:szCs w:val="22"/>
          <w:u w:val="single"/>
          <w:lang w:val="sk-SK"/>
        </w:rPr>
        <w:t>Dojčenie</w:t>
      </w:r>
    </w:p>
    <w:p w14:paraId="54AC0527" w14:textId="77777777" w:rsidR="0035791E" w:rsidRDefault="0035791E" w:rsidP="00170A8F">
      <w:pPr>
        <w:keepNext/>
        <w:numPr>
          <w:ilvl w:val="12"/>
          <w:numId w:val="0"/>
        </w:numPr>
        <w:rPr>
          <w:sz w:val="22"/>
          <w:szCs w:val="22"/>
          <w:lang w:val="sk-SK"/>
        </w:rPr>
      </w:pPr>
      <w:r w:rsidRPr="004C15A2">
        <w:rPr>
          <w:sz w:val="22"/>
          <w:szCs w:val="22"/>
          <w:lang w:val="sk-SK"/>
        </w:rPr>
        <w:t>Timolol sa vylučuje do materského mlieka. Latanoprost a jeho metabolity môžu prechádzať do</w:t>
      </w:r>
      <w:r w:rsidR="00561272" w:rsidRPr="004C15A2">
        <w:rPr>
          <w:sz w:val="22"/>
          <w:szCs w:val="22"/>
          <w:lang w:val="sk-SK"/>
        </w:rPr>
        <w:t> </w:t>
      </w:r>
      <w:r w:rsidRPr="004C15A2">
        <w:rPr>
          <w:sz w:val="22"/>
          <w:szCs w:val="22"/>
          <w:lang w:val="sk-SK"/>
        </w:rPr>
        <w:t>materského mlieka. X</w:t>
      </w:r>
      <w:r w:rsidR="00561272" w:rsidRPr="004C15A2">
        <w:rPr>
          <w:sz w:val="22"/>
          <w:szCs w:val="22"/>
          <w:lang w:val="sk-SK"/>
        </w:rPr>
        <w:t>ALACOM</w:t>
      </w:r>
      <w:r w:rsidRPr="004C15A2">
        <w:rPr>
          <w:sz w:val="22"/>
          <w:szCs w:val="22"/>
          <w:lang w:val="sk-SK"/>
        </w:rPr>
        <w:t xml:space="preserve"> sa preto nemá počas dojčenia používať.</w:t>
      </w:r>
    </w:p>
    <w:p w14:paraId="6C47D860" w14:textId="77777777" w:rsidR="00396491" w:rsidRPr="004C15A2" w:rsidRDefault="00396491" w:rsidP="00097A42">
      <w:pPr>
        <w:numPr>
          <w:ilvl w:val="12"/>
          <w:numId w:val="0"/>
        </w:numPr>
        <w:rPr>
          <w:sz w:val="22"/>
          <w:szCs w:val="22"/>
          <w:lang w:val="sk-SK"/>
        </w:rPr>
      </w:pPr>
    </w:p>
    <w:p w14:paraId="6498EF23" w14:textId="4C42FC7C" w:rsidR="00396491" w:rsidRDefault="00396491" w:rsidP="00396491">
      <w:pPr>
        <w:rPr>
          <w:sz w:val="22"/>
          <w:szCs w:val="22"/>
          <w:u w:val="single"/>
          <w:lang w:val="sk-SK"/>
        </w:rPr>
      </w:pPr>
      <w:r w:rsidRPr="00170A8F">
        <w:rPr>
          <w:sz w:val="22"/>
          <w:szCs w:val="22"/>
          <w:u w:val="single"/>
          <w:lang w:val="sk-SK"/>
        </w:rPr>
        <w:t>Fertilita</w:t>
      </w:r>
    </w:p>
    <w:p w14:paraId="40DD120A" w14:textId="225BF1CB" w:rsidR="005E3137" w:rsidRPr="00170A8F" w:rsidRDefault="005E3137" w:rsidP="00396491">
      <w:pPr>
        <w:rPr>
          <w:i/>
          <w:iCs/>
          <w:sz w:val="22"/>
          <w:szCs w:val="22"/>
          <w:lang w:val="sk-SK"/>
        </w:rPr>
      </w:pPr>
      <w:r w:rsidRPr="00170A8F">
        <w:rPr>
          <w:i/>
          <w:iCs/>
          <w:sz w:val="22"/>
          <w:szCs w:val="22"/>
          <w:lang w:val="sk-SK"/>
        </w:rPr>
        <w:t>Latanoprost</w:t>
      </w:r>
    </w:p>
    <w:p w14:paraId="0D1A59FE" w14:textId="77777777" w:rsidR="005E3137" w:rsidRDefault="00396491" w:rsidP="00396491">
      <w:pPr>
        <w:rPr>
          <w:sz w:val="22"/>
          <w:szCs w:val="22"/>
          <w:lang w:val="sk-SK"/>
        </w:rPr>
      </w:pPr>
      <w:r w:rsidRPr="004C15A2">
        <w:rPr>
          <w:sz w:val="22"/>
          <w:szCs w:val="22"/>
          <w:lang w:val="sk-SK"/>
        </w:rPr>
        <w:t xml:space="preserve">V štúdiách na zvieratách sa zistilo, </w:t>
      </w:r>
      <w:r w:rsidRPr="00CD2862">
        <w:rPr>
          <w:sz w:val="22"/>
          <w:szCs w:val="22"/>
          <w:lang w:val="sk-SK"/>
        </w:rPr>
        <w:t xml:space="preserve">že latanoprost nemá žiadny vplyv na samčiu alebo samičiu fertilitu. </w:t>
      </w:r>
    </w:p>
    <w:p w14:paraId="2878C05E" w14:textId="1A9DACCA" w:rsidR="005E3137" w:rsidRDefault="005E3137" w:rsidP="00396491">
      <w:pPr>
        <w:rPr>
          <w:sz w:val="22"/>
          <w:szCs w:val="22"/>
          <w:lang w:val="sk-SK"/>
        </w:rPr>
      </w:pPr>
    </w:p>
    <w:p w14:paraId="2DFA8E1C" w14:textId="5FB6C1BF" w:rsidR="005E3137" w:rsidRPr="00170A8F" w:rsidRDefault="005E3137" w:rsidP="00396491">
      <w:pPr>
        <w:rPr>
          <w:i/>
          <w:iCs/>
          <w:sz w:val="22"/>
          <w:szCs w:val="22"/>
          <w:u w:val="single"/>
          <w:lang w:val="sk-SK"/>
        </w:rPr>
      </w:pPr>
      <w:r w:rsidRPr="00170A8F">
        <w:rPr>
          <w:i/>
          <w:iCs/>
          <w:sz w:val="22"/>
          <w:szCs w:val="22"/>
          <w:u w:val="single"/>
          <w:lang w:val="sk-SK"/>
        </w:rPr>
        <w:t>Timolol</w:t>
      </w:r>
    </w:p>
    <w:p w14:paraId="5A1AF54B" w14:textId="46FB0EEF" w:rsidR="00396491" w:rsidRPr="004C15A2" w:rsidRDefault="00396491" w:rsidP="00396491">
      <w:pPr>
        <w:rPr>
          <w:sz w:val="22"/>
          <w:szCs w:val="22"/>
          <w:lang w:val="sk-SK"/>
        </w:rPr>
      </w:pPr>
      <w:r w:rsidRPr="00CD2862">
        <w:rPr>
          <w:sz w:val="22"/>
          <w:szCs w:val="22"/>
          <w:lang w:val="sk-SK"/>
        </w:rPr>
        <w:t xml:space="preserve">Reprodukčné štúdie a štúdie fertility </w:t>
      </w:r>
      <w:r w:rsidR="00AF461B">
        <w:rPr>
          <w:sz w:val="22"/>
          <w:szCs w:val="22"/>
          <w:lang w:val="sk-SK"/>
        </w:rPr>
        <w:t xml:space="preserve">s </w:t>
      </w:r>
      <w:r w:rsidRPr="00CD2862">
        <w:rPr>
          <w:sz w:val="22"/>
          <w:szCs w:val="22"/>
          <w:lang w:val="sk-SK"/>
        </w:rPr>
        <w:t>t</w:t>
      </w:r>
      <w:r w:rsidRPr="00BE1625">
        <w:rPr>
          <w:sz w:val="22"/>
          <w:szCs w:val="22"/>
        </w:rPr>
        <w:t>imolólium-hydrogenmaleá</w:t>
      </w:r>
      <w:r>
        <w:rPr>
          <w:sz w:val="22"/>
          <w:szCs w:val="22"/>
        </w:rPr>
        <w:t>t</w:t>
      </w:r>
      <w:r w:rsidR="00AF461B">
        <w:rPr>
          <w:sz w:val="22"/>
          <w:szCs w:val="22"/>
          <w:lang w:val="sk-SK"/>
        </w:rPr>
        <w:t>om</w:t>
      </w:r>
      <w:r>
        <w:rPr>
          <w:sz w:val="22"/>
          <w:szCs w:val="22"/>
          <w:lang w:val="sk-SK"/>
        </w:rPr>
        <w:t xml:space="preserve"> </w:t>
      </w:r>
      <w:r w:rsidRPr="004C15A2">
        <w:rPr>
          <w:sz w:val="22"/>
          <w:szCs w:val="22"/>
          <w:lang w:val="sk-SK"/>
        </w:rPr>
        <w:t>u potkanov nepreukázali žiaden nežiaduci účinok na samčiu alebo samičiu fertilitu v dávkach až 21 000-násobne vyšších ako je systémová expozícia po maximálnej odporúčanej oftalmologickej dávke u ľudí (pozri časť 5.3).</w:t>
      </w:r>
    </w:p>
    <w:p w14:paraId="664E91FE" w14:textId="77777777" w:rsidR="0035791E" w:rsidRPr="004C15A2" w:rsidRDefault="0035791E" w:rsidP="00097A42">
      <w:pPr>
        <w:numPr>
          <w:ilvl w:val="12"/>
          <w:numId w:val="0"/>
        </w:numPr>
        <w:rPr>
          <w:sz w:val="22"/>
          <w:szCs w:val="22"/>
          <w:lang w:val="sk-SK"/>
        </w:rPr>
      </w:pPr>
    </w:p>
    <w:p w14:paraId="6F43A6FF" w14:textId="77777777" w:rsidR="0035791E" w:rsidRPr="004C15A2" w:rsidRDefault="0035791E" w:rsidP="00097A42">
      <w:pPr>
        <w:tabs>
          <w:tab w:val="left" w:pos="567"/>
        </w:tabs>
        <w:rPr>
          <w:b/>
          <w:sz w:val="22"/>
          <w:szCs w:val="22"/>
          <w:lang w:val="sk-SK"/>
        </w:rPr>
      </w:pPr>
      <w:r w:rsidRPr="004C15A2">
        <w:rPr>
          <w:b/>
          <w:sz w:val="22"/>
          <w:szCs w:val="22"/>
          <w:lang w:val="sk-SK"/>
        </w:rPr>
        <w:t>4.7</w:t>
      </w:r>
      <w:r w:rsidRPr="004C15A2">
        <w:rPr>
          <w:b/>
          <w:sz w:val="22"/>
          <w:szCs w:val="22"/>
          <w:lang w:val="sk-SK"/>
        </w:rPr>
        <w:tab/>
        <w:t>Ovplyvnenie schopnosti viesť vozidlá a obsluhovať stroje</w:t>
      </w:r>
    </w:p>
    <w:p w14:paraId="116A69CB" w14:textId="77777777" w:rsidR="0035791E" w:rsidRPr="00170A8F" w:rsidRDefault="0035791E" w:rsidP="00097A42">
      <w:pPr>
        <w:numPr>
          <w:ilvl w:val="12"/>
          <w:numId w:val="0"/>
        </w:numPr>
        <w:rPr>
          <w:sz w:val="22"/>
          <w:szCs w:val="22"/>
          <w:lang w:val="sk-SK"/>
        </w:rPr>
      </w:pPr>
    </w:p>
    <w:p w14:paraId="3A694C9D" w14:textId="77777777" w:rsidR="0035791E" w:rsidRPr="00DE20C4" w:rsidRDefault="0035791E" w:rsidP="00097A42">
      <w:pPr>
        <w:numPr>
          <w:ilvl w:val="12"/>
          <w:numId w:val="0"/>
        </w:numPr>
        <w:rPr>
          <w:sz w:val="22"/>
          <w:szCs w:val="22"/>
          <w:lang w:val="sk-SK"/>
        </w:rPr>
      </w:pPr>
      <w:r w:rsidRPr="00C0390F">
        <w:rPr>
          <w:sz w:val="22"/>
          <w:szCs w:val="22"/>
          <w:lang w:val="sk-SK"/>
        </w:rPr>
        <w:t>O</w:t>
      </w:r>
      <w:r w:rsidRPr="008D3F74">
        <w:rPr>
          <w:sz w:val="22"/>
          <w:szCs w:val="22"/>
          <w:lang w:val="sk-SK"/>
        </w:rPr>
        <w:t xml:space="preserve">čné roztokové instilácie môžu prechodne viesť k rozmazanému videniu. Pacienti nesmú viesť motorové </w:t>
      </w:r>
      <w:r w:rsidR="00D249CF" w:rsidRPr="00DE20C4">
        <w:rPr>
          <w:sz w:val="22"/>
          <w:szCs w:val="22"/>
          <w:lang w:val="sk-SK"/>
        </w:rPr>
        <w:t xml:space="preserve">vozidlá </w:t>
      </w:r>
      <w:r w:rsidRPr="00DE20C4">
        <w:rPr>
          <w:sz w:val="22"/>
          <w:szCs w:val="22"/>
          <w:lang w:val="sk-SK"/>
        </w:rPr>
        <w:t>alebo obsluhovať stroje, pokiaľ sa toto neupraví.</w:t>
      </w:r>
    </w:p>
    <w:p w14:paraId="74AD01E4" w14:textId="77777777" w:rsidR="0035791E" w:rsidRPr="004C15A2" w:rsidRDefault="0035791E" w:rsidP="00097A42">
      <w:pPr>
        <w:rPr>
          <w:spacing w:val="8"/>
          <w:sz w:val="22"/>
          <w:szCs w:val="22"/>
          <w:lang w:val="sk-SK"/>
        </w:rPr>
      </w:pPr>
    </w:p>
    <w:p w14:paraId="2C2E8662" w14:textId="77777777" w:rsidR="0035791E" w:rsidRPr="004C15A2" w:rsidRDefault="0035791E" w:rsidP="00097A42">
      <w:pPr>
        <w:tabs>
          <w:tab w:val="left" w:pos="567"/>
        </w:tabs>
        <w:rPr>
          <w:b/>
          <w:sz w:val="22"/>
          <w:szCs w:val="22"/>
          <w:lang w:val="sk-SK"/>
        </w:rPr>
      </w:pPr>
      <w:r w:rsidRPr="004C15A2">
        <w:rPr>
          <w:b/>
          <w:sz w:val="22"/>
          <w:szCs w:val="22"/>
          <w:lang w:val="sk-SK"/>
        </w:rPr>
        <w:t>4.8</w:t>
      </w:r>
      <w:r w:rsidRPr="004C15A2">
        <w:rPr>
          <w:b/>
          <w:sz w:val="22"/>
          <w:szCs w:val="22"/>
          <w:lang w:val="sk-SK"/>
        </w:rPr>
        <w:tab/>
        <w:t>Nežiaduce účinky</w:t>
      </w:r>
    </w:p>
    <w:p w14:paraId="0FE62F80" w14:textId="77777777" w:rsidR="0035791E" w:rsidRPr="00CD2862" w:rsidRDefault="0035791E" w:rsidP="00097A42">
      <w:pPr>
        <w:rPr>
          <w:b/>
          <w:sz w:val="22"/>
          <w:szCs w:val="22"/>
          <w:lang w:val="sk-SK"/>
        </w:rPr>
      </w:pPr>
    </w:p>
    <w:p w14:paraId="0CB9096F" w14:textId="337F8220" w:rsidR="000A5722" w:rsidRPr="00170A8F" w:rsidRDefault="00347ADB" w:rsidP="00097A42">
      <w:pPr>
        <w:numPr>
          <w:ilvl w:val="12"/>
          <w:numId w:val="0"/>
        </w:numPr>
        <w:rPr>
          <w:b/>
          <w:bCs/>
          <w:sz w:val="22"/>
          <w:szCs w:val="22"/>
        </w:rPr>
      </w:pPr>
      <w:r w:rsidRPr="00170A8F">
        <w:rPr>
          <w:b/>
          <w:bCs/>
          <w:sz w:val="22"/>
          <w:szCs w:val="22"/>
        </w:rPr>
        <w:t>Latanoprost/</w:t>
      </w:r>
      <w:r w:rsidR="00CD2862" w:rsidRPr="00170A8F">
        <w:rPr>
          <w:b/>
          <w:bCs/>
          <w:sz w:val="22"/>
          <w:szCs w:val="22"/>
        </w:rPr>
        <w:t xml:space="preserve"> timolólium-hydrogenmaleá</w:t>
      </w:r>
      <w:r w:rsidR="00F004BA" w:rsidRPr="00170A8F">
        <w:rPr>
          <w:b/>
          <w:bCs/>
          <w:sz w:val="22"/>
          <w:szCs w:val="22"/>
        </w:rPr>
        <w:t>t</w:t>
      </w:r>
    </w:p>
    <w:p w14:paraId="31ABA930" w14:textId="77777777" w:rsidR="000A5722" w:rsidRPr="00CD2862" w:rsidRDefault="000A5722" w:rsidP="00097A42">
      <w:pPr>
        <w:pStyle w:val="Paragraph"/>
        <w:spacing w:after="0"/>
        <w:rPr>
          <w:b/>
          <w:sz w:val="22"/>
          <w:szCs w:val="22"/>
        </w:rPr>
      </w:pPr>
    </w:p>
    <w:p w14:paraId="21866351" w14:textId="1CD2444A" w:rsidR="0004003F" w:rsidRPr="004C15A2" w:rsidRDefault="000A5722" w:rsidP="0004003F">
      <w:pPr>
        <w:rPr>
          <w:sz w:val="22"/>
          <w:szCs w:val="22"/>
        </w:rPr>
      </w:pPr>
      <w:r w:rsidRPr="00CD2862">
        <w:rPr>
          <w:sz w:val="22"/>
          <w:szCs w:val="22"/>
        </w:rPr>
        <w:t>V klinických štúdiách</w:t>
      </w:r>
      <w:r w:rsidRPr="004C15A2">
        <w:rPr>
          <w:sz w:val="22"/>
          <w:szCs w:val="22"/>
        </w:rPr>
        <w:t xml:space="preserve"> s latanoprostom a </w:t>
      </w:r>
      <w:r w:rsidR="00CD2862" w:rsidRPr="00BE1625">
        <w:rPr>
          <w:sz w:val="22"/>
          <w:szCs w:val="22"/>
        </w:rPr>
        <w:t>timolólium-hydrogenmaleá</w:t>
      </w:r>
      <w:r w:rsidR="00F004BA">
        <w:rPr>
          <w:sz w:val="22"/>
          <w:szCs w:val="22"/>
        </w:rPr>
        <w:t>t</w:t>
      </w:r>
      <w:r w:rsidR="00CD2862">
        <w:rPr>
          <w:sz w:val="22"/>
          <w:szCs w:val="22"/>
        </w:rPr>
        <w:t>om</w:t>
      </w:r>
      <w:r w:rsidR="004F7B1F" w:rsidRPr="004C15A2">
        <w:rPr>
          <w:sz w:val="22"/>
          <w:szCs w:val="22"/>
        </w:rPr>
        <w:t xml:space="preserve"> </w:t>
      </w:r>
      <w:r w:rsidRPr="004C15A2">
        <w:rPr>
          <w:sz w:val="22"/>
          <w:szCs w:val="22"/>
        </w:rPr>
        <w:t>sa pozorovali nasled</w:t>
      </w:r>
      <w:r w:rsidR="0004003F" w:rsidRPr="004C15A2">
        <w:rPr>
          <w:sz w:val="22"/>
          <w:szCs w:val="22"/>
        </w:rPr>
        <w:t>ovné</w:t>
      </w:r>
      <w:r w:rsidRPr="004C15A2">
        <w:rPr>
          <w:sz w:val="22"/>
          <w:szCs w:val="22"/>
        </w:rPr>
        <w:t xml:space="preserve"> nežiaduce reakcie.</w:t>
      </w:r>
      <w:r w:rsidR="004F7B1F" w:rsidRPr="004C15A2">
        <w:rPr>
          <w:sz w:val="22"/>
          <w:szCs w:val="22"/>
          <w:lang w:val="sk-SK"/>
        </w:rPr>
        <w:t xml:space="preserve"> </w:t>
      </w:r>
      <w:r w:rsidR="004E6276" w:rsidRPr="004C15A2">
        <w:rPr>
          <w:sz w:val="22"/>
          <w:szCs w:val="22"/>
          <w:lang w:val="sk-SK"/>
        </w:rPr>
        <w:t>N</w:t>
      </w:r>
      <w:r w:rsidR="004F7B1F" w:rsidRPr="004C15A2">
        <w:rPr>
          <w:sz w:val="22"/>
          <w:szCs w:val="22"/>
          <w:lang w:val="sk-SK"/>
        </w:rPr>
        <w:t xml:space="preserve">ežiaduce reakcie sú zoradené </w:t>
      </w:r>
      <w:r w:rsidR="0004003F" w:rsidRPr="004C15A2">
        <w:rPr>
          <w:sz w:val="22"/>
          <w:szCs w:val="22"/>
          <w:lang w:val="sk-SK"/>
        </w:rPr>
        <w:t>do</w:t>
      </w:r>
      <w:r w:rsidR="004F7B1F" w:rsidRPr="004C15A2">
        <w:rPr>
          <w:sz w:val="22"/>
          <w:szCs w:val="22"/>
          <w:lang w:val="sk-SK"/>
        </w:rPr>
        <w:t xml:space="preserve"> tried orgánových systémov podľa </w:t>
      </w:r>
      <w:r w:rsidR="0004003F" w:rsidRPr="004C15A2">
        <w:rPr>
          <w:sz w:val="22"/>
          <w:szCs w:val="22"/>
          <w:lang w:val="sk-SK"/>
        </w:rPr>
        <w:t xml:space="preserve">databázy </w:t>
      </w:r>
      <w:r w:rsidR="004F7B1F" w:rsidRPr="004C15A2">
        <w:rPr>
          <w:sz w:val="22"/>
          <w:szCs w:val="22"/>
          <w:lang w:val="sk-SK"/>
        </w:rPr>
        <w:t>MedDRA. V rámci každej skupiny podľa frekvencie sú nežiaduce účinky zoradené v poradí klesajúcej závažnosti</w:t>
      </w:r>
      <w:r w:rsidR="0004003F" w:rsidRPr="004C15A2">
        <w:rPr>
          <w:sz w:val="22"/>
          <w:szCs w:val="22"/>
          <w:lang w:val="sk-SK"/>
        </w:rPr>
        <w:t xml:space="preserve">: </w:t>
      </w:r>
      <w:r w:rsidR="0004003F" w:rsidRPr="004C15A2">
        <w:rPr>
          <w:sz w:val="22"/>
          <w:szCs w:val="22"/>
        </w:rPr>
        <w:t>veľmi časté (</w:t>
      </w:r>
      <w:r w:rsidR="0004003F" w:rsidRPr="004C15A2">
        <w:rPr>
          <w:iCs/>
          <w:sz w:val="22"/>
          <w:szCs w:val="22"/>
        </w:rPr>
        <w:t>≥ </w:t>
      </w:r>
      <w:r w:rsidR="0004003F" w:rsidRPr="004C15A2">
        <w:rPr>
          <w:sz w:val="22"/>
          <w:szCs w:val="22"/>
        </w:rPr>
        <w:t>1/10), časté (</w:t>
      </w:r>
      <w:r w:rsidR="0004003F" w:rsidRPr="004C15A2">
        <w:rPr>
          <w:iCs/>
          <w:sz w:val="22"/>
          <w:szCs w:val="22"/>
        </w:rPr>
        <w:t>≥ </w:t>
      </w:r>
      <w:r w:rsidR="0004003F" w:rsidRPr="004C15A2">
        <w:rPr>
          <w:sz w:val="22"/>
          <w:szCs w:val="22"/>
        </w:rPr>
        <w:t>1/100 až &lt; 1/10), menej časté (</w:t>
      </w:r>
      <w:r w:rsidR="0004003F" w:rsidRPr="004C15A2">
        <w:rPr>
          <w:iCs/>
          <w:sz w:val="22"/>
          <w:szCs w:val="22"/>
        </w:rPr>
        <w:t>≥ </w:t>
      </w:r>
      <w:r w:rsidR="0004003F" w:rsidRPr="004C15A2">
        <w:rPr>
          <w:sz w:val="22"/>
          <w:szCs w:val="22"/>
        </w:rPr>
        <w:t>1/1 000 až &lt; 1/100), zriedkavé (</w:t>
      </w:r>
      <w:r w:rsidR="0004003F" w:rsidRPr="004C15A2">
        <w:rPr>
          <w:iCs/>
          <w:sz w:val="22"/>
          <w:szCs w:val="22"/>
        </w:rPr>
        <w:t>≥ </w:t>
      </w:r>
      <w:r w:rsidR="0004003F" w:rsidRPr="004C15A2">
        <w:rPr>
          <w:sz w:val="22"/>
          <w:szCs w:val="22"/>
        </w:rPr>
        <w:t>1/10 000 až &lt; 1/1 000), veľmi zriedkavé (&lt; 1/10 000), neznáme (z dostupných údajov).</w:t>
      </w:r>
    </w:p>
    <w:p w14:paraId="3B9CDBD7" w14:textId="77777777" w:rsidR="002732C5" w:rsidRPr="004C15A2" w:rsidRDefault="004F7B1F" w:rsidP="00170A8F">
      <w:pPr>
        <w:pStyle w:val="Paragraph"/>
        <w:keepNext/>
        <w:spacing w:after="0"/>
        <w:rPr>
          <w:sz w:val="22"/>
          <w:szCs w:val="22"/>
        </w:rPr>
      </w:pPr>
      <w:r w:rsidRPr="004C15A2">
        <w:rPr>
          <w:sz w:val="22"/>
          <w:szCs w:val="22"/>
          <w:lang w:val="sk-SK"/>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029"/>
        <w:gridCol w:w="1710"/>
        <w:gridCol w:w="2056"/>
      </w:tblGrid>
      <w:tr w:rsidR="00347ADB" w:rsidRPr="004C15A2" w14:paraId="67B91A1D" w14:textId="77777777" w:rsidTr="00170A8F">
        <w:trPr>
          <w:cantSplit/>
          <w:tblHeader/>
        </w:trPr>
        <w:tc>
          <w:tcPr>
            <w:tcW w:w="3168" w:type="dxa"/>
            <w:vAlign w:val="center"/>
          </w:tcPr>
          <w:p w14:paraId="0BAA908A" w14:textId="77777777" w:rsidR="002732C5" w:rsidRPr="004C15A2" w:rsidRDefault="00347ADB" w:rsidP="00170A8F">
            <w:pPr>
              <w:pStyle w:val="TableText"/>
              <w:keepNext/>
              <w:jc w:val="center"/>
              <w:rPr>
                <w:rFonts w:cs="Times New Roman"/>
                <w:b/>
                <w:sz w:val="22"/>
                <w:szCs w:val="22"/>
              </w:rPr>
            </w:pPr>
            <w:r w:rsidRPr="004C15A2">
              <w:rPr>
                <w:rFonts w:cs="Times New Roman"/>
                <w:b/>
                <w:sz w:val="22"/>
                <w:szCs w:val="22"/>
              </w:rPr>
              <w:t>Trieda orgánových systémov</w:t>
            </w:r>
          </w:p>
        </w:tc>
        <w:tc>
          <w:tcPr>
            <w:tcW w:w="2029" w:type="dxa"/>
            <w:vAlign w:val="center"/>
          </w:tcPr>
          <w:p w14:paraId="040E299F" w14:textId="77777777" w:rsidR="00F004BA" w:rsidRDefault="00F004BA" w:rsidP="00170A8F">
            <w:pPr>
              <w:pStyle w:val="TableTextColHead"/>
              <w:keepNext/>
              <w:rPr>
                <w:rFonts w:ascii="Times New Roman" w:hAnsi="Times New Roman"/>
                <w:sz w:val="22"/>
                <w:szCs w:val="22"/>
              </w:rPr>
            </w:pPr>
          </w:p>
          <w:p w14:paraId="0B6CD3ED" w14:textId="10525CEC" w:rsidR="00347ADB" w:rsidRPr="004C15A2" w:rsidDel="008301A1" w:rsidRDefault="00347ADB" w:rsidP="00170A8F">
            <w:pPr>
              <w:pStyle w:val="TableTextColHead"/>
              <w:keepNext/>
              <w:rPr>
                <w:rFonts w:ascii="Times New Roman" w:hAnsi="Times New Roman"/>
                <w:sz w:val="22"/>
                <w:szCs w:val="22"/>
              </w:rPr>
            </w:pPr>
            <w:r w:rsidRPr="004C15A2">
              <w:rPr>
                <w:rFonts w:ascii="Times New Roman" w:hAnsi="Times New Roman"/>
                <w:sz w:val="22"/>
                <w:szCs w:val="22"/>
              </w:rPr>
              <w:t>Časté</w:t>
            </w:r>
          </w:p>
          <w:p w14:paraId="690AD488" w14:textId="77777777" w:rsidR="00347ADB" w:rsidRPr="004C15A2" w:rsidDel="008301A1" w:rsidRDefault="0004003F" w:rsidP="00170A8F">
            <w:pPr>
              <w:pStyle w:val="TableTextColHead"/>
              <w:keepNext/>
              <w:rPr>
                <w:rFonts w:ascii="Times New Roman" w:hAnsi="Times New Roman"/>
                <w:sz w:val="22"/>
                <w:szCs w:val="22"/>
              </w:rPr>
            </w:pPr>
            <w:r w:rsidRPr="004C15A2">
              <w:rPr>
                <w:rFonts w:ascii="Times New Roman" w:hAnsi="Times New Roman"/>
                <w:sz w:val="22"/>
                <w:szCs w:val="22"/>
              </w:rPr>
              <w:t>(</w:t>
            </w:r>
            <w:r w:rsidR="00347ADB" w:rsidRPr="004C15A2">
              <w:rPr>
                <w:rFonts w:ascii="Times New Roman" w:hAnsi="Times New Roman"/>
                <w:sz w:val="22"/>
                <w:szCs w:val="22"/>
              </w:rPr>
              <w:t>≥ 1/100</w:t>
            </w:r>
          </w:p>
          <w:p w14:paraId="5F885067" w14:textId="77777777" w:rsidR="00347ADB" w:rsidRPr="004C15A2" w:rsidDel="008301A1" w:rsidRDefault="00347ADB" w:rsidP="00170A8F">
            <w:pPr>
              <w:pStyle w:val="TableTextColHead"/>
              <w:keepNext/>
              <w:rPr>
                <w:rFonts w:ascii="Times New Roman" w:hAnsi="Times New Roman"/>
                <w:sz w:val="22"/>
                <w:szCs w:val="22"/>
              </w:rPr>
            </w:pPr>
            <w:r w:rsidRPr="004C15A2">
              <w:rPr>
                <w:rFonts w:ascii="Times New Roman" w:hAnsi="Times New Roman"/>
                <w:sz w:val="22"/>
                <w:szCs w:val="22"/>
              </w:rPr>
              <w:t>až &lt; 1/10</w:t>
            </w:r>
            <w:r w:rsidR="0004003F" w:rsidRPr="004C15A2">
              <w:rPr>
                <w:rFonts w:ascii="Times New Roman" w:hAnsi="Times New Roman"/>
                <w:sz w:val="22"/>
                <w:szCs w:val="22"/>
              </w:rPr>
              <w:t>)</w:t>
            </w:r>
          </w:p>
          <w:p w14:paraId="0B8167F2" w14:textId="77777777" w:rsidR="00347ADB" w:rsidRPr="004C15A2" w:rsidRDefault="00347ADB" w:rsidP="00170A8F">
            <w:pPr>
              <w:pStyle w:val="TableText"/>
              <w:keepNext/>
              <w:jc w:val="center"/>
              <w:rPr>
                <w:rFonts w:cs="Times New Roman"/>
                <w:b/>
                <w:sz w:val="22"/>
                <w:szCs w:val="22"/>
              </w:rPr>
            </w:pPr>
          </w:p>
          <w:p w14:paraId="7E7D714C" w14:textId="77777777" w:rsidR="002732C5" w:rsidRPr="004C15A2" w:rsidRDefault="002732C5" w:rsidP="00170A8F">
            <w:pPr>
              <w:pStyle w:val="TableText"/>
              <w:keepNext/>
              <w:rPr>
                <w:rFonts w:cs="Times New Roman"/>
                <w:b/>
                <w:sz w:val="22"/>
                <w:szCs w:val="22"/>
              </w:rPr>
            </w:pPr>
          </w:p>
        </w:tc>
        <w:tc>
          <w:tcPr>
            <w:tcW w:w="1710" w:type="dxa"/>
            <w:vAlign w:val="center"/>
          </w:tcPr>
          <w:p w14:paraId="2D706E44" w14:textId="77777777" w:rsidR="00347ADB" w:rsidRPr="004C15A2" w:rsidDel="008301A1" w:rsidRDefault="00347ADB" w:rsidP="00170A8F">
            <w:pPr>
              <w:pStyle w:val="TableText"/>
              <w:keepNext/>
              <w:jc w:val="center"/>
              <w:rPr>
                <w:rFonts w:cs="Times New Roman"/>
                <w:b/>
                <w:sz w:val="22"/>
                <w:szCs w:val="22"/>
              </w:rPr>
            </w:pPr>
            <w:r w:rsidRPr="004C15A2">
              <w:rPr>
                <w:rFonts w:cs="Times New Roman"/>
                <w:b/>
                <w:sz w:val="22"/>
                <w:szCs w:val="22"/>
              </w:rPr>
              <w:t>Menej časté</w:t>
            </w:r>
          </w:p>
          <w:p w14:paraId="4D42F1B5" w14:textId="77777777" w:rsidR="00347ADB" w:rsidRPr="004C15A2" w:rsidRDefault="0004003F" w:rsidP="00170A8F">
            <w:pPr>
              <w:pStyle w:val="TableTextColHead"/>
              <w:keepNext/>
              <w:rPr>
                <w:rFonts w:ascii="Times New Roman" w:hAnsi="Times New Roman"/>
                <w:sz w:val="22"/>
                <w:szCs w:val="22"/>
              </w:rPr>
            </w:pPr>
            <w:r w:rsidRPr="004C15A2">
              <w:rPr>
                <w:rFonts w:ascii="Times New Roman" w:hAnsi="Times New Roman"/>
                <w:sz w:val="22"/>
                <w:szCs w:val="22"/>
              </w:rPr>
              <w:t>(</w:t>
            </w:r>
            <w:r w:rsidR="00347ADB" w:rsidRPr="004C15A2">
              <w:rPr>
                <w:rFonts w:ascii="Times New Roman" w:hAnsi="Times New Roman"/>
                <w:sz w:val="22"/>
                <w:szCs w:val="22"/>
              </w:rPr>
              <w:t>≥ 1/1 000</w:t>
            </w:r>
          </w:p>
          <w:p w14:paraId="1C3F7FC7" w14:textId="77777777" w:rsidR="002732C5" w:rsidRPr="004C15A2" w:rsidRDefault="00347ADB" w:rsidP="00170A8F">
            <w:pPr>
              <w:pStyle w:val="TableTextColHead"/>
              <w:keepNext/>
              <w:rPr>
                <w:rFonts w:ascii="Times New Roman" w:hAnsi="Times New Roman"/>
                <w:sz w:val="22"/>
                <w:szCs w:val="22"/>
              </w:rPr>
            </w:pPr>
            <w:r w:rsidRPr="004C15A2">
              <w:rPr>
                <w:rFonts w:ascii="Times New Roman" w:hAnsi="Times New Roman"/>
                <w:sz w:val="22"/>
                <w:szCs w:val="22"/>
              </w:rPr>
              <w:t>až &lt; 1/100</w:t>
            </w:r>
            <w:r w:rsidR="0004003F" w:rsidRPr="004C15A2">
              <w:rPr>
                <w:rFonts w:ascii="Times New Roman" w:hAnsi="Times New Roman"/>
                <w:sz w:val="22"/>
                <w:szCs w:val="22"/>
              </w:rPr>
              <w:t>)</w:t>
            </w:r>
          </w:p>
        </w:tc>
        <w:tc>
          <w:tcPr>
            <w:tcW w:w="2056" w:type="dxa"/>
            <w:vAlign w:val="center"/>
          </w:tcPr>
          <w:p w14:paraId="4B15B2A9" w14:textId="49927A9D" w:rsidR="00347ADB" w:rsidRPr="004C15A2" w:rsidRDefault="00F004BA" w:rsidP="00170A8F">
            <w:pPr>
              <w:pStyle w:val="TableText"/>
              <w:keepNext/>
              <w:keepLines/>
              <w:jc w:val="center"/>
              <w:rPr>
                <w:rFonts w:cs="Times New Roman"/>
                <w:b/>
                <w:sz w:val="22"/>
                <w:szCs w:val="22"/>
                <w:lang w:val="sk-SK"/>
              </w:rPr>
            </w:pPr>
            <w:r>
              <w:rPr>
                <w:rFonts w:cs="Times New Roman"/>
                <w:b/>
                <w:sz w:val="22"/>
                <w:szCs w:val="22"/>
                <w:lang w:val="sk-SK"/>
              </w:rPr>
              <w:t>N</w:t>
            </w:r>
            <w:r w:rsidR="00347ADB" w:rsidRPr="004C15A2">
              <w:rPr>
                <w:rFonts w:cs="Times New Roman"/>
                <w:b/>
                <w:sz w:val="22"/>
                <w:szCs w:val="22"/>
                <w:lang w:val="sk-SK"/>
              </w:rPr>
              <w:t>eznám</w:t>
            </w:r>
            <w:r w:rsidR="00673CAC" w:rsidRPr="004C15A2">
              <w:rPr>
                <w:rFonts w:cs="Times New Roman"/>
                <w:b/>
                <w:sz w:val="22"/>
                <w:szCs w:val="22"/>
                <w:lang w:val="sk-SK"/>
              </w:rPr>
              <w:t>e</w:t>
            </w:r>
            <w:r w:rsidR="00347ADB" w:rsidRPr="004C15A2">
              <w:rPr>
                <w:rFonts w:cs="Times New Roman"/>
                <w:b/>
                <w:sz w:val="22"/>
                <w:szCs w:val="22"/>
                <w:lang w:val="sk-SK"/>
              </w:rPr>
              <w:t xml:space="preserve"> </w:t>
            </w:r>
          </w:p>
          <w:p w14:paraId="1A73CE2B" w14:textId="77777777" w:rsidR="00347ADB" w:rsidRPr="004C15A2" w:rsidRDefault="00673CAC" w:rsidP="00170A8F">
            <w:pPr>
              <w:pStyle w:val="TableText"/>
              <w:keepNext/>
              <w:keepLines/>
              <w:jc w:val="center"/>
              <w:rPr>
                <w:rFonts w:cs="Times New Roman"/>
                <w:b/>
                <w:sz w:val="22"/>
                <w:szCs w:val="22"/>
                <w:highlight w:val="cyan"/>
              </w:rPr>
            </w:pPr>
            <w:r w:rsidRPr="004C15A2">
              <w:rPr>
                <w:rFonts w:cs="Times New Roman"/>
                <w:b/>
                <w:sz w:val="22"/>
                <w:szCs w:val="22"/>
                <w:lang w:val="sk-SK"/>
              </w:rPr>
              <w:t>(</w:t>
            </w:r>
            <w:r w:rsidR="00347ADB" w:rsidRPr="004C15A2">
              <w:rPr>
                <w:rFonts w:cs="Times New Roman"/>
                <w:b/>
                <w:sz w:val="22"/>
                <w:szCs w:val="22"/>
                <w:lang w:val="sk-SK"/>
              </w:rPr>
              <w:t>z dostupných údajov)</w:t>
            </w:r>
          </w:p>
        </w:tc>
      </w:tr>
      <w:tr w:rsidR="00347ADB" w:rsidRPr="004C15A2" w14:paraId="07E615EF" w14:textId="77777777" w:rsidTr="00170A8F">
        <w:trPr>
          <w:cantSplit/>
        </w:trPr>
        <w:tc>
          <w:tcPr>
            <w:tcW w:w="3168" w:type="dxa"/>
          </w:tcPr>
          <w:p w14:paraId="432BCA37" w14:textId="77777777" w:rsidR="00BD3773" w:rsidRPr="004C15A2" w:rsidRDefault="002732C5" w:rsidP="00170A8F">
            <w:pPr>
              <w:pStyle w:val="TableText"/>
              <w:keepNext/>
              <w:rPr>
                <w:rFonts w:cs="Times New Roman"/>
                <w:sz w:val="22"/>
                <w:szCs w:val="22"/>
              </w:rPr>
            </w:pPr>
            <w:r w:rsidRPr="004C15A2">
              <w:rPr>
                <w:rFonts w:cs="Times New Roman"/>
                <w:sz w:val="22"/>
                <w:szCs w:val="22"/>
              </w:rPr>
              <w:t>Poruchy nervového systému</w:t>
            </w:r>
          </w:p>
          <w:p w14:paraId="01F9673E" w14:textId="77777777" w:rsidR="00616D63" w:rsidRPr="004C15A2" w:rsidRDefault="00616D63" w:rsidP="00170A8F">
            <w:pPr>
              <w:pStyle w:val="TableText"/>
              <w:keepNext/>
              <w:rPr>
                <w:rFonts w:cs="Times New Roman"/>
                <w:sz w:val="22"/>
                <w:szCs w:val="22"/>
              </w:rPr>
            </w:pPr>
          </w:p>
        </w:tc>
        <w:tc>
          <w:tcPr>
            <w:tcW w:w="2029" w:type="dxa"/>
          </w:tcPr>
          <w:p w14:paraId="57FA5F08" w14:textId="77777777" w:rsidR="002732C5" w:rsidRPr="004C15A2" w:rsidRDefault="002732C5" w:rsidP="00170A8F">
            <w:pPr>
              <w:pStyle w:val="TableText"/>
              <w:keepNext/>
              <w:rPr>
                <w:rFonts w:cs="Times New Roman"/>
                <w:sz w:val="22"/>
                <w:szCs w:val="22"/>
              </w:rPr>
            </w:pPr>
            <w:r w:rsidRPr="004C15A2">
              <w:rPr>
                <w:rFonts w:cs="Times New Roman"/>
                <w:sz w:val="22"/>
                <w:szCs w:val="22"/>
              </w:rPr>
              <w:t>bolesť hlavy</w:t>
            </w:r>
          </w:p>
        </w:tc>
        <w:tc>
          <w:tcPr>
            <w:tcW w:w="1710" w:type="dxa"/>
          </w:tcPr>
          <w:p w14:paraId="3B1CA7E0" w14:textId="77777777" w:rsidR="002732C5" w:rsidRPr="004C15A2" w:rsidRDefault="002732C5" w:rsidP="00170A8F">
            <w:pPr>
              <w:pStyle w:val="TableText"/>
              <w:keepNext/>
              <w:rPr>
                <w:rFonts w:cs="Times New Roman"/>
                <w:sz w:val="22"/>
                <w:szCs w:val="22"/>
              </w:rPr>
            </w:pPr>
          </w:p>
        </w:tc>
        <w:tc>
          <w:tcPr>
            <w:tcW w:w="2056" w:type="dxa"/>
          </w:tcPr>
          <w:p w14:paraId="5561116B" w14:textId="77777777" w:rsidR="002732C5" w:rsidRPr="004C15A2" w:rsidRDefault="002732C5" w:rsidP="00170A8F">
            <w:pPr>
              <w:keepNext/>
              <w:rPr>
                <w:sz w:val="22"/>
                <w:szCs w:val="22"/>
              </w:rPr>
            </w:pPr>
          </w:p>
        </w:tc>
      </w:tr>
      <w:tr w:rsidR="00347ADB" w:rsidRPr="004C15A2" w14:paraId="55BDB1F4" w14:textId="77777777" w:rsidTr="00170A8F">
        <w:trPr>
          <w:cantSplit/>
        </w:trPr>
        <w:tc>
          <w:tcPr>
            <w:tcW w:w="3168" w:type="dxa"/>
          </w:tcPr>
          <w:p w14:paraId="20E4200F" w14:textId="77777777" w:rsidR="002732C5" w:rsidRPr="004C15A2" w:rsidRDefault="002732C5" w:rsidP="00170A8F">
            <w:pPr>
              <w:keepNext/>
              <w:keepLines/>
              <w:outlineLvl w:val="0"/>
              <w:rPr>
                <w:sz w:val="22"/>
                <w:szCs w:val="22"/>
              </w:rPr>
            </w:pPr>
            <w:r w:rsidRPr="004C15A2">
              <w:rPr>
                <w:sz w:val="22"/>
                <w:szCs w:val="22"/>
                <w:lang w:val="sk-SK"/>
              </w:rPr>
              <w:t>Poruchy oka</w:t>
            </w:r>
          </w:p>
        </w:tc>
        <w:tc>
          <w:tcPr>
            <w:tcW w:w="2029" w:type="dxa"/>
            <w:shd w:val="clear" w:color="auto" w:fill="auto"/>
          </w:tcPr>
          <w:p w14:paraId="6AAE95B2" w14:textId="4A070093" w:rsidR="002732C5" w:rsidRPr="004C15A2" w:rsidRDefault="002732C5" w:rsidP="00170A8F">
            <w:pPr>
              <w:pStyle w:val="TableText"/>
              <w:keepNext/>
              <w:rPr>
                <w:rFonts w:cs="Times New Roman"/>
                <w:sz w:val="22"/>
                <w:szCs w:val="22"/>
              </w:rPr>
            </w:pPr>
            <w:r w:rsidRPr="004C15A2">
              <w:rPr>
                <w:rFonts w:cs="Times New Roman"/>
                <w:sz w:val="22"/>
                <w:szCs w:val="22"/>
                <w:lang w:val="sk-SK"/>
              </w:rPr>
              <w:t>korneálne poruchy</w:t>
            </w:r>
            <w:r w:rsidRPr="004C15A2">
              <w:rPr>
                <w:rFonts w:cs="Times New Roman"/>
                <w:sz w:val="22"/>
                <w:szCs w:val="22"/>
              </w:rPr>
              <w:t xml:space="preserve">, keratitída, konjunktivitída, blefaritída, </w:t>
            </w:r>
            <w:r w:rsidR="000E2068" w:rsidRPr="004C15A2">
              <w:rPr>
                <w:rFonts w:cs="Times New Roman"/>
                <w:sz w:val="22"/>
                <w:szCs w:val="22"/>
                <w:lang w:val="sk-SK"/>
              </w:rPr>
              <w:t>bolesť oka</w:t>
            </w:r>
            <w:r w:rsidRPr="004C15A2">
              <w:rPr>
                <w:rFonts w:cs="Times New Roman"/>
                <w:sz w:val="22"/>
                <w:szCs w:val="22"/>
              </w:rPr>
              <w:t xml:space="preserve">, </w:t>
            </w:r>
            <w:r w:rsidR="000E2068" w:rsidRPr="004C15A2">
              <w:rPr>
                <w:rFonts w:cs="Times New Roman"/>
                <w:sz w:val="22"/>
                <w:szCs w:val="22"/>
                <w:lang w:val="sk-SK"/>
              </w:rPr>
              <w:t>podráždenie oka</w:t>
            </w:r>
            <w:r w:rsidRPr="004C15A2">
              <w:rPr>
                <w:rFonts w:cs="Times New Roman"/>
                <w:sz w:val="22"/>
                <w:szCs w:val="22"/>
              </w:rPr>
              <w:t xml:space="preserve">, </w:t>
            </w:r>
            <w:r w:rsidR="000E2068" w:rsidRPr="004C15A2">
              <w:rPr>
                <w:rFonts w:cs="Times New Roman"/>
                <w:sz w:val="22"/>
                <w:szCs w:val="22"/>
                <w:lang w:val="sk-SK"/>
              </w:rPr>
              <w:t>hyperémia oka</w:t>
            </w:r>
            <w:r w:rsidRPr="004C15A2">
              <w:rPr>
                <w:rFonts w:cs="Times New Roman"/>
                <w:sz w:val="22"/>
                <w:szCs w:val="22"/>
              </w:rPr>
              <w:t xml:space="preserve">, </w:t>
            </w:r>
            <w:r w:rsidR="000E2068" w:rsidRPr="004C15A2">
              <w:rPr>
                <w:rFonts w:cs="Times New Roman"/>
                <w:sz w:val="22"/>
                <w:szCs w:val="22"/>
                <w:lang w:val="sk-SK"/>
              </w:rPr>
              <w:t>hyperpigmentácia dúhovky</w:t>
            </w:r>
            <w:r w:rsidR="000E2068" w:rsidRPr="004C15A2">
              <w:rPr>
                <w:rFonts w:cs="Times New Roman"/>
                <w:sz w:val="22"/>
                <w:szCs w:val="22"/>
              </w:rPr>
              <w:t xml:space="preserve"> </w:t>
            </w:r>
          </w:p>
        </w:tc>
        <w:tc>
          <w:tcPr>
            <w:tcW w:w="1710" w:type="dxa"/>
            <w:shd w:val="clear" w:color="auto" w:fill="auto"/>
          </w:tcPr>
          <w:p w14:paraId="46B1BAFC" w14:textId="77777777" w:rsidR="00453067" w:rsidRPr="004C15A2" w:rsidRDefault="000E2068" w:rsidP="00170A8F">
            <w:pPr>
              <w:pStyle w:val="TableText"/>
              <w:keepNext/>
              <w:rPr>
                <w:rFonts w:cs="Times New Roman"/>
                <w:sz w:val="22"/>
                <w:szCs w:val="22"/>
              </w:rPr>
            </w:pPr>
            <w:r w:rsidRPr="004C15A2">
              <w:rPr>
                <w:rFonts w:cs="Times New Roman"/>
                <w:sz w:val="22"/>
                <w:szCs w:val="22"/>
                <w:lang w:val="sk-SK"/>
              </w:rPr>
              <w:t>konjunktiválna porucha,</w:t>
            </w:r>
            <w:r w:rsidRPr="004C15A2">
              <w:rPr>
                <w:rFonts w:cs="Times New Roman"/>
                <w:sz w:val="22"/>
                <w:szCs w:val="22"/>
              </w:rPr>
              <w:t xml:space="preserve"> hypertrichóza</w:t>
            </w:r>
            <w:r w:rsidR="002732C5" w:rsidRPr="004C15A2">
              <w:rPr>
                <w:rFonts w:cs="Times New Roman"/>
                <w:sz w:val="22"/>
                <w:szCs w:val="22"/>
              </w:rPr>
              <w:t xml:space="preserve"> (</w:t>
            </w:r>
            <w:r w:rsidRPr="004C15A2">
              <w:rPr>
                <w:rFonts w:cs="Times New Roman"/>
                <w:sz w:val="22"/>
                <w:szCs w:val="22"/>
              </w:rPr>
              <w:t xml:space="preserve">zmeny mihalníc </w:t>
            </w:r>
          </w:p>
          <w:p w14:paraId="2B5F2FE9" w14:textId="77777777" w:rsidR="00453067" w:rsidRPr="004C15A2" w:rsidRDefault="000E2068" w:rsidP="00170A8F">
            <w:pPr>
              <w:pStyle w:val="TableText"/>
              <w:keepNext/>
              <w:rPr>
                <w:rFonts w:cs="Times New Roman"/>
                <w:sz w:val="22"/>
                <w:szCs w:val="22"/>
              </w:rPr>
            </w:pPr>
            <w:r w:rsidRPr="004C15A2">
              <w:rPr>
                <w:rFonts w:cs="Times New Roman"/>
                <w:sz w:val="22"/>
                <w:szCs w:val="22"/>
              </w:rPr>
              <w:t>a chĺpkov očného viečka</w:t>
            </w:r>
            <w:r w:rsidR="004F7B1F" w:rsidRPr="004C15A2">
              <w:rPr>
                <w:rFonts w:cs="Times New Roman"/>
                <w:sz w:val="22"/>
                <w:szCs w:val="22"/>
              </w:rPr>
              <w:t>,</w:t>
            </w:r>
            <w:r w:rsidR="00946920" w:rsidRPr="004C15A2">
              <w:rPr>
                <w:rFonts w:cs="Times New Roman"/>
                <w:sz w:val="22"/>
                <w:szCs w:val="22"/>
              </w:rPr>
              <w:t xml:space="preserve"> predĺženie</w:t>
            </w:r>
            <w:r w:rsidR="002732C5" w:rsidRPr="004C15A2">
              <w:rPr>
                <w:rFonts w:cs="Times New Roman"/>
                <w:sz w:val="22"/>
                <w:szCs w:val="22"/>
              </w:rPr>
              <w:t xml:space="preserve">, </w:t>
            </w:r>
            <w:r w:rsidR="00946920" w:rsidRPr="004C15A2">
              <w:rPr>
                <w:rFonts w:cs="Times New Roman"/>
                <w:sz w:val="22"/>
                <w:szCs w:val="22"/>
              </w:rPr>
              <w:t>zhrubnutie</w:t>
            </w:r>
            <w:r w:rsidR="002732C5" w:rsidRPr="004C15A2">
              <w:rPr>
                <w:rFonts w:cs="Times New Roman"/>
                <w:sz w:val="22"/>
                <w:szCs w:val="22"/>
              </w:rPr>
              <w:t xml:space="preserve">, </w:t>
            </w:r>
            <w:r w:rsidR="00946920" w:rsidRPr="004C15A2">
              <w:rPr>
                <w:rFonts w:cs="Times New Roman"/>
                <w:sz w:val="22"/>
                <w:szCs w:val="22"/>
              </w:rPr>
              <w:t xml:space="preserve">zmeny pigmentácie </w:t>
            </w:r>
          </w:p>
          <w:p w14:paraId="7DBDD9BA" w14:textId="77777777" w:rsidR="00616D63" w:rsidRPr="004C15A2" w:rsidRDefault="00946920" w:rsidP="00170A8F">
            <w:pPr>
              <w:pStyle w:val="TableText"/>
              <w:keepNext/>
              <w:rPr>
                <w:rFonts w:cs="Times New Roman"/>
                <w:sz w:val="22"/>
                <w:szCs w:val="22"/>
              </w:rPr>
            </w:pPr>
            <w:r w:rsidRPr="004C15A2">
              <w:rPr>
                <w:rFonts w:cs="Times New Roman"/>
                <w:sz w:val="22"/>
                <w:szCs w:val="22"/>
              </w:rPr>
              <w:t>a počtu mihalníc</w:t>
            </w:r>
            <w:r w:rsidR="002732C5" w:rsidRPr="004C15A2">
              <w:rPr>
                <w:rFonts w:cs="Times New Roman"/>
                <w:sz w:val="22"/>
                <w:szCs w:val="22"/>
              </w:rPr>
              <w:t>), fotofóbia</w:t>
            </w:r>
          </w:p>
        </w:tc>
        <w:tc>
          <w:tcPr>
            <w:tcW w:w="2056" w:type="dxa"/>
          </w:tcPr>
          <w:p w14:paraId="7756BDD6" w14:textId="77777777" w:rsidR="002732C5" w:rsidRPr="004C15A2" w:rsidRDefault="002732C5" w:rsidP="00170A8F">
            <w:pPr>
              <w:keepNext/>
              <w:rPr>
                <w:sz w:val="22"/>
                <w:szCs w:val="22"/>
              </w:rPr>
            </w:pPr>
            <w:r w:rsidRPr="004C15A2">
              <w:rPr>
                <w:sz w:val="22"/>
                <w:szCs w:val="22"/>
              </w:rPr>
              <w:t>abnormálne videnie,</w:t>
            </w:r>
            <w:r w:rsidR="00946920" w:rsidRPr="004C15A2">
              <w:rPr>
                <w:sz w:val="22"/>
                <w:szCs w:val="22"/>
              </w:rPr>
              <w:t xml:space="preserve"> </w:t>
            </w:r>
            <w:r w:rsidR="00946920" w:rsidRPr="004C15A2">
              <w:rPr>
                <w:sz w:val="22"/>
                <w:szCs w:val="22"/>
                <w:lang w:val="sk-SK"/>
              </w:rPr>
              <w:t xml:space="preserve">poruchy </w:t>
            </w:r>
            <w:r w:rsidR="00D1375E" w:rsidRPr="004C15A2">
              <w:rPr>
                <w:sz w:val="22"/>
                <w:szCs w:val="22"/>
                <w:lang w:val="sk-SK"/>
              </w:rPr>
              <w:t>refrakcie</w:t>
            </w:r>
          </w:p>
        </w:tc>
      </w:tr>
      <w:tr w:rsidR="00347ADB" w:rsidRPr="004C15A2" w14:paraId="41A51A40" w14:textId="77777777" w:rsidTr="00170A8F">
        <w:trPr>
          <w:cantSplit/>
        </w:trPr>
        <w:tc>
          <w:tcPr>
            <w:tcW w:w="3168" w:type="dxa"/>
          </w:tcPr>
          <w:p w14:paraId="6960B72D" w14:textId="77777777" w:rsidR="002732C5" w:rsidRPr="004C15A2" w:rsidRDefault="002732C5" w:rsidP="00097A42">
            <w:pPr>
              <w:pStyle w:val="TableText"/>
              <w:rPr>
                <w:rFonts w:cs="Times New Roman"/>
                <w:sz w:val="22"/>
                <w:szCs w:val="22"/>
              </w:rPr>
            </w:pPr>
            <w:r w:rsidRPr="004C15A2">
              <w:rPr>
                <w:rFonts w:cs="Times New Roman"/>
                <w:sz w:val="22"/>
                <w:szCs w:val="22"/>
                <w:lang w:val="sk-SK"/>
              </w:rPr>
              <w:t>Poruchy ciev</w:t>
            </w:r>
          </w:p>
          <w:p w14:paraId="3E603BE0" w14:textId="77777777" w:rsidR="00BD3773" w:rsidRPr="004C15A2" w:rsidRDefault="00BD3773" w:rsidP="009D3632">
            <w:pPr>
              <w:pStyle w:val="Paragraph"/>
              <w:spacing w:after="0"/>
              <w:rPr>
                <w:sz w:val="22"/>
                <w:szCs w:val="22"/>
                <w:lang w:val="sk-SK"/>
              </w:rPr>
            </w:pPr>
          </w:p>
        </w:tc>
        <w:tc>
          <w:tcPr>
            <w:tcW w:w="2029" w:type="dxa"/>
          </w:tcPr>
          <w:p w14:paraId="0CE5C3E4" w14:textId="77777777" w:rsidR="002732C5" w:rsidRPr="004C15A2" w:rsidRDefault="002732C5" w:rsidP="00097A42">
            <w:pPr>
              <w:pStyle w:val="TableText"/>
              <w:rPr>
                <w:rFonts w:cs="Times New Roman"/>
                <w:sz w:val="22"/>
                <w:szCs w:val="22"/>
              </w:rPr>
            </w:pPr>
            <w:r w:rsidRPr="004C15A2">
              <w:rPr>
                <w:rFonts w:cs="Times New Roman"/>
                <w:sz w:val="22"/>
                <w:szCs w:val="22"/>
              </w:rPr>
              <w:t>hypertenzia</w:t>
            </w:r>
          </w:p>
        </w:tc>
        <w:tc>
          <w:tcPr>
            <w:tcW w:w="1710" w:type="dxa"/>
          </w:tcPr>
          <w:p w14:paraId="6598A830" w14:textId="77777777" w:rsidR="002732C5" w:rsidRPr="004C15A2" w:rsidRDefault="002732C5" w:rsidP="00097A42">
            <w:pPr>
              <w:pStyle w:val="TableText"/>
              <w:rPr>
                <w:rFonts w:cs="Times New Roman"/>
                <w:sz w:val="22"/>
                <w:szCs w:val="22"/>
              </w:rPr>
            </w:pPr>
          </w:p>
        </w:tc>
        <w:tc>
          <w:tcPr>
            <w:tcW w:w="2056" w:type="dxa"/>
          </w:tcPr>
          <w:p w14:paraId="2C7939A4" w14:textId="77777777" w:rsidR="002732C5" w:rsidRPr="004C15A2" w:rsidRDefault="002732C5" w:rsidP="00097A42">
            <w:pPr>
              <w:rPr>
                <w:sz w:val="22"/>
                <w:szCs w:val="22"/>
              </w:rPr>
            </w:pPr>
          </w:p>
        </w:tc>
      </w:tr>
      <w:tr w:rsidR="00347ADB" w:rsidRPr="004C15A2" w14:paraId="7EAB83DB" w14:textId="77777777" w:rsidTr="00170A8F">
        <w:trPr>
          <w:cantSplit/>
        </w:trPr>
        <w:tc>
          <w:tcPr>
            <w:tcW w:w="3168" w:type="dxa"/>
          </w:tcPr>
          <w:p w14:paraId="75ECE2A3" w14:textId="77777777" w:rsidR="002732C5" w:rsidRPr="004C15A2" w:rsidRDefault="002732C5" w:rsidP="00097A42">
            <w:pPr>
              <w:pStyle w:val="TableText"/>
              <w:rPr>
                <w:rFonts w:cs="Times New Roman"/>
                <w:sz w:val="22"/>
                <w:szCs w:val="22"/>
              </w:rPr>
            </w:pPr>
            <w:r w:rsidRPr="004C15A2">
              <w:rPr>
                <w:rFonts w:cs="Times New Roman"/>
                <w:sz w:val="22"/>
                <w:szCs w:val="22"/>
                <w:lang w:val="sk-SK"/>
              </w:rPr>
              <w:t>Poruchy kože a podkožného tkaniva</w:t>
            </w:r>
          </w:p>
          <w:p w14:paraId="1BBF7BCE" w14:textId="77777777" w:rsidR="00BD3773" w:rsidRPr="004C15A2" w:rsidRDefault="00BD3773" w:rsidP="009D3632">
            <w:pPr>
              <w:rPr>
                <w:sz w:val="22"/>
                <w:szCs w:val="22"/>
                <w:lang w:val="sk-SK"/>
              </w:rPr>
            </w:pPr>
          </w:p>
        </w:tc>
        <w:tc>
          <w:tcPr>
            <w:tcW w:w="2029" w:type="dxa"/>
          </w:tcPr>
          <w:p w14:paraId="1BFD5997" w14:textId="77777777" w:rsidR="002732C5" w:rsidRPr="004C15A2" w:rsidRDefault="002732C5" w:rsidP="00097A42">
            <w:pPr>
              <w:pStyle w:val="TableText"/>
              <w:rPr>
                <w:rFonts w:cs="Times New Roman"/>
                <w:sz w:val="22"/>
                <w:szCs w:val="22"/>
              </w:rPr>
            </w:pPr>
          </w:p>
        </w:tc>
        <w:tc>
          <w:tcPr>
            <w:tcW w:w="1710" w:type="dxa"/>
          </w:tcPr>
          <w:p w14:paraId="6162C1D5" w14:textId="77777777" w:rsidR="002732C5" w:rsidRPr="004C15A2" w:rsidRDefault="00D02A2F" w:rsidP="00097A42">
            <w:pPr>
              <w:pStyle w:val="TableText"/>
              <w:rPr>
                <w:rFonts w:cs="Times New Roman"/>
                <w:sz w:val="22"/>
                <w:szCs w:val="22"/>
              </w:rPr>
            </w:pPr>
            <w:r w:rsidRPr="004C15A2">
              <w:rPr>
                <w:rFonts w:cs="Times New Roman"/>
                <w:sz w:val="22"/>
                <w:szCs w:val="22"/>
                <w:lang w:val="sk-SK"/>
              </w:rPr>
              <w:t>vyrážka, porušenie</w:t>
            </w:r>
            <w:r w:rsidR="002732C5" w:rsidRPr="004C15A2">
              <w:rPr>
                <w:rFonts w:cs="Times New Roman"/>
                <w:sz w:val="22"/>
                <w:szCs w:val="22"/>
                <w:lang w:val="sk-SK"/>
              </w:rPr>
              <w:t xml:space="preserve"> kože</w:t>
            </w:r>
          </w:p>
        </w:tc>
        <w:tc>
          <w:tcPr>
            <w:tcW w:w="2056" w:type="dxa"/>
          </w:tcPr>
          <w:p w14:paraId="24B2E943" w14:textId="77777777" w:rsidR="002732C5" w:rsidRPr="004C15A2" w:rsidRDefault="002732C5" w:rsidP="00097A42">
            <w:pPr>
              <w:rPr>
                <w:sz w:val="22"/>
                <w:szCs w:val="22"/>
              </w:rPr>
            </w:pPr>
          </w:p>
        </w:tc>
      </w:tr>
    </w:tbl>
    <w:p w14:paraId="14EE6491" w14:textId="77777777" w:rsidR="00BD3773" w:rsidRPr="004C15A2" w:rsidRDefault="00BD3773" w:rsidP="00097A42">
      <w:pPr>
        <w:keepNext/>
        <w:keepLines/>
        <w:outlineLvl w:val="0"/>
        <w:rPr>
          <w:sz w:val="22"/>
          <w:szCs w:val="22"/>
        </w:rPr>
      </w:pPr>
    </w:p>
    <w:p w14:paraId="1894D9D5" w14:textId="77777777" w:rsidR="00BD3773" w:rsidRPr="004C15A2" w:rsidRDefault="00BD3773" w:rsidP="00097A42">
      <w:pPr>
        <w:keepNext/>
        <w:keepLines/>
        <w:outlineLvl w:val="0"/>
        <w:rPr>
          <w:sz w:val="22"/>
          <w:szCs w:val="22"/>
        </w:rPr>
      </w:pPr>
      <w:r w:rsidRPr="004C15A2">
        <w:rPr>
          <w:sz w:val="22"/>
          <w:szCs w:val="22"/>
        </w:rPr>
        <w:t>Pri nasl</w:t>
      </w:r>
      <w:r w:rsidR="00D81911" w:rsidRPr="004C15A2">
        <w:rPr>
          <w:sz w:val="22"/>
          <w:szCs w:val="22"/>
        </w:rPr>
        <w:t>edovných</w:t>
      </w:r>
      <w:r w:rsidRPr="004C15A2">
        <w:rPr>
          <w:sz w:val="22"/>
          <w:szCs w:val="22"/>
        </w:rPr>
        <w:t xml:space="preserve"> nežiaducich udalostiach, ktoré boli pozorované v klinických štúdiách </w:t>
      </w:r>
    </w:p>
    <w:p w14:paraId="21757AFA" w14:textId="09ADE943" w:rsidR="00BD3773" w:rsidRPr="004C15A2" w:rsidRDefault="00BD3773" w:rsidP="00097A42">
      <w:pPr>
        <w:keepNext/>
        <w:keepLines/>
        <w:outlineLvl w:val="0"/>
        <w:rPr>
          <w:sz w:val="22"/>
          <w:szCs w:val="22"/>
        </w:rPr>
      </w:pPr>
      <w:r w:rsidRPr="004C15A2">
        <w:rPr>
          <w:sz w:val="22"/>
          <w:szCs w:val="22"/>
        </w:rPr>
        <w:t xml:space="preserve">s latanoprostom a </w:t>
      </w:r>
      <w:r w:rsidR="00CD2862" w:rsidRPr="00BE1625">
        <w:rPr>
          <w:sz w:val="22"/>
          <w:szCs w:val="22"/>
        </w:rPr>
        <w:t>timolólium-hydrogenmaleá</w:t>
      </w:r>
      <w:r w:rsidR="00F004BA">
        <w:rPr>
          <w:sz w:val="22"/>
          <w:szCs w:val="22"/>
        </w:rPr>
        <w:t>t</w:t>
      </w:r>
      <w:r w:rsidR="00CD2862">
        <w:rPr>
          <w:sz w:val="22"/>
          <w:szCs w:val="22"/>
        </w:rPr>
        <w:t>om</w:t>
      </w:r>
      <w:r w:rsidRPr="004C15A2">
        <w:rPr>
          <w:sz w:val="22"/>
          <w:szCs w:val="22"/>
        </w:rPr>
        <w:t>, nebola príčinná súvislosť s hodnotenými liečivami stanovená.</w:t>
      </w:r>
    </w:p>
    <w:p w14:paraId="32FB7DF2" w14:textId="77777777" w:rsidR="00BD3773" w:rsidRPr="004C15A2" w:rsidRDefault="00BD3773" w:rsidP="00097A42">
      <w:pPr>
        <w:keepNext/>
        <w:keepLines/>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7"/>
        <w:gridCol w:w="2144"/>
        <w:gridCol w:w="1701"/>
        <w:gridCol w:w="2110"/>
      </w:tblGrid>
      <w:tr w:rsidR="00BD3773" w:rsidRPr="004C15A2" w14:paraId="2BE744AC" w14:textId="77777777" w:rsidTr="00170A8F">
        <w:trPr>
          <w:tblHeader/>
        </w:trPr>
        <w:tc>
          <w:tcPr>
            <w:tcW w:w="3067" w:type="dxa"/>
            <w:vAlign w:val="center"/>
          </w:tcPr>
          <w:p w14:paraId="751B7E6F" w14:textId="77777777" w:rsidR="00BD3773" w:rsidRPr="004C15A2" w:rsidRDefault="00347ADB" w:rsidP="009D3632">
            <w:pPr>
              <w:pStyle w:val="TableText"/>
              <w:keepNext/>
              <w:keepLines/>
              <w:jc w:val="center"/>
              <w:rPr>
                <w:rFonts w:cs="Times New Roman"/>
                <w:b/>
                <w:sz w:val="22"/>
                <w:szCs w:val="22"/>
                <w:highlight w:val="cyan"/>
              </w:rPr>
            </w:pPr>
            <w:r w:rsidRPr="004C15A2">
              <w:rPr>
                <w:rFonts w:cs="Times New Roman"/>
                <w:b/>
                <w:sz w:val="22"/>
                <w:szCs w:val="22"/>
              </w:rPr>
              <w:t>Trieda orgánových systémov</w:t>
            </w:r>
          </w:p>
        </w:tc>
        <w:tc>
          <w:tcPr>
            <w:tcW w:w="2144" w:type="dxa"/>
            <w:vAlign w:val="center"/>
          </w:tcPr>
          <w:p w14:paraId="3ACE5A24" w14:textId="77777777" w:rsidR="00347ADB" w:rsidRPr="004C15A2" w:rsidDel="008301A1" w:rsidRDefault="00347ADB" w:rsidP="00097A42">
            <w:pPr>
              <w:pStyle w:val="TableTextColHead"/>
              <w:rPr>
                <w:rFonts w:ascii="Times New Roman" w:hAnsi="Times New Roman"/>
                <w:sz w:val="22"/>
                <w:szCs w:val="22"/>
                <w:lang w:val="sk-SK"/>
              </w:rPr>
            </w:pPr>
            <w:r w:rsidRPr="004C15A2">
              <w:rPr>
                <w:rFonts w:ascii="Times New Roman" w:hAnsi="Times New Roman"/>
                <w:sz w:val="22"/>
                <w:szCs w:val="22"/>
                <w:lang w:val="sk-SK"/>
              </w:rPr>
              <w:t>Veľmi časté</w:t>
            </w:r>
          </w:p>
          <w:p w14:paraId="1964ED9F" w14:textId="77777777" w:rsidR="00347ADB" w:rsidRPr="004C15A2" w:rsidDel="008301A1" w:rsidRDefault="009602B2" w:rsidP="00097A42">
            <w:pPr>
              <w:pStyle w:val="TableTextColHead"/>
              <w:rPr>
                <w:rFonts w:ascii="Times New Roman" w:hAnsi="Times New Roman"/>
                <w:sz w:val="22"/>
                <w:szCs w:val="22"/>
                <w:lang w:val="sk-SK"/>
              </w:rPr>
            </w:pPr>
            <w:r w:rsidRPr="004C15A2">
              <w:rPr>
                <w:rFonts w:ascii="Times New Roman" w:hAnsi="Times New Roman"/>
                <w:sz w:val="22"/>
                <w:szCs w:val="22"/>
                <w:lang w:val="sk-SK"/>
              </w:rPr>
              <w:t>(</w:t>
            </w:r>
            <w:r w:rsidR="00347ADB" w:rsidRPr="004C15A2">
              <w:rPr>
                <w:rFonts w:ascii="Times New Roman" w:hAnsi="Times New Roman"/>
                <w:sz w:val="22"/>
                <w:szCs w:val="22"/>
                <w:lang w:val="sk-SK"/>
              </w:rPr>
              <w:t>≥ 1/10</w:t>
            </w:r>
            <w:r w:rsidRPr="004C15A2">
              <w:rPr>
                <w:rFonts w:ascii="Times New Roman" w:hAnsi="Times New Roman"/>
                <w:sz w:val="22"/>
                <w:szCs w:val="22"/>
                <w:lang w:val="sk-SK"/>
              </w:rPr>
              <w:t>)</w:t>
            </w:r>
          </w:p>
          <w:p w14:paraId="4FFCBEBC" w14:textId="77777777" w:rsidR="00BD3773" w:rsidRPr="004C15A2" w:rsidRDefault="00BD3773" w:rsidP="009D3632">
            <w:pPr>
              <w:pStyle w:val="TableText"/>
              <w:keepNext/>
              <w:keepLines/>
              <w:jc w:val="center"/>
              <w:rPr>
                <w:rFonts w:cs="Times New Roman"/>
                <w:b/>
                <w:sz w:val="22"/>
                <w:szCs w:val="22"/>
                <w:highlight w:val="cyan"/>
              </w:rPr>
            </w:pPr>
          </w:p>
        </w:tc>
        <w:tc>
          <w:tcPr>
            <w:tcW w:w="1701" w:type="dxa"/>
            <w:vAlign w:val="center"/>
          </w:tcPr>
          <w:p w14:paraId="2E2E0133" w14:textId="77777777" w:rsidR="00347ADB" w:rsidRPr="004C15A2" w:rsidDel="008301A1" w:rsidRDefault="00347ADB" w:rsidP="00097A42">
            <w:pPr>
              <w:pStyle w:val="TableTextColHead"/>
              <w:rPr>
                <w:rFonts w:ascii="Times New Roman" w:hAnsi="Times New Roman"/>
                <w:sz w:val="22"/>
                <w:szCs w:val="22"/>
                <w:lang w:val="sk-SK"/>
              </w:rPr>
            </w:pPr>
            <w:r w:rsidRPr="004C15A2">
              <w:rPr>
                <w:rFonts w:ascii="Times New Roman" w:hAnsi="Times New Roman"/>
                <w:sz w:val="22"/>
                <w:szCs w:val="22"/>
                <w:lang w:val="sk-SK"/>
              </w:rPr>
              <w:t>Časté</w:t>
            </w:r>
          </w:p>
          <w:p w14:paraId="35F0BF45" w14:textId="77777777" w:rsidR="00347ADB" w:rsidRPr="004C15A2" w:rsidDel="008301A1" w:rsidRDefault="009602B2" w:rsidP="00097A42">
            <w:pPr>
              <w:pStyle w:val="TableTextColHead"/>
              <w:rPr>
                <w:rFonts w:ascii="Times New Roman" w:hAnsi="Times New Roman"/>
                <w:sz w:val="22"/>
                <w:szCs w:val="22"/>
                <w:lang w:val="sk-SK"/>
              </w:rPr>
            </w:pPr>
            <w:r w:rsidRPr="004C15A2">
              <w:rPr>
                <w:rFonts w:ascii="Times New Roman" w:hAnsi="Times New Roman"/>
                <w:sz w:val="22"/>
                <w:szCs w:val="22"/>
                <w:lang w:val="sk-SK"/>
              </w:rPr>
              <w:t>(</w:t>
            </w:r>
            <w:r w:rsidR="00347ADB" w:rsidRPr="004C15A2">
              <w:rPr>
                <w:rFonts w:ascii="Times New Roman" w:hAnsi="Times New Roman"/>
                <w:sz w:val="22"/>
                <w:szCs w:val="22"/>
                <w:lang w:val="sk-SK"/>
              </w:rPr>
              <w:t>≥ 1/100</w:t>
            </w:r>
          </w:p>
          <w:p w14:paraId="6FE68751" w14:textId="77777777" w:rsidR="00347ADB" w:rsidRPr="004C15A2" w:rsidDel="008301A1" w:rsidRDefault="00347ADB" w:rsidP="00097A42">
            <w:pPr>
              <w:pStyle w:val="TableTextColHead"/>
              <w:rPr>
                <w:rFonts w:ascii="Times New Roman" w:hAnsi="Times New Roman"/>
                <w:sz w:val="22"/>
                <w:szCs w:val="22"/>
                <w:lang w:val="sk-SK"/>
              </w:rPr>
            </w:pPr>
            <w:r w:rsidRPr="004C15A2">
              <w:rPr>
                <w:rFonts w:ascii="Times New Roman" w:hAnsi="Times New Roman"/>
                <w:sz w:val="22"/>
                <w:szCs w:val="22"/>
                <w:lang w:val="sk-SK"/>
              </w:rPr>
              <w:t>až &lt; 1/10</w:t>
            </w:r>
            <w:r w:rsidR="009602B2" w:rsidRPr="004C15A2">
              <w:rPr>
                <w:rFonts w:ascii="Times New Roman" w:hAnsi="Times New Roman"/>
                <w:sz w:val="22"/>
                <w:szCs w:val="22"/>
                <w:lang w:val="sk-SK"/>
              </w:rPr>
              <w:t>)</w:t>
            </w:r>
          </w:p>
          <w:p w14:paraId="79E212AD" w14:textId="77777777" w:rsidR="00BD3773" w:rsidRPr="004C15A2" w:rsidRDefault="00BD3773" w:rsidP="009D3632">
            <w:pPr>
              <w:pStyle w:val="TableText"/>
              <w:keepNext/>
              <w:keepLines/>
              <w:jc w:val="center"/>
              <w:rPr>
                <w:rFonts w:cs="Times New Roman"/>
                <w:b/>
                <w:sz w:val="22"/>
                <w:szCs w:val="22"/>
                <w:highlight w:val="cyan"/>
              </w:rPr>
            </w:pPr>
          </w:p>
        </w:tc>
        <w:tc>
          <w:tcPr>
            <w:tcW w:w="1985" w:type="dxa"/>
            <w:vAlign w:val="center"/>
          </w:tcPr>
          <w:p w14:paraId="70F3788C" w14:textId="77777777" w:rsidR="00347ADB" w:rsidRPr="004C15A2" w:rsidDel="008301A1" w:rsidRDefault="00347ADB" w:rsidP="00097A42">
            <w:pPr>
              <w:pStyle w:val="TableTextColHead"/>
              <w:rPr>
                <w:rFonts w:ascii="Times New Roman" w:hAnsi="Times New Roman"/>
                <w:sz w:val="22"/>
                <w:szCs w:val="22"/>
                <w:lang w:val="sk-SK"/>
              </w:rPr>
            </w:pPr>
            <w:r w:rsidRPr="004C15A2">
              <w:rPr>
                <w:rFonts w:ascii="Times New Roman" w:hAnsi="Times New Roman"/>
                <w:sz w:val="22"/>
                <w:szCs w:val="22"/>
                <w:lang w:val="sk-SK"/>
              </w:rPr>
              <w:t>Menej časté</w:t>
            </w:r>
          </w:p>
          <w:p w14:paraId="47647CE2" w14:textId="77777777" w:rsidR="00347ADB" w:rsidRPr="004C15A2" w:rsidRDefault="009602B2" w:rsidP="00097A42">
            <w:pPr>
              <w:pStyle w:val="TableTextColHead"/>
              <w:rPr>
                <w:rFonts w:ascii="Times New Roman" w:hAnsi="Times New Roman"/>
                <w:sz w:val="22"/>
                <w:szCs w:val="22"/>
                <w:lang w:val="sk-SK"/>
              </w:rPr>
            </w:pPr>
            <w:r w:rsidRPr="004C15A2">
              <w:rPr>
                <w:rFonts w:ascii="Times New Roman" w:hAnsi="Times New Roman"/>
                <w:sz w:val="22"/>
                <w:szCs w:val="22"/>
                <w:lang w:val="sk-SK"/>
              </w:rPr>
              <w:t>(</w:t>
            </w:r>
            <w:r w:rsidR="00347ADB" w:rsidRPr="004C15A2">
              <w:rPr>
                <w:rFonts w:ascii="Times New Roman" w:hAnsi="Times New Roman"/>
                <w:sz w:val="22"/>
                <w:szCs w:val="22"/>
                <w:lang w:val="sk-SK"/>
              </w:rPr>
              <w:t xml:space="preserve">≥ 1/1 000 </w:t>
            </w:r>
          </w:p>
          <w:p w14:paraId="7517C4D6" w14:textId="77777777" w:rsidR="00BD3773" w:rsidRPr="004C15A2" w:rsidRDefault="00347ADB" w:rsidP="009D3632">
            <w:pPr>
              <w:pStyle w:val="TableTextColHead"/>
              <w:rPr>
                <w:rFonts w:ascii="Times New Roman" w:hAnsi="Times New Roman"/>
                <w:sz w:val="22"/>
                <w:szCs w:val="22"/>
                <w:lang w:val="sk-SK"/>
              </w:rPr>
            </w:pPr>
            <w:r w:rsidRPr="004C15A2">
              <w:rPr>
                <w:rFonts w:ascii="Times New Roman" w:hAnsi="Times New Roman"/>
                <w:sz w:val="22"/>
                <w:szCs w:val="22"/>
                <w:lang w:val="sk-SK"/>
              </w:rPr>
              <w:t>až &lt; 1/100</w:t>
            </w:r>
            <w:r w:rsidR="009602B2" w:rsidRPr="004C15A2">
              <w:rPr>
                <w:rFonts w:ascii="Times New Roman" w:hAnsi="Times New Roman"/>
                <w:sz w:val="22"/>
                <w:szCs w:val="22"/>
                <w:lang w:val="sk-SK"/>
              </w:rPr>
              <w:t>)</w:t>
            </w:r>
          </w:p>
        </w:tc>
      </w:tr>
      <w:tr w:rsidR="00BD3773" w:rsidRPr="004C15A2" w14:paraId="0B0FE730" w14:textId="77777777" w:rsidTr="00170A8F">
        <w:tc>
          <w:tcPr>
            <w:tcW w:w="3067" w:type="dxa"/>
          </w:tcPr>
          <w:p w14:paraId="624248EF" w14:textId="77777777" w:rsidR="00BD3773" w:rsidRPr="004C15A2" w:rsidRDefault="00BD3773" w:rsidP="00097A42">
            <w:pPr>
              <w:pStyle w:val="TableText"/>
              <w:rPr>
                <w:rFonts w:cs="Times New Roman"/>
                <w:sz w:val="22"/>
                <w:szCs w:val="22"/>
                <w:highlight w:val="cyan"/>
              </w:rPr>
            </w:pPr>
            <w:r w:rsidRPr="004C15A2">
              <w:rPr>
                <w:rFonts w:cs="Times New Roman"/>
                <w:sz w:val="22"/>
                <w:szCs w:val="22"/>
              </w:rPr>
              <w:t>Infekcie a nákazy</w:t>
            </w:r>
          </w:p>
        </w:tc>
        <w:tc>
          <w:tcPr>
            <w:tcW w:w="2144" w:type="dxa"/>
          </w:tcPr>
          <w:p w14:paraId="23F4D97C" w14:textId="77777777" w:rsidR="00BD3773" w:rsidRPr="004C15A2" w:rsidRDefault="00BD3773" w:rsidP="00097A42">
            <w:pPr>
              <w:pStyle w:val="TableText"/>
              <w:rPr>
                <w:rFonts w:cs="Times New Roman"/>
                <w:sz w:val="22"/>
                <w:szCs w:val="22"/>
              </w:rPr>
            </w:pPr>
          </w:p>
        </w:tc>
        <w:tc>
          <w:tcPr>
            <w:tcW w:w="1701" w:type="dxa"/>
          </w:tcPr>
          <w:p w14:paraId="034829AA" w14:textId="77777777" w:rsidR="00BD3773" w:rsidRPr="004C15A2" w:rsidRDefault="00BD3773" w:rsidP="00097A42">
            <w:pPr>
              <w:pStyle w:val="TableText"/>
              <w:rPr>
                <w:rFonts w:cs="Times New Roman"/>
                <w:sz w:val="22"/>
                <w:szCs w:val="22"/>
                <w:lang w:val="sk-SK"/>
              </w:rPr>
            </w:pPr>
            <w:r w:rsidRPr="004C15A2">
              <w:rPr>
                <w:rFonts w:cs="Times New Roman"/>
                <w:sz w:val="22"/>
                <w:szCs w:val="22"/>
                <w:lang w:val="sk-SK"/>
              </w:rPr>
              <w:t>infekcia horných dýchacích ciest</w:t>
            </w:r>
          </w:p>
          <w:p w14:paraId="02731A68" w14:textId="77777777" w:rsidR="00616D63" w:rsidRPr="004C15A2" w:rsidRDefault="00616D63" w:rsidP="00097A42">
            <w:pPr>
              <w:pStyle w:val="TableText"/>
              <w:rPr>
                <w:rFonts w:cs="Times New Roman"/>
                <w:sz w:val="22"/>
                <w:szCs w:val="22"/>
              </w:rPr>
            </w:pPr>
          </w:p>
        </w:tc>
        <w:tc>
          <w:tcPr>
            <w:tcW w:w="1985" w:type="dxa"/>
          </w:tcPr>
          <w:p w14:paraId="14C8AB61" w14:textId="77777777" w:rsidR="00BD3773" w:rsidRPr="004C15A2" w:rsidRDefault="00BD3773" w:rsidP="00097A42">
            <w:pPr>
              <w:pStyle w:val="TableText"/>
              <w:rPr>
                <w:rFonts w:cs="Times New Roman"/>
                <w:sz w:val="22"/>
                <w:szCs w:val="22"/>
                <w:lang w:val="sk-SK"/>
              </w:rPr>
            </w:pPr>
            <w:r w:rsidRPr="004C15A2">
              <w:rPr>
                <w:rFonts w:cs="Times New Roman"/>
                <w:sz w:val="22"/>
                <w:szCs w:val="22"/>
                <w:lang w:val="sk-SK"/>
              </w:rPr>
              <w:t xml:space="preserve">infekcia, </w:t>
            </w:r>
          </w:p>
          <w:p w14:paraId="71635710" w14:textId="77777777" w:rsidR="00BD3773" w:rsidRPr="004C15A2" w:rsidRDefault="00BD3773" w:rsidP="00097A42">
            <w:pPr>
              <w:pStyle w:val="TableText"/>
              <w:rPr>
                <w:rFonts w:cs="Times New Roman"/>
                <w:color w:val="000000"/>
                <w:sz w:val="22"/>
                <w:szCs w:val="22"/>
              </w:rPr>
            </w:pPr>
            <w:r w:rsidRPr="004C15A2">
              <w:rPr>
                <w:rFonts w:cs="Times New Roman"/>
                <w:sz w:val="22"/>
                <w:szCs w:val="22"/>
                <w:lang w:val="sk-SK"/>
              </w:rPr>
              <w:t>sínusitída</w:t>
            </w:r>
          </w:p>
        </w:tc>
      </w:tr>
      <w:tr w:rsidR="00BD3773" w:rsidRPr="004C15A2" w14:paraId="2E654E91" w14:textId="77777777" w:rsidTr="00170A8F">
        <w:tc>
          <w:tcPr>
            <w:tcW w:w="3067" w:type="dxa"/>
          </w:tcPr>
          <w:p w14:paraId="7C24CCC3" w14:textId="77777777" w:rsidR="00BD3773" w:rsidRPr="004C15A2" w:rsidRDefault="00BD3773" w:rsidP="00097A42">
            <w:pPr>
              <w:pStyle w:val="TableText"/>
              <w:rPr>
                <w:rFonts w:cs="Times New Roman"/>
                <w:sz w:val="22"/>
                <w:szCs w:val="22"/>
              </w:rPr>
            </w:pPr>
            <w:r w:rsidRPr="004C15A2">
              <w:rPr>
                <w:rFonts w:cs="Times New Roman"/>
                <w:sz w:val="22"/>
                <w:szCs w:val="22"/>
              </w:rPr>
              <w:t>Poruchy metabolizmu a výživy</w:t>
            </w:r>
          </w:p>
          <w:p w14:paraId="2AD05B1D" w14:textId="77777777" w:rsidR="00BD3773" w:rsidRPr="004C15A2" w:rsidRDefault="00BD3773" w:rsidP="00097A42">
            <w:pPr>
              <w:pStyle w:val="TableText"/>
              <w:rPr>
                <w:rFonts w:cs="Times New Roman"/>
                <w:sz w:val="22"/>
                <w:szCs w:val="22"/>
              </w:rPr>
            </w:pPr>
          </w:p>
        </w:tc>
        <w:tc>
          <w:tcPr>
            <w:tcW w:w="2144" w:type="dxa"/>
          </w:tcPr>
          <w:p w14:paraId="16442E32" w14:textId="77777777" w:rsidR="00BD3773" w:rsidRPr="004C15A2" w:rsidRDefault="00BD3773" w:rsidP="00097A42">
            <w:pPr>
              <w:pStyle w:val="TableText"/>
              <w:rPr>
                <w:rFonts w:cs="Times New Roman"/>
                <w:color w:val="000000"/>
                <w:sz w:val="22"/>
                <w:szCs w:val="22"/>
              </w:rPr>
            </w:pPr>
          </w:p>
        </w:tc>
        <w:tc>
          <w:tcPr>
            <w:tcW w:w="1701" w:type="dxa"/>
          </w:tcPr>
          <w:p w14:paraId="50ACF2A7" w14:textId="77777777" w:rsidR="00BD3773" w:rsidRPr="004C15A2" w:rsidRDefault="00BD3773" w:rsidP="00097A42">
            <w:pPr>
              <w:pStyle w:val="TableText"/>
              <w:rPr>
                <w:rFonts w:cs="Times New Roman"/>
                <w:color w:val="000000"/>
                <w:sz w:val="22"/>
                <w:szCs w:val="22"/>
              </w:rPr>
            </w:pPr>
          </w:p>
        </w:tc>
        <w:tc>
          <w:tcPr>
            <w:tcW w:w="1985" w:type="dxa"/>
          </w:tcPr>
          <w:p w14:paraId="15E5DD3E" w14:textId="77777777" w:rsidR="00BD3773" w:rsidRPr="004C15A2" w:rsidRDefault="00BD3773" w:rsidP="00097A42">
            <w:pPr>
              <w:pStyle w:val="TableText"/>
              <w:rPr>
                <w:rFonts w:cs="Times New Roman"/>
                <w:color w:val="000000"/>
                <w:sz w:val="22"/>
                <w:szCs w:val="22"/>
              </w:rPr>
            </w:pPr>
            <w:r w:rsidRPr="004C15A2">
              <w:rPr>
                <w:rStyle w:val="Instructions"/>
                <w:rFonts w:cs="Times New Roman"/>
                <w:i w:val="0"/>
                <w:iCs w:val="0"/>
                <w:color w:val="000000"/>
                <w:sz w:val="22"/>
                <w:szCs w:val="22"/>
              </w:rPr>
              <w:t>diabetes mellitus, hypercholesterolémia</w:t>
            </w:r>
          </w:p>
        </w:tc>
      </w:tr>
      <w:tr w:rsidR="00BD3773" w:rsidRPr="004C15A2" w14:paraId="762F6740" w14:textId="77777777" w:rsidTr="00170A8F">
        <w:tc>
          <w:tcPr>
            <w:tcW w:w="3067" w:type="dxa"/>
          </w:tcPr>
          <w:p w14:paraId="7F83EF9B" w14:textId="77777777" w:rsidR="00BD3773" w:rsidRPr="004C15A2" w:rsidRDefault="00BD3773" w:rsidP="00097A42">
            <w:pPr>
              <w:pStyle w:val="TableText"/>
              <w:rPr>
                <w:rFonts w:cs="Times New Roman"/>
                <w:sz w:val="22"/>
                <w:szCs w:val="22"/>
              </w:rPr>
            </w:pPr>
            <w:r w:rsidRPr="004C15A2">
              <w:rPr>
                <w:rFonts w:cs="Times New Roman"/>
                <w:sz w:val="22"/>
                <w:szCs w:val="22"/>
              </w:rPr>
              <w:t>Psychické poruchy</w:t>
            </w:r>
          </w:p>
          <w:p w14:paraId="038C12D6" w14:textId="77777777" w:rsidR="00BD3773" w:rsidRPr="004C15A2" w:rsidRDefault="00BD3773" w:rsidP="00097A42">
            <w:pPr>
              <w:pStyle w:val="TableText"/>
              <w:rPr>
                <w:rFonts w:cs="Times New Roman"/>
                <w:sz w:val="22"/>
                <w:szCs w:val="22"/>
              </w:rPr>
            </w:pPr>
          </w:p>
        </w:tc>
        <w:tc>
          <w:tcPr>
            <w:tcW w:w="2144" w:type="dxa"/>
          </w:tcPr>
          <w:p w14:paraId="2FBB433B" w14:textId="77777777" w:rsidR="00BD3773" w:rsidRPr="004C15A2" w:rsidRDefault="00BD3773" w:rsidP="00097A42">
            <w:pPr>
              <w:pStyle w:val="TableText"/>
              <w:rPr>
                <w:rFonts w:cs="Times New Roman"/>
                <w:color w:val="000000"/>
                <w:sz w:val="22"/>
                <w:szCs w:val="22"/>
              </w:rPr>
            </w:pPr>
          </w:p>
        </w:tc>
        <w:tc>
          <w:tcPr>
            <w:tcW w:w="1701" w:type="dxa"/>
          </w:tcPr>
          <w:p w14:paraId="3E0EFDB5" w14:textId="77777777" w:rsidR="00BD3773" w:rsidRPr="004C15A2" w:rsidRDefault="00BD3773" w:rsidP="00097A42">
            <w:pPr>
              <w:pStyle w:val="TableText"/>
              <w:rPr>
                <w:rFonts w:cs="Times New Roman"/>
                <w:color w:val="000000"/>
                <w:sz w:val="22"/>
                <w:szCs w:val="22"/>
              </w:rPr>
            </w:pPr>
          </w:p>
        </w:tc>
        <w:tc>
          <w:tcPr>
            <w:tcW w:w="1985" w:type="dxa"/>
          </w:tcPr>
          <w:p w14:paraId="6027E956" w14:textId="77777777" w:rsidR="00BD3773" w:rsidRPr="004C15A2" w:rsidRDefault="00BD3773" w:rsidP="00097A42">
            <w:pPr>
              <w:pStyle w:val="TableText"/>
              <w:rPr>
                <w:rStyle w:val="Instructions"/>
                <w:rFonts w:cs="Times New Roman"/>
                <w:i w:val="0"/>
                <w:iCs w:val="0"/>
                <w:color w:val="000000"/>
                <w:sz w:val="22"/>
                <w:szCs w:val="22"/>
              </w:rPr>
            </w:pPr>
            <w:r w:rsidRPr="004C15A2">
              <w:rPr>
                <w:rFonts w:cs="Times New Roman"/>
                <w:sz w:val="22"/>
                <w:szCs w:val="22"/>
              </w:rPr>
              <w:t>depresia</w:t>
            </w:r>
          </w:p>
        </w:tc>
      </w:tr>
      <w:tr w:rsidR="00BD3773" w:rsidRPr="004C15A2" w14:paraId="1CD03323" w14:textId="77777777" w:rsidTr="00170A8F">
        <w:tc>
          <w:tcPr>
            <w:tcW w:w="3067" w:type="dxa"/>
          </w:tcPr>
          <w:p w14:paraId="1398E861" w14:textId="77777777" w:rsidR="00BD3773" w:rsidRPr="004C15A2" w:rsidRDefault="00BD3773" w:rsidP="00097A42">
            <w:pPr>
              <w:pStyle w:val="TableText"/>
              <w:rPr>
                <w:rFonts w:cs="Times New Roman"/>
                <w:sz w:val="22"/>
                <w:szCs w:val="22"/>
              </w:rPr>
            </w:pPr>
            <w:r w:rsidRPr="004C15A2">
              <w:rPr>
                <w:rFonts w:cs="Times New Roman"/>
                <w:sz w:val="22"/>
                <w:szCs w:val="22"/>
                <w:lang w:val="sk-SK"/>
              </w:rPr>
              <w:t>Poruchy oka</w:t>
            </w:r>
          </w:p>
          <w:p w14:paraId="6C179AE4" w14:textId="77777777" w:rsidR="00BD3773" w:rsidRPr="004C15A2" w:rsidRDefault="00BD3773" w:rsidP="00097A42">
            <w:pPr>
              <w:pStyle w:val="TableText"/>
              <w:rPr>
                <w:rFonts w:cs="Times New Roman"/>
                <w:sz w:val="22"/>
                <w:szCs w:val="22"/>
              </w:rPr>
            </w:pPr>
            <w:r w:rsidRPr="004C15A2">
              <w:rPr>
                <w:rFonts w:cs="Times New Roman"/>
                <w:sz w:val="22"/>
                <w:szCs w:val="22"/>
              </w:rPr>
              <w:t xml:space="preserve"> </w:t>
            </w:r>
          </w:p>
        </w:tc>
        <w:tc>
          <w:tcPr>
            <w:tcW w:w="2144" w:type="dxa"/>
          </w:tcPr>
          <w:p w14:paraId="609E0BDF" w14:textId="77777777" w:rsidR="00BD3773" w:rsidRPr="004C15A2" w:rsidRDefault="00BD3773" w:rsidP="00097A42">
            <w:pPr>
              <w:pStyle w:val="TableText"/>
              <w:rPr>
                <w:rFonts w:cs="Times New Roman"/>
                <w:color w:val="000000"/>
                <w:sz w:val="22"/>
                <w:szCs w:val="22"/>
              </w:rPr>
            </w:pPr>
            <w:r w:rsidRPr="004C15A2">
              <w:rPr>
                <w:rStyle w:val="Instructions"/>
                <w:rFonts w:cs="Times New Roman"/>
                <w:i w:val="0"/>
                <w:iCs w:val="0"/>
                <w:color w:val="000000"/>
                <w:sz w:val="22"/>
                <w:szCs w:val="22"/>
              </w:rPr>
              <w:t>katarakta</w:t>
            </w:r>
          </w:p>
        </w:tc>
        <w:tc>
          <w:tcPr>
            <w:tcW w:w="1701" w:type="dxa"/>
          </w:tcPr>
          <w:p w14:paraId="2A3A4B58" w14:textId="77777777" w:rsidR="00BD3773" w:rsidRPr="004C15A2" w:rsidRDefault="00BD3773" w:rsidP="00097A42">
            <w:pPr>
              <w:pStyle w:val="TableText"/>
              <w:rPr>
                <w:rFonts w:cs="Times New Roman"/>
                <w:sz w:val="22"/>
                <w:szCs w:val="22"/>
              </w:rPr>
            </w:pPr>
            <w:r w:rsidRPr="004C15A2">
              <w:rPr>
                <w:rFonts w:cs="Times New Roman"/>
                <w:sz w:val="22"/>
                <w:szCs w:val="22"/>
              </w:rPr>
              <w:t>defekt zorného poľa</w:t>
            </w:r>
          </w:p>
          <w:p w14:paraId="196946F0" w14:textId="77777777" w:rsidR="00673CAC" w:rsidRPr="004C15A2" w:rsidRDefault="00673CAC" w:rsidP="00097A42">
            <w:pPr>
              <w:pStyle w:val="TableText"/>
              <w:rPr>
                <w:rFonts w:cs="Times New Roman"/>
                <w:color w:val="000000"/>
                <w:sz w:val="22"/>
                <w:szCs w:val="22"/>
              </w:rPr>
            </w:pPr>
          </w:p>
        </w:tc>
        <w:tc>
          <w:tcPr>
            <w:tcW w:w="1985" w:type="dxa"/>
          </w:tcPr>
          <w:p w14:paraId="76D3221A" w14:textId="77777777" w:rsidR="00BD3773" w:rsidRPr="004C15A2" w:rsidRDefault="00BD3773" w:rsidP="00097A42">
            <w:pPr>
              <w:pStyle w:val="TableText"/>
              <w:rPr>
                <w:rFonts w:cs="Times New Roman"/>
                <w:color w:val="000000"/>
                <w:sz w:val="22"/>
                <w:szCs w:val="22"/>
              </w:rPr>
            </w:pPr>
          </w:p>
        </w:tc>
      </w:tr>
      <w:tr w:rsidR="00BD3773" w:rsidRPr="004C15A2" w14:paraId="3373D01C" w14:textId="77777777" w:rsidTr="00170A8F">
        <w:tc>
          <w:tcPr>
            <w:tcW w:w="3067" w:type="dxa"/>
          </w:tcPr>
          <w:p w14:paraId="7A468A92" w14:textId="77777777" w:rsidR="00BD3773" w:rsidRPr="004C15A2" w:rsidRDefault="00BD3773" w:rsidP="00097A42">
            <w:pPr>
              <w:pStyle w:val="TableText"/>
              <w:rPr>
                <w:rFonts w:cs="Times New Roman"/>
                <w:sz w:val="22"/>
                <w:szCs w:val="22"/>
              </w:rPr>
            </w:pPr>
            <w:r w:rsidRPr="004C15A2">
              <w:rPr>
                <w:rFonts w:cs="Times New Roman"/>
                <w:sz w:val="22"/>
                <w:szCs w:val="22"/>
              </w:rPr>
              <w:t>Poruchy kostrovej a svalovej sústavy a spojivového tkaniva</w:t>
            </w:r>
          </w:p>
          <w:p w14:paraId="7F3F0077" w14:textId="77777777" w:rsidR="00BD3773" w:rsidRPr="004C15A2" w:rsidRDefault="00BD3773" w:rsidP="00097A42">
            <w:pPr>
              <w:pStyle w:val="TableText"/>
              <w:rPr>
                <w:rFonts w:cs="Times New Roman"/>
                <w:sz w:val="22"/>
                <w:szCs w:val="22"/>
              </w:rPr>
            </w:pPr>
          </w:p>
        </w:tc>
        <w:tc>
          <w:tcPr>
            <w:tcW w:w="2144" w:type="dxa"/>
          </w:tcPr>
          <w:p w14:paraId="2F01D822" w14:textId="77777777" w:rsidR="00BD3773" w:rsidRPr="004C15A2" w:rsidRDefault="00BD3773" w:rsidP="00097A42">
            <w:pPr>
              <w:pStyle w:val="TableText"/>
              <w:rPr>
                <w:rFonts w:cs="Times New Roman"/>
                <w:sz w:val="22"/>
                <w:szCs w:val="22"/>
              </w:rPr>
            </w:pPr>
          </w:p>
        </w:tc>
        <w:tc>
          <w:tcPr>
            <w:tcW w:w="1701" w:type="dxa"/>
          </w:tcPr>
          <w:p w14:paraId="74CD506A" w14:textId="77777777" w:rsidR="00BD3773" w:rsidRPr="004C15A2" w:rsidRDefault="00BD3773" w:rsidP="00097A42">
            <w:pPr>
              <w:pStyle w:val="TableText"/>
              <w:rPr>
                <w:rFonts w:cs="Times New Roman"/>
                <w:sz w:val="22"/>
                <w:szCs w:val="22"/>
              </w:rPr>
            </w:pPr>
          </w:p>
        </w:tc>
        <w:tc>
          <w:tcPr>
            <w:tcW w:w="1985" w:type="dxa"/>
          </w:tcPr>
          <w:p w14:paraId="0392D7F7" w14:textId="77777777" w:rsidR="00BD3773" w:rsidRPr="004C15A2" w:rsidRDefault="00BD3773" w:rsidP="00097A42">
            <w:pPr>
              <w:pStyle w:val="TableText"/>
              <w:rPr>
                <w:rFonts w:cs="Times New Roman"/>
                <w:sz w:val="22"/>
                <w:szCs w:val="22"/>
              </w:rPr>
            </w:pPr>
            <w:r w:rsidRPr="004C15A2">
              <w:rPr>
                <w:rFonts w:cs="Times New Roman"/>
                <w:sz w:val="22"/>
                <w:szCs w:val="22"/>
              </w:rPr>
              <w:t>artritída</w:t>
            </w:r>
          </w:p>
        </w:tc>
      </w:tr>
    </w:tbl>
    <w:p w14:paraId="7D03908B" w14:textId="77777777" w:rsidR="0035791E" w:rsidRPr="004C15A2" w:rsidRDefault="0035791E" w:rsidP="00097A42">
      <w:pPr>
        <w:pStyle w:val="Paragraph"/>
        <w:spacing w:after="0"/>
        <w:rPr>
          <w:b/>
          <w:i/>
          <w:sz w:val="22"/>
          <w:szCs w:val="22"/>
          <w:lang w:val="sk-SK"/>
        </w:rPr>
      </w:pPr>
    </w:p>
    <w:p w14:paraId="0CCD248D" w14:textId="77777777" w:rsidR="00D96DA2" w:rsidRPr="00170A8F" w:rsidRDefault="009A6B8B" w:rsidP="00097A42">
      <w:pPr>
        <w:keepNext/>
        <w:keepLines/>
        <w:rPr>
          <w:b/>
          <w:sz w:val="22"/>
          <w:szCs w:val="22"/>
          <w:u w:val="single"/>
        </w:rPr>
      </w:pPr>
      <w:r w:rsidRPr="00170A8F">
        <w:rPr>
          <w:b/>
          <w:sz w:val="22"/>
          <w:szCs w:val="22"/>
          <w:u w:val="single"/>
        </w:rPr>
        <w:t>Latanoprost</w:t>
      </w:r>
    </w:p>
    <w:p w14:paraId="34FFF909" w14:textId="77777777" w:rsidR="00D96DA2" w:rsidRPr="004C15A2" w:rsidRDefault="00D96DA2" w:rsidP="00097A42">
      <w:pPr>
        <w:keepNext/>
        <w:keepLines/>
        <w:rPr>
          <w:b/>
          <w:bCs/>
          <w:sz w:val="22"/>
          <w:szCs w:val="22"/>
          <w:u w:val="single"/>
        </w:rPr>
      </w:pPr>
    </w:p>
    <w:p w14:paraId="5B019081" w14:textId="77777777" w:rsidR="00D96DA2" w:rsidRPr="004C15A2" w:rsidRDefault="009A6B8B" w:rsidP="00097A42">
      <w:pPr>
        <w:keepNext/>
        <w:keepLines/>
        <w:ind w:right="-360"/>
        <w:rPr>
          <w:sz w:val="22"/>
          <w:szCs w:val="22"/>
        </w:rPr>
      </w:pPr>
      <w:r w:rsidRPr="004C15A2">
        <w:rPr>
          <w:sz w:val="22"/>
          <w:szCs w:val="22"/>
        </w:rPr>
        <w:t>V klinických štúdiách a po uvedení lieku na trh boli pri latanoproste pozorované tieto nežiaduce reakcie</w:t>
      </w:r>
      <w:r w:rsidR="00673CAC" w:rsidRPr="004C15A2">
        <w:rPr>
          <w:sz w:val="22"/>
          <w:szCs w:val="22"/>
        </w:rPr>
        <w:t>.</w:t>
      </w:r>
      <w:r w:rsidR="004E6276" w:rsidRPr="004C15A2">
        <w:rPr>
          <w:sz w:val="22"/>
          <w:szCs w:val="22"/>
        </w:rPr>
        <w:t xml:space="preserve"> Nežiaduce reakcie sú zoradené </w:t>
      </w:r>
      <w:r w:rsidR="009602B2" w:rsidRPr="004C15A2">
        <w:rPr>
          <w:sz w:val="22"/>
          <w:szCs w:val="22"/>
        </w:rPr>
        <w:t>do</w:t>
      </w:r>
      <w:r w:rsidR="004E6276" w:rsidRPr="004C15A2">
        <w:rPr>
          <w:sz w:val="22"/>
          <w:szCs w:val="22"/>
        </w:rPr>
        <w:t xml:space="preserve"> tried orgánových systémov podľa </w:t>
      </w:r>
      <w:r w:rsidR="009602B2" w:rsidRPr="004C15A2">
        <w:rPr>
          <w:sz w:val="22"/>
          <w:szCs w:val="22"/>
        </w:rPr>
        <w:t xml:space="preserve">databázy </w:t>
      </w:r>
      <w:r w:rsidR="004E6276" w:rsidRPr="004C15A2">
        <w:rPr>
          <w:sz w:val="22"/>
          <w:szCs w:val="22"/>
        </w:rPr>
        <w:t>MedDRA. V rámci každej skupiny podľa frekvencie sú nežiaduce účinky zoradené v poradí klesajúcej závažnosti</w:t>
      </w:r>
      <w:r w:rsidR="009602B2" w:rsidRPr="004C15A2">
        <w:rPr>
          <w:sz w:val="22"/>
          <w:szCs w:val="22"/>
        </w:rPr>
        <w:t>: veľmi časté (</w:t>
      </w:r>
      <w:r w:rsidR="009602B2" w:rsidRPr="004C15A2">
        <w:rPr>
          <w:iCs/>
          <w:sz w:val="22"/>
          <w:szCs w:val="22"/>
        </w:rPr>
        <w:t>≥ </w:t>
      </w:r>
      <w:r w:rsidR="009602B2" w:rsidRPr="004C15A2">
        <w:rPr>
          <w:sz w:val="22"/>
          <w:szCs w:val="22"/>
        </w:rPr>
        <w:t>1/10), časté (</w:t>
      </w:r>
      <w:r w:rsidR="009602B2" w:rsidRPr="004C15A2">
        <w:rPr>
          <w:iCs/>
          <w:sz w:val="22"/>
          <w:szCs w:val="22"/>
        </w:rPr>
        <w:t>≥ </w:t>
      </w:r>
      <w:r w:rsidR="009602B2" w:rsidRPr="004C15A2">
        <w:rPr>
          <w:sz w:val="22"/>
          <w:szCs w:val="22"/>
        </w:rPr>
        <w:t>1/100 až &lt; 1/10), menej časté (</w:t>
      </w:r>
      <w:r w:rsidR="009602B2" w:rsidRPr="004C15A2">
        <w:rPr>
          <w:iCs/>
          <w:sz w:val="22"/>
          <w:szCs w:val="22"/>
        </w:rPr>
        <w:t>≥ </w:t>
      </w:r>
      <w:r w:rsidR="009602B2" w:rsidRPr="004C15A2">
        <w:rPr>
          <w:sz w:val="22"/>
          <w:szCs w:val="22"/>
        </w:rPr>
        <w:t>1/1 000 až &lt; 1/100), zriedkavé (</w:t>
      </w:r>
      <w:r w:rsidR="009602B2" w:rsidRPr="004C15A2">
        <w:rPr>
          <w:iCs/>
          <w:sz w:val="22"/>
          <w:szCs w:val="22"/>
        </w:rPr>
        <w:t>≥ </w:t>
      </w:r>
      <w:r w:rsidR="009602B2" w:rsidRPr="004C15A2">
        <w:rPr>
          <w:sz w:val="22"/>
          <w:szCs w:val="22"/>
        </w:rPr>
        <w:t>1/10 000 až &lt; 1/1 000), veľmi zriedkavé (&lt; 1/10 000), neznáme (z dostupných údajov).</w:t>
      </w:r>
    </w:p>
    <w:p w14:paraId="66119494" w14:textId="77777777" w:rsidR="0085616C" w:rsidRPr="004C15A2" w:rsidRDefault="0085616C" w:rsidP="00097A42">
      <w:pPr>
        <w:keepNext/>
        <w:keepLines/>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1"/>
        <w:gridCol w:w="1890"/>
        <w:gridCol w:w="1615"/>
        <w:gridCol w:w="1526"/>
        <w:gridCol w:w="1978"/>
      </w:tblGrid>
      <w:tr w:rsidR="00673CAC" w:rsidRPr="004C15A2" w14:paraId="605B75DE" w14:textId="77777777" w:rsidTr="00170A8F">
        <w:trPr>
          <w:tblHeader/>
        </w:trPr>
        <w:tc>
          <w:tcPr>
            <w:tcW w:w="2611" w:type="dxa"/>
            <w:vAlign w:val="center"/>
          </w:tcPr>
          <w:p w14:paraId="4B7DEB4D" w14:textId="77777777" w:rsidR="0085616C" w:rsidRPr="004C15A2" w:rsidRDefault="00673CAC" w:rsidP="009D3632">
            <w:pPr>
              <w:pStyle w:val="TableText"/>
              <w:keepNext/>
              <w:keepLines/>
              <w:jc w:val="center"/>
              <w:rPr>
                <w:rFonts w:cs="Times New Roman"/>
                <w:b/>
                <w:sz w:val="22"/>
                <w:szCs w:val="22"/>
                <w:highlight w:val="cyan"/>
              </w:rPr>
            </w:pPr>
            <w:r w:rsidRPr="004C15A2">
              <w:rPr>
                <w:rFonts w:cs="Times New Roman"/>
                <w:b/>
                <w:sz w:val="22"/>
                <w:szCs w:val="22"/>
              </w:rPr>
              <w:t>Trieda o</w:t>
            </w:r>
            <w:r w:rsidR="00453067" w:rsidRPr="004C15A2">
              <w:rPr>
                <w:rFonts w:cs="Times New Roman"/>
                <w:b/>
                <w:sz w:val="22"/>
                <w:szCs w:val="22"/>
              </w:rPr>
              <w:t>rgánových systémov</w:t>
            </w:r>
          </w:p>
        </w:tc>
        <w:tc>
          <w:tcPr>
            <w:tcW w:w="1890" w:type="dxa"/>
            <w:vAlign w:val="center"/>
          </w:tcPr>
          <w:p w14:paraId="38B8B447" w14:textId="77777777" w:rsidR="00673CAC" w:rsidRPr="004C15A2" w:rsidRDefault="00673CAC" w:rsidP="009D3632">
            <w:pPr>
              <w:pStyle w:val="TableTextColHead"/>
              <w:jc w:val="left"/>
              <w:rPr>
                <w:rFonts w:ascii="Times New Roman" w:hAnsi="Times New Roman"/>
                <w:sz w:val="22"/>
                <w:szCs w:val="22"/>
                <w:lang w:val="sk-SK"/>
              </w:rPr>
            </w:pPr>
          </w:p>
          <w:p w14:paraId="20E8D053" w14:textId="77777777" w:rsidR="00453067" w:rsidRPr="004C15A2" w:rsidDel="008301A1" w:rsidRDefault="00453067" w:rsidP="00097A42">
            <w:pPr>
              <w:pStyle w:val="TableTextColHead"/>
              <w:rPr>
                <w:rFonts w:ascii="Times New Roman" w:hAnsi="Times New Roman"/>
                <w:sz w:val="22"/>
                <w:szCs w:val="22"/>
                <w:lang w:val="sk-SK"/>
              </w:rPr>
            </w:pPr>
            <w:r w:rsidRPr="004C15A2">
              <w:rPr>
                <w:rFonts w:ascii="Times New Roman" w:hAnsi="Times New Roman"/>
                <w:sz w:val="22"/>
                <w:szCs w:val="22"/>
                <w:lang w:val="sk-SK"/>
              </w:rPr>
              <w:t>Časté</w:t>
            </w:r>
          </w:p>
          <w:p w14:paraId="1E8CD366" w14:textId="77777777" w:rsidR="00453067" w:rsidRPr="004C15A2" w:rsidDel="008301A1" w:rsidRDefault="009602B2" w:rsidP="00097A42">
            <w:pPr>
              <w:pStyle w:val="TableTextColHead"/>
              <w:rPr>
                <w:rFonts w:ascii="Times New Roman" w:hAnsi="Times New Roman"/>
                <w:sz w:val="22"/>
                <w:szCs w:val="22"/>
                <w:lang w:val="sk-SK"/>
              </w:rPr>
            </w:pPr>
            <w:r w:rsidRPr="004C15A2">
              <w:rPr>
                <w:rFonts w:ascii="Times New Roman" w:hAnsi="Times New Roman"/>
                <w:sz w:val="22"/>
                <w:szCs w:val="22"/>
                <w:lang w:val="sk-SK"/>
              </w:rPr>
              <w:t>(</w:t>
            </w:r>
            <w:r w:rsidR="00453067" w:rsidRPr="004C15A2">
              <w:rPr>
                <w:rFonts w:ascii="Times New Roman" w:hAnsi="Times New Roman"/>
                <w:sz w:val="22"/>
                <w:szCs w:val="22"/>
                <w:lang w:val="sk-SK"/>
              </w:rPr>
              <w:t>≥ 1/100</w:t>
            </w:r>
          </w:p>
          <w:p w14:paraId="1B96C254" w14:textId="77777777" w:rsidR="00453067" w:rsidRPr="004C15A2" w:rsidDel="008301A1" w:rsidRDefault="00453067" w:rsidP="00097A42">
            <w:pPr>
              <w:pStyle w:val="TableTextColHead"/>
              <w:rPr>
                <w:rFonts w:ascii="Times New Roman" w:hAnsi="Times New Roman"/>
                <w:sz w:val="22"/>
                <w:szCs w:val="22"/>
                <w:lang w:val="sk-SK"/>
              </w:rPr>
            </w:pPr>
            <w:r w:rsidRPr="004C15A2">
              <w:rPr>
                <w:rFonts w:ascii="Times New Roman" w:hAnsi="Times New Roman"/>
                <w:sz w:val="22"/>
                <w:szCs w:val="22"/>
                <w:lang w:val="sk-SK"/>
              </w:rPr>
              <w:t>až &lt; 1/10</w:t>
            </w:r>
            <w:r w:rsidR="009602B2" w:rsidRPr="004C15A2">
              <w:rPr>
                <w:rFonts w:ascii="Times New Roman" w:hAnsi="Times New Roman"/>
                <w:sz w:val="22"/>
                <w:szCs w:val="22"/>
                <w:lang w:val="sk-SK"/>
              </w:rPr>
              <w:t>)</w:t>
            </w:r>
          </w:p>
          <w:p w14:paraId="01A9D4EE" w14:textId="77777777" w:rsidR="0085616C" w:rsidRPr="004C15A2" w:rsidRDefault="0085616C" w:rsidP="009D3632">
            <w:pPr>
              <w:pStyle w:val="TableText"/>
              <w:keepNext/>
              <w:keepLines/>
              <w:jc w:val="center"/>
              <w:rPr>
                <w:rFonts w:cs="Times New Roman"/>
                <w:b/>
                <w:sz w:val="22"/>
                <w:szCs w:val="22"/>
                <w:highlight w:val="cyan"/>
              </w:rPr>
            </w:pPr>
          </w:p>
        </w:tc>
        <w:tc>
          <w:tcPr>
            <w:tcW w:w="1615" w:type="dxa"/>
            <w:vAlign w:val="center"/>
          </w:tcPr>
          <w:p w14:paraId="6B5A5BB7" w14:textId="77777777" w:rsidR="00673CAC" w:rsidRPr="004C15A2" w:rsidRDefault="00673CAC" w:rsidP="009D3632">
            <w:pPr>
              <w:pStyle w:val="TableText"/>
              <w:keepNext/>
              <w:keepLines/>
              <w:rPr>
                <w:rFonts w:cs="Times New Roman"/>
                <w:b/>
                <w:sz w:val="22"/>
                <w:szCs w:val="22"/>
              </w:rPr>
            </w:pPr>
          </w:p>
          <w:p w14:paraId="047D7099" w14:textId="77777777" w:rsidR="00453067" w:rsidRPr="004C15A2" w:rsidDel="008301A1" w:rsidRDefault="00453067" w:rsidP="009D3632">
            <w:pPr>
              <w:pStyle w:val="TableText"/>
              <w:keepNext/>
              <w:keepLines/>
              <w:jc w:val="center"/>
              <w:rPr>
                <w:rFonts w:cs="Times New Roman"/>
                <w:b/>
                <w:sz w:val="22"/>
                <w:szCs w:val="22"/>
                <w:highlight w:val="cyan"/>
              </w:rPr>
            </w:pPr>
            <w:r w:rsidRPr="004C15A2">
              <w:rPr>
                <w:rFonts w:cs="Times New Roman"/>
                <w:b/>
                <w:sz w:val="22"/>
                <w:szCs w:val="22"/>
              </w:rPr>
              <w:t>Menej časté</w:t>
            </w:r>
          </w:p>
          <w:p w14:paraId="5B555900" w14:textId="77777777" w:rsidR="00453067" w:rsidRPr="004C15A2" w:rsidRDefault="009602B2" w:rsidP="00097A42">
            <w:pPr>
              <w:pStyle w:val="TableTextColHead"/>
              <w:rPr>
                <w:rFonts w:ascii="Times New Roman" w:hAnsi="Times New Roman"/>
                <w:sz w:val="22"/>
                <w:szCs w:val="22"/>
              </w:rPr>
            </w:pPr>
            <w:r w:rsidRPr="004C15A2">
              <w:rPr>
                <w:rFonts w:ascii="Times New Roman" w:hAnsi="Times New Roman"/>
                <w:sz w:val="22"/>
                <w:szCs w:val="22"/>
              </w:rPr>
              <w:t>(</w:t>
            </w:r>
            <w:r w:rsidR="00453067" w:rsidRPr="004C15A2">
              <w:rPr>
                <w:rFonts w:ascii="Times New Roman" w:hAnsi="Times New Roman"/>
                <w:sz w:val="22"/>
                <w:szCs w:val="22"/>
              </w:rPr>
              <w:t>≥ 1/1 000</w:t>
            </w:r>
          </w:p>
          <w:p w14:paraId="74443069" w14:textId="77777777" w:rsidR="00453067" w:rsidRPr="004C15A2" w:rsidRDefault="00453067" w:rsidP="009D3632">
            <w:pPr>
              <w:pStyle w:val="TableText"/>
              <w:keepNext/>
              <w:keepLines/>
              <w:jc w:val="center"/>
              <w:rPr>
                <w:rFonts w:cs="Times New Roman"/>
                <w:b/>
                <w:sz w:val="22"/>
                <w:szCs w:val="22"/>
                <w:highlight w:val="cyan"/>
              </w:rPr>
            </w:pPr>
            <w:r w:rsidRPr="004C15A2">
              <w:rPr>
                <w:rFonts w:cs="Times New Roman"/>
                <w:b/>
                <w:sz w:val="22"/>
                <w:szCs w:val="22"/>
              </w:rPr>
              <w:t>až &lt; 1/100</w:t>
            </w:r>
            <w:r w:rsidR="009602B2" w:rsidRPr="004C15A2">
              <w:rPr>
                <w:rFonts w:cs="Times New Roman"/>
                <w:b/>
                <w:sz w:val="22"/>
                <w:szCs w:val="22"/>
              </w:rPr>
              <w:t>)</w:t>
            </w:r>
          </w:p>
          <w:p w14:paraId="77021D0F" w14:textId="77777777" w:rsidR="0085616C" w:rsidRPr="004C15A2" w:rsidRDefault="0085616C" w:rsidP="009D3632">
            <w:pPr>
              <w:pStyle w:val="TableText"/>
              <w:keepNext/>
              <w:keepLines/>
              <w:jc w:val="center"/>
              <w:rPr>
                <w:rFonts w:cs="Times New Roman"/>
                <w:b/>
                <w:sz w:val="22"/>
                <w:szCs w:val="22"/>
                <w:highlight w:val="cyan"/>
              </w:rPr>
            </w:pPr>
          </w:p>
        </w:tc>
        <w:tc>
          <w:tcPr>
            <w:tcW w:w="1526" w:type="dxa"/>
            <w:vAlign w:val="center"/>
          </w:tcPr>
          <w:p w14:paraId="2721BE77" w14:textId="77777777" w:rsidR="00673CAC" w:rsidRPr="004C15A2" w:rsidRDefault="00673CAC" w:rsidP="009D3632">
            <w:pPr>
              <w:pStyle w:val="TableText"/>
              <w:keepNext/>
              <w:keepLines/>
              <w:jc w:val="center"/>
              <w:rPr>
                <w:rFonts w:cs="Times New Roman"/>
                <w:b/>
                <w:sz w:val="22"/>
                <w:szCs w:val="22"/>
                <w:highlight w:val="cyan"/>
              </w:rPr>
            </w:pPr>
          </w:p>
          <w:p w14:paraId="54949201" w14:textId="77777777" w:rsidR="00673CAC" w:rsidRPr="004C15A2" w:rsidRDefault="00673CAC" w:rsidP="00097A42">
            <w:pPr>
              <w:pStyle w:val="TableText"/>
              <w:keepNext/>
              <w:keepLines/>
              <w:rPr>
                <w:rFonts w:cs="Times New Roman"/>
                <w:b/>
                <w:sz w:val="22"/>
                <w:szCs w:val="22"/>
              </w:rPr>
            </w:pPr>
          </w:p>
          <w:p w14:paraId="62B201BC" w14:textId="77777777" w:rsidR="0085616C" w:rsidRPr="004C15A2" w:rsidRDefault="00673CAC" w:rsidP="009D3632">
            <w:pPr>
              <w:pStyle w:val="TableText"/>
              <w:keepNext/>
              <w:keepLines/>
              <w:jc w:val="center"/>
              <w:rPr>
                <w:rFonts w:cs="Times New Roman"/>
                <w:b/>
                <w:sz w:val="22"/>
                <w:szCs w:val="22"/>
              </w:rPr>
            </w:pPr>
            <w:r w:rsidRPr="004C15A2">
              <w:rPr>
                <w:rFonts w:cs="Times New Roman"/>
                <w:b/>
                <w:sz w:val="22"/>
                <w:szCs w:val="22"/>
              </w:rPr>
              <w:t>Zriedkavé</w:t>
            </w:r>
          </w:p>
          <w:p w14:paraId="61F96D2D" w14:textId="77777777" w:rsidR="0085616C" w:rsidRPr="004C15A2" w:rsidRDefault="009602B2" w:rsidP="009D3632">
            <w:pPr>
              <w:pStyle w:val="TableText"/>
              <w:keepNext/>
              <w:keepLines/>
              <w:jc w:val="center"/>
              <w:rPr>
                <w:rFonts w:cs="Times New Roman"/>
                <w:b/>
                <w:sz w:val="22"/>
                <w:szCs w:val="22"/>
              </w:rPr>
            </w:pPr>
            <w:r w:rsidRPr="004C15A2">
              <w:rPr>
                <w:rFonts w:cs="Times New Roman"/>
                <w:b/>
                <w:sz w:val="22"/>
                <w:szCs w:val="22"/>
              </w:rPr>
              <w:t>(</w:t>
            </w:r>
            <w:r w:rsidR="00673CAC" w:rsidRPr="004C15A2">
              <w:rPr>
                <w:rFonts w:cs="Times New Roman"/>
                <w:b/>
                <w:sz w:val="22"/>
                <w:szCs w:val="22"/>
              </w:rPr>
              <w:t>≥ 1/10 000 až</w:t>
            </w:r>
          </w:p>
          <w:p w14:paraId="38DE360F" w14:textId="77777777" w:rsidR="0085616C" w:rsidRPr="004C15A2" w:rsidRDefault="00673CAC" w:rsidP="009D3632">
            <w:pPr>
              <w:pStyle w:val="TableText"/>
              <w:keepNext/>
              <w:keepLines/>
              <w:jc w:val="center"/>
              <w:rPr>
                <w:rFonts w:cs="Times New Roman"/>
                <w:b/>
                <w:sz w:val="22"/>
                <w:szCs w:val="22"/>
              </w:rPr>
            </w:pPr>
            <w:r w:rsidRPr="004C15A2">
              <w:rPr>
                <w:rFonts w:cs="Times New Roman"/>
                <w:b/>
                <w:sz w:val="22"/>
                <w:szCs w:val="22"/>
              </w:rPr>
              <w:t xml:space="preserve">&lt; 1/1 </w:t>
            </w:r>
            <w:r w:rsidR="0085616C" w:rsidRPr="004C15A2">
              <w:rPr>
                <w:rFonts w:cs="Times New Roman"/>
                <w:b/>
                <w:sz w:val="22"/>
                <w:szCs w:val="22"/>
              </w:rPr>
              <w:t>000</w:t>
            </w:r>
            <w:r w:rsidR="009602B2" w:rsidRPr="004C15A2">
              <w:rPr>
                <w:rFonts w:cs="Times New Roman"/>
                <w:b/>
                <w:sz w:val="22"/>
                <w:szCs w:val="22"/>
              </w:rPr>
              <w:t>)</w:t>
            </w:r>
          </w:p>
          <w:p w14:paraId="3FCCA7B4" w14:textId="77777777" w:rsidR="0085616C" w:rsidRPr="004C15A2" w:rsidRDefault="0085616C" w:rsidP="009D3632">
            <w:pPr>
              <w:pStyle w:val="TableText"/>
              <w:keepNext/>
              <w:keepLines/>
              <w:jc w:val="center"/>
              <w:rPr>
                <w:rFonts w:cs="Times New Roman"/>
                <w:b/>
                <w:sz w:val="22"/>
                <w:szCs w:val="22"/>
                <w:highlight w:val="cyan"/>
              </w:rPr>
            </w:pPr>
          </w:p>
        </w:tc>
        <w:tc>
          <w:tcPr>
            <w:tcW w:w="1978" w:type="dxa"/>
            <w:vAlign w:val="center"/>
          </w:tcPr>
          <w:p w14:paraId="294A7E75" w14:textId="77777777" w:rsidR="00673CAC" w:rsidRPr="004C15A2" w:rsidRDefault="00673CAC" w:rsidP="00097A42">
            <w:pPr>
              <w:pStyle w:val="TableText"/>
              <w:keepNext/>
              <w:keepLines/>
              <w:jc w:val="center"/>
              <w:rPr>
                <w:rFonts w:cs="Times New Roman"/>
                <w:b/>
                <w:sz w:val="22"/>
                <w:szCs w:val="22"/>
                <w:lang w:val="sk-SK"/>
              </w:rPr>
            </w:pPr>
            <w:r w:rsidRPr="004C15A2">
              <w:rPr>
                <w:rFonts w:cs="Times New Roman"/>
                <w:b/>
                <w:sz w:val="22"/>
                <w:szCs w:val="22"/>
                <w:lang w:val="sk-SK"/>
              </w:rPr>
              <w:t>neznáme</w:t>
            </w:r>
          </w:p>
          <w:p w14:paraId="29E20EB8" w14:textId="77777777" w:rsidR="00453067" w:rsidRPr="004C15A2" w:rsidRDefault="00673CAC" w:rsidP="009D3632">
            <w:pPr>
              <w:pStyle w:val="TableText"/>
              <w:keepNext/>
              <w:keepLines/>
              <w:jc w:val="center"/>
              <w:rPr>
                <w:rFonts w:cs="Times New Roman"/>
                <w:b/>
                <w:sz w:val="22"/>
                <w:szCs w:val="22"/>
                <w:highlight w:val="cyan"/>
              </w:rPr>
            </w:pPr>
            <w:r w:rsidRPr="004C15A2">
              <w:rPr>
                <w:rFonts w:cs="Times New Roman"/>
                <w:b/>
                <w:sz w:val="22"/>
                <w:szCs w:val="22"/>
                <w:lang w:val="sk-SK"/>
              </w:rPr>
              <w:t>(z dostupných údajov)</w:t>
            </w:r>
          </w:p>
        </w:tc>
      </w:tr>
      <w:tr w:rsidR="00673CAC" w:rsidRPr="004C15A2" w14:paraId="39CD64E9" w14:textId="77777777" w:rsidTr="00170A8F">
        <w:tc>
          <w:tcPr>
            <w:tcW w:w="2611" w:type="dxa"/>
          </w:tcPr>
          <w:p w14:paraId="2FC5BB5D" w14:textId="77777777" w:rsidR="001F1E37" w:rsidRPr="004C15A2" w:rsidRDefault="001F1E37" w:rsidP="00097A42">
            <w:pPr>
              <w:pStyle w:val="TableText"/>
              <w:rPr>
                <w:rFonts w:cs="Times New Roman"/>
                <w:sz w:val="22"/>
                <w:szCs w:val="22"/>
              </w:rPr>
            </w:pPr>
            <w:r w:rsidRPr="004C15A2">
              <w:rPr>
                <w:rFonts w:cs="Times New Roman"/>
                <w:sz w:val="22"/>
                <w:szCs w:val="22"/>
              </w:rPr>
              <w:t>Infekcie a nákazy</w:t>
            </w:r>
          </w:p>
          <w:p w14:paraId="4FB19FF9" w14:textId="77777777" w:rsidR="001F1E37" w:rsidRPr="004C15A2" w:rsidRDefault="001F1E37" w:rsidP="00097A42">
            <w:pPr>
              <w:pStyle w:val="TableText"/>
              <w:rPr>
                <w:rFonts w:cs="Times New Roman"/>
                <w:sz w:val="22"/>
                <w:szCs w:val="22"/>
              </w:rPr>
            </w:pPr>
          </w:p>
        </w:tc>
        <w:tc>
          <w:tcPr>
            <w:tcW w:w="1890" w:type="dxa"/>
          </w:tcPr>
          <w:p w14:paraId="6C52EE58" w14:textId="77777777" w:rsidR="0085616C" w:rsidRPr="004C15A2" w:rsidRDefault="0085616C" w:rsidP="00097A42">
            <w:pPr>
              <w:pStyle w:val="TableText"/>
              <w:rPr>
                <w:rFonts w:cs="Times New Roman"/>
                <w:sz w:val="22"/>
                <w:szCs w:val="22"/>
              </w:rPr>
            </w:pPr>
          </w:p>
        </w:tc>
        <w:tc>
          <w:tcPr>
            <w:tcW w:w="1615" w:type="dxa"/>
          </w:tcPr>
          <w:p w14:paraId="448E8C78" w14:textId="77777777" w:rsidR="0085616C" w:rsidRPr="004C15A2" w:rsidRDefault="0085616C" w:rsidP="00097A42">
            <w:pPr>
              <w:pStyle w:val="TableText"/>
              <w:rPr>
                <w:rFonts w:cs="Times New Roman"/>
                <w:sz w:val="22"/>
                <w:szCs w:val="22"/>
              </w:rPr>
            </w:pPr>
          </w:p>
        </w:tc>
        <w:tc>
          <w:tcPr>
            <w:tcW w:w="1526" w:type="dxa"/>
          </w:tcPr>
          <w:p w14:paraId="2BAFC404" w14:textId="77777777" w:rsidR="0085616C" w:rsidRPr="004C15A2" w:rsidRDefault="0085616C" w:rsidP="00097A42">
            <w:pPr>
              <w:pStyle w:val="TableText"/>
              <w:rPr>
                <w:rFonts w:cs="Times New Roman"/>
                <w:sz w:val="22"/>
                <w:szCs w:val="22"/>
              </w:rPr>
            </w:pPr>
          </w:p>
        </w:tc>
        <w:tc>
          <w:tcPr>
            <w:tcW w:w="1978" w:type="dxa"/>
          </w:tcPr>
          <w:p w14:paraId="10FFA0ED" w14:textId="77777777" w:rsidR="0085616C" w:rsidRPr="004C15A2" w:rsidRDefault="001F1E37" w:rsidP="00097A42">
            <w:pPr>
              <w:pStyle w:val="TableText"/>
              <w:rPr>
                <w:rFonts w:cs="Times New Roman"/>
                <w:sz w:val="22"/>
                <w:szCs w:val="22"/>
              </w:rPr>
            </w:pPr>
            <w:r w:rsidRPr="004C15A2">
              <w:rPr>
                <w:rFonts w:cs="Times New Roman"/>
                <w:sz w:val="22"/>
                <w:szCs w:val="22"/>
              </w:rPr>
              <w:t>h</w:t>
            </w:r>
            <w:r w:rsidR="0085616C" w:rsidRPr="004C15A2">
              <w:rPr>
                <w:rFonts w:cs="Times New Roman"/>
                <w:sz w:val="22"/>
                <w:szCs w:val="22"/>
              </w:rPr>
              <w:t>erpetic</w:t>
            </w:r>
            <w:r w:rsidRPr="004C15A2">
              <w:rPr>
                <w:rFonts w:cs="Times New Roman"/>
                <w:sz w:val="22"/>
                <w:szCs w:val="22"/>
              </w:rPr>
              <w:t>ká keratitída</w:t>
            </w:r>
            <w:r w:rsidR="0085616C" w:rsidRPr="004C15A2">
              <w:rPr>
                <w:rFonts w:cs="Times New Roman"/>
                <w:sz w:val="22"/>
                <w:szCs w:val="22"/>
              </w:rPr>
              <w:t>*</w:t>
            </w:r>
          </w:p>
        </w:tc>
      </w:tr>
      <w:tr w:rsidR="00673CAC" w:rsidRPr="004C15A2" w14:paraId="5FD4A118" w14:textId="77777777" w:rsidTr="00170A8F">
        <w:tc>
          <w:tcPr>
            <w:tcW w:w="2611" w:type="dxa"/>
          </w:tcPr>
          <w:p w14:paraId="17A51D0F" w14:textId="77777777" w:rsidR="001F1E37" w:rsidRPr="004C15A2" w:rsidRDefault="009A6B8B" w:rsidP="009D3632">
            <w:pPr>
              <w:pStyle w:val="TableText"/>
              <w:rPr>
                <w:rFonts w:cs="Times New Roman"/>
                <w:sz w:val="22"/>
                <w:szCs w:val="22"/>
              </w:rPr>
            </w:pPr>
            <w:r w:rsidRPr="004C15A2">
              <w:rPr>
                <w:rFonts w:cs="Times New Roman"/>
                <w:sz w:val="22"/>
                <w:szCs w:val="22"/>
                <w:lang w:val="sk-SK"/>
              </w:rPr>
              <w:t>Poruchy nervového systému</w:t>
            </w:r>
          </w:p>
        </w:tc>
        <w:tc>
          <w:tcPr>
            <w:tcW w:w="1890" w:type="dxa"/>
          </w:tcPr>
          <w:p w14:paraId="345876D5" w14:textId="77777777" w:rsidR="0085616C" w:rsidRPr="004C15A2" w:rsidRDefault="0085616C" w:rsidP="00097A42">
            <w:pPr>
              <w:pStyle w:val="TableText"/>
              <w:rPr>
                <w:rFonts w:cs="Times New Roman"/>
                <w:sz w:val="22"/>
                <w:szCs w:val="22"/>
              </w:rPr>
            </w:pPr>
          </w:p>
        </w:tc>
        <w:tc>
          <w:tcPr>
            <w:tcW w:w="1615" w:type="dxa"/>
          </w:tcPr>
          <w:p w14:paraId="40D38D90" w14:textId="77777777" w:rsidR="0085616C" w:rsidRPr="004C15A2" w:rsidRDefault="009A6B8B" w:rsidP="00097A42">
            <w:pPr>
              <w:pStyle w:val="TableText"/>
              <w:rPr>
                <w:rFonts w:cs="Times New Roman"/>
                <w:sz w:val="22"/>
                <w:szCs w:val="22"/>
              </w:rPr>
            </w:pPr>
            <w:r w:rsidRPr="004C15A2">
              <w:rPr>
                <w:rFonts w:cs="Times New Roman"/>
                <w:sz w:val="22"/>
                <w:szCs w:val="22"/>
                <w:lang w:val="sk-SK"/>
              </w:rPr>
              <w:t>závraty</w:t>
            </w:r>
            <w:r w:rsidR="0076268C" w:rsidRPr="004C15A2">
              <w:rPr>
                <w:rFonts w:cs="Times New Roman"/>
                <w:sz w:val="22"/>
                <w:szCs w:val="22"/>
              </w:rPr>
              <w:t>*</w:t>
            </w:r>
            <w:r w:rsidR="0085616C" w:rsidRPr="004C15A2">
              <w:rPr>
                <w:rFonts w:cs="Times New Roman"/>
                <w:sz w:val="22"/>
                <w:szCs w:val="22"/>
              </w:rPr>
              <w:t xml:space="preserve"> </w:t>
            </w:r>
          </w:p>
        </w:tc>
        <w:tc>
          <w:tcPr>
            <w:tcW w:w="1526" w:type="dxa"/>
          </w:tcPr>
          <w:p w14:paraId="0EEAB265" w14:textId="77777777" w:rsidR="0085616C" w:rsidRPr="004C15A2" w:rsidRDefault="0085616C" w:rsidP="00097A42">
            <w:pPr>
              <w:pStyle w:val="TableText"/>
              <w:rPr>
                <w:rFonts w:cs="Times New Roman"/>
                <w:sz w:val="22"/>
                <w:szCs w:val="22"/>
              </w:rPr>
            </w:pPr>
          </w:p>
        </w:tc>
        <w:tc>
          <w:tcPr>
            <w:tcW w:w="1978" w:type="dxa"/>
          </w:tcPr>
          <w:p w14:paraId="5CCA8171" w14:textId="77777777" w:rsidR="0085616C" w:rsidRPr="004C15A2" w:rsidRDefault="0085616C" w:rsidP="00097A42">
            <w:pPr>
              <w:pStyle w:val="TableText"/>
              <w:rPr>
                <w:rFonts w:cs="Times New Roman"/>
                <w:sz w:val="22"/>
                <w:szCs w:val="22"/>
              </w:rPr>
            </w:pPr>
          </w:p>
        </w:tc>
      </w:tr>
      <w:tr w:rsidR="00673CAC" w:rsidRPr="004C15A2" w14:paraId="028C9B7E" w14:textId="77777777" w:rsidTr="00170A8F">
        <w:tc>
          <w:tcPr>
            <w:tcW w:w="2611" w:type="dxa"/>
          </w:tcPr>
          <w:p w14:paraId="7B34F5C6" w14:textId="77777777" w:rsidR="0085616C" w:rsidRPr="004C15A2" w:rsidRDefault="009A6B8B" w:rsidP="00097A42">
            <w:pPr>
              <w:pStyle w:val="TableText"/>
              <w:rPr>
                <w:rFonts w:cs="Times New Roman"/>
                <w:sz w:val="22"/>
                <w:szCs w:val="22"/>
                <w:highlight w:val="cyan"/>
              </w:rPr>
            </w:pPr>
            <w:r w:rsidRPr="004C15A2">
              <w:rPr>
                <w:rFonts w:cs="Times New Roman"/>
                <w:sz w:val="22"/>
                <w:szCs w:val="22"/>
                <w:lang w:val="sk-SK"/>
              </w:rPr>
              <w:t>Poruchy oka</w:t>
            </w:r>
            <w:r w:rsidR="0085616C" w:rsidRPr="004C15A2">
              <w:rPr>
                <w:rFonts w:cs="Times New Roman"/>
                <w:sz w:val="22"/>
                <w:szCs w:val="22"/>
              </w:rPr>
              <w:t xml:space="preserve"> </w:t>
            </w:r>
          </w:p>
        </w:tc>
        <w:tc>
          <w:tcPr>
            <w:tcW w:w="1890" w:type="dxa"/>
          </w:tcPr>
          <w:p w14:paraId="39C5A7E3" w14:textId="77777777" w:rsidR="004A2575" w:rsidRPr="004C15A2" w:rsidRDefault="001F1E37" w:rsidP="00097A42">
            <w:pPr>
              <w:pStyle w:val="TableText"/>
              <w:rPr>
                <w:rFonts w:cs="Times New Roman"/>
                <w:sz w:val="22"/>
                <w:szCs w:val="22"/>
                <w:lang w:val="sk-SK"/>
              </w:rPr>
            </w:pPr>
            <w:r w:rsidRPr="004C15A2">
              <w:rPr>
                <w:rFonts w:cs="Times New Roman"/>
                <w:sz w:val="22"/>
                <w:szCs w:val="22"/>
                <w:lang w:val="sk-SK"/>
              </w:rPr>
              <w:t xml:space="preserve">podráždenie oka (pálenie, svrbenie, pichanie a pocit cudzieho telesa), </w:t>
            </w:r>
          </w:p>
          <w:p w14:paraId="6EC68C26" w14:textId="77777777" w:rsidR="004A2575" w:rsidRPr="004C15A2" w:rsidRDefault="004A2575" w:rsidP="00097A42">
            <w:pPr>
              <w:pStyle w:val="TableText"/>
              <w:rPr>
                <w:rFonts w:cs="Times New Roman"/>
                <w:sz w:val="22"/>
                <w:szCs w:val="22"/>
              </w:rPr>
            </w:pPr>
            <w:r w:rsidRPr="004C15A2">
              <w:rPr>
                <w:rFonts w:cs="Times New Roman"/>
                <w:sz w:val="22"/>
                <w:szCs w:val="22"/>
              </w:rPr>
              <w:t xml:space="preserve">zmeny mihalníc </w:t>
            </w:r>
          </w:p>
          <w:p w14:paraId="51FB8218" w14:textId="77777777" w:rsidR="00673CAC" w:rsidRPr="004C15A2" w:rsidRDefault="004A2575" w:rsidP="00097A42">
            <w:pPr>
              <w:pStyle w:val="TableText"/>
              <w:rPr>
                <w:rFonts w:cs="Times New Roman"/>
                <w:sz w:val="22"/>
                <w:szCs w:val="22"/>
              </w:rPr>
            </w:pPr>
            <w:r w:rsidRPr="004C15A2">
              <w:rPr>
                <w:rFonts w:cs="Times New Roman"/>
                <w:sz w:val="22"/>
                <w:szCs w:val="22"/>
              </w:rPr>
              <w:t xml:space="preserve">a chĺpkov očného viečka (predĺženie, zhrubnutie, zmeny pigmentácie </w:t>
            </w:r>
          </w:p>
          <w:p w14:paraId="38BAA8F6" w14:textId="77777777" w:rsidR="0085616C" w:rsidRPr="004C15A2" w:rsidRDefault="004A2575" w:rsidP="00097A42">
            <w:pPr>
              <w:pStyle w:val="TableText"/>
              <w:rPr>
                <w:rFonts w:cs="Times New Roman"/>
                <w:sz w:val="22"/>
                <w:szCs w:val="22"/>
              </w:rPr>
            </w:pPr>
            <w:r w:rsidRPr="004C15A2">
              <w:rPr>
                <w:rFonts w:cs="Times New Roman"/>
                <w:sz w:val="22"/>
                <w:szCs w:val="22"/>
              </w:rPr>
              <w:t>a počtu mihalníc</w:t>
            </w:r>
            <w:r w:rsidR="0085616C" w:rsidRPr="004C15A2">
              <w:rPr>
                <w:rFonts w:cs="Times New Roman"/>
                <w:sz w:val="22"/>
                <w:szCs w:val="22"/>
              </w:rPr>
              <w:t>)*</w:t>
            </w:r>
          </w:p>
          <w:p w14:paraId="6BF0C1D4" w14:textId="77777777" w:rsidR="004A2575" w:rsidRPr="004C15A2" w:rsidRDefault="004A2575" w:rsidP="00097A42">
            <w:pPr>
              <w:pStyle w:val="TableText"/>
              <w:rPr>
                <w:rFonts w:cs="Times New Roman"/>
                <w:sz w:val="22"/>
                <w:szCs w:val="22"/>
                <w:lang w:val="sk-SK"/>
              </w:rPr>
            </w:pPr>
          </w:p>
        </w:tc>
        <w:tc>
          <w:tcPr>
            <w:tcW w:w="1615" w:type="dxa"/>
          </w:tcPr>
          <w:p w14:paraId="0E48C167" w14:textId="77777777" w:rsidR="0085616C" w:rsidRPr="004C15A2" w:rsidRDefault="004A2575" w:rsidP="00097A42">
            <w:pPr>
              <w:pStyle w:val="TableText"/>
              <w:rPr>
                <w:rFonts w:cs="Times New Roman"/>
                <w:sz w:val="22"/>
                <w:szCs w:val="22"/>
              </w:rPr>
            </w:pPr>
            <w:r w:rsidRPr="004C15A2">
              <w:rPr>
                <w:rFonts w:cs="Times New Roman"/>
                <w:sz w:val="22"/>
                <w:szCs w:val="22"/>
                <w:lang w:val="sk-SK"/>
              </w:rPr>
              <w:t>makulárny edém vrátane cystoidného makulárneho edému</w:t>
            </w:r>
            <w:r w:rsidR="0085616C" w:rsidRPr="004C15A2">
              <w:rPr>
                <w:rFonts w:cs="Times New Roman"/>
                <w:sz w:val="22"/>
                <w:szCs w:val="22"/>
              </w:rPr>
              <w:t xml:space="preserve">*, </w:t>
            </w:r>
            <w:r w:rsidRPr="004C15A2">
              <w:rPr>
                <w:rFonts w:cs="Times New Roman"/>
                <w:sz w:val="22"/>
                <w:szCs w:val="22"/>
                <w:lang w:val="sk-SK"/>
              </w:rPr>
              <w:t>uveitída</w:t>
            </w:r>
            <w:r w:rsidRPr="004C15A2">
              <w:rPr>
                <w:rFonts w:cs="Times New Roman"/>
                <w:sz w:val="22"/>
                <w:szCs w:val="22"/>
              </w:rPr>
              <w:t>*</w:t>
            </w:r>
            <w:r w:rsidR="0076268C" w:rsidRPr="004C15A2">
              <w:rPr>
                <w:rFonts w:cs="Times New Roman"/>
                <w:sz w:val="22"/>
                <w:szCs w:val="22"/>
              </w:rPr>
              <w:t>,</w:t>
            </w:r>
            <w:r w:rsidRPr="004C15A2">
              <w:rPr>
                <w:rFonts w:cs="Times New Roman"/>
                <w:sz w:val="22"/>
                <w:szCs w:val="22"/>
              </w:rPr>
              <w:t xml:space="preserve"> fotofóbia</w:t>
            </w:r>
            <w:r w:rsidR="0076268C" w:rsidRPr="004C15A2">
              <w:rPr>
                <w:rFonts w:cs="Times New Roman"/>
                <w:sz w:val="22"/>
                <w:szCs w:val="22"/>
              </w:rPr>
              <w:t>*, edém očného viečka</w:t>
            </w:r>
            <w:r w:rsidR="0085616C" w:rsidRPr="004C15A2">
              <w:rPr>
                <w:rFonts w:cs="Times New Roman"/>
                <w:sz w:val="22"/>
                <w:szCs w:val="22"/>
              </w:rPr>
              <w:t xml:space="preserve"> </w:t>
            </w:r>
          </w:p>
        </w:tc>
        <w:tc>
          <w:tcPr>
            <w:tcW w:w="1526" w:type="dxa"/>
          </w:tcPr>
          <w:p w14:paraId="183048BD" w14:textId="77777777" w:rsidR="0085616C" w:rsidRPr="004C15A2" w:rsidRDefault="004A2575" w:rsidP="00097A42">
            <w:pPr>
              <w:pStyle w:val="TableText"/>
              <w:rPr>
                <w:rFonts w:cs="Times New Roman"/>
                <w:sz w:val="22"/>
                <w:szCs w:val="22"/>
              </w:rPr>
            </w:pPr>
            <w:r w:rsidRPr="004C15A2">
              <w:rPr>
                <w:rFonts w:cs="Times New Roman"/>
                <w:sz w:val="22"/>
                <w:szCs w:val="22"/>
              </w:rPr>
              <w:t>edém rohovky*, iritída</w:t>
            </w:r>
            <w:r w:rsidR="0085616C" w:rsidRPr="004C15A2">
              <w:rPr>
                <w:rFonts w:cs="Times New Roman"/>
                <w:sz w:val="22"/>
                <w:szCs w:val="22"/>
              </w:rPr>
              <w:t>*</w:t>
            </w:r>
          </w:p>
        </w:tc>
        <w:tc>
          <w:tcPr>
            <w:tcW w:w="1978" w:type="dxa"/>
          </w:tcPr>
          <w:p w14:paraId="0F63369B" w14:textId="77777777" w:rsidR="002C48F9" w:rsidRPr="004C15A2" w:rsidRDefault="004A2575" w:rsidP="00097A42">
            <w:pPr>
              <w:pStyle w:val="TableText"/>
              <w:rPr>
                <w:rFonts w:cs="Times New Roman"/>
                <w:sz w:val="22"/>
                <w:szCs w:val="22"/>
                <w:lang w:val="sk-SK"/>
              </w:rPr>
            </w:pPr>
            <w:r w:rsidRPr="004C15A2">
              <w:rPr>
                <w:rFonts w:cs="Times New Roman"/>
                <w:sz w:val="22"/>
                <w:szCs w:val="22"/>
              </w:rPr>
              <w:t>erózie rohovky</w:t>
            </w:r>
            <w:r w:rsidR="0085616C" w:rsidRPr="004C15A2">
              <w:rPr>
                <w:rFonts w:cs="Times New Roman"/>
                <w:sz w:val="22"/>
                <w:szCs w:val="22"/>
              </w:rPr>
              <w:t>*, keratitis</w:t>
            </w:r>
            <w:r w:rsidR="0076268C" w:rsidRPr="004C15A2">
              <w:rPr>
                <w:rFonts w:cs="Times New Roman"/>
                <w:sz w:val="22"/>
                <w:szCs w:val="22"/>
              </w:rPr>
              <w:t xml:space="preserve"> punctata*, p</w:t>
            </w:r>
            <w:r w:rsidR="0085616C" w:rsidRPr="004C15A2">
              <w:rPr>
                <w:rFonts w:cs="Times New Roman"/>
                <w:sz w:val="22"/>
                <w:szCs w:val="22"/>
              </w:rPr>
              <w:t>seudo</w:t>
            </w:r>
            <w:r w:rsidR="0076268C" w:rsidRPr="004C15A2">
              <w:rPr>
                <w:rFonts w:cs="Times New Roman"/>
                <w:sz w:val="22"/>
                <w:szCs w:val="22"/>
              </w:rPr>
              <w:t>pemfigoid očnej spojovky</w:t>
            </w:r>
            <w:r w:rsidR="0085616C" w:rsidRPr="004C15A2">
              <w:rPr>
                <w:rFonts w:cs="Times New Roman"/>
                <w:sz w:val="22"/>
                <w:szCs w:val="22"/>
              </w:rPr>
              <w:t xml:space="preserve">*, </w:t>
            </w:r>
            <w:r w:rsidR="0076268C" w:rsidRPr="004C15A2">
              <w:rPr>
                <w:rFonts w:cs="Times New Roman"/>
                <w:sz w:val="22"/>
                <w:szCs w:val="22"/>
              </w:rPr>
              <w:t>trichiáza</w:t>
            </w:r>
            <w:r w:rsidR="0085616C" w:rsidRPr="004C15A2">
              <w:rPr>
                <w:rFonts w:cs="Times New Roman"/>
                <w:sz w:val="22"/>
                <w:szCs w:val="22"/>
              </w:rPr>
              <w:t xml:space="preserve">*, </w:t>
            </w:r>
            <w:r w:rsidR="0076268C" w:rsidRPr="004C15A2">
              <w:rPr>
                <w:rFonts w:cs="Times New Roman"/>
                <w:sz w:val="22"/>
                <w:szCs w:val="22"/>
                <w:lang w:val="sk-SK"/>
              </w:rPr>
              <w:t>rozmazané videnie</w:t>
            </w:r>
            <w:r w:rsidR="0076268C" w:rsidRPr="004C15A2">
              <w:rPr>
                <w:rFonts w:cs="Times New Roman"/>
                <w:sz w:val="22"/>
                <w:szCs w:val="22"/>
              </w:rPr>
              <w:t xml:space="preserve"> </w:t>
            </w:r>
            <w:r w:rsidR="0085616C" w:rsidRPr="004C15A2">
              <w:rPr>
                <w:rFonts w:cs="Times New Roman"/>
                <w:sz w:val="22"/>
                <w:szCs w:val="22"/>
              </w:rPr>
              <w:t xml:space="preserve">*, </w:t>
            </w:r>
            <w:r w:rsidR="002C48F9" w:rsidRPr="004C15A2">
              <w:rPr>
                <w:rFonts w:cs="Times New Roman"/>
                <w:sz w:val="22"/>
                <w:szCs w:val="22"/>
                <w:lang w:val="sk-SK"/>
              </w:rPr>
              <w:t xml:space="preserve">lokalizované kožné reakcie </w:t>
            </w:r>
          </w:p>
          <w:p w14:paraId="6C3297C5" w14:textId="77777777" w:rsidR="00A9664B" w:rsidRPr="004C15A2" w:rsidRDefault="002C48F9" w:rsidP="00097A42">
            <w:pPr>
              <w:pStyle w:val="TableText"/>
              <w:rPr>
                <w:rFonts w:cs="Times New Roman"/>
                <w:sz w:val="22"/>
                <w:szCs w:val="22"/>
              </w:rPr>
            </w:pPr>
            <w:r w:rsidRPr="004C15A2">
              <w:rPr>
                <w:rFonts w:cs="Times New Roman"/>
                <w:sz w:val="22"/>
                <w:szCs w:val="22"/>
                <w:lang w:val="sk-SK"/>
              </w:rPr>
              <w:t>na očných viečkach</w:t>
            </w:r>
            <w:r w:rsidR="0085616C" w:rsidRPr="004C15A2">
              <w:rPr>
                <w:rFonts w:cs="Times New Roman"/>
                <w:sz w:val="22"/>
                <w:szCs w:val="22"/>
              </w:rPr>
              <w:t>*,</w:t>
            </w:r>
            <w:r w:rsidRPr="004C15A2">
              <w:rPr>
                <w:rFonts w:cs="Times New Roman"/>
                <w:sz w:val="22"/>
                <w:szCs w:val="22"/>
              </w:rPr>
              <w:t xml:space="preserve"> </w:t>
            </w:r>
          </w:p>
          <w:p w14:paraId="6BF55AFF" w14:textId="77777777" w:rsidR="002C48F9" w:rsidRPr="004C15A2" w:rsidRDefault="0085616C" w:rsidP="00097A42">
            <w:pPr>
              <w:pStyle w:val="TableText"/>
              <w:rPr>
                <w:rFonts w:cs="Times New Roman"/>
                <w:sz w:val="22"/>
                <w:szCs w:val="22"/>
              </w:rPr>
            </w:pPr>
            <w:r w:rsidRPr="004C15A2">
              <w:rPr>
                <w:rFonts w:cs="Times New Roman"/>
                <w:sz w:val="22"/>
                <w:szCs w:val="22"/>
              </w:rPr>
              <w:t>cyst</w:t>
            </w:r>
            <w:r w:rsidR="002C48F9" w:rsidRPr="004C15A2">
              <w:rPr>
                <w:rFonts w:cs="Times New Roman"/>
                <w:sz w:val="22"/>
                <w:szCs w:val="22"/>
              </w:rPr>
              <w:t xml:space="preserve">a </w:t>
            </w:r>
            <w:r w:rsidR="00870561" w:rsidRPr="004C15A2">
              <w:rPr>
                <w:rFonts w:cs="Times New Roman"/>
                <w:sz w:val="22"/>
                <w:szCs w:val="22"/>
              </w:rPr>
              <w:t>na </w:t>
            </w:r>
            <w:r w:rsidR="002C48F9" w:rsidRPr="004C15A2">
              <w:rPr>
                <w:rFonts w:cs="Times New Roman"/>
                <w:sz w:val="22"/>
                <w:szCs w:val="22"/>
              </w:rPr>
              <w:t>dúhovk</w:t>
            </w:r>
            <w:r w:rsidR="00870561" w:rsidRPr="004C15A2">
              <w:rPr>
                <w:rFonts w:cs="Times New Roman"/>
                <w:sz w:val="22"/>
                <w:szCs w:val="22"/>
              </w:rPr>
              <w:t>e</w:t>
            </w:r>
            <w:r w:rsidR="00A9664B" w:rsidRPr="004C15A2">
              <w:rPr>
                <w:rFonts w:cs="Times New Roman"/>
                <w:sz w:val="22"/>
                <w:szCs w:val="22"/>
              </w:rPr>
              <w:t>*,</w:t>
            </w:r>
            <w:r w:rsidRPr="004C15A2">
              <w:rPr>
                <w:rFonts w:cs="Times New Roman"/>
                <w:sz w:val="22"/>
                <w:szCs w:val="22"/>
              </w:rPr>
              <w:t xml:space="preserve"> </w:t>
            </w:r>
          </w:p>
          <w:p w14:paraId="3EB0E159" w14:textId="77777777" w:rsidR="00A9664B" w:rsidRPr="004C15A2" w:rsidRDefault="002C48F9" w:rsidP="00097A42">
            <w:pPr>
              <w:pStyle w:val="TableText"/>
              <w:rPr>
                <w:rFonts w:cs="Times New Roman"/>
                <w:sz w:val="22"/>
                <w:szCs w:val="22"/>
              </w:rPr>
            </w:pPr>
            <w:r w:rsidRPr="004C15A2">
              <w:rPr>
                <w:rFonts w:cs="Times New Roman"/>
                <w:sz w:val="22"/>
                <w:szCs w:val="22"/>
                <w:lang w:val="sk-SK"/>
              </w:rPr>
              <w:t xml:space="preserve">periorbitálne zmeny a zmeny viečka vedúce k prehlbovaniu </w:t>
            </w:r>
            <w:r w:rsidR="009602B2" w:rsidRPr="004C15A2">
              <w:rPr>
                <w:rFonts w:cs="Times New Roman"/>
                <w:sz w:val="22"/>
                <w:szCs w:val="22"/>
                <w:lang w:val="sk-SK"/>
              </w:rPr>
              <w:t>záhybu</w:t>
            </w:r>
            <w:r w:rsidRPr="004C15A2">
              <w:rPr>
                <w:rFonts w:cs="Times New Roman"/>
                <w:sz w:val="22"/>
                <w:szCs w:val="22"/>
                <w:lang w:val="sk-SK"/>
              </w:rPr>
              <w:t xml:space="preserve"> očného viečka</w:t>
            </w:r>
            <w:r w:rsidR="00A9664B" w:rsidRPr="004C15A2">
              <w:rPr>
                <w:rFonts w:cs="Times New Roman"/>
                <w:sz w:val="22"/>
                <w:szCs w:val="22"/>
              </w:rPr>
              <w:t>*,</w:t>
            </w:r>
          </w:p>
          <w:p w14:paraId="22C1DEC9" w14:textId="77777777" w:rsidR="0085616C" w:rsidRPr="004C15A2" w:rsidRDefault="00A9664B" w:rsidP="00097A42">
            <w:pPr>
              <w:pStyle w:val="TableText"/>
              <w:rPr>
                <w:rFonts w:cs="Times New Roman"/>
                <w:sz w:val="22"/>
                <w:szCs w:val="22"/>
              </w:rPr>
            </w:pPr>
            <w:r w:rsidRPr="004C15A2">
              <w:rPr>
                <w:rFonts w:cs="Times New Roman"/>
                <w:sz w:val="22"/>
                <w:szCs w:val="22"/>
                <w:lang w:val="sk-SK"/>
              </w:rPr>
              <w:t>stmavnutie kože očných viečok</w:t>
            </w:r>
            <w:r w:rsidRPr="004C15A2">
              <w:rPr>
                <w:rFonts w:cs="Times New Roman"/>
                <w:sz w:val="22"/>
                <w:szCs w:val="22"/>
              </w:rPr>
              <w:t>*</w:t>
            </w:r>
          </w:p>
        </w:tc>
      </w:tr>
      <w:tr w:rsidR="00673CAC" w:rsidRPr="004C15A2" w14:paraId="174E2429" w14:textId="77777777" w:rsidTr="00170A8F">
        <w:tc>
          <w:tcPr>
            <w:tcW w:w="2611" w:type="dxa"/>
          </w:tcPr>
          <w:p w14:paraId="6735D569" w14:textId="77777777" w:rsidR="00673CAC" w:rsidRPr="004C15A2" w:rsidRDefault="00673CAC" w:rsidP="00097A42">
            <w:pPr>
              <w:pStyle w:val="TableText"/>
              <w:rPr>
                <w:rFonts w:cs="Times New Roman"/>
                <w:sz w:val="22"/>
                <w:szCs w:val="22"/>
              </w:rPr>
            </w:pPr>
            <w:r w:rsidRPr="004C15A2">
              <w:rPr>
                <w:rFonts w:cs="Times New Roman"/>
                <w:sz w:val="22"/>
                <w:szCs w:val="22"/>
              </w:rPr>
              <w:t xml:space="preserve">Poruchy srdca </w:t>
            </w:r>
          </w:p>
          <w:p w14:paraId="17491689" w14:textId="77777777" w:rsidR="0085616C" w:rsidRPr="004C15A2" w:rsidRDefault="00673CAC" w:rsidP="00097A42">
            <w:pPr>
              <w:pStyle w:val="TableText"/>
              <w:rPr>
                <w:rFonts w:cs="Times New Roman"/>
                <w:sz w:val="22"/>
                <w:szCs w:val="22"/>
              </w:rPr>
            </w:pPr>
            <w:r w:rsidRPr="004C15A2">
              <w:rPr>
                <w:rFonts w:cs="Times New Roman"/>
                <w:sz w:val="22"/>
                <w:szCs w:val="22"/>
              </w:rPr>
              <w:t>a srdcovej činnosti</w:t>
            </w:r>
            <w:r w:rsidR="0085616C" w:rsidRPr="004C15A2">
              <w:rPr>
                <w:rFonts w:cs="Times New Roman"/>
                <w:sz w:val="22"/>
                <w:szCs w:val="22"/>
              </w:rPr>
              <w:t xml:space="preserve"> </w:t>
            </w:r>
          </w:p>
        </w:tc>
        <w:tc>
          <w:tcPr>
            <w:tcW w:w="1890" w:type="dxa"/>
          </w:tcPr>
          <w:p w14:paraId="69F233C6" w14:textId="77777777" w:rsidR="0085616C" w:rsidRPr="004C15A2" w:rsidRDefault="0085616C" w:rsidP="00097A42">
            <w:pPr>
              <w:pStyle w:val="TableText"/>
              <w:rPr>
                <w:rFonts w:cs="Times New Roman"/>
                <w:sz w:val="22"/>
                <w:szCs w:val="22"/>
              </w:rPr>
            </w:pPr>
          </w:p>
        </w:tc>
        <w:tc>
          <w:tcPr>
            <w:tcW w:w="1615" w:type="dxa"/>
          </w:tcPr>
          <w:p w14:paraId="0BB92101" w14:textId="77777777" w:rsidR="0085616C" w:rsidRPr="004C15A2" w:rsidRDefault="002C48F9" w:rsidP="00097A42">
            <w:pPr>
              <w:pStyle w:val="TableText"/>
              <w:rPr>
                <w:rFonts w:cs="Times New Roman"/>
                <w:sz w:val="22"/>
                <w:szCs w:val="22"/>
              </w:rPr>
            </w:pPr>
            <w:r w:rsidRPr="004C15A2">
              <w:rPr>
                <w:rFonts w:cs="Times New Roman"/>
                <w:sz w:val="22"/>
                <w:szCs w:val="22"/>
              </w:rPr>
              <w:t>angí</w:t>
            </w:r>
            <w:r w:rsidR="001F1E37" w:rsidRPr="004C15A2">
              <w:rPr>
                <w:rFonts w:cs="Times New Roman"/>
                <w:sz w:val="22"/>
                <w:szCs w:val="22"/>
              </w:rPr>
              <w:t>na</w:t>
            </w:r>
            <w:r w:rsidR="0085616C" w:rsidRPr="004C15A2">
              <w:rPr>
                <w:rFonts w:cs="Times New Roman"/>
                <w:sz w:val="22"/>
                <w:szCs w:val="22"/>
              </w:rPr>
              <w:t>*</w:t>
            </w:r>
            <w:r w:rsidR="001F1E37" w:rsidRPr="004C15A2">
              <w:rPr>
                <w:rFonts w:cs="Times New Roman"/>
                <w:sz w:val="22"/>
                <w:szCs w:val="22"/>
              </w:rPr>
              <w:t>, palpitácie</w:t>
            </w:r>
            <w:r w:rsidR="0085616C" w:rsidRPr="004C15A2">
              <w:rPr>
                <w:rFonts w:cs="Times New Roman"/>
                <w:sz w:val="22"/>
                <w:szCs w:val="22"/>
              </w:rPr>
              <w:t>*</w:t>
            </w:r>
          </w:p>
          <w:p w14:paraId="5833D052" w14:textId="77777777" w:rsidR="002C48F9" w:rsidRPr="004C15A2" w:rsidRDefault="002C48F9" w:rsidP="00097A42">
            <w:pPr>
              <w:pStyle w:val="TableText"/>
              <w:rPr>
                <w:rFonts w:cs="Times New Roman"/>
                <w:sz w:val="22"/>
                <w:szCs w:val="22"/>
              </w:rPr>
            </w:pPr>
          </w:p>
        </w:tc>
        <w:tc>
          <w:tcPr>
            <w:tcW w:w="1526" w:type="dxa"/>
          </w:tcPr>
          <w:p w14:paraId="56CBB307" w14:textId="77777777" w:rsidR="0085616C" w:rsidRPr="004C15A2" w:rsidRDefault="0085616C" w:rsidP="00097A42">
            <w:pPr>
              <w:pStyle w:val="TableText"/>
              <w:rPr>
                <w:rFonts w:cs="Times New Roman"/>
                <w:sz w:val="22"/>
                <w:szCs w:val="22"/>
              </w:rPr>
            </w:pPr>
          </w:p>
        </w:tc>
        <w:tc>
          <w:tcPr>
            <w:tcW w:w="1978" w:type="dxa"/>
          </w:tcPr>
          <w:p w14:paraId="5F9FFA31" w14:textId="77777777" w:rsidR="0085616C" w:rsidRPr="004C15A2" w:rsidRDefault="002C48F9" w:rsidP="00097A42">
            <w:pPr>
              <w:pStyle w:val="TableText"/>
              <w:rPr>
                <w:rFonts w:cs="Times New Roman"/>
                <w:sz w:val="22"/>
                <w:szCs w:val="22"/>
              </w:rPr>
            </w:pPr>
            <w:r w:rsidRPr="004C15A2">
              <w:rPr>
                <w:rFonts w:cs="Times New Roman"/>
                <w:sz w:val="22"/>
                <w:szCs w:val="22"/>
              </w:rPr>
              <w:t>nestabilná angí</w:t>
            </w:r>
            <w:r w:rsidR="001F1E37" w:rsidRPr="004C15A2">
              <w:rPr>
                <w:rFonts w:cs="Times New Roman"/>
                <w:sz w:val="22"/>
                <w:szCs w:val="22"/>
              </w:rPr>
              <w:t>na</w:t>
            </w:r>
            <w:r w:rsidR="0085616C" w:rsidRPr="004C15A2">
              <w:rPr>
                <w:rFonts w:cs="Times New Roman"/>
                <w:sz w:val="22"/>
                <w:szCs w:val="22"/>
              </w:rPr>
              <w:t>*</w:t>
            </w:r>
          </w:p>
        </w:tc>
      </w:tr>
      <w:tr w:rsidR="00673CAC" w:rsidRPr="004C15A2" w14:paraId="2D093E7D" w14:textId="77777777" w:rsidTr="00170A8F">
        <w:tc>
          <w:tcPr>
            <w:tcW w:w="2611" w:type="dxa"/>
          </w:tcPr>
          <w:p w14:paraId="2BCE0420" w14:textId="77777777" w:rsidR="002C48F9" w:rsidRPr="004C15A2" w:rsidRDefault="002C48F9" w:rsidP="009D3632">
            <w:pPr>
              <w:pStyle w:val="TableText"/>
              <w:rPr>
                <w:rFonts w:cs="Times New Roman"/>
                <w:sz w:val="22"/>
                <w:szCs w:val="22"/>
              </w:rPr>
            </w:pPr>
            <w:r w:rsidRPr="004C15A2">
              <w:rPr>
                <w:rFonts w:cs="Times New Roman"/>
                <w:sz w:val="22"/>
                <w:szCs w:val="22"/>
                <w:lang w:val="sk-SK"/>
              </w:rPr>
              <w:t>Poruchy dýchacej sústavy, hrudníka a mediastína</w:t>
            </w:r>
          </w:p>
          <w:p w14:paraId="19810131" w14:textId="77777777" w:rsidR="002C48F9" w:rsidRPr="004C15A2" w:rsidRDefault="002C48F9" w:rsidP="00097A42">
            <w:pPr>
              <w:pStyle w:val="TableText"/>
              <w:rPr>
                <w:rFonts w:cs="Times New Roman"/>
                <w:sz w:val="22"/>
                <w:szCs w:val="22"/>
              </w:rPr>
            </w:pPr>
          </w:p>
        </w:tc>
        <w:tc>
          <w:tcPr>
            <w:tcW w:w="1890" w:type="dxa"/>
          </w:tcPr>
          <w:p w14:paraId="051765CF" w14:textId="77777777" w:rsidR="0085616C" w:rsidRPr="004C15A2" w:rsidRDefault="0085616C" w:rsidP="00097A42">
            <w:pPr>
              <w:pStyle w:val="TableText"/>
              <w:rPr>
                <w:rFonts w:cs="Times New Roman"/>
                <w:sz w:val="22"/>
                <w:szCs w:val="22"/>
              </w:rPr>
            </w:pPr>
          </w:p>
        </w:tc>
        <w:tc>
          <w:tcPr>
            <w:tcW w:w="1615" w:type="dxa"/>
          </w:tcPr>
          <w:p w14:paraId="6DA961BB" w14:textId="77777777" w:rsidR="0085616C" w:rsidRPr="004C15A2" w:rsidRDefault="002C48F9" w:rsidP="00097A42">
            <w:pPr>
              <w:pStyle w:val="TableText"/>
              <w:rPr>
                <w:rFonts w:cs="Times New Roman"/>
                <w:sz w:val="22"/>
                <w:szCs w:val="22"/>
              </w:rPr>
            </w:pPr>
            <w:r w:rsidRPr="004C15A2">
              <w:rPr>
                <w:rFonts w:cs="Times New Roman"/>
                <w:sz w:val="22"/>
                <w:szCs w:val="22"/>
              </w:rPr>
              <w:t>astma* dýchavica</w:t>
            </w:r>
            <w:r w:rsidR="0085616C" w:rsidRPr="004C15A2">
              <w:rPr>
                <w:rFonts w:cs="Times New Roman"/>
                <w:sz w:val="22"/>
                <w:szCs w:val="22"/>
              </w:rPr>
              <w:t>*</w:t>
            </w:r>
          </w:p>
        </w:tc>
        <w:tc>
          <w:tcPr>
            <w:tcW w:w="1526" w:type="dxa"/>
          </w:tcPr>
          <w:p w14:paraId="1617313B" w14:textId="77777777" w:rsidR="0085616C" w:rsidRPr="004C15A2" w:rsidRDefault="0085616C" w:rsidP="00097A42">
            <w:pPr>
              <w:pStyle w:val="TableText"/>
              <w:rPr>
                <w:rFonts w:cs="Times New Roman"/>
                <w:sz w:val="22"/>
                <w:szCs w:val="22"/>
              </w:rPr>
            </w:pPr>
          </w:p>
        </w:tc>
        <w:tc>
          <w:tcPr>
            <w:tcW w:w="1978" w:type="dxa"/>
          </w:tcPr>
          <w:p w14:paraId="12C8664C" w14:textId="77777777" w:rsidR="0085616C" w:rsidRPr="004C15A2" w:rsidRDefault="0076268C" w:rsidP="00097A42">
            <w:pPr>
              <w:pStyle w:val="TableText"/>
              <w:rPr>
                <w:rFonts w:cs="Times New Roman"/>
                <w:sz w:val="22"/>
                <w:szCs w:val="22"/>
              </w:rPr>
            </w:pPr>
            <w:r w:rsidRPr="004C15A2">
              <w:rPr>
                <w:rFonts w:cs="Times New Roman"/>
                <w:sz w:val="22"/>
                <w:szCs w:val="22"/>
              </w:rPr>
              <w:t>akútne astmatické záchvaty</w:t>
            </w:r>
            <w:r w:rsidR="0085616C" w:rsidRPr="004C15A2">
              <w:rPr>
                <w:rFonts w:cs="Times New Roman"/>
                <w:sz w:val="22"/>
                <w:szCs w:val="22"/>
              </w:rPr>
              <w:t>*,</w:t>
            </w:r>
            <w:r w:rsidRPr="004C15A2">
              <w:rPr>
                <w:rFonts w:cs="Times New Roman"/>
                <w:sz w:val="22"/>
                <w:szCs w:val="22"/>
              </w:rPr>
              <w:t xml:space="preserve"> zhoršenie astmy</w:t>
            </w:r>
            <w:r w:rsidR="0085616C" w:rsidRPr="004C15A2">
              <w:rPr>
                <w:rFonts w:cs="Times New Roman"/>
                <w:sz w:val="22"/>
                <w:szCs w:val="22"/>
              </w:rPr>
              <w:t xml:space="preserve">* </w:t>
            </w:r>
          </w:p>
        </w:tc>
      </w:tr>
      <w:tr w:rsidR="00673CAC" w:rsidRPr="004C15A2" w14:paraId="54E3FF24" w14:textId="77777777" w:rsidTr="00170A8F">
        <w:tc>
          <w:tcPr>
            <w:tcW w:w="2611" w:type="dxa"/>
          </w:tcPr>
          <w:p w14:paraId="56AF02D2" w14:textId="77777777" w:rsidR="002C48F9" w:rsidRPr="004C15A2" w:rsidRDefault="002C48F9" w:rsidP="00097A42">
            <w:pPr>
              <w:pStyle w:val="TableText"/>
              <w:rPr>
                <w:rFonts w:cs="Times New Roman"/>
                <w:sz w:val="22"/>
                <w:szCs w:val="22"/>
              </w:rPr>
            </w:pPr>
            <w:r w:rsidRPr="004C15A2">
              <w:rPr>
                <w:rFonts w:cs="Times New Roman"/>
                <w:sz w:val="22"/>
                <w:szCs w:val="22"/>
                <w:lang w:val="sk-SK"/>
              </w:rPr>
              <w:t>Poruchy kože a podkožného tkaniva</w:t>
            </w:r>
          </w:p>
          <w:p w14:paraId="130C2216" w14:textId="77777777" w:rsidR="002C48F9" w:rsidRPr="004C15A2" w:rsidRDefault="002C48F9" w:rsidP="00097A42">
            <w:pPr>
              <w:pStyle w:val="TableText"/>
              <w:rPr>
                <w:rFonts w:cs="Times New Roman"/>
                <w:sz w:val="22"/>
                <w:szCs w:val="22"/>
              </w:rPr>
            </w:pPr>
          </w:p>
        </w:tc>
        <w:tc>
          <w:tcPr>
            <w:tcW w:w="1890" w:type="dxa"/>
          </w:tcPr>
          <w:p w14:paraId="538459C4" w14:textId="77777777" w:rsidR="0085616C" w:rsidRPr="004C15A2" w:rsidRDefault="0085616C" w:rsidP="00097A42">
            <w:pPr>
              <w:pStyle w:val="TableText"/>
              <w:rPr>
                <w:rFonts w:cs="Times New Roman"/>
                <w:sz w:val="22"/>
                <w:szCs w:val="22"/>
              </w:rPr>
            </w:pPr>
          </w:p>
        </w:tc>
        <w:tc>
          <w:tcPr>
            <w:tcW w:w="1615" w:type="dxa"/>
          </w:tcPr>
          <w:p w14:paraId="1774A1C0" w14:textId="77777777" w:rsidR="0085616C" w:rsidRPr="004C15A2" w:rsidRDefault="002C48F9" w:rsidP="00097A42">
            <w:pPr>
              <w:pStyle w:val="TableText"/>
              <w:rPr>
                <w:rFonts w:cs="Times New Roman"/>
                <w:sz w:val="22"/>
                <w:szCs w:val="22"/>
              </w:rPr>
            </w:pPr>
            <w:r w:rsidRPr="004C15A2">
              <w:rPr>
                <w:rFonts w:cs="Times New Roman"/>
                <w:sz w:val="22"/>
                <w:szCs w:val="22"/>
              </w:rPr>
              <w:t>vyrážka</w:t>
            </w:r>
          </w:p>
        </w:tc>
        <w:tc>
          <w:tcPr>
            <w:tcW w:w="1526" w:type="dxa"/>
          </w:tcPr>
          <w:p w14:paraId="706E0BA7" w14:textId="77777777" w:rsidR="0085616C" w:rsidRPr="004C15A2" w:rsidRDefault="001F1E37" w:rsidP="00097A42">
            <w:pPr>
              <w:pStyle w:val="TableText"/>
              <w:rPr>
                <w:rFonts w:cs="Times New Roman"/>
                <w:sz w:val="22"/>
                <w:szCs w:val="22"/>
              </w:rPr>
            </w:pPr>
            <w:r w:rsidRPr="004C15A2">
              <w:rPr>
                <w:rFonts w:cs="Times New Roman"/>
                <w:sz w:val="22"/>
                <w:szCs w:val="22"/>
              </w:rPr>
              <w:t>p</w:t>
            </w:r>
            <w:r w:rsidR="0085616C" w:rsidRPr="004C15A2">
              <w:rPr>
                <w:rFonts w:cs="Times New Roman"/>
                <w:sz w:val="22"/>
                <w:szCs w:val="22"/>
              </w:rPr>
              <w:t>ruritus*</w:t>
            </w:r>
          </w:p>
        </w:tc>
        <w:tc>
          <w:tcPr>
            <w:tcW w:w="1978" w:type="dxa"/>
          </w:tcPr>
          <w:p w14:paraId="48C1FBC1" w14:textId="77777777" w:rsidR="0085616C" w:rsidRPr="004C15A2" w:rsidRDefault="0085616C" w:rsidP="00097A42">
            <w:pPr>
              <w:pStyle w:val="TableText"/>
              <w:rPr>
                <w:rFonts w:cs="Times New Roman"/>
                <w:sz w:val="22"/>
                <w:szCs w:val="22"/>
              </w:rPr>
            </w:pPr>
          </w:p>
        </w:tc>
      </w:tr>
      <w:tr w:rsidR="00673CAC" w:rsidRPr="004C15A2" w14:paraId="178E6EF7" w14:textId="77777777" w:rsidTr="00170A8F">
        <w:tc>
          <w:tcPr>
            <w:tcW w:w="2611" w:type="dxa"/>
          </w:tcPr>
          <w:p w14:paraId="49BFF4B9" w14:textId="77777777" w:rsidR="002C48F9" w:rsidRPr="004C15A2" w:rsidRDefault="002C48F9" w:rsidP="00097A42">
            <w:pPr>
              <w:pStyle w:val="TableText"/>
              <w:rPr>
                <w:rFonts w:cs="Times New Roman"/>
                <w:sz w:val="22"/>
                <w:szCs w:val="22"/>
              </w:rPr>
            </w:pPr>
            <w:r w:rsidRPr="004C15A2">
              <w:rPr>
                <w:rFonts w:cs="Times New Roman"/>
                <w:sz w:val="22"/>
                <w:szCs w:val="22"/>
                <w:lang w:val="sk-SK"/>
              </w:rPr>
              <w:t>Poruchy kostrovej a svalovej sústavy a spojivového tkaniva</w:t>
            </w:r>
          </w:p>
          <w:p w14:paraId="641C4595" w14:textId="77777777" w:rsidR="002C48F9" w:rsidRPr="004C15A2" w:rsidRDefault="002C48F9" w:rsidP="00097A42">
            <w:pPr>
              <w:pStyle w:val="TableText"/>
              <w:rPr>
                <w:rFonts w:cs="Times New Roman"/>
                <w:sz w:val="22"/>
                <w:szCs w:val="22"/>
              </w:rPr>
            </w:pPr>
          </w:p>
        </w:tc>
        <w:tc>
          <w:tcPr>
            <w:tcW w:w="1890" w:type="dxa"/>
          </w:tcPr>
          <w:p w14:paraId="2BA63FF2" w14:textId="77777777" w:rsidR="0085616C" w:rsidRPr="004C15A2" w:rsidRDefault="0085616C" w:rsidP="00097A42">
            <w:pPr>
              <w:pStyle w:val="TableText"/>
              <w:rPr>
                <w:rFonts w:cs="Times New Roman"/>
                <w:sz w:val="22"/>
                <w:szCs w:val="22"/>
              </w:rPr>
            </w:pPr>
          </w:p>
        </w:tc>
        <w:tc>
          <w:tcPr>
            <w:tcW w:w="1615" w:type="dxa"/>
          </w:tcPr>
          <w:p w14:paraId="23EFE016" w14:textId="77777777" w:rsidR="0085616C" w:rsidRPr="004C15A2" w:rsidRDefault="001F1E37" w:rsidP="00097A42">
            <w:pPr>
              <w:pStyle w:val="TableText"/>
              <w:rPr>
                <w:rFonts w:cs="Times New Roman"/>
                <w:sz w:val="22"/>
                <w:szCs w:val="22"/>
              </w:rPr>
            </w:pPr>
            <w:r w:rsidRPr="004C15A2">
              <w:rPr>
                <w:rFonts w:cs="Times New Roman"/>
                <w:sz w:val="22"/>
                <w:szCs w:val="22"/>
              </w:rPr>
              <w:t>myalgia*, a</w:t>
            </w:r>
            <w:r w:rsidR="00616D63" w:rsidRPr="004C15A2">
              <w:rPr>
                <w:rFonts w:cs="Times New Roman"/>
                <w:sz w:val="22"/>
                <w:szCs w:val="22"/>
              </w:rPr>
              <w:t>rtr</w:t>
            </w:r>
            <w:r w:rsidR="0085616C" w:rsidRPr="004C15A2">
              <w:rPr>
                <w:rFonts w:cs="Times New Roman"/>
                <w:sz w:val="22"/>
                <w:szCs w:val="22"/>
              </w:rPr>
              <w:t>algia*</w:t>
            </w:r>
          </w:p>
        </w:tc>
        <w:tc>
          <w:tcPr>
            <w:tcW w:w="1526" w:type="dxa"/>
          </w:tcPr>
          <w:p w14:paraId="4474762C" w14:textId="77777777" w:rsidR="0085616C" w:rsidRPr="004C15A2" w:rsidRDefault="0085616C" w:rsidP="00097A42">
            <w:pPr>
              <w:pStyle w:val="TableText"/>
              <w:rPr>
                <w:rFonts w:cs="Times New Roman"/>
                <w:sz w:val="22"/>
                <w:szCs w:val="22"/>
              </w:rPr>
            </w:pPr>
          </w:p>
        </w:tc>
        <w:tc>
          <w:tcPr>
            <w:tcW w:w="1978" w:type="dxa"/>
          </w:tcPr>
          <w:p w14:paraId="42E64914" w14:textId="77777777" w:rsidR="0085616C" w:rsidRPr="004C15A2" w:rsidRDefault="0085616C" w:rsidP="00097A42">
            <w:pPr>
              <w:pStyle w:val="TableText"/>
              <w:rPr>
                <w:rFonts w:cs="Times New Roman"/>
                <w:sz w:val="22"/>
                <w:szCs w:val="22"/>
              </w:rPr>
            </w:pPr>
          </w:p>
        </w:tc>
      </w:tr>
      <w:tr w:rsidR="00673CAC" w:rsidRPr="004C15A2" w14:paraId="4403B3EB" w14:textId="77777777" w:rsidTr="00170A8F">
        <w:trPr>
          <w:trHeight w:val="872"/>
        </w:trPr>
        <w:tc>
          <w:tcPr>
            <w:tcW w:w="2611" w:type="dxa"/>
          </w:tcPr>
          <w:p w14:paraId="4E43C662" w14:textId="77777777" w:rsidR="002C48F9" w:rsidRPr="004C15A2" w:rsidRDefault="002C48F9" w:rsidP="00097A42">
            <w:pPr>
              <w:pStyle w:val="TableText"/>
              <w:rPr>
                <w:rFonts w:cs="Times New Roman"/>
                <w:sz w:val="22"/>
                <w:szCs w:val="22"/>
              </w:rPr>
            </w:pPr>
            <w:r w:rsidRPr="004C15A2">
              <w:rPr>
                <w:rFonts w:cs="Times New Roman"/>
                <w:sz w:val="22"/>
                <w:szCs w:val="22"/>
                <w:lang w:val="sk-SK"/>
              </w:rPr>
              <w:t>Celkové poruchy a reakcie v mieste podania</w:t>
            </w:r>
          </w:p>
          <w:p w14:paraId="191E707A" w14:textId="77777777" w:rsidR="002C48F9" w:rsidRPr="004C15A2" w:rsidRDefault="002C48F9" w:rsidP="00097A42">
            <w:pPr>
              <w:pStyle w:val="TableText"/>
              <w:rPr>
                <w:rFonts w:cs="Times New Roman"/>
                <w:sz w:val="22"/>
                <w:szCs w:val="22"/>
              </w:rPr>
            </w:pPr>
          </w:p>
        </w:tc>
        <w:tc>
          <w:tcPr>
            <w:tcW w:w="1890" w:type="dxa"/>
          </w:tcPr>
          <w:p w14:paraId="3FCDA7C0" w14:textId="77777777" w:rsidR="0085616C" w:rsidRPr="004C15A2" w:rsidRDefault="0085616C" w:rsidP="00097A42">
            <w:pPr>
              <w:pStyle w:val="TableText"/>
              <w:rPr>
                <w:rFonts w:cs="Times New Roman"/>
                <w:sz w:val="22"/>
                <w:szCs w:val="22"/>
              </w:rPr>
            </w:pPr>
          </w:p>
        </w:tc>
        <w:tc>
          <w:tcPr>
            <w:tcW w:w="1615" w:type="dxa"/>
          </w:tcPr>
          <w:p w14:paraId="4FA949C4" w14:textId="77777777" w:rsidR="002C48F9" w:rsidRPr="004C15A2" w:rsidRDefault="002C48F9" w:rsidP="00097A42">
            <w:pPr>
              <w:pStyle w:val="TableText"/>
              <w:rPr>
                <w:rFonts w:cs="Times New Roman"/>
                <w:sz w:val="22"/>
                <w:szCs w:val="22"/>
              </w:rPr>
            </w:pPr>
            <w:r w:rsidRPr="004C15A2">
              <w:rPr>
                <w:rFonts w:cs="Times New Roman"/>
                <w:sz w:val="22"/>
                <w:szCs w:val="22"/>
              </w:rPr>
              <w:t xml:space="preserve">bolesti </w:t>
            </w:r>
          </w:p>
          <w:p w14:paraId="2C7FB5F4" w14:textId="77777777" w:rsidR="0085616C" w:rsidRPr="004C15A2" w:rsidRDefault="002C48F9" w:rsidP="00097A42">
            <w:pPr>
              <w:pStyle w:val="TableText"/>
              <w:rPr>
                <w:rFonts w:cs="Times New Roman"/>
                <w:sz w:val="22"/>
                <w:szCs w:val="22"/>
              </w:rPr>
            </w:pPr>
            <w:r w:rsidRPr="004C15A2">
              <w:rPr>
                <w:rFonts w:cs="Times New Roman"/>
                <w:sz w:val="22"/>
                <w:szCs w:val="22"/>
              </w:rPr>
              <w:t>na hrudníku</w:t>
            </w:r>
            <w:r w:rsidR="0085616C" w:rsidRPr="004C15A2">
              <w:rPr>
                <w:rFonts w:cs="Times New Roman"/>
                <w:sz w:val="22"/>
                <w:szCs w:val="22"/>
              </w:rPr>
              <w:t>*</w:t>
            </w:r>
          </w:p>
        </w:tc>
        <w:tc>
          <w:tcPr>
            <w:tcW w:w="1526" w:type="dxa"/>
          </w:tcPr>
          <w:p w14:paraId="3A740BA3" w14:textId="77777777" w:rsidR="0085616C" w:rsidRPr="004C15A2" w:rsidRDefault="0085616C" w:rsidP="00097A42">
            <w:pPr>
              <w:pStyle w:val="TableText"/>
              <w:rPr>
                <w:rFonts w:cs="Times New Roman"/>
                <w:sz w:val="22"/>
                <w:szCs w:val="22"/>
              </w:rPr>
            </w:pPr>
          </w:p>
        </w:tc>
        <w:tc>
          <w:tcPr>
            <w:tcW w:w="1978" w:type="dxa"/>
          </w:tcPr>
          <w:p w14:paraId="10EF3652" w14:textId="77777777" w:rsidR="0085616C" w:rsidRPr="004C15A2" w:rsidRDefault="0085616C" w:rsidP="00097A42">
            <w:pPr>
              <w:pStyle w:val="TableText"/>
              <w:rPr>
                <w:rFonts w:cs="Times New Roman"/>
                <w:sz w:val="22"/>
                <w:szCs w:val="22"/>
              </w:rPr>
            </w:pPr>
          </w:p>
        </w:tc>
      </w:tr>
      <w:tr w:rsidR="0085616C" w:rsidRPr="004C15A2" w14:paraId="4A84BF4B" w14:textId="77777777" w:rsidTr="00170A8F">
        <w:trPr>
          <w:trHeight w:val="269"/>
        </w:trPr>
        <w:tc>
          <w:tcPr>
            <w:tcW w:w="9620" w:type="dxa"/>
            <w:gridSpan w:val="5"/>
          </w:tcPr>
          <w:p w14:paraId="5D1A06D3" w14:textId="77777777" w:rsidR="0085616C" w:rsidRPr="004C15A2" w:rsidRDefault="0085616C" w:rsidP="00097A42">
            <w:pPr>
              <w:pStyle w:val="TableText"/>
              <w:rPr>
                <w:rFonts w:cs="Times New Roman"/>
                <w:sz w:val="22"/>
                <w:szCs w:val="22"/>
              </w:rPr>
            </w:pPr>
            <w:r w:rsidRPr="004C15A2">
              <w:rPr>
                <w:rFonts w:cs="Times New Roman"/>
                <w:sz w:val="22"/>
                <w:szCs w:val="22"/>
              </w:rPr>
              <w:t>*</w:t>
            </w:r>
            <w:r w:rsidR="0076268C" w:rsidRPr="00170A8F">
              <w:rPr>
                <w:rFonts w:cs="Times New Roman"/>
              </w:rPr>
              <w:t>nežiaduce reakcie identifikované po uvedení lieku na trh</w:t>
            </w:r>
          </w:p>
        </w:tc>
      </w:tr>
    </w:tbl>
    <w:p w14:paraId="61AB76A3" w14:textId="77777777" w:rsidR="0035791E" w:rsidRPr="00CD2862" w:rsidRDefault="0035791E" w:rsidP="00097A42">
      <w:pPr>
        <w:pStyle w:val="Paragraph"/>
        <w:spacing w:after="0"/>
        <w:rPr>
          <w:sz w:val="22"/>
          <w:szCs w:val="22"/>
          <w:lang w:val="sk-SK"/>
        </w:rPr>
      </w:pPr>
    </w:p>
    <w:p w14:paraId="09F3359E" w14:textId="6FDA6B5B" w:rsidR="00A9664B" w:rsidRPr="00CD2862" w:rsidRDefault="00CD2862" w:rsidP="00097A42">
      <w:pPr>
        <w:pStyle w:val="Nadpis3"/>
        <w:numPr>
          <w:ilvl w:val="0"/>
          <w:numId w:val="0"/>
        </w:numPr>
        <w:rPr>
          <w:rFonts w:ascii="Times New Roman" w:hAnsi="Times New Roman" w:cs="Times New Roman"/>
          <w:b w:val="0"/>
          <w:sz w:val="22"/>
          <w:szCs w:val="22"/>
        </w:rPr>
      </w:pPr>
      <w:r>
        <w:rPr>
          <w:rFonts w:ascii="Times New Roman" w:hAnsi="Times New Roman" w:cs="Times New Roman"/>
          <w:sz w:val="22"/>
          <w:szCs w:val="22"/>
        </w:rPr>
        <w:t>T</w:t>
      </w:r>
      <w:r w:rsidRPr="00170A8F">
        <w:rPr>
          <w:rFonts w:ascii="Times New Roman" w:hAnsi="Times New Roman" w:cs="Times New Roman"/>
          <w:sz w:val="22"/>
          <w:szCs w:val="22"/>
        </w:rPr>
        <w:t>imolólium-hydrogenmaleát</w:t>
      </w:r>
      <w:r w:rsidR="00A9664B" w:rsidRPr="00CD2862">
        <w:rPr>
          <w:rFonts w:ascii="Times New Roman" w:hAnsi="Times New Roman" w:cs="Times New Roman"/>
          <w:b w:val="0"/>
          <w:sz w:val="22"/>
          <w:szCs w:val="22"/>
        </w:rPr>
        <w:t xml:space="preserve"> (</w:t>
      </w:r>
      <w:r w:rsidR="000B10E0" w:rsidRPr="00CD2862">
        <w:rPr>
          <w:rFonts w:ascii="Times New Roman" w:hAnsi="Times New Roman" w:cs="Times New Roman"/>
          <w:b w:val="0"/>
          <w:sz w:val="22"/>
          <w:szCs w:val="22"/>
        </w:rPr>
        <w:t>očné podávanie)</w:t>
      </w:r>
    </w:p>
    <w:p w14:paraId="525C9F2D" w14:textId="29556EDB" w:rsidR="00673CAC" w:rsidRPr="00CD2862" w:rsidRDefault="00673CAC" w:rsidP="009D3632">
      <w:pPr>
        <w:rPr>
          <w:bCs/>
          <w:sz w:val="22"/>
          <w:szCs w:val="22"/>
        </w:rPr>
      </w:pPr>
      <w:r w:rsidRPr="00CD2862">
        <w:rPr>
          <w:bCs/>
          <w:sz w:val="22"/>
          <w:szCs w:val="22"/>
        </w:rPr>
        <w:t xml:space="preserve">Ďalšie nežiaduce </w:t>
      </w:r>
      <w:r w:rsidR="00870561" w:rsidRPr="00CD2862">
        <w:rPr>
          <w:bCs/>
          <w:sz w:val="22"/>
          <w:szCs w:val="22"/>
        </w:rPr>
        <w:t>reakcie</w:t>
      </w:r>
      <w:r w:rsidRPr="00CD2862">
        <w:rPr>
          <w:bCs/>
          <w:sz w:val="22"/>
          <w:szCs w:val="22"/>
        </w:rPr>
        <w:t xml:space="preserve"> boli pozorované pri jednej z účinných látok</w:t>
      </w:r>
      <w:r w:rsidR="004E6276" w:rsidRPr="00CD2862">
        <w:rPr>
          <w:bCs/>
          <w:sz w:val="22"/>
          <w:szCs w:val="22"/>
        </w:rPr>
        <w:t xml:space="preserve"> - </w:t>
      </w:r>
      <w:r w:rsidR="00CD2862" w:rsidRPr="00BE1625">
        <w:rPr>
          <w:sz w:val="22"/>
          <w:szCs w:val="22"/>
        </w:rPr>
        <w:t>timolólium-hydrogenmaleá</w:t>
      </w:r>
      <w:r w:rsidR="00CD2862">
        <w:rPr>
          <w:bCs/>
          <w:sz w:val="22"/>
          <w:szCs w:val="22"/>
        </w:rPr>
        <w:t>te</w:t>
      </w:r>
      <w:r w:rsidRPr="00CD2862">
        <w:rPr>
          <w:bCs/>
          <w:sz w:val="22"/>
          <w:szCs w:val="22"/>
        </w:rPr>
        <w:t>, keď bol použitý pri</w:t>
      </w:r>
      <w:r w:rsidR="00870561" w:rsidRPr="00CD2862">
        <w:rPr>
          <w:bCs/>
          <w:sz w:val="22"/>
          <w:szCs w:val="22"/>
        </w:rPr>
        <w:t> </w:t>
      </w:r>
      <w:r w:rsidRPr="00CD2862">
        <w:rPr>
          <w:bCs/>
          <w:sz w:val="22"/>
          <w:szCs w:val="22"/>
        </w:rPr>
        <w:t>očnom podávaní</w:t>
      </w:r>
      <w:r w:rsidR="00246F57" w:rsidRPr="00CD2862">
        <w:rPr>
          <w:bCs/>
          <w:sz w:val="22"/>
          <w:szCs w:val="22"/>
        </w:rPr>
        <w:t>.</w:t>
      </w:r>
    </w:p>
    <w:p w14:paraId="465364B4" w14:textId="77777777" w:rsidR="00A9664B" w:rsidRPr="00CD2862" w:rsidRDefault="00A9664B" w:rsidP="00097A42">
      <w:pPr>
        <w:tabs>
          <w:tab w:val="left" w:pos="0"/>
        </w:tabs>
        <w:rPr>
          <w:sz w:val="22"/>
          <w:szCs w:val="22"/>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670"/>
      </w:tblGrid>
      <w:tr w:rsidR="00A9664B" w:rsidRPr="004C15A2" w14:paraId="7349438C" w14:textId="77777777" w:rsidTr="0059266B">
        <w:trPr>
          <w:trHeight w:val="494"/>
          <w:tblHeader/>
        </w:trPr>
        <w:tc>
          <w:tcPr>
            <w:tcW w:w="3528" w:type="dxa"/>
          </w:tcPr>
          <w:p w14:paraId="084B21B0" w14:textId="77777777" w:rsidR="00453067" w:rsidRPr="004C15A2" w:rsidRDefault="00453067" w:rsidP="00097A42">
            <w:pPr>
              <w:pStyle w:val="TableTextColHead"/>
              <w:jc w:val="left"/>
              <w:rPr>
                <w:rFonts w:ascii="Times New Roman" w:hAnsi="Times New Roman"/>
                <w:b w:val="0"/>
                <w:sz w:val="22"/>
                <w:szCs w:val="22"/>
                <w:highlight w:val="cyan"/>
              </w:rPr>
            </w:pPr>
          </w:p>
          <w:p w14:paraId="45581DAD" w14:textId="77777777" w:rsidR="00A9664B" w:rsidRPr="004C15A2" w:rsidRDefault="00453067" w:rsidP="00097A42">
            <w:pPr>
              <w:pStyle w:val="TableTextColHead"/>
              <w:jc w:val="left"/>
              <w:rPr>
                <w:rFonts w:ascii="Times New Roman" w:hAnsi="Times New Roman"/>
                <w:b w:val="0"/>
                <w:sz w:val="22"/>
                <w:szCs w:val="22"/>
              </w:rPr>
            </w:pPr>
            <w:r w:rsidRPr="004C15A2">
              <w:rPr>
                <w:rFonts w:ascii="Times New Roman" w:hAnsi="Times New Roman"/>
                <w:b w:val="0"/>
                <w:sz w:val="22"/>
                <w:szCs w:val="22"/>
              </w:rPr>
              <w:t>Trieda orgánových systémov</w:t>
            </w:r>
          </w:p>
          <w:p w14:paraId="60774D4A" w14:textId="77777777" w:rsidR="00453067" w:rsidRPr="004C15A2" w:rsidRDefault="00453067" w:rsidP="009D3632">
            <w:pPr>
              <w:rPr>
                <w:sz w:val="22"/>
                <w:szCs w:val="22"/>
                <w:highlight w:val="cyan"/>
                <w:lang w:val="en-US"/>
              </w:rPr>
            </w:pPr>
          </w:p>
        </w:tc>
        <w:tc>
          <w:tcPr>
            <w:tcW w:w="5670" w:type="dxa"/>
          </w:tcPr>
          <w:p w14:paraId="5BDCE8BF" w14:textId="77777777" w:rsidR="00453067" w:rsidRPr="004C15A2" w:rsidRDefault="00453067" w:rsidP="00097A42">
            <w:pPr>
              <w:pStyle w:val="TableTextColHead"/>
              <w:rPr>
                <w:rFonts w:ascii="Times New Roman" w:hAnsi="Times New Roman"/>
                <w:sz w:val="22"/>
                <w:szCs w:val="22"/>
                <w:highlight w:val="cyan"/>
              </w:rPr>
            </w:pPr>
          </w:p>
          <w:p w14:paraId="44D9D18F" w14:textId="77777777" w:rsidR="00A9664B" w:rsidRPr="004C15A2" w:rsidRDefault="00246F57" w:rsidP="00097A42">
            <w:pPr>
              <w:pStyle w:val="TableTextColHead"/>
              <w:rPr>
                <w:rFonts w:ascii="Times New Roman" w:hAnsi="Times New Roman"/>
                <w:sz w:val="22"/>
                <w:szCs w:val="22"/>
                <w:highlight w:val="cyan"/>
              </w:rPr>
            </w:pPr>
            <w:r w:rsidRPr="004C15A2">
              <w:rPr>
                <w:rFonts w:ascii="Times New Roman" w:hAnsi="Times New Roman"/>
                <w:sz w:val="22"/>
                <w:szCs w:val="22"/>
              </w:rPr>
              <w:t>Nežiaduce reakcie</w:t>
            </w:r>
          </w:p>
        </w:tc>
      </w:tr>
      <w:tr w:rsidR="00A9664B" w:rsidRPr="004C15A2" w14:paraId="29A1D332" w14:textId="77777777" w:rsidTr="0059266B">
        <w:tc>
          <w:tcPr>
            <w:tcW w:w="3528" w:type="dxa"/>
          </w:tcPr>
          <w:p w14:paraId="5CB14193" w14:textId="77777777" w:rsidR="00453067" w:rsidRPr="004C15A2" w:rsidRDefault="00453067" w:rsidP="00097A42">
            <w:pPr>
              <w:pStyle w:val="TableText"/>
              <w:rPr>
                <w:rFonts w:cs="Times New Roman"/>
                <w:sz w:val="22"/>
                <w:szCs w:val="22"/>
                <w:highlight w:val="cyan"/>
              </w:rPr>
            </w:pPr>
            <w:r w:rsidRPr="004C15A2">
              <w:rPr>
                <w:rFonts w:cs="Times New Roman"/>
                <w:sz w:val="22"/>
                <w:szCs w:val="22"/>
                <w:lang w:val="sk-SK"/>
              </w:rPr>
              <w:t>Poruchy imunitného systému</w:t>
            </w:r>
          </w:p>
        </w:tc>
        <w:tc>
          <w:tcPr>
            <w:tcW w:w="5670" w:type="dxa"/>
          </w:tcPr>
          <w:p w14:paraId="172D9E04" w14:textId="77777777" w:rsidR="00A9664B" w:rsidRPr="004C15A2" w:rsidRDefault="00870561" w:rsidP="00097A42">
            <w:pPr>
              <w:pStyle w:val="TableText"/>
              <w:rPr>
                <w:rFonts w:cs="Times New Roman"/>
                <w:sz w:val="22"/>
                <w:szCs w:val="22"/>
              </w:rPr>
            </w:pPr>
            <w:r w:rsidRPr="004C15A2">
              <w:rPr>
                <w:rFonts w:cs="Times New Roman"/>
                <w:sz w:val="22"/>
                <w:szCs w:val="22"/>
                <w:lang w:val="sk-SK"/>
              </w:rPr>
              <w:t>prejav</w:t>
            </w:r>
            <w:r w:rsidR="00453067" w:rsidRPr="004C15A2">
              <w:rPr>
                <w:rFonts w:cs="Times New Roman"/>
                <w:sz w:val="22"/>
                <w:szCs w:val="22"/>
                <w:lang w:val="sk-SK"/>
              </w:rPr>
              <w:t>y a symptómy systémových alergických reakcií vrátane anaf</w:t>
            </w:r>
            <w:r w:rsidR="00246F57" w:rsidRPr="004C15A2">
              <w:rPr>
                <w:rFonts w:cs="Times New Roman"/>
                <w:sz w:val="22"/>
                <w:szCs w:val="22"/>
                <w:lang w:val="sk-SK"/>
              </w:rPr>
              <w:t>ylaxie, angioedém</w:t>
            </w:r>
            <w:r w:rsidR="003E6832" w:rsidRPr="004C15A2">
              <w:rPr>
                <w:rFonts w:cs="Times New Roman"/>
                <w:sz w:val="22"/>
                <w:szCs w:val="22"/>
                <w:lang w:val="sk-SK"/>
              </w:rPr>
              <w:t>u</w:t>
            </w:r>
            <w:r w:rsidR="00246F57" w:rsidRPr="004C15A2">
              <w:rPr>
                <w:rFonts w:cs="Times New Roman"/>
                <w:sz w:val="22"/>
                <w:szCs w:val="22"/>
                <w:lang w:val="sk-SK"/>
              </w:rPr>
              <w:t>, urtikári</w:t>
            </w:r>
            <w:r w:rsidR="003E6832" w:rsidRPr="004C15A2">
              <w:rPr>
                <w:rFonts w:cs="Times New Roman"/>
                <w:sz w:val="22"/>
                <w:szCs w:val="22"/>
                <w:lang w:val="sk-SK"/>
              </w:rPr>
              <w:t>e</w:t>
            </w:r>
            <w:r w:rsidR="00453067" w:rsidRPr="004C15A2">
              <w:rPr>
                <w:rFonts w:cs="Times New Roman"/>
                <w:sz w:val="22"/>
                <w:szCs w:val="22"/>
                <w:lang w:val="sk-SK"/>
              </w:rPr>
              <w:t>, pruritu</w:t>
            </w:r>
            <w:r w:rsidR="00246F57" w:rsidRPr="004C15A2">
              <w:rPr>
                <w:rFonts w:cs="Times New Roman"/>
                <w:sz w:val="22"/>
                <w:szCs w:val="22"/>
                <w:lang w:val="sk-SK"/>
              </w:rPr>
              <w:t>s</w:t>
            </w:r>
            <w:r w:rsidR="003E6832" w:rsidRPr="004C15A2">
              <w:rPr>
                <w:rFonts w:cs="Times New Roman"/>
                <w:sz w:val="22"/>
                <w:szCs w:val="22"/>
                <w:lang w:val="sk-SK"/>
              </w:rPr>
              <w:t>u</w:t>
            </w:r>
            <w:r w:rsidR="00246F57" w:rsidRPr="004C15A2">
              <w:rPr>
                <w:rFonts w:cs="Times New Roman"/>
                <w:sz w:val="22"/>
                <w:szCs w:val="22"/>
                <w:lang w:val="sk-SK"/>
              </w:rPr>
              <w:t>, lokalizovan</w:t>
            </w:r>
            <w:r w:rsidR="003E6832" w:rsidRPr="004C15A2">
              <w:rPr>
                <w:rFonts w:cs="Times New Roman"/>
                <w:sz w:val="22"/>
                <w:szCs w:val="22"/>
                <w:lang w:val="sk-SK"/>
              </w:rPr>
              <w:t>ej</w:t>
            </w:r>
            <w:r w:rsidR="00246F57" w:rsidRPr="004C15A2">
              <w:rPr>
                <w:rFonts w:cs="Times New Roman"/>
                <w:sz w:val="22"/>
                <w:szCs w:val="22"/>
                <w:lang w:val="sk-SK"/>
              </w:rPr>
              <w:t xml:space="preserve"> a generalizovan</w:t>
            </w:r>
            <w:r w:rsidR="003E6832" w:rsidRPr="004C15A2">
              <w:rPr>
                <w:rFonts w:cs="Times New Roman"/>
                <w:sz w:val="22"/>
                <w:szCs w:val="22"/>
                <w:lang w:val="sk-SK"/>
              </w:rPr>
              <w:t>ej</w:t>
            </w:r>
            <w:r w:rsidR="00246F57" w:rsidRPr="004C15A2">
              <w:rPr>
                <w:rFonts w:cs="Times New Roman"/>
                <w:sz w:val="22"/>
                <w:szCs w:val="22"/>
                <w:lang w:val="sk-SK"/>
              </w:rPr>
              <w:t xml:space="preserve"> vyrážk</w:t>
            </w:r>
            <w:r w:rsidR="003E6832" w:rsidRPr="004C15A2">
              <w:rPr>
                <w:rFonts w:cs="Times New Roman"/>
                <w:sz w:val="22"/>
                <w:szCs w:val="22"/>
                <w:lang w:val="sk-SK"/>
              </w:rPr>
              <w:t>y</w:t>
            </w:r>
            <w:r w:rsidR="00453067" w:rsidRPr="004C15A2">
              <w:rPr>
                <w:rFonts w:cs="Times New Roman"/>
                <w:sz w:val="22"/>
                <w:szCs w:val="22"/>
                <w:lang w:val="sk-SK"/>
              </w:rPr>
              <w:t xml:space="preserve"> </w:t>
            </w:r>
          </w:p>
          <w:p w14:paraId="4C13AB5C" w14:textId="77777777" w:rsidR="00453067" w:rsidRPr="004C15A2" w:rsidRDefault="00453067" w:rsidP="00097A42">
            <w:pPr>
              <w:pStyle w:val="TableText"/>
              <w:rPr>
                <w:rFonts w:cs="Times New Roman"/>
                <w:sz w:val="22"/>
                <w:szCs w:val="22"/>
              </w:rPr>
            </w:pPr>
          </w:p>
        </w:tc>
      </w:tr>
      <w:tr w:rsidR="00A9664B" w:rsidRPr="004C15A2" w14:paraId="299711E4" w14:textId="77777777" w:rsidTr="0059266B">
        <w:tc>
          <w:tcPr>
            <w:tcW w:w="3528" w:type="dxa"/>
          </w:tcPr>
          <w:p w14:paraId="402FF8C9" w14:textId="77777777" w:rsidR="000B10E0" w:rsidRPr="004C15A2" w:rsidRDefault="000B10E0" w:rsidP="00097A42">
            <w:pPr>
              <w:pStyle w:val="TableText"/>
              <w:rPr>
                <w:rFonts w:cs="Times New Roman"/>
                <w:sz w:val="22"/>
                <w:szCs w:val="22"/>
              </w:rPr>
            </w:pPr>
            <w:r w:rsidRPr="004C15A2">
              <w:rPr>
                <w:rFonts w:cs="Times New Roman"/>
                <w:sz w:val="22"/>
                <w:szCs w:val="22"/>
                <w:lang w:val="sk-SK"/>
              </w:rPr>
              <w:t>Poruchy metabolizmu a výživy</w:t>
            </w:r>
          </w:p>
          <w:p w14:paraId="0B6805C6" w14:textId="77777777" w:rsidR="00453067" w:rsidRPr="004C15A2" w:rsidRDefault="00453067" w:rsidP="00097A42">
            <w:pPr>
              <w:pStyle w:val="TableText"/>
              <w:rPr>
                <w:rFonts w:cs="Times New Roman"/>
                <w:sz w:val="22"/>
                <w:szCs w:val="22"/>
              </w:rPr>
            </w:pPr>
          </w:p>
        </w:tc>
        <w:tc>
          <w:tcPr>
            <w:tcW w:w="5670" w:type="dxa"/>
          </w:tcPr>
          <w:p w14:paraId="30B22CBC" w14:textId="77777777" w:rsidR="00453067" w:rsidRPr="004C15A2" w:rsidRDefault="00246F57" w:rsidP="009D3632">
            <w:pPr>
              <w:pStyle w:val="TableText"/>
              <w:rPr>
                <w:rFonts w:cs="Times New Roman"/>
                <w:sz w:val="22"/>
                <w:szCs w:val="22"/>
              </w:rPr>
            </w:pPr>
            <w:r w:rsidRPr="004C15A2">
              <w:rPr>
                <w:rFonts w:cs="Times New Roman"/>
                <w:sz w:val="22"/>
                <w:szCs w:val="22"/>
                <w:lang w:val="sk-SK"/>
              </w:rPr>
              <w:t xml:space="preserve">maskované príznaky hypoglykémie u pacientov s diabetom, </w:t>
            </w:r>
            <w:r w:rsidR="00453067" w:rsidRPr="004C15A2">
              <w:rPr>
                <w:rFonts w:cs="Times New Roman"/>
                <w:sz w:val="22"/>
                <w:szCs w:val="22"/>
                <w:lang w:val="sk-SK"/>
              </w:rPr>
              <w:t xml:space="preserve">anorexia, </w:t>
            </w:r>
          </w:p>
          <w:p w14:paraId="3E6AFDCA" w14:textId="77777777" w:rsidR="00453067" w:rsidRPr="004C15A2" w:rsidRDefault="00453067" w:rsidP="00097A42">
            <w:pPr>
              <w:pStyle w:val="TableText"/>
              <w:rPr>
                <w:rFonts w:cs="Times New Roman"/>
                <w:sz w:val="22"/>
                <w:szCs w:val="22"/>
              </w:rPr>
            </w:pPr>
          </w:p>
        </w:tc>
      </w:tr>
      <w:tr w:rsidR="00A9664B" w:rsidRPr="004C15A2" w14:paraId="537E24B4" w14:textId="77777777" w:rsidTr="0059266B">
        <w:tc>
          <w:tcPr>
            <w:tcW w:w="3528" w:type="dxa"/>
          </w:tcPr>
          <w:p w14:paraId="239613B3" w14:textId="77777777" w:rsidR="000B10E0" w:rsidRPr="004C15A2" w:rsidRDefault="000B10E0" w:rsidP="009D3632">
            <w:pPr>
              <w:pStyle w:val="TableText"/>
              <w:rPr>
                <w:rFonts w:cs="Times New Roman"/>
                <w:sz w:val="22"/>
                <w:szCs w:val="22"/>
              </w:rPr>
            </w:pPr>
            <w:r w:rsidRPr="004C15A2">
              <w:rPr>
                <w:rFonts w:cs="Times New Roman"/>
                <w:sz w:val="22"/>
                <w:szCs w:val="22"/>
                <w:lang w:val="sk-SK"/>
              </w:rPr>
              <w:t>Psychické poruchy</w:t>
            </w:r>
          </w:p>
          <w:p w14:paraId="4F7E7286" w14:textId="77777777" w:rsidR="000B10E0" w:rsidRPr="004C15A2" w:rsidRDefault="000B10E0" w:rsidP="00097A42">
            <w:pPr>
              <w:pStyle w:val="TableText"/>
              <w:rPr>
                <w:rFonts w:cs="Times New Roman"/>
                <w:sz w:val="22"/>
                <w:szCs w:val="22"/>
              </w:rPr>
            </w:pPr>
          </w:p>
        </w:tc>
        <w:tc>
          <w:tcPr>
            <w:tcW w:w="5670" w:type="dxa"/>
          </w:tcPr>
          <w:p w14:paraId="40FC56DF" w14:textId="77777777" w:rsidR="000B10E0" w:rsidRPr="004C15A2" w:rsidRDefault="000B10E0" w:rsidP="00097A42">
            <w:pPr>
              <w:pStyle w:val="Paragraph"/>
              <w:spacing w:after="0"/>
              <w:rPr>
                <w:sz w:val="22"/>
                <w:szCs w:val="22"/>
                <w:lang w:val="sk-SK"/>
              </w:rPr>
            </w:pPr>
            <w:r w:rsidRPr="004C15A2">
              <w:rPr>
                <w:sz w:val="22"/>
                <w:szCs w:val="22"/>
              </w:rPr>
              <w:t>zmeny správania a psychické poruchy vrátane zmätenosti, halucinácií, úzkosti, dezorientácie, nervozity a straty pamäte, nespavosť, depresia, nočné mory</w:t>
            </w:r>
            <w:r w:rsidRPr="004C15A2">
              <w:rPr>
                <w:sz w:val="22"/>
                <w:szCs w:val="22"/>
                <w:lang w:val="sk-SK"/>
              </w:rPr>
              <w:t xml:space="preserve"> </w:t>
            </w:r>
          </w:p>
          <w:p w14:paraId="2B9D7AD6" w14:textId="77777777" w:rsidR="00453067" w:rsidRPr="004C15A2" w:rsidRDefault="00453067" w:rsidP="00097A42">
            <w:pPr>
              <w:pStyle w:val="TableText"/>
              <w:rPr>
                <w:rFonts w:cs="Times New Roman"/>
                <w:sz w:val="22"/>
                <w:szCs w:val="22"/>
              </w:rPr>
            </w:pPr>
          </w:p>
        </w:tc>
      </w:tr>
      <w:tr w:rsidR="00A9664B" w:rsidRPr="004C15A2" w14:paraId="2A1B9F02" w14:textId="77777777" w:rsidTr="0059266B">
        <w:tc>
          <w:tcPr>
            <w:tcW w:w="3528" w:type="dxa"/>
          </w:tcPr>
          <w:p w14:paraId="2952F9BD" w14:textId="77777777" w:rsidR="000B10E0" w:rsidRPr="004C15A2" w:rsidRDefault="000B10E0" w:rsidP="00097A42">
            <w:pPr>
              <w:pStyle w:val="TableText"/>
              <w:rPr>
                <w:rFonts w:cs="Times New Roman"/>
                <w:sz w:val="22"/>
                <w:szCs w:val="22"/>
              </w:rPr>
            </w:pPr>
            <w:r w:rsidRPr="004C15A2">
              <w:rPr>
                <w:rFonts w:cs="Times New Roman"/>
                <w:sz w:val="22"/>
                <w:szCs w:val="22"/>
                <w:lang w:val="sk-SK"/>
              </w:rPr>
              <w:t>Poruchy nervového systému</w:t>
            </w:r>
          </w:p>
          <w:p w14:paraId="6F439429" w14:textId="77777777" w:rsidR="00A9664B" w:rsidRPr="004C15A2" w:rsidRDefault="00A9664B" w:rsidP="00097A42">
            <w:pPr>
              <w:pStyle w:val="TableText"/>
              <w:rPr>
                <w:rFonts w:cs="Times New Roman"/>
                <w:sz w:val="22"/>
                <w:szCs w:val="22"/>
              </w:rPr>
            </w:pPr>
          </w:p>
        </w:tc>
        <w:tc>
          <w:tcPr>
            <w:tcW w:w="5670" w:type="dxa"/>
          </w:tcPr>
          <w:p w14:paraId="0E97D432" w14:textId="77777777" w:rsidR="00A9664B" w:rsidRPr="004C15A2" w:rsidRDefault="000B10E0" w:rsidP="00097A42">
            <w:pPr>
              <w:pStyle w:val="TableText"/>
              <w:rPr>
                <w:rFonts w:cs="Times New Roman"/>
                <w:iCs/>
                <w:sz w:val="22"/>
                <w:szCs w:val="22"/>
              </w:rPr>
            </w:pPr>
            <w:r w:rsidRPr="004C15A2">
              <w:rPr>
                <w:rFonts w:cs="Times New Roman"/>
                <w:sz w:val="22"/>
                <w:szCs w:val="22"/>
                <w:lang w:val="sk-SK"/>
              </w:rPr>
              <w:t>cerebrovaskulárna príhoda</w:t>
            </w:r>
            <w:r w:rsidRPr="004C15A2">
              <w:rPr>
                <w:rFonts w:cs="Times New Roman"/>
                <w:iCs/>
                <w:sz w:val="22"/>
                <w:szCs w:val="22"/>
              </w:rPr>
              <w:t>,</w:t>
            </w:r>
            <w:r w:rsidR="00A9664B" w:rsidRPr="004C15A2">
              <w:rPr>
                <w:rFonts w:cs="Times New Roman"/>
                <w:iCs/>
                <w:sz w:val="22"/>
                <w:szCs w:val="22"/>
              </w:rPr>
              <w:t xml:space="preserve"> </w:t>
            </w:r>
            <w:r w:rsidRPr="004C15A2">
              <w:rPr>
                <w:rFonts w:cs="Times New Roman"/>
                <w:sz w:val="22"/>
                <w:szCs w:val="22"/>
                <w:lang w:val="sk-SK"/>
              </w:rPr>
              <w:t>cerebrovaskulárna ischémia</w:t>
            </w:r>
            <w:r w:rsidRPr="004C15A2">
              <w:rPr>
                <w:rFonts w:cs="Times New Roman"/>
                <w:iCs/>
                <w:sz w:val="22"/>
                <w:szCs w:val="22"/>
              </w:rPr>
              <w:t>,</w:t>
            </w:r>
            <w:r w:rsidR="00A9664B" w:rsidRPr="004C15A2">
              <w:rPr>
                <w:rFonts w:cs="Times New Roman"/>
                <w:iCs/>
                <w:sz w:val="22"/>
                <w:szCs w:val="22"/>
              </w:rPr>
              <w:t xml:space="preserve"> </w:t>
            </w:r>
            <w:r w:rsidRPr="004C15A2">
              <w:rPr>
                <w:rFonts w:cs="Times New Roman"/>
                <w:sz w:val="22"/>
                <w:szCs w:val="22"/>
                <w:lang w:val="sk-SK"/>
              </w:rPr>
              <w:t>závraty</w:t>
            </w:r>
            <w:r w:rsidRPr="004C15A2">
              <w:rPr>
                <w:rFonts w:cs="Times New Roman"/>
                <w:iCs/>
                <w:sz w:val="22"/>
                <w:szCs w:val="22"/>
              </w:rPr>
              <w:t xml:space="preserve">, </w:t>
            </w:r>
            <w:r w:rsidRPr="004C15A2">
              <w:rPr>
                <w:rFonts w:cs="Times New Roman"/>
                <w:sz w:val="22"/>
                <w:szCs w:val="22"/>
                <w:lang w:val="sk-SK"/>
              </w:rPr>
              <w:t xml:space="preserve">zhoršenie </w:t>
            </w:r>
            <w:r w:rsidR="003E6832" w:rsidRPr="004C15A2">
              <w:rPr>
                <w:rFonts w:cs="Times New Roman"/>
                <w:sz w:val="22"/>
                <w:szCs w:val="22"/>
                <w:lang w:val="sk-SK"/>
              </w:rPr>
              <w:t>prejav</w:t>
            </w:r>
            <w:r w:rsidRPr="004C15A2">
              <w:rPr>
                <w:rFonts w:cs="Times New Roman"/>
                <w:sz w:val="22"/>
                <w:szCs w:val="22"/>
                <w:lang w:val="sk-SK"/>
              </w:rPr>
              <w:t>ov a symptómov myasténie gravis</w:t>
            </w:r>
            <w:r w:rsidRPr="004C15A2">
              <w:rPr>
                <w:rFonts w:cs="Times New Roman"/>
                <w:iCs/>
                <w:sz w:val="22"/>
                <w:szCs w:val="22"/>
              </w:rPr>
              <w:t xml:space="preserve">, </w:t>
            </w:r>
            <w:r w:rsidRPr="004C15A2">
              <w:rPr>
                <w:rFonts w:cs="Times New Roman"/>
                <w:sz w:val="22"/>
                <w:szCs w:val="22"/>
                <w:lang w:val="sk-SK"/>
              </w:rPr>
              <w:t>parestézia</w:t>
            </w:r>
            <w:r w:rsidRPr="004C15A2">
              <w:rPr>
                <w:rFonts w:cs="Times New Roman"/>
                <w:iCs/>
                <w:sz w:val="22"/>
                <w:szCs w:val="22"/>
              </w:rPr>
              <w:t xml:space="preserve">, </w:t>
            </w:r>
            <w:r w:rsidRPr="004C15A2">
              <w:rPr>
                <w:rFonts w:cs="Times New Roman"/>
                <w:sz w:val="22"/>
                <w:szCs w:val="22"/>
                <w:lang w:val="sk-SK"/>
              </w:rPr>
              <w:t xml:space="preserve">somnolencia, </w:t>
            </w:r>
            <w:r w:rsidRPr="004C15A2">
              <w:rPr>
                <w:rFonts w:cs="Times New Roman"/>
                <w:iCs/>
                <w:sz w:val="22"/>
                <w:szCs w:val="22"/>
              </w:rPr>
              <w:t xml:space="preserve">bolesť hlavy, </w:t>
            </w:r>
            <w:r w:rsidR="009424D4" w:rsidRPr="004C15A2">
              <w:rPr>
                <w:rFonts w:cs="Times New Roman"/>
                <w:iCs/>
                <w:sz w:val="22"/>
                <w:szCs w:val="22"/>
              </w:rPr>
              <w:t>synk</w:t>
            </w:r>
            <w:r w:rsidR="00A9664B" w:rsidRPr="004C15A2">
              <w:rPr>
                <w:rFonts w:cs="Times New Roman"/>
                <w:iCs/>
                <w:sz w:val="22"/>
                <w:szCs w:val="22"/>
              </w:rPr>
              <w:t>op</w:t>
            </w:r>
            <w:r w:rsidRPr="004C15A2">
              <w:rPr>
                <w:rFonts w:cs="Times New Roman"/>
                <w:iCs/>
                <w:sz w:val="22"/>
                <w:szCs w:val="22"/>
              </w:rPr>
              <w:t>a</w:t>
            </w:r>
          </w:p>
          <w:p w14:paraId="71B439D5" w14:textId="77777777" w:rsidR="000B10E0" w:rsidRPr="004C15A2" w:rsidRDefault="000B10E0" w:rsidP="009D3632">
            <w:pPr>
              <w:pStyle w:val="Paragraph"/>
              <w:spacing w:after="0"/>
              <w:rPr>
                <w:sz w:val="22"/>
                <w:szCs w:val="22"/>
                <w:lang w:val="sk-SK"/>
              </w:rPr>
            </w:pPr>
          </w:p>
        </w:tc>
      </w:tr>
      <w:tr w:rsidR="00A9664B" w:rsidRPr="004C15A2" w14:paraId="3BBEC89B" w14:textId="77777777" w:rsidTr="0059266B">
        <w:tc>
          <w:tcPr>
            <w:tcW w:w="3528" w:type="dxa"/>
          </w:tcPr>
          <w:p w14:paraId="00AFE8AC" w14:textId="77777777" w:rsidR="00A9664B" w:rsidRPr="004C15A2" w:rsidRDefault="009424D4" w:rsidP="009D3632">
            <w:pPr>
              <w:pStyle w:val="TableText"/>
              <w:rPr>
                <w:rFonts w:cs="Times New Roman"/>
                <w:sz w:val="22"/>
                <w:szCs w:val="22"/>
                <w:highlight w:val="cyan"/>
              </w:rPr>
            </w:pPr>
            <w:r w:rsidRPr="004C15A2">
              <w:rPr>
                <w:rFonts w:cs="Times New Roman"/>
                <w:sz w:val="22"/>
                <w:szCs w:val="22"/>
                <w:lang w:val="sk-SK"/>
              </w:rPr>
              <w:t>Poruchy oka</w:t>
            </w:r>
          </w:p>
        </w:tc>
        <w:tc>
          <w:tcPr>
            <w:tcW w:w="5670" w:type="dxa"/>
          </w:tcPr>
          <w:p w14:paraId="777DB2E5" w14:textId="77777777" w:rsidR="009424D4" w:rsidRPr="004C15A2" w:rsidRDefault="009424D4" w:rsidP="00097A42">
            <w:pPr>
              <w:pStyle w:val="Paragraph"/>
              <w:spacing w:after="0"/>
              <w:rPr>
                <w:sz w:val="22"/>
                <w:szCs w:val="22"/>
                <w:lang w:val="sk-SK"/>
              </w:rPr>
            </w:pPr>
            <w:r w:rsidRPr="004C15A2">
              <w:rPr>
                <w:sz w:val="22"/>
                <w:szCs w:val="22"/>
                <w:lang w:val="sk-SK"/>
              </w:rPr>
              <w:t xml:space="preserve">cystoidný makulárny edém, odlúčenie chorioidey </w:t>
            </w:r>
          </w:p>
          <w:p w14:paraId="2C450609" w14:textId="77777777" w:rsidR="009424D4" w:rsidRPr="004C15A2" w:rsidRDefault="009424D4" w:rsidP="009D3632">
            <w:pPr>
              <w:pStyle w:val="Paragraph"/>
              <w:spacing w:after="0"/>
              <w:rPr>
                <w:sz w:val="22"/>
                <w:szCs w:val="22"/>
                <w:lang w:val="sk-SK"/>
              </w:rPr>
            </w:pPr>
            <w:r w:rsidRPr="004C15A2">
              <w:rPr>
                <w:sz w:val="22"/>
                <w:szCs w:val="22"/>
                <w:lang w:val="sk-SK"/>
              </w:rPr>
              <w:t xml:space="preserve">po filtračnom chirurgickom zákroku, erózie rohovky, keratitída, diplopia, znížená citlivosť rohovky, </w:t>
            </w:r>
            <w:r w:rsidR="003E6832" w:rsidRPr="004C15A2">
              <w:rPr>
                <w:sz w:val="22"/>
                <w:szCs w:val="22"/>
                <w:lang w:val="sk-SK"/>
              </w:rPr>
              <w:t>prejav</w:t>
            </w:r>
            <w:r w:rsidRPr="004C15A2">
              <w:rPr>
                <w:sz w:val="22"/>
                <w:szCs w:val="22"/>
                <w:lang w:val="sk-SK"/>
              </w:rPr>
              <w:t>y a symptómy podráždenia oka (napr. pálenie, pichanie, svrbenie, slzenie, sčervenanie), suché oči, ptóza, blefaritída, poruchy zraku vrátane refrakčných zmien, rozmazané videnie</w:t>
            </w:r>
          </w:p>
          <w:p w14:paraId="6F055C9C" w14:textId="77777777" w:rsidR="00453067" w:rsidRPr="004C15A2" w:rsidRDefault="00453067" w:rsidP="00097A42">
            <w:pPr>
              <w:pStyle w:val="TableText"/>
              <w:keepNext/>
              <w:keepLines/>
              <w:rPr>
                <w:rFonts w:cs="Times New Roman"/>
                <w:iCs/>
                <w:sz w:val="22"/>
                <w:szCs w:val="22"/>
              </w:rPr>
            </w:pPr>
          </w:p>
        </w:tc>
      </w:tr>
      <w:tr w:rsidR="00A9664B" w:rsidRPr="004C15A2" w14:paraId="5A30E973" w14:textId="77777777" w:rsidTr="0059266B">
        <w:tc>
          <w:tcPr>
            <w:tcW w:w="3528" w:type="dxa"/>
          </w:tcPr>
          <w:p w14:paraId="2122A692" w14:textId="77777777" w:rsidR="009424D4" w:rsidRPr="004C15A2" w:rsidRDefault="009424D4" w:rsidP="00097A42">
            <w:pPr>
              <w:pStyle w:val="TableText"/>
              <w:rPr>
                <w:rFonts w:cs="Times New Roman"/>
                <w:sz w:val="22"/>
                <w:szCs w:val="22"/>
              </w:rPr>
            </w:pPr>
            <w:r w:rsidRPr="004C15A2">
              <w:rPr>
                <w:rFonts w:cs="Times New Roman"/>
                <w:sz w:val="22"/>
                <w:szCs w:val="22"/>
                <w:lang w:val="sk-SK"/>
              </w:rPr>
              <w:t>Poruchy ucha a labyrintu</w:t>
            </w:r>
          </w:p>
          <w:p w14:paraId="495CF4B9" w14:textId="77777777" w:rsidR="00A9664B" w:rsidRPr="004C15A2" w:rsidRDefault="00A9664B" w:rsidP="00097A42">
            <w:pPr>
              <w:pStyle w:val="TableText"/>
              <w:rPr>
                <w:rFonts w:cs="Times New Roman"/>
                <w:sz w:val="22"/>
                <w:szCs w:val="22"/>
              </w:rPr>
            </w:pPr>
            <w:r w:rsidRPr="004C15A2">
              <w:rPr>
                <w:rFonts w:cs="Times New Roman"/>
                <w:sz w:val="22"/>
                <w:szCs w:val="22"/>
              </w:rPr>
              <w:t xml:space="preserve"> </w:t>
            </w:r>
          </w:p>
        </w:tc>
        <w:tc>
          <w:tcPr>
            <w:tcW w:w="5670" w:type="dxa"/>
          </w:tcPr>
          <w:p w14:paraId="0E253434" w14:textId="77777777" w:rsidR="00A9664B" w:rsidRPr="004C15A2" w:rsidRDefault="009424D4" w:rsidP="00097A42">
            <w:pPr>
              <w:pStyle w:val="TableText"/>
              <w:rPr>
                <w:rFonts w:cs="Times New Roman"/>
                <w:sz w:val="22"/>
                <w:szCs w:val="22"/>
              </w:rPr>
            </w:pPr>
            <w:r w:rsidRPr="004C15A2">
              <w:rPr>
                <w:rFonts w:cs="Times New Roman"/>
                <w:sz w:val="22"/>
                <w:szCs w:val="22"/>
              </w:rPr>
              <w:t>t</w:t>
            </w:r>
            <w:r w:rsidR="00A9664B" w:rsidRPr="004C15A2">
              <w:rPr>
                <w:rFonts w:cs="Times New Roman"/>
                <w:sz w:val="22"/>
                <w:szCs w:val="22"/>
              </w:rPr>
              <w:t>initus</w:t>
            </w:r>
          </w:p>
          <w:p w14:paraId="44505DF2" w14:textId="77777777" w:rsidR="00453067" w:rsidRPr="004C15A2" w:rsidRDefault="00453067" w:rsidP="00097A42">
            <w:pPr>
              <w:pStyle w:val="TableText"/>
              <w:rPr>
                <w:rFonts w:cs="Times New Roman"/>
                <w:sz w:val="22"/>
                <w:szCs w:val="22"/>
              </w:rPr>
            </w:pPr>
          </w:p>
        </w:tc>
      </w:tr>
      <w:tr w:rsidR="00A9664B" w:rsidRPr="004C15A2" w14:paraId="4CA6BA50" w14:textId="77777777" w:rsidTr="0059266B">
        <w:tc>
          <w:tcPr>
            <w:tcW w:w="3528" w:type="dxa"/>
          </w:tcPr>
          <w:p w14:paraId="2178C722" w14:textId="77777777" w:rsidR="009424D4" w:rsidRPr="004C15A2" w:rsidRDefault="009424D4" w:rsidP="009D3632">
            <w:pPr>
              <w:pStyle w:val="TableText"/>
              <w:rPr>
                <w:rFonts w:cs="Times New Roman"/>
                <w:sz w:val="22"/>
                <w:szCs w:val="22"/>
              </w:rPr>
            </w:pPr>
            <w:r w:rsidRPr="004C15A2">
              <w:rPr>
                <w:rFonts w:cs="Times New Roman"/>
                <w:sz w:val="22"/>
                <w:szCs w:val="22"/>
                <w:lang w:val="sk-SK"/>
              </w:rPr>
              <w:t>Poruchy srdca a srdcovej činnosti</w:t>
            </w:r>
          </w:p>
          <w:p w14:paraId="317C1B79" w14:textId="77777777" w:rsidR="00A9664B" w:rsidRPr="004C15A2" w:rsidRDefault="00A9664B" w:rsidP="00097A42">
            <w:pPr>
              <w:pStyle w:val="TableText"/>
              <w:rPr>
                <w:rFonts w:cs="Times New Roman"/>
                <w:sz w:val="22"/>
                <w:szCs w:val="22"/>
              </w:rPr>
            </w:pPr>
            <w:r w:rsidRPr="004C15A2">
              <w:rPr>
                <w:rFonts w:cs="Times New Roman"/>
                <w:sz w:val="22"/>
                <w:szCs w:val="22"/>
              </w:rPr>
              <w:t xml:space="preserve"> </w:t>
            </w:r>
          </w:p>
        </w:tc>
        <w:tc>
          <w:tcPr>
            <w:tcW w:w="5670" w:type="dxa"/>
          </w:tcPr>
          <w:p w14:paraId="0136CCAC" w14:textId="77777777" w:rsidR="00A9664B" w:rsidRPr="004C15A2" w:rsidRDefault="009424D4" w:rsidP="00097A42">
            <w:pPr>
              <w:pStyle w:val="TableText"/>
              <w:rPr>
                <w:rFonts w:cs="Times New Roman"/>
                <w:iCs/>
                <w:sz w:val="22"/>
                <w:szCs w:val="22"/>
              </w:rPr>
            </w:pPr>
            <w:r w:rsidRPr="004C15A2">
              <w:rPr>
                <w:rFonts w:cs="Times New Roman"/>
                <w:sz w:val="22"/>
                <w:szCs w:val="22"/>
                <w:lang w:val="sk-SK"/>
              </w:rPr>
              <w:t>zastavenie srdca</w:t>
            </w:r>
            <w:r w:rsidRPr="004C15A2">
              <w:rPr>
                <w:rFonts w:cs="Times New Roman"/>
                <w:iCs/>
                <w:sz w:val="22"/>
                <w:szCs w:val="22"/>
              </w:rPr>
              <w:t xml:space="preserve">, </w:t>
            </w:r>
            <w:r w:rsidR="00B54599" w:rsidRPr="004C15A2">
              <w:rPr>
                <w:rFonts w:cs="Times New Roman"/>
                <w:sz w:val="22"/>
                <w:szCs w:val="22"/>
                <w:lang w:val="sk-SK"/>
              </w:rPr>
              <w:t>srdcové zlyh</w:t>
            </w:r>
            <w:r w:rsidR="003E6832" w:rsidRPr="004C15A2">
              <w:rPr>
                <w:rFonts w:cs="Times New Roman"/>
                <w:sz w:val="22"/>
                <w:szCs w:val="22"/>
                <w:lang w:val="sk-SK"/>
              </w:rPr>
              <w:t>áva</w:t>
            </w:r>
            <w:r w:rsidR="00B54599" w:rsidRPr="004C15A2">
              <w:rPr>
                <w:rFonts w:cs="Times New Roman"/>
                <w:sz w:val="22"/>
                <w:szCs w:val="22"/>
                <w:lang w:val="sk-SK"/>
              </w:rPr>
              <w:t>nie</w:t>
            </w:r>
            <w:r w:rsidR="00B54599" w:rsidRPr="004C15A2">
              <w:rPr>
                <w:rFonts w:cs="Times New Roman"/>
                <w:iCs/>
                <w:sz w:val="22"/>
                <w:szCs w:val="22"/>
              </w:rPr>
              <w:t xml:space="preserve">, </w:t>
            </w:r>
            <w:r w:rsidR="00B54599" w:rsidRPr="004C15A2">
              <w:rPr>
                <w:rFonts w:cs="Times New Roman"/>
                <w:sz w:val="22"/>
                <w:szCs w:val="22"/>
                <w:lang w:val="sk-SK"/>
              </w:rPr>
              <w:t>atrioventrikulárna blokáda,</w:t>
            </w:r>
            <w:r w:rsidR="00A9664B" w:rsidRPr="004C15A2">
              <w:rPr>
                <w:rFonts w:cs="Times New Roman"/>
                <w:iCs/>
                <w:sz w:val="22"/>
                <w:szCs w:val="22"/>
              </w:rPr>
              <w:t xml:space="preserve"> </w:t>
            </w:r>
            <w:r w:rsidR="00B54599" w:rsidRPr="004C15A2">
              <w:rPr>
                <w:rFonts w:cs="Times New Roman"/>
                <w:iCs/>
                <w:sz w:val="22"/>
                <w:szCs w:val="22"/>
              </w:rPr>
              <w:t>kongestívne srdcové zlyh</w:t>
            </w:r>
            <w:r w:rsidR="003E6832" w:rsidRPr="004C15A2">
              <w:rPr>
                <w:rFonts w:cs="Times New Roman"/>
                <w:iCs/>
                <w:sz w:val="22"/>
                <w:szCs w:val="22"/>
              </w:rPr>
              <w:t>áva</w:t>
            </w:r>
            <w:r w:rsidR="00B54599" w:rsidRPr="004C15A2">
              <w:rPr>
                <w:rFonts w:cs="Times New Roman"/>
                <w:iCs/>
                <w:sz w:val="22"/>
                <w:szCs w:val="22"/>
              </w:rPr>
              <w:t xml:space="preserve">nie, </w:t>
            </w:r>
            <w:r w:rsidR="00B54599" w:rsidRPr="004C15A2">
              <w:rPr>
                <w:rFonts w:cs="Times New Roman"/>
                <w:sz w:val="22"/>
                <w:szCs w:val="22"/>
                <w:lang w:val="sk-SK"/>
              </w:rPr>
              <w:t>zhoršenie angíny pe</w:t>
            </w:r>
            <w:r w:rsidR="007C28C7" w:rsidRPr="004C15A2">
              <w:rPr>
                <w:rFonts w:cs="Times New Roman"/>
                <w:sz w:val="22"/>
                <w:szCs w:val="22"/>
                <w:lang w:val="sk-SK"/>
              </w:rPr>
              <w:t>c</w:t>
            </w:r>
            <w:r w:rsidR="00B54599" w:rsidRPr="004C15A2">
              <w:rPr>
                <w:rFonts w:cs="Times New Roman"/>
                <w:sz w:val="22"/>
                <w:szCs w:val="22"/>
                <w:lang w:val="sk-SK"/>
              </w:rPr>
              <w:t>toris</w:t>
            </w:r>
            <w:r w:rsidR="00B54599" w:rsidRPr="004C15A2">
              <w:rPr>
                <w:rFonts w:cs="Times New Roman"/>
                <w:iCs/>
                <w:sz w:val="22"/>
                <w:szCs w:val="22"/>
              </w:rPr>
              <w:t xml:space="preserve">, </w:t>
            </w:r>
            <w:r w:rsidR="00B54599" w:rsidRPr="004C15A2">
              <w:rPr>
                <w:rFonts w:cs="Times New Roman"/>
                <w:sz w:val="22"/>
                <w:szCs w:val="22"/>
                <w:lang w:val="sk-SK"/>
              </w:rPr>
              <w:t>arytmia</w:t>
            </w:r>
            <w:r w:rsidR="00B54599" w:rsidRPr="004C15A2">
              <w:rPr>
                <w:rFonts w:cs="Times New Roman"/>
                <w:iCs/>
                <w:sz w:val="22"/>
                <w:szCs w:val="22"/>
              </w:rPr>
              <w:t>,</w:t>
            </w:r>
            <w:r w:rsidR="00A9664B" w:rsidRPr="004C15A2">
              <w:rPr>
                <w:rFonts w:cs="Times New Roman"/>
                <w:iCs/>
                <w:sz w:val="22"/>
                <w:szCs w:val="22"/>
              </w:rPr>
              <w:t xml:space="preserve"> </w:t>
            </w:r>
            <w:r w:rsidRPr="004C15A2">
              <w:rPr>
                <w:rFonts w:cs="Times New Roman"/>
                <w:sz w:val="22"/>
                <w:szCs w:val="22"/>
                <w:lang w:val="sk-SK"/>
              </w:rPr>
              <w:t>br</w:t>
            </w:r>
            <w:r w:rsidR="00B54599" w:rsidRPr="004C15A2">
              <w:rPr>
                <w:rFonts w:cs="Times New Roman"/>
                <w:sz w:val="22"/>
                <w:szCs w:val="22"/>
                <w:lang w:val="sk-SK"/>
              </w:rPr>
              <w:t xml:space="preserve">adykardia, </w:t>
            </w:r>
            <w:r w:rsidRPr="004C15A2">
              <w:rPr>
                <w:rFonts w:cs="Times New Roman"/>
                <w:sz w:val="22"/>
                <w:szCs w:val="22"/>
                <w:lang w:val="sk-SK"/>
              </w:rPr>
              <w:t>palpitácie</w:t>
            </w:r>
            <w:r w:rsidR="00A9664B" w:rsidRPr="004C15A2">
              <w:rPr>
                <w:rFonts w:cs="Times New Roman"/>
                <w:iCs/>
                <w:sz w:val="22"/>
                <w:szCs w:val="22"/>
              </w:rPr>
              <w:t xml:space="preserve"> </w:t>
            </w:r>
          </w:p>
          <w:p w14:paraId="2E56A28D" w14:textId="77777777" w:rsidR="00453067" w:rsidRPr="004C15A2" w:rsidRDefault="00453067" w:rsidP="00097A42">
            <w:pPr>
              <w:pStyle w:val="TableText"/>
              <w:rPr>
                <w:rFonts w:cs="Times New Roman"/>
                <w:sz w:val="22"/>
                <w:szCs w:val="22"/>
              </w:rPr>
            </w:pPr>
          </w:p>
        </w:tc>
      </w:tr>
      <w:tr w:rsidR="00A9664B" w:rsidRPr="004C15A2" w14:paraId="7DA2F275" w14:textId="77777777" w:rsidTr="0059266B">
        <w:tc>
          <w:tcPr>
            <w:tcW w:w="3528" w:type="dxa"/>
          </w:tcPr>
          <w:p w14:paraId="33467228" w14:textId="77777777" w:rsidR="00B54599" w:rsidRPr="004C15A2" w:rsidRDefault="00B54599" w:rsidP="00097A42">
            <w:pPr>
              <w:pStyle w:val="TableText"/>
              <w:rPr>
                <w:rFonts w:cs="Times New Roman"/>
                <w:sz w:val="22"/>
                <w:szCs w:val="22"/>
              </w:rPr>
            </w:pPr>
            <w:r w:rsidRPr="004C15A2">
              <w:rPr>
                <w:rFonts w:cs="Times New Roman"/>
                <w:sz w:val="22"/>
                <w:szCs w:val="22"/>
                <w:lang w:val="sk-SK"/>
              </w:rPr>
              <w:t>Poruchy ciev</w:t>
            </w:r>
          </w:p>
          <w:p w14:paraId="309637A8" w14:textId="77777777" w:rsidR="00A9664B" w:rsidRPr="004C15A2" w:rsidRDefault="00A9664B" w:rsidP="00097A42">
            <w:pPr>
              <w:pStyle w:val="TableText"/>
              <w:rPr>
                <w:rFonts w:cs="Times New Roman"/>
                <w:sz w:val="22"/>
                <w:szCs w:val="22"/>
              </w:rPr>
            </w:pPr>
          </w:p>
        </w:tc>
        <w:tc>
          <w:tcPr>
            <w:tcW w:w="5670" w:type="dxa"/>
          </w:tcPr>
          <w:p w14:paraId="0DE1FAAE" w14:textId="77777777" w:rsidR="00B54599" w:rsidRPr="004C15A2" w:rsidRDefault="00B54599" w:rsidP="00097A42">
            <w:pPr>
              <w:pStyle w:val="TableText"/>
              <w:rPr>
                <w:rFonts w:cs="Times New Roman"/>
                <w:iCs/>
                <w:sz w:val="22"/>
                <w:szCs w:val="22"/>
              </w:rPr>
            </w:pPr>
            <w:r w:rsidRPr="004C15A2">
              <w:rPr>
                <w:rFonts w:cs="Times New Roman"/>
                <w:sz w:val="22"/>
                <w:szCs w:val="22"/>
              </w:rPr>
              <w:t>klaudikácia</w:t>
            </w:r>
            <w:r w:rsidRPr="004C15A2">
              <w:rPr>
                <w:rFonts w:cs="Times New Roman"/>
                <w:iCs/>
                <w:sz w:val="22"/>
                <w:szCs w:val="22"/>
              </w:rPr>
              <w:t xml:space="preserve">, </w:t>
            </w:r>
            <w:r w:rsidR="003E6832" w:rsidRPr="004C15A2">
              <w:rPr>
                <w:rFonts w:cs="Times New Roman"/>
                <w:sz w:val="22"/>
                <w:szCs w:val="22"/>
                <w:lang w:val="sk-SK"/>
              </w:rPr>
              <w:t>stude</w:t>
            </w:r>
            <w:r w:rsidRPr="004C15A2">
              <w:rPr>
                <w:rFonts w:cs="Times New Roman"/>
                <w:sz w:val="22"/>
                <w:szCs w:val="22"/>
                <w:lang w:val="sk-SK"/>
              </w:rPr>
              <w:t>né ruky a nohy,</w:t>
            </w:r>
            <w:r w:rsidR="00A9664B" w:rsidRPr="004C15A2">
              <w:rPr>
                <w:rFonts w:cs="Times New Roman"/>
                <w:iCs/>
                <w:sz w:val="22"/>
                <w:szCs w:val="22"/>
              </w:rPr>
              <w:t xml:space="preserve"> </w:t>
            </w:r>
            <w:r w:rsidRPr="004C15A2">
              <w:rPr>
                <w:rFonts w:cs="Times New Roman"/>
                <w:sz w:val="22"/>
                <w:szCs w:val="22"/>
                <w:lang w:val="sk-SK"/>
              </w:rPr>
              <w:t xml:space="preserve">hypotenzia, Raynaudov fenomén </w:t>
            </w:r>
          </w:p>
          <w:p w14:paraId="315AA61A" w14:textId="77777777" w:rsidR="00453067" w:rsidRPr="004C15A2" w:rsidRDefault="00453067" w:rsidP="00097A42">
            <w:pPr>
              <w:pStyle w:val="TableText"/>
              <w:rPr>
                <w:rFonts w:cs="Times New Roman"/>
                <w:sz w:val="22"/>
                <w:szCs w:val="22"/>
              </w:rPr>
            </w:pPr>
          </w:p>
        </w:tc>
      </w:tr>
      <w:tr w:rsidR="00A9664B" w:rsidRPr="004C15A2" w14:paraId="2AF696EB" w14:textId="77777777" w:rsidTr="0059266B">
        <w:tc>
          <w:tcPr>
            <w:tcW w:w="3528" w:type="dxa"/>
          </w:tcPr>
          <w:p w14:paraId="6F3C697D" w14:textId="77777777" w:rsidR="00564B96" w:rsidRPr="004C15A2" w:rsidRDefault="00564B96" w:rsidP="009D3632">
            <w:pPr>
              <w:pStyle w:val="TableText"/>
              <w:rPr>
                <w:rFonts w:cs="Times New Roman"/>
                <w:sz w:val="22"/>
                <w:szCs w:val="22"/>
              </w:rPr>
            </w:pPr>
            <w:r w:rsidRPr="004C15A2">
              <w:rPr>
                <w:rFonts w:cs="Times New Roman"/>
                <w:sz w:val="22"/>
                <w:szCs w:val="22"/>
                <w:lang w:val="sk-SK"/>
              </w:rPr>
              <w:t>Poruchy dýchacej sústavy, hrudníka a mediastína</w:t>
            </w:r>
          </w:p>
          <w:p w14:paraId="7BA7CB54" w14:textId="77777777" w:rsidR="00564B96" w:rsidRPr="004C15A2" w:rsidRDefault="00564B96" w:rsidP="00097A42">
            <w:pPr>
              <w:pStyle w:val="TableText"/>
              <w:rPr>
                <w:rFonts w:cs="Times New Roman"/>
                <w:sz w:val="22"/>
                <w:szCs w:val="22"/>
                <w:highlight w:val="yellow"/>
              </w:rPr>
            </w:pPr>
          </w:p>
        </w:tc>
        <w:tc>
          <w:tcPr>
            <w:tcW w:w="5670" w:type="dxa"/>
          </w:tcPr>
          <w:p w14:paraId="6F305D82" w14:textId="4D8A9782" w:rsidR="00453067" w:rsidRPr="004C15A2" w:rsidRDefault="00564B96" w:rsidP="00097A42">
            <w:pPr>
              <w:pStyle w:val="TableText"/>
              <w:rPr>
                <w:rFonts w:cs="Times New Roman"/>
                <w:sz w:val="22"/>
                <w:szCs w:val="22"/>
                <w:lang w:val="sk-SK"/>
              </w:rPr>
            </w:pPr>
            <w:r w:rsidRPr="004C15A2">
              <w:rPr>
                <w:rFonts w:cs="Times New Roman"/>
                <w:sz w:val="22"/>
                <w:szCs w:val="22"/>
                <w:lang w:val="sk-SK"/>
              </w:rPr>
              <w:t>zlyh</w:t>
            </w:r>
            <w:r w:rsidR="003E6832" w:rsidRPr="004C15A2">
              <w:rPr>
                <w:rFonts w:cs="Times New Roman"/>
                <w:sz w:val="22"/>
                <w:szCs w:val="22"/>
                <w:lang w:val="sk-SK"/>
              </w:rPr>
              <w:t>áva</w:t>
            </w:r>
            <w:r w:rsidRPr="004C15A2">
              <w:rPr>
                <w:rFonts w:cs="Times New Roman"/>
                <w:sz w:val="22"/>
                <w:szCs w:val="22"/>
                <w:lang w:val="sk-SK"/>
              </w:rPr>
              <w:t>nie dýchania</w:t>
            </w:r>
            <w:r w:rsidRPr="004C15A2">
              <w:rPr>
                <w:rFonts w:cs="Times New Roman"/>
                <w:sz w:val="22"/>
                <w:szCs w:val="22"/>
              </w:rPr>
              <w:t xml:space="preserve">, </w:t>
            </w:r>
            <w:r w:rsidRPr="004C15A2">
              <w:rPr>
                <w:rFonts w:cs="Times New Roman"/>
                <w:sz w:val="22"/>
                <w:szCs w:val="22"/>
                <w:lang w:val="sk-SK"/>
              </w:rPr>
              <w:t>pľúcny edém,</w:t>
            </w:r>
            <w:r w:rsidRPr="00170A8F">
              <w:rPr>
                <w:sz w:val="22"/>
                <w:lang w:val="sk-SK"/>
              </w:rPr>
              <w:t xml:space="preserve"> </w:t>
            </w:r>
            <w:r w:rsidRPr="004C15A2">
              <w:rPr>
                <w:rFonts w:cs="Times New Roman"/>
                <w:sz w:val="22"/>
                <w:szCs w:val="22"/>
                <w:lang w:val="sk-SK"/>
              </w:rPr>
              <w:t>bronchospazmus (hlavne u pacientov s predchádzajúcim bronchospastickým ochorením</w:t>
            </w:r>
            <w:r w:rsidR="004E6276" w:rsidRPr="004C15A2">
              <w:rPr>
                <w:rFonts w:cs="Times New Roman"/>
                <w:sz w:val="22"/>
                <w:szCs w:val="22"/>
                <w:lang w:val="sk-SK"/>
              </w:rPr>
              <w:t>)</w:t>
            </w:r>
            <w:r w:rsidRPr="004C15A2">
              <w:rPr>
                <w:rFonts w:cs="Times New Roman"/>
                <w:sz w:val="22"/>
                <w:szCs w:val="22"/>
                <w:lang w:val="sk-SK"/>
              </w:rPr>
              <w:t>, kašeľ</w:t>
            </w:r>
            <w:r w:rsidRPr="004C15A2">
              <w:rPr>
                <w:rFonts w:cs="Times New Roman"/>
                <w:sz w:val="22"/>
                <w:szCs w:val="22"/>
              </w:rPr>
              <w:t xml:space="preserve">, </w:t>
            </w:r>
            <w:r w:rsidRPr="004C15A2">
              <w:rPr>
                <w:rFonts w:cs="Times New Roman"/>
                <w:sz w:val="22"/>
                <w:szCs w:val="22"/>
                <w:lang w:val="sk-SK"/>
              </w:rPr>
              <w:t>dýchavica</w:t>
            </w:r>
            <w:r w:rsidRPr="004C15A2">
              <w:rPr>
                <w:rFonts w:cs="Times New Roman"/>
                <w:sz w:val="22"/>
                <w:szCs w:val="22"/>
              </w:rPr>
              <w:t xml:space="preserve">, </w:t>
            </w:r>
            <w:r w:rsidRPr="004C15A2">
              <w:rPr>
                <w:rFonts w:cs="Times New Roman"/>
                <w:sz w:val="22"/>
                <w:szCs w:val="22"/>
                <w:lang w:val="sk-SK"/>
              </w:rPr>
              <w:t>kongescia nosa</w:t>
            </w:r>
          </w:p>
          <w:p w14:paraId="2D803824" w14:textId="77777777" w:rsidR="004E6276" w:rsidRPr="004C15A2" w:rsidRDefault="004E6276" w:rsidP="00097A42">
            <w:pPr>
              <w:pStyle w:val="TableText"/>
              <w:rPr>
                <w:rFonts w:cs="Times New Roman"/>
                <w:sz w:val="22"/>
                <w:szCs w:val="22"/>
                <w:highlight w:val="yellow"/>
              </w:rPr>
            </w:pPr>
          </w:p>
        </w:tc>
      </w:tr>
      <w:tr w:rsidR="00A9664B" w:rsidRPr="004C15A2" w14:paraId="7934408F" w14:textId="77777777" w:rsidTr="0059266B">
        <w:tc>
          <w:tcPr>
            <w:tcW w:w="3528" w:type="dxa"/>
          </w:tcPr>
          <w:p w14:paraId="5108870B" w14:textId="77777777" w:rsidR="00564B96" w:rsidRPr="004C15A2" w:rsidRDefault="00564B96" w:rsidP="009D3632">
            <w:pPr>
              <w:pStyle w:val="TableText"/>
              <w:rPr>
                <w:rFonts w:cs="Times New Roman"/>
                <w:sz w:val="22"/>
                <w:szCs w:val="22"/>
              </w:rPr>
            </w:pPr>
            <w:r w:rsidRPr="004C15A2">
              <w:rPr>
                <w:rFonts w:cs="Times New Roman"/>
                <w:sz w:val="22"/>
                <w:szCs w:val="22"/>
                <w:lang w:val="sk-SK"/>
              </w:rPr>
              <w:t>Poruchy gastrointestinálneho traktu</w:t>
            </w:r>
          </w:p>
          <w:p w14:paraId="4F318A63" w14:textId="77777777" w:rsidR="00A9664B" w:rsidRPr="004C15A2" w:rsidRDefault="00A9664B" w:rsidP="00097A42">
            <w:pPr>
              <w:pStyle w:val="TableText"/>
              <w:rPr>
                <w:rFonts w:cs="Times New Roman"/>
                <w:sz w:val="22"/>
                <w:szCs w:val="22"/>
              </w:rPr>
            </w:pPr>
            <w:r w:rsidRPr="004C15A2">
              <w:rPr>
                <w:rFonts w:cs="Times New Roman"/>
                <w:sz w:val="22"/>
                <w:szCs w:val="22"/>
              </w:rPr>
              <w:t xml:space="preserve"> </w:t>
            </w:r>
          </w:p>
        </w:tc>
        <w:tc>
          <w:tcPr>
            <w:tcW w:w="5670" w:type="dxa"/>
          </w:tcPr>
          <w:p w14:paraId="3A96C631" w14:textId="77777777" w:rsidR="00564B96" w:rsidRPr="004C15A2" w:rsidRDefault="00564B96" w:rsidP="009D3632">
            <w:pPr>
              <w:pStyle w:val="TableText"/>
              <w:rPr>
                <w:rFonts w:cs="Times New Roman"/>
                <w:sz w:val="22"/>
                <w:szCs w:val="22"/>
              </w:rPr>
            </w:pPr>
            <w:r w:rsidRPr="004C15A2">
              <w:rPr>
                <w:rFonts w:cs="Times New Roman"/>
                <w:sz w:val="22"/>
                <w:szCs w:val="22"/>
              </w:rPr>
              <w:t>retroperitoneálna fibróza,</w:t>
            </w:r>
            <w:r w:rsidR="00A9664B" w:rsidRPr="004C15A2">
              <w:rPr>
                <w:rFonts w:cs="Times New Roman"/>
                <w:sz w:val="22"/>
                <w:szCs w:val="22"/>
              </w:rPr>
              <w:t xml:space="preserve"> </w:t>
            </w:r>
            <w:r w:rsidRPr="004C15A2">
              <w:rPr>
                <w:rFonts w:cs="Times New Roman"/>
                <w:sz w:val="22"/>
                <w:szCs w:val="22"/>
              </w:rPr>
              <w:t>bolesť brucha,</w:t>
            </w:r>
            <w:r w:rsidR="00A9664B" w:rsidRPr="004C15A2">
              <w:rPr>
                <w:rFonts w:cs="Times New Roman"/>
                <w:sz w:val="22"/>
                <w:szCs w:val="22"/>
              </w:rPr>
              <w:t xml:space="preserve"> </w:t>
            </w:r>
            <w:r w:rsidRPr="004C15A2">
              <w:rPr>
                <w:rFonts w:cs="Times New Roman"/>
                <w:sz w:val="22"/>
                <w:szCs w:val="22"/>
              </w:rPr>
              <w:t xml:space="preserve">vracanie, </w:t>
            </w:r>
            <w:r w:rsidRPr="004C15A2">
              <w:rPr>
                <w:rFonts w:cs="Times New Roman"/>
                <w:sz w:val="22"/>
                <w:szCs w:val="22"/>
                <w:lang w:val="sk-SK"/>
              </w:rPr>
              <w:t>hnačka, sucho v ústach</w:t>
            </w:r>
            <w:r w:rsidRPr="004C15A2">
              <w:rPr>
                <w:rFonts w:cs="Times New Roman"/>
                <w:sz w:val="22"/>
                <w:szCs w:val="22"/>
              </w:rPr>
              <w:t xml:space="preserve">, dysgeúzia, </w:t>
            </w:r>
            <w:r w:rsidR="00A9664B" w:rsidRPr="004C15A2">
              <w:rPr>
                <w:rFonts w:cs="Times New Roman"/>
                <w:sz w:val="22"/>
                <w:szCs w:val="22"/>
              </w:rPr>
              <w:t>dyspepsia</w:t>
            </w:r>
            <w:r w:rsidRPr="004C15A2">
              <w:rPr>
                <w:rFonts w:cs="Times New Roman"/>
                <w:sz w:val="22"/>
                <w:szCs w:val="22"/>
              </w:rPr>
              <w:t xml:space="preserve">, </w:t>
            </w:r>
            <w:r w:rsidR="003E6832" w:rsidRPr="004C15A2">
              <w:rPr>
                <w:rFonts w:cs="Times New Roman"/>
                <w:sz w:val="22"/>
                <w:szCs w:val="22"/>
                <w:lang w:val="sk-SK"/>
              </w:rPr>
              <w:t>nevoľnosť</w:t>
            </w:r>
          </w:p>
          <w:p w14:paraId="453E118E" w14:textId="77777777" w:rsidR="00564B96" w:rsidRPr="004C15A2" w:rsidRDefault="00564B96" w:rsidP="00097A42">
            <w:pPr>
              <w:pStyle w:val="TableText"/>
              <w:rPr>
                <w:rFonts w:cs="Times New Roman"/>
                <w:sz w:val="22"/>
                <w:szCs w:val="22"/>
              </w:rPr>
            </w:pPr>
            <w:r w:rsidRPr="004C15A2">
              <w:rPr>
                <w:rFonts w:cs="Times New Roman"/>
                <w:sz w:val="22"/>
                <w:szCs w:val="22"/>
              </w:rPr>
              <w:t xml:space="preserve"> </w:t>
            </w:r>
          </w:p>
        </w:tc>
      </w:tr>
      <w:tr w:rsidR="00A9664B" w:rsidRPr="004C15A2" w14:paraId="7FC0F74F" w14:textId="77777777" w:rsidTr="0059266B">
        <w:tc>
          <w:tcPr>
            <w:tcW w:w="3528" w:type="dxa"/>
          </w:tcPr>
          <w:p w14:paraId="649DB531" w14:textId="77777777" w:rsidR="00564B96" w:rsidRPr="004C15A2" w:rsidRDefault="00564B96" w:rsidP="00097A42">
            <w:pPr>
              <w:pStyle w:val="TableText"/>
              <w:rPr>
                <w:rFonts w:cs="Times New Roman"/>
                <w:sz w:val="22"/>
                <w:szCs w:val="22"/>
              </w:rPr>
            </w:pPr>
            <w:r w:rsidRPr="004C15A2">
              <w:rPr>
                <w:rFonts w:cs="Times New Roman"/>
                <w:sz w:val="22"/>
                <w:szCs w:val="22"/>
                <w:lang w:val="sk-SK"/>
              </w:rPr>
              <w:t>Poruchy kože a podkožného tkaniva</w:t>
            </w:r>
          </w:p>
          <w:p w14:paraId="113D13C3" w14:textId="77777777" w:rsidR="00564B96" w:rsidRPr="004C15A2" w:rsidRDefault="00564B96" w:rsidP="009D3632">
            <w:pPr>
              <w:rPr>
                <w:sz w:val="22"/>
                <w:szCs w:val="22"/>
                <w:lang w:val="sk-SK"/>
              </w:rPr>
            </w:pPr>
          </w:p>
        </w:tc>
        <w:tc>
          <w:tcPr>
            <w:tcW w:w="5670" w:type="dxa"/>
          </w:tcPr>
          <w:p w14:paraId="6F2BD616" w14:textId="77777777" w:rsidR="00564B96" w:rsidRPr="004C15A2" w:rsidRDefault="00564B96" w:rsidP="0004003F">
            <w:pPr>
              <w:pStyle w:val="TableText"/>
              <w:rPr>
                <w:rFonts w:cs="Times New Roman"/>
                <w:sz w:val="22"/>
                <w:szCs w:val="22"/>
              </w:rPr>
            </w:pPr>
            <w:r w:rsidRPr="004C15A2">
              <w:rPr>
                <w:rFonts w:cs="Times New Roman"/>
                <w:sz w:val="22"/>
                <w:szCs w:val="22"/>
                <w:lang w:val="en-AU"/>
              </w:rPr>
              <w:t xml:space="preserve">vyrážka, </w:t>
            </w:r>
            <w:r w:rsidRPr="004C15A2">
              <w:rPr>
                <w:rFonts w:cs="Times New Roman"/>
                <w:sz w:val="22"/>
                <w:szCs w:val="22"/>
              </w:rPr>
              <w:t xml:space="preserve">psoriatiformná vyrážka, </w:t>
            </w:r>
            <w:r w:rsidRPr="004C15A2">
              <w:rPr>
                <w:rFonts w:cs="Times New Roman"/>
                <w:sz w:val="22"/>
                <w:szCs w:val="22"/>
                <w:lang w:val="en-AU"/>
              </w:rPr>
              <w:t>pseudopemfigoid</w:t>
            </w:r>
            <w:r w:rsidRPr="004C15A2">
              <w:rPr>
                <w:rFonts w:cs="Times New Roman"/>
                <w:sz w:val="22"/>
                <w:szCs w:val="22"/>
              </w:rPr>
              <w:t xml:space="preserve">, </w:t>
            </w:r>
            <w:r w:rsidRPr="004C15A2">
              <w:rPr>
                <w:rFonts w:cs="Times New Roman"/>
                <w:sz w:val="22"/>
                <w:szCs w:val="22"/>
                <w:lang w:val="sk-SK"/>
              </w:rPr>
              <w:t>exacerbácia psoriázy</w:t>
            </w:r>
            <w:r w:rsidRPr="004C15A2">
              <w:rPr>
                <w:rFonts w:cs="Times New Roman"/>
                <w:sz w:val="22"/>
                <w:szCs w:val="22"/>
              </w:rPr>
              <w:t xml:space="preserve">, alopécia </w:t>
            </w:r>
          </w:p>
        </w:tc>
      </w:tr>
      <w:tr w:rsidR="00A9664B" w:rsidRPr="004C15A2" w14:paraId="4BCE6871" w14:textId="77777777" w:rsidTr="0059266B">
        <w:tc>
          <w:tcPr>
            <w:tcW w:w="3528" w:type="dxa"/>
          </w:tcPr>
          <w:p w14:paraId="28DC9281" w14:textId="77777777" w:rsidR="00564B96" w:rsidRPr="004C15A2" w:rsidRDefault="00564B96" w:rsidP="009D3632">
            <w:pPr>
              <w:pStyle w:val="TableText"/>
              <w:rPr>
                <w:rFonts w:cs="Times New Roman"/>
                <w:sz w:val="22"/>
                <w:szCs w:val="22"/>
                <w:lang w:val="sk-SK"/>
              </w:rPr>
            </w:pPr>
            <w:r w:rsidRPr="004C15A2">
              <w:rPr>
                <w:rFonts w:cs="Times New Roman"/>
                <w:sz w:val="22"/>
                <w:szCs w:val="22"/>
                <w:lang w:val="sk-SK"/>
              </w:rPr>
              <w:t>Poruchy kostrovej a svalovej sústavy a spojivového tkaniva</w:t>
            </w:r>
          </w:p>
          <w:p w14:paraId="30ED1BA2" w14:textId="77777777" w:rsidR="00564B96" w:rsidRPr="004C15A2" w:rsidRDefault="00564B96" w:rsidP="00097A42">
            <w:pPr>
              <w:pStyle w:val="TableText"/>
              <w:rPr>
                <w:rFonts w:cs="Times New Roman"/>
                <w:sz w:val="22"/>
                <w:szCs w:val="22"/>
              </w:rPr>
            </w:pPr>
            <w:r w:rsidRPr="004C15A2">
              <w:rPr>
                <w:rFonts w:cs="Times New Roman"/>
                <w:sz w:val="22"/>
                <w:szCs w:val="22"/>
              </w:rPr>
              <w:t xml:space="preserve"> </w:t>
            </w:r>
          </w:p>
          <w:p w14:paraId="1349D53E" w14:textId="77777777" w:rsidR="00564B96" w:rsidRPr="004C15A2" w:rsidRDefault="00564B96" w:rsidP="00097A42">
            <w:pPr>
              <w:pStyle w:val="TableText"/>
              <w:rPr>
                <w:rFonts w:cs="Times New Roman"/>
                <w:sz w:val="22"/>
                <w:szCs w:val="22"/>
              </w:rPr>
            </w:pPr>
          </w:p>
        </w:tc>
        <w:tc>
          <w:tcPr>
            <w:tcW w:w="5670" w:type="dxa"/>
          </w:tcPr>
          <w:p w14:paraId="128678A1" w14:textId="77777777" w:rsidR="00F65820" w:rsidRPr="004C15A2" w:rsidRDefault="00F65820" w:rsidP="00097A42">
            <w:pPr>
              <w:pStyle w:val="TableText"/>
              <w:rPr>
                <w:rFonts w:cs="Times New Roman"/>
                <w:sz w:val="22"/>
                <w:szCs w:val="22"/>
              </w:rPr>
            </w:pPr>
            <w:r w:rsidRPr="004C15A2">
              <w:rPr>
                <w:rFonts w:cs="Times New Roman"/>
                <w:sz w:val="22"/>
                <w:szCs w:val="22"/>
                <w:lang w:val="sk-SK"/>
              </w:rPr>
              <w:t xml:space="preserve">myalgia, systémový lupus erythematosus </w:t>
            </w:r>
          </w:p>
        </w:tc>
      </w:tr>
      <w:tr w:rsidR="00A9664B" w:rsidRPr="004C15A2" w14:paraId="70DB0411" w14:textId="77777777" w:rsidTr="0059266B">
        <w:tc>
          <w:tcPr>
            <w:tcW w:w="3528" w:type="dxa"/>
          </w:tcPr>
          <w:p w14:paraId="48899A7B" w14:textId="77777777" w:rsidR="00F65820" w:rsidRPr="004C15A2" w:rsidRDefault="00F65820" w:rsidP="009D3632">
            <w:pPr>
              <w:pStyle w:val="TableText"/>
              <w:rPr>
                <w:rFonts w:cs="Times New Roman"/>
                <w:sz w:val="22"/>
                <w:szCs w:val="22"/>
                <w:lang w:val="sk-SK"/>
              </w:rPr>
            </w:pPr>
            <w:r w:rsidRPr="004C15A2">
              <w:rPr>
                <w:rFonts w:cs="Times New Roman"/>
                <w:sz w:val="22"/>
                <w:szCs w:val="22"/>
                <w:lang w:val="sk-SK"/>
              </w:rPr>
              <w:t>Poruchy reprodukčného systému a prsníkov</w:t>
            </w:r>
          </w:p>
          <w:p w14:paraId="61F83BF2" w14:textId="77777777" w:rsidR="00F65820" w:rsidRPr="004C15A2" w:rsidRDefault="00F65820" w:rsidP="00097A42">
            <w:pPr>
              <w:pStyle w:val="TableText"/>
              <w:rPr>
                <w:rFonts w:cs="Times New Roman"/>
                <w:sz w:val="22"/>
                <w:szCs w:val="22"/>
              </w:rPr>
            </w:pPr>
          </w:p>
        </w:tc>
        <w:tc>
          <w:tcPr>
            <w:tcW w:w="5670" w:type="dxa"/>
          </w:tcPr>
          <w:p w14:paraId="0B2095E6" w14:textId="77777777" w:rsidR="00F65820" w:rsidRPr="004C15A2" w:rsidRDefault="00F65820" w:rsidP="00097A42">
            <w:pPr>
              <w:pStyle w:val="TableText"/>
              <w:rPr>
                <w:rFonts w:cs="Times New Roman"/>
                <w:sz w:val="22"/>
                <w:szCs w:val="22"/>
              </w:rPr>
            </w:pPr>
            <w:r w:rsidRPr="004C15A2">
              <w:rPr>
                <w:rFonts w:cs="Times New Roman"/>
                <w:sz w:val="22"/>
                <w:szCs w:val="22"/>
                <w:lang w:val="sk-SK"/>
              </w:rPr>
              <w:t>sexuálna dysfunkcia, znížené libido, impotencia, Peyronieho choroba</w:t>
            </w:r>
          </w:p>
          <w:p w14:paraId="7C234A01" w14:textId="77777777" w:rsidR="00F65820" w:rsidRPr="004C15A2" w:rsidRDefault="00F65820" w:rsidP="00097A42">
            <w:pPr>
              <w:pStyle w:val="TableText"/>
              <w:rPr>
                <w:rFonts w:cs="Times New Roman"/>
                <w:sz w:val="22"/>
                <w:szCs w:val="22"/>
              </w:rPr>
            </w:pPr>
          </w:p>
        </w:tc>
      </w:tr>
      <w:tr w:rsidR="00A9664B" w:rsidRPr="004C15A2" w14:paraId="3A18E408" w14:textId="77777777" w:rsidTr="0059266B">
        <w:tc>
          <w:tcPr>
            <w:tcW w:w="3528" w:type="dxa"/>
          </w:tcPr>
          <w:p w14:paraId="1D37FC2F" w14:textId="77777777" w:rsidR="00F65820" w:rsidRPr="004C15A2" w:rsidRDefault="00F65820" w:rsidP="00D40AE9">
            <w:pPr>
              <w:pStyle w:val="TableText"/>
              <w:rPr>
                <w:rFonts w:cs="Times New Roman"/>
                <w:sz w:val="22"/>
                <w:szCs w:val="22"/>
              </w:rPr>
            </w:pPr>
            <w:r w:rsidRPr="004C15A2">
              <w:rPr>
                <w:rFonts w:cs="Times New Roman"/>
                <w:sz w:val="22"/>
                <w:szCs w:val="22"/>
                <w:lang w:val="sk-SK"/>
              </w:rPr>
              <w:t>Celkové poruchy a reakcie v mieste podania</w:t>
            </w:r>
          </w:p>
        </w:tc>
        <w:tc>
          <w:tcPr>
            <w:tcW w:w="5670" w:type="dxa"/>
          </w:tcPr>
          <w:p w14:paraId="07D2623B" w14:textId="77777777" w:rsidR="00F65820" w:rsidRPr="004C15A2" w:rsidRDefault="00F65820" w:rsidP="00097A42">
            <w:pPr>
              <w:pStyle w:val="Paragraph"/>
              <w:spacing w:after="0"/>
              <w:rPr>
                <w:sz w:val="22"/>
                <w:szCs w:val="22"/>
                <w:lang w:val="sk-SK"/>
              </w:rPr>
            </w:pPr>
            <w:r w:rsidRPr="004C15A2">
              <w:rPr>
                <w:sz w:val="22"/>
                <w:szCs w:val="22"/>
                <w:lang w:val="sk-SK"/>
              </w:rPr>
              <w:t xml:space="preserve">bolesť na hrudníku, </w:t>
            </w:r>
            <w:r w:rsidRPr="004C15A2">
              <w:rPr>
                <w:sz w:val="22"/>
                <w:szCs w:val="22"/>
              </w:rPr>
              <w:t>edém, slabosť, únava</w:t>
            </w:r>
          </w:p>
          <w:p w14:paraId="2D0F2C07" w14:textId="77777777" w:rsidR="00F65820" w:rsidRPr="004C15A2" w:rsidRDefault="00F65820" w:rsidP="00097A42">
            <w:pPr>
              <w:pStyle w:val="TableText"/>
              <w:rPr>
                <w:rFonts w:cs="Times New Roman"/>
                <w:sz w:val="22"/>
                <w:szCs w:val="22"/>
              </w:rPr>
            </w:pPr>
          </w:p>
        </w:tc>
      </w:tr>
    </w:tbl>
    <w:p w14:paraId="67F0D86D" w14:textId="77777777" w:rsidR="0035791E" w:rsidRDefault="0035791E" w:rsidP="00097A42">
      <w:pPr>
        <w:rPr>
          <w:sz w:val="22"/>
          <w:szCs w:val="22"/>
          <w:lang w:val="sk-SK"/>
        </w:rPr>
      </w:pPr>
    </w:p>
    <w:p w14:paraId="7744C02E" w14:textId="2C6D14ED" w:rsidR="00F004BA" w:rsidRPr="00170A8F" w:rsidRDefault="00F004BA" w:rsidP="00097A42">
      <w:pPr>
        <w:rPr>
          <w:b/>
          <w:sz w:val="22"/>
          <w:szCs w:val="22"/>
          <w:lang w:val="sk-SK"/>
        </w:rPr>
      </w:pPr>
      <w:r w:rsidRPr="00170A8F">
        <w:rPr>
          <w:b/>
          <w:sz w:val="22"/>
          <w:szCs w:val="22"/>
          <w:lang w:val="sk-SK"/>
        </w:rPr>
        <w:t xml:space="preserve">Tento liek obsahuje 6,3 mg </w:t>
      </w:r>
      <w:r w:rsidRPr="00170A8F">
        <w:rPr>
          <w:b/>
          <w:bCs/>
          <w:sz w:val="22"/>
          <w:szCs w:val="22"/>
          <w:lang w:val="sk-SK"/>
        </w:rPr>
        <w:t>fosforečnanov v 1 ml</w:t>
      </w:r>
    </w:p>
    <w:p w14:paraId="1DABBF6B" w14:textId="77777777" w:rsidR="0010086E" w:rsidRPr="004C15A2" w:rsidRDefault="0010086E" w:rsidP="00097A42">
      <w:pPr>
        <w:rPr>
          <w:sz w:val="22"/>
          <w:szCs w:val="22"/>
          <w:lang w:val="sk-SK"/>
        </w:rPr>
      </w:pPr>
      <w:r w:rsidRPr="004C15A2">
        <w:rPr>
          <w:sz w:val="22"/>
          <w:szCs w:val="22"/>
          <w:lang w:val="sk-SK"/>
        </w:rPr>
        <w:t>V súvislosti s používaním očných kvapiek obsahujúcich fosforečnany boli veľmi zriedkavo u niektorých pacientov so závažne poškodenými rohovkami hlásené prípady kalcifikácie rohovky.</w:t>
      </w:r>
    </w:p>
    <w:p w14:paraId="60DB1BF9" w14:textId="77777777" w:rsidR="00F728AA" w:rsidRPr="004C15A2" w:rsidRDefault="00F728AA" w:rsidP="00097A42">
      <w:pPr>
        <w:rPr>
          <w:sz w:val="22"/>
          <w:szCs w:val="22"/>
          <w:lang w:val="sk-SK"/>
        </w:rPr>
      </w:pPr>
    </w:p>
    <w:p w14:paraId="50CD10D3" w14:textId="77777777" w:rsidR="000D39C7" w:rsidRPr="004C15A2" w:rsidRDefault="000D39C7" w:rsidP="00097A42">
      <w:pPr>
        <w:rPr>
          <w:sz w:val="22"/>
          <w:szCs w:val="22"/>
          <w:u w:val="single"/>
          <w:lang w:val="sk-SK"/>
        </w:rPr>
      </w:pPr>
      <w:r w:rsidRPr="004C15A2">
        <w:rPr>
          <w:sz w:val="22"/>
          <w:szCs w:val="22"/>
          <w:u w:val="single"/>
          <w:lang w:val="sk-SK"/>
        </w:rPr>
        <w:t>Hlásenie podozrení na nežiaduce reakcie</w:t>
      </w:r>
    </w:p>
    <w:p w14:paraId="660B41AC" w14:textId="77777777" w:rsidR="000D39C7" w:rsidRPr="004C15A2" w:rsidRDefault="000D39C7" w:rsidP="00097A42">
      <w:pPr>
        <w:rPr>
          <w:sz w:val="22"/>
          <w:szCs w:val="22"/>
          <w:lang w:val="sk-SK"/>
        </w:rPr>
      </w:pPr>
      <w:r w:rsidRPr="004C15A2">
        <w:rPr>
          <w:sz w:val="22"/>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3E6832" w:rsidRPr="004C15A2">
        <w:rPr>
          <w:sz w:val="22"/>
          <w:szCs w:val="22"/>
          <w:lang w:val="sk-SK"/>
        </w:rPr>
        <w:t xml:space="preserve">na </w:t>
      </w:r>
      <w:r w:rsidRPr="004C15A2">
        <w:rPr>
          <w:sz w:val="22"/>
          <w:szCs w:val="22"/>
          <w:highlight w:val="lightGray"/>
          <w:lang w:val="sk-SK"/>
        </w:rPr>
        <w:t xml:space="preserve">národné </w:t>
      </w:r>
      <w:r w:rsidR="003E6832" w:rsidRPr="004C15A2">
        <w:rPr>
          <w:sz w:val="22"/>
          <w:szCs w:val="22"/>
          <w:highlight w:val="lightGray"/>
          <w:lang w:val="sk-SK"/>
        </w:rPr>
        <w:t>centrum</w:t>
      </w:r>
      <w:r w:rsidRPr="004C15A2">
        <w:rPr>
          <w:sz w:val="22"/>
          <w:szCs w:val="22"/>
          <w:highlight w:val="lightGray"/>
          <w:lang w:val="sk-SK"/>
        </w:rPr>
        <w:t xml:space="preserve"> hlásenia uvedené v </w:t>
      </w:r>
      <w:hyperlink r:id="rId7" w:history="1">
        <w:r w:rsidRPr="004C15A2">
          <w:rPr>
            <w:rStyle w:val="Hypertextovprepojenie"/>
            <w:sz w:val="22"/>
            <w:szCs w:val="22"/>
            <w:highlight w:val="lightGray"/>
            <w:lang w:val="sk-SK"/>
          </w:rPr>
          <w:t>P</w:t>
        </w:r>
        <w:r w:rsidRPr="004C15A2">
          <w:rPr>
            <w:rStyle w:val="Hypertextovprepojenie"/>
            <w:sz w:val="22"/>
            <w:szCs w:val="22"/>
            <w:highlight w:val="lightGray"/>
            <w:lang w:val="en-GB"/>
          </w:rPr>
          <w:t xml:space="preserve">rílohe </w:t>
        </w:r>
        <w:r w:rsidRPr="004C15A2">
          <w:rPr>
            <w:rStyle w:val="Hypertextovprepojenie"/>
            <w:sz w:val="22"/>
            <w:szCs w:val="22"/>
            <w:highlight w:val="lightGray"/>
            <w:lang w:val="sk-SK"/>
          </w:rPr>
          <w:t>V</w:t>
        </w:r>
      </w:hyperlink>
      <w:r w:rsidRPr="004C15A2">
        <w:rPr>
          <w:sz w:val="22"/>
          <w:szCs w:val="22"/>
          <w:lang w:val="sk-SK"/>
        </w:rPr>
        <w:t>.</w:t>
      </w:r>
    </w:p>
    <w:p w14:paraId="58E34736" w14:textId="77777777" w:rsidR="000D39C7" w:rsidRPr="004C15A2" w:rsidRDefault="000D39C7" w:rsidP="00097A42">
      <w:pPr>
        <w:rPr>
          <w:sz w:val="22"/>
          <w:szCs w:val="22"/>
          <w:lang w:val="sk-SK"/>
        </w:rPr>
      </w:pPr>
    </w:p>
    <w:p w14:paraId="222FD9C1" w14:textId="77777777" w:rsidR="0035791E" w:rsidRPr="004C15A2" w:rsidRDefault="0035791E" w:rsidP="00097A42">
      <w:pPr>
        <w:tabs>
          <w:tab w:val="left" w:pos="567"/>
        </w:tabs>
        <w:rPr>
          <w:b/>
          <w:sz w:val="22"/>
          <w:szCs w:val="22"/>
          <w:lang w:val="sk-SK"/>
        </w:rPr>
      </w:pPr>
      <w:r w:rsidRPr="004C15A2">
        <w:rPr>
          <w:b/>
          <w:sz w:val="22"/>
          <w:szCs w:val="22"/>
          <w:lang w:val="sk-SK"/>
        </w:rPr>
        <w:t>4.9</w:t>
      </w:r>
      <w:r w:rsidRPr="004C15A2">
        <w:rPr>
          <w:b/>
          <w:sz w:val="22"/>
          <w:szCs w:val="22"/>
          <w:lang w:val="sk-SK"/>
        </w:rPr>
        <w:tab/>
        <w:t>Predávkovanie</w:t>
      </w:r>
    </w:p>
    <w:p w14:paraId="20C1939D" w14:textId="77777777" w:rsidR="0035791E" w:rsidRPr="004C15A2" w:rsidRDefault="0035791E" w:rsidP="00097A42">
      <w:pPr>
        <w:rPr>
          <w:b/>
          <w:sz w:val="22"/>
          <w:szCs w:val="22"/>
          <w:lang w:val="sk-SK"/>
        </w:rPr>
      </w:pPr>
    </w:p>
    <w:p w14:paraId="3D48A0FD" w14:textId="77777777" w:rsidR="0035791E" w:rsidRPr="004C15A2" w:rsidRDefault="0035791E" w:rsidP="00097A42">
      <w:pPr>
        <w:rPr>
          <w:sz w:val="22"/>
          <w:szCs w:val="22"/>
          <w:lang w:val="sk-SK"/>
        </w:rPr>
      </w:pPr>
      <w:r w:rsidRPr="004C15A2">
        <w:rPr>
          <w:sz w:val="22"/>
          <w:szCs w:val="22"/>
          <w:lang w:val="sk-SK"/>
        </w:rPr>
        <w:t xml:space="preserve">Nie sú dostupné žiadne údaje súvisiace s predávkovaním </w:t>
      </w:r>
      <w:r w:rsidR="006600EA" w:rsidRPr="004C15A2">
        <w:rPr>
          <w:sz w:val="22"/>
          <w:szCs w:val="22"/>
          <w:lang w:val="sk-SK"/>
        </w:rPr>
        <w:t>XALACOMOM</w:t>
      </w:r>
      <w:r w:rsidRPr="004C15A2">
        <w:rPr>
          <w:sz w:val="22"/>
          <w:szCs w:val="22"/>
          <w:lang w:val="sk-SK"/>
        </w:rPr>
        <w:t xml:space="preserve"> u ľudí.</w:t>
      </w:r>
    </w:p>
    <w:p w14:paraId="2654D12B" w14:textId="77777777" w:rsidR="0035791E" w:rsidRDefault="0035791E" w:rsidP="00097A42">
      <w:pPr>
        <w:rPr>
          <w:sz w:val="22"/>
          <w:szCs w:val="22"/>
          <w:lang w:val="sk-SK"/>
        </w:rPr>
      </w:pPr>
    </w:p>
    <w:p w14:paraId="1EE92E7F" w14:textId="77777777" w:rsidR="000760CD" w:rsidRPr="00673AFB" w:rsidRDefault="000760CD" w:rsidP="00097A42">
      <w:pPr>
        <w:rPr>
          <w:sz w:val="22"/>
          <w:szCs w:val="22"/>
          <w:u w:val="single"/>
          <w:lang w:val="sk-SK"/>
        </w:rPr>
      </w:pPr>
      <w:r w:rsidRPr="00673AFB">
        <w:rPr>
          <w:sz w:val="22"/>
          <w:szCs w:val="22"/>
          <w:u w:val="single"/>
          <w:lang w:val="sk-SK"/>
        </w:rPr>
        <w:t>Sy</w:t>
      </w:r>
      <w:r w:rsidR="00C55675">
        <w:rPr>
          <w:sz w:val="22"/>
          <w:szCs w:val="22"/>
          <w:u w:val="single"/>
          <w:lang w:val="sk-SK"/>
        </w:rPr>
        <w:t>m</w:t>
      </w:r>
      <w:r w:rsidRPr="00673AFB">
        <w:rPr>
          <w:sz w:val="22"/>
          <w:szCs w:val="22"/>
          <w:u w:val="single"/>
          <w:lang w:val="sk-SK"/>
        </w:rPr>
        <w:t>ptómy</w:t>
      </w:r>
    </w:p>
    <w:p w14:paraId="72A989BD" w14:textId="77777777" w:rsidR="0035791E" w:rsidRPr="004C15A2" w:rsidRDefault="0035791E" w:rsidP="00097A42">
      <w:pPr>
        <w:rPr>
          <w:sz w:val="22"/>
          <w:szCs w:val="22"/>
          <w:lang w:val="sk-SK"/>
        </w:rPr>
      </w:pPr>
      <w:r w:rsidRPr="004C15A2">
        <w:rPr>
          <w:sz w:val="22"/>
          <w:szCs w:val="22"/>
          <w:lang w:val="sk-SK"/>
        </w:rPr>
        <w:t>Prejavy systémového predávkovania timololom sú: bradykardia, hypotenzia, bronchospazmus a zastavenie srdca. Ak sa objavia tieto prejavy, liečba má byť symptomatická a podporná. Štúdie ukázali, že timolol sa nedá ľahko odstrániť dialýzou.</w:t>
      </w:r>
    </w:p>
    <w:p w14:paraId="6D15FC10" w14:textId="77777777" w:rsidR="0035791E" w:rsidRPr="004C15A2" w:rsidRDefault="0035791E" w:rsidP="00097A42">
      <w:pPr>
        <w:rPr>
          <w:sz w:val="22"/>
          <w:szCs w:val="22"/>
          <w:lang w:val="sk-SK"/>
        </w:rPr>
      </w:pPr>
    </w:p>
    <w:p w14:paraId="7F73DAEF" w14:textId="77777777" w:rsidR="0035791E" w:rsidRPr="004C15A2" w:rsidRDefault="0035791E" w:rsidP="00097A42">
      <w:pPr>
        <w:rPr>
          <w:sz w:val="22"/>
          <w:szCs w:val="22"/>
          <w:lang w:val="sk-SK"/>
        </w:rPr>
      </w:pPr>
      <w:r w:rsidRPr="004C15A2">
        <w:rPr>
          <w:sz w:val="22"/>
          <w:szCs w:val="22"/>
          <w:lang w:val="sk-SK"/>
        </w:rPr>
        <w:t>Pri predávkovaní latanoprostom nie sú známe žiadne iné očné alebo systémové vedľajšie účinky okrem očného podráždenia a hyperémie spojovky.</w:t>
      </w:r>
    </w:p>
    <w:p w14:paraId="1AA2FD09" w14:textId="77777777" w:rsidR="0090601C" w:rsidRPr="004C15A2" w:rsidRDefault="0090601C" w:rsidP="00097A42">
      <w:pPr>
        <w:rPr>
          <w:sz w:val="22"/>
          <w:szCs w:val="22"/>
          <w:lang w:val="sk-SK"/>
        </w:rPr>
      </w:pPr>
      <w:r w:rsidRPr="004C15A2">
        <w:rPr>
          <w:sz w:val="22"/>
          <w:szCs w:val="22"/>
          <w:lang w:val="sk-SK"/>
        </w:rPr>
        <w:t>Jedna 2,5 ml fľaška obsahuje 125 mikrogramov latanoprostu.</w:t>
      </w:r>
    </w:p>
    <w:p w14:paraId="79D1FFA2" w14:textId="77777777" w:rsidR="0035791E" w:rsidRDefault="0035791E" w:rsidP="00097A42">
      <w:pPr>
        <w:rPr>
          <w:sz w:val="22"/>
          <w:szCs w:val="22"/>
          <w:lang w:val="sk-SK"/>
        </w:rPr>
      </w:pPr>
    </w:p>
    <w:p w14:paraId="0848E0FE" w14:textId="77777777" w:rsidR="003B6E2E" w:rsidRPr="00673AFB" w:rsidRDefault="003B6E2E" w:rsidP="00097A42">
      <w:pPr>
        <w:rPr>
          <w:sz w:val="22"/>
          <w:szCs w:val="22"/>
          <w:u w:val="single"/>
          <w:lang w:val="sk-SK"/>
        </w:rPr>
      </w:pPr>
      <w:r w:rsidRPr="00673AFB">
        <w:rPr>
          <w:sz w:val="22"/>
          <w:szCs w:val="22"/>
          <w:u w:val="single"/>
          <w:lang w:val="sk-SK"/>
        </w:rPr>
        <w:t>Liečba</w:t>
      </w:r>
    </w:p>
    <w:p w14:paraId="6EEC1C8E" w14:textId="77777777" w:rsidR="0035791E" w:rsidRPr="004C15A2" w:rsidRDefault="0035791E" w:rsidP="00097A42">
      <w:pPr>
        <w:rPr>
          <w:sz w:val="22"/>
          <w:szCs w:val="22"/>
          <w:lang w:val="sk-SK"/>
        </w:rPr>
      </w:pPr>
      <w:r w:rsidRPr="004C15A2">
        <w:rPr>
          <w:sz w:val="22"/>
          <w:szCs w:val="22"/>
          <w:lang w:val="sk-SK"/>
        </w:rPr>
        <w:t>Pri náhodnom perorálnom požití latanoprostu môžu byť užitočné nasled</w:t>
      </w:r>
      <w:r w:rsidR="0033614A" w:rsidRPr="004C15A2">
        <w:rPr>
          <w:sz w:val="22"/>
          <w:szCs w:val="22"/>
          <w:lang w:val="sk-SK"/>
        </w:rPr>
        <w:t>ovné</w:t>
      </w:r>
      <w:r w:rsidRPr="004C15A2">
        <w:rPr>
          <w:sz w:val="22"/>
          <w:szCs w:val="22"/>
          <w:lang w:val="sk-SK"/>
        </w:rPr>
        <w:t xml:space="preserve"> informácie:</w:t>
      </w:r>
    </w:p>
    <w:p w14:paraId="73105AD6" w14:textId="77777777" w:rsidR="0035791E" w:rsidRPr="004C15A2" w:rsidRDefault="0035791E" w:rsidP="00097A42">
      <w:pPr>
        <w:rPr>
          <w:sz w:val="22"/>
          <w:szCs w:val="22"/>
          <w:lang w:val="sk-SK"/>
        </w:rPr>
      </w:pPr>
    </w:p>
    <w:p w14:paraId="5579A945" w14:textId="77777777" w:rsidR="0035791E" w:rsidRPr="004C15A2" w:rsidRDefault="0035791E" w:rsidP="00097A42">
      <w:pPr>
        <w:rPr>
          <w:sz w:val="22"/>
          <w:szCs w:val="22"/>
          <w:lang w:val="sk-SK"/>
        </w:rPr>
      </w:pPr>
      <w:r w:rsidRPr="004C15A2">
        <w:rPr>
          <w:i/>
          <w:sz w:val="22"/>
          <w:szCs w:val="22"/>
          <w:lang w:val="sk-SK"/>
        </w:rPr>
        <w:t>Liečba</w:t>
      </w:r>
      <w:r w:rsidRPr="004C15A2">
        <w:rPr>
          <w:sz w:val="22"/>
          <w:szCs w:val="22"/>
          <w:lang w:val="sk-SK"/>
        </w:rPr>
        <w:t>: Výplach žalúdka</w:t>
      </w:r>
      <w:r w:rsidR="00DC1840" w:rsidRPr="004C15A2">
        <w:rPr>
          <w:sz w:val="22"/>
          <w:szCs w:val="22"/>
          <w:lang w:val="sk-SK"/>
        </w:rPr>
        <w:t>,</w:t>
      </w:r>
      <w:r w:rsidRPr="004C15A2">
        <w:rPr>
          <w:sz w:val="22"/>
          <w:szCs w:val="22"/>
          <w:lang w:val="sk-SK"/>
        </w:rPr>
        <w:t xml:space="preserve"> ak je potrebný.</w:t>
      </w:r>
    </w:p>
    <w:p w14:paraId="375F9AB4" w14:textId="77777777" w:rsidR="0035791E" w:rsidRPr="004C15A2" w:rsidRDefault="0035791E" w:rsidP="00097A42">
      <w:pPr>
        <w:rPr>
          <w:sz w:val="22"/>
          <w:szCs w:val="22"/>
          <w:lang w:val="sk-SK"/>
        </w:rPr>
      </w:pPr>
      <w:r w:rsidRPr="004C15A2">
        <w:rPr>
          <w:i/>
          <w:sz w:val="22"/>
          <w:szCs w:val="22"/>
          <w:lang w:val="sk-SK"/>
        </w:rPr>
        <w:t>Symptomatická liečba</w:t>
      </w:r>
      <w:r w:rsidR="00245F87" w:rsidRPr="004C15A2">
        <w:rPr>
          <w:i/>
          <w:sz w:val="22"/>
          <w:szCs w:val="22"/>
          <w:lang w:val="sk-SK"/>
        </w:rPr>
        <w:t>:</w:t>
      </w:r>
      <w:r w:rsidRPr="004C15A2">
        <w:rPr>
          <w:sz w:val="22"/>
          <w:szCs w:val="22"/>
          <w:lang w:val="sk-SK"/>
        </w:rPr>
        <w:t xml:space="preserve"> latanoprost sa významne metabolizuje počas prvého prechodu pečeňou. Intravenózne podanie zdravým dobrovoľníkom v dávke 3 </w:t>
      </w:r>
      <w:r w:rsidR="0033614A" w:rsidRPr="004C15A2">
        <w:rPr>
          <w:sz w:val="22"/>
          <w:szCs w:val="22"/>
          <w:lang w:val="sk-SK"/>
        </w:rPr>
        <w:t>mikrogramov</w:t>
      </w:r>
      <w:r w:rsidRPr="004C15A2">
        <w:rPr>
          <w:sz w:val="22"/>
          <w:szCs w:val="22"/>
          <w:lang w:val="sk-SK"/>
        </w:rPr>
        <w:t>/kg nevyvolalo žiadne príznaky, ale dávka 5,5 </w:t>
      </w:r>
      <w:r w:rsidRPr="004C15A2">
        <w:rPr>
          <w:sz w:val="22"/>
          <w:szCs w:val="22"/>
          <w:lang w:val="sk-SK"/>
        </w:rPr>
        <w:noBreakHyphen/>
        <w:t> 10 </w:t>
      </w:r>
      <w:r w:rsidR="0033614A" w:rsidRPr="004C15A2">
        <w:rPr>
          <w:sz w:val="22"/>
          <w:szCs w:val="22"/>
          <w:lang w:val="sk-SK"/>
        </w:rPr>
        <w:t>mikrogramov</w:t>
      </w:r>
      <w:r w:rsidRPr="004C15A2">
        <w:rPr>
          <w:sz w:val="22"/>
          <w:szCs w:val="22"/>
          <w:lang w:val="sk-SK"/>
        </w:rPr>
        <w:t>/kg spôsobila n</w:t>
      </w:r>
      <w:r w:rsidR="0033614A" w:rsidRPr="004C15A2">
        <w:rPr>
          <w:sz w:val="22"/>
          <w:szCs w:val="22"/>
          <w:lang w:val="sk-SK"/>
        </w:rPr>
        <w:t>evoľnosť</w:t>
      </w:r>
      <w:r w:rsidRPr="004C15A2">
        <w:rPr>
          <w:sz w:val="22"/>
          <w:szCs w:val="22"/>
          <w:lang w:val="sk-SK"/>
        </w:rPr>
        <w:t>, bolesti brucha, závraty, únavu, návaly horúčavy a potenie. Tieto príznaky boli z hľadiska závažnosti mierne až stredne závažné a vymizli bez liečby do 4 hodín po ukončení infúzie.</w:t>
      </w:r>
    </w:p>
    <w:p w14:paraId="69BEAEAD" w14:textId="77777777" w:rsidR="0035791E" w:rsidRPr="004C15A2" w:rsidRDefault="0035791E" w:rsidP="00097A42">
      <w:pPr>
        <w:rPr>
          <w:sz w:val="22"/>
          <w:szCs w:val="22"/>
          <w:lang w:val="sk-SK"/>
        </w:rPr>
      </w:pPr>
    </w:p>
    <w:p w14:paraId="53400108" w14:textId="77777777" w:rsidR="0035791E" w:rsidRPr="004C15A2" w:rsidRDefault="0035791E" w:rsidP="00097A42">
      <w:pPr>
        <w:rPr>
          <w:sz w:val="22"/>
          <w:szCs w:val="22"/>
          <w:lang w:val="sk-SK"/>
        </w:rPr>
      </w:pPr>
    </w:p>
    <w:p w14:paraId="5974761B" w14:textId="77777777" w:rsidR="0035791E" w:rsidRPr="004C15A2" w:rsidRDefault="0035791E" w:rsidP="00170A8F">
      <w:pPr>
        <w:keepNext/>
        <w:tabs>
          <w:tab w:val="left" w:pos="567"/>
        </w:tabs>
        <w:rPr>
          <w:b/>
          <w:sz w:val="22"/>
          <w:szCs w:val="22"/>
          <w:lang w:val="sk-SK"/>
        </w:rPr>
      </w:pPr>
      <w:r w:rsidRPr="004C15A2">
        <w:rPr>
          <w:b/>
          <w:sz w:val="22"/>
          <w:szCs w:val="22"/>
          <w:lang w:val="sk-SK"/>
        </w:rPr>
        <w:t xml:space="preserve">5. </w:t>
      </w:r>
      <w:r w:rsidRPr="004C15A2">
        <w:rPr>
          <w:b/>
          <w:sz w:val="22"/>
          <w:szCs w:val="22"/>
          <w:lang w:val="sk-SK"/>
        </w:rPr>
        <w:tab/>
        <w:t>FARMAKOLOGICKÉ VLASTNOSTI</w:t>
      </w:r>
    </w:p>
    <w:p w14:paraId="63E3E0B8" w14:textId="77777777" w:rsidR="0035791E" w:rsidRPr="004C15A2" w:rsidRDefault="0035791E" w:rsidP="00170A8F">
      <w:pPr>
        <w:keepNext/>
        <w:rPr>
          <w:b/>
          <w:sz w:val="22"/>
          <w:szCs w:val="22"/>
          <w:lang w:val="sk-SK"/>
        </w:rPr>
      </w:pPr>
    </w:p>
    <w:p w14:paraId="3830D6CD" w14:textId="77777777" w:rsidR="0035791E" w:rsidRPr="004C15A2" w:rsidRDefault="0035791E" w:rsidP="00170A8F">
      <w:pPr>
        <w:keepNext/>
        <w:tabs>
          <w:tab w:val="left" w:pos="567"/>
        </w:tabs>
        <w:rPr>
          <w:b/>
          <w:sz w:val="22"/>
          <w:szCs w:val="22"/>
          <w:lang w:val="sk-SK"/>
        </w:rPr>
      </w:pPr>
      <w:r w:rsidRPr="004C15A2">
        <w:rPr>
          <w:b/>
          <w:sz w:val="22"/>
          <w:szCs w:val="22"/>
          <w:lang w:val="sk-SK"/>
        </w:rPr>
        <w:t>5.1</w:t>
      </w:r>
      <w:r w:rsidRPr="004C15A2">
        <w:rPr>
          <w:b/>
          <w:sz w:val="22"/>
          <w:szCs w:val="22"/>
          <w:lang w:val="sk-SK"/>
        </w:rPr>
        <w:tab/>
        <w:t>Farmakodynamické vlastnosti</w:t>
      </w:r>
    </w:p>
    <w:p w14:paraId="44AD35C9" w14:textId="77777777" w:rsidR="0035791E" w:rsidRPr="004C15A2" w:rsidRDefault="0035791E" w:rsidP="00170A8F">
      <w:pPr>
        <w:keepNext/>
        <w:rPr>
          <w:b/>
          <w:sz w:val="22"/>
          <w:szCs w:val="22"/>
          <w:lang w:val="sk-SK"/>
        </w:rPr>
      </w:pPr>
    </w:p>
    <w:p w14:paraId="43F54C84" w14:textId="43B2B7D4" w:rsidR="0035791E" w:rsidRPr="004C15A2" w:rsidRDefault="0035791E" w:rsidP="00170A8F">
      <w:pPr>
        <w:keepNext/>
        <w:rPr>
          <w:b/>
          <w:sz w:val="22"/>
          <w:szCs w:val="22"/>
          <w:lang w:val="sk-SK"/>
        </w:rPr>
      </w:pPr>
      <w:r w:rsidRPr="004C15A2">
        <w:rPr>
          <w:b/>
          <w:sz w:val="22"/>
          <w:szCs w:val="22"/>
          <w:lang w:val="sk-SK"/>
        </w:rPr>
        <w:t>Farmakoterapeutická skupina:</w:t>
      </w:r>
      <w:r w:rsidRPr="004C15A2">
        <w:rPr>
          <w:sz w:val="22"/>
          <w:szCs w:val="22"/>
          <w:lang w:val="sk-SK"/>
        </w:rPr>
        <w:t xml:space="preserve"> </w:t>
      </w:r>
      <w:r w:rsidR="00F004BA">
        <w:rPr>
          <w:sz w:val="22"/>
          <w:szCs w:val="22"/>
          <w:lang w:val="sk-SK"/>
        </w:rPr>
        <w:t>O</w:t>
      </w:r>
      <w:r w:rsidRPr="004C15A2">
        <w:rPr>
          <w:sz w:val="22"/>
          <w:szCs w:val="22"/>
          <w:lang w:val="sk-SK"/>
        </w:rPr>
        <w:t>ftalmologik</w:t>
      </w:r>
      <w:r w:rsidR="0033614A" w:rsidRPr="004C15A2">
        <w:rPr>
          <w:sz w:val="22"/>
          <w:szCs w:val="22"/>
          <w:lang w:val="sk-SK"/>
        </w:rPr>
        <w:t xml:space="preserve">á, </w:t>
      </w:r>
      <w:r w:rsidRPr="004C15A2">
        <w:rPr>
          <w:sz w:val="22"/>
          <w:szCs w:val="22"/>
          <w:lang w:val="sk-SK"/>
        </w:rPr>
        <w:t>betablokátor</w:t>
      </w:r>
      <w:r w:rsidR="0033614A" w:rsidRPr="004C15A2">
        <w:rPr>
          <w:sz w:val="22"/>
          <w:szCs w:val="22"/>
          <w:lang w:val="sk-SK"/>
        </w:rPr>
        <w:t xml:space="preserve">y, </w:t>
      </w:r>
      <w:r w:rsidRPr="004C15A2">
        <w:rPr>
          <w:sz w:val="22"/>
          <w:szCs w:val="22"/>
          <w:lang w:val="sk-SK"/>
        </w:rPr>
        <w:t xml:space="preserve">ATC kód: </w:t>
      </w:r>
      <w:r w:rsidRPr="004C15A2">
        <w:rPr>
          <w:b/>
          <w:sz w:val="22"/>
          <w:szCs w:val="22"/>
          <w:lang w:val="sk-SK"/>
        </w:rPr>
        <w:t>S01ED51</w:t>
      </w:r>
    </w:p>
    <w:p w14:paraId="34853E65" w14:textId="77777777" w:rsidR="0035791E" w:rsidRPr="004C15A2" w:rsidRDefault="0035791E" w:rsidP="00170A8F">
      <w:pPr>
        <w:keepNext/>
        <w:rPr>
          <w:sz w:val="22"/>
          <w:szCs w:val="22"/>
          <w:lang w:val="sk-SK"/>
        </w:rPr>
      </w:pPr>
    </w:p>
    <w:p w14:paraId="76B76561" w14:textId="77777777" w:rsidR="0035791E" w:rsidRPr="00170A8F" w:rsidRDefault="00D6091D" w:rsidP="00170A8F">
      <w:pPr>
        <w:keepNext/>
        <w:numPr>
          <w:ilvl w:val="12"/>
          <w:numId w:val="0"/>
        </w:numPr>
        <w:rPr>
          <w:sz w:val="22"/>
          <w:szCs w:val="22"/>
          <w:u w:val="single"/>
          <w:lang w:val="sk-SK"/>
        </w:rPr>
      </w:pPr>
      <w:r w:rsidRPr="00170A8F">
        <w:rPr>
          <w:sz w:val="22"/>
          <w:szCs w:val="22"/>
          <w:u w:val="single"/>
          <w:lang w:val="sk-SK"/>
        </w:rPr>
        <w:t xml:space="preserve">Mechanizmus </w:t>
      </w:r>
      <w:r w:rsidR="0035791E" w:rsidRPr="00170A8F">
        <w:rPr>
          <w:sz w:val="22"/>
          <w:szCs w:val="22"/>
          <w:u w:val="single"/>
          <w:lang w:val="sk-SK"/>
        </w:rPr>
        <w:t>účinku:</w:t>
      </w:r>
    </w:p>
    <w:p w14:paraId="74B93F62" w14:textId="3A431044" w:rsidR="0035791E" w:rsidRPr="004C15A2" w:rsidRDefault="0035791E" w:rsidP="00170A8F">
      <w:pPr>
        <w:keepNext/>
        <w:numPr>
          <w:ilvl w:val="12"/>
          <w:numId w:val="0"/>
        </w:numPr>
        <w:rPr>
          <w:sz w:val="22"/>
          <w:szCs w:val="22"/>
          <w:lang w:val="sk-SK"/>
        </w:rPr>
      </w:pPr>
      <w:r w:rsidRPr="004C15A2">
        <w:rPr>
          <w:sz w:val="22"/>
          <w:szCs w:val="22"/>
          <w:lang w:val="sk-SK"/>
        </w:rPr>
        <w:t>X</w:t>
      </w:r>
      <w:r w:rsidR="00933549" w:rsidRPr="004C15A2">
        <w:rPr>
          <w:sz w:val="22"/>
          <w:szCs w:val="22"/>
          <w:lang w:val="sk-SK"/>
        </w:rPr>
        <w:t>ALACOM</w:t>
      </w:r>
      <w:r w:rsidRPr="004C15A2">
        <w:rPr>
          <w:sz w:val="22"/>
          <w:szCs w:val="22"/>
          <w:lang w:val="sk-SK"/>
        </w:rPr>
        <w:t xml:space="preserve"> obsahuje dve liečivá: latanoprost a </w:t>
      </w:r>
      <w:r w:rsidR="00396491" w:rsidRPr="00BE1625">
        <w:rPr>
          <w:sz w:val="22"/>
          <w:szCs w:val="22"/>
        </w:rPr>
        <w:t>timolólium-hydrogenmaleá</w:t>
      </w:r>
      <w:r w:rsidR="00396491">
        <w:rPr>
          <w:sz w:val="22"/>
          <w:szCs w:val="22"/>
          <w:lang w:val="sk-SK"/>
        </w:rPr>
        <w:t>t</w:t>
      </w:r>
      <w:r w:rsidRPr="004C15A2">
        <w:rPr>
          <w:sz w:val="22"/>
          <w:szCs w:val="22"/>
          <w:lang w:val="sk-SK"/>
        </w:rPr>
        <w:t>.</w:t>
      </w:r>
    </w:p>
    <w:p w14:paraId="01C18A44" w14:textId="77777777" w:rsidR="0035791E" w:rsidRPr="004C15A2" w:rsidRDefault="0035791E" w:rsidP="00097A42">
      <w:pPr>
        <w:numPr>
          <w:ilvl w:val="12"/>
          <w:numId w:val="0"/>
        </w:numPr>
        <w:rPr>
          <w:sz w:val="22"/>
          <w:szCs w:val="22"/>
          <w:lang w:val="sk-SK"/>
        </w:rPr>
      </w:pPr>
      <w:r w:rsidRPr="004C15A2">
        <w:rPr>
          <w:sz w:val="22"/>
          <w:szCs w:val="22"/>
          <w:lang w:val="sk-SK"/>
        </w:rPr>
        <w:t xml:space="preserve">Tieto dve liečivá znižujú zvýšený vnútroočný tlak (VOT) rozličnými </w:t>
      </w:r>
      <w:r w:rsidR="00933549" w:rsidRPr="004C15A2">
        <w:rPr>
          <w:sz w:val="22"/>
          <w:szCs w:val="22"/>
          <w:lang w:val="sk-SK"/>
        </w:rPr>
        <w:t>mechanizma</w:t>
      </w:r>
      <w:r w:rsidRPr="004C15A2">
        <w:rPr>
          <w:sz w:val="22"/>
          <w:szCs w:val="22"/>
          <w:lang w:val="sk-SK"/>
        </w:rPr>
        <w:t>mi účinku a kombinovaný účinok spôsobuje aditívnu redukciu VOT v porovnaní s podaním každého liečiva oddelene.</w:t>
      </w:r>
    </w:p>
    <w:p w14:paraId="78E20953" w14:textId="77777777" w:rsidR="0035791E" w:rsidRPr="004C15A2" w:rsidRDefault="0035791E" w:rsidP="00097A42">
      <w:pPr>
        <w:numPr>
          <w:ilvl w:val="12"/>
          <w:numId w:val="0"/>
        </w:numPr>
        <w:rPr>
          <w:sz w:val="22"/>
          <w:szCs w:val="22"/>
          <w:lang w:val="sk-SK"/>
        </w:rPr>
      </w:pPr>
    </w:p>
    <w:p w14:paraId="128C9EF5" w14:textId="77777777" w:rsidR="0035791E" w:rsidRPr="004C15A2" w:rsidRDefault="0035791E" w:rsidP="009D3632">
      <w:pPr>
        <w:rPr>
          <w:b/>
          <w:i/>
          <w:sz w:val="22"/>
          <w:szCs w:val="22"/>
          <w:lang w:val="sk-SK"/>
        </w:rPr>
      </w:pPr>
      <w:r w:rsidRPr="004C15A2">
        <w:rPr>
          <w:b/>
          <w:i/>
          <w:sz w:val="22"/>
          <w:szCs w:val="22"/>
          <w:lang w:val="sk-SK"/>
        </w:rPr>
        <w:t>Latanoprost</w:t>
      </w:r>
    </w:p>
    <w:p w14:paraId="37BAD37A" w14:textId="77777777" w:rsidR="0035791E" w:rsidRPr="004C15A2" w:rsidRDefault="0035791E" w:rsidP="00097A42">
      <w:pPr>
        <w:numPr>
          <w:ilvl w:val="12"/>
          <w:numId w:val="0"/>
        </w:numPr>
        <w:rPr>
          <w:sz w:val="22"/>
          <w:szCs w:val="22"/>
          <w:lang w:val="sk-SK"/>
        </w:rPr>
      </w:pPr>
      <w:r w:rsidRPr="004C15A2">
        <w:rPr>
          <w:sz w:val="22"/>
          <w:szCs w:val="22"/>
          <w:lang w:val="sk-SK"/>
        </w:rPr>
        <w:t>Latanoprost </w:t>
      </w:r>
      <w:r w:rsidRPr="004C15A2">
        <w:rPr>
          <w:sz w:val="22"/>
          <w:szCs w:val="22"/>
          <w:lang w:val="sk-SK"/>
        </w:rPr>
        <w:noBreakHyphen/>
        <w:t> analóg prostaglandínu F</w:t>
      </w:r>
      <w:r w:rsidRPr="004C15A2">
        <w:rPr>
          <w:sz w:val="22"/>
          <w:szCs w:val="22"/>
          <w:vertAlign w:val="subscript"/>
          <w:lang w:val="sk-SK"/>
        </w:rPr>
        <w:t>2α</w:t>
      </w:r>
      <w:r w:rsidRPr="004C15A2">
        <w:rPr>
          <w:sz w:val="22"/>
          <w:szCs w:val="22"/>
          <w:lang w:val="sk-SK"/>
        </w:rPr>
        <w:t xml:space="preserve"> je selektívny agonista prostanoidového FP receptora, ktorý znižuje VOT zvýšením odtoku komorového moku. Mechanizmus účinku je hlavne zvýšenie uv</w:t>
      </w:r>
      <w:r w:rsidR="00203504" w:rsidRPr="004C15A2">
        <w:rPr>
          <w:sz w:val="22"/>
          <w:szCs w:val="22"/>
          <w:lang w:val="sk-SK"/>
        </w:rPr>
        <w:t xml:space="preserve">eosklerálneho odtoku a súčasne </w:t>
      </w:r>
      <w:r w:rsidRPr="004C15A2">
        <w:rPr>
          <w:sz w:val="22"/>
          <w:szCs w:val="22"/>
          <w:lang w:val="sk-SK"/>
        </w:rPr>
        <w:t>aj zvýšený trabekulárny odtok.</w:t>
      </w:r>
    </w:p>
    <w:p w14:paraId="154FCB2F" w14:textId="39D3C8C9" w:rsidR="0035791E" w:rsidRPr="004C15A2" w:rsidRDefault="0035791E" w:rsidP="00097A42">
      <w:pPr>
        <w:numPr>
          <w:ilvl w:val="12"/>
          <w:numId w:val="0"/>
        </w:numPr>
        <w:rPr>
          <w:sz w:val="22"/>
          <w:szCs w:val="22"/>
          <w:lang w:val="sk-SK"/>
        </w:rPr>
      </w:pPr>
      <w:r w:rsidRPr="004C15A2">
        <w:rPr>
          <w:sz w:val="22"/>
          <w:szCs w:val="22"/>
          <w:lang w:val="sk-SK"/>
        </w:rPr>
        <w:t xml:space="preserve">Klinické štúdie preukázali, že latanoprost nemá významnejší vplyv na produkciu komorového moku a nemá žiadny vplyv na hemato-okulárnu bariéru. Latanoprost nevyvoláva únik fluoresceínu do zadného segmentu pseudofakických očí u ľudí počas krátkodobej liečby. Latanoprost v terapeutických dávkach nemá žiadny signifikantný farmakologický vplyv na kardiovaskulárny a dýchací systém. </w:t>
      </w:r>
    </w:p>
    <w:p w14:paraId="31329813" w14:textId="77777777" w:rsidR="0035791E" w:rsidRPr="004C15A2" w:rsidRDefault="0035791E" w:rsidP="00097A42">
      <w:pPr>
        <w:numPr>
          <w:ilvl w:val="12"/>
          <w:numId w:val="0"/>
        </w:numPr>
        <w:rPr>
          <w:sz w:val="22"/>
          <w:szCs w:val="22"/>
          <w:lang w:val="sk-SK"/>
        </w:rPr>
      </w:pPr>
    </w:p>
    <w:p w14:paraId="7D00EE1C" w14:textId="77777777" w:rsidR="0035791E" w:rsidRPr="004C15A2" w:rsidRDefault="0035791E" w:rsidP="009D3632">
      <w:pPr>
        <w:rPr>
          <w:b/>
          <w:i/>
          <w:sz w:val="22"/>
          <w:szCs w:val="22"/>
          <w:lang w:val="sk-SK"/>
        </w:rPr>
      </w:pPr>
      <w:r w:rsidRPr="004C15A2">
        <w:rPr>
          <w:b/>
          <w:i/>
          <w:sz w:val="22"/>
          <w:szCs w:val="22"/>
          <w:lang w:val="sk-SK"/>
        </w:rPr>
        <w:t>Timolol</w:t>
      </w:r>
    </w:p>
    <w:p w14:paraId="27BBA6E1" w14:textId="77777777" w:rsidR="008203A7" w:rsidRPr="004C15A2" w:rsidRDefault="0035791E" w:rsidP="00097A42">
      <w:pPr>
        <w:numPr>
          <w:ilvl w:val="12"/>
          <w:numId w:val="0"/>
        </w:numPr>
        <w:rPr>
          <w:sz w:val="22"/>
          <w:szCs w:val="22"/>
          <w:lang w:val="sk-SK"/>
        </w:rPr>
      </w:pPr>
      <w:r w:rsidRPr="004C15A2">
        <w:rPr>
          <w:sz w:val="22"/>
          <w:szCs w:val="22"/>
          <w:lang w:val="sk-SK"/>
        </w:rPr>
        <w:t xml:space="preserve">Timolol je beta-1- a beta-2-(neselektívny) blokátor adrenergných receptorov, ktorý nemá významnejšiu vnútornú sympatomimetickú aktivitu, priamy kardiodepresívny alebo lokálny membrány stabilizujúci účinok. </w:t>
      </w:r>
      <w:r w:rsidR="008203A7" w:rsidRPr="004C15A2">
        <w:rPr>
          <w:sz w:val="22"/>
          <w:szCs w:val="22"/>
          <w:lang w:val="sk-SK"/>
        </w:rPr>
        <w:t>Beta-adrenergná blokáda znižuje srdcový výkon u zdravých dobrovoľníkov aj u pacientov s</w:t>
      </w:r>
      <w:r w:rsidR="00933549" w:rsidRPr="004C15A2">
        <w:rPr>
          <w:sz w:val="22"/>
          <w:szCs w:val="22"/>
          <w:lang w:val="sk-SK"/>
        </w:rPr>
        <w:t> </w:t>
      </w:r>
      <w:r w:rsidR="008203A7" w:rsidRPr="004C15A2">
        <w:rPr>
          <w:sz w:val="22"/>
          <w:szCs w:val="22"/>
          <w:lang w:val="sk-SK"/>
        </w:rPr>
        <w:t>ochorením srdca. U pacientov s</w:t>
      </w:r>
      <w:r w:rsidR="00933549" w:rsidRPr="004C15A2">
        <w:rPr>
          <w:sz w:val="22"/>
          <w:szCs w:val="22"/>
          <w:lang w:val="sk-SK"/>
        </w:rPr>
        <w:t>o závažn</w:t>
      </w:r>
      <w:r w:rsidR="008203A7" w:rsidRPr="004C15A2">
        <w:rPr>
          <w:sz w:val="22"/>
          <w:szCs w:val="22"/>
          <w:lang w:val="sk-SK"/>
        </w:rPr>
        <w:t>ou poruchou funkcie srdcového svalu môže blokáda beta-adrenergných receptorov inhibovať stimulačný účinok sympatického nervového systému, ktorý je potrebný na udržanie adekvátnej srdcovej funkcie.</w:t>
      </w:r>
    </w:p>
    <w:p w14:paraId="64FDBF35" w14:textId="77777777" w:rsidR="008203A7" w:rsidRPr="004C15A2" w:rsidRDefault="008203A7" w:rsidP="00097A42">
      <w:pPr>
        <w:numPr>
          <w:ilvl w:val="12"/>
          <w:numId w:val="0"/>
        </w:numPr>
        <w:rPr>
          <w:sz w:val="22"/>
          <w:szCs w:val="22"/>
          <w:lang w:val="sk-SK"/>
        </w:rPr>
      </w:pPr>
    </w:p>
    <w:p w14:paraId="759D3A4E" w14:textId="5308BAEC" w:rsidR="000F6DCE" w:rsidRPr="004C15A2" w:rsidRDefault="008203A7" w:rsidP="00097A42">
      <w:pPr>
        <w:numPr>
          <w:ilvl w:val="12"/>
          <w:numId w:val="0"/>
        </w:numPr>
        <w:rPr>
          <w:sz w:val="22"/>
          <w:szCs w:val="22"/>
          <w:lang w:val="sk-SK"/>
        </w:rPr>
      </w:pPr>
      <w:r w:rsidRPr="004C15A2">
        <w:rPr>
          <w:sz w:val="22"/>
          <w:szCs w:val="22"/>
          <w:lang w:val="sk-SK"/>
        </w:rPr>
        <w:t>Blokáda beta-adrenergných receptorov v prieduškách a bronchiolo</w:t>
      </w:r>
      <w:r w:rsidR="00A1220C" w:rsidRPr="004C15A2">
        <w:rPr>
          <w:sz w:val="22"/>
          <w:szCs w:val="22"/>
          <w:lang w:val="sk-SK"/>
        </w:rPr>
        <w:t>ch</w:t>
      </w:r>
      <w:r w:rsidRPr="004C15A2">
        <w:rPr>
          <w:sz w:val="22"/>
          <w:szCs w:val="22"/>
          <w:lang w:val="sk-SK"/>
        </w:rPr>
        <w:t xml:space="preserve"> vedie k zvýšenej rezistencii dýchacích ciest bez </w:t>
      </w:r>
      <w:r w:rsidR="009863A1" w:rsidRPr="004C15A2">
        <w:rPr>
          <w:sz w:val="22"/>
          <w:szCs w:val="22"/>
          <w:lang w:val="sk-SK"/>
        </w:rPr>
        <w:t>antagonistickej aktivity parasympatika</w:t>
      </w:r>
      <w:r w:rsidRPr="004C15A2">
        <w:rPr>
          <w:sz w:val="22"/>
          <w:szCs w:val="22"/>
          <w:lang w:val="sk-SK"/>
        </w:rPr>
        <w:t>. Takýto účinok u pacientov s astmou alebo inými bronchospastickými ochoreniami je potenciálne nebezpečný (pozri časť 4.3 a 4.4).</w:t>
      </w:r>
      <w:r w:rsidRPr="004C15A2" w:rsidDel="008203A7">
        <w:rPr>
          <w:sz w:val="22"/>
          <w:szCs w:val="22"/>
          <w:lang w:val="sk-SK"/>
        </w:rPr>
        <w:t xml:space="preserve"> </w:t>
      </w:r>
      <w:r w:rsidR="000F6DCE" w:rsidRPr="004C15A2">
        <w:rPr>
          <w:sz w:val="22"/>
          <w:szCs w:val="22"/>
          <w:lang w:val="sk-SK"/>
        </w:rPr>
        <w:t>Očný roztok s </w:t>
      </w:r>
      <w:r w:rsidR="00396491" w:rsidRPr="00BE1625">
        <w:rPr>
          <w:sz w:val="22"/>
          <w:szCs w:val="22"/>
        </w:rPr>
        <w:t>timolólium-hydrogenmaleá</w:t>
      </w:r>
      <w:r w:rsidR="00396491">
        <w:rPr>
          <w:sz w:val="22"/>
          <w:szCs w:val="22"/>
        </w:rPr>
        <w:t>tom</w:t>
      </w:r>
      <w:r w:rsidR="000F6DCE" w:rsidRPr="004C15A2">
        <w:rPr>
          <w:sz w:val="22"/>
          <w:szCs w:val="22"/>
          <w:lang w:val="sk-SK"/>
        </w:rPr>
        <w:t xml:space="preserve"> aplikovaný lokálne do oka znižuje zvýšený aj normálny vnútroočný tlak, ktorý je alebo nie je sprevádzaný glaukómom. Zvýšený vnútroočný tlak je hlavným rizikovým faktorom v patogenéze glaukomatóznej straty zorného poľa. Čím vyšš</w:t>
      </w:r>
      <w:r w:rsidR="00AC6F8B" w:rsidRPr="004C15A2">
        <w:rPr>
          <w:sz w:val="22"/>
          <w:szCs w:val="22"/>
          <w:lang w:val="sk-SK"/>
        </w:rPr>
        <w:t>í</w:t>
      </w:r>
      <w:r w:rsidR="000F6DCE" w:rsidRPr="004C15A2">
        <w:rPr>
          <w:sz w:val="22"/>
          <w:szCs w:val="22"/>
          <w:lang w:val="sk-SK"/>
        </w:rPr>
        <w:t xml:space="preserve"> je vnútroočn</w:t>
      </w:r>
      <w:r w:rsidR="00AC6F8B" w:rsidRPr="004C15A2">
        <w:rPr>
          <w:sz w:val="22"/>
          <w:szCs w:val="22"/>
          <w:lang w:val="sk-SK"/>
        </w:rPr>
        <w:t>ý</w:t>
      </w:r>
      <w:r w:rsidR="000F6DCE" w:rsidRPr="004C15A2">
        <w:rPr>
          <w:sz w:val="22"/>
          <w:szCs w:val="22"/>
          <w:lang w:val="sk-SK"/>
        </w:rPr>
        <w:t xml:space="preserve"> tlak, tým väčšia je pravdepodobnosť glaukomatózn</w:t>
      </w:r>
      <w:r w:rsidR="007B73B9" w:rsidRPr="004C15A2">
        <w:rPr>
          <w:sz w:val="22"/>
          <w:szCs w:val="22"/>
          <w:lang w:val="sk-SK"/>
        </w:rPr>
        <w:t>ej</w:t>
      </w:r>
      <w:r w:rsidR="000F6DCE" w:rsidRPr="004C15A2">
        <w:rPr>
          <w:sz w:val="22"/>
          <w:szCs w:val="22"/>
          <w:lang w:val="sk-SK"/>
        </w:rPr>
        <w:t xml:space="preserve"> straty zorného poľa a poškodenia optického nervu.</w:t>
      </w:r>
    </w:p>
    <w:p w14:paraId="2BD2AB50" w14:textId="77777777" w:rsidR="000F6DCE" w:rsidRPr="004C15A2" w:rsidRDefault="000F6DCE" w:rsidP="00097A42">
      <w:pPr>
        <w:numPr>
          <w:ilvl w:val="12"/>
          <w:numId w:val="0"/>
        </w:numPr>
        <w:rPr>
          <w:sz w:val="22"/>
          <w:szCs w:val="22"/>
          <w:lang w:val="sk-SK"/>
        </w:rPr>
      </w:pPr>
    </w:p>
    <w:p w14:paraId="4C02E1F8" w14:textId="77777777" w:rsidR="0035791E" w:rsidRPr="004C15A2" w:rsidRDefault="0035791E" w:rsidP="00097A42">
      <w:pPr>
        <w:numPr>
          <w:ilvl w:val="12"/>
          <w:numId w:val="0"/>
        </w:numPr>
        <w:rPr>
          <w:sz w:val="22"/>
          <w:szCs w:val="22"/>
          <w:lang w:val="sk-SK"/>
        </w:rPr>
      </w:pPr>
      <w:r w:rsidRPr="004C15A2">
        <w:rPr>
          <w:sz w:val="22"/>
          <w:szCs w:val="22"/>
          <w:lang w:val="sk-SK"/>
        </w:rPr>
        <w:t xml:space="preserve">Presný mechanizmus </w:t>
      </w:r>
      <w:r w:rsidR="00A40296" w:rsidRPr="004C15A2">
        <w:rPr>
          <w:sz w:val="22"/>
          <w:szCs w:val="22"/>
          <w:lang w:val="sk-SK"/>
        </w:rPr>
        <w:t xml:space="preserve">hypotenzívneho účinku v oku </w:t>
      </w:r>
      <w:r w:rsidRPr="004C15A2">
        <w:rPr>
          <w:sz w:val="22"/>
          <w:szCs w:val="22"/>
          <w:lang w:val="sk-SK"/>
        </w:rPr>
        <w:t xml:space="preserve">nie je stanovený. </w:t>
      </w:r>
      <w:r w:rsidR="00A40296" w:rsidRPr="004C15A2">
        <w:rPr>
          <w:sz w:val="22"/>
          <w:szCs w:val="22"/>
          <w:lang w:val="sk-SK"/>
        </w:rPr>
        <w:t xml:space="preserve">Štúdie tonografie a fluórofotometrie u človeka naznačujú, že jeho prevládajúci účinok môže súvisieť so zníženou tvorbou </w:t>
      </w:r>
      <w:r w:rsidR="00A1220C" w:rsidRPr="004C15A2">
        <w:rPr>
          <w:sz w:val="22"/>
          <w:szCs w:val="22"/>
          <w:lang w:val="sk-SK"/>
        </w:rPr>
        <w:t>moku</w:t>
      </w:r>
      <w:r w:rsidR="00A40296" w:rsidRPr="004C15A2">
        <w:rPr>
          <w:sz w:val="22"/>
          <w:szCs w:val="22"/>
          <w:lang w:val="sk-SK"/>
        </w:rPr>
        <w:t>. Avšak, v</w:t>
      </w:r>
      <w:r w:rsidR="006054C9" w:rsidRPr="004C15A2">
        <w:rPr>
          <w:sz w:val="22"/>
          <w:szCs w:val="22"/>
          <w:lang w:val="sk-SK"/>
        </w:rPr>
        <w:t> </w:t>
      </w:r>
      <w:r w:rsidR="00A40296" w:rsidRPr="004C15A2">
        <w:rPr>
          <w:sz w:val="22"/>
          <w:szCs w:val="22"/>
          <w:lang w:val="sk-SK"/>
        </w:rPr>
        <w:t>niektorých štúdiách sa pozorovalo mierne zvýšenie odtoku.</w:t>
      </w:r>
    </w:p>
    <w:p w14:paraId="25A3D2FE" w14:textId="77777777" w:rsidR="0035791E" w:rsidRPr="004C15A2" w:rsidRDefault="0035791E" w:rsidP="00097A42">
      <w:pPr>
        <w:numPr>
          <w:ilvl w:val="12"/>
          <w:numId w:val="0"/>
        </w:numPr>
        <w:rPr>
          <w:sz w:val="22"/>
          <w:szCs w:val="22"/>
          <w:lang w:val="sk-SK"/>
        </w:rPr>
      </w:pPr>
    </w:p>
    <w:p w14:paraId="18E22355" w14:textId="0F3044BB" w:rsidR="0035791E" w:rsidRPr="00170A8F" w:rsidRDefault="0035791E" w:rsidP="00097A42">
      <w:pPr>
        <w:numPr>
          <w:ilvl w:val="12"/>
          <w:numId w:val="0"/>
        </w:numPr>
        <w:rPr>
          <w:sz w:val="22"/>
          <w:szCs w:val="22"/>
          <w:u w:val="single"/>
          <w:lang w:val="sk-SK"/>
        </w:rPr>
      </w:pPr>
      <w:r w:rsidRPr="00170A8F">
        <w:rPr>
          <w:sz w:val="22"/>
          <w:szCs w:val="22"/>
          <w:u w:val="single"/>
          <w:lang w:val="sk-SK"/>
        </w:rPr>
        <w:t>Klinick</w:t>
      </w:r>
      <w:r w:rsidR="00F004BA">
        <w:rPr>
          <w:sz w:val="22"/>
          <w:szCs w:val="22"/>
          <w:u w:val="single"/>
          <w:lang w:val="sk-SK"/>
        </w:rPr>
        <w:t>á</w:t>
      </w:r>
      <w:r w:rsidRPr="00170A8F">
        <w:rPr>
          <w:sz w:val="22"/>
          <w:szCs w:val="22"/>
          <w:u w:val="single"/>
          <w:lang w:val="sk-SK"/>
        </w:rPr>
        <w:t xml:space="preserve"> účin</w:t>
      </w:r>
      <w:r w:rsidR="00F004BA">
        <w:rPr>
          <w:sz w:val="22"/>
          <w:szCs w:val="22"/>
          <w:u w:val="single"/>
          <w:lang w:val="sk-SK"/>
        </w:rPr>
        <w:t>nosť a bezpečnosť</w:t>
      </w:r>
      <w:r w:rsidRPr="00170A8F">
        <w:rPr>
          <w:sz w:val="22"/>
          <w:szCs w:val="22"/>
          <w:u w:val="single"/>
          <w:lang w:val="sk-SK"/>
        </w:rPr>
        <w:t>:</w:t>
      </w:r>
    </w:p>
    <w:p w14:paraId="36722B2D" w14:textId="77777777" w:rsidR="0035791E" w:rsidRPr="004C15A2" w:rsidRDefault="0035791E" w:rsidP="00097A42">
      <w:pPr>
        <w:numPr>
          <w:ilvl w:val="12"/>
          <w:numId w:val="0"/>
        </w:numPr>
        <w:rPr>
          <w:sz w:val="22"/>
          <w:szCs w:val="22"/>
          <w:lang w:val="sk-SK"/>
        </w:rPr>
      </w:pPr>
      <w:r w:rsidRPr="004C15A2">
        <w:rPr>
          <w:sz w:val="22"/>
          <w:szCs w:val="22"/>
          <w:lang w:val="sk-SK"/>
        </w:rPr>
        <w:t>V štúdiách na stanovenie dávky X</w:t>
      </w:r>
      <w:r w:rsidR="00E5004D" w:rsidRPr="004C15A2">
        <w:rPr>
          <w:sz w:val="22"/>
          <w:szCs w:val="22"/>
          <w:lang w:val="sk-SK"/>
        </w:rPr>
        <w:t>ALACOM</w:t>
      </w:r>
      <w:r w:rsidRPr="004C15A2">
        <w:rPr>
          <w:sz w:val="22"/>
          <w:szCs w:val="22"/>
          <w:lang w:val="sk-SK"/>
        </w:rPr>
        <w:t xml:space="preserve"> spôsobil významne väčší pokles priemerného diurnálneho vnútroočného tlaku v porovnaní s latanoprostom a timololom podávanými v monoterapii jedenkrát denne.</w:t>
      </w:r>
    </w:p>
    <w:p w14:paraId="54EF3922" w14:textId="77777777" w:rsidR="0035791E" w:rsidRPr="004C15A2" w:rsidRDefault="0035791E" w:rsidP="00097A42">
      <w:pPr>
        <w:numPr>
          <w:ilvl w:val="12"/>
          <w:numId w:val="0"/>
        </w:numPr>
        <w:rPr>
          <w:sz w:val="22"/>
          <w:szCs w:val="22"/>
          <w:lang w:val="sk-SK"/>
        </w:rPr>
      </w:pPr>
      <w:r w:rsidRPr="004C15A2">
        <w:rPr>
          <w:sz w:val="22"/>
          <w:szCs w:val="22"/>
          <w:lang w:val="sk-SK"/>
        </w:rPr>
        <w:t>Účinok X</w:t>
      </w:r>
      <w:r w:rsidR="00E25479" w:rsidRPr="004C15A2">
        <w:rPr>
          <w:sz w:val="22"/>
          <w:szCs w:val="22"/>
          <w:lang w:val="sk-SK"/>
        </w:rPr>
        <w:t>ALACOMU</w:t>
      </w:r>
      <w:r w:rsidRPr="004C15A2">
        <w:rPr>
          <w:sz w:val="22"/>
          <w:szCs w:val="22"/>
          <w:lang w:val="sk-SK"/>
        </w:rPr>
        <w:t xml:space="preserve"> na zníženie vnútroočného tlaku sa porovnával s podávaním latanoprostu a timololu oddelene v dvoch dobre kontrolovaných dvojito zaslepených 6</w:t>
      </w:r>
      <w:r w:rsidRPr="004C15A2">
        <w:rPr>
          <w:sz w:val="22"/>
          <w:szCs w:val="22"/>
          <w:lang w:val="sk-SK"/>
        </w:rPr>
        <w:noBreakHyphen/>
        <w:t>mesačných klinických štúdiách u pacientov s vnútroočným tlakom minimálne 25 mmHg alebo viac. Po 2 </w:t>
      </w:r>
      <w:r w:rsidRPr="004C15A2">
        <w:rPr>
          <w:sz w:val="22"/>
          <w:szCs w:val="22"/>
          <w:lang w:val="sk-SK"/>
        </w:rPr>
        <w:noBreakHyphen/>
        <w:t> 4 týždňovej “run-in“ perióde s timololom (s priemerným poklesom vnútroočného tlaku o 5 mmHg) bol ďalší pokles diurnálneho vnútroočného tlaku po 6 mesiacoch liečby o 3,1 mmHg v ramene s X</w:t>
      </w:r>
      <w:r w:rsidR="00E25479" w:rsidRPr="004C15A2">
        <w:rPr>
          <w:sz w:val="22"/>
          <w:szCs w:val="22"/>
          <w:lang w:val="sk-SK"/>
        </w:rPr>
        <w:t>ALACOMOM</w:t>
      </w:r>
      <w:r w:rsidRPr="004C15A2">
        <w:rPr>
          <w:sz w:val="22"/>
          <w:szCs w:val="22"/>
          <w:lang w:val="sk-SK"/>
        </w:rPr>
        <w:t>, o 2,0 mmHg v ramene s latanoprostom a o 0,6 mmHg v ramene s timololom (dvakrát denne). Počas 6-mesačn</w:t>
      </w:r>
      <w:r w:rsidR="0019400D" w:rsidRPr="004C15A2">
        <w:rPr>
          <w:sz w:val="22"/>
          <w:szCs w:val="22"/>
          <w:lang w:val="sk-SK"/>
        </w:rPr>
        <w:t>ej</w:t>
      </w:r>
      <w:r w:rsidRPr="004C15A2">
        <w:rPr>
          <w:sz w:val="22"/>
          <w:szCs w:val="22"/>
          <w:lang w:val="sk-SK"/>
        </w:rPr>
        <w:t xml:space="preserve"> </w:t>
      </w:r>
      <w:r w:rsidR="0019400D" w:rsidRPr="004C15A2">
        <w:rPr>
          <w:sz w:val="22"/>
          <w:szCs w:val="22"/>
          <w:lang w:val="sk-SK"/>
        </w:rPr>
        <w:t>nadväzujúcej otvorenej</w:t>
      </w:r>
      <w:r w:rsidRPr="004C15A2">
        <w:rPr>
          <w:sz w:val="22"/>
          <w:szCs w:val="22"/>
          <w:lang w:val="sk-SK"/>
        </w:rPr>
        <w:t xml:space="preserve"> štúdií bol účinok X</w:t>
      </w:r>
      <w:r w:rsidR="00E25479" w:rsidRPr="004C15A2">
        <w:rPr>
          <w:sz w:val="22"/>
          <w:szCs w:val="22"/>
          <w:lang w:val="sk-SK"/>
        </w:rPr>
        <w:t>ALACOMU</w:t>
      </w:r>
      <w:r w:rsidRPr="004C15A2">
        <w:rPr>
          <w:sz w:val="22"/>
          <w:szCs w:val="22"/>
          <w:lang w:val="sk-SK"/>
        </w:rPr>
        <w:t xml:space="preserve"> na zníženie vnútroočného tlaku zachovaný.</w:t>
      </w:r>
    </w:p>
    <w:p w14:paraId="786FBABE" w14:textId="77777777" w:rsidR="0035791E" w:rsidRPr="004C15A2" w:rsidRDefault="0035791E" w:rsidP="00097A42">
      <w:pPr>
        <w:numPr>
          <w:ilvl w:val="12"/>
          <w:numId w:val="0"/>
        </w:numPr>
        <w:rPr>
          <w:sz w:val="22"/>
          <w:szCs w:val="22"/>
          <w:lang w:val="sk-SK"/>
        </w:rPr>
      </w:pPr>
    </w:p>
    <w:p w14:paraId="715C12B7" w14:textId="77777777" w:rsidR="0035791E" w:rsidRPr="004C15A2" w:rsidRDefault="0035791E" w:rsidP="00097A42">
      <w:pPr>
        <w:pStyle w:val="Paragraph"/>
        <w:spacing w:after="0"/>
        <w:rPr>
          <w:sz w:val="22"/>
          <w:szCs w:val="22"/>
          <w:lang w:val="sk-SK"/>
        </w:rPr>
      </w:pPr>
      <w:r w:rsidRPr="004C15A2">
        <w:rPr>
          <w:sz w:val="22"/>
          <w:szCs w:val="22"/>
          <w:lang w:val="sk-SK"/>
        </w:rPr>
        <w:t>Existujúce údaje nasvedčujú tomu, že večerné dávkovanie môže byť na zníženie vnútroočného tlaku účinnejšie ako ranné. Pri zvažovaní odporúčania ranného alebo večerného dávkovania je však treba dostatočne zvážiť životný štýl pacienta a pravdepodobnosť dodržiavania liečby pacientom.</w:t>
      </w:r>
    </w:p>
    <w:p w14:paraId="7446F4E2" w14:textId="77777777" w:rsidR="0035791E" w:rsidRPr="004C15A2" w:rsidRDefault="0035791E" w:rsidP="00097A42">
      <w:pPr>
        <w:pStyle w:val="Paragraph"/>
        <w:spacing w:after="0"/>
        <w:rPr>
          <w:sz w:val="22"/>
          <w:szCs w:val="22"/>
          <w:lang w:val="sk-SK"/>
        </w:rPr>
      </w:pPr>
    </w:p>
    <w:p w14:paraId="612D6C6C" w14:textId="77777777" w:rsidR="0035791E" w:rsidRPr="004C15A2" w:rsidRDefault="0035791E" w:rsidP="00097A42">
      <w:pPr>
        <w:numPr>
          <w:ilvl w:val="12"/>
          <w:numId w:val="0"/>
        </w:numPr>
        <w:rPr>
          <w:sz w:val="22"/>
          <w:szCs w:val="22"/>
          <w:lang w:val="sk-SK"/>
        </w:rPr>
      </w:pPr>
      <w:r w:rsidRPr="004C15A2">
        <w:rPr>
          <w:sz w:val="22"/>
          <w:szCs w:val="22"/>
          <w:lang w:val="sk-SK"/>
        </w:rPr>
        <w:t>Nástup účinku X</w:t>
      </w:r>
      <w:r w:rsidR="00E25479" w:rsidRPr="004C15A2">
        <w:rPr>
          <w:sz w:val="22"/>
          <w:szCs w:val="22"/>
          <w:lang w:val="sk-SK"/>
        </w:rPr>
        <w:t>ALACOMU</w:t>
      </w:r>
      <w:r w:rsidRPr="004C15A2">
        <w:rPr>
          <w:sz w:val="22"/>
          <w:szCs w:val="22"/>
          <w:lang w:val="sk-SK"/>
        </w:rPr>
        <w:t xml:space="preserve"> je do jednej hodiny a maximálny účinok sa prejaví do 6 </w:t>
      </w:r>
      <w:r w:rsidRPr="004C15A2">
        <w:rPr>
          <w:sz w:val="22"/>
          <w:szCs w:val="22"/>
          <w:lang w:val="sk-SK"/>
        </w:rPr>
        <w:noBreakHyphen/>
        <w:t xml:space="preserve"> 8 hodín. </w:t>
      </w:r>
      <w:r w:rsidR="0018281B" w:rsidRPr="004C15A2">
        <w:rPr>
          <w:sz w:val="22"/>
          <w:szCs w:val="22"/>
          <w:lang w:val="sk-SK"/>
        </w:rPr>
        <w:t>Po opakovanom podaní sa u</w:t>
      </w:r>
      <w:r w:rsidRPr="004C15A2">
        <w:rPr>
          <w:sz w:val="22"/>
          <w:szCs w:val="22"/>
          <w:lang w:val="sk-SK"/>
        </w:rPr>
        <w:t xml:space="preserve">kázalo sa, že významná redukcia VOT pretrváva do 24 hodín </w:t>
      </w:r>
      <w:r w:rsidR="0018281B" w:rsidRPr="004C15A2">
        <w:rPr>
          <w:sz w:val="22"/>
          <w:szCs w:val="22"/>
          <w:lang w:val="sk-SK"/>
        </w:rPr>
        <w:t>od podania</w:t>
      </w:r>
      <w:r w:rsidRPr="004C15A2">
        <w:rPr>
          <w:sz w:val="22"/>
          <w:szCs w:val="22"/>
          <w:lang w:val="sk-SK"/>
        </w:rPr>
        <w:t>.</w:t>
      </w:r>
    </w:p>
    <w:p w14:paraId="26A561D9" w14:textId="77777777" w:rsidR="0035791E" w:rsidRPr="004C15A2" w:rsidRDefault="0035791E" w:rsidP="00097A42">
      <w:pPr>
        <w:numPr>
          <w:ilvl w:val="12"/>
          <w:numId w:val="0"/>
        </w:numPr>
        <w:rPr>
          <w:sz w:val="22"/>
          <w:szCs w:val="22"/>
          <w:lang w:val="sk-SK"/>
        </w:rPr>
      </w:pPr>
    </w:p>
    <w:p w14:paraId="31A789EA" w14:textId="77777777" w:rsidR="0035791E" w:rsidRPr="004C15A2" w:rsidRDefault="0035791E" w:rsidP="00097A42">
      <w:pPr>
        <w:tabs>
          <w:tab w:val="left" w:pos="567"/>
        </w:tabs>
        <w:rPr>
          <w:b/>
          <w:sz w:val="22"/>
          <w:szCs w:val="22"/>
          <w:lang w:val="sk-SK"/>
        </w:rPr>
      </w:pPr>
      <w:r w:rsidRPr="004C15A2">
        <w:rPr>
          <w:b/>
          <w:sz w:val="22"/>
          <w:szCs w:val="22"/>
          <w:lang w:val="sk-SK"/>
        </w:rPr>
        <w:t xml:space="preserve">5.2 </w:t>
      </w:r>
      <w:r w:rsidRPr="004C15A2">
        <w:rPr>
          <w:b/>
          <w:sz w:val="22"/>
          <w:szCs w:val="22"/>
          <w:lang w:val="sk-SK"/>
        </w:rPr>
        <w:tab/>
        <w:t>Farmakokinetické vlastnosti</w:t>
      </w:r>
    </w:p>
    <w:p w14:paraId="0362A5CF" w14:textId="77777777" w:rsidR="0035791E" w:rsidRPr="004C15A2" w:rsidRDefault="0035791E" w:rsidP="00097A42">
      <w:pPr>
        <w:numPr>
          <w:ilvl w:val="12"/>
          <w:numId w:val="0"/>
        </w:numPr>
        <w:rPr>
          <w:sz w:val="22"/>
          <w:szCs w:val="22"/>
          <w:lang w:val="sk-SK"/>
        </w:rPr>
      </w:pPr>
    </w:p>
    <w:p w14:paraId="7A7FBAD5" w14:textId="77777777" w:rsidR="0035791E" w:rsidRDefault="0035791E" w:rsidP="009D3632">
      <w:pPr>
        <w:rPr>
          <w:b/>
          <w:i/>
          <w:sz w:val="22"/>
          <w:szCs w:val="22"/>
          <w:lang w:val="sk-SK"/>
        </w:rPr>
      </w:pPr>
      <w:r w:rsidRPr="004C15A2">
        <w:rPr>
          <w:b/>
          <w:i/>
          <w:sz w:val="22"/>
          <w:szCs w:val="22"/>
          <w:lang w:val="sk-SK"/>
        </w:rPr>
        <w:t>Latanoprost</w:t>
      </w:r>
    </w:p>
    <w:p w14:paraId="112F65E8" w14:textId="77777777" w:rsidR="003B6E2E" w:rsidRPr="004C15A2" w:rsidRDefault="003B6E2E" w:rsidP="009D3632">
      <w:pPr>
        <w:rPr>
          <w:b/>
          <w:i/>
          <w:sz w:val="22"/>
          <w:szCs w:val="22"/>
          <w:lang w:val="sk-SK"/>
        </w:rPr>
      </w:pPr>
    </w:p>
    <w:p w14:paraId="626537BE" w14:textId="77777777" w:rsidR="00422C36" w:rsidRPr="004C15A2" w:rsidRDefault="00422C36" w:rsidP="00097A42">
      <w:pPr>
        <w:numPr>
          <w:ilvl w:val="12"/>
          <w:numId w:val="0"/>
        </w:numPr>
        <w:rPr>
          <w:sz w:val="22"/>
          <w:szCs w:val="22"/>
          <w:u w:val="single"/>
          <w:lang w:val="sk-SK"/>
        </w:rPr>
      </w:pPr>
      <w:r w:rsidRPr="004C15A2">
        <w:rPr>
          <w:sz w:val="22"/>
          <w:szCs w:val="22"/>
          <w:u w:val="single"/>
          <w:lang w:val="sk-SK"/>
        </w:rPr>
        <w:t>Absorpcia:</w:t>
      </w:r>
    </w:p>
    <w:p w14:paraId="60185248" w14:textId="77777777" w:rsidR="0035791E" w:rsidRPr="004C15A2" w:rsidRDefault="0035791E" w:rsidP="00097A42">
      <w:pPr>
        <w:numPr>
          <w:ilvl w:val="12"/>
          <w:numId w:val="0"/>
        </w:numPr>
        <w:rPr>
          <w:sz w:val="22"/>
          <w:szCs w:val="22"/>
          <w:lang w:val="sk-SK"/>
        </w:rPr>
      </w:pPr>
      <w:r w:rsidRPr="004C15A2">
        <w:rPr>
          <w:sz w:val="22"/>
          <w:szCs w:val="22"/>
          <w:lang w:val="sk-SK"/>
        </w:rPr>
        <w:t xml:space="preserve">Latanoprost je izopropylový prekurzor, ktorý je po podaní do očí neúčinný, ale po hydrolýze esterázami v rohovke na kyselinu latanoprostu sa stáva biologicky aktívny. Štúdie u ľudí ukázali, že maximálna koncentrácia v komorovom moku sa dosahuje približne 2 hodiny po </w:t>
      </w:r>
      <w:r w:rsidR="00645936" w:rsidRPr="004C15A2">
        <w:rPr>
          <w:sz w:val="22"/>
          <w:szCs w:val="22"/>
          <w:lang w:val="sk-SK"/>
        </w:rPr>
        <w:t>lokálnom</w:t>
      </w:r>
      <w:r w:rsidRPr="004C15A2">
        <w:rPr>
          <w:sz w:val="22"/>
          <w:szCs w:val="22"/>
          <w:lang w:val="sk-SK"/>
        </w:rPr>
        <w:t xml:space="preserve"> podaní samotného latanoprostu. </w:t>
      </w:r>
    </w:p>
    <w:p w14:paraId="20198154" w14:textId="77777777" w:rsidR="0035791E" w:rsidRPr="004C15A2" w:rsidRDefault="0035791E" w:rsidP="00097A42">
      <w:pPr>
        <w:numPr>
          <w:ilvl w:val="12"/>
          <w:numId w:val="0"/>
        </w:numPr>
        <w:rPr>
          <w:sz w:val="22"/>
          <w:szCs w:val="22"/>
          <w:lang w:val="sk-SK"/>
        </w:rPr>
      </w:pPr>
    </w:p>
    <w:p w14:paraId="0D833FF2" w14:textId="77777777" w:rsidR="00422C36" w:rsidRPr="004C15A2" w:rsidRDefault="00422C36" w:rsidP="009D3632">
      <w:pPr>
        <w:keepNext/>
        <w:numPr>
          <w:ilvl w:val="12"/>
          <w:numId w:val="0"/>
        </w:numPr>
        <w:rPr>
          <w:sz w:val="22"/>
          <w:szCs w:val="22"/>
          <w:u w:val="single"/>
          <w:lang w:val="sk-SK"/>
        </w:rPr>
      </w:pPr>
      <w:r w:rsidRPr="004C15A2">
        <w:rPr>
          <w:sz w:val="22"/>
          <w:szCs w:val="22"/>
          <w:u w:val="single"/>
          <w:lang w:val="sk-SK"/>
        </w:rPr>
        <w:t>Distribúcia:</w:t>
      </w:r>
    </w:p>
    <w:p w14:paraId="7F38E4E0" w14:textId="77777777" w:rsidR="00422C36" w:rsidRPr="004C15A2" w:rsidRDefault="00422C36" w:rsidP="009D3632">
      <w:pPr>
        <w:keepNext/>
        <w:numPr>
          <w:ilvl w:val="12"/>
          <w:numId w:val="0"/>
        </w:numPr>
        <w:rPr>
          <w:sz w:val="22"/>
          <w:szCs w:val="22"/>
          <w:lang w:val="sk-SK"/>
        </w:rPr>
      </w:pPr>
      <w:r w:rsidRPr="004C15A2">
        <w:rPr>
          <w:sz w:val="22"/>
          <w:szCs w:val="22"/>
          <w:lang w:val="sk-SK"/>
        </w:rPr>
        <w:t>D</w:t>
      </w:r>
      <w:r w:rsidR="0035791E" w:rsidRPr="004C15A2">
        <w:rPr>
          <w:sz w:val="22"/>
          <w:szCs w:val="22"/>
          <w:lang w:val="sk-SK"/>
        </w:rPr>
        <w:t>istribučný objem</w:t>
      </w:r>
      <w:r w:rsidRPr="004C15A2">
        <w:rPr>
          <w:sz w:val="22"/>
          <w:szCs w:val="22"/>
          <w:lang w:val="sk-SK"/>
        </w:rPr>
        <w:t xml:space="preserve"> u ľudí je</w:t>
      </w:r>
      <w:r w:rsidR="0035791E" w:rsidRPr="004C15A2">
        <w:rPr>
          <w:sz w:val="22"/>
          <w:szCs w:val="22"/>
          <w:lang w:val="sk-SK"/>
        </w:rPr>
        <w:t xml:space="preserve"> 0,16 </w:t>
      </w:r>
      <w:r w:rsidRPr="004C15A2">
        <w:rPr>
          <w:sz w:val="22"/>
          <w:szCs w:val="22"/>
          <w:lang w:val="sk-SK"/>
        </w:rPr>
        <w:t>± 0,02 </w:t>
      </w:r>
      <w:r w:rsidR="0035791E" w:rsidRPr="004C15A2">
        <w:rPr>
          <w:sz w:val="22"/>
          <w:szCs w:val="22"/>
          <w:lang w:val="sk-SK"/>
        </w:rPr>
        <w:t>l/kg</w:t>
      </w:r>
      <w:r w:rsidRPr="004C15A2">
        <w:rPr>
          <w:sz w:val="22"/>
          <w:szCs w:val="22"/>
          <w:lang w:val="sk-SK"/>
        </w:rPr>
        <w:t>. Kyselina latanoprostu sa môže merať v komorovom moku v</w:t>
      </w:r>
      <w:r w:rsidR="008C3FC5" w:rsidRPr="004C15A2">
        <w:rPr>
          <w:sz w:val="22"/>
          <w:szCs w:val="22"/>
          <w:lang w:val="sk-SK"/>
        </w:rPr>
        <w:t> </w:t>
      </w:r>
      <w:r w:rsidRPr="004C15A2">
        <w:rPr>
          <w:sz w:val="22"/>
          <w:szCs w:val="22"/>
          <w:lang w:val="sk-SK"/>
        </w:rPr>
        <w:t>priebehu prvých štyroch hodín a v plazme len počas prvej hodiny po lokálnom podaní.</w:t>
      </w:r>
    </w:p>
    <w:p w14:paraId="44B16DE5" w14:textId="77777777" w:rsidR="00422C36" w:rsidRPr="004C15A2" w:rsidRDefault="00422C36" w:rsidP="00097A42">
      <w:pPr>
        <w:numPr>
          <w:ilvl w:val="12"/>
          <w:numId w:val="0"/>
        </w:numPr>
        <w:rPr>
          <w:sz w:val="22"/>
          <w:szCs w:val="22"/>
          <w:lang w:val="sk-SK"/>
        </w:rPr>
      </w:pPr>
    </w:p>
    <w:p w14:paraId="65D1C23B" w14:textId="77777777" w:rsidR="00422C36" w:rsidRPr="004C15A2" w:rsidRDefault="00422C36" w:rsidP="00097A42">
      <w:pPr>
        <w:numPr>
          <w:ilvl w:val="12"/>
          <w:numId w:val="0"/>
        </w:numPr>
        <w:rPr>
          <w:sz w:val="22"/>
          <w:szCs w:val="22"/>
          <w:u w:val="single"/>
          <w:lang w:val="sk-SK"/>
        </w:rPr>
      </w:pPr>
      <w:r w:rsidRPr="004C15A2">
        <w:rPr>
          <w:sz w:val="22"/>
          <w:szCs w:val="22"/>
          <w:u w:val="single"/>
          <w:lang w:val="sk-SK"/>
        </w:rPr>
        <w:t>Biotransformácia:</w:t>
      </w:r>
    </w:p>
    <w:p w14:paraId="3B153BAF" w14:textId="77777777" w:rsidR="000D39C7" w:rsidRPr="004C15A2" w:rsidRDefault="000D39C7" w:rsidP="00097A42">
      <w:pPr>
        <w:numPr>
          <w:ilvl w:val="12"/>
          <w:numId w:val="0"/>
        </w:numPr>
        <w:rPr>
          <w:sz w:val="22"/>
          <w:szCs w:val="22"/>
          <w:lang w:val="sk-SK"/>
        </w:rPr>
      </w:pPr>
      <w:r w:rsidRPr="004C15A2">
        <w:rPr>
          <w:sz w:val="22"/>
          <w:szCs w:val="22"/>
          <w:lang w:val="sk-SK"/>
        </w:rPr>
        <w:t xml:space="preserve">Latanoprost je izopropylový prekurzor, ktorý je hydrolyzovaný esterázami v rohovke na biologicky aktívnu kyselinu latanoprostu. Aktívna kyselina latanoprostu po dosiahnutí systémovej cirkulácie je primárne metabolizovaná v pečeni na 1,2-dinor a 1,2,3,4-tetranor metabolity prostredníctvom </w:t>
      </w:r>
      <w:r w:rsidRPr="004C15A2">
        <w:rPr>
          <w:sz w:val="22"/>
          <w:szCs w:val="22"/>
          <w:lang w:val="sk-SK"/>
        </w:rPr>
        <w:sym w:font="Symbol" w:char="F062"/>
      </w:r>
      <w:r w:rsidRPr="004C15A2">
        <w:rPr>
          <w:sz w:val="22"/>
          <w:szCs w:val="22"/>
          <w:lang w:val="sk-SK"/>
        </w:rPr>
        <w:t>-oxidácie mastných kyselín.</w:t>
      </w:r>
    </w:p>
    <w:p w14:paraId="389F71C8" w14:textId="77777777" w:rsidR="000D39C7" w:rsidRPr="004C15A2" w:rsidRDefault="000D39C7" w:rsidP="00097A42">
      <w:pPr>
        <w:numPr>
          <w:ilvl w:val="12"/>
          <w:numId w:val="0"/>
        </w:numPr>
        <w:rPr>
          <w:sz w:val="22"/>
          <w:szCs w:val="22"/>
          <w:lang w:val="sk-SK"/>
        </w:rPr>
      </w:pPr>
    </w:p>
    <w:p w14:paraId="57DCCAE4" w14:textId="77777777" w:rsidR="000D39C7" w:rsidRPr="004C15A2" w:rsidRDefault="000D39C7" w:rsidP="00097A42">
      <w:pPr>
        <w:numPr>
          <w:ilvl w:val="12"/>
          <w:numId w:val="0"/>
        </w:numPr>
        <w:rPr>
          <w:sz w:val="22"/>
          <w:szCs w:val="22"/>
          <w:u w:val="single"/>
          <w:lang w:val="sk-SK"/>
        </w:rPr>
      </w:pPr>
      <w:r w:rsidRPr="004C15A2">
        <w:rPr>
          <w:sz w:val="22"/>
          <w:szCs w:val="22"/>
          <w:u w:val="single"/>
          <w:lang w:val="sk-SK"/>
        </w:rPr>
        <w:t>Eliminácia:</w:t>
      </w:r>
    </w:p>
    <w:p w14:paraId="4C60605F" w14:textId="77777777" w:rsidR="000D39C7" w:rsidRPr="004C15A2" w:rsidDel="000D39C7" w:rsidRDefault="000D39C7" w:rsidP="00097A42">
      <w:pPr>
        <w:numPr>
          <w:ilvl w:val="12"/>
          <w:numId w:val="0"/>
        </w:numPr>
        <w:rPr>
          <w:sz w:val="22"/>
          <w:szCs w:val="22"/>
          <w:lang w:val="sk-SK"/>
        </w:rPr>
      </w:pPr>
      <w:r w:rsidRPr="004C15A2">
        <w:rPr>
          <w:sz w:val="22"/>
          <w:szCs w:val="22"/>
          <w:lang w:val="sk-SK"/>
        </w:rPr>
        <w:t>Eliminácia kyseliny latanoprostu z ľudskej plazmy je rýchla (t</w:t>
      </w:r>
      <w:r w:rsidRPr="004C15A2">
        <w:rPr>
          <w:sz w:val="22"/>
          <w:szCs w:val="22"/>
          <w:vertAlign w:val="subscript"/>
          <w:lang w:val="sk-SK"/>
        </w:rPr>
        <w:t>1/2</w:t>
      </w:r>
      <w:r w:rsidRPr="004C15A2">
        <w:rPr>
          <w:sz w:val="22"/>
          <w:szCs w:val="22"/>
          <w:lang w:val="sk-SK"/>
        </w:rPr>
        <w:t xml:space="preserve"> = </w:t>
      </w:r>
      <w:r w:rsidR="0035791E" w:rsidRPr="004C15A2">
        <w:rPr>
          <w:sz w:val="22"/>
          <w:szCs w:val="22"/>
          <w:lang w:val="sk-SK"/>
        </w:rPr>
        <w:t>17 minút</w:t>
      </w:r>
      <w:r w:rsidRPr="004C15A2">
        <w:rPr>
          <w:sz w:val="22"/>
          <w:szCs w:val="22"/>
          <w:lang w:val="sk-SK"/>
        </w:rPr>
        <w:t>) po intravenóznom aj lokálnom podaní</w:t>
      </w:r>
      <w:r w:rsidR="0035791E" w:rsidRPr="004C15A2">
        <w:rPr>
          <w:sz w:val="22"/>
          <w:szCs w:val="22"/>
          <w:lang w:val="sk-SK"/>
        </w:rPr>
        <w:t>.</w:t>
      </w:r>
      <w:r w:rsidRPr="004C15A2">
        <w:rPr>
          <w:sz w:val="22"/>
          <w:szCs w:val="22"/>
          <w:lang w:val="sk-SK"/>
        </w:rPr>
        <w:t xml:space="preserve"> Systémový klírens je približne 7 ml/min/kg. Po </w:t>
      </w:r>
      <w:r w:rsidRPr="004C15A2">
        <w:rPr>
          <w:sz w:val="22"/>
          <w:szCs w:val="22"/>
          <w:lang w:val="sk-SK"/>
        </w:rPr>
        <w:sym w:font="Symbol" w:char="F062"/>
      </w:r>
      <w:r w:rsidRPr="004C15A2">
        <w:rPr>
          <w:sz w:val="22"/>
          <w:szCs w:val="22"/>
          <w:lang w:val="sk-SK"/>
        </w:rPr>
        <w:t>-oxidácii v pečenie sú metabolity vylučované predovšetkým obličkami. Približne 88 % lokálne podanej dávky a 98 % intravenózne podanej dávky sa vylúči v moči.</w:t>
      </w:r>
    </w:p>
    <w:p w14:paraId="285E0AA8" w14:textId="77777777" w:rsidR="0035791E" w:rsidRPr="004C15A2" w:rsidRDefault="0035791E" w:rsidP="00097A42">
      <w:pPr>
        <w:numPr>
          <w:ilvl w:val="12"/>
          <w:numId w:val="0"/>
        </w:numPr>
        <w:rPr>
          <w:sz w:val="22"/>
          <w:szCs w:val="22"/>
          <w:lang w:val="sk-SK"/>
        </w:rPr>
      </w:pPr>
    </w:p>
    <w:p w14:paraId="3ACBA952" w14:textId="77777777" w:rsidR="0035791E" w:rsidRDefault="0035791E" w:rsidP="00170A8F">
      <w:pPr>
        <w:keepNext/>
        <w:rPr>
          <w:b/>
          <w:i/>
          <w:sz w:val="22"/>
          <w:szCs w:val="22"/>
          <w:lang w:val="sk-SK"/>
        </w:rPr>
      </w:pPr>
      <w:r w:rsidRPr="004C15A2">
        <w:rPr>
          <w:b/>
          <w:i/>
          <w:sz w:val="22"/>
          <w:szCs w:val="22"/>
          <w:lang w:val="sk-SK"/>
        </w:rPr>
        <w:t>Timolol</w:t>
      </w:r>
    </w:p>
    <w:p w14:paraId="322B83E9" w14:textId="77777777" w:rsidR="003B6E2E" w:rsidRDefault="003B6E2E" w:rsidP="00170A8F">
      <w:pPr>
        <w:keepNext/>
        <w:rPr>
          <w:b/>
          <w:i/>
          <w:sz w:val="22"/>
          <w:szCs w:val="22"/>
          <w:lang w:val="sk-SK"/>
        </w:rPr>
      </w:pPr>
    </w:p>
    <w:p w14:paraId="4A70424F" w14:textId="77777777" w:rsidR="003B6E2E" w:rsidRPr="004C15A2" w:rsidRDefault="003B6E2E" w:rsidP="00170A8F">
      <w:pPr>
        <w:keepNext/>
        <w:rPr>
          <w:b/>
          <w:i/>
          <w:sz w:val="22"/>
          <w:szCs w:val="22"/>
          <w:lang w:val="sk-SK"/>
        </w:rPr>
      </w:pPr>
      <w:r w:rsidRPr="004C15A2">
        <w:rPr>
          <w:sz w:val="22"/>
          <w:szCs w:val="22"/>
          <w:u w:val="single"/>
          <w:lang w:val="sk-SK"/>
        </w:rPr>
        <w:t>Absorpcia</w:t>
      </w:r>
      <w:r>
        <w:rPr>
          <w:sz w:val="22"/>
          <w:szCs w:val="22"/>
          <w:u w:val="single"/>
          <w:lang w:val="sk-SK"/>
        </w:rPr>
        <w:t xml:space="preserve"> a distribúcia</w:t>
      </w:r>
    </w:p>
    <w:p w14:paraId="4FACA12C" w14:textId="49C96ADD" w:rsidR="003B6E2E" w:rsidRDefault="0035791E" w:rsidP="00170A8F">
      <w:pPr>
        <w:keepNext/>
        <w:numPr>
          <w:ilvl w:val="12"/>
          <w:numId w:val="0"/>
        </w:numPr>
        <w:rPr>
          <w:sz w:val="22"/>
          <w:szCs w:val="22"/>
          <w:lang w:val="sk-SK"/>
        </w:rPr>
      </w:pPr>
      <w:r w:rsidRPr="004C15A2">
        <w:rPr>
          <w:sz w:val="22"/>
          <w:szCs w:val="22"/>
          <w:lang w:val="sk-SK"/>
        </w:rPr>
        <w:t xml:space="preserve">Maximálna koncentrácia timololu v komorovom moku sa dosahuje približne 1 hodinu po </w:t>
      </w:r>
      <w:r w:rsidR="008C3FC5" w:rsidRPr="004C15A2">
        <w:rPr>
          <w:sz w:val="22"/>
          <w:szCs w:val="22"/>
          <w:lang w:val="sk-SK"/>
        </w:rPr>
        <w:t>lokáln</w:t>
      </w:r>
      <w:r w:rsidRPr="004C15A2">
        <w:rPr>
          <w:sz w:val="22"/>
          <w:szCs w:val="22"/>
          <w:lang w:val="sk-SK"/>
        </w:rPr>
        <w:t xml:space="preserve">om podaní očnej roztokovej instilácie. Časť dávky sa absorbuje systémovo a maximálna plazmatická koncentrácia 1 ng/ml sa dosahuje 10 – 20 minút po </w:t>
      </w:r>
      <w:r w:rsidR="002B0122" w:rsidRPr="004C15A2">
        <w:rPr>
          <w:sz w:val="22"/>
          <w:szCs w:val="22"/>
          <w:lang w:val="sk-SK"/>
        </w:rPr>
        <w:t>lokál</w:t>
      </w:r>
      <w:r w:rsidRPr="004C15A2">
        <w:rPr>
          <w:sz w:val="22"/>
          <w:szCs w:val="22"/>
          <w:lang w:val="sk-SK"/>
        </w:rPr>
        <w:t>nom podaní jednej kvapky do každého oka jedenkrát denne (300 mikrogramov/deň).</w:t>
      </w:r>
    </w:p>
    <w:p w14:paraId="2CAFF1F9" w14:textId="77777777" w:rsidR="003B6E2E" w:rsidRDefault="003B6E2E" w:rsidP="00097A42">
      <w:pPr>
        <w:numPr>
          <w:ilvl w:val="12"/>
          <w:numId w:val="0"/>
        </w:numPr>
        <w:rPr>
          <w:sz w:val="22"/>
          <w:szCs w:val="22"/>
          <w:lang w:val="sk-SK"/>
        </w:rPr>
      </w:pPr>
    </w:p>
    <w:p w14:paraId="74E2A0E4" w14:textId="77777777" w:rsidR="003B6E2E" w:rsidRPr="00673AFB" w:rsidRDefault="003B6E2E" w:rsidP="00097A42">
      <w:pPr>
        <w:numPr>
          <w:ilvl w:val="12"/>
          <w:numId w:val="0"/>
        </w:numPr>
        <w:rPr>
          <w:sz w:val="22"/>
          <w:szCs w:val="22"/>
          <w:u w:val="single"/>
          <w:lang w:val="sk-SK"/>
        </w:rPr>
      </w:pPr>
      <w:r w:rsidRPr="00673AFB">
        <w:rPr>
          <w:sz w:val="22"/>
          <w:szCs w:val="22"/>
          <w:u w:val="single"/>
          <w:lang w:val="sk-SK"/>
        </w:rPr>
        <w:t>Biotransformácia</w:t>
      </w:r>
    </w:p>
    <w:p w14:paraId="354336F3" w14:textId="4F2D72F6" w:rsidR="003B6E2E" w:rsidRDefault="0035791E" w:rsidP="00097A42">
      <w:pPr>
        <w:numPr>
          <w:ilvl w:val="12"/>
          <w:numId w:val="0"/>
        </w:numPr>
        <w:rPr>
          <w:sz w:val="22"/>
          <w:szCs w:val="22"/>
          <w:lang w:val="sk-SK"/>
        </w:rPr>
      </w:pPr>
      <w:r w:rsidRPr="004C15A2">
        <w:rPr>
          <w:sz w:val="22"/>
          <w:szCs w:val="22"/>
          <w:lang w:val="sk-SK"/>
        </w:rPr>
        <w:t xml:space="preserve">Biologický polčas timololu v plazme je približne 6 hodín. Timolol sa významne metabolizuje v pečeni. </w:t>
      </w:r>
    </w:p>
    <w:p w14:paraId="6E9FE64F" w14:textId="77777777" w:rsidR="003B6E2E" w:rsidRDefault="003B6E2E" w:rsidP="00097A42">
      <w:pPr>
        <w:numPr>
          <w:ilvl w:val="12"/>
          <w:numId w:val="0"/>
        </w:numPr>
        <w:rPr>
          <w:sz w:val="22"/>
          <w:szCs w:val="22"/>
          <w:lang w:val="sk-SK"/>
        </w:rPr>
      </w:pPr>
    </w:p>
    <w:p w14:paraId="07536355" w14:textId="77777777" w:rsidR="003B6E2E" w:rsidRPr="00673AFB" w:rsidRDefault="003B6E2E" w:rsidP="00097A42">
      <w:pPr>
        <w:numPr>
          <w:ilvl w:val="12"/>
          <w:numId w:val="0"/>
        </w:numPr>
        <w:rPr>
          <w:sz w:val="22"/>
          <w:szCs w:val="22"/>
          <w:u w:val="single"/>
          <w:lang w:val="sk-SK"/>
        </w:rPr>
      </w:pPr>
      <w:r w:rsidRPr="00673AFB">
        <w:rPr>
          <w:sz w:val="22"/>
          <w:szCs w:val="22"/>
          <w:u w:val="single"/>
          <w:lang w:val="sk-SK"/>
        </w:rPr>
        <w:t>Eliminácia</w:t>
      </w:r>
    </w:p>
    <w:p w14:paraId="25166675" w14:textId="77777777" w:rsidR="0035791E" w:rsidRPr="004C15A2" w:rsidRDefault="0035791E" w:rsidP="00097A42">
      <w:pPr>
        <w:numPr>
          <w:ilvl w:val="12"/>
          <w:numId w:val="0"/>
        </w:numPr>
        <w:rPr>
          <w:sz w:val="22"/>
          <w:szCs w:val="22"/>
          <w:lang w:val="sk-SK"/>
        </w:rPr>
      </w:pPr>
      <w:r w:rsidRPr="004C15A2">
        <w:rPr>
          <w:sz w:val="22"/>
          <w:szCs w:val="22"/>
          <w:lang w:val="sk-SK"/>
        </w:rPr>
        <w:t>Metabolity sa vylučujú do moču spolu s nezmeneným timololom.</w:t>
      </w:r>
    </w:p>
    <w:p w14:paraId="67656148" w14:textId="77777777" w:rsidR="0035791E" w:rsidRPr="004C15A2" w:rsidRDefault="0035791E" w:rsidP="00097A42">
      <w:pPr>
        <w:rPr>
          <w:b/>
          <w:i/>
          <w:sz w:val="22"/>
          <w:szCs w:val="22"/>
          <w:lang w:val="sk-SK"/>
        </w:rPr>
      </w:pPr>
    </w:p>
    <w:p w14:paraId="3751EBA3" w14:textId="77777777" w:rsidR="0035791E" w:rsidRPr="004C15A2" w:rsidRDefault="0035791E" w:rsidP="00170A8F">
      <w:pPr>
        <w:keepNext/>
        <w:rPr>
          <w:b/>
          <w:i/>
          <w:sz w:val="22"/>
          <w:szCs w:val="22"/>
          <w:lang w:val="sk-SK"/>
        </w:rPr>
      </w:pPr>
      <w:r w:rsidRPr="004C15A2">
        <w:rPr>
          <w:b/>
          <w:i/>
          <w:sz w:val="22"/>
          <w:szCs w:val="22"/>
          <w:lang w:val="sk-SK"/>
        </w:rPr>
        <w:t>Kombinované podanie latanoprostu a timololu</w:t>
      </w:r>
    </w:p>
    <w:p w14:paraId="5CC995F1" w14:textId="77777777" w:rsidR="0035791E" w:rsidRPr="004C15A2" w:rsidRDefault="0035791E" w:rsidP="00170A8F">
      <w:pPr>
        <w:keepNext/>
        <w:numPr>
          <w:ilvl w:val="12"/>
          <w:numId w:val="0"/>
        </w:numPr>
        <w:rPr>
          <w:sz w:val="22"/>
          <w:szCs w:val="22"/>
          <w:lang w:val="sk-SK"/>
        </w:rPr>
      </w:pPr>
      <w:r w:rsidRPr="004C15A2">
        <w:rPr>
          <w:sz w:val="22"/>
          <w:szCs w:val="22"/>
          <w:lang w:val="sk-SK"/>
        </w:rPr>
        <w:t>Nezistili sa farmakokinetické interakcie medzi latanoprostom a timololom, hoci v porovnaní s monoterapiou sa koncentrácia kyseliny latanoprostu v komorovom moku 1 </w:t>
      </w:r>
      <w:r w:rsidRPr="004C15A2">
        <w:rPr>
          <w:sz w:val="22"/>
          <w:szCs w:val="22"/>
          <w:lang w:val="sk-SK"/>
        </w:rPr>
        <w:noBreakHyphen/>
        <w:t> 4 hodiny po podaní X</w:t>
      </w:r>
      <w:r w:rsidR="00954F18" w:rsidRPr="004C15A2">
        <w:rPr>
          <w:sz w:val="22"/>
          <w:szCs w:val="22"/>
          <w:lang w:val="sk-SK"/>
        </w:rPr>
        <w:t>ALACOMU</w:t>
      </w:r>
      <w:r w:rsidRPr="004C15A2">
        <w:rPr>
          <w:sz w:val="22"/>
          <w:szCs w:val="22"/>
          <w:lang w:val="sk-SK"/>
        </w:rPr>
        <w:t xml:space="preserve"> zvýšila približne dvojnásobne.</w:t>
      </w:r>
    </w:p>
    <w:p w14:paraId="3C8A3490" w14:textId="77777777" w:rsidR="0035791E" w:rsidRPr="004C15A2" w:rsidRDefault="0035791E" w:rsidP="00097A42">
      <w:pPr>
        <w:numPr>
          <w:ilvl w:val="12"/>
          <w:numId w:val="0"/>
        </w:numPr>
        <w:rPr>
          <w:sz w:val="22"/>
          <w:szCs w:val="22"/>
          <w:lang w:val="sk-SK"/>
        </w:rPr>
      </w:pPr>
    </w:p>
    <w:p w14:paraId="1D0F5560" w14:textId="77777777" w:rsidR="0035791E" w:rsidRPr="004C15A2" w:rsidRDefault="0035791E" w:rsidP="00170A8F">
      <w:pPr>
        <w:keepNext/>
        <w:tabs>
          <w:tab w:val="left" w:pos="567"/>
        </w:tabs>
        <w:rPr>
          <w:b/>
          <w:sz w:val="22"/>
          <w:szCs w:val="22"/>
          <w:lang w:val="sk-SK"/>
        </w:rPr>
      </w:pPr>
      <w:r w:rsidRPr="004C15A2">
        <w:rPr>
          <w:b/>
          <w:sz w:val="22"/>
          <w:szCs w:val="22"/>
          <w:lang w:val="sk-SK"/>
        </w:rPr>
        <w:t>5.3</w:t>
      </w:r>
      <w:r w:rsidRPr="004C15A2">
        <w:rPr>
          <w:b/>
          <w:sz w:val="22"/>
          <w:szCs w:val="22"/>
          <w:lang w:val="sk-SK"/>
        </w:rPr>
        <w:tab/>
        <w:t>Predklinické údaje o bezpečnosti</w:t>
      </w:r>
    </w:p>
    <w:p w14:paraId="704B0E47" w14:textId="77777777" w:rsidR="0035791E" w:rsidRPr="004C15A2" w:rsidRDefault="0035791E" w:rsidP="00170A8F">
      <w:pPr>
        <w:keepNext/>
        <w:rPr>
          <w:sz w:val="22"/>
          <w:szCs w:val="22"/>
          <w:lang w:val="sk-SK"/>
        </w:rPr>
      </w:pPr>
    </w:p>
    <w:p w14:paraId="0A6FA1CC" w14:textId="77777777" w:rsidR="0035791E" w:rsidRPr="004C15A2" w:rsidRDefault="0035791E" w:rsidP="00170A8F">
      <w:pPr>
        <w:keepNext/>
        <w:rPr>
          <w:sz w:val="22"/>
          <w:szCs w:val="22"/>
          <w:lang w:val="sk-SK"/>
        </w:rPr>
      </w:pPr>
      <w:r w:rsidRPr="004C15A2">
        <w:rPr>
          <w:sz w:val="22"/>
          <w:szCs w:val="22"/>
          <w:lang w:val="sk-SK"/>
        </w:rPr>
        <w:t>Očný a systémový bezpečnostný profil jednotlivých súčastí je dobre známy. Nezistili sa očné ani systémové nežiaduce účinky u králikov liečených lokálne fixnou kombináciou alebo sú</w:t>
      </w:r>
      <w:r w:rsidR="002E58ED" w:rsidRPr="004C15A2">
        <w:rPr>
          <w:sz w:val="22"/>
          <w:szCs w:val="22"/>
          <w:lang w:val="sk-SK"/>
        </w:rPr>
        <w:t>bež</w:t>
      </w:r>
      <w:r w:rsidRPr="004C15A2">
        <w:rPr>
          <w:sz w:val="22"/>
          <w:szCs w:val="22"/>
          <w:lang w:val="sk-SK"/>
        </w:rPr>
        <w:t xml:space="preserve">ným podávaním latanoprostu a timololu v očnej roztokovej instilácii. </w:t>
      </w:r>
      <w:r w:rsidR="002E58ED" w:rsidRPr="004C15A2">
        <w:rPr>
          <w:sz w:val="22"/>
          <w:szCs w:val="22"/>
          <w:lang w:val="sk-SK"/>
        </w:rPr>
        <w:t>F</w:t>
      </w:r>
      <w:r w:rsidRPr="004C15A2">
        <w:rPr>
          <w:sz w:val="22"/>
          <w:szCs w:val="22"/>
          <w:lang w:val="sk-SK"/>
        </w:rPr>
        <w:t>armakologické štúdie</w:t>
      </w:r>
      <w:r w:rsidR="002E58ED" w:rsidRPr="004C15A2">
        <w:rPr>
          <w:sz w:val="22"/>
          <w:szCs w:val="22"/>
          <w:lang w:val="sk-SK"/>
        </w:rPr>
        <w:t xml:space="preserve"> bezpečnosti</w:t>
      </w:r>
      <w:r w:rsidRPr="004C15A2">
        <w:rPr>
          <w:sz w:val="22"/>
          <w:szCs w:val="22"/>
          <w:lang w:val="sk-SK"/>
        </w:rPr>
        <w:t>, štúdie</w:t>
      </w:r>
      <w:r w:rsidR="00F32DED" w:rsidRPr="004C15A2">
        <w:rPr>
          <w:sz w:val="22"/>
          <w:szCs w:val="22"/>
          <w:lang w:val="sk-SK"/>
        </w:rPr>
        <w:t xml:space="preserve"> </w:t>
      </w:r>
      <w:r w:rsidRPr="004C15A2">
        <w:rPr>
          <w:sz w:val="22"/>
          <w:szCs w:val="22"/>
          <w:lang w:val="sk-SK"/>
        </w:rPr>
        <w:t>genotoxicit</w:t>
      </w:r>
      <w:r w:rsidR="00F32DED" w:rsidRPr="004C15A2">
        <w:rPr>
          <w:sz w:val="22"/>
          <w:szCs w:val="22"/>
          <w:lang w:val="sk-SK"/>
        </w:rPr>
        <w:t>y</w:t>
      </w:r>
      <w:r w:rsidRPr="004C15A2">
        <w:rPr>
          <w:sz w:val="22"/>
          <w:szCs w:val="22"/>
          <w:lang w:val="sk-SK"/>
        </w:rPr>
        <w:t xml:space="preserve"> a karcinogenit</w:t>
      </w:r>
      <w:r w:rsidR="00F32DED" w:rsidRPr="004C15A2">
        <w:rPr>
          <w:sz w:val="22"/>
          <w:szCs w:val="22"/>
          <w:lang w:val="sk-SK"/>
        </w:rPr>
        <w:t>y</w:t>
      </w:r>
      <w:r w:rsidRPr="004C15A2">
        <w:rPr>
          <w:sz w:val="22"/>
          <w:szCs w:val="22"/>
          <w:lang w:val="sk-SK"/>
        </w:rPr>
        <w:t xml:space="preserve"> s každým z liečiv ne</w:t>
      </w:r>
      <w:r w:rsidR="002E58ED" w:rsidRPr="004C15A2">
        <w:rPr>
          <w:sz w:val="22"/>
          <w:szCs w:val="22"/>
          <w:lang w:val="sk-SK"/>
        </w:rPr>
        <w:t>odhali</w:t>
      </w:r>
      <w:r w:rsidRPr="004C15A2">
        <w:rPr>
          <w:sz w:val="22"/>
          <w:szCs w:val="22"/>
          <w:lang w:val="sk-SK"/>
        </w:rPr>
        <w:t xml:space="preserve">li žiadne </w:t>
      </w:r>
      <w:r w:rsidR="002E58ED" w:rsidRPr="004C15A2">
        <w:rPr>
          <w:sz w:val="22"/>
          <w:szCs w:val="22"/>
          <w:lang w:val="sk-SK"/>
        </w:rPr>
        <w:t>osobitné</w:t>
      </w:r>
      <w:r w:rsidRPr="004C15A2">
        <w:rPr>
          <w:sz w:val="22"/>
          <w:szCs w:val="22"/>
          <w:lang w:val="sk-SK"/>
        </w:rPr>
        <w:t xml:space="preserve"> riziko pre ľudí. Latanoprost neovplyvňoval hojenie rán na rohovke oka králika, zatiaľ čo timolol inhiboval tento proces v králičom a opičom oku, ak sa podával viac než jedenkrát denne.</w:t>
      </w:r>
    </w:p>
    <w:p w14:paraId="779EC714" w14:textId="77777777" w:rsidR="0035791E" w:rsidRPr="004C15A2" w:rsidRDefault="0035791E" w:rsidP="00097A42">
      <w:pPr>
        <w:rPr>
          <w:sz w:val="22"/>
          <w:szCs w:val="22"/>
          <w:lang w:val="sk-SK"/>
        </w:rPr>
      </w:pPr>
    </w:p>
    <w:p w14:paraId="21483E68" w14:textId="77777777" w:rsidR="00737BB9" w:rsidRPr="004C15A2" w:rsidRDefault="00737BB9" w:rsidP="00097A42">
      <w:pPr>
        <w:rPr>
          <w:b/>
          <w:sz w:val="22"/>
          <w:szCs w:val="22"/>
          <w:u w:val="single"/>
          <w:lang w:val="sk-SK"/>
        </w:rPr>
      </w:pPr>
      <w:r w:rsidRPr="004C15A2">
        <w:rPr>
          <w:b/>
          <w:sz w:val="22"/>
          <w:szCs w:val="22"/>
          <w:u w:val="single"/>
          <w:lang w:val="sk-SK"/>
        </w:rPr>
        <w:t>Latanoprost:</w:t>
      </w:r>
    </w:p>
    <w:p w14:paraId="6B8EE43C" w14:textId="77777777" w:rsidR="00737BB9" w:rsidRPr="004C15A2" w:rsidRDefault="00737BB9" w:rsidP="00097A42">
      <w:pPr>
        <w:rPr>
          <w:sz w:val="22"/>
          <w:szCs w:val="22"/>
          <w:lang w:val="sk-SK"/>
        </w:rPr>
      </w:pPr>
    </w:p>
    <w:p w14:paraId="63D6C46F" w14:textId="77777777" w:rsidR="00737BB9" w:rsidRPr="004C15A2" w:rsidRDefault="00737BB9" w:rsidP="00097A42">
      <w:pPr>
        <w:rPr>
          <w:i/>
          <w:sz w:val="22"/>
          <w:szCs w:val="22"/>
          <w:lang w:val="sk-SK"/>
        </w:rPr>
      </w:pPr>
      <w:r w:rsidRPr="004C15A2">
        <w:rPr>
          <w:i/>
          <w:sz w:val="22"/>
          <w:szCs w:val="22"/>
          <w:lang w:val="sk-SK"/>
        </w:rPr>
        <w:t>Systémové/očné účinky:</w:t>
      </w:r>
    </w:p>
    <w:p w14:paraId="413AD33B" w14:textId="77777777" w:rsidR="00AC1EA3" w:rsidRPr="004C15A2" w:rsidRDefault="00AC1EA3" w:rsidP="00097A42">
      <w:pPr>
        <w:rPr>
          <w:sz w:val="22"/>
          <w:szCs w:val="22"/>
          <w:lang w:val="sk-SK"/>
        </w:rPr>
      </w:pPr>
      <w:r w:rsidRPr="004C15A2">
        <w:rPr>
          <w:sz w:val="22"/>
          <w:szCs w:val="22"/>
          <w:lang w:val="sk-SK"/>
        </w:rPr>
        <w:t xml:space="preserve">Očná a taktiež systémová toxicita latanoprostu sa skúmala u niekoľkých druhov zvierat. Vo všeobecnosti </w:t>
      </w:r>
      <w:r w:rsidR="00CD41E3" w:rsidRPr="004C15A2">
        <w:rPr>
          <w:sz w:val="22"/>
          <w:szCs w:val="22"/>
          <w:lang w:val="sk-SK"/>
        </w:rPr>
        <w:t>sa</w:t>
      </w:r>
      <w:r w:rsidRPr="004C15A2">
        <w:rPr>
          <w:sz w:val="22"/>
          <w:szCs w:val="22"/>
          <w:lang w:val="sk-SK"/>
        </w:rPr>
        <w:t xml:space="preserve"> latanoprost dobre </w:t>
      </w:r>
      <w:r w:rsidR="00CD41E3" w:rsidRPr="004C15A2">
        <w:rPr>
          <w:sz w:val="22"/>
          <w:szCs w:val="22"/>
          <w:lang w:val="sk-SK"/>
        </w:rPr>
        <w:t xml:space="preserve">toleruje s </w:t>
      </w:r>
      <w:r w:rsidRPr="004C15A2">
        <w:rPr>
          <w:sz w:val="22"/>
          <w:szCs w:val="22"/>
          <w:lang w:val="sk-SK"/>
        </w:rPr>
        <w:t>bezpečnostn</w:t>
      </w:r>
      <w:r w:rsidR="00CD41E3" w:rsidRPr="004C15A2">
        <w:rPr>
          <w:sz w:val="22"/>
          <w:szCs w:val="22"/>
          <w:lang w:val="sk-SK"/>
        </w:rPr>
        <w:t xml:space="preserve">ým rozmedzím </w:t>
      </w:r>
      <w:r w:rsidRPr="004C15A2">
        <w:rPr>
          <w:sz w:val="22"/>
          <w:szCs w:val="22"/>
          <w:lang w:val="sk-SK"/>
        </w:rPr>
        <w:t>medzi klinick</w:t>
      </w:r>
      <w:r w:rsidR="00CD41E3" w:rsidRPr="004C15A2">
        <w:rPr>
          <w:sz w:val="22"/>
          <w:szCs w:val="22"/>
          <w:lang w:val="sk-SK"/>
        </w:rPr>
        <w:t>ou</w:t>
      </w:r>
      <w:r w:rsidRPr="004C15A2">
        <w:rPr>
          <w:sz w:val="22"/>
          <w:szCs w:val="22"/>
          <w:lang w:val="sk-SK"/>
        </w:rPr>
        <w:t xml:space="preserve"> očn</w:t>
      </w:r>
      <w:r w:rsidR="00CD41E3" w:rsidRPr="004C15A2">
        <w:rPr>
          <w:sz w:val="22"/>
          <w:szCs w:val="22"/>
          <w:lang w:val="sk-SK"/>
        </w:rPr>
        <w:t>ou</w:t>
      </w:r>
      <w:r w:rsidRPr="004C15A2">
        <w:rPr>
          <w:sz w:val="22"/>
          <w:szCs w:val="22"/>
          <w:lang w:val="sk-SK"/>
        </w:rPr>
        <w:t xml:space="preserve"> dávkou a systémov</w:t>
      </w:r>
      <w:r w:rsidR="00CD41E3" w:rsidRPr="004C15A2">
        <w:rPr>
          <w:sz w:val="22"/>
          <w:szCs w:val="22"/>
          <w:lang w:val="sk-SK"/>
        </w:rPr>
        <w:t>ou</w:t>
      </w:r>
      <w:r w:rsidRPr="004C15A2">
        <w:rPr>
          <w:sz w:val="22"/>
          <w:szCs w:val="22"/>
          <w:lang w:val="sk-SK"/>
        </w:rPr>
        <w:t xml:space="preserve"> toxicit</w:t>
      </w:r>
      <w:r w:rsidR="00CD41E3" w:rsidRPr="004C15A2">
        <w:rPr>
          <w:sz w:val="22"/>
          <w:szCs w:val="22"/>
          <w:lang w:val="sk-SK"/>
        </w:rPr>
        <w:t>ou pri dávke minimálne</w:t>
      </w:r>
      <w:r w:rsidRPr="004C15A2">
        <w:rPr>
          <w:sz w:val="22"/>
          <w:szCs w:val="22"/>
          <w:lang w:val="sk-SK"/>
        </w:rPr>
        <w:t xml:space="preserve"> 1</w:t>
      </w:r>
      <w:r w:rsidR="002E58ED" w:rsidRPr="004C15A2">
        <w:rPr>
          <w:sz w:val="22"/>
          <w:szCs w:val="22"/>
          <w:lang w:val="sk-SK"/>
        </w:rPr>
        <w:t> </w:t>
      </w:r>
      <w:r w:rsidRPr="004C15A2">
        <w:rPr>
          <w:sz w:val="22"/>
          <w:szCs w:val="22"/>
          <w:lang w:val="sk-SK"/>
        </w:rPr>
        <w:t>000</w:t>
      </w:r>
      <w:r w:rsidR="00CD41E3" w:rsidRPr="004C15A2">
        <w:rPr>
          <w:sz w:val="22"/>
          <w:szCs w:val="22"/>
          <w:lang w:val="sk-SK"/>
        </w:rPr>
        <w:t>-krát vyššej</w:t>
      </w:r>
      <w:r w:rsidRPr="004C15A2">
        <w:rPr>
          <w:sz w:val="22"/>
          <w:szCs w:val="22"/>
          <w:lang w:val="sk-SK"/>
        </w:rPr>
        <w:t xml:space="preserve">. </w:t>
      </w:r>
      <w:r w:rsidR="00CD41E3" w:rsidRPr="004C15A2">
        <w:rPr>
          <w:sz w:val="22"/>
          <w:szCs w:val="22"/>
          <w:lang w:val="sk-SK"/>
        </w:rPr>
        <w:t>Preukázalo sa, že v</w:t>
      </w:r>
      <w:r w:rsidRPr="004C15A2">
        <w:rPr>
          <w:sz w:val="22"/>
          <w:szCs w:val="22"/>
          <w:lang w:val="sk-SK"/>
        </w:rPr>
        <w:t>ysoké dávky latanoprostu</w:t>
      </w:r>
      <w:r w:rsidR="00CD41E3" w:rsidRPr="004C15A2">
        <w:rPr>
          <w:sz w:val="22"/>
          <w:szCs w:val="22"/>
          <w:lang w:val="sk-SK"/>
        </w:rPr>
        <w:t>, približne 100</w:t>
      </w:r>
      <w:r w:rsidRPr="004C15A2">
        <w:rPr>
          <w:sz w:val="22"/>
          <w:szCs w:val="22"/>
          <w:lang w:val="sk-SK"/>
        </w:rPr>
        <w:t>-násobok klinickej dávky/kg telesnej hmotnosti, podávan</w:t>
      </w:r>
      <w:r w:rsidR="00CD41E3" w:rsidRPr="004C15A2">
        <w:rPr>
          <w:sz w:val="22"/>
          <w:szCs w:val="22"/>
          <w:lang w:val="sk-SK"/>
        </w:rPr>
        <w:t>é</w:t>
      </w:r>
      <w:r w:rsidRPr="004C15A2">
        <w:rPr>
          <w:sz w:val="22"/>
          <w:szCs w:val="22"/>
          <w:lang w:val="sk-SK"/>
        </w:rPr>
        <w:t xml:space="preserve"> intravenózne </w:t>
      </w:r>
      <w:r w:rsidR="00CD41E3" w:rsidRPr="004C15A2">
        <w:rPr>
          <w:sz w:val="22"/>
          <w:szCs w:val="22"/>
          <w:lang w:val="sk-SK"/>
        </w:rPr>
        <w:t>u </w:t>
      </w:r>
      <w:r w:rsidRPr="004C15A2">
        <w:rPr>
          <w:sz w:val="22"/>
          <w:szCs w:val="22"/>
          <w:lang w:val="sk-SK"/>
        </w:rPr>
        <w:t>opíc</w:t>
      </w:r>
      <w:r w:rsidR="00CD41E3" w:rsidRPr="004C15A2">
        <w:rPr>
          <w:sz w:val="22"/>
          <w:szCs w:val="22"/>
          <w:lang w:val="sk-SK"/>
        </w:rPr>
        <w:t xml:space="preserve"> bez anestéz</w:t>
      </w:r>
      <w:r w:rsidR="0080519A" w:rsidRPr="004C15A2">
        <w:rPr>
          <w:sz w:val="22"/>
          <w:szCs w:val="22"/>
          <w:lang w:val="sk-SK"/>
        </w:rPr>
        <w:t>ie</w:t>
      </w:r>
      <w:r w:rsidRPr="004C15A2">
        <w:rPr>
          <w:sz w:val="22"/>
          <w:szCs w:val="22"/>
          <w:lang w:val="sk-SK"/>
        </w:rPr>
        <w:t xml:space="preserve"> zv</w:t>
      </w:r>
      <w:r w:rsidR="00CD41E3" w:rsidRPr="004C15A2">
        <w:rPr>
          <w:sz w:val="22"/>
          <w:szCs w:val="22"/>
          <w:lang w:val="sk-SK"/>
        </w:rPr>
        <w:t>yšujú</w:t>
      </w:r>
      <w:r w:rsidRPr="004C15A2">
        <w:rPr>
          <w:sz w:val="22"/>
          <w:szCs w:val="22"/>
          <w:lang w:val="sk-SK"/>
        </w:rPr>
        <w:t xml:space="preserve"> frekvenci</w:t>
      </w:r>
      <w:r w:rsidR="00CD41E3" w:rsidRPr="004C15A2">
        <w:rPr>
          <w:sz w:val="22"/>
          <w:szCs w:val="22"/>
          <w:lang w:val="sk-SK"/>
        </w:rPr>
        <w:t>u</w:t>
      </w:r>
      <w:r w:rsidRPr="004C15A2">
        <w:rPr>
          <w:sz w:val="22"/>
          <w:szCs w:val="22"/>
          <w:lang w:val="sk-SK"/>
        </w:rPr>
        <w:t xml:space="preserve"> dýchania</w:t>
      </w:r>
      <w:r w:rsidR="00CD41E3" w:rsidRPr="004C15A2">
        <w:rPr>
          <w:sz w:val="22"/>
          <w:szCs w:val="22"/>
          <w:lang w:val="sk-SK"/>
        </w:rPr>
        <w:t>, čo</w:t>
      </w:r>
      <w:r w:rsidRPr="004C15A2">
        <w:rPr>
          <w:sz w:val="22"/>
          <w:szCs w:val="22"/>
          <w:lang w:val="sk-SK"/>
        </w:rPr>
        <w:t xml:space="preserve"> pravdepodobne </w:t>
      </w:r>
      <w:r w:rsidR="002E58ED" w:rsidRPr="004C15A2">
        <w:rPr>
          <w:sz w:val="22"/>
          <w:szCs w:val="22"/>
          <w:lang w:val="sk-SK"/>
        </w:rPr>
        <w:t>poukazuje na</w:t>
      </w:r>
      <w:r w:rsidRPr="004C15A2">
        <w:rPr>
          <w:sz w:val="22"/>
          <w:szCs w:val="22"/>
          <w:lang w:val="sk-SK"/>
        </w:rPr>
        <w:t xml:space="preserve"> </w:t>
      </w:r>
      <w:r w:rsidR="00CD41E3" w:rsidRPr="004C15A2">
        <w:rPr>
          <w:sz w:val="22"/>
          <w:szCs w:val="22"/>
          <w:lang w:val="sk-SK"/>
        </w:rPr>
        <w:t xml:space="preserve">krátkodobú </w:t>
      </w:r>
      <w:r w:rsidRPr="004C15A2">
        <w:rPr>
          <w:sz w:val="22"/>
          <w:szCs w:val="22"/>
          <w:lang w:val="sk-SK"/>
        </w:rPr>
        <w:t>bronchokonstrikci</w:t>
      </w:r>
      <w:r w:rsidR="00CD41E3" w:rsidRPr="004C15A2">
        <w:rPr>
          <w:sz w:val="22"/>
          <w:szCs w:val="22"/>
          <w:lang w:val="sk-SK"/>
        </w:rPr>
        <w:t>u</w:t>
      </w:r>
      <w:r w:rsidRPr="004C15A2">
        <w:rPr>
          <w:sz w:val="22"/>
          <w:szCs w:val="22"/>
          <w:lang w:val="sk-SK"/>
        </w:rPr>
        <w:t xml:space="preserve">. U opíc </w:t>
      </w:r>
      <w:r w:rsidR="00936F81" w:rsidRPr="004C15A2">
        <w:rPr>
          <w:sz w:val="22"/>
          <w:szCs w:val="22"/>
          <w:lang w:val="sk-SK"/>
        </w:rPr>
        <w:t>sa</w:t>
      </w:r>
      <w:r w:rsidRPr="004C15A2">
        <w:rPr>
          <w:sz w:val="22"/>
          <w:szCs w:val="22"/>
          <w:lang w:val="sk-SK"/>
        </w:rPr>
        <w:t xml:space="preserve"> latanoprost podáva</w:t>
      </w:r>
      <w:r w:rsidR="00936F81" w:rsidRPr="004C15A2">
        <w:rPr>
          <w:sz w:val="22"/>
          <w:szCs w:val="22"/>
          <w:lang w:val="sk-SK"/>
        </w:rPr>
        <w:t>l</w:t>
      </w:r>
      <w:r w:rsidRPr="004C15A2">
        <w:rPr>
          <w:sz w:val="22"/>
          <w:szCs w:val="22"/>
          <w:lang w:val="sk-SK"/>
        </w:rPr>
        <w:t xml:space="preserve"> intravenózne v dávkach až 500</w:t>
      </w:r>
      <w:r w:rsidR="00936F81" w:rsidRPr="004C15A2">
        <w:rPr>
          <w:sz w:val="22"/>
          <w:szCs w:val="22"/>
          <w:lang w:val="sk-SK"/>
        </w:rPr>
        <w:t> </w:t>
      </w:r>
      <w:r w:rsidR="002E58ED" w:rsidRPr="004C15A2">
        <w:rPr>
          <w:sz w:val="22"/>
          <w:szCs w:val="22"/>
          <w:lang w:val="sk-SK"/>
        </w:rPr>
        <w:t>mikrogramov</w:t>
      </w:r>
      <w:r w:rsidR="00936F81" w:rsidRPr="004C15A2">
        <w:rPr>
          <w:sz w:val="22"/>
          <w:szCs w:val="22"/>
          <w:lang w:val="sk-SK"/>
        </w:rPr>
        <w:t>/</w:t>
      </w:r>
      <w:r w:rsidRPr="004C15A2">
        <w:rPr>
          <w:sz w:val="22"/>
          <w:szCs w:val="22"/>
          <w:lang w:val="sk-SK"/>
        </w:rPr>
        <w:t>kg bez výrazných účinkov na</w:t>
      </w:r>
      <w:r w:rsidR="00154F30" w:rsidRPr="004C15A2">
        <w:rPr>
          <w:sz w:val="22"/>
          <w:szCs w:val="22"/>
          <w:lang w:val="sk-SK"/>
        </w:rPr>
        <w:t> </w:t>
      </w:r>
      <w:r w:rsidRPr="004C15A2">
        <w:rPr>
          <w:sz w:val="22"/>
          <w:szCs w:val="22"/>
          <w:lang w:val="sk-SK"/>
        </w:rPr>
        <w:t xml:space="preserve">kardiovaskulárny systém. V štúdiách na zvieratách </w:t>
      </w:r>
      <w:r w:rsidR="00936F81" w:rsidRPr="004C15A2">
        <w:rPr>
          <w:sz w:val="22"/>
          <w:szCs w:val="22"/>
          <w:lang w:val="sk-SK"/>
        </w:rPr>
        <w:t>sa nezistilo, že by mal</w:t>
      </w:r>
      <w:r w:rsidRPr="004C15A2">
        <w:rPr>
          <w:sz w:val="22"/>
          <w:szCs w:val="22"/>
          <w:lang w:val="sk-SK"/>
        </w:rPr>
        <w:t xml:space="preserve"> latanoprost senzibiliz</w:t>
      </w:r>
      <w:r w:rsidR="00936F81" w:rsidRPr="004C15A2">
        <w:rPr>
          <w:sz w:val="22"/>
          <w:szCs w:val="22"/>
          <w:lang w:val="sk-SK"/>
        </w:rPr>
        <w:t>ačné vlastnosti</w:t>
      </w:r>
      <w:r w:rsidRPr="004C15A2">
        <w:rPr>
          <w:sz w:val="22"/>
          <w:szCs w:val="22"/>
          <w:lang w:val="sk-SK"/>
        </w:rPr>
        <w:t>.</w:t>
      </w:r>
    </w:p>
    <w:p w14:paraId="08C65069" w14:textId="77777777" w:rsidR="00AC1EA3" w:rsidRPr="004C15A2" w:rsidRDefault="00AC1EA3" w:rsidP="00097A42">
      <w:pPr>
        <w:rPr>
          <w:sz w:val="22"/>
          <w:szCs w:val="22"/>
          <w:lang w:val="sk-SK"/>
        </w:rPr>
      </w:pPr>
    </w:p>
    <w:p w14:paraId="3B0774AE" w14:textId="77777777" w:rsidR="00AC1EA3" w:rsidRPr="004C15A2" w:rsidRDefault="00AC1EA3" w:rsidP="00097A42">
      <w:pPr>
        <w:rPr>
          <w:sz w:val="22"/>
          <w:szCs w:val="22"/>
          <w:lang w:val="sk-SK"/>
        </w:rPr>
      </w:pPr>
      <w:r w:rsidRPr="004C15A2">
        <w:rPr>
          <w:sz w:val="22"/>
          <w:szCs w:val="22"/>
          <w:lang w:val="sk-SK"/>
        </w:rPr>
        <w:t xml:space="preserve">V oku </w:t>
      </w:r>
      <w:r w:rsidR="005D1B87" w:rsidRPr="004C15A2">
        <w:rPr>
          <w:sz w:val="22"/>
          <w:szCs w:val="22"/>
          <w:lang w:val="sk-SK"/>
        </w:rPr>
        <w:t xml:space="preserve">sa nezistili žiadne toxické účinky </w:t>
      </w:r>
      <w:r w:rsidRPr="004C15A2">
        <w:rPr>
          <w:sz w:val="22"/>
          <w:szCs w:val="22"/>
          <w:lang w:val="sk-SK"/>
        </w:rPr>
        <w:t>pri dávkach až do 100</w:t>
      </w:r>
      <w:r w:rsidR="005D1B87" w:rsidRPr="004C15A2">
        <w:rPr>
          <w:sz w:val="22"/>
          <w:szCs w:val="22"/>
          <w:lang w:val="sk-SK"/>
        </w:rPr>
        <w:t> </w:t>
      </w:r>
      <w:r w:rsidRPr="004C15A2">
        <w:rPr>
          <w:sz w:val="22"/>
          <w:szCs w:val="22"/>
          <w:lang w:val="sk-SK"/>
        </w:rPr>
        <w:t>mikrogramov/oko/deň u králikov a</w:t>
      </w:r>
      <w:r w:rsidR="005D1B87" w:rsidRPr="004C15A2">
        <w:rPr>
          <w:sz w:val="22"/>
          <w:szCs w:val="22"/>
          <w:lang w:val="sk-SK"/>
        </w:rPr>
        <w:t>lebo opíc (</w:t>
      </w:r>
      <w:r w:rsidRPr="004C15A2">
        <w:rPr>
          <w:sz w:val="22"/>
          <w:szCs w:val="22"/>
          <w:lang w:val="sk-SK"/>
        </w:rPr>
        <w:t>klinická dávka je približne 1,5</w:t>
      </w:r>
      <w:r w:rsidR="005D1B87" w:rsidRPr="004C15A2">
        <w:rPr>
          <w:sz w:val="22"/>
          <w:szCs w:val="22"/>
          <w:lang w:val="sk-SK"/>
        </w:rPr>
        <w:t> mikrogramov</w:t>
      </w:r>
      <w:r w:rsidRPr="004C15A2">
        <w:rPr>
          <w:sz w:val="22"/>
          <w:szCs w:val="22"/>
          <w:lang w:val="sk-SK"/>
        </w:rPr>
        <w:t xml:space="preserve">/oko/deň). Latanoprost nemá žiadny alebo </w:t>
      </w:r>
      <w:r w:rsidR="005D1B87" w:rsidRPr="004C15A2">
        <w:rPr>
          <w:sz w:val="22"/>
          <w:szCs w:val="22"/>
          <w:lang w:val="sk-SK"/>
        </w:rPr>
        <w:t xml:space="preserve">má </w:t>
      </w:r>
      <w:r w:rsidRPr="004C15A2">
        <w:rPr>
          <w:sz w:val="22"/>
          <w:szCs w:val="22"/>
          <w:lang w:val="sk-SK"/>
        </w:rPr>
        <w:t xml:space="preserve">zanedbateľný vplyv na vnútroočný krvný obeh, </w:t>
      </w:r>
      <w:r w:rsidR="005D1B87" w:rsidRPr="004C15A2">
        <w:rPr>
          <w:sz w:val="22"/>
          <w:szCs w:val="22"/>
          <w:lang w:val="sk-SK"/>
        </w:rPr>
        <w:t>keď sa</w:t>
      </w:r>
      <w:r w:rsidRPr="004C15A2">
        <w:rPr>
          <w:sz w:val="22"/>
          <w:szCs w:val="22"/>
          <w:lang w:val="sk-SK"/>
        </w:rPr>
        <w:t xml:space="preserve"> používa</w:t>
      </w:r>
      <w:r w:rsidR="005D1B87" w:rsidRPr="004C15A2">
        <w:rPr>
          <w:sz w:val="22"/>
          <w:szCs w:val="22"/>
          <w:lang w:val="sk-SK"/>
        </w:rPr>
        <w:t>l</w:t>
      </w:r>
      <w:r w:rsidRPr="004C15A2">
        <w:rPr>
          <w:sz w:val="22"/>
          <w:szCs w:val="22"/>
          <w:lang w:val="sk-SK"/>
        </w:rPr>
        <w:t xml:space="preserve"> v klinickej dávke a </w:t>
      </w:r>
      <w:r w:rsidR="005D1B87" w:rsidRPr="004C15A2">
        <w:rPr>
          <w:sz w:val="22"/>
          <w:szCs w:val="22"/>
          <w:lang w:val="sk-SK"/>
        </w:rPr>
        <w:t>skúm</w:t>
      </w:r>
      <w:r w:rsidRPr="004C15A2">
        <w:rPr>
          <w:sz w:val="22"/>
          <w:szCs w:val="22"/>
          <w:lang w:val="sk-SK"/>
        </w:rPr>
        <w:t>al u opíc.</w:t>
      </w:r>
    </w:p>
    <w:p w14:paraId="28141B51" w14:textId="77777777" w:rsidR="00AC1EA3" w:rsidRPr="004C15A2" w:rsidRDefault="00AC1EA3" w:rsidP="00097A42">
      <w:pPr>
        <w:rPr>
          <w:sz w:val="22"/>
          <w:szCs w:val="22"/>
          <w:lang w:val="sk-SK"/>
        </w:rPr>
      </w:pPr>
    </w:p>
    <w:p w14:paraId="2668BFAE" w14:textId="77777777" w:rsidR="00AC1EA3" w:rsidRPr="004C15A2" w:rsidRDefault="005D1B87" w:rsidP="00097A42">
      <w:pPr>
        <w:rPr>
          <w:sz w:val="22"/>
          <w:szCs w:val="22"/>
          <w:lang w:val="sk-SK"/>
        </w:rPr>
      </w:pPr>
      <w:r w:rsidRPr="004C15A2">
        <w:rPr>
          <w:sz w:val="22"/>
          <w:szCs w:val="22"/>
          <w:lang w:val="sk-SK"/>
        </w:rPr>
        <w:t>V</w:t>
      </w:r>
      <w:r w:rsidR="00AC1EA3" w:rsidRPr="004C15A2">
        <w:rPr>
          <w:sz w:val="22"/>
          <w:szCs w:val="22"/>
          <w:lang w:val="sk-SK"/>
        </w:rPr>
        <w:t xml:space="preserve"> chronických štúdiách očnej toxicity </w:t>
      </w:r>
      <w:r w:rsidRPr="004C15A2">
        <w:rPr>
          <w:sz w:val="22"/>
          <w:szCs w:val="22"/>
          <w:lang w:val="sk-SK"/>
        </w:rPr>
        <w:t>sa preukázalo</w:t>
      </w:r>
      <w:r w:rsidR="00AC1EA3" w:rsidRPr="004C15A2">
        <w:rPr>
          <w:sz w:val="22"/>
          <w:szCs w:val="22"/>
          <w:lang w:val="sk-SK"/>
        </w:rPr>
        <w:t xml:space="preserve">, </w:t>
      </w:r>
      <w:r w:rsidRPr="004C15A2">
        <w:rPr>
          <w:sz w:val="22"/>
          <w:szCs w:val="22"/>
          <w:lang w:val="sk-SK"/>
        </w:rPr>
        <w:t xml:space="preserve">že </w:t>
      </w:r>
      <w:r w:rsidR="00AC1EA3" w:rsidRPr="004C15A2">
        <w:rPr>
          <w:sz w:val="22"/>
          <w:szCs w:val="22"/>
          <w:lang w:val="sk-SK"/>
        </w:rPr>
        <w:t>podávanie latanoprostu</w:t>
      </w:r>
      <w:r w:rsidRPr="004C15A2">
        <w:rPr>
          <w:sz w:val="22"/>
          <w:szCs w:val="22"/>
          <w:lang w:val="sk-SK"/>
        </w:rPr>
        <w:t xml:space="preserve"> v dávke</w:t>
      </w:r>
      <w:r w:rsidR="00AC1EA3" w:rsidRPr="004C15A2">
        <w:rPr>
          <w:sz w:val="22"/>
          <w:szCs w:val="22"/>
          <w:lang w:val="sk-SK"/>
        </w:rPr>
        <w:t xml:space="preserve"> 6</w:t>
      </w:r>
      <w:r w:rsidRPr="004C15A2">
        <w:rPr>
          <w:sz w:val="22"/>
          <w:szCs w:val="22"/>
          <w:lang w:val="sk-SK"/>
        </w:rPr>
        <w:t> </w:t>
      </w:r>
      <w:r w:rsidR="00AC1EA3" w:rsidRPr="004C15A2">
        <w:rPr>
          <w:sz w:val="22"/>
          <w:szCs w:val="22"/>
          <w:lang w:val="sk-SK"/>
        </w:rPr>
        <w:t>mikrogramov/oko/deň indukuje rozš</w:t>
      </w:r>
      <w:r w:rsidRPr="004C15A2">
        <w:rPr>
          <w:sz w:val="22"/>
          <w:szCs w:val="22"/>
          <w:lang w:val="sk-SK"/>
        </w:rPr>
        <w:t>írenie</w:t>
      </w:r>
      <w:r w:rsidR="00AC1EA3" w:rsidRPr="004C15A2">
        <w:rPr>
          <w:sz w:val="22"/>
          <w:szCs w:val="22"/>
          <w:lang w:val="sk-SK"/>
        </w:rPr>
        <w:t xml:space="preserve"> </w:t>
      </w:r>
      <w:r w:rsidRPr="004C15A2">
        <w:rPr>
          <w:bCs/>
          <w:sz w:val="22"/>
          <w:szCs w:val="22"/>
        </w:rPr>
        <w:t>palpebrálnej</w:t>
      </w:r>
      <w:r w:rsidRPr="004C15A2">
        <w:rPr>
          <w:b/>
          <w:bCs/>
          <w:sz w:val="22"/>
          <w:szCs w:val="22"/>
        </w:rPr>
        <w:t xml:space="preserve"> </w:t>
      </w:r>
      <w:r w:rsidR="00AC1EA3" w:rsidRPr="004C15A2">
        <w:rPr>
          <w:sz w:val="22"/>
          <w:szCs w:val="22"/>
          <w:lang w:val="sk-SK"/>
        </w:rPr>
        <w:t>štrbin</w:t>
      </w:r>
      <w:r w:rsidRPr="004C15A2">
        <w:rPr>
          <w:sz w:val="22"/>
          <w:szCs w:val="22"/>
          <w:lang w:val="sk-SK"/>
        </w:rPr>
        <w:t>y</w:t>
      </w:r>
      <w:r w:rsidR="00AC1EA3" w:rsidRPr="004C15A2">
        <w:rPr>
          <w:sz w:val="22"/>
          <w:szCs w:val="22"/>
          <w:lang w:val="sk-SK"/>
        </w:rPr>
        <w:t xml:space="preserve">. Tento účinok je reverzibilný a vyskytuje sa </w:t>
      </w:r>
      <w:r w:rsidRPr="004C15A2">
        <w:rPr>
          <w:sz w:val="22"/>
          <w:szCs w:val="22"/>
          <w:lang w:val="sk-SK"/>
        </w:rPr>
        <w:t>pri</w:t>
      </w:r>
      <w:r w:rsidR="00AC1EA3" w:rsidRPr="004C15A2">
        <w:rPr>
          <w:sz w:val="22"/>
          <w:szCs w:val="22"/>
          <w:lang w:val="sk-SK"/>
        </w:rPr>
        <w:t xml:space="preserve"> </w:t>
      </w:r>
      <w:r w:rsidRPr="004C15A2">
        <w:rPr>
          <w:sz w:val="22"/>
          <w:szCs w:val="22"/>
          <w:lang w:val="sk-SK"/>
        </w:rPr>
        <w:t xml:space="preserve">vyšších </w:t>
      </w:r>
      <w:r w:rsidR="00AC1EA3" w:rsidRPr="004C15A2">
        <w:rPr>
          <w:sz w:val="22"/>
          <w:szCs w:val="22"/>
          <w:lang w:val="sk-SK"/>
        </w:rPr>
        <w:t>dávk</w:t>
      </w:r>
      <w:r w:rsidRPr="004C15A2">
        <w:rPr>
          <w:sz w:val="22"/>
          <w:szCs w:val="22"/>
          <w:lang w:val="sk-SK"/>
        </w:rPr>
        <w:t>ach</w:t>
      </w:r>
      <w:r w:rsidR="00AC1EA3" w:rsidRPr="004C15A2">
        <w:rPr>
          <w:sz w:val="22"/>
          <w:szCs w:val="22"/>
          <w:lang w:val="sk-SK"/>
        </w:rPr>
        <w:t xml:space="preserve"> ako</w:t>
      </w:r>
      <w:r w:rsidRPr="004C15A2">
        <w:rPr>
          <w:sz w:val="22"/>
          <w:szCs w:val="22"/>
          <w:lang w:val="sk-SK"/>
        </w:rPr>
        <w:t xml:space="preserve"> je</w:t>
      </w:r>
      <w:r w:rsidR="00AC1EA3" w:rsidRPr="004C15A2">
        <w:rPr>
          <w:sz w:val="22"/>
          <w:szCs w:val="22"/>
          <w:lang w:val="sk-SK"/>
        </w:rPr>
        <w:t xml:space="preserve"> klinick</w:t>
      </w:r>
      <w:r w:rsidRPr="004C15A2">
        <w:rPr>
          <w:sz w:val="22"/>
          <w:szCs w:val="22"/>
          <w:lang w:val="sk-SK"/>
        </w:rPr>
        <w:t>á</w:t>
      </w:r>
      <w:r w:rsidR="00AC1EA3" w:rsidRPr="004C15A2">
        <w:rPr>
          <w:sz w:val="22"/>
          <w:szCs w:val="22"/>
          <w:lang w:val="sk-SK"/>
        </w:rPr>
        <w:t xml:space="preserve"> dávk</w:t>
      </w:r>
      <w:r w:rsidRPr="004C15A2">
        <w:rPr>
          <w:sz w:val="22"/>
          <w:szCs w:val="22"/>
          <w:lang w:val="sk-SK"/>
        </w:rPr>
        <w:t>a</w:t>
      </w:r>
      <w:r w:rsidR="00AC1EA3" w:rsidRPr="004C15A2">
        <w:rPr>
          <w:sz w:val="22"/>
          <w:szCs w:val="22"/>
          <w:lang w:val="sk-SK"/>
        </w:rPr>
        <w:t xml:space="preserve">. Účinok </w:t>
      </w:r>
      <w:r w:rsidRPr="004C15A2">
        <w:rPr>
          <w:sz w:val="22"/>
          <w:szCs w:val="22"/>
          <w:lang w:val="sk-SK"/>
        </w:rPr>
        <w:t>sa</w:t>
      </w:r>
      <w:r w:rsidR="00AC1EA3" w:rsidRPr="004C15A2">
        <w:rPr>
          <w:sz w:val="22"/>
          <w:szCs w:val="22"/>
          <w:lang w:val="sk-SK"/>
        </w:rPr>
        <w:t xml:space="preserve"> u</w:t>
      </w:r>
      <w:r w:rsidRPr="004C15A2">
        <w:rPr>
          <w:sz w:val="22"/>
          <w:szCs w:val="22"/>
          <w:lang w:val="sk-SK"/>
        </w:rPr>
        <w:t> </w:t>
      </w:r>
      <w:r w:rsidR="00AC1EA3" w:rsidRPr="004C15A2">
        <w:rPr>
          <w:sz w:val="22"/>
          <w:szCs w:val="22"/>
          <w:lang w:val="sk-SK"/>
        </w:rPr>
        <w:t>človeka</w:t>
      </w:r>
      <w:r w:rsidRPr="004C15A2">
        <w:rPr>
          <w:sz w:val="22"/>
          <w:szCs w:val="22"/>
          <w:lang w:val="sk-SK"/>
        </w:rPr>
        <w:t xml:space="preserve"> nepozoroval</w:t>
      </w:r>
      <w:r w:rsidR="00AC1EA3" w:rsidRPr="004C15A2">
        <w:rPr>
          <w:sz w:val="22"/>
          <w:szCs w:val="22"/>
          <w:lang w:val="sk-SK"/>
        </w:rPr>
        <w:t>.</w:t>
      </w:r>
    </w:p>
    <w:p w14:paraId="1B8E341B" w14:textId="77777777" w:rsidR="00AC1EA3" w:rsidRPr="004C15A2" w:rsidRDefault="00AC1EA3" w:rsidP="00097A42">
      <w:pPr>
        <w:rPr>
          <w:sz w:val="22"/>
          <w:szCs w:val="22"/>
          <w:lang w:val="sk-SK"/>
        </w:rPr>
      </w:pPr>
    </w:p>
    <w:p w14:paraId="3971A4A2" w14:textId="77777777" w:rsidR="00AC1EA3" w:rsidRPr="004C15A2" w:rsidRDefault="00AC1EA3" w:rsidP="00097A42">
      <w:pPr>
        <w:rPr>
          <w:i/>
          <w:sz w:val="22"/>
          <w:szCs w:val="22"/>
          <w:lang w:val="sk-SK"/>
        </w:rPr>
      </w:pPr>
      <w:r w:rsidRPr="004C15A2">
        <w:rPr>
          <w:i/>
          <w:sz w:val="22"/>
          <w:szCs w:val="22"/>
          <w:lang w:val="sk-SK"/>
        </w:rPr>
        <w:t>Karcinoge</w:t>
      </w:r>
      <w:r w:rsidR="000F4084" w:rsidRPr="004C15A2">
        <w:rPr>
          <w:i/>
          <w:sz w:val="22"/>
          <w:szCs w:val="22"/>
          <w:lang w:val="sk-SK"/>
        </w:rPr>
        <w:t>nita</w:t>
      </w:r>
      <w:r w:rsidRPr="004C15A2">
        <w:rPr>
          <w:i/>
          <w:sz w:val="22"/>
          <w:szCs w:val="22"/>
          <w:lang w:val="sk-SK"/>
        </w:rPr>
        <w:t>:</w:t>
      </w:r>
    </w:p>
    <w:p w14:paraId="57C5B6DD" w14:textId="77777777" w:rsidR="00AC1EA3" w:rsidRPr="004C15A2" w:rsidRDefault="00AC1EA3" w:rsidP="00097A42">
      <w:pPr>
        <w:rPr>
          <w:sz w:val="22"/>
          <w:szCs w:val="22"/>
          <w:lang w:val="sk-SK"/>
        </w:rPr>
      </w:pPr>
      <w:r w:rsidRPr="004C15A2">
        <w:rPr>
          <w:sz w:val="22"/>
          <w:szCs w:val="22"/>
          <w:lang w:val="sk-SK"/>
        </w:rPr>
        <w:t>Štúdie karcinogenity u myší a potkanov boli negatívne.</w:t>
      </w:r>
    </w:p>
    <w:p w14:paraId="57051839" w14:textId="77777777" w:rsidR="00AC1EA3" w:rsidRPr="004C15A2" w:rsidRDefault="00AC1EA3" w:rsidP="00097A42">
      <w:pPr>
        <w:rPr>
          <w:sz w:val="22"/>
          <w:szCs w:val="22"/>
          <w:lang w:val="sk-SK"/>
        </w:rPr>
      </w:pPr>
    </w:p>
    <w:p w14:paraId="797F17AC" w14:textId="77777777" w:rsidR="00AC1EA3" w:rsidRPr="004C15A2" w:rsidRDefault="00AC1EA3" w:rsidP="00170A8F">
      <w:pPr>
        <w:keepNext/>
        <w:rPr>
          <w:i/>
          <w:sz w:val="22"/>
          <w:szCs w:val="22"/>
          <w:lang w:val="sk-SK"/>
        </w:rPr>
      </w:pPr>
      <w:r w:rsidRPr="004C15A2">
        <w:rPr>
          <w:i/>
          <w:sz w:val="22"/>
          <w:szCs w:val="22"/>
          <w:lang w:val="sk-SK"/>
        </w:rPr>
        <w:t>Mutagen</w:t>
      </w:r>
      <w:r w:rsidR="000F4084" w:rsidRPr="004C15A2">
        <w:rPr>
          <w:i/>
          <w:sz w:val="22"/>
          <w:szCs w:val="22"/>
          <w:lang w:val="sk-SK"/>
        </w:rPr>
        <w:t>ita</w:t>
      </w:r>
      <w:r w:rsidRPr="004C15A2">
        <w:rPr>
          <w:i/>
          <w:sz w:val="22"/>
          <w:szCs w:val="22"/>
          <w:lang w:val="sk-SK"/>
        </w:rPr>
        <w:t>:</w:t>
      </w:r>
    </w:p>
    <w:p w14:paraId="1BBC20F1" w14:textId="77777777" w:rsidR="00AC1EA3" w:rsidRPr="004C15A2" w:rsidRDefault="00AC1EA3" w:rsidP="00170A8F">
      <w:pPr>
        <w:keepNext/>
        <w:rPr>
          <w:sz w:val="22"/>
          <w:szCs w:val="22"/>
          <w:lang w:val="sk-SK"/>
        </w:rPr>
      </w:pPr>
      <w:r w:rsidRPr="004C15A2">
        <w:rPr>
          <w:sz w:val="22"/>
          <w:szCs w:val="22"/>
          <w:lang w:val="sk-SK"/>
        </w:rPr>
        <w:t>Latanoprost bol negatívny v testoch reverznej mutácie u baktérií, génov</w:t>
      </w:r>
      <w:r w:rsidR="005D1B87" w:rsidRPr="004C15A2">
        <w:rPr>
          <w:sz w:val="22"/>
          <w:szCs w:val="22"/>
          <w:lang w:val="sk-SK"/>
        </w:rPr>
        <w:t>ej</w:t>
      </w:r>
      <w:r w:rsidRPr="004C15A2">
        <w:rPr>
          <w:sz w:val="22"/>
          <w:szCs w:val="22"/>
          <w:lang w:val="sk-SK"/>
        </w:rPr>
        <w:t xml:space="preserve"> mutácie </w:t>
      </w:r>
      <w:r w:rsidR="005D1B87" w:rsidRPr="004C15A2">
        <w:rPr>
          <w:sz w:val="22"/>
          <w:szCs w:val="22"/>
          <w:lang w:val="sk-SK"/>
        </w:rPr>
        <w:t xml:space="preserve">u </w:t>
      </w:r>
      <w:r w:rsidRPr="004C15A2">
        <w:rPr>
          <w:sz w:val="22"/>
          <w:szCs w:val="22"/>
          <w:lang w:val="sk-SK"/>
        </w:rPr>
        <w:t>myš</w:t>
      </w:r>
      <w:r w:rsidR="005D1B87" w:rsidRPr="004C15A2">
        <w:rPr>
          <w:sz w:val="22"/>
          <w:szCs w:val="22"/>
          <w:lang w:val="sk-SK"/>
        </w:rPr>
        <w:t>ac</w:t>
      </w:r>
      <w:r w:rsidRPr="004C15A2">
        <w:rPr>
          <w:sz w:val="22"/>
          <w:szCs w:val="22"/>
          <w:lang w:val="sk-SK"/>
        </w:rPr>
        <w:t>ieho lymfómu a</w:t>
      </w:r>
      <w:r w:rsidR="005D1B87" w:rsidRPr="004C15A2">
        <w:rPr>
          <w:sz w:val="22"/>
          <w:szCs w:val="22"/>
          <w:lang w:val="sk-SK"/>
        </w:rPr>
        <w:t xml:space="preserve"> v </w:t>
      </w:r>
      <w:r w:rsidRPr="004C15A2">
        <w:rPr>
          <w:sz w:val="22"/>
          <w:szCs w:val="22"/>
          <w:lang w:val="sk-SK"/>
        </w:rPr>
        <w:t>mikronukleov</w:t>
      </w:r>
      <w:r w:rsidR="005D1B87" w:rsidRPr="004C15A2">
        <w:rPr>
          <w:sz w:val="22"/>
          <w:szCs w:val="22"/>
          <w:lang w:val="sk-SK"/>
        </w:rPr>
        <w:t>om</w:t>
      </w:r>
      <w:r w:rsidRPr="004C15A2">
        <w:rPr>
          <w:sz w:val="22"/>
          <w:szCs w:val="22"/>
          <w:lang w:val="sk-SK"/>
        </w:rPr>
        <w:t xml:space="preserve"> test</w:t>
      </w:r>
      <w:r w:rsidR="005D1B87" w:rsidRPr="004C15A2">
        <w:rPr>
          <w:sz w:val="22"/>
          <w:szCs w:val="22"/>
          <w:lang w:val="sk-SK"/>
        </w:rPr>
        <w:t>e</w:t>
      </w:r>
      <w:r w:rsidRPr="004C15A2">
        <w:rPr>
          <w:sz w:val="22"/>
          <w:szCs w:val="22"/>
          <w:lang w:val="sk-SK"/>
        </w:rPr>
        <w:t xml:space="preserve"> </w:t>
      </w:r>
      <w:r w:rsidR="005D1B87" w:rsidRPr="004C15A2">
        <w:rPr>
          <w:sz w:val="22"/>
          <w:szCs w:val="22"/>
          <w:lang w:val="sk-SK"/>
        </w:rPr>
        <w:t>u</w:t>
      </w:r>
      <w:r w:rsidRPr="004C15A2">
        <w:rPr>
          <w:sz w:val="22"/>
          <w:szCs w:val="22"/>
          <w:lang w:val="sk-SK"/>
        </w:rPr>
        <w:t xml:space="preserve"> myš</w:t>
      </w:r>
      <w:r w:rsidR="005D1B87" w:rsidRPr="004C15A2">
        <w:rPr>
          <w:sz w:val="22"/>
          <w:szCs w:val="22"/>
          <w:lang w:val="sk-SK"/>
        </w:rPr>
        <w:t>í</w:t>
      </w:r>
      <w:r w:rsidRPr="004C15A2">
        <w:rPr>
          <w:sz w:val="22"/>
          <w:szCs w:val="22"/>
          <w:lang w:val="sk-SK"/>
        </w:rPr>
        <w:t xml:space="preserve">. Chromozomálne aberácie </w:t>
      </w:r>
      <w:r w:rsidR="005D1B87" w:rsidRPr="004C15A2">
        <w:rPr>
          <w:sz w:val="22"/>
          <w:szCs w:val="22"/>
          <w:lang w:val="sk-SK"/>
        </w:rPr>
        <w:t>sa</w:t>
      </w:r>
      <w:r w:rsidRPr="004C15A2">
        <w:rPr>
          <w:sz w:val="22"/>
          <w:szCs w:val="22"/>
          <w:lang w:val="sk-SK"/>
        </w:rPr>
        <w:t xml:space="preserve"> pozorova</w:t>
      </w:r>
      <w:r w:rsidR="005D1B87" w:rsidRPr="004C15A2">
        <w:rPr>
          <w:sz w:val="22"/>
          <w:szCs w:val="22"/>
          <w:lang w:val="sk-SK"/>
        </w:rPr>
        <w:t xml:space="preserve">li </w:t>
      </w:r>
      <w:r w:rsidRPr="004C15A2">
        <w:rPr>
          <w:i/>
          <w:sz w:val="22"/>
          <w:szCs w:val="22"/>
          <w:lang w:val="sk-SK"/>
        </w:rPr>
        <w:t>in vitro</w:t>
      </w:r>
      <w:r w:rsidRPr="004C15A2">
        <w:rPr>
          <w:sz w:val="22"/>
          <w:szCs w:val="22"/>
          <w:lang w:val="sk-SK"/>
        </w:rPr>
        <w:t xml:space="preserve"> </w:t>
      </w:r>
      <w:r w:rsidR="005D1B87" w:rsidRPr="004C15A2">
        <w:rPr>
          <w:sz w:val="22"/>
          <w:szCs w:val="22"/>
          <w:lang w:val="sk-SK"/>
        </w:rPr>
        <w:t>v</w:t>
      </w:r>
      <w:r w:rsidRPr="004C15A2">
        <w:rPr>
          <w:sz w:val="22"/>
          <w:szCs w:val="22"/>
          <w:lang w:val="sk-SK"/>
        </w:rPr>
        <w:t xml:space="preserve"> ľudský</w:t>
      </w:r>
      <w:r w:rsidR="005D1B87" w:rsidRPr="004C15A2">
        <w:rPr>
          <w:sz w:val="22"/>
          <w:szCs w:val="22"/>
          <w:lang w:val="sk-SK"/>
        </w:rPr>
        <w:t>ch</w:t>
      </w:r>
      <w:r w:rsidRPr="004C15A2">
        <w:rPr>
          <w:sz w:val="22"/>
          <w:szCs w:val="22"/>
          <w:lang w:val="sk-SK"/>
        </w:rPr>
        <w:t xml:space="preserve"> lymfocyt</w:t>
      </w:r>
      <w:r w:rsidR="005D1B87" w:rsidRPr="004C15A2">
        <w:rPr>
          <w:sz w:val="22"/>
          <w:szCs w:val="22"/>
          <w:lang w:val="sk-SK"/>
        </w:rPr>
        <w:t>och. Podobné účinky sa pozorovali pri prostaglandíne F</w:t>
      </w:r>
      <w:r w:rsidR="005D1B87" w:rsidRPr="004C15A2">
        <w:rPr>
          <w:sz w:val="22"/>
          <w:szCs w:val="22"/>
          <w:vertAlign w:val="subscript"/>
          <w:lang w:val="sk-SK"/>
        </w:rPr>
        <w:t>2α</w:t>
      </w:r>
      <w:r w:rsidR="00AD7414" w:rsidRPr="004C15A2">
        <w:rPr>
          <w:sz w:val="22"/>
          <w:szCs w:val="22"/>
          <w:lang w:val="sk-SK"/>
        </w:rPr>
        <w:t xml:space="preserve">, </w:t>
      </w:r>
      <w:r w:rsidRPr="004C15A2">
        <w:rPr>
          <w:sz w:val="22"/>
          <w:szCs w:val="22"/>
          <w:lang w:val="sk-SK"/>
        </w:rPr>
        <w:t>prirodzene sa vyskytujúc</w:t>
      </w:r>
      <w:r w:rsidR="00A1220C" w:rsidRPr="004C15A2">
        <w:rPr>
          <w:sz w:val="22"/>
          <w:szCs w:val="22"/>
          <w:lang w:val="sk-SK"/>
        </w:rPr>
        <w:t>om</w:t>
      </w:r>
      <w:r w:rsidRPr="004C15A2">
        <w:rPr>
          <w:sz w:val="22"/>
          <w:szCs w:val="22"/>
          <w:lang w:val="sk-SK"/>
        </w:rPr>
        <w:t xml:space="preserve"> prostaglandín</w:t>
      </w:r>
      <w:r w:rsidR="00A1220C" w:rsidRPr="004C15A2">
        <w:rPr>
          <w:sz w:val="22"/>
          <w:szCs w:val="22"/>
          <w:lang w:val="sk-SK"/>
        </w:rPr>
        <w:t>e</w:t>
      </w:r>
      <w:r w:rsidRPr="004C15A2">
        <w:rPr>
          <w:sz w:val="22"/>
          <w:szCs w:val="22"/>
          <w:lang w:val="sk-SK"/>
        </w:rPr>
        <w:t>, a naznačuj</w:t>
      </w:r>
      <w:r w:rsidR="00AD7414" w:rsidRPr="004C15A2">
        <w:rPr>
          <w:sz w:val="22"/>
          <w:szCs w:val="22"/>
          <w:lang w:val="sk-SK"/>
        </w:rPr>
        <w:t>ú</w:t>
      </w:r>
      <w:r w:rsidRPr="004C15A2">
        <w:rPr>
          <w:sz w:val="22"/>
          <w:szCs w:val="22"/>
          <w:lang w:val="sk-SK"/>
        </w:rPr>
        <w:t>, že sa jedná o skupinový účinok</w:t>
      </w:r>
      <w:r w:rsidR="00AD7414" w:rsidRPr="004C15A2">
        <w:rPr>
          <w:sz w:val="22"/>
          <w:szCs w:val="22"/>
          <w:lang w:val="sk-SK"/>
        </w:rPr>
        <w:t>.</w:t>
      </w:r>
    </w:p>
    <w:p w14:paraId="1B486FFB" w14:textId="77777777" w:rsidR="00AC1EA3" w:rsidRPr="004C15A2" w:rsidRDefault="00AC1EA3" w:rsidP="00097A42">
      <w:pPr>
        <w:rPr>
          <w:sz w:val="22"/>
          <w:szCs w:val="22"/>
          <w:lang w:val="sk-SK"/>
        </w:rPr>
      </w:pPr>
    </w:p>
    <w:p w14:paraId="44FCAD07" w14:textId="77777777" w:rsidR="00737BB9" w:rsidRPr="004C15A2" w:rsidRDefault="00AC1EA3" w:rsidP="00097A42">
      <w:pPr>
        <w:rPr>
          <w:sz w:val="22"/>
          <w:szCs w:val="22"/>
          <w:lang w:val="sk-SK"/>
        </w:rPr>
      </w:pPr>
      <w:r w:rsidRPr="004C15A2">
        <w:rPr>
          <w:sz w:val="22"/>
          <w:szCs w:val="22"/>
          <w:lang w:val="sk-SK"/>
        </w:rPr>
        <w:t>Ďalšie štúdie mutagenity</w:t>
      </w:r>
      <w:r w:rsidR="00AD7414" w:rsidRPr="004C15A2">
        <w:rPr>
          <w:sz w:val="22"/>
          <w:szCs w:val="22"/>
          <w:lang w:val="sk-SK"/>
        </w:rPr>
        <w:t xml:space="preserve"> na</w:t>
      </w:r>
      <w:r w:rsidRPr="004C15A2">
        <w:rPr>
          <w:sz w:val="22"/>
          <w:szCs w:val="22"/>
          <w:lang w:val="sk-SK"/>
        </w:rPr>
        <w:t xml:space="preserve"> </w:t>
      </w:r>
      <w:r w:rsidRPr="004C15A2">
        <w:rPr>
          <w:i/>
          <w:sz w:val="22"/>
          <w:szCs w:val="22"/>
          <w:lang w:val="sk-SK"/>
        </w:rPr>
        <w:t>in vitro</w:t>
      </w:r>
      <w:r w:rsidRPr="004C15A2">
        <w:rPr>
          <w:sz w:val="22"/>
          <w:szCs w:val="22"/>
          <w:lang w:val="sk-SK"/>
        </w:rPr>
        <w:t>/</w:t>
      </w:r>
      <w:r w:rsidRPr="004C15A2">
        <w:rPr>
          <w:i/>
          <w:sz w:val="22"/>
          <w:szCs w:val="22"/>
          <w:lang w:val="sk-SK"/>
        </w:rPr>
        <w:t>in vivo</w:t>
      </w:r>
      <w:r w:rsidRPr="004C15A2">
        <w:rPr>
          <w:sz w:val="22"/>
          <w:szCs w:val="22"/>
          <w:lang w:val="sk-SK"/>
        </w:rPr>
        <w:t xml:space="preserve"> </w:t>
      </w:r>
      <w:r w:rsidR="00AD7414" w:rsidRPr="004C15A2">
        <w:rPr>
          <w:sz w:val="22"/>
          <w:szCs w:val="22"/>
          <w:lang w:val="sk-SK"/>
        </w:rPr>
        <w:t>neplánovanej</w:t>
      </w:r>
      <w:r w:rsidRPr="004C15A2">
        <w:rPr>
          <w:sz w:val="22"/>
          <w:szCs w:val="22"/>
          <w:lang w:val="sk-SK"/>
        </w:rPr>
        <w:t xml:space="preserve"> DNA syntéz</w:t>
      </w:r>
      <w:r w:rsidR="00AD7414" w:rsidRPr="004C15A2">
        <w:rPr>
          <w:sz w:val="22"/>
          <w:szCs w:val="22"/>
          <w:lang w:val="sk-SK"/>
        </w:rPr>
        <w:t>e</w:t>
      </w:r>
      <w:r w:rsidRPr="004C15A2">
        <w:rPr>
          <w:sz w:val="22"/>
          <w:szCs w:val="22"/>
          <w:lang w:val="sk-SK"/>
        </w:rPr>
        <w:t xml:space="preserve"> u potkanov boli negatívne a naznačujú, že latanoprost nemá mutagénnu </w:t>
      </w:r>
      <w:r w:rsidR="00AD7414" w:rsidRPr="004C15A2">
        <w:rPr>
          <w:sz w:val="22"/>
          <w:szCs w:val="22"/>
          <w:lang w:val="sk-SK"/>
        </w:rPr>
        <w:t>schopnosť</w:t>
      </w:r>
      <w:r w:rsidRPr="004C15A2">
        <w:rPr>
          <w:sz w:val="22"/>
          <w:szCs w:val="22"/>
          <w:lang w:val="sk-SK"/>
        </w:rPr>
        <w:t>.</w:t>
      </w:r>
    </w:p>
    <w:p w14:paraId="2C86ABE7" w14:textId="77777777" w:rsidR="00737BB9" w:rsidRPr="004C15A2" w:rsidRDefault="00737BB9" w:rsidP="00097A42">
      <w:pPr>
        <w:rPr>
          <w:sz w:val="22"/>
          <w:szCs w:val="22"/>
          <w:lang w:val="sk-SK"/>
        </w:rPr>
      </w:pPr>
    </w:p>
    <w:p w14:paraId="457D85E6" w14:textId="77777777" w:rsidR="00AD7414" w:rsidRPr="004C15A2" w:rsidRDefault="00AD7414" w:rsidP="00097A42">
      <w:pPr>
        <w:rPr>
          <w:i/>
          <w:sz w:val="22"/>
          <w:szCs w:val="22"/>
          <w:lang w:val="sk-SK"/>
        </w:rPr>
      </w:pPr>
      <w:r w:rsidRPr="004C15A2">
        <w:rPr>
          <w:i/>
          <w:sz w:val="22"/>
          <w:szCs w:val="22"/>
          <w:lang w:val="sk-SK"/>
        </w:rPr>
        <w:t>Porucha fertility:</w:t>
      </w:r>
    </w:p>
    <w:p w14:paraId="7B869F3E" w14:textId="77777777" w:rsidR="0035791E" w:rsidRPr="004C15A2" w:rsidRDefault="0035791E" w:rsidP="00097A42">
      <w:pPr>
        <w:rPr>
          <w:sz w:val="22"/>
          <w:szCs w:val="22"/>
          <w:lang w:val="sk-SK"/>
        </w:rPr>
      </w:pPr>
      <w:r w:rsidRPr="004C15A2">
        <w:rPr>
          <w:sz w:val="22"/>
          <w:szCs w:val="22"/>
          <w:lang w:val="sk-SK"/>
        </w:rPr>
        <w:t xml:space="preserve">U latanoprostu sa nezistil účinok na samčiu a samičiu fertilitu </w:t>
      </w:r>
      <w:r w:rsidR="00AD7414" w:rsidRPr="004C15A2">
        <w:rPr>
          <w:sz w:val="22"/>
          <w:szCs w:val="22"/>
          <w:lang w:val="sk-SK"/>
        </w:rPr>
        <w:t xml:space="preserve">v štúdiách </w:t>
      </w:r>
      <w:r w:rsidR="00CC44E2" w:rsidRPr="004C15A2">
        <w:rPr>
          <w:sz w:val="22"/>
          <w:szCs w:val="22"/>
          <w:lang w:val="sk-SK"/>
        </w:rPr>
        <w:t>na</w:t>
      </w:r>
      <w:r w:rsidR="00AD7414" w:rsidRPr="004C15A2">
        <w:rPr>
          <w:sz w:val="22"/>
          <w:szCs w:val="22"/>
          <w:lang w:val="sk-SK"/>
        </w:rPr>
        <w:t> zvierat</w:t>
      </w:r>
      <w:r w:rsidR="00CC44E2" w:rsidRPr="004C15A2">
        <w:rPr>
          <w:sz w:val="22"/>
          <w:szCs w:val="22"/>
          <w:lang w:val="sk-SK"/>
        </w:rPr>
        <w:t>ách</w:t>
      </w:r>
      <w:r w:rsidR="00AD7414" w:rsidRPr="004C15A2">
        <w:rPr>
          <w:sz w:val="22"/>
          <w:szCs w:val="22"/>
          <w:lang w:val="sk-SK"/>
        </w:rPr>
        <w:t>.</w:t>
      </w:r>
      <w:r w:rsidRPr="004C15A2">
        <w:rPr>
          <w:sz w:val="22"/>
          <w:szCs w:val="22"/>
          <w:lang w:val="sk-SK"/>
        </w:rPr>
        <w:t xml:space="preserve"> Po intravenóznych dávkach až do 250 mikrogramov/kg/deň nebola u potkanov pozorovaná embryotoxicita. Avšak po</w:t>
      </w:r>
      <w:r w:rsidR="00E57E0F" w:rsidRPr="004C15A2">
        <w:rPr>
          <w:sz w:val="22"/>
          <w:szCs w:val="22"/>
          <w:lang w:val="sk-SK"/>
        </w:rPr>
        <w:t> </w:t>
      </w:r>
      <w:r w:rsidRPr="004C15A2">
        <w:rPr>
          <w:sz w:val="22"/>
          <w:szCs w:val="22"/>
          <w:lang w:val="sk-SK"/>
        </w:rPr>
        <w:t>intravenóznej dávke 5 mikrogramov/kg/deň (približne 100-násobok klinickej dávky) a viac, latanoprost spôsobil embryofetálnu toxicitu u králikov, ktorá bola charakterizovaná zvýšeným výskytom neskorej resorpcie a potratov a zníženou hmotnosťou plodu.</w:t>
      </w:r>
    </w:p>
    <w:p w14:paraId="769813CB" w14:textId="77777777" w:rsidR="0035791E" w:rsidRPr="004C15A2" w:rsidRDefault="0035791E" w:rsidP="00097A42">
      <w:pPr>
        <w:rPr>
          <w:sz w:val="22"/>
          <w:szCs w:val="22"/>
          <w:lang w:val="sk-SK"/>
        </w:rPr>
      </w:pPr>
    </w:p>
    <w:p w14:paraId="433C3FC4" w14:textId="77777777" w:rsidR="0035791E" w:rsidRPr="004C15A2" w:rsidRDefault="00AD7414" w:rsidP="00097A42">
      <w:pPr>
        <w:rPr>
          <w:i/>
          <w:sz w:val="22"/>
          <w:szCs w:val="22"/>
          <w:lang w:val="sk-SK"/>
        </w:rPr>
      </w:pPr>
      <w:r w:rsidRPr="004C15A2">
        <w:rPr>
          <w:i/>
          <w:sz w:val="22"/>
          <w:szCs w:val="22"/>
          <w:lang w:val="sk-SK"/>
        </w:rPr>
        <w:t>Teratog</w:t>
      </w:r>
      <w:r w:rsidR="000F4084" w:rsidRPr="004C15A2">
        <w:rPr>
          <w:i/>
          <w:sz w:val="22"/>
          <w:szCs w:val="22"/>
          <w:lang w:val="sk-SK"/>
        </w:rPr>
        <w:t>enita</w:t>
      </w:r>
      <w:r w:rsidRPr="004C15A2">
        <w:rPr>
          <w:i/>
          <w:sz w:val="22"/>
          <w:szCs w:val="22"/>
          <w:lang w:val="sk-SK"/>
        </w:rPr>
        <w:t>:</w:t>
      </w:r>
    </w:p>
    <w:p w14:paraId="79672721" w14:textId="77777777" w:rsidR="00AD7414" w:rsidRPr="004C15A2" w:rsidRDefault="00AD7414" w:rsidP="00097A42">
      <w:pPr>
        <w:rPr>
          <w:sz w:val="22"/>
          <w:szCs w:val="22"/>
          <w:lang w:val="sk-SK"/>
        </w:rPr>
      </w:pPr>
      <w:r w:rsidRPr="004C15A2">
        <w:rPr>
          <w:sz w:val="22"/>
          <w:szCs w:val="22"/>
          <w:lang w:val="sk-SK"/>
        </w:rPr>
        <w:t>Nezistil sa žiadny teratogénny potenciál.</w:t>
      </w:r>
    </w:p>
    <w:p w14:paraId="05551088" w14:textId="77777777" w:rsidR="00AD7414" w:rsidRPr="004C15A2" w:rsidRDefault="00AD7414" w:rsidP="00097A42">
      <w:pPr>
        <w:rPr>
          <w:sz w:val="22"/>
          <w:szCs w:val="22"/>
          <w:lang w:val="sk-SK"/>
        </w:rPr>
      </w:pPr>
    </w:p>
    <w:p w14:paraId="2B67E87B" w14:textId="4F156B36" w:rsidR="00AD7414" w:rsidRPr="00396491" w:rsidRDefault="00396491" w:rsidP="00170A8F">
      <w:pPr>
        <w:keepNext/>
        <w:rPr>
          <w:b/>
          <w:sz w:val="22"/>
          <w:szCs w:val="22"/>
          <w:lang w:val="sk-SK"/>
        </w:rPr>
      </w:pPr>
      <w:r w:rsidRPr="00170A8F">
        <w:rPr>
          <w:b/>
          <w:sz w:val="22"/>
          <w:szCs w:val="22"/>
        </w:rPr>
        <w:t>Timolólium-hydrogenmaleát</w:t>
      </w:r>
      <w:r w:rsidR="00AD7414" w:rsidRPr="00396491">
        <w:rPr>
          <w:b/>
          <w:sz w:val="22"/>
          <w:szCs w:val="22"/>
          <w:lang w:val="sk-SK"/>
        </w:rPr>
        <w:t>:</w:t>
      </w:r>
    </w:p>
    <w:p w14:paraId="4C4E7D91" w14:textId="77777777" w:rsidR="00AD7414" w:rsidRPr="004C15A2" w:rsidRDefault="00AD7414" w:rsidP="00170A8F">
      <w:pPr>
        <w:keepNext/>
        <w:rPr>
          <w:sz w:val="22"/>
          <w:szCs w:val="22"/>
          <w:lang w:val="sk-SK"/>
        </w:rPr>
      </w:pPr>
    </w:p>
    <w:p w14:paraId="7A33F711" w14:textId="77777777" w:rsidR="00AD7414" w:rsidRPr="004C15A2" w:rsidRDefault="00AD7414" w:rsidP="00170A8F">
      <w:pPr>
        <w:keepNext/>
        <w:rPr>
          <w:i/>
          <w:sz w:val="22"/>
          <w:szCs w:val="22"/>
          <w:lang w:val="sk-SK"/>
        </w:rPr>
      </w:pPr>
      <w:r w:rsidRPr="004C15A2">
        <w:rPr>
          <w:i/>
          <w:sz w:val="22"/>
          <w:szCs w:val="22"/>
          <w:lang w:val="sk-SK"/>
        </w:rPr>
        <w:t>Karcinogen</w:t>
      </w:r>
      <w:r w:rsidR="000F4084" w:rsidRPr="004C15A2">
        <w:rPr>
          <w:i/>
          <w:sz w:val="22"/>
          <w:szCs w:val="22"/>
          <w:lang w:val="sk-SK"/>
        </w:rPr>
        <w:t>ita</w:t>
      </w:r>
      <w:r w:rsidRPr="004C15A2">
        <w:rPr>
          <w:i/>
          <w:sz w:val="22"/>
          <w:szCs w:val="22"/>
          <w:lang w:val="sk-SK"/>
        </w:rPr>
        <w:t>:</w:t>
      </w:r>
    </w:p>
    <w:p w14:paraId="369A4DBF" w14:textId="4DFEBFC2" w:rsidR="00AD7414" w:rsidRPr="004C15A2" w:rsidRDefault="00AD7414" w:rsidP="00170A8F">
      <w:pPr>
        <w:keepNext/>
        <w:rPr>
          <w:sz w:val="22"/>
          <w:szCs w:val="22"/>
          <w:lang w:val="sk-SK"/>
        </w:rPr>
      </w:pPr>
      <w:r w:rsidRPr="004C15A2">
        <w:rPr>
          <w:sz w:val="22"/>
          <w:szCs w:val="22"/>
          <w:lang w:val="sk-SK"/>
        </w:rPr>
        <w:t xml:space="preserve">V dvojročnej štúdii s </w:t>
      </w:r>
      <w:r w:rsidR="00396491" w:rsidRPr="00BE1625">
        <w:rPr>
          <w:sz w:val="22"/>
          <w:szCs w:val="22"/>
        </w:rPr>
        <w:t>timolólium-hydrogenmaleá</w:t>
      </w:r>
      <w:r w:rsidRPr="004C15A2">
        <w:rPr>
          <w:sz w:val="22"/>
          <w:szCs w:val="22"/>
          <w:lang w:val="sk-SK"/>
        </w:rPr>
        <w:t>tom podávaným perorálne potkanom došlo k štatisticky významnému zvýšeniu výskytu adrenálnych feochromocytómov u samcov potkanov, ktorým bol podávaný v dávke 300 mg/kg/deň (približne 42 000-</w:t>
      </w:r>
      <w:r w:rsidR="00CD553F" w:rsidRPr="004C15A2">
        <w:rPr>
          <w:sz w:val="22"/>
          <w:szCs w:val="22"/>
          <w:lang w:val="sk-SK"/>
        </w:rPr>
        <w:t>násobok</w:t>
      </w:r>
      <w:r w:rsidRPr="004C15A2">
        <w:rPr>
          <w:sz w:val="22"/>
          <w:szCs w:val="22"/>
          <w:lang w:val="sk-SK"/>
        </w:rPr>
        <w:t xml:space="preserve"> systémov</w:t>
      </w:r>
      <w:r w:rsidR="00CD553F" w:rsidRPr="004C15A2">
        <w:rPr>
          <w:sz w:val="22"/>
          <w:szCs w:val="22"/>
          <w:lang w:val="sk-SK"/>
        </w:rPr>
        <w:t>ej</w:t>
      </w:r>
      <w:r w:rsidRPr="004C15A2">
        <w:rPr>
          <w:sz w:val="22"/>
          <w:szCs w:val="22"/>
          <w:lang w:val="sk-SK"/>
        </w:rPr>
        <w:t xml:space="preserve"> expozíci</w:t>
      </w:r>
      <w:r w:rsidR="00CD553F" w:rsidRPr="004C15A2">
        <w:rPr>
          <w:sz w:val="22"/>
          <w:szCs w:val="22"/>
          <w:lang w:val="sk-SK"/>
        </w:rPr>
        <w:t>e</w:t>
      </w:r>
      <w:r w:rsidRPr="004C15A2">
        <w:rPr>
          <w:sz w:val="22"/>
          <w:szCs w:val="22"/>
          <w:lang w:val="sk-SK"/>
        </w:rPr>
        <w:t xml:space="preserve"> po maximálnej odporúčanej očnej dávke u ľudí). Podobné rozdiely sa nepozorovali u potkanov po perorálnych dávkach zodpovedajúcich približne 14 000-násobku maximálnej odporúčanej očnej dávky u ľudí.</w:t>
      </w:r>
    </w:p>
    <w:p w14:paraId="58A57AEB" w14:textId="77777777" w:rsidR="00AD7414" w:rsidRPr="004C15A2" w:rsidRDefault="00AD7414" w:rsidP="00097A42">
      <w:pPr>
        <w:rPr>
          <w:sz w:val="22"/>
          <w:szCs w:val="22"/>
          <w:lang w:val="sk-SK"/>
        </w:rPr>
      </w:pPr>
    </w:p>
    <w:p w14:paraId="5F695DBD" w14:textId="77777777" w:rsidR="00B85AF8" w:rsidRPr="004C15A2" w:rsidRDefault="00B85AF8" w:rsidP="00097A42">
      <w:pPr>
        <w:rPr>
          <w:sz w:val="22"/>
          <w:szCs w:val="22"/>
          <w:lang w:val="sk-SK"/>
        </w:rPr>
      </w:pPr>
      <w:r w:rsidRPr="004C15A2">
        <w:rPr>
          <w:sz w:val="22"/>
          <w:szCs w:val="22"/>
          <w:lang w:val="sk-SK"/>
        </w:rPr>
        <w:t xml:space="preserve">V celoživotnej perorálnej štúdii u myší sa zistilo štatisticky významné zvýšenie výskytu benígnych a malígnych pľúcnych </w:t>
      </w:r>
      <w:r w:rsidR="00A33368" w:rsidRPr="004C15A2">
        <w:rPr>
          <w:sz w:val="22"/>
          <w:szCs w:val="22"/>
          <w:lang w:val="sk-SK"/>
        </w:rPr>
        <w:t>nád</w:t>
      </w:r>
      <w:r w:rsidRPr="004C15A2">
        <w:rPr>
          <w:sz w:val="22"/>
          <w:szCs w:val="22"/>
          <w:lang w:val="sk-SK"/>
        </w:rPr>
        <w:t>orov, benígnych polypov maternice a adenokarcinómov mliečnej žľazy u samíc myší pri dávke 500 mg/kg/deň (asi 71 000-násobok systémovej expozície po maximálnej odporúčanej očnej dávke u ľudí), pri dávke 5 alebo 50 mg/kg/deň (približne 700 alebo 7 000-násobok systémovej expozície po maximálnej odporúčanej očnej dávke u ľudí) sa však nepozorovalo. V následnej štúdii u samíc myší, u ktorých boli posmrtné vyšetrenia obmedzené na maternicu a pľúca, sa opäť pozorovalo štatisticky významné zvýšenie výskytu pľúcnych nádorov pri dávke 500 mg/kg/deň.</w:t>
      </w:r>
    </w:p>
    <w:p w14:paraId="683E09BA" w14:textId="77777777" w:rsidR="00B85AF8" w:rsidRPr="004C15A2" w:rsidRDefault="00B85AF8" w:rsidP="00097A42">
      <w:pPr>
        <w:rPr>
          <w:sz w:val="22"/>
          <w:szCs w:val="22"/>
          <w:lang w:val="sk-SK"/>
        </w:rPr>
      </w:pPr>
    </w:p>
    <w:p w14:paraId="2F081E41" w14:textId="410F45E0" w:rsidR="00AD7414" w:rsidRPr="004C15A2" w:rsidRDefault="00A33368" w:rsidP="00097A42">
      <w:pPr>
        <w:rPr>
          <w:sz w:val="22"/>
          <w:szCs w:val="22"/>
          <w:lang w:val="sk-SK"/>
        </w:rPr>
      </w:pPr>
      <w:r w:rsidRPr="004C15A2">
        <w:rPr>
          <w:sz w:val="22"/>
          <w:szCs w:val="22"/>
          <w:lang w:val="sk-SK"/>
        </w:rPr>
        <w:t xml:space="preserve">Zvýšený výskyt adenokarcinómov mliečnej žľazy bol sprevádzaný zvýšením sérového prolaktínu, ktoré sa vyskytovali u samíc myší po perorálnom podaní </w:t>
      </w:r>
      <w:r w:rsidR="00396491" w:rsidRPr="00BE1625">
        <w:rPr>
          <w:sz w:val="22"/>
          <w:szCs w:val="22"/>
        </w:rPr>
        <w:t>timolólium-hydrogenmaleá</w:t>
      </w:r>
      <w:r w:rsidRPr="004C15A2">
        <w:rPr>
          <w:sz w:val="22"/>
          <w:szCs w:val="22"/>
          <w:lang w:val="sk-SK"/>
        </w:rPr>
        <w:t>tu v dávke 500 mg/kg/deň, pri dávkach 5 alebo 50 mg/kg/deň sa však nezistili. Zvýšený výskyt adenokarcinómov mliečnej žľazy u hlodavcov súvisel s podávaním niekoľkých ďalších liekov, ktoré zvyšujú hladinu sérového prolaktínu, žiadna korelácia medzi hladinami prolaktínu a nádormi mliečnej žľazy sa však u ľudí nestanovila.</w:t>
      </w:r>
    </w:p>
    <w:p w14:paraId="657D7CDA" w14:textId="77777777" w:rsidR="00A33368" w:rsidRPr="004C15A2" w:rsidRDefault="00A33368" w:rsidP="00097A42">
      <w:pPr>
        <w:rPr>
          <w:sz w:val="22"/>
          <w:szCs w:val="22"/>
          <w:lang w:val="sk-SK"/>
        </w:rPr>
      </w:pPr>
    </w:p>
    <w:p w14:paraId="1A2B9DDA" w14:textId="77777777" w:rsidR="00A33368" w:rsidRPr="004C15A2" w:rsidRDefault="00A33368" w:rsidP="00097A42">
      <w:pPr>
        <w:rPr>
          <w:i/>
          <w:sz w:val="22"/>
          <w:szCs w:val="22"/>
          <w:lang w:val="sk-SK"/>
        </w:rPr>
      </w:pPr>
      <w:r w:rsidRPr="004C15A2">
        <w:rPr>
          <w:i/>
          <w:sz w:val="22"/>
          <w:szCs w:val="22"/>
          <w:lang w:val="sk-SK"/>
        </w:rPr>
        <w:t>Mutagen</w:t>
      </w:r>
      <w:r w:rsidR="000F4084" w:rsidRPr="004C15A2">
        <w:rPr>
          <w:i/>
          <w:sz w:val="22"/>
          <w:szCs w:val="22"/>
          <w:lang w:val="sk-SK"/>
        </w:rPr>
        <w:t>ita</w:t>
      </w:r>
      <w:r w:rsidRPr="004C15A2">
        <w:rPr>
          <w:i/>
          <w:sz w:val="22"/>
          <w:szCs w:val="22"/>
          <w:lang w:val="sk-SK"/>
        </w:rPr>
        <w:t>:</w:t>
      </w:r>
    </w:p>
    <w:p w14:paraId="165361D4" w14:textId="342F8240" w:rsidR="00AD7414" w:rsidRPr="004C15A2" w:rsidRDefault="00396491" w:rsidP="00097A42">
      <w:pPr>
        <w:rPr>
          <w:sz w:val="22"/>
          <w:szCs w:val="22"/>
          <w:lang w:val="sk-SK"/>
        </w:rPr>
      </w:pPr>
      <w:r>
        <w:rPr>
          <w:sz w:val="22"/>
          <w:szCs w:val="22"/>
        </w:rPr>
        <w:t>T</w:t>
      </w:r>
      <w:r w:rsidRPr="00BE1625">
        <w:rPr>
          <w:sz w:val="22"/>
          <w:szCs w:val="22"/>
        </w:rPr>
        <w:t>imolólium-hydrogenmaleá</w:t>
      </w:r>
      <w:r w:rsidR="00A33368" w:rsidRPr="004C15A2">
        <w:rPr>
          <w:sz w:val="22"/>
          <w:szCs w:val="22"/>
          <w:lang w:val="sk-SK"/>
        </w:rPr>
        <w:t xml:space="preserve">t nevykazoval mutagénny potenciál pri testovaní </w:t>
      </w:r>
      <w:r w:rsidR="00A33368" w:rsidRPr="004C15A2">
        <w:rPr>
          <w:i/>
          <w:sz w:val="22"/>
          <w:szCs w:val="22"/>
          <w:lang w:val="sk-SK"/>
        </w:rPr>
        <w:t>in vivo</w:t>
      </w:r>
      <w:r w:rsidR="00A33368" w:rsidRPr="004C15A2">
        <w:rPr>
          <w:sz w:val="22"/>
          <w:szCs w:val="22"/>
          <w:lang w:val="sk-SK"/>
        </w:rPr>
        <w:t xml:space="preserve"> (myši) v mikronukleovom teste a cytogenetickom teste (v dávkach až do 800 mg/kg) a </w:t>
      </w:r>
      <w:r w:rsidR="00A33368" w:rsidRPr="004C15A2">
        <w:rPr>
          <w:i/>
          <w:sz w:val="22"/>
          <w:szCs w:val="22"/>
          <w:lang w:val="sk-SK"/>
        </w:rPr>
        <w:t>in vitro</w:t>
      </w:r>
      <w:r w:rsidR="00A33368" w:rsidRPr="004C15A2">
        <w:rPr>
          <w:sz w:val="22"/>
          <w:szCs w:val="22"/>
          <w:lang w:val="sk-SK"/>
        </w:rPr>
        <w:t xml:space="preserve"> v teste neoplastickej transformácie buniek (až do 100 mikrogramov/ml). V Amesových testoch </w:t>
      </w:r>
      <w:r w:rsidR="00563692" w:rsidRPr="004C15A2">
        <w:rPr>
          <w:sz w:val="22"/>
          <w:szCs w:val="22"/>
          <w:lang w:val="sk-SK"/>
        </w:rPr>
        <w:t>súviseli</w:t>
      </w:r>
      <w:r w:rsidR="00A33368" w:rsidRPr="004C15A2">
        <w:rPr>
          <w:sz w:val="22"/>
          <w:szCs w:val="22"/>
          <w:lang w:val="sk-SK"/>
        </w:rPr>
        <w:t xml:space="preserve"> najvyššie</w:t>
      </w:r>
      <w:r w:rsidR="00563692" w:rsidRPr="004C15A2">
        <w:rPr>
          <w:sz w:val="22"/>
          <w:szCs w:val="22"/>
          <w:lang w:val="sk-SK"/>
        </w:rPr>
        <w:t xml:space="preserve"> použité</w:t>
      </w:r>
      <w:r w:rsidR="00A33368" w:rsidRPr="004C15A2">
        <w:rPr>
          <w:sz w:val="22"/>
          <w:szCs w:val="22"/>
          <w:lang w:val="sk-SK"/>
        </w:rPr>
        <w:t xml:space="preserve"> koncentrácie </w:t>
      </w:r>
      <w:r w:rsidRPr="00BE1625">
        <w:rPr>
          <w:sz w:val="22"/>
          <w:szCs w:val="22"/>
        </w:rPr>
        <w:t>timolólium-hydrogenmaleá</w:t>
      </w:r>
      <w:r>
        <w:rPr>
          <w:sz w:val="22"/>
          <w:szCs w:val="22"/>
          <w:lang w:val="sk-SK"/>
        </w:rPr>
        <w:t>tu</w:t>
      </w:r>
      <w:r w:rsidR="00A33368" w:rsidRPr="004C15A2">
        <w:rPr>
          <w:sz w:val="22"/>
          <w:szCs w:val="22"/>
          <w:lang w:val="sk-SK"/>
        </w:rPr>
        <w:t>, 5 000 alebo 10 000 </w:t>
      </w:r>
      <w:r w:rsidR="00067D2F" w:rsidRPr="004C15A2">
        <w:rPr>
          <w:sz w:val="22"/>
          <w:szCs w:val="22"/>
          <w:lang w:val="sk-SK"/>
        </w:rPr>
        <w:t>mikrogramov</w:t>
      </w:r>
      <w:r w:rsidR="00A33368" w:rsidRPr="004C15A2">
        <w:rPr>
          <w:sz w:val="22"/>
          <w:szCs w:val="22"/>
          <w:lang w:val="sk-SK"/>
        </w:rPr>
        <w:t>/</w:t>
      </w:r>
      <w:r w:rsidR="00563692" w:rsidRPr="004C15A2">
        <w:rPr>
          <w:sz w:val="22"/>
          <w:szCs w:val="22"/>
          <w:lang w:val="sk-SK"/>
        </w:rPr>
        <w:t>mi</w:t>
      </w:r>
      <w:r w:rsidR="00A33368" w:rsidRPr="004C15A2">
        <w:rPr>
          <w:sz w:val="22"/>
          <w:szCs w:val="22"/>
          <w:lang w:val="sk-SK"/>
        </w:rPr>
        <w:t xml:space="preserve">ska, </w:t>
      </w:r>
      <w:r w:rsidR="00563692" w:rsidRPr="004C15A2">
        <w:rPr>
          <w:sz w:val="22"/>
          <w:szCs w:val="22"/>
          <w:lang w:val="sk-SK"/>
        </w:rPr>
        <w:t xml:space="preserve">so </w:t>
      </w:r>
      <w:r w:rsidR="00A33368" w:rsidRPr="004C15A2">
        <w:rPr>
          <w:sz w:val="22"/>
          <w:szCs w:val="22"/>
          <w:lang w:val="sk-SK"/>
        </w:rPr>
        <w:t>štatisticky významn</w:t>
      </w:r>
      <w:r w:rsidR="00563692" w:rsidRPr="004C15A2">
        <w:rPr>
          <w:sz w:val="22"/>
          <w:szCs w:val="22"/>
          <w:lang w:val="sk-SK"/>
        </w:rPr>
        <w:t>ými</w:t>
      </w:r>
      <w:r w:rsidR="00A33368" w:rsidRPr="004C15A2">
        <w:rPr>
          <w:sz w:val="22"/>
          <w:szCs w:val="22"/>
          <w:lang w:val="sk-SK"/>
        </w:rPr>
        <w:t xml:space="preserve"> </w:t>
      </w:r>
      <w:r w:rsidR="00563692" w:rsidRPr="004C15A2">
        <w:rPr>
          <w:sz w:val="22"/>
          <w:szCs w:val="22"/>
          <w:lang w:val="sk-SK"/>
        </w:rPr>
        <w:t>zvýšeniami</w:t>
      </w:r>
      <w:r w:rsidR="00A33368" w:rsidRPr="004C15A2">
        <w:rPr>
          <w:sz w:val="22"/>
          <w:szCs w:val="22"/>
          <w:lang w:val="sk-SK"/>
        </w:rPr>
        <w:t xml:space="preserve"> revertantov pozorovan</w:t>
      </w:r>
      <w:r w:rsidR="00563692" w:rsidRPr="004C15A2">
        <w:rPr>
          <w:sz w:val="22"/>
          <w:szCs w:val="22"/>
          <w:lang w:val="sk-SK"/>
        </w:rPr>
        <w:t>ými</w:t>
      </w:r>
      <w:r w:rsidR="00A33368" w:rsidRPr="004C15A2">
        <w:rPr>
          <w:sz w:val="22"/>
          <w:szCs w:val="22"/>
          <w:lang w:val="sk-SK"/>
        </w:rPr>
        <w:t xml:space="preserve"> pri</w:t>
      </w:r>
      <w:r w:rsidR="00563692" w:rsidRPr="004C15A2">
        <w:rPr>
          <w:sz w:val="22"/>
          <w:szCs w:val="22"/>
          <w:lang w:val="sk-SK"/>
        </w:rPr>
        <w:t xml:space="preserve"> testovacom</w:t>
      </w:r>
      <w:r w:rsidR="00A33368" w:rsidRPr="004C15A2">
        <w:rPr>
          <w:sz w:val="22"/>
          <w:szCs w:val="22"/>
          <w:lang w:val="sk-SK"/>
        </w:rPr>
        <w:t xml:space="preserve"> kmeni TA100 (v siedmich </w:t>
      </w:r>
      <w:r w:rsidR="00563692" w:rsidRPr="004C15A2">
        <w:rPr>
          <w:sz w:val="22"/>
          <w:szCs w:val="22"/>
          <w:lang w:val="sk-SK"/>
        </w:rPr>
        <w:t>replikovaných</w:t>
      </w:r>
      <w:r w:rsidR="00A33368" w:rsidRPr="004C15A2">
        <w:rPr>
          <w:sz w:val="22"/>
          <w:szCs w:val="22"/>
          <w:lang w:val="sk-SK"/>
        </w:rPr>
        <w:t xml:space="preserve"> testoch), </w:t>
      </w:r>
      <w:r w:rsidR="00563692" w:rsidRPr="004C15A2">
        <w:rPr>
          <w:sz w:val="22"/>
          <w:szCs w:val="22"/>
          <w:lang w:val="sk-SK"/>
        </w:rPr>
        <w:t>u</w:t>
      </w:r>
      <w:r w:rsidR="00A33368" w:rsidRPr="004C15A2">
        <w:rPr>
          <w:sz w:val="22"/>
          <w:szCs w:val="22"/>
          <w:lang w:val="sk-SK"/>
        </w:rPr>
        <w:t xml:space="preserve"> zvyšných troch kmeňov</w:t>
      </w:r>
      <w:r w:rsidR="00563692" w:rsidRPr="004C15A2">
        <w:rPr>
          <w:sz w:val="22"/>
          <w:szCs w:val="22"/>
          <w:lang w:val="sk-SK"/>
        </w:rPr>
        <w:t xml:space="preserve"> sa uvedený jav nepozoroval</w:t>
      </w:r>
      <w:r w:rsidR="00A33368" w:rsidRPr="004C15A2">
        <w:rPr>
          <w:sz w:val="22"/>
          <w:szCs w:val="22"/>
          <w:lang w:val="sk-SK"/>
        </w:rPr>
        <w:t>. V testoch s</w:t>
      </w:r>
      <w:r w:rsidR="00563692" w:rsidRPr="004C15A2">
        <w:rPr>
          <w:sz w:val="22"/>
          <w:szCs w:val="22"/>
          <w:lang w:val="sk-SK"/>
        </w:rPr>
        <w:t xml:space="preserve"> testovacím </w:t>
      </w:r>
      <w:r w:rsidR="00A33368" w:rsidRPr="004C15A2">
        <w:rPr>
          <w:sz w:val="22"/>
          <w:szCs w:val="22"/>
          <w:lang w:val="sk-SK"/>
        </w:rPr>
        <w:t>kmeňom TA100</w:t>
      </w:r>
      <w:r w:rsidR="00563692" w:rsidRPr="004C15A2">
        <w:rPr>
          <w:sz w:val="22"/>
          <w:szCs w:val="22"/>
          <w:lang w:val="sk-SK"/>
        </w:rPr>
        <w:t xml:space="preserve"> sa nepozoroval žiadny trvalý </w:t>
      </w:r>
      <w:r w:rsidR="00A33368" w:rsidRPr="004C15A2">
        <w:rPr>
          <w:sz w:val="22"/>
          <w:szCs w:val="22"/>
          <w:lang w:val="sk-SK"/>
        </w:rPr>
        <w:t xml:space="preserve">vzťah </w:t>
      </w:r>
      <w:r w:rsidR="00563692" w:rsidRPr="004C15A2">
        <w:rPr>
          <w:sz w:val="22"/>
          <w:szCs w:val="22"/>
          <w:lang w:val="sk-SK"/>
        </w:rPr>
        <w:t xml:space="preserve">medzi </w:t>
      </w:r>
      <w:r w:rsidR="00A33368" w:rsidRPr="004C15A2">
        <w:rPr>
          <w:sz w:val="22"/>
          <w:szCs w:val="22"/>
          <w:lang w:val="sk-SK"/>
        </w:rPr>
        <w:t>dávk</w:t>
      </w:r>
      <w:r w:rsidR="00563692" w:rsidRPr="004C15A2">
        <w:rPr>
          <w:sz w:val="22"/>
          <w:szCs w:val="22"/>
          <w:lang w:val="sk-SK"/>
        </w:rPr>
        <w:t>ou</w:t>
      </w:r>
      <w:r w:rsidR="00A33368" w:rsidRPr="004C15A2">
        <w:rPr>
          <w:sz w:val="22"/>
          <w:szCs w:val="22"/>
          <w:lang w:val="sk-SK"/>
        </w:rPr>
        <w:t xml:space="preserve"> a </w:t>
      </w:r>
      <w:r w:rsidR="00563692" w:rsidRPr="004C15A2">
        <w:rPr>
          <w:sz w:val="22"/>
          <w:szCs w:val="22"/>
          <w:lang w:val="sk-SK"/>
        </w:rPr>
        <w:t>odpoveďou</w:t>
      </w:r>
      <w:r w:rsidR="00A33368" w:rsidRPr="004C15A2">
        <w:rPr>
          <w:sz w:val="22"/>
          <w:szCs w:val="22"/>
          <w:lang w:val="sk-SK"/>
        </w:rPr>
        <w:t xml:space="preserve"> a pomer test</w:t>
      </w:r>
      <w:r w:rsidR="00563692" w:rsidRPr="004C15A2">
        <w:rPr>
          <w:sz w:val="22"/>
          <w:szCs w:val="22"/>
          <w:lang w:val="sk-SK"/>
        </w:rPr>
        <w:t>u a</w:t>
      </w:r>
      <w:r w:rsidR="00A33368" w:rsidRPr="004C15A2">
        <w:rPr>
          <w:sz w:val="22"/>
          <w:szCs w:val="22"/>
          <w:lang w:val="sk-SK"/>
        </w:rPr>
        <w:t xml:space="preserve"> kontrol</w:t>
      </w:r>
      <w:r w:rsidR="00563692" w:rsidRPr="004C15A2">
        <w:rPr>
          <w:sz w:val="22"/>
          <w:szCs w:val="22"/>
          <w:lang w:val="sk-SK"/>
        </w:rPr>
        <w:t>ných</w:t>
      </w:r>
      <w:r w:rsidR="00A33368" w:rsidRPr="004C15A2">
        <w:rPr>
          <w:sz w:val="22"/>
          <w:szCs w:val="22"/>
          <w:lang w:val="sk-SK"/>
        </w:rPr>
        <w:t xml:space="preserve"> revertantov nedosiahol 2. Pomer</w:t>
      </w:r>
      <w:r w:rsidR="00563692" w:rsidRPr="004C15A2">
        <w:rPr>
          <w:sz w:val="22"/>
          <w:szCs w:val="22"/>
          <w:lang w:val="sk-SK"/>
        </w:rPr>
        <w:t xml:space="preserve"> </w:t>
      </w:r>
      <w:r w:rsidR="00A33368" w:rsidRPr="004C15A2">
        <w:rPr>
          <w:sz w:val="22"/>
          <w:szCs w:val="22"/>
          <w:lang w:val="sk-SK"/>
        </w:rPr>
        <w:t xml:space="preserve">2 </w:t>
      </w:r>
      <w:r w:rsidR="00563692" w:rsidRPr="004C15A2">
        <w:rPr>
          <w:sz w:val="22"/>
          <w:szCs w:val="22"/>
          <w:lang w:val="sk-SK"/>
        </w:rPr>
        <w:t xml:space="preserve">sa </w:t>
      </w:r>
      <w:r w:rsidR="00A33368" w:rsidRPr="004C15A2">
        <w:rPr>
          <w:sz w:val="22"/>
          <w:szCs w:val="22"/>
          <w:lang w:val="sk-SK"/>
        </w:rPr>
        <w:t>zvyčajne považ</w:t>
      </w:r>
      <w:r w:rsidR="00563692" w:rsidRPr="004C15A2">
        <w:rPr>
          <w:sz w:val="22"/>
          <w:szCs w:val="22"/>
          <w:lang w:val="sk-SK"/>
        </w:rPr>
        <w:t>uje</w:t>
      </w:r>
      <w:r w:rsidR="00A33368" w:rsidRPr="004C15A2">
        <w:rPr>
          <w:sz w:val="22"/>
          <w:szCs w:val="22"/>
          <w:lang w:val="sk-SK"/>
        </w:rPr>
        <w:t xml:space="preserve"> za kritérium pre pozitívny Ames</w:t>
      </w:r>
      <w:r w:rsidR="00563692" w:rsidRPr="004C15A2">
        <w:rPr>
          <w:sz w:val="22"/>
          <w:szCs w:val="22"/>
          <w:lang w:val="sk-SK"/>
        </w:rPr>
        <w:t>ov test</w:t>
      </w:r>
      <w:r w:rsidR="00A33368" w:rsidRPr="004C15A2">
        <w:rPr>
          <w:sz w:val="22"/>
          <w:szCs w:val="22"/>
          <w:lang w:val="sk-SK"/>
        </w:rPr>
        <w:t>.</w:t>
      </w:r>
    </w:p>
    <w:p w14:paraId="17DCCD3F" w14:textId="77777777" w:rsidR="00563692" w:rsidRPr="004C15A2" w:rsidRDefault="00563692" w:rsidP="00097A42">
      <w:pPr>
        <w:rPr>
          <w:sz w:val="22"/>
          <w:szCs w:val="22"/>
          <w:lang w:val="sk-SK"/>
        </w:rPr>
      </w:pPr>
    </w:p>
    <w:p w14:paraId="0CBAAB74" w14:textId="77777777" w:rsidR="00563692" w:rsidRPr="004C15A2" w:rsidRDefault="00563692" w:rsidP="00097A42">
      <w:pPr>
        <w:rPr>
          <w:i/>
          <w:sz w:val="22"/>
          <w:szCs w:val="22"/>
          <w:lang w:val="sk-SK"/>
        </w:rPr>
      </w:pPr>
      <w:r w:rsidRPr="004C15A2">
        <w:rPr>
          <w:i/>
          <w:sz w:val="22"/>
          <w:szCs w:val="22"/>
          <w:lang w:val="sk-SK"/>
        </w:rPr>
        <w:t>Porucha fertility:</w:t>
      </w:r>
    </w:p>
    <w:p w14:paraId="70503224" w14:textId="77777777" w:rsidR="00563692" w:rsidRPr="004C15A2" w:rsidRDefault="00563692" w:rsidP="00097A42">
      <w:pPr>
        <w:rPr>
          <w:sz w:val="22"/>
          <w:szCs w:val="22"/>
          <w:lang w:val="sk-SK"/>
        </w:rPr>
      </w:pPr>
      <w:r w:rsidRPr="004C15A2">
        <w:rPr>
          <w:sz w:val="22"/>
          <w:szCs w:val="22"/>
          <w:lang w:val="sk-SK"/>
        </w:rPr>
        <w:t>Štúdie reprodukcie a fertility u potkanov nepreukázali žiadne nežiaduce účinky na fertilitu samcov alebo samíc pri dávkach až do 21 000-násobku systémovej expozície po maximálnej odporúčanej očnej dávke u</w:t>
      </w:r>
      <w:r w:rsidR="00FB407F" w:rsidRPr="004C15A2">
        <w:rPr>
          <w:sz w:val="22"/>
          <w:szCs w:val="22"/>
          <w:lang w:val="sk-SK"/>
        </w:rPr>
        <w:t> </w:t>
      </w:r>
      <w:r w:rsidRPr="004C15A2">
        <w:rPr>
          <w:sz w:val="22"/>
          <w:szCs w:val="22"/>
          <w:lang w:val="sk-SK"/>
        </w:rPr>
        <w:t>ľudí.</w:t>
      </w:r>
    </w:p>
    <w:p w14:paraId="4FA08756" w14:textId="77777777" w:rsidR="00563692" w:rsidRPr="004C15A2" w:rsidRDefault="00563692" w:rsidP="00097A42">
      <w:pPr>
        <w:rPr>
          <w:sz w:val="22"/>
          <w:szCs w:val="22"/>
          <w:lang w:val="sk-SK"/>
        </w:rPr>
      </w:pPr>
    </w:p>
    <w:p w14:paraId="0A403BDE" w14:textId="1DA496A3" w:rsidR="00563692" w:rsidRPr="004C15A2" w:rsidRDefault="00563692" w:rsidP="00097A42">
      <w:pPr>
        <w:rPr>
          <w:sz w:val="22"/>
          <w:szCs w:val="22"/>
          <w:lang w:val="sk-SK"/>
        </w:rPr>
      </w:pPr>
      <w:r w:rsidRPr="004C15A2">
        <w:rPr>
          <w:i/>
          <w:sz w:val="22"/>
          <w:szCs w:val="22"/>
          <w:lang w:val="sk-SK"/>
        </w:rPr>
        <w:t>Teratogen</w:t>
      </w:r>
      <w:r w:rsidR="000F4084" w:rsidRPr="004C15A2">
        <w:rPr>
          <w:i/>
          <w:sz w:val="22"/>
          <w:szCs w:val="22"/>
          <w:lang w:val="sk-SK"/>
        </w:rPr>
        <w:t>ita</w:t>
      </w:r>
      <w:r w:rsidRPr="004C15A2">
        <w:rPr>
          <w:i/>
          <w:sz w:val="22"/>
          <w:szCs w:val="22"/>
          <w:lang w:val="sk-SK"/>
        </w:rPr>
        <w:t>:</w:t>
      </w:r>
    </w:p>
    <w:p w14:paraId="5D457C67" w14:textId="31F36914" w:rsidR="00A33368" w:rsidRPr="004C15A2" w:rsidRDefault="00563692" w:rsidP="00097A42">
      <w:pPr>
        <w:rPr>
          <w:color w:val="222222"/>
          <w:sz w:val="22"/>
          <w:szCs w:val="22"/>
          <w:lang w:val="sk-SK"/>
        </w:rPr>
      </w:pPr>
      <w:r w:rsidRPr="004C15A2">
        <w:rPr>
          <w:color w:val="222222"/>
          <w:sz w:val="22"/>
          <w:szCs w:val="22"/>
          <w:lang w:val="sk-SK"/>
        </w:rPr>
        <w:t>Štúdi</w:t>
      </w:r>
      <w:r w:rsidR="00CD553F" w:rsidRPr="004C15A2">
        <w:rPr>
          <w:color w:val="222222"/>
          <w:sz w:val="22"/>
          <w:szCs w:val="22"/>
          <w:lang w:val="sk-SK"/>
        </w:rPr>
        <w:t>e</w:t>
      </w:r>
      <w:r w:rsidRPr="004C15A2">
        <w:rPr>
          <w:color w:val="222222"/>
          <w:sz w:val="22"/>
          <w:szCs w:val="22"/>
          <w:lang w:val="sk-SK"/>
        </w:rPr>
        <w:t xml:space="preserve"> teratogenity s </w:t>
      </w:r>
      <w:r w:rsidR="00396491" w:rsidRPr="00BE1625">
        <w:rPr>
          <w:sz w:val="22"/>
          <w:szCs w:val="22"/>
        </w:rPr>
        <w:t>timolólium-hydrogenmaleá</w:t>
      </w:r>
      <w:r w:rsidRPr="004C15A2">
        <w:rPr>
          <w:color w:val="222222"/>
          <w:sz w:val="22"/>
          <w:szCs w:val="22"/>
          <w:lang w:val="sk-SK"/>
        </w:rPr>
        <w:t>tom u myší, potkanov a králikov pri perorálnych dávkach až 50</w:t>
      </w:r>
      <w:r w:rsidR="00CD553F" w:rsidRPr="004C15A2">
        <w:rPr>
          <w:color w:val="222222"/>
          <w:sz w:val="22"/>
          <w:szCs w:val="22"/>
          <w:lang w:val="sk-SK"/>
        </w:rPr>
        <w:t> </w:t>
      </w:r>
      <w:r w:rsidRPr="004C15A2">
        <w:rPr>
          <w:color w:val="222222"/>
          <w:sz w:val="22"/>
          <w:szCs w:val="22"/>
          <w:lang w:val="sk-SK"/>
        </w:rPr>
        <w:t>mg/kg/deň (7</w:t>
      </w:r>
      <w:r w:rsidR="00CD553F" w:rsidRPr="004C15A2">
        <w:rPr>
          <w:color w:val="222222"/>
          <w:sz w:val="22"/>
          <w:szCs w:val="22"/>
          <w:lang w:val="sk-SK"/>
        </w:rPr>
        <w:t> </w:t>
      </w:r>
      <w:r w:rsidRPr="004C15A2">
        <w:rPr>
          <w:color w:val="222222"/>
          <w:sz w:val="22"/>
          <w:szCs w:val="22"/>
          <w:lang w:val="sk-SK"/>
        </w:rPr>
        <w:t>000</w:t>
      </w:r>
      <w:r w:rsidR="00CD553F" w:rsidRPr="004C15A2">
        <w:rPr>
          <w:color w:val="222222"/>
          <w:sz w:val="22"/>
          <w:szCs w:val="22"/>
          <w:lang w:val="sk-SK"/>
        </w:rPr>
        <w:t xml:space="preserve">-násobok </w:t>
      </w:r>
      <w:r w:rsidRPr="004C15A2">
        <w:rPr>
          <w:color w:val="222222"/>
          <w:sz w:val="22"/>
          <w:szCs w:val="22"/>
          <w:lang w:val="sk-SK"/>
        </w:rPr>
        <w:t>systémov</w:t>
      </w:r>
      <w:r w:rsidR="00CD553F" w:rsidRPr="004C15A2">
        <w:rPr>
          <w:color w:val="222222"/>
          <w:sz w:val="22"/>
          <w:szCs w:val="22"/>
          <w:lang w:val="sk-SK"/>
        </w:rPr>
        <w:t>ej</w:t>
      </w:r>
      <w:r w:rsidRPr="004C15A2">
        <w:rPr>
          <w:color w:val="222222"/>
          <w:sz w:val="22"/>
          <w:szCs w:val="22"/>
          <w:lang w:val="sk-SK"/>
        </w:rPr>
        <w:t xml:space="preserve"> expozíci</w:t>
      </w:r>
      <w:r w:rsidR="00CD553F" w:rsidRPr="004C15A2">
        <w:rPr>
          <w:color w:val="222222"/>
          <w:sz w:val="22"/>
          <w:szCs w:val="22"/>
          <w:lang w:val="sk-SK"/>
        </w:rPr>
        <w:t>e</w:t>
      </w:r>
      <w:r w:rsidRPr="004C15A2">
        <w:rPr>
          <w:color w:val="222222"/>
          <w:sz w:val="22"/>
          <w:szCs w:val="22"/>
          <w:lang w:val="sk-SK"/>
        </w:rPr>
        <w:t xml:space="preserve"> po maximálnej odporúčanej očnej dávk</w:t>
      </w:r>
      <w:r w:rsidR="00CD553F" w:rsidRPr="004C15A2">
        <w:rPr>
          <w:color w:val="222222"/>
          <w:sz w:val="22"/>
          <w:szCs w:val="22"/>
          <w:lang w:val="sk-SK"/>
        </w:rPr>
        <w:t>e u ľudí</w:t>
      </w:r>
      <w:r w:rsidRPr="004C15A2">
        <w:rPr>
          <w:color w:val="222222"/>
          <w:sz w:val="22"/>
          <w:szCs w:val="22"/>
          <w:lang w:val="sk-SK"/>
        </w:rPr>
        <w:t>) ne</w:t>
      </w:r>
      <w:r w:rsidR="00FB407F" w:rsidRPr="004C15A2">
        <w:rPr>
          <w:color w:val="222222"/>
          <w:sz w:val="22"/>
          <w:szCs w:val="22"/>
          <w:lang w:val="sk-SK"/>
        </w:rPr>
        <w:t>preu</w:t>
      </w:r>
      <w:r w:rsidR="00CD553F" w:rsidRPr="004C15A2">
        <w:rPr>
          <w:color w:val="222222"/>
          <w:sz w:val="22"/>
          <w:szCs w:val="22"/>
          <w:lang w:val="sk-SK"/>
        </w:rPr>
        <w:t>kázali</w:t>
      </w:r>
      <w:r w:rsidRPr="004C15A2">
        <w:rPr>
          <w:color w:val="222222"/>
          <w:sz w:val="22"/>
          <w:szCs w:val="22"/>
          <w:lang w:val="sk-SK"/>
        </w:rPr>
        <w:t xml:space="preserve"> fetáln</w:t>
      </w:r>
      <w:r w:rsidR="00CD553F" w:rsidRPr="004C15A2">
        <w:rPr>
          <w:color w:val="222222"/>
          <w:sz w:val="22"/>
          <w:szCs w:val="22"/>
          <w:lang w:val="sk-SK"/>
        </w:rPr>
        <w:t>e</w:t>
      </w:r>
      <w:r w:rsidRPr="004C15A2">
        <w:rPr>
          <w:color w:val="222222"/>
          <w:sz w:val="22"/>
          <w:szCs w:val="22"/>
          <w:lang w:val="sk-SK"/>
        </w:rPr>
        <w:t xml:space="preserve"> malformáci</w:t>
      </w:r>
      <w:r w:rsidR="00CD553F" w:rsidRPr="004C15A2">
        <w:rPr>
          <w:color w:val="222222"/>
          <w:sz w:val="22"/>
          <w:szCs w:val="22"/>
          <w:lang w:val="sk-SK"/>
        </w:rPr>
        <w:t>e</w:t>
      </w:r>
      <w:r w:rsidRPr="004C15A2">
        <w:rPr>
          <w:color w:val="222222"/>
          <w:sz w:val="22"/>
          <w:szCs w:val="22"/>
          <w:lang w:val="sk-SK"/>
        </w:rPr>
        <w:t>. Hoci sa pri tejto dávke u</w:t>
      </w:r>
      <w:r w:rsidR="00CD553F" w:rsidRPr="004C15A2">
        <w:rPr>
          <w:color w:val="222222"/>
          <w:sz w:val="22"/>
          <w:szCs w:val="22"/>
          <w:lang w:val="sk-SK"/>
        </w:rPr>
        <w:t> </w:t>
      </w:r>
      <w:r w:rsidRPr="004C15A2">
        <w:rPr>
          <w:color w:val="222222"/>
          <w:sz w:val="22"/>
          <w:szCs w:val="22"/>
          <w:lang w:val="sk-SK"/>
        </w:rPr>
        <w:t>potkanov</w:t>
      </w:r>
      <w:r w:rsidR="00CD553F" w:rsidRPr="004C15A2">
        <w:rPr>
          <w:color w:val="222222"/>
          <w:sz w:val="22"/>
          <w:szCs w:val="22"/>
          <w:lang w:val="sk-SK"/>
        </w:rPr>
        <w:t xml:space="preserve"> pozorovala oneskorená osifikácia plodu, u potomstva</w:t>
      </w:r>
      <w:r w:rsidRPr="004C15A2">
        <w:rPr>
          <w:color w:val="222222"/>
          <w:sz w:val="22"/>
          <w:szCs w:val="22"/>
          <w:lang w:val="sk-SK"/>
        </w:rPr>
        <w:t xml:space="preserve"> sa nezistili žiadne nežiaduce účinky na postnatálny vývoj. Dávky 1</w:t>
      </w:r>
      <w:r w:rsidR="00CD553F" w:rsidRPr="004C15A2">
        <w:rPr>
          <w:color w:val="222222"/>
          <w:sz w:val="22"/>
          <w:szCs w:val="22"/>
          <w:lang w:val="sk-SK"/>
        </w:rPr>
        <w:t> </w:t>
      </w:r>
      <w:r w:rsidRPr="004C15A2">
        <w:rPr>
          <w:color w:val="222222"/>
          <w:sz w:val="22"/>
          <w:szCs w:val="22"/>
          <w:lang w:val="sk-SK"/>
        </w:rPr>
        <w:t>000</w:t>
      </w:r>
      <w:r w:rsidR="00CD553F" w:rsidRPr="004C15A2">
        <w:rPr>
          <w:color w:val="222222"/>
          <w:sz w:val="22"/>
          <w:szCs w:val="22"/>
          <w:lang w:val="sk-SK"/>
        </w:rPr>
        <w:t> </w:t>
      </w:r>
      <w:r w:rsidRPr="004C15A2">
        <w:rPr>
          <w:color w:val="222222"/>
          <w:sz w:val="22"/>
          <w:szCs w:val="22"/>
          <w:lang w:val="sk-SK"/>
        </w:rPr>
        <w:t>mg/kg/</w:t>
      </w:r>
      <w:r w:rsidR="00CD553F" w:rsidRPr="004C15A2">
        <w:rPr>
          <w:color w:val="222222"/>
          <w:sz w:val="22"/>
          <w:szCs w:val="22"/>
          <w:lang w:val="sk-SK"/>
        </w:rPr>
        <w:t>deň (</w:t>
      </w:r>
      <w:r w:rsidRPr="004C15A2">
        <w:rPr>
          <w:color w:val="222222"/>
          <w:sz w:val="22"/>
          <w:szCs w:val="22"/>
          <w:lang w:val="sk-SK"/>
        </w:rPr>
        <w:t>142</w:t>
      </w:r>
      <w:r w:rsidR="00CD553F" w:rsidRPr="004C15A2">
        <w:rPr>
          <w:color w:val="222222"/>
          <w:sz w:val="22"/>
          <w:szCs w:val="22"/>
          <w:lang w:val="sk-SK"/>
        </w:rPr>
        <w:t> </w:t>
      </w:r>
      <w:r w:rsidRPr="004C15A2">
        <w:rPr>
          <w:color w:val="222222"/>
          <w:sz w:val="22"/>
          <w:szCs w:val="22"/>
          <w:lang w:val="sk-SK"/>
        </w:rPr>
        <w:t>000</w:t>
      </w:r>
      <w:r w:rsidR="00CD553F" w:rsidRPr="004C15A2">
        <w:rPr>
          <w:color w:val="222222"/>
          <w:sz w:val="22"/>
          <w:szCs w:val="22"/>
          <w:lang w:val="sk-SK"/>
        </w:rPr>
        <w:t>-násobok</w:t>
      </w:r>
      <w:r w:rsidRPr="004C15A2">
        <w:rPr>
          <w:color w:val="222222"/>
          <w:sz w:val="22"/>
          <w:szCs w:val="22"/>
          <w:lang w:val="sk-SK"/>
        </w:rPr>
        <w:t xml:space="preserve"> systémov</w:t>
      </w:r>
      <w:r w:rsidR="00CD553F" w:rsidRPr="004C15A2">
        <w:rPr>
          <w:color w:val="222222"/>
          <w:sz w:val="22"/>
          <w:szCs w:val="22"/>
          <w:lang w:val="sk-SK"/>
        </w:rPr>
        <w:t>ej</w:t>
      </w:r>
      <w:r w:rsidRPr="004C15A2">
        <w:rPr>
          <w:color w:val="222222"/>
          <w:sz w:val="22"/>
          <w:szCs w:val="22"/>
          <w:lang w:val="sk-SK"/>
        </w:rPr>
        <w:t xml:space="preserve"> expozíci</w:t>
      </w:r>
      <w:r w:rsidR="00CD553F" w:rsidRPr="004C15A2">
        <w:rPr>
          <w:color w:val="222222"/>
          <w:sz w:val="22"/>
          <w:szCs w:val="22"/>
          <w:lang w:val="sk-SK"/>
        </w:rPr>
        <w:t>e</w:t>
      </w:r>
      <w:r w:rsidRPr="004C15A2">
        <w:rPr>
          <w:color w:val="222222"/>
          <w:sz w:val="22"/>
          <w:szCs w:val="22"/>
          <w:lang w:val="sk-SK"/>
        </w:rPr>
        <w:t xml:space="preserve"> po maximálnej odporúčanej očnej dávk</w:t>
      </w:r>
      <w:r w:rsidR="00CD553F" w:rsidRPr="004C15A2">
        <w:rPr>
          <w:color w:val="222222"/>
          <w:sz w:val="22"/>
          <w:szCs w:val="22"/>
          <w:lang w:val="sk-SK"/>
        </w:rPr>
        <w:t>e</w:t>
      </w:r>
      <w:r w:rsidRPr="004C15A2">
        <w:rPr>
          <w:color w:val="222222"/>
          <w:sz w:val="22"/>
          <w:szCs w:val="22"/>
          <w:lang w:val="sk-SK"/>
        </w:rPr>
        <w:t xml:space="preserve"> </w:t>
      </w:r>
      <w:r w:rsidR="00CD553F" w:rsidRPr="004C15A2">
        <w:rPr>
          <w:color w:val="222222"/>
          <w:sz w:val="22"/>
          <w:szCs w:val="22"/>
          <w:lang w:val="sk-SK"/>
        </w:rPr>
        <w:t>u ľudí</w:t>
      </w:r>
      <w:r w:rsidRPr="004C15A2">
        <w:rPr>
          <w:color w:val="222222"/>
          <w:sz w:val="22"/>
          <w:szCs w:val="22"/>
          <w:lang w:val="sk-SK"/>
        </w:rPr>
        <w:t>) boli matern</w:t>
      </w:r>
      <w:r w:rsidR="00CD553F" w:rsidRPr="004C15A2">
        <w:rPr>
          <w:color w:val="222222"/>
          <w:sz w:val="22"/>
          <w:szCs w:val="22"/>
          <w:lang w:val="sk-SK"/>
        </w:rPr>
        <w:t>otoxické</w:t>
      </w:r>
      <w:r w:rsidRPr="004C15A2">
        <w:rPr>
          <w:color w:val="222222"/>
          <w:sz w:val="22"/>
          <w:szCs w:val="22"/>
          <w:lang w:val="sk-SK"/>
        </w:rPr>
        <w:t xml:space="preserve"> u myší</w:t>
      </w:r>
      <w:r w:rsidR="00CD553F" w:rsidRPr="004C15A2">
        <w:rPr>
          <w:color w:val="222222"/>
          <w:sz w:val="22"/>
          <w:szCs w:val="22"/>
          <w:lang w:val="sk-SK"/>
        </w:rPr>
        <w:t xml:space="preserve"> a </w:t>
      </w:r>
      <w:r w:rsidRPr="004C15A2">
        <w:rPr>
          <w:color w:val="222222"/>
          <w:sz w:val="22"/>
          <w:szCs w:val="22"/>
          <w:lang w:val="sk-SK"/>
        </w:rPr>
        <w:t>viedl</w:t>
      </w:r>
      <w:r w:rsidR="00CD553F" w:rsidRPr="004C15A2">
        <w:rPr>
          <w:color w:val="222222"/>
          <w:sz w:val="22"/>
          <w:szCs w:val="22"/>
          <w:lang w:val="sk-SK"/>
        </w:rPr>
        <w:t>i</w:t>
      </w:r>
      <w:r w:rsidRPr="004C15A2">
        <w:rPr>
          <w:color w:val="222222"/>
          <w:sz w:val="22"/>
          <w:szCs w:val="22"/>
          <w:lang w:val="sk-SK"/>
        </w:rPr>
        <w:t xml:space="preserve"> k zvýšen</w:t>
      </w:r>
      <w:r w:rsidR="00CD553F" w:rsidRPr="004C15A2">
        <w:rPr>
          <w:color w:val="222222"/>
          <w:sz w:val="22"/>
          <w:szCs w:val="22"/>
          <w:lang w:val="sk-SK"/>
        </w:rPr>
        <w:t>ému</w:t>
      </w:r>
      <w:r w:rsidRPr="004C15A2">
        <w:rPr>
          <w:color w:val="222222"/>
          <w:sz w:val="22"/>
          <w:szCs w:val="22"/>
          <w:lang w:val="sk-SK"/>
        </w:rPr>
        <w:t xml:space="preserve"> počtu re</w:t>
      </w:r>
      <w:r w:rsidR="00B93CC3" w:rsidRPr="004C15A2">
        <w:rPr>
          <w:color w:val="222222"/>
          <w:sz w:val="22"/>
          <w:szCs w:val="22"/>
          <w:lang w:val="sk-SK"/>
        </w:rPr>
        <w:t>s</w:t>
      </w:r>
      <w:r w:rsidRPr="004C15A2">
        <w:rPr>
          <w:color w:val="222222"/>
          <w:sz w:val="22"/>
          <w:szCs w:val="22"/>
          <w:lang w:val="sk-SK"/>
        </w:rPr>
        <w:t>orpcií plodu. Zvýšen</w:t>
      </w:r>
      <w:r w:rsidR="00CD553F" w:rsidRPr="004C15A2">
        <w:rPr>
          <w:color w:val="222222"/>
          <w:sz w:val="22"/>
          <w:szCs w:val="22"/>
          <w:lang w:val="sk-SK"/>
        </w:rPr>
        <w:t>é</w:t>
      </w:r>
      <w:r w:rsidRPr="004C15A2">
        <w:rPr>
          <w:color w:val="222222"/>
          <w:sz w:val="22"/>
          <w:szCs w:val="22"/>
          <w:lang w:val="sk-SK"/>
        </w:rPr>
        <w:t xml:space="preserve"> fetáln</w:t>
      </w:r>
      <w:r w:rsidR="00CD553F" w:rsidRPr="004C15A2">
        <w:rPr>
          <w:color w:val="222222"/>
          <w:sz w:val="22"/>
          <w:szCs w:val="22"/>
          <w:lang w:val="sk-SK"/>
        </w:rPr>
        <w:t>e</w:t>
      </w:r>
      <w:r w:rsidRPr="004C15A2">
        <w:rPr>
          <w:color w:val="222222"/>
          <w:sz w:val="22"/>
          <w:szCs w:val="22"/>
          <w:lang w:val="sk-SK"/>
        </w:rPr>
        <w:t xml:space="preserve"> resorpc</w:t>
      </w:r>
      <w:r w:rsidR="00CD553F" w:rsidRPr="004C15A2">
        <w:rPr>
          <w:color w:val="222222"/>
          <w:sz w:val="22"/>
          <w:szCs w:val="22"/>
          <w:lang w:val="sk-SK"/>
        </w:rPr>
        <w:t>ie</w:t>
      </w:r>
      <w:r w:rsidRPr="004C15A2">
        <w:rPr>
          <w:color w:val="222222"/>
          <w:sz w:val="22"/>
          <w:szCs w:val="22"/>
          <w:lang w:val="sk-SK"/>
        </w:rPr>
        <w:t xml:space="preserve"> </w:t>
      </w:r>
      <w:r w:rsidR="00CD553F" w:rsidRPr="004C15A2">
        <w:rPr>
          <w:color w:val="222222"/>
          <w:sz w:val="22"/>
          <w:szCs w:val="22"/>
          <w:lang w:val="sk-SK"/>
        </w:rPr>
        <w:t>sa</w:t>
      </w:r>
      <w:r w:rsidRPr="004C15A2">
        <w:rPr>
          <w:color w:val="222222"/>
          <w:sz w:val="22"/>
          <w:szCs w:val="22"/>
          <w:lang w:val="sk-SK"/>
        </w:rPr>
        <w:t xml:space="preserve"> tiež pozorova</w:t>
      </w:r>
      <w:r w:rsidR="00CD553F" w:rsidRPr="004C15A2">
        <w:rPr>
          <w:color w:val="222222"/>
          <w:sz w:val="22"/>
          <w:szCs w:val="22"/>
          <w:lang w:val="sk-SK"/>
        </w:rPr>
        <w:t>li</w:t>
      </w:r>
      <w:r w:rsidRPr="004C15A2">
        <w:rPr>
          <w:color w:val="222222"/>
          <w:sz w:val="22"/>
          <w:szCs w:val="22"/>
          <w:lang w:val="sk-SK"/>
        </w:rPr>
        <w:t xml:space="preserve"> u králikov pri dávkach 14</w:t>
      </w:r>
      <w:r w:rsidR="00CD553F" w:rsidRPr="004C15A2">
        <w:rPr>
          <w:color w:val="222222"/>
          <w:sz w:val="22"/>
          <w:szCs w:val="22"/>
          <w:lang w:val="sk-SK"/>
        </w:rPr>
        <w:t> </w:t>
      </w:r>
      <w:r w:rsidRPr="004C15A2">
        <w:rPr>
          <w:color w:val="222222"/>
          <w:sz w:val="22"/>
          <w:szCs w:val="22"/>
          <w:lang w:val="sk-SK"/>
        </w:rPr>
        <w:t>000</w:t>
      </w:r>
      <w:r w:rsidR="00CD553F" w:rsidRPr="004C15A2">
        <w:rPr>
          <w:color w:val="222222"/>
          <w:sz w:val="22"/>
          <w:szCs w:val="22"/>
          <w:lang w:val="sk-SK"/>
        </w:rPr>
        <w:t xml:space="preserve">-krát </w:t>
      </w:r>
      <w:r w:rsidRPr="004C15A2">
        <w:rPr>
          <w:color w:val="222222"/>
          <w:sz w:val="22"/>
          <w:szCs w:val="22"/>
          <w:lang w:val="sk-SK"/>
        </w:rPr>
        <w:t>vyšš</w:t>
      </w:r>
      <w:r w:rsidR="00CD553F" w:rsidRPr="004C15A2">
        <w:rPr>
          <w:color w:val="222222"/>
          <w:sz w:val="22"/>
          <w:szCs w:val="22"/>
          <w:lang w:val="sk-SK"/>
        </w:rPr>
        <w:t>ích</w:t>
      </w:r>
      <w:r w:rsidRPr="004C15A2">
        <w:rPr>
          <w:color w:val="222222"/>
          <w:sz w:val="22"/>
          <w:szCs w:val="22"/>
          <w:lang w:val="sk-SK"/>
        </w:rPr>
        <w:t xml:space="preserve"> ako </w:t>
      </w:r>
      <w:r w:rsidR="00CD553F" w:rsidRPr="004C15A2">
        <w:rPr>
          <w:color w:val="222222"/>
          <w:sz w:val="22"/>
          <w:szCs w:val="22"/>
          <w:lang w:val="sk-SK"/>
        </w:rPr>
        <w:t xml:space="preserve">je </w:t>
      </w:r>
      <w:r w:rsidRPr="004C15A2">
        <w:rPr>
          <w:color w:val="222222"/>
          <w:sz w:val="22"/>
          <w:szCs w:val="22"/>
          <w:lang w:val="sk-SK"/>
        </w:rPr>
        <w:t>systémová expozícia po maximálnej odporúčanej očnej dávk</w:t>
      </w:r>
      <w:r w:rsidR="00CD553F" w:rsidRPr="004C15A2">
        <w:rPr>
          <w:color w:val="222222"/>
          <w:sz w:val="22"/>
          <w:szCs w:val="22"/>
          <w:lang w:val="sk-SK"/>
        </w:rPr>
        <w:t>e u ľudí</w:t>
      </w:r>
      <w:r w:rsidRPr="004C15A2">
        <w:rPr>
          <w:color w:val="222222"/>
          <w:sz w:val="22"/>
          <w:szCs w:val="22"/>
          <w:lang w:val="sk-SK"/>
        </w:rPr>
        <w:t>, v tomto prípade bez zjavn</w:t>
      </w:r>
      <w:r w:rsidR="00CD553F" w:rsidRPr="004C15A2">
        <w:rPr>
          <w:color w:val="222222"/>
          <w:sz w:val="22"/>
          <w:szCs w:val="22"/>
          <w:lang w:val="sk-SK"/>
        </w:rPr>
        <w:t>ej</w:t>
      </w:r>
      <w:r w:rsidRPr="004C15A2">
        <w:rPr>
          <w:color w:val="222222"/>
          <w:sz w:val="22"/>
          <w:szCs w:val="22"/>
          <w:lang w:val="sk-SK"/>
        </w:rPr>
        <w:t xml:space="preserve"> mater</w:t>
      </w:r>
      <w:r w:rsidR="00CD553F" w:rsidRPr="004C15A2">
        <w:rPr>
          <w:color w:val="222222"/>
          <w:sz w:val="22"/>
          <w:szCs w:val="22"/>
          <w:lang w:val="sk-SK"/>
        </w:rPr>
        <w:t>no</w:t>
      </w:r>
      <w:r w:rsidRPr="004C15A2">
        <w:rPr>
          <w:color w:val="222222"/>
          <w:sz w:val="22"/>
          <w:szCs w:val="22"/>
          <w:lang w:val="sk-SK"/>
        </w:rPr>
        <w:t>toxicit</w:t>
      </w:r>
      <w:r w:rsidR="00CD553F" w:rsidRPr="004C15A2">
        <w:rPr>
          <w:color w:val="222222"/>
          <w:sz w:val="22"/>
          <w:szCs w:val="22"/>
          <w:lang w:val="sk-SK"/>
        </w:rPr>
        <w:t>y</w:t>
      </w:r>
      <w:r w:rsidRPr="004C15A2">
        <w:rPr>
          <w:color w:val="222222"/>
          <w:sz w:val="22"/>
          <w:szCs w:val="22"/>
          <w:lang w:val="sk-SK"/>
        </w:rPr>
        <w:t>.</w:t>
      </w:r>
    </w:p>
    <w:p w14:paraId="4DC26391" w14:textId="77777777" w:rsidR="00CD553F" w:rsidRPr="004C15A2" w:rsidRDefault="00CD553F" w:rsidP="00097A42">
      <w:pPr>
        <w:rPr>
          <w:sz w:val="22"/>
          <w:szCs w:val="22"/>
          <w:lang w:val="sk-SK"/>
        </w:rPr>
      </w:pPr>
    </w:p>
    <w:p w14:paraId="35729DF3" w14:textId="77777777" w:rsidR="00A33368" w:rsidRPr="004C15A2" w:rsidRDefault="00A33368" w:rsidP="00097A42">
      <w:pPr>
        <w:rPr>
          <w:sz w:val="22"/>
          <w:szCs w:val="22"/>
          <w:lang w:val="sk-SK"/>
        </w:rPr>
      </w:pPr>
    </w:p>
    <w:p w14:paraId="092238D1" w14:textId="77777777" w:rsidR="0035791E" w:rsidRPr="004C15A2" w:rsidRDefault="0035791E" w:rsidP="00170A8F">
      <w:pPr>
        <w:keepNext/>
        <w:tabs>
          <w:tab w:val="left" w:pos="567"/>
        </w:tabs>
        <w:rPr>
          <w:b/>
          <w:sz w:val="22"/>
          <w:szCs w:val="22"/>
          <w:lang w:val="sk-SK"/>
        </w:rPr>
      </w:pPr>
      <w:r w:rsidRPr="004C15A2">
        <w:rPr>
          <w:b/>
          <w:sz w:val="22"/>
          <w:szCs w:val="22"/>
          <w:lang w:val="sk-SK"/>
        </w:rPr>
        <w:t>6.</w:t>
      </w:r>
      <w:r w:rsidRPr="004C15A2">
        <w:rPr>
          <w:b/>
          <w:sz w:val="22"/>
          <w:szCs w:val="22"/>
          <w:lang w:val="sk-SK"/>
        </w:rPr>
        <w:tab/>
        <w:t>FARMACEUTICKÉ INFORMÁCIE</w:t>
      </w:r>
    </w:p>
    <w:p w14:paraId="00EA4C9F" w14:textId="77777777" w:rsidR="0035791E" w:rsidRPr="004C15A2" w:rsidRDefault="0035791E" w:rsidP="00170A8F">
      <w:pPr>
        <w:keepNext/>
        <w:tabs>
          <w:tab w:val="left" w:pos="0"/>
          <w:tab w:val="left" w:pos="360"/>
        </w:tabs>
        <w:rPr>
          <w:b/>
          <w:sz w:val="22"/>
          <w:szCs w:val="22"/>
          <w:lang w:val="sk-SK"/>
        </w:rPr>
      </w:pPr>
    </w:p>
    <w:p w14:paraId="378A270F" w14:textId="77777777" w:rsidR="0035791E" w:rsidRPr="004C15A2" w:rsidRDefault="0035791E" w:rsidP="00170A8F">
      <w:pPr>
        <w:keepNext/>
        <w:tabs>
          <w:tab w:val="left" w:pos="567"/>
        </w:tabs>
        <w:rPr>
          <w:b/>
          <w:sz w:val="22"/>
          <w:szCs w:val="22"/>
          <w:lang w:val="sk-SK"/>
        </w:rPr>
      </w:pPr>
      <w:r w:rsidRPr="004C15A2">
        <w:rPr>
          <w:b/>
          <w:sz w:val="22"/>
          <w:szCs w:val="22"/>
          <w:lang w:val="sk-SK"/>
        </w:rPr>
        <w:t>6.1</w:t>
      </w:r>
      <w:r w:rsidRPr="004C15A2">
        <w:rPr>
          <w:b/>
          <w:sz w:val="22"/>
          <w:szCs w:val="22"/>
          <w:lang w:val="sk-SK"/>
        </w:rPr>
        <w:tab/>
        <w:t>Zoznam pomocných látok</w:t>
      </w:r>
    </w:p>
    <w:p w14:paraId="4A09463D" w14:textId="77777777" w:rsidR="0035791E" w:rsidRPr="004C15A2" w:rsidRDefault="0035791E" w:rsidP="00170A8F">
      <w:pPr>
        <w:keepNext/>
        <w:numPr>
          <w:ilvl w:val="12"/>
          <w:numId w:val="0"/>
        </w:numPr>
        <w:rPr>
          <w:sz w:val="22"/>
          <w:szCs w:val="22"/>
          <w:lang w:val="sk-SK"/>
        </w:rPr>
      </w:pPr>
    </w:p>
    <w:p w14:paraId="60D864A8" w14:textId="62130020" w:rsidR="00785ED0" w:rsidRDefault="0035791E" w:rsidP="00170A8F">
      <w:pPr>
        <w:pStyle w:val="Zarkazkladnhotextu"/>
        <w:keepNext/>
        <w:ind w:left="0"/>
        <w:jc w:val="left"/>
        <w:rPr>
          <w:rFonts w:ascii="Times New Roman" w:hAnsi="Times New Roman" w:cs="Times New Roman"/>
          <w:sz w:val="22"/>
          <w:szCs w:val="22"/>
          <w:lang w:val="sk-SK"/>
        </w:rPr>
      </w:pPr>
      <w:r w:rsidRPr="004C15A2">
        <w:rPr>
          <w:rFonts w:ascii="Times New Roman" w:hAnsi="Times New Roman" w:cs="Times New Roman"/>
          <w:sz w:val="22"/>
          <w:szCs w:val="22"/>
          <w:lang w:val="sk-SK"/>
        </w:rPr>
        <w:t>chlorid sodný</w:t>
      </w:r>
    </w:p>
    <w:p w14:paraId="689A5A58" w14:textId="0DF8BFFE" w:rsidR="00785ED0" w:rsidRDefault="0035791E" w:rsidP="00170A8F">
      <w:pPr>
        <w:pStyle w:val="Zarkazkladnhotextu"/>
        <w:keepNext/>
        <w:ind w:left="0"/>
        <w:jc w:val="left"/>
        <w:rPr>
          <w:rFonts w:ascii="Times New Roman" w:hAnsi="Times New Roman" w:cs="Times New Roman"/>
          <w:sz w:val="22"/>
          <w:szCs w:val="22"/>
          <w:lang w:val="sk-SK"/>
        </w:rPr>
      </w:pPr>
      <w:r w:rsidRPr="004C15A2">
        <w:rPr>
          <w:rFonts w:ascii="Times New Roman" w:hAnsi="Times New Roman" w:cs="Times New Roman"/>
          <w:sz w:val="22"/>
          <w:szCs w:val="22"/>
          <w:lang w:val="sk-SK"/>
        </w:rPr>
        <w:t>benzalkónium</w:t>
      </w:r>
      <w:r w:rsidR="00673AFB">
        <w:rPr>
          <w:rFonts w:ascii="Times New Roman" w:hAnsi="Times New Roman" w:cs="Times New Roman"/>
          <w:sz w:val="22"/>
          <w:szCs w:val="22"/>
          <w:lang w:val="sk-SK"/>
        </w:rPr>
        <w:noBreakHyphen/>
      </w:r>
      <w:r w:rsidRPr="004C15A2">
        <w:rPr>
          <w:rFonts w:ascii="Times New Roman" w:hAnsi="Times New Roman" w:cs="Times New Roman"/>
          <w:sz w:val="22"/>
          <w:szCs w:val="22"/>
          <w:lang w:val="sk-SK"/>
        </w:rPr>
        <w:t>chlorid</w:t>
      </w:r>
    </w:p>
    <w:p w14:paraId="0488CF98" w14:textId="61E956B4" w:rsidR="00785ED0" w:rsidRDefault="0035791E" w:rsidP="00170A8F">
      <w:pPr>
        <w:pStyle w:val="Zarkazkladnhotextu"/>
        <w:keepNext/>
        <w:ind w:left="0"/>
        <w:jc w:val="left"/>
        <w:rPr>
          <w:rFonts w:ascii="Times New Roman" w:hAnsi="Times New Roman" w:cs="Times New Roman"/>
          <w:sz w:val="22"/>
          <w:szCs w:val="22"/>
          <w:lang w:val="sk-SK"/>
        </w:rPr>
      </w:pPr>
      <w:r w:rsidRPr="004C15A2">
        <w:rPr>
          <w:rFonts w:ascii="Times New Roman" w:hAnsi="Times New Roman" w:cs="Times New Roman"/>
          <w:sz w:val="22"/>
          <w:szCs w:val="22"/>
          <w:lang w:val="sk-SK"/>
        </w:rPr>
        <w:t>monohydrát dihydrog</w:t>
      </w:r>
      <w:r w:rsidR="00130164" w:rsidRPr="004C15A2">
        <w:rPr>
          <w:rFonts w:ascii="Times New Roman" w:hAnsi="Times New Roman" w:cs="Times New Roman"/>
          <w:sz w:val="22"/>
          <w:szCs w:val="22"/>
          <w:lang w:val="sk-SK"/>
        </w:rPr>
        <w:t>e</w:t>
      </w:r>
      <w:r w:rsidRPr="004C15A2">
        <w:rPr>
          <w:rFonts w:ascii="Times New Roman" w:hAnsi="Times New Roman" w:cs="Times New Roman"/>
          <w:sz w:val="22"/>
          <w:szCs w:val="22"/>
          <w:lang w:val="sk-SK"/>
        </w:rPr>
        <w:t>nfosforečnanu sodného</w:t>
      </w:r>
      <w:r w:rsidR="004C0B60">
        <w:rPr>
          <w:rFonts w:ascii="Times New Roman" w:hAnsi="Times New Roman" w:cs="Times New Roman"/>
          <w:sz w:val="22"/>
          <w:szCs w:val="22"/>
          <w:lang w:val="sk-SK"/>
        </w:rPr>
        <w:t xml:space="preserve"> (E339i)</w:t>
      </w:r>
    </w:p>
    <w:p w14:paraId="0F90A3BB" w14:textId="5961DCE8" w:rsidR="00785ED0" w:rsidRDefault="0008423B" w:rsidP="00097A42">
      <w:pPr>
        <w:pStyle w:val="Zarkazkladnhotextu"/>
        <w:ind w:left="0"/>
        <w:jc w:val="left"/>
        <w:rPr>
          <w:rFonts w:ascii="Times New Roman" w:hAnsi="Times New Roman" w:cs="Times New Roman"/>
          <w:sz w:val="22"/>
          <w:szCs w:val="22"/>
          <w:lang w:val="sk-SK"/>
        </w:rPr>
      </w:pPr>
      <w:r>
        <w:rPr>
          <w:rFonts w:ascii="Times New Roman" w:hAnsi="Times New Roman" w:cs="Times New Roman"/>
          <w:sz w:val="22"/>
          <w:szCs w:val="22"/>
          <w:lang w:val="sk-SK"/>
        </w:rPr>
        <w:t>hydrogen</w:t>
      </w:r>
      <w:r w:rsidR="0035791E" w:rsidRPr="004C15A2">
        <w:rPr>
          <w:rFonts w:ascii="Times New Roman" w:hAnsi="Times New Roman" w:cs="Times New Roman"/>
          <w:sz w:val="22"/>
          <w:szCs w:val="22"/>
          <w:lang w:val="sk-SK"/>
        </w:rPr>
        <w:t>fosforečnan sodný</w:t>
      </w:r>
      <w:r w:rsidR="004C0B60">
        <w:rPr>
          <w:rFonts w:ascii="Times New Roman" w:hAnsi="Times New Roman" w:cs="Times New Roman"/>
          <w:sz w:val="22"/>
          <w:szCs w:val="22"/>
          <w:lang w:val="sk-SK"/>
        </w:rPr>
        <w:t xml:space="preserve"> (E339ii)</w:t>
      </w:r>
    </w:p>
    <w:p w14:paraId="3AE60889" w14:textId="4FB01679" w:rsidR="003B6E2E" w:rsidRDefault="0035791E" w:rsidP="00097A42">
      <w:pPr>
        <w:pStyle w:val="Zarkazkladnhotextu"/>
        <w:ind w:left="0"/>
        <w:jc w:val="left"/>
        <w:rPr>
          <w:rFonts w:ascii="Times New Roman" w:hAnsi="Times New Roman" w:cs="Times New Roman"/>
          <w:sz w:val="22"/>
          <w:szCs w:val="22"/>
          <w:lang w:val="sk-SK"/>
        </w:rPr>
      </w:pPr>
      <w:r w:rsidRPr="004C15A2">
        <w:rPr>
          <w:rFonts w:ascii="Times New Roman" w:hAnsi="Times New Roman" w:cs="Times New Roman"/>
          <w:sz w:val="22"/>
          <w:szCs w:val="22"/>
          <w:lang w:val="sk-SK"/>
        </w:rPr>
        <w:t>kyselina chlorovodíková (na úpravu pH 6,0)</w:t>
      </w:r>
    </w:p>
    <w:p w14:paraId="25E2542D" w14:textId="315B0D0E" w:rsidR="007E18DB" w:rsidRDefault="0035791E" w:rsidP="00097A42">
      <w:pPr>
        <w:pStyle w:val="Zarkazkladnhotextu"/>
        <w:ind w:left="0"/>
        <w:jc w:val="left"/>
        <w:rPr>
          <w:rFonts w:ascii="Times New Roman" w:hAnsi="Times New Roman" w:cs="Times New Roman"/>
          <w:sz w:val="22"/>
          <w:szCs w:val="22"/>
          <w:lang w:val="sk-SK"/>
        </w:rPr>
      </w:pPr>
      <w:r w:rsidRPr="004C15A2">
        <w:rPr>
          <w:rFonts w:ascii="Times New Roman" w:hAnsi="Times New Roman" w:cs="Times New Roman"/>
          <w:sz w:val="22"/>
          <w:szCs w:val="22"/>
          <w:lang w:val="sk-SK"/>
        </w:rPr>
        <w:t xml:space="preserve">hydroxid sodný (na </w:t>
      </w:r>
      <w:r w:rsidR="00754DE1">
        <w:rPr>
          <w:rFonts w:ascii="Times New Roman" w:hAnsi="Times New Roman" w:cs="Times New Roman"/>
          <w:sz w:val="22"/>
          <w:szCs w:val="22"/>
          <w:lang w:val="sk-SK"/>
        </w:rPr>
        <w:t>úpravu pH 6,0)</w:t>
      </w:r>
    </w:p>
    <w:p w14:paraId="76C4051B" w14:textId="0D10978C" w:rsidR="0035791E" w:rsidRPr="004C15A2" w:rsidRDefault="00754DE1" w:rsidP="00097A42">
      <w:pPr>
        <w:pStyle w:val="Zarkazkladnhotextu"/>
        <w:ind w:left="0"/>
        <w:jc w:val="left"/>
        <w:rPr>
          <w:rFonts w:ascii="Times New Roman" w:hAnsi="Times New Roman" w:cs="Times New Roman"/>
          <w:sz w:val="22"/>
          <w:szCs w:val="22"/>
          <w:lang w:val="sk-SK"/>
        </w:rPr>
      </w:pPr>
      <w:r>
        <w:rPr>
          <w:rFonts w:ascii="Times New Roman" w:hAnsi="Times New Roman" w:cs="Times New Roman"/>
          <w:sz w:val="22"/>
          <w:szCs w:val="22"/>
          <w:lang w:val="sk-SK"/>
        </w:rPr>
        <w:t>voda na injekcie</w:t>
      </w:r>
    </w:p>
    <w:p w14:paraId="5904D6F1" w14:textId="77777777" w:rsidR="0035791E" w:rsidRPr="004C15A2" w:rsidRDefault="0035791E" w:rsidP="00097A42">
      <w:pPr>
        <w:numPr>
          <w:ilvl w:val="12"/>
          <w:numId w:val="0"/>
        </w:numPr>
        <w:rPr>
          <w:sz w:val="22"/>
          <w:szCs w:val="22"/>
          <w:lang w:val="sk-SK"/>
        </w:rPr>
      </w:pPr>
    </w:p>
    <w:p w14:paraId="29B6B863" w14:textId="77777777" w:rsidR="0035791E" w:rsidRPr="004C15A2" w:rsidRDefault="0035791E" w:rsidP="00097A42">
      <w:pPr>
        <w:tabs>
          <w:tab w:val="left" w:pos="567"/>
        </w:tabs>
        <w:rPr>
          <w:b/>
          <w:sz w:val="22"/>
          <w:szCs w:val="22"/>
          <w:lang w:val="sk-SK"/>
        </w:rPr>
      </w:pPr>
      <w:r w:rsidRPr="004C15A2">
        <w:rPr>
          <w:b/>
          <w:sz w:val="22"/>
          <w:szCs w:val="22"/>
          <w:lang w:val="sk-SK"/>
        </w:rPr>
        <w:t>6.2</w:t>
      </w:r>
      <w:r w:rsidRPr="004C15A2">
        <w:rPr>
          <w:b/>
          <w:sz w:val="22"/>
          <w:szCs w:val="22"/>
          <w:lang w:val="sk-SK"/>
        </w:rPr>
        <w:tab/>
        <w:t>Inkompatibility</w:t>
      </w:r>
    </w:p>
    <w:p w14:paraId="61CC89D3" w14:textId="77777777" w:rsidR="0035791E" w:rsidRPr="004C15A2" w:rsidRDefault="0035791E" w:rsidP="00097A42">
      <w:pPr>
        <w:numPr>
          <w:ilvl w:val="12"/>
          <w:numId w:val="0"/>
        </w:numPr>
        <w:rPr>
          <w:sz w:val="22"/>
          <w:szCs w:val="22"/>
          <w:lang w:val="sk-SK"/>
        </w:rPr>
      </w:pPr>
    </w:p>
    <w:p w14:paraId="7ED05803" w14:textId="509297F2" w:rsidR="0035791E" w:rsidRPr="004C15A2" w:rsidRDefault="0035791E" w:rsidP="00097A42">
      <w:pPr>
        <w:numPr>
          <w:ilvl w:val="12"/>
          <w:numId w:val="0"/>
        </w:numPr>
        <w:rPr>
          <w:sz w:val="22"/>
          <w:szCs w:val="22"/>
          <w:lang w:val="sk-SK"/>
        </w:rPr>
      </w:pPr>
      <w:r w:rsidRPr="004C15A2">
        <w:rPr>
          <w:sz w:val="22"/>
          <w:szCs w:val="22"/>
          <w:lang w:val="sk-SK"/>
        </w:rPr>
        <w:t xml:space="preserve">Štúdie </w:t>
      </w:r>
      <w:r w:rsidRPr="004C15A2">
        <w:rPr>
          <w:i/>
          <w:iCs/>
          <w:sz w:val="22"/>
          <w:szCs w:val="22"/>
          <w:lang w:val="sk-SK"/>
        </w:rPr>
        <w:t xml:space="preserve">in vitro </w:t>
      </w:r>
      <w:r w:rsidRPr="004C15A2">
        <w:rPr>
          <w:sz w:val="22"/>
          <w:szCs w:val="22"/>
          <w:lang w:val="sk-SK"/>
        </w:rPr>
        <w:t>ukázali, že ak sa X</w:t>
      </w:r>
      <w:r w:rsidR="008B356F" w:rsidRPr="004C15A2">
        <w:rPr>
          <w:sz w:val="22"/>
          <w:szCs w:val="22"/>
          <w:lang w:val="sk-SK"/>
        </w:rPr>
        <w:t>ALACOM</w:t>
      </w:r>
      <w:r w:rsidR="008B356F" w:rsidRPr="00170A8F">
        <w:rPr>
          <w:sz w:val="22"/>
          <w:lang w:val="sk-SK"/>
        </w:rPr>
        <w:t xml:space="preserve"> </w:t>
      </w:r>
      <w:r w:rsidRPr="004C15A2">
        <w:rPr>
          <w:sz w:val="22"/>
          <w:szCs w:val="22"/>
          <w:lang w:val="sk-SK"/>
        </w:rPr>
        <w:t>kombinuje s očnými instiláciami obsahujúcimi tiomersal, dochádza ku precipitácii. Pri podávaní takýchto liekov sú</w:t>
      </w:r>
      <w:r w:rsidR="008B356F" w:rsidRPr="004C15A2">
        <w:rPr>
          <w:sz w:val="22"/>
          <w:szCs w:val="22"/>
          <w:lang w:val="sk-SK"/>
        </w:rPr>
        <w:t>bež</w:t>
      </w:r>
      <w:r w:rsidRPr="004C15A2">
        <w:rPr>
          <w:sz w:val="22"/>
          <w:szCs w:val="22"/>
          <w:lang w:val="sk-SK"/>
        </w:rPr>
        <w:t>ne s X</w:t>
      </w:r>
      <w:r w:rsidR="008B356F" w:rsidRPr="004C15A2">
        <w:rPr>
          <w:sz w:val="22"/>
          <w:szCs w:val="22"/>
          <w:lang w:val="sk-SK"/>
        </w:rPr>
        <w:t>ALACOMOM</w:t>
      </w:r>
      <w:r w:rsidRPr="004C15A2">
        <w:rPr>
          <w:sz w:val="22"/>
          <w:szCs w:val="22"/>
          <w:lang w:val="sk-SK"/>
        </w:rPr>
        <w:t xml:space="preserve"> má byť časový odstup medzi aplikáciou jednotlivých očných instilácií aspoň päť minút.</w:t>
      </w:r>
    </w:p>
    <w:p w14:paraId="19CD6EAB" w14:textId="77777777" w:rsidR="0035791E" w:rsidRPr="004C15A2" w:rsidRDefault="0035791E" w:rsidP="00097A42">
      <w:pPr>
        <w:numPr>
          <w:ilvl w:val="12"/>
          <w:numId w:val="0"/>
        </w:numPr>
        <w:rPr>
          <w:sz w:val="22"/>
          <w:szCs w:val="22"/>
          <w:lang w:val="sk-SK"/>
        </w:rPr>
      </w:pPr>
    </w:p>
    <w:p w14:paraId="791B4818" w14:textId="77777777" w:rsidR="0035791E" w:rsidRPr="004C15A2" w:rsidRDefault="0035791E" w:rsidP="00097A42">
      <w:pPr>
        <w:tabs>
          <w:tab w:val="left" w:pos="567"/>
        </w:tabs>
        <w:rPr>
          <w:b/>
          <w:sz w:val="22"/>
          <w:szCs w:val="22"/>
          <w:lang w:val="sk-SK"/>
        </w:rPr>
      </w:pPr>
      <w:r w:rsidRPr="004C15A2">
        <w:rPr>
          <w:b/>
          <w:spacing w:val="8"/>
          <w:sz w:val="22"/>
          <w:szCs w:val="22"/>
          <w:lang w:val="sk-SK"/>
        </w:rPr>
        <w:t>6.3</w:t>
      </w:r>
      <w:r w:rsidRPr="004C15A2">
        <w:rPr>
          <w:b/>
          <w:spacing w:val="8"/>
          <w:sz w:val="22"/>
          <w:szCs w:val="22"/>
          <w:lang w:val="sk-SK"/>
        </w:rPr>
        <w:tab/>
        <w:t>Čas použiteľnosti</w:t>
      </w:r>
    </w:p>
    <w:p w14:paraId="26A9C6D8" w14:textId="77777777" w:rsidR="009D32AC" w:rsidRPr="00170A8F" w:rsidRDefault="009D32AC" w:rsidP="00097A42">
      <w:pPr>
        <w:numPr>
          <w:ilvl w:val="12"/>
          <w:numId w:val="0"/>
        </w:numPr>
        <w:jc w:val="both"/>
        <w:rPr>
          <w:sz w:val="22"/>
          <w:szCs w:val="22"/>
          <w:lang w:val="sk-SK"/>
        </w:rPr>
      </w:pPr>
    </w:p>
    <w:p w14:paraId="5A3E0557" w14:textId="22DC00B3" w:rsidR="009D32AC" w:rsidRPr="004C15A2" w:rsidRDefault="00B3630D" w:rsidP="00097A42">
      <w:pPr>
        <w:numPr>
          <w:ilvl w:val="12"/>
          <w:numId w:val="0"/>
        </w:numPr>
        <w:jc w:val="both"/>
        <w:rPr>
          <w:bCs/>
          <w:sz w:val="22"/>
          <w:szCs w:val="22"/>
          <w:lang w:val="sk-SK"/>
        </w:rPr>
      </w:pPr>
      <w:r w:rsidRPr="00170A8F">
        <w:rPr>
          <w:sz w:val="22"/>
          <w:szCs w:val="22"/>
          <w:lang w:val="sk-SK"/>
        </w:rPr>
        <w:t>3</w:t>
      </w:r>
      <w:r w:rsidR="009D32AC" w:rsidRPr="00170A8F">
        <w:rPr>
          <w:sz w:val="22"/>
          <w:szCs w:val="22"/>
          <w:lang w:val="sk-SK"/>
        </w:rPr>
        <w:t xml:space="preserve"> roky </w:t>
      </w:r>
      <w:r w:rsidR="009D32AC" w:rsidRPr="00AF461B">
        <w:rPr>
          <w:bCs/>
          <w:sz w:val="22"/>
          <w:szCs w:val="22"/>
          <w:lang w:val="sk-SK"/>
        </w:rPr>
        <w:t>(</w:t>
      </w:r>
      <w:r w:rsidR="009D32AC" w:rsidRPr="004C15A2">
        <w:rPr>
          <w:bCs/>
          <w:sz w:val="22"/>
          <w:szCs w:val="22"/>
          <w:lang w:val="sk-SK"/>
        </w:rPr>
        <w:t>ak sa uchováva pri teplote 2</w:t>
      </w:r>
      <w:r>
        <w:rPr>
          <w:bCs/>
          <w:sz w:val="22"/>
          <w:szCs w:val="22"/>
          <w:lang w:val="sk-SK"/>
        </w:rPr>
        <w:noBreakHyphen/>
      </w:r>
      <w:r w:rsidR="009D32AC" w:rsidRPr="004C15A2">
        <w:rPr>
          <w:bCs/>
          <w:sz w:val="22"/>
          <w:szCs w:val="22"/>
          <w:lang w:val="sk-SK"/>
        </w:rPr>
        <w:t>8</w:t>
      </w:r>
      <w:r w:rsidR="00AF461B">
        <w:rPr>
          <w:bCs/>
          <w:sz w:val="22"/>
          <w:szCs w:val="22"/>
          <w:lang w:val="sk-SK"/>
        </w:rPr>
        <w:t> </w:t>
      </w:r>
      <w:r w:rsidR="009D32AC" w:rsidRPr="004C15A2">
        <w:rPr>
          <w:sz w:val="22"/>
          <w:szCs w:val="22"/>
          <w:lang w:val="sk-SK"/>
        </w:rPr>
        <w:sym w:font="Symbol" w:char="F0B0"/>
      </w:r>
      <w:r w:rsidR="009D32AC" w:rsidRPr="004C15A2">
        <w:rPr>
          <w:sz w:val="22"/>
          <w:szCs w:val="22"/>
          <w:lang w:val="sk-SK"/>
        </w:rPr>
        <w:t>C).</w:t>
      </w:r>
    </w:p>
    <w:p w14:paraId="185FAF47" w14:textId="6D138813" w:rsidR="009D32AC" w:rsidRPr="004C15A2" w:rsidRDefault="009D32AC" w:rsidP="00097A42">
      <w:pPr>
        <w:numPr>
          <w:ilvl w:val="12"/>
          <w:numId w:val="0"/>
        </w:numPr>
        <w:jc w:val="both"/>
        <w:rPr>
          <w:sz w:val="22"/>
          <w:szCs w:val="22"/>
          <w:lang w:val="sk-SK"/>
        </w:rPr>
      </w:pPr>
      <w:r w:rsidRPr="004C15A2">
        <w:rPr>
          <w:sz w:val="22"/>
          <w:szCs w:val="22"/>
          <w:lang w:val="sk-SK"/>
        </w:rPr>
        <w:t>Pri teplote do 25</w:t>
      </w:r>
      <w:r w:rsidR="00AF461B">
        <w:rPr>
          <w:sz w:val="22"/>
          <w:szCs w:val="22"/>
          <w:lang w:val="sk-SK"/>
        </w:rPr>
        <w:t> </w:t>
      </w:r>
      <w:r w:rsidRPr="004C15A2">
        <w:rPr>
          <w:sz w:val="22"/>
          <w:szCs w:val="22"/>
          <w:lang w:val="sk-SK"/>
        </w:rPr>
        <w:t>°C sa môže uchovávať do 10 týždňov.</w:t>
      </w:r>
    </w:p>
    <w:p w14:paraId="29D3F403" w14:textId="77777777" w:rsidR="009D32AC" w:rsidRPr="004C15A2" w:rsidRDefault="009D32AC" w:rsidP="00170A8F">
      <w:pPr>
        <w:numPr>
          <w:ilvl w:val="12"/>
          <w:numId w:val="0"/>
        </w:numPr>
        <w:jc w:val="both"/>
        <w:rPr>
          <w:sz w:val="22"/>
          <w:szCs w:val="22"/>
          <w:lang w:val="sk-SK"/>
        </w:rPr>
      </w:pPr>
    </w:p>
    <w:p w14:paraId="4344D9ED" w14:textId="77777777" w:rsidR="009D32AC" w:rsidRPr="004C15A2" w:rsidRDefault="009D32AC" w:rsidP="00097A42">
      <w:pPr>
        <w:numPr>
          <w:ilvl w:val="12"/>
          <w:numId w:val="0"/>
        </w:numPr>
        <w:jc w:val="both"/>
        <w:rPr>
          <w:bCs/>
          <w:sz w:val="22"/>
          <w:szCs w:val="22"/>
          <w:lang w:val="sk-SK"/>
        </w:rPr>
      </w:pPr>
      <w:r w:rsidRPr="004C15A2">
        <w:rPr>
          <w:i/>
          <w:sz w:val="22"/>
          <w:szCs w:val="22"/>
          <w:lang w:val="sk-SK"/>
        </w:rPr>
        <w:t>Čas použiteľnosti po prvom otvorení fľaštičky</w:t>
      </w:r>
      <w:r w:rsidRPr="00AF461B">
        <w:rPr>
          <w:sz w:val="22"/>
          <w:szCs w:val="22"/>
          <w:lang w:val="sk-SK"/>
        </w:rPr>
        <w:t xml:space="preserve">: </w:t>
      </w:r>
      <w:r w:rsidRPr="00170A8F">
        <w:rPr>
          <w:sz w:val="22"/>
          <w:szCs w:val="22"/>
          <w:lang w:val="sk-SK"/>
        </w:rPr>
        <w:t xml:space="preserve">4 týždne </w:t>
      </w:r>
      <w:r w:rsidRPr="00AF461B">
        <w:rPr>
          <w:bCs/>
          <w:sz w:val="22"/>
          <w:szCs w:val="22"/>
          <w:lang w:val="sk-SK"/>
        </w:rPr>
        <w:t>(</w:t>
      </w:r>
      <w:r w:rsidRPr="004C15A2">
        <w:rPr>
          <w:bCs/>
          <w:sz w:val="22"/>
          <w:szCs w:val="22"/>
          <w:lang w:val="sk-SK"/>
        </w:rPr>
        <w:t>ak sa uchováva pri teplote do 25 </w:t>
      </w:r>
      <w:r w:rsidRPr="004C15A2">
        <w:rPr>
          <w:sz w:val="22"/>
          <w:szCs w:val="22"/>
          <w:lang w:val="sk-SK"/>
        </w:rPr>
        <w:sym w:font="Symbol" w:char="F0B0"/>
      </w:r>
      <w:r w:rsidRPr="004C15A2">
        <w:rPr>
          <w:sz w:val="22"/>
          <w:szCs w:val="22"/>
          <w:lang w:val="sk-SK"/>
        </w:rPr>
        <w:t>C).</w:t>
      </w:r>
    </w:p>
    <w:p w14:paraId="436933D6" w14:textId="77777777" w:rsidR="0035791E" w:rsidRPr="004C15A2" w:rsidRDefault="0035791E" w:rsidP="00097A42">
      <w:pPr>
        <w:numPr>
          <w:ilvl w:val="12"/>
          <w:numId w:val="0"/>
        </w:numPr>
        <w:rPr>
          <w:sz w:val="22"/>
          <w:szCs w:val="22"/>
          <w:lang w:val="sk-SK"/>
        </w:rPr>
      </w:pPr>
    </w:p>
    <w:p w14:paraId="35F6714F" w14:textId="77777777" w:rsidR="0035791E" w:rsidRPr="004C15A2" w:rsidRDefault="0035791E" w:rsidP="00097A42">
      <w:pPr>
        <w:tabs>
          <w:tab w:val="left" w:pos="567"/>
        </w:tabs>
        <w:rPr>
          <w:b/>
          <w:sz w:val="22"/>
          <w:szCs w:val="22"/>
          <w:lang w:val="sk-SK"/>
        </w:rPr>
      </w:pPr>
      <w:r w:rsidRPr="004C15A2">
        <w:rPr>
          <w:b/>
          <w:sz w:val="22"/>
          <w:szCs w:val="22"/>
          <w:lang w:val="sk-SK"/>
        </w:rPr>
        <w:t>6.4</w:t>
      </w:r>
      <w:r w:rsidRPr="004C15A2">
        <w:rPr>
          <w:b/>
          <w:sz w:val="22"/>
          <w:szCs w:val="22"/>
          <w:lang w:val="sk-SK"/>
        </w:rPr>
        <w:tab/>
        <w:t>Špeciálne upozornenia na uchovávanie</w:t>
      </w:r>
    </w:p>
    <w:p w14:paraId="4A65B200" w14:textId="77777777" w:rsidR="0035791E" w:rsidRPr="004C15A2" w:rsidRDefault="0035791E" w:rsidP="00097A42">
      <w:pPr>
        <w:numPr>
          <w:ilvl w:val="12"/>
          <w:numId w:val="0"/>
        </w:numPr>
        <w:rPr>
          <w:sz w:val="22"/>
          <w:szCs w:val="22"/>
          <w:lang w:val="sk-SK"/>
        </w:rPr>
      </w:pPr>
    </w:p>
    <w:p w14:paraId="3A6A7CB9" w14:textId="77777777" w:rsidR="0035791E" w:rsidRPr="004C15A2" w:rsidRDefault="0035791E" w:rsidP="00097A42">
      <w:pPr>
        <w:numPr>
          <w:ilvl w:val="12"/>
          <w:numId w:val="0"/>
        </w:numPr>
        <w:rPr>
          <w:sz w:val="22"/>
          <w:szCs w:val="22"/>
          <w:lang w:val="sk-SK"/>
        </w:rPr>
      </w:pPr>
      <w:r w:rsidRPr="004C15A2">
        <w:rPr>
          <w:sz w:val="22"/>
          <w:szCs w:val="22"/>
          <w:lang w:val="sk-SK"/>
        </w:rPr>
        <w:t>Neotvorenú fľaštičku uchovávajte v chladničke pri teplote 2 </w:t>
      </w:r>
      <w:r w:rsidRPr="004C15A2">
        <w:rPr>
          <w:sz w:val="22"/>
          <w:szCs w:val="22"/>
          <w:lang w:val="sk-SK"/>
        </w:rPr>
        <w:noBreakHyphen/>
        <w:t> 8 </w:t>
      </w:r>
      <w:r w:rsidRPr="004C15A2">
        <w:rPr>
          <w:sz w:val="22"/>
          <w:szCs w:val="22"/>
          <w:lang w:val="sk-SK"/>
        </w:rPr>
        <w:sym w:font="Symbol" w:char="F0B0"/>
      </w:r>
      <w:r w:rsidRPr="004C15A2">
        <w:rPr>
          <w:sz w:val="22"/>
          <w:szCs w:val="22"/>
          <w:lang w:val="sk-SK"/>
        </w:rPr>
        <w:t>C.</w:t>
      </w:r>
      <w:r w:rsidR="009D32AC" w:rsidRPr="004C15A2">
        <w:rPr>
          <w:sz w:val="22"/>
          <w:szCs w:val="22"/>
          <w:lang w:val="sk-SK"/>
        </w:rPr>
        <w:t xml:space="preserve"> N</w:t>
      </w:r>
      <w:r w:rsidR="003A7A77" w:rsidRPr="004C15A2">
        <w:rPr>
          <w:sz w:val="22"/>
          <w:szCs w:val="22"/>
          <w:lang w:val="sk-SK"/>
        </w:rPr>
        <w:t>euchovávajte v mrazničke.</w:t>
      </w:r>
    </w:p>
    <w:p w14:paraId="223F8D11" w14:textId="77777777" w:rsidR="003A7A77" w:rsidRPr="004C15A2" w:rsidRDefault="003A7A77" w:rsidP="00097A42">
      <w:pPr>
        <w:numPr>
          <w:ilvl w:val="12"/>
          <w:numId w:val="0"/>
        </w:numPr>
        <w:rPr>
          <w:i/>
          <w:iCs/>
          <w:sz w:val="22"/>
          <w:szCs w:val="22"/>
          <w:lang w:val="sk-SK"/>
        </w:rPr>
      </w:pPr>
    </w:p>
    <w:p w14:paraId="7B138011" w14:textId="77777777" w:rsidR="0035791E" w:rsidRPr="004C15A2" w:rsidRDefault="0035791E" w:rsidP="00097A42">
      <w:pPr>
        <w:numPr>
          <w:ilvl w:val="12"/>
          <w:numId w:val="0"/>
        </w:numPr>
        <w:rPr>
          <w:sz w:val="22"/>
          <w:szCs w:val="22"/>
          <w:lang w:val="sk-SK"/>
        </w:rPr>
      </w:pPr>
      <w:r w:rsidRPr="004C15A2">
        <w:rPr>
          <w:i/>
          <w:iCs/>
          <w:sz w:val="22"/>
          <w:szCs w:val="22"/>
          <w:lang w:val="sk-SK"/>
        </w:rPr>
        <w:t>Po otvorení fľaštičky</w:t>
      </w:r>
      <w:r w:rsidRPr="004C15A2">
        <w:rPr>
          <w:sz w:val="22"/>
          <w:szCs w:val="22"/>
          <w:lang w:val="sk-SK"/>
        </w:rPr>
        <w:t xml:space="preserve"> uchovávajte pri teplote neprevyšujúcej </w:t>
      </w:r>
      <w:smartTag w:uri="urn:schemas-microsoft-com:office:smarttags" w:element="Street">
        <w:smartTagPr>
          <w:attr w:name="ProductID" w:val="25ﾠﾰC"/>
        </w:smartTagPr>
        <w:r w:rsidRPr="004C15A2">
          <w:rPr>
            <w:sz w:val="22"/>
            <w:szCs w:val="22"/>
            <w:lang w:val="sk-SK"/>
          </w:rPr>
          <w:t>25 °C</w:t>
        </w:r>
      </w:smartTag>
      <w:r w:rsidRPr="004C15A2">
        <w:rPr>
          <w:sz w:val="22"/>
          <w:szCs w:val="22"/>
          <w:lang w:val="sk-SK"/>
        </w:rPr>
        <w:t>.</w:t>
      </w:r>
    </w:p>
    <w:p w14:paraId="3625038A" w14:textId="77777777" w:rsidR="0035791E" w:rsidRPr="004C15A2" w:rsidRDefault="0035791E" w:rsidP="00097A42">
      <w:pPr>
        <w:numPr>
          <w:ilvl w:val="12"/>
          <w:numId w:val="0"/>
        </w:numPr>
        <w:rPr>
          <w:sz w:val="22"/>
          <w:szCs w:val="22"/>
          <w:lang w:val="sk-SK"/>
        </w:rPr>
      </w:pPr>
    </w:p>
    <w:p w14:paraId="4505863F" w14:textId="77777777" w:rsidR="0035791E" w:rsidRPr="004C15A2" w:rsidRDefault="0035791E" w:rsidP="00097A42">
      <w:pPr>
        <w:numPr>
          <w:ilvl w:val="12"/>
          <w:numId w:val="0"/>
        </w:numPr>
        <w:rPr>
          <w:sz w:val="22"/>
          <w:szCs w:val="22"/>
          <w:lang w:val="sk-SK"/>
        </w:rPr>
      </w:pPr>
      <w:r w:rsidRPr="004C15A2">
        <w:rPr>
          <w:sz w:val="22"/>
          <w:szCs w:val="22"/>
          <w:lang w:val="sk-SK"/>
        </w:rPr>
        <w:t>Fľašku uchovávajte vo vonkajš</w:t>
      </w:r>
      <w:r w:rsidR="008B356F" w:rsidRPr="004C15A2">
        <w:rPr>
          <w:sz w:val="22"/>
          <w:szCs w:val="22"/>
          <w:lang w:val="sk-SK"/>
        </w:rPr>
        <w:t>om obale</w:t>
      </w:r>
      <w:r w:rsidRPr="004C15A2">
        <w:rPr>
          <w:sz w:val="22"/>
          <w:szCs w:val="22"/>
          <w:lang w:val="sk-SK"/>
        </w:rPr>
        <w:t>.</w:t>
      </w:r>
    </w:p>
    <w:p w14:paraId="7FFBF2CE" w14:textId="77777777" w:rsidR="0035791E" w:rsidRPr="004C15A2" w:rsidRDefault="0035791E" w:rsidP="00097A42">
      <w:pPr>
        <w:rPr>
          <w:sz w:val="22"/>
          <w:szCs w:val="22"/>
          <w:lang w:val="sk-SK"/>
        </w:rPr>
      </w:pPr>
    </w:p>
    <w:p w14:paraId="7F9EB375" w14:textId="77777777" w:rsidR="0035791E" w:rsidRPr="004C15A2" w:rsidRDefault="0035791E" w:rsidP="009D3632">
      <w:pPr>
        <w:keepNext/>
        <w:tabs>
          <w:tab w:val="left" w:pos="567"/>
        </w:tabs>
        <w:rPr>
          <w:sz w:val="22"/>
          <w:szCs w:val="22"/>
          <w:lang w:val="sk-SK"/>
        </w:rPr>
      </w:pPr>
      <w:r w:rsidRPr="004C15A2">
        <w:rPr>
          <w:b/>
          <w:spacing w:val="8"/>
          <w:sz w:val="22"/>
          <w:szCs w:val="22"/>
          <w:lang w:val="sk-SK"/>
        </w:rPr>
        <w:t>6.5</w:t>
      </w:r>
      <w:r w:rsidRPr="004C15A2">
        <w:rPr>
          <w:b/>
          <w:spacing w:val="8"/>
          <w:sz w:val="22"/>
          <w:szCs w:val="22"/>
          <w:lang w:val="sk-SK"/>
        </w:rPr>
        <w:tab/>
        <w:t>Druh obalu a obsah balenia</w:t>
      </w:r>
    </w:p>
    <w:p w14:paraId="06577BA1" w14:textId="77777777" w:rsidR="0035791E" w:rsidRPr="004C15A2" w:rsidRDefault="0035791E" w:rsidP="009D3632">
      <w:pPr>
        <w:keepNext/>
        <w:rPr>
          <w:sz w:val="22"/>
          <w:szCs w:val="22"/>
          <w:lang w:val="sk-SK"/>
        </w:rPr>
      </w:pPr>
    </w:p>
    <w:p w14:paraId="652E8728" w14:textId="77777777" w:rsidR="0012255C" w:rsidRPr="004C15A2" w:rsidRDefault="0035791E" w:rsidP="009D3632">
      <w:pPr>
        <w:keepNext/>
        <w:rPr>
          <w:sz w:val="22"/>
          <w:szCs w:val="22"/>
          <w:lang w:val="sk-SK"/>
        </w:rPr>
      </w:pPr>
      <w:r w:rsidRPr="004C15A2">
        <w:rPr>
          <w:i/>
          <w:sz w:val="22"/>
          <w:szCs w:val="22"/>
          <w:lang w:val="sk-SK"/>
        </w:rPr>
        <w:t>Vnútorný obal:</w:t>
      </w:r>
      <w:r w:rsidRPr="004C15A2">
        <w:rPr>
          <w:sz w:val="22"/>
          <w:szCs w:val="22"/>
          <w:lang w:val="sk-SK"/>
        </w:rPr>
        <w:t xml:space="preserve"> fľaštička (objem 5 ml), kvapkací aplikátor, skrutkovací uzáver, vrchný ochranný kryt</w:t>
      </w:r>
      <w:r w:rsidR="0012255C" w:rsidRPr="004C15A2">
        <w:rPr>
          <w:sz w:val="22"/>
          <w:szCs w:val="22"/>
          <w:lang w:val="sk-SK"/>
        </w:rPr>
        <w:t>.</w:t>
      </w:r>
    </w:p>
    <w:p w14:paraId="45040829" w14:textId="77777777" w:rsidR="0035791E" w:rsidRPr="004C15A2" w:rsidRDefault="0035791E" w:rsidP="009D3632">
      <w:pPr>
        <w:keepNext/>
        <w:rPr>
          <w:sz w:val="22"/>
          <w:szCs w:val="22"/>
          <w:lang w:val="sk-SK"/>
        </w:rPr>
      </w:pPr>
    </w:p>
    <w:p w14:paraId="46B9E5AF" w14:textId="77777777" w:rsidR="0035791E" w:rsidRPr="004C15A2" w:rsidRDefault="0035791E" w:rsidP="009D3632">
      <w:pPr>
        <w:keepNext/>
        <w:rPr>
          <w:sz w:val="22"/>
          <w:szCs w:val="22"/>
          <w:lang w:val="sk-SK"/>
        </w:rPr>
      </w:pPr>
      <w:r w:rsidRPr="004C15A2">
        <w:rPr>
          <w:i/>
          <w:sz w:val="22"/>
          <w:szCs w:val="22"/>
          <w:lang w:val="sk-SK"/>
        </w:rPr>
        <w:t>Vonkajší obal:</w:t>
      </w:r>
      <w:r w:rsidRPr="004C15A2">
        <w:rPr>
          <w:sz w:val="22"/>
          <w:szCs w:val="22"/>
          <w:lang w:val="sk-SK"/>
        </w:rPr>
        <w:t xml:space="preserve"> papierová škatuľka, písomná informácia pre používateľ</w:t>
      </w:r>
      <w:r w:rsidR="0012255C" w:rsidRPr="004C15A2">
        <w:rPr>
          <w:sz w:val="22"/>
          <w:szCs w:val="22"/>
          <w:lang w:val="sk-SK"/>
        </w:rPr>
        <w:t>a</w:t>
      </w:r>
      <w:r w:rsidRPr="004C15A2">
        <w:rPr>
          <w:sz w:val="22"/>
          <w:szCs w:val="22"/>
          <w:lang w:val="sk-SK"/>
        </w:rPr>
        <w:t>.</w:t>
      </w:r>
    </w:p>
    <w:p w14:paraId="64AD4DC7" w14:textId="77777777" w:rsidR="0035791E" w:rsidRPr="004C15A2" w:rsidRDefault="0035791E" w:rsidP="00097A42">
      <w:pPr>
        <w:rPr>
          <w:sz w:val="22"/>
          <w:szCs w:val="22"/>
          <w:lang w:val="sk-SK"/>
        </w:rPr>
      </w:pPr>
    </w:p>
    <w:p w14:paraId="678DB803" w14:textId="77777777" w:rsidR="0035791E" w:rsidRPr="004C15A2" w:rsidRDefault="0035791E" w:rsidP="00097A42">
      <w:pPr>
        <w:rPr>
          <w:sz w:val="22"/>
          <w:szCs w:val="22"/>
          <w:lang w:val="sk-SK"/>
        </w:rPr>
      </w:pPr>
      <w:r w:rsidRPr="004C15A2">
        <w:rPr>
          <w:sz w:val="22"/>
          <w:szCs w:val="22"/>
          <w:lang w:val="sk-SK"/>
        </w:rPr>
        <w:t>Každá fľaštička obsahuje 2,5 ml očnej roztokovej instilácie.</w:t>
      </w:r>
    </w:p>
    <w:p w14:paraId="42D93A6F" w14:textId="77777777" w:rsidR="0035791E" w:rsidRPr="004C15A2" w:rsidRDefault="0035791E" w:rsidP="00BB5449">
      <w:pPr>
        <w:numPr>
          <w:ilvl w:val="12"/>
          <w:numId w:val="0"/>
        </w:numPr>
        <w:rPr>
          <w:b/>
          <w:i/>
          <w:sz w:val="22"/>
          <w:szCs w:val="22"/>
          <w:lang w:val="sk-SK"/>
        </w:rPr>
      </w:pPr>
    </w:p>
    <w:p w14:paraId="22A38B05" w14:textId="77777777" w:rsidR="0035791E" w:rsidRPr="004C15A2" w:rsidRDefault="0035791E" w:rsidP="00097A42">
      <w:pPr>
        <w:numPr>
          <w:ilvl w:val="12"/>
          <w:numId w:val="0"/>
        </w:numPr>
        <w:rPr>
          <w:sz w:val="22"/>
          <w:szCs w:val="22"/>
          <w:lang w:val="sk-SK"/>
        </w:rPr>
      </w:pPr>
      <w:r w:rsidRPr="00170A8F">
        <w:rPr>
          <w:sz w:val="22"/>
          <w:szCs w:val="22"/>
          <w:u w:val="single"/>
          <w:lang w:val="sk-SK"/>
        </w:rPr>
        <w:t>Veľkosť balenia</w:t>
      </w:r>
      <w:r w:rsidRPr="004C15A2">
        <w:rPr>
          <w:b/>
          <w:i/>
          <w:sz w:val="22"/>
          <w:szCs w:val="22"/>
          <w:lang w:val="sk-SK"/>
        </w:rPr>
        <w:t>:</w:t>
      </w:r>
      <w:r w:rsidRPr="004C15A2">
        <w:rPr>
          <w:sz w:val="22"/>
          <w:szCs w:val="22"/>
          <w:lang w:val="sk-SK"/>
        </w:rPr>
        <w:t xml:space="preserve"> 1 fľaštička x 2,5 ml, 3 x 2,5 ml alebo 6 x 2,5 ml očnej roztokovej instilácie</w:t>
      </w:r>
      <w:r w:rsidR="00097A42" w:rsidRPr="004C15A2">
        <w:rPr>
          <w:sz w:val="22"/>
          <w:szCs w:val="22"/>
          <w:lang w:val="sk-SK"/>
        </w:rPr>
        <w:t>.</w:t>
      </w:r>
    </w:p>
    <w:p w14:paraId="7718F85C" w14:textId="77777777" w:rsidR="0035791E" w:rsidRPr="004C15A2" w:rsidRDefault="0035791E" w:rsidP="00097A42">
      <w:pPr>
        <w:numPr>
          <w:ilvl w:val="12"/>
          <w:numId w:val="0"/>
        </w:numPr>
        <w:rPr>
          <w:sz w:val="22"/>
          <w:szCs w:val="22"/>
          <w:lang w:val="sk-SK"/>
        </w:rPr>
      </w:pPr>
    </w:p>
    <w:p w14:paraId="13FCCE72" w14:textId="77777777" w:rsidR="0035791E" w:rsidRPr="004C15A2" w:rsidRDefault="0035791E" w:rsidP="00097A42">
      <w:pPr>
        <w:tabs>
          <w:tab w:val="left" w:pos="567"/>
        </w:tabs>
        <w:rPr>
          <w:b/>
          <w:sz w:val="22"/>
          <w:szCs w:val="22"/>
          <w:lang w:val="sk-SK"/>
        </w:rPr>
      </w:pPr>
      <w:r w:rsidRPr="004C15A2">
        <w:rPr>
          <w:b/>
          <w:sz w:val="22"/>
          <w:szCs w:val="22"/>
          <w:lang w:val="sk-SK"/>
        </w:rPr>
        <w:t>6.6</w:t>
      </w:r>
      <w:r w:rsidRPr="004C15A2">
        <w:rPr>
          <w:b/>
          <w:sz w:val="22"/>
          <w:szCs w:val="22"/>
          <w:lang w:val="sk-SK"/>
        </w:rPr>
        <w:tab/>
      </w:r>
      <w:r w:rsidRPr="004C15A2">
        <w:rPr>
          <w:b/>
          <w:bCs/>
          <w:sz w:val="22"/>
          <w:szCs w:val="22"/>
          <w:lang w:val="sk-SK"/>
        </w:rPr>
        <w:t>Špeciálne opatrenia na likvidáciu</w:t>
      </w:r>
      <w:r w:rsidRPr="004C15A2">
        <w:rPr>
          <w:b/>
          <w:sz w:val="22"/>
          <w:szCs w:val="22"/>
          <w:lang w:val="sk-SK"/>
        </w:rPr>
        <w:t xml:space="preserve"> </w:t>
      </w:r>
      <w:r w:rsidRPr="004C15A2">
        <w:rPr>
          <w:b/>
          <w:bCs/>
          <w:sz w:val="22"/>
          <w:szCs w:val="22"/>
          <w:lang w:val="sk-SK"/>
        </w:rPr>
        <w:t>a iné zaobchádzanie s liekom</w:t>
      </w:r>
    </w:p>
    <w:p w14:paraId="6488A9FA" w14:textId="77777777" w:rsidR="0035791E" w:rsidRPr="00AF461B" w:rsidRDefault="0035791E" w:rsidP="00097A42">
      <w:pPr>
        <w:rPr>
          <w:b/>
          <w:sz w:val="22"/>
          <w:szCs w:val="22"/>
          <w:lang w:val="sk-SK"/>
        </w:rPr>
      </w:pPr>
    </w:p>
    <w:p w14:paraId="69EDCF5C" w14:textId="77777777" w:rsidR="0035791E" w:rsidRPr="00AF461B" w:rsidRDefault="0035791E" w:rsidP="00097A42">
      <w:pPr>
        <w:rPr>
          <w:sz w:val="22"/>
          <w:szCs w:val="22"/>
          <w:lang w:val="sk-SK"/>
        </w:rPr>
      </w:pPr>
      <w:r w:rsidRPr="00AF461B">
        <w:rPr>
          <w:sz w:val="22"/>
          <w:szCs w:val="22"/>
          <w:lang w:val="sk-SK"/>
        </w:rPr>
        <w:t>Pred prvým použitím sa musí odstrániť vrchný ochranný kryt.</w:t>
      </w:r>
    </w:p>
    <w:p w14:paraId="6338D9B5" w14:textId="77777777" w:rsidR="0035791E" w:rsidRPr="00AF461B" w:rsidRDefault="0035791E" w:rsidP="00097A42">
      <w:pPr>
        <w:rPr>
          <w:sz w:val="22"/>
          <w:szCs w:val="22"/>
          <w:lang w:val="sk-SK"/>
        </w:rPr>
      </w:pPr>
    </w:p>
    <w:p w14:paraId="1704D411" w14:textId="205D9513" w:rsidR="009D32AC" w:rsidRDefault="00AF461B" w:rsidP="00097A42">
      <w:pPr>
        <w:rPr>
          <w:sz w:val="22"/>
          <w:szCs w:val="22"/>
        </w:rPr>
      </w:pPr>
      <w:r w:rsidRPr="00170A8F">
        <w:rPr>
          <w:sz w:val="22"/>
          <w:szCs w:val="22"/>
        </w:rPr>
        <w:t>Všetok nepoužitý liek alebo odpad vzniknutý z lieku sa má zlikvidovať v súlade s národnými požiadavkami</w:t>
      </w:r>
      <w:r>
        <w:rPr>
          <w:sz w:val="22"/>
          <w:szCs w:val="22"/>
        </w:rPr>
        <w:t>.</w:t>
      </w:r>
    </w:p>
    <w:p w14:paraId="24081B4B" w14:textId="77777777" w:rsidR="00AF461B" w:rsidRDefault="00AF461B" w:rsidP="00097A42">
      <w:pPr>
        <w:rPr>
          <w:sz w:val="22"/>
          <w:szCs w:val="22"/>
        </w:rPr>
      </w:pPr>
    </w:p>
    <w:p w14:paraId="508E3A7C" w14:textId="77777777" w:rsidR="00AF461B" w:rsidRPr="00AF461B" w:rsidRDefault="00AF461B" w:rsidP="00097A42">
      <w:pPr>
        <w:rPr>
          <w:sz w:val="22"/>
          <w:szCs w:val="22"/>
          <w:lang w:val="sk-SK"/>
        </w:rPr>
      </w:pPr>
    </w:p>
    <w:p w14:paraId="2F484573" w14:textId="77777777" w:rsidR="0035791E" w:rsidRPr="004C15A2" w:rsidRDefault="0035791E" w:rsidP="004C15A2">
      <w:pPr>
        <w:keepNext/>
        <w:tabs>
          <w:tab w:val="left" w:pos="567"/>
        </w:tabs>
        <w:rPr>
          <w:b/>
          <w:sz w:val="22"/>
          <w:szCs w:val="22"/>
          <w:lang w:val="sk-SK"/>
        </w:rPr>
      </w:pPr>
      <w:r w:rsidRPr="00AF461B">
        <w:rPr>
          <w:b/>
          <w:sz w:val="22"/>
          <w:szCs w:val="22"/>
          <w:lang w:val="sk-SK"/>
        </w:rPr>
        <w:t>7.</w:t>
      </w:r>
      <w:r w:rsidRPr="00AF461B">
        <w:rPr>
          <w:b/>
          <w:sz w:val="22"/>
          <w:szCs w:val="22"/>
          <w:lang w:val="sk-SK"/>
        </w:rPr>
        <w:tab/>
        <w:t>DRŽITEĽ ROZHODNUTIA</w:t>
      </w:r>
      <w:r w:rsidRPr="004C15A2">
        <w:rPr>
          <w:b/>
          <w:sz w:val="22"/>
          <w:szCs w:val="22"/>
          <w:lang w:val="sk-SK"/>
        </w:rPr>
        <w:t xml:space="preserve"> O REGISTRÁCII</w:t>
      </w:r>
    </w:p>
    <w:p w14:paraId="029D2C3D" w14:textId="77777777" w:rsidR="0035791E" w:rsidRPr="00170A8F" w:rsidRDefault="0035791E" w:rsidP="004C15A2">
      <w:pPr>
        <w:keepNext/>
        <w:rPr>
          <w:sz w:val="22"/>
          <w:szCs w:val="22"/>
          <w:lang w:val="sk-SK"/>
        </w:rPr>
      </w:pPr>
    </w:p>
    <w:p w14:paraId="62B6E35E" w14:textId="77777777" w:rsidR="00C24CCF" w:rsidRPr="00AF461B" w:rsidRDefault="00C24CCF" w:rsidP="004C15A2">
      <w:pPr>
        <w:keepNext/>
        <w:rPr>
          <w:bCs/>
          <w:sz w:val="22"/>
          <w:szCs w:val="22"/>
          <w:lang w:val="sk-SK"/>
        </w:rPr>
      </w:pPr>
      <w:r w:rsidRPr="00AF461B">
        <w:rPr>
          <w:bCs/>
          <w:sz w:val="22"/>
          <w:szCs w:val="22"/>
          <w:lang w:val="sk-SK"/>
        </w:rPr>
        <w:t>Upjohn EESV</w:t>
      </w:r>
    </w:p>
    <w:p w14:paraId="1D3D8ABC" w14:textId="77777777" w:rsidR="00C24CCF" w:rsidRPr="00AF461B" w:rsidRDefault="00C24CCF" w:rsidP="004C15A2">
      <w:pPr>
        <w:keepNext/>
        <w:rPr>
          <w:bCs/>
          <w:sz w:val="22"/>
          <w:szCs w:val="22"/>
          <w:lang w:val="sk-SK"/>
        </w:rPr>
      </w:pPr>
      <w:r w:rsidRPr="00AF461B">
        <w:rPr>
          <w:bCs/>
          <w:sz w:val="22"/>
          <w:szCs w:val="22"/>
          <w:lang w:val="sk-SK"/>
        </w:rPr>
        <w:t>Rivium Westlaan 142</w:t>
      </w:r>
    </w:p>
    <w:p w14:paraId="5D0002E5" w14:textId="77777777" w:rsidR="00C24CCF" w:rsidRPr="00AF461B" w:rsidRDefault="00C24CCF" w:rsidP="004C15A2">
      <w:pPr>
        <w:keepNext/>
        <w:rPr>
          <w:bCs/>
          <w:sz w:val="22"/>
          <w:szCs w:val="22"/>
          <w:lang w:val="sk-SK"/>
        </w:rPr>
      </w:pPr>
      <w:r w:rsidRPr="00AF461B">
        <w:rPr>
          <w:bCs/>
          <w:sz w:val="22"/>
          <w:szCs w:val="22"/>
          <w:lang w:val="sk-SK"/>
        </w:rPr>
        <w:t>2909 LD Capelle aan den IJssel</w:t>
      </w:r>
      <w:bookmarkStart w:id="0" w:name="_GoBack"/>
      <w:bookmarkEnd w:id="0"/>
    </w:p>
    <w:p w14:paraId="647BF8A9" w14:textId="77777777" w:rsidR="0035791E" w:rsidRPr="00AF461B" w:rsidRDefault="00C24CCF" w:rsidP="00097A42">
      <w:pPr>
        <w:tabs>
          <w:tab w:val="left" w:pos="567"/>
        </w:tabs>
        <w:rPr>
          <w:sz w:val="22"/>
          <w:szCs w:val="22"/>
          <w:lang w:val="sk-SK"/>
        </w:rPr>
      </w:pPr>
      <w:r w:rsidRPr="00AF461B">
        <w:rPr>
          <w:sz w:val="22"/>
          <w:szCs w:val="22"/>
          <w:lang w:val="sk-SK"/>
        </w:rPr>
        <w:t>Holandsko</w:t>
      </w:r>
    </w:p>
    <w:p w14:paraId="02FF53B3" w14:textId="77777777" w:rsidR="009D32AC" w:rsidRPr="00170A8F" w:rsidRDefault="009D32AC" w:rsidP="00097A42">
      <w:pPr>
        <w:tabs>
          <w:tab w:val="left" w:pos="567"/>
        </w:tabs>
        <w:rPr>
          <w:sz w:val="22"/>
          <w:szCs w:val="22"/>
          <w:lang w:val="sk-SK"/>
        </w:rPr>
      </w:pPr>
    </w:p>
    <w:p w14:paraId="183AA783" w14:textId="77777777" w:rsidR="00BB3BAC" w:rsidRPr="00170A8F" w:rsidRDefault="00BB3BAC" w:rsidP="00097A42">
      <w:pPr>
        <w:tabs>
          <w:tab w:val="left" w:pos="567"/>
        </w:tabs>
        <w:rPr>
          <w:sz w:val="22"/>
          <w:szCs w:val="22"/>
          <w:lang w:val="sk-SK"/>
        </w:rPr>
      </w:pPr>
    </w:p>
    <w:p w14:paraId="1D3909E3" w14:textId="77777777" w:rsidR="0035791E" w:rsidRPr="004C15A2" w:rsidRDefault="0035791E" w:rsidP="00097A42">
      <w:pPr>
        <w:tabs>
          <w:tab w:val="left" w:pos="567"/>
        </w:tabs>
        <w:rPr>
          <w:b/>
          <w:sz w:val="22"/>
          <w:szCs w:val="22"/>
          <w:lang w:val="sk-SK"/>
        </w:rPr>
      </w:pPr>
      <w:r w:rsidRPr="004C15A2">
        <w:rPr>
          <w:b/>
          <w:sz w:val="22"/>
          <w:szCs w:val="22"/>
          <w:lang w:val="sk-SK"/>
        </w:rPr>
        <w:t>8.</w:t>
      </w:r>
      <w:r w:rsidRPr="004C15A2">
        <w:rPr>
          <w:b/>
          <w:sz w:val="22"/>
          <w:szCs w:val="22"/>
          <w:lang w:val="sk-SK"/>
        </w:rPr>
        <w:tab/>
        <w:t>REGISTRAČNÉ ČÍSLO</w:t>
      </w:r>
    </w:p>
    <w:p w14:paraId="303D03E9" w14:textId="77777777" w:rsidR="0035791E" w:rsidRPr="004C15A2" w:rsidRDefault="0035791E" w:rsidP="00097A42">
      <w:pPr>
        <w:rPr>
          <w:sz w:val="22"/>
          <w:szCs w:val="22"/>
          <w:lang w:val="sk-SK"/>
        </w:rPr>
      </w:pPr>
    </w:p>
    <w:p w14:paraId="2FCBCF32" w14:textId="77777777" w:rsidR="0035791E" w:rsidRPr="004C15A2" w:rsidRDefault="0035791E" w:rsidP="00097A42">
      <w:pPr>
        <w:rPr>
          <w:sz w:val="22"/>
          <w:szCs w:val="22"/>
          <w:lang w:val="sk-SK"/>
        </w:rPr>
      </w:pPr>
      <w:r w:rsidRPr="004C15A2">
        <w:rPr>
          <w:sz w:val="22"/>
          <w:szCs w:val="22"/>
          <w:lang w:val="sk-SK"/>
        </w:rPr>
        <w:t>64/0078/01-S</w:t>
      </w:r>
    </w:p>
    <w:p w14:paraId="38D88AEE" w14:textId="77777777" w:rsidR="0035791E" w:rsidRPr="004C15A2" w:rsidRDefault="0035791E" w:rsidP="00097A42">
      <w:pPr>
        <w:rPr>
          <w:sz w:val="22"/>
          <w:szCs w:val="22"/>
          <w:lang w:val="sk-SK"/>
        </w:rPr>
      </w:pPr>
    </w:p>
    <w:p w14:paraId="6656972A" w14:textId="77777777" w:rsidR="0035791E" w:rsidRPr="004C15A2" w:rsidRDefault="0035791E" w:rsidP="00097A42">
      <w:pPr>
        <w:rPr>
          <w:sz w:val="22"/>
          <w:szCs w:val="22"/>
          <w:lang w:val="sk-SK"/>
        </w:rPr>
      </w:pPr>
    </w:p>
    <w:p w14:paraId="22F203C5" w14:textId="77777777" w:rsidR="0035791E" w:rsidRPr="004C15A2" w:rsidRDefault="0035791E" w:rsidP="00097A42">
      <w:pPr>
        <w:tabs>
          <w:tab w:val="left" w:pos="567"/>
        </w:tabs>
        <w:rPr>
          <w:b/>
          <w:sz w:val="22"/>
          <w:szCs w:val="22"/>
          <w:lang w:val="sk-SK"/>
        </w:rPr>
      </w:pPr>
      <w:r w:rsidRPr="004C15A2">
        <w:rPr>
          <w:b/>
          <w:sz w:val="22"/>
          <w:szCs w:val="22"/>
          <w:lang w:val="sk-SK"/>
        </w:rPr>
        <w:t>9.</w:t>
      </w:r>
      <w:r w:rsidRPr="004C15A2">
        <w:rPr>
          <w:b/>
          <w:sz w:val="22"/>
          <w:szCs w:val="22"/>
          <w:lang w:val="sk-SK"/>
        </w:rPr>
        <w:tab/>
        <w:t>DÁTUM PRVEJ REGISTRÁCIE/DÁTUM PREDĹŽENIA REGISTRÁCIE</w:t>
      </w:r>
    </w:p>
    <w:p w14:paraId="39876A6B" w14:textId="77777777" w:rsidR="0035791E" w:rsidRPr="004C15A2" w:rsidRDefault="0035791E" w:rsidP="00097A42">
      <w:pPr>
        <w:rPr>
          <w:b/>
          <w:sz w:val="22"/>
          <w:szCs w:val="22"/>
          <w:lang w:val="sk-SK"/>
        </w:rPr>
      </w:pPr>
    </w:p>
    <w:p w14:paraId="1B0A5A26" w14:textId="77777777" w:rsidR="0035791E" w:rsidRPr="004C15A2" w:rsidRDefault="00D6091D" w:rsidP="00097A42">
      <w:pPr>
        <w:tabs>
          <w:tab w:val="left" w:pos="567"/>
        </w:tabs>
        <w:rPr>
          <w:sz w:val="22"/>
          <w:szCs w:val="22"/>
          <w:lang w:val="sk-SK"/>
        </w:rPr>
      </w:pPr>
      <w:r w:rsidRPr="004C15A2">
        <w:rPr>
          <w:sz w:val="22"/>
          <w:szCs w:val="22"/>
          <w:lang w:val="sk-SK"/>
        </w:rPr>
        <w:t xml:space="preserve">Dátum prvej registrácie: </w:t>
      </w:r>
      <w:r w:rsidR="004C15A2">
        <w:rPr>
          <w:sz w:val="22"/>
          <w:szCs w:val="22"/>
          <w:lang w:val="sk-SK"/>
        </w:rPr>
        <w:t xml:space="preserve">07. februára </w:t>
      </w:r>
      <w:r w:rsidR="0035791E" w:rsidRPr="004C15A2">
        <w:rPr>
          <w:sz w:val="22"/>
          <w:szCs w:val="22"/>
          <w:lang w:val="sk-SK"/>
        </w:rPr>
        <w:t>2001</w:t>
      </w:r>
    </w:p>
    <w:p w14:paraId="77311E05" w14:textId="77777777" w:rsidR="009E77A3" w:rsidRPr="004C15A2" w:rsidRDefault="009E77A3" w:rsidP="00097A42">
      <w:pPr>
        <w:rPr>
          <w:bCs/>
          <w:sz w:val="22"/>
          <w:szCs w:val="22"/>
          <w:u w:val="single"/>
          <w:lang w:val="sk-SK"/>
        </w:rPr>
      </w:pPr>
      <w:r w:rsidRPr="004C15A2">
        <w:rPr>
          <w:bCs/>
          <w:sz w:val="22"/>
          <w:szCs w:val="22"/>
          <w:lang w:val="sk-SK"/>
        </w:rPr>
        <w:t xml:space="preserve">Dátum posledného predĺženia registrácie: </w:t>
      </w:r>
      <w:r w:rsidR="0069205E" w:rsidRPr="004C15A2">
        <w:rPr>
          <w:bCs/>
          <w:sz w:val="22"/>
          <w:szCs w:val="22"/>
          <w:lang w:val="sk-SK"/>
        </w:rPr>
        <w:t>07</w:t>
      </w:r>
      <w:r w:rsidRPr="004C15A2">
        <w:rPr>
          <w:bCs/>
          <w:sz w:val="22"/>
          <w:szCs w:val="22"/>
          <w:lang w:val="sk-SK"/>
        </w:rPr>
        <w:t>.</w:t>
      </w:r>
      <w:r w:rsidR="004C15A2">
        <w:rPr>
          <w:bCs/>
          <w:sz w:val="22"/>
          <w:szCs w:val="22"/>
          <w:lang w:val="sk-SK"/>
        </w:rPr>
        <w:t xml:space="preserve"> apríla </w:t>
      </w:r>
      <w:r w:rsidRPr="004C15A2">
        <w:rPr>
          <w:bCs/>
          <w:sz w:val="22"/>
          <w:szCs w:val="22"/>
          <w:lang w:val="sk-SK"/>
        </w:rPr>
        <w:t>200</w:t>
      </w:r>
      <w:r w:rsidR="0069205E" w:rsidRPr="004C15A2">
        <w:rPr>
          <w:bCs/>
          <w:sz w:val="22"/>
          <w:szCs w:val="22"/>
          <w:lang w:val="sk-SK"/>
        </w:rPr>
        <w:t>8</w:t>
      </w:r>
      <w:r w:rsidRPr="004C15A2">
        <w:rPr>
          <w:bCs/>
          <w:sz w:val="22"/>
          <w:szCs w:val="22"/>
          <w:lang w:val="sk-SK"/>
        </w:rPr>
        <w:t xml:space="preserve"> </w:t>
      </w:r>
    </w:p>
    <w:p w14:paraId="35093691" w14:textId="77777777" w:rsidR="0035791E" w:rsidRPr="00170A8F" w:rsidRDefault="0035791E" w:rsidP="00170A8F">
      <w:pPr>
        <w:rPr>
          <w:b/>
          <w:sz w:val="22"/>
          <w:lang w:val="sk-SK"/>
        </w:rPr>
      </w:pPr>
    </w:p>
    <w:p w14:paraId="3D7F2241" w14:textId="77777777" w:rsidR="0035791E" w:rsidRPr="004C15A2" w:rsidRDefault="0035791E" w:rsidP="00097A42">
      <w:pPr>
        <w:rPr>
          <w:b/>
          <w:sz w:val="22"/>
          <w:szCs w:val="22"/>
          <w:lang w:val="sk-SK"/>
        </w:rPr>
      </w:pPr>
    </w:p>
    <w:p w14:paraId="5151FFB0" w14:textId="77777777" w:rsidR="0035791E" w:rsidRPr="004C15A2" w:rsidRDefault="0035791E" w:rsidP="00097A42">
      <w:pPr>
        <w:tabs>
          <w:tab w:val="left" w:pos="567"/>
        </w:tabs>
        <w:rPr>
          <w:b/>
          <w:sz w:val="22"/>
          <w:szCs w:val="22"/>
          <w:lang w:val="sk-SK"/>
        </w:rPr>
      </w:pPr>
      <w:r w:rsidRPr="004C15A2">
        <w:rPr>
          <w:b/>
          <w:sz w:val="22"/>
          <w:szCs w:val="22"/>
          <w:lang w:val="sk-SK"/>
        </w:rPr>
        <w:t>10.</w:t>
      </w:r>
      <w:r w:rsidRPr="004C15A2">
        <w:rPr>
          <w:b/>
          <w:sz w:val="22"/>
          <w:szCs w:val="22"/>
          <w:lang w:val="sk-SK"/>
        </w:rPr>
        <w:tab/>
        <w:t>DÁTUM REVÍZIE TEXTU</w:t>
      </w:r>
    </w:p>
    <w:p w14:paraId="51CAE83D" w14:textId="77777777" w:rsidR="001F7C27" w:rsidRPr="004C15A2" w:rsidRDefault="001F7C27" w:rsidP="00097A42">
      <w:pPr>
        <w:rPr>
          <w:sz w:val="22"/>
          <w:szCs w:val="22"/>
        </w:rPr>
      </w:pPr>
    </w:p>
    <w:p w14:paraId="703C5C2D" w14:textId="4F9403AB" w:rsidR="00014396" w:rsidRPr="004C15A2" w:rsidRDefault="00AF461B" w:rsidP="009D3632">
      <w:pPr>
        <w:rPr>
          <w:sz w:val="22"/>
          <w:szCs w:val="22"/>
        </w:rPr>
      </w:pPr>
      <w:r>
        <w:rPr>
          <w:sz w:val="22"/>
          <w:szCs w:val="22"/>
        </w:rPr>
        <w:t>1</w:t>
      </w:r>
      <w:r w:rsidR="00692BD8">
        <w:rPr>
          <w:sz w:val="22"/>
          <w:szCs w:val="22"/>
        </w:rPr>
        <w:t>1</w:t>
      </w:r>
      <w:r>
        <w:rPr>
          <w:sz w:val="22"/>
          <w:szCs w:val="22"/>
        </w:rPr>
        <w:t>/2020</w:t>
      </w:r>
    </w:p>
    <w:sectPr w:rsidR="00014396" w:rsidRPr="004C15A2" w:rsidSect="00170A8F">
      <w:headerReference w:type="default" r:id="rId8"/>
      <w:footerReference w:type="even" r:id="rId9"/>
      <w:footerReference w:type="default" r:id="rId10"/>
      <w:headerReference w:type="first" r:id="rId11"/>
      <w:footerReference w:type="first" r:id="rId12"/>
      <w:pgSz w:w="12240" w:h="15840" w:code="1"/>
      <w:pgMar w:top="1134" w:right="1418" w:bottom="1134" w:left="1418" w:header="737" w:footer="737"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0E71FE" w16cid:durableId="235D18D1"/>
  <w16cid:commentId w16cid:paraId="6AFDFB9A" w16cid:durableId="235D1902"/>
  <w16cid:commentId w16cid:paraId="6F0352AA" w16cid:durableId="235FA532"/>
  <w16cid:commentId w16cid:paraId="6B354741" w16cid:durableId="235FA55D"/>
  <w16cid:commentId w16cid:paraId="5F37A4C8" w16cid:durableId="235FA5FB"/>
  <w16cid:commentId w16cid:paraId="05F39635" w16cid:durableId="235D18D2"/>
  <w16cid:commentId w16cid:paraId="2286B336" w16cid:durableId="235D1AC4"/>
  <w16cid:commentId w16cid:paraId="18FFC597" w16cid:durableId="235F5D36"/>
  <w16cid:commentId w16cid:paraId="33879FF7" w16cid:durableId="235FA536"/>
  <w16cid:commentId w16cid:paraId="144096DE" w16cid:durableId="235D18D3"/>
  <w16cid:commentId w16cid:paraId="211AD29D" w16cid:durableId="235D1DA8"/>
  <w16cid:commentId w16cid:paraId="29860BAD" w16cid:durableId="235D18D4"/>
  <w16cid:commentId w16cid:paraId="0133A2BE" w16cid:durableId="235D23CB"/>
  <w16cid:commentId w16cid:paraId="4F844345" w16cid:durableId="235FA53B"/>
  <w16cid:commentId w16cid:paraId="4BCB61EF" w16cid:durableId="235D18D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54E77" w14:textId="77777777" w:rsidR="001710B1" w:rsidRDefault="001710B1">
      <w:r>
        <w:separator/>
      </w:r>
    </w:p>
  </w:endnote>
  <w:endnote w:type="continuationSeparator" w:id="0">
    <w:p w14:paraId="233DD9ED" w14:textId="77777777" w:rsidR="001710B1" w:rsidRDefault="001710B1">
      <w:r>
        <w:continuationSeparator/>
      </w:r>
    </w:p>
  </w:endnote>
  <w:endnote w:type="continuationNotice" w:id="1">
    <w:p w14:paraId="616F7FBC" w14:textId="77777777" w:rsidR="001710B1" w:rsidRDefault="001710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5BAB4" w14:textId="77777777" w:rsidR="00395896" w:rsidRDefault="00395896" w:rsidP="0035791E">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3686276" w14:textId="77777777" w:rsidR="00395896" w:rsidRDefault="00395896">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0493E" w14:textId="77777777" w:rsidR="00395896" w:rsidRPr="009D3632" w:rsidRDefault="00395896" w:rsidP="009D3632">
    <w:pPr>
      <w:pStyle w:val="Pta"/>
      <w:jc w:val="center"/>
      <w:rPr>
        <w:sz w:val="18"/>
        <w:szCs w:val="18"/>
      </w:rPr>
    </w:pPr>
    <w:r w:rsidRPr="009D3632">
      <w:rPr>
        <w:sz w:val="18"/>
        <w:szCs w:val="18"/>
      </w:rPr>
      <w:fldChar w:fldCharType="begin"/>
    </w:r>
    <w:r w:rsidRPr="009D3632">
      <w:rPr>
        <w:sz w:val="18"/>
        <w:szCs w:val="18"/>
      </w:rPr>
      <w:instrText xml:space="preserve"> PAGE   \* MERGEFORMAT </w:instrText>
    </w:r>
    <w:r w:rsidRPr="009D3632">
      <w:rPr>
        <w:sz w:val="18"/>
        <w:szCs w:val="18"/>
      </w:rPr>
      <w:fldChar w:fldCharType="separate"/>
    </w:r>
    <w:r w:rsidR="00170A8F">
      <w:rPr>
        <w:noProof/>
        <w:sz w:val="18"/>
        <w:szCs w:val="18"/>
      </w:rPr>
      <w:t>16</w:t>
    </w:r>
    <w:r w:rsidRPr="009D3632">
      <w:rPr>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21703" w14:textId="77777777" w:rsidR="00395896" w:rsidRDefault="00395896">
    <w:pPr>
      <w:pStyle w:val="Pta"/>
      <w:rPr>
        <w:rFonts w:ascii="Arial" w:hAnsi="Arial"/>
        <w:sz w:val="16"/>
        <w:szCs w:val="16"/>
        <w:lang w:val="sk-SK"/>
      </w:rPr>
    </w:pPr>
    <w:r>
      <w:rPr>
        <w:lang w:val="sk-SK"/>
      </w:rPr>
      <w:t xml:space="preserve">                                                                                   </w:t>
    </w:r>
    <w:r w:rsidRPr="00B44543">
      <w:rPr>
        <w:rFonts w:ascii="Arial" w:hAnsi="Arial"/>
        <w:sz w:val="16"/>
        <w:szCs w:val="16"/>
        <w:lang w:val="sk-SK"/>
      </w:rPr>
      <w:t>1</w:t>
    </w:r>
    <w:r>
      <w:rPr>
        <w:rFonts w:ascii="Arial" w:hAnsi="Arial"/>
        <w:sz w:val="16"/>
        <w:szCs w:val="16"/>
        <w:lang w:val="sk-SK"/>
      </w:rPr>
      <w:t xml:space="preserve">    </w:t>
    </w:r>
  </w:p>
  <w:p w14:paraId="11A9B532" w14:textId="77777777" w:rsidR="00395896" w:rsidRPr="00B44543" w:rsidRDefault="00395896">
    <w:pPr>
      <w:pStyle w:val="Pta"/>
      <w:rPr>
        <w:rFonts w:ascii="Arial" w:hAnsi="Arial"/>
        <w:sz w:val="16"/>
        <w:szCs w:val="16"/>
        <w:lang w:val="sk-SK"/>
      </w:rPr>
    </w:pPr>
    <w:r>
      <w:rPr>
        <w:rFonts w:ascii="Arial" w:hAnsi="Arial"/>
        <w:sz w:val="16"/>
        <w:szCs w:val="16"/>
        <w:lang w:val="sk-SK"/>
      </w:rPr>
      <w:t xml:space="preserve">                                                                                                        XALACOMsSPC(MRPSPC_CCDSAug2011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4E402B" w14:textId="77777777" w:rsidR="001710B1" w:rsidRDefault="001710B1">
      <w:r>
        <w:separator/>
      </w:r>
    </w:p>
  </w:footnote>
  <w:footnote w:type="continuationSeparator" w:id="0">
    <w:p w14:paraId="2E528950" w14:textId="77777777" w:rsidR="001710B1" w:rsidRDefault="001710B1">
      <w:r>
        <w:continuationSeparator/>
      </w:r>
    </w:p>
  </w:footnote>
  <w:footnote w:type="continuationNotice" w:id="1">
    <w:p w14:paraId="261CF36A" w14:textId="77777777" w:rsidR="001710B1" w:rsidRDefault="001710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D155D" w14:textId="70841180" w:rsidR="00395896" w:rsidRDefault="00395896" w:rsidP="004C15A2">
    <w:pPr>
      <w:tabs>
        <w:tab w:val="left" w:pos="567"/>
      </w:tabs>
      <w:jc w:val="both"/>
      <w:rPr>
        <w:lang w:val="sk-SK"/>
      </w:rPr>
    </w:pPr>
    <w:r>
      <w:rPr>
        <w:bCs/>
        <w:sz w:val="18"/>
        <w:szCs w:val="18"/>
        <w:lang w:val="sk-SK"/>
      </w:rPr>
      <w:t>Príloha č.</w:t>
    </w:r>
    <w:r w:rsidR="00170A8F">
      <w:rPr>
        <w:bCs/>
        <w:sz w:val="18"/>
        <w:szCs w:val="18"/>
        <w:lang w:val="sk-SK"/>
      </w:rPr>
      <w:t xml:space="preserve"> </w:t>
    </w:r>
    <w:r>
      <w:rPr>
        <w:bCs/>
        <w:sz w:val="18"/>
        <w:szCs w:val="18"/>
        <w:lang w:val="sk-SK"/>
      </w:rPr>
      <w:t xml:space="preserve">1 k notifikácii o zmene, ev.č.: </w:t>
    </w:r>
    <w:r w:rsidRPr="00DB5D86">
      <w:rPr>
        <w:bCs/>
        <w:sz w:val="18"/>
        <w:szCs w:val="18"/>
        <w:lang w:val="sk-SK"/>
      </w:rPr>
      <w:t>2020/05315-Z1B</w:t>
    </w:r>
  </w:p>
  <w:p w14:paraId="48394DB4" w14:textId="77777777" w:rsidR="00395896" w:rsidRDefault="00395896">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A9037" w14:textId="77777777" w:rsidR="00395896" w:rsidRPr="00AC0CE9" w:rsidRDefault="00395896" w:rsidP="0030771D">
    <w:pPr>
      <w:pStyle w:val="Podtitul"/>
      <w:jc w:val="left"/>
      <w:rPr>
        <w:rFonts w:ascii="Times New Roman" w:hAnsi="Times New Roman"/>
        <w:b w:val="0"/>
        <w:sz w:val="16"/>
        <w:szCs w:val="16"/>
        <w:u w:val="none"/>
      </w:rPr>
    </w:pPr>
    <w:r w:rsidRPr="00AC0CE9">
      <w:rPr>
        <w:rFonts w:ascii="Times New Roman" w:hAnsi="Times New Roman"/>
        <w:b w:val="0"/>
        <w:sz w:val="16"/>
        <w:szCs w:val="16"/>
        <w:u w:val="none"/>
      </w:rPr>
      <w:t>SCHVÁLENÝ TEXT K ROZHODNUTIU O </w:t>
    </w:r>
    <w:r w:rsidRPr="00AC0CE9">
      <w:rPr>
        <w:rFonts w:ascii="Times New Roman" w:hAnsi="Times New Roman"/>
        <w:b w:val="0"/>
        <w:caps/>
        <w:sz w:val="16"/>
        <w:szCs w:val="16"/>
        <w:u w:val="none"/>
      </w:rPr>
      <w:t>zmene</w:t>
    </w:r>
    <w:r>
      <w:rPr>
        <w:rFonts w:ascii="Times New Roman" w:hAnsi="Times New Roman"/>
        <w:b w:val="0"/>
        <w:sz w:val="16"/>
        <w:szCs w:val="16"/>
        <w:u w:val="none"/>
      </w:rPr>
      <w:t>, EV. Č. 2011/07478</w:t>
    </w:r>
  </w:p>
  <w:p w14:paraId="01AB5517" w14:textId="77777777" w:rsidR="00395896" w:rsidRPr="00F25496" w:rsidRDefault="00395896" w:rsidP="0030771D">
    <w:pPr>
      <w:jc w:val="both"/>
      <w:rPr>
        <w:caps/>
        <w:sz w:val="16"/>
        <w:szCs w:val="16"/>
      </w:rPr>
    </w:pPr>
  </w:p>
  <w:p w14:paraId="24EC154B" w14:textId="77777777" w:rsidR="00395896" w:rsidRDefault="00395896">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0269F0"/>
    <w:multiLevelType w:val="hybridMultilevel"/>
    <w:tmpl w:val="34B8D110"/>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49087911"/>
    <w:multiLevelType w:val="hybridMultilevel"/>
    <w:tmpl w:val="C9C2934C"/>
    <w:lvl w:ilvl="0" w:tplc="E474B6AE">
      <w:start w:val="1"/>
      <w:numFmt w:val="bullet"/>
      <w:lvlText w:val=""/>
      <w:lvlJc w:val="left"/>
      <w:pPr>
        <w:tabs>
          <w:tab w:val="num" w:pos="567"/>
        </w:tabs>
        <w:ind w:left="567" w:hanging="567"/>
      </w:pPr>
      <w:rPr>
        <w:rFonts w:ascii="Symbol" w:hAnsi="Symbol" w:hint="default"/>
      </w:rPr>
    </w:lvl>
    <w:lvl w:ilvl="1" w:tplc="62AA6E2A" w:tentative="1">
      <w:start w:val="1"/>
      <w:numFmt w:val="bullet"/>
      <w:lvlText w:val="o"/>
      <w:lvlJc w:val="left"/>
      <w:pPr>
        <w:tabs>
          <w:tab w:val="num" w:pos="2160"/>
        </w:tabs>
        <w:ind w:left="2160" w:hanging="360"/>
      </w:pPr>
      <w:rPr>
        <w:rFonts w:ascii="Courier New" w:hAnsi="Courier New" w:hint="default"/>
      </w:rPr>
    </w:lvl>
    <w:lvl w:ilvl="2" w:tplc="9FB43F98" w:tentative="1">
      <w:start w:val="1"/>
      <w:numFmt w:val="bullet"/>
      <w:lvlText w:val=""/>
      <w:lvlJc w:val="left"/>
      <w:pPr>
        <w:tabs>
          <w:tab w:val="num" w:pos="2880"/>
        </w:tabs>
        <w:ind w:left="2880" w:hanging="360"/>
      </w:pPr>
      <w:rPr>
        <w:rFonts w:ascii="Wingdings" w:hAnsi="Wingdings" w:hint="default"/>
      </w:rPr>
    </w:lvl>
    <w:lvl w:ilvl="3" w:tplc="03E2620E" w:tentative="1">
      <w:start w:val="1"/>
      <w:numFmt w:val="bullet"/>
      <w:lvlText w:val=""/>
      <w:lvlJc w:val="left"/>
      <w:pPr>
        <w:tabs>
          <w:tab w:val="num" w:pos="3600"/>
        </w:tabs>
        <w:ind w:left="3600" w:hanging="360"/>
      </w:pPr>
      <w:rPr>
        <w:rFonts w:ascii="Symbol" w:hAnsi="Symbol" w:hint="default"/>
      </w:rPr>
    </w:lvl>
    <w:lvl w:ilvl="4" w:tplc="37AE9B4E" w:tentative="1">
      <w:start w:val="1"/>
      <w:numFmt w:val="bullet"/>
      <w:lvlText w:val="o"/>
      <w:lvlJc w:val="left"/>
      <w:pPr>
        <w:tabs>
          <w:tab w:val="num" w:pos="4320"/>
        </w:tabs>
        <w:ind w:left="4320" w:hanging="360"/>
      </w:pPr>
      <w:rPr>
        <w:rFonts w:ascii="Courier New" w:hAnsi="Courier New" w:hint="default"/>
      </w:rPr>
    </w:lvl>
    <w:lvl w:ilvl="5" w:tplc="727C8DE2" w:tentative="1">
      <w:start w:val="1"/>
      <w:numFmt w:val="bullet"/>
      <w:lvlText w:val=""/>
      <w:lvlJc w:val="left"/>
      <w:pPr>
        <w:tabs>
          <w:tab w:val="num" w:pos="5040"/>
        </w:tabs>
        <w:ind w:left="5040" w:hanging="360"/>
      </w:pPr>
      <w:rPr>
        <w:rFonts w:ascii="Wingdings" w:hAnsi="Wingdings" w:hint="default"/>
      </w:rPr>
    </w:lvl>
    <w:lvl w:ilvl="6" w:tplc="8214CAEC" w:tentative="1">
      <w:start w:val="1"/>
      <w:numFmt w:val="bullet"/>
      <w:lvlText w:val=""/>
      <w:lvlJc w:val="left"/>
      <w:pPr>
        <w:tabs>
          <w:tab w:val="num" w:pos="5760"/>
        </w:tabs>
        <w:ind w:left="5760" w:hanging="360"/>
      </w:pPr>
      <w:rPr>
        <w:rFonts w:ascii="Symbol" w:hAnsi="Symbol" w:hint="default"/>
      </w:rPr>
    </w:lvl>
    <w:lvl w:ilvl="7" w:tplc="7D629B60" w:tentative="1">
      <w:start w:val="1"/>
      <w:numFmt w:val="bullet"/>
      <w:lvlText w:val="o"/>
      <w:lvlJc w:val="left"/>
      <w:pPr>
        <w:tabs>
          <w:tab w:val="num" w:pos="6480"/>
        </w:tabs>
        <w:ind w:left="6480" w:hanging="360"/>
      </w:pPr>
      <w:rPr>
        <w:rFonts w:ascii="Courier New" w:hAnsi="Courier New" w:hint="default"/>
      </w:rPr>
    </w:lvl>
    <w:lvl w:ilvl="8" w:tplc="5106AC50"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72172D30"/>
    <w:multiLevelType w:val="hybridMultilevel"/>
    <w:tmpl w:val="507E8C22"/>
    <w:lvl w:ilvl="0" w:tplc="1AFCB3A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7F8D1C9F"/>
    <w:multiLevelType w:val="hybridMultilevel"/>
    <w:tmpl w:val="A1A4B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91E"/>
    <w:rsid w:val="00005000"/>
    <w:rsid w:val="00014396"/>
    <w:rsid w:val="000159D9"/>
    <w:rsid w:val="0004003F"/>
    <w:rsid w:val="0006656D"/>
    <w:rsid w:val="00067D2F"/>
    <w:rsid w:val="000760CD"/>
    <w:rsid w:val="0008236C"/>
    <w:rsid w:val="0008423B"/>
    <w:rsid w:val="00086E46"/>
    <w:rsid w:val="00097A42"/>
    <w:rsid w:val="000A5722"/>
    <w:rsid w:val="000B10E0"/>
    <w:rsid w:val="000D324C"/>
    <w:rsid w:val="000D39C7"/>
    <w:rsid w:val="000D5B55"/>
    <w:rsid w:val="000E2068"/>
    <w:rsid w:val="000E2C31"/>
    <w:rsid w:val="000E60CA"/>
    <w:rsid w:val="000F0AD8"/>
    <w:rsid w:val="000F4084"/>
    <w:rsid w:val="000F6DCE"/>
    <w:rsid w:val="0010086E"/>
    <w:rsid w:val="001015FB"/>
    <w:rsid w:val="0012255C"/>
    <w:rsid w:val="001246DC"/>
    <w:rsid w:val="00126F6D"/>
    <w:rsid w:val="00130164"/>
    <w:rsid w:val="00137BF5"/>
    <w:rsid w:val="0014294F"/>
    <w:rsid w:val="00154F30"/>
    <w:rsid w:val="00170A8F"/>
    <w:rsid w:val="001710B1"/>
    <w:rsid w:val="00173624"/>
    <w:rsid w:val="0018281B"/>
    <w:rsid w:val="0018465D"/>
    <w:rsid w:val="00185C31"/>
    <w:rsid w:val="0019400D"/>
    <w:rsid w:val="001C110D"/>
    <w:rsid w:val="001C2F5D"/>
    <w:rsid w:val="001C350D"/>
    <w:rsid w:val="001C43D1"/>
    <w:rsid w:val="001C5F8C"/>
    <w:rsid w:val="001D1DF9"/>
    <w:rsid w:val="001F0E3E"/>
    <w:rsid w:val="001F1E37"/>
    <w:rsid w:val="001F26EC"/>
    <w:rsid w:val="001F7C27"/>
    <w:rsid w:val="00203504"/>
    <w:rsid w:val="0020481B"/>
    <w:rsid w:val="002117E4"/>
    <w:rsid w:val="00234474"/>
    <w:rsid w:val="00237F05"/>
    <w:rsid w:val="00245F87"/>
    <w:rsid w:val="00246F57"/>
    <w:rsid w:val="002523A5"/>
    <w:rsid w:val="002621AF"/>
    <w:rsid w:val="002732C5"/>
    <w:rsid w:val="0027665F"/>
    <w:rsid w:val="00277013"/>
    <w:rsid w:val="0028154F"/>
    <w:rsid w:val="00281793"/>
    <w:rsid w:val="0029668C"/>
    <w:rsid w:val="002A71D4"/>
    <w:rsid w:val="002B0122"/>
    <w:rsid w:val="002C0CA8"/>
    <w:rsid w:val="002C3A01"/>
    <w:rsid w:val="002C48F9"/>
    <w:rsid w:val="002D4132"/>
    <w:rsid w:val="002D725F"/>
    <w:rsid w:val="002E20CD"/>
    <w:rsid w:val="002E326C"/>
    <w:rsid w:val="002E588B"/>
    <w:rsid w:val="002E58ED"/>
    <w:rsid w:val="002F1DA0"/>
    <w:rsid w:val="00301E8E"/>
    <w:rsid w:val="00306FFC"/>
    <w:rsid w:val="003073ED"/>
    <w:rsid w:val="0030771D"/>
    <w:rsid w:val="00315989"/>
    <w:rsid w:val="00331870"/>
    <w:rsid w:val="00333265"/>
    <w:rsid w:val="0033614A"/>
    <w:rsid w:val="00344B62"/>
    <w:rsid w:val="00347ADB"/>
    <w:rsid w:val="003511FC"/>
    <w:rsid w:val="003575F0"/>
    <w:rsid w:val="0035791E"/>
    <w:rsid w:val="00360BC9"/>
    <w:rsid w:val="00395896"/>
    <w:rsid w:val="00396491"/>
    <w:rsid w:val="00397DB2"/>
    <w:rsid w:val="003A7A77"/>
    <w:rsid w:val="003B346A"/>
    <w:rsid w:val="003B6847"/>
    <w:rsid w:val="003B6E2E"/>
    <w:rsid w:val="003B73E4"/>
    <w:rsid w:val="003D0AC7"/>
    <w:rsid w:val="003D0BA5"/>
    <w:rsid w:val="003E6832"/>
    <w:rsid w:val="004124B0"/>
    <w:rsid w:val="00422C36"/>
    <w:rsid w:val="004240A7"/>
    <w:rsid w:val="00427ED0"/>
    <w:rsid w:val="0043048F"/>
    <w:rsid w:val="00443162"/>
    <w:rsid w:val="00453067"/>
    <w:rsid w:val="0045457A"/>
    <w:rsid w:val="00475873"/>
    <w:rsid w:val="00497FD8"/>
    <w:rsid w:val="004A2575"/>
    <w:rsid w:val="004B29EC"/>
    <w:rsid w:val="004B575C"/>
    <w:rsid w:val="004C0B60"/>
    <w:rsid w:val="004C15A2"/>
    <w:rsid w:val="004D2658"/>
    <w:rsid w:val="004E6276"/>
    <w:rsid w:val="004F10EA"/>
    <w:rsid w:val="004F4E74"/>
    <w:rsid w:val="004F5E0F"/>
    <w:rsid w:val="004F7B1F"/>
    <w:rsid w:val="00507517"/>
    <w:rsid w:val="00510E3D"/>
    <w:rsid w:val="0051291E"/>
    <w:rsid w:val="0051591A"/>
    <w:rsid w:val="00527239"/>
    <w:rsid w:val="005301DC"/>
    <w:rsid w:val="00544750"/>
    <w:rsid w:val="005558D2"/>
    <w:rsid w:val="00561272"/>
    <w:rsid w:val="00563692"/>
    <w:rsid w:val="00564B96"/>
    <w:rsid w:val="0059266B"/>
    <w:rsid w:val="00595594"/>
    <w:rsid w:val="00596762"/>
    <w:rsid w:val="005C4BFB"/>
    <w:rsid w:val="005C689F"/>
    <w:rsid w:val="005D1B87"/>
    <w:rsid w:val="005D73BB"/>
    <w:rsid w:val="005E3137"/>
    <w:rsid w:val="005F1F5E"/>
    <w:rsid w:val="005F6D1A"/>
    <w:rsid w:val="00602F26"/>
    <w:rsid w:val="006054C9"/>
    <w:rsid w:val="00606AB7"/>
    <w:rsid w:val="006169B6"/>
    <w:rsid w:val="00616D63"/>
    <w:rsid w:val="00616F8A"/>
    <w:rsid w:val="00631533"/>
    <w:rsid w:val="00631EDF"/>
    <w:rsid w:val="00645936"/>
    <w:rsid w:val="0065614D"/>
    <w:rsid w:val="006600EA"/>
    <w:rsid w:val="006643BA"/>
    <w:rsid w:val="00673AFB"/>
    <w:rsid w:val="00673CAC"/>
    <w:rsid w:val="0069205E"/>
    <w:rsid w:val="00692BD8"/>
    <w:rsid w:val="006A39EC"/>
    <w:rsid w:val="006A66FC"/>
    <w:rsid w:val="00707EE3"/>
    <w:rsid w:val="00715BEF"/>
    <w:rsid w:val="00726504"/>
    <w:rsid w:val="00727A06"/>
    <w:rsid w:val="00737849"/>
    <w:rsid w:val="00737BB9"/>
    <w:rsid w:val="00752F9D"/>
    <w:rsid w:val="00754DE1"/>
    <w:rsid w:val="00757AE7"/>
    <w:rsid w:val="0076268C"/>
    <w:rsid w:val="00772962"/>
    <w:rsid w:val="007759AE"/>
    <w:rsid w:val="00785ED0"/>
    <w:rsid w:val="0079507A"/>
    <w:rsid w:val="007A380E"/>
    <w:rsid w:val="007B73B9"/>
    <w:rsid w:val="007B7A7A"/>
    <w:rsid w:val="007C28C7"/>
    <w:rsid w:val="007C2C73"/>
    <w:rsid w:val="007C3A1C"/>
    <w:rsid w:val="007D426F"/>
    <w:rsid w:val="007E18DB"/>
    <w:rsid w:val="007E251E"/>
    <w:rsid w:val="007F6A02"/>
    <w:rsid w:val="0080519A"/>
    <w:rsid w:val="00813AC6"/>
    <w:rsid w:val="008203A7"/>
    <w:rsid w:val="0083143D"/>
    <w:rsid w:val="0085616C"/>
    <w:rsid w:val="00870561"/>
    <w:rsid w:val="008B3070"/>
    <w:rsid w:val="008B356F"/>
    <w:rsid w:val="008C3FC5"/>
    <w:rsid w:val="008D360D"/>
    <w:rsid w:val="008D3F74"/>
    <w:rsid w:val="008E145C"/>
    <w:rsid w:val="008E6167"/>
    <w:rsid w:val="0090601C"/>
    <w:rsid w:val="00906112"/>
    <w:rsid w:val="00906223"/>
    <w:rsid w:val="00920A3B"/>
    <w:rsid w:val="00921EDF"/>
    <w:rsid w:val="00922211"/>
    <w:rsid w:val="00933549"/>
    <w:rsid w:val="00936F81"/>
    <w:rsid w:val="009424D4"/>
    <w:rsid w:val="00946920"/>
    <w:rsid w:val="00946B07"/>
    <w:rsid w:val="00954F18"/>
    <w:rsid w:val="009602B2"/>
    <w:rsid w:val="009750ED"/>
    <w:rsid w:val="009752EE"/>
    <w:rsid w:val="00980B4B"/>
    <w:rsid w:val="009823BC"/>
    <w:rsid w:val="00983CBC"/>
    <w:rsid w:val="009863A1"/>
    <w:rsid w:val="00993873"/>
    <w:rsid w:val="00996CC5"/>
    <w:rsid w:val="009A3E35"/>
    <w:rsid w:val="009A6B8B"/>
    <w:rsid w:val="009C6160"/>
    <w:rsid w:val="009D05F5"/>
    <w:rsid w:val="009D32AC"/>
    <w:rsid w:val="009D3632"/>
    <w:rsid w:val="009D53B8"/>
    <w:rsid w:val="009E3BF4"/>
    <w:rsid w:val="009E77A3"/>
    <w:rsid w:val="00A04132"/>
    <w:rsid w:val="00A1220C"/>
    <w:rsid w:val="00A33368"/>
    <w:rsid w:val="00A40296"/>
    <w:rsid w:val="00A52A7B"/>
    <w:rsid w:val="00A57043"/>
    <w:rsid w:val="00A7222B"/>
    <w:rsid w:val="00A7317A"/>
    <w:rsid w:val="00A818DB"/>
    <w:rsid w:val="00A853F9"/>
    <w:rsid w:val="00A854F2"/>
    <w:rsid w:val="00A863D1"/>
    <w:rsid w:val="00A9664B"/>
    <w:rsid w:val="00A9749D"/>
    <w:rsid w:val="00AA15E5"/>
    <w:rsid w:val="00AB178E"/>
    <w:rsid w:val="00AB7EF9"/>
    <w:rsid w:val="00AC1608"/>
    <w:rsid w:val="00AC1EA3"/>
    <w:rsid w:val="00AC6F8B"/>
    <w:rsid w:val="00AD225A"/>
    <w:rsid w:val="00AD5EA5"/>
    <w:rsid w:val="00AD7414"/>
    <w:rsid w:val="00AF1F4F"/>
    <w:rsid w:val="00AF44AC"/>
    <w:rsid w:val="00AF461B"/>
    <w:rsid w:val="00B06EE2"/>
    <w:rsid w:val="00B3630D"/>
    <w:rsid w:val="00B54599"/>
    <w:rsid w:val="00B55705"/>
    <w:rsid w:val="00B64ACB"/>
    <w:rsid w:val="00B65904"/>
    <w:rsid w:val="00B81002"/>
    <w:rsid w:val="00B8137F"/>
    <w:rsid w:val="00B82453"/>
    <w:rsid w:val="00B85AF8"/>
    <w:rsid w:val="00B93CC3"/>
    <w:rsid w:val="00BA054F"/>
    <w:rsid w:val="00BA1033"/>
    <w:rsid w:val="00BA4AB7"/>
    <w:rsid w:val="00BA55D6"/>
    <w:rsid w:val="00BB3BAC"/>
    <w:rsid w:val="00BB515A"/>
    <w:rsid w:val="00BB5449"/>
    <w:rsid w:val="00BC2E21"/>
    <w:rsid w:val="00BC3E5B"/>
    <w:rsid w:val="00BD226C"/>
    <w:rsid w:val="00BD3773"/>
    <w:rsid w:val="00BE4A32"/>
    <w:rsid w:val="00C0390F"/>
    <w:rsid w:val="00C12806"/>
    <w:rsid w:val="00C22740"/>
    <w:rsid w:val="00C24CCF"/>
    <w:rsid w:val="00C352CD"/>
    <w:rsid w:val="00C55675"/>
    <w:rsid w:val="00C66C11"/>
    <w:rsid w:val="00C75BAC"/>
    <w:rsid w:val="00C8021B"/>
    <w:rsid w:val="00C93925"/>
    <w:rsid w:val="00C959DF"/>
    <w:rsid w:val="00C96E29"/>
    <w:rsid w:val="00C97B9E"/>
    <w:rsid w:val="00CC44E2"/>
    <w:rsid w:val="00CD2862"/>
    <w:rsid w:val="00CD2A45"/>
    <w:rsid w:val="00CD41E3"/>
    <w:rsid w:val="00CD553F"/>
    <w:rsid w:val="00CD60F5"/>
    <w:rsid w:val="00D01F51"/>
    <w:rsid w:val="00D02A2F"/>
    <w:rsid w:val="00D057B0"/>
    <w:rsid w:val="00D12A42"/>
    <w:rsid w:val="00D1375E"/>
    <w:rsid w:val="00D249CF"/>
    <w:rsid w:val="00D40AE9"/>
    <w:rsid w:val="00D42283"/>
    <w:rsid w:val="00D43BA7"/>
    <w:rsid w:val="00D452BF"/>
    <w:rsid w:val="00D57D3C"/>
    <w:rsid w:val="00D6091D"/>
    <w:rsid w:val="00D65C4E"/>
    <w:rsid w:val="00D81911"/>
    <w:rsid w:val="00D96DA2"/>
    <w:rsid w:val="00DB4240"/>
    <w:rsid w:val="00DB5D86"/>
    <w:rsid w:val="00DC1840"/>
    <w:rsid w:val="00DC2303"/>
    <w:rsid w:val="00DE20C4"/>
    <w:rsid w:val="00E13FEB"/>
    <w:rsid w:val="00E22CAE"/>
    <w:rsid w:val="00E25479"/>
    <w:rsid w:val="00E4282B"/>
    <w:rsid w:val="00E5004D"/>
    <w:rsid w:val="00E51D48"/>
    <w:rsid w:val="00E55586"/>
    <w:rsid w:val="00E57E0F"/>
    <w:rsid w:val="00E704EC"/>
    <w:rsid w:val="00E70912"/>
    <w:rsid w:val="00E73514"/>
    <w:rsid w:val="00E73F6D"/>
    <w:rsid w:val="00EA09C5"/>
    <w:rsid w:val="00EB52BF"/>
    <w:rsid w:val="00ED0973"/>
    <w:rsid w:val="00ED1591"/>
    <w:rsid w:val="00ED58C2"/>
    <w:rsid w:val="00EF611F"/>
    <w:rsid w:val="00F004BA"/>
    <w:rsid w:val="00F03AAA"/>
    <w:rsid w:val="00F150E0"/>
    <w:rsid w:val="00F30827"/>
    <w:rsid w:val="00F312A5"/>
    <w:rsid w:val="00F32DED"/>
    <w:rsid w:val="00F52D57"/>
    <w:rsid w:val="00F53499"/>
    <w:rsid w:val="00F65820"/>
    <w:rsid w:val="00F728AA"/>
    <w:rsid w:val="00F729E4"/>
    <w:rsid w:val="00F807C6"/>
    <w:rsid w:val="00F80E18"/>
    <w:rsid w:val="00F87545"/>
    <w:rsid w:val="00FA76C9"/>
    <w:rsid w:val="00FB407F"/>
    <w:rsid w:val="00FC68DF"/>
    <w:rsid w:val="00FE6FEA"/>
    <w:rsid w:val="00FF73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hapeDefaults>
    <o:shapedefaults v:ext="edit" spidmax="8193"/>
    <o:shapelayout v:ext="edit">
      <o:idmap v:ext="edit" data="1"/>
    </o:shapelayout>
  </w:shapeDefaults>
  <w:decimalSymbol w:val=","/>
  <w:listSeparator w:val=";"/>
  <w14:docId w14:val="1A0D0412"/>
  <w15:docId w15:val="{EB01D53E-F311-4578-B4B8-B000C5CC0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5791E"/>
    <w:rPr>
      <w:lang w:val="en-AU" w:eastAsia="en-US"/>
    </w:rPr>
  </w:style>
  <w:style w:type="paragraph" w:styleId="Nadpis1">
    <w:name w:val="heading 1"/>
    <w:basedOn w:val="Normlny"/>
    <w:next w:val="Normlny"/>
    <w:qFormat/>
    <w:rsid w:val="0035791E"/>
    <w:pPr>
      <w:keepNext/>
      <w:spacing w:before="120"/>
      <w:outlineLvl w:val="0"/>
    </w:pPr>
    <w:rPr>
      <w:b/>
      <w:lang w:val="sk-SK"/>
    </w:rPr>
  </w:style>
  <w:style w:type="paragraph" w:styleId="Nadpis2">
    <w:name w:val="heading 2"/>
    <w:basedOn w:val="Normlny"/>
    <w:next w:val="Normlny"/>
    <w:qFormat/>
    <w:rsid w:val="0035791E"/>
    <w:pPr>
      <w:keepNext/>
      <w:overflowPunct w:val="0"/>
      <w:autoSpaceDE w:val="0"/>
      <w:autoSpaceDN w:val="0"/>
      <w:adjustRightInd w:val="0"/>
      <w:jc w:val="both"/>
      <w:textAlignment w:val="baseline"/>
      <w:outlineLvl w:val="1"/>
    </w:pPr>
    <w:rPr>
      <w:sz w:val="24"/>
      <w:lang w:val="en-US"/>
    </w:rPr>
  </w:style>
  <w:style w:type="paragraph" w:styleId="Nadpis3">
    <w:name w:val="heading 3"/>
    <w:basedOn w:val="Normlny"/>
    <w:next w:val="Normlny"/>
    <w:qFormat/>
    <w:rsid w:val="0035791E"/>
    <w:pPr>
      <w:keepNext/>
      <w:numPr>
        <w:ilvl w:val="12"/>
      </w:numPr>
      <w:ind w:firstLine="720"/>
      <w:jc w:val="both"/>
      <w:outlineLvl w:val="2"/>
    </w:pPr>
    <w:rPr>
      <w:rFonts w:ascii="Arial" w:hAnsi="Arial" w:cs="Arial"/>
      <w:b/>
      <w:bCs/>
    </w:rPr>
  </w:style>
  <w:style w:type="paragraph" w:styleId="Nadpis4">
    <w:name w:val="heading 4"/>
    <w:basedOn w:val="Normlny"/>
    <w:next w:val="Normlny"/>
    <w:qFormat/>
    <w:rsid w:val="0035791E"/>
    <w:pPr>
      <w:keepNext/>
      <w:numPr>
        <w:ilvl w:val="12"/>
      </w:numPr>
      <w:ind w:left="720"/>
      <w:jc w:val="both"/>
      <w:outlineLvl w:val="3"/>
    </w:pPr>
    <w:rPr>
      <w:rFonts w:ascii="Arial" w:hAnsi="Arial"/>
      <w:iCs/>
      <w:u w:val="single"/>
      <w:lang w:val="sk-SK"/>
    </w:rPr>
  </w:style>
  <w:style w:type="paragraph" w:styleId="Nadpis5">
    <w:name w:val="heading 5"/>
    <w:basedOn w:val="Normlny"/>
    <w:next w:val="Normlny"/>
    <w:qFormat/>
    <w:rsid w:val="0035791E"/>
    <w:pPr>
      <w:keepNext/>
      <w:numPr>
        <w:ilvl w:val="12"/>
      </w:numPr>
      <w:ind w:left="709"/>
      <w:jc w:val="both"/>
      <w:outlineLvl w:val="4"/>
    </w:pPr>
    <w:rPr>
      <w:rFonts w:ascii="Arial" w:hAnsi="Arial"/>
      <w:u w:val="single"/>
      <w:lang w:val="sk-SK"/>
    </w:rPr>
  </w:style>
  <w:style w:type="paragraph" w:styleId="Nadpis6">
    <w:name w:val="heading 6"/>
    <w:basedOn w:val="Normlny"/>
    <w:next w:val="Normlny"/>
    <w:qFormat/>
    <w:rsid w:val="0035791E"/>
    <w:pPr>
      <w:keepNext/>
      <w:numPr>
        <w:ilvl w:val="12"/>
      </w:numPr>
      <w:ind w:left="720"/>
      <w:jc w:val="both"/>
      <w:outlineLvl w:val="5"/>
    </w:pPr>
    <w:rPr>
      <w:rFonts w:ascii="Arial" w:hAnsi="Arial"/>
      <w:b/>
      <w:bCs/>
      <w:i/>
      <w:u w:val="single"/>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5791E"/>
    <w:pPr>
      <w:tabs>
        <w:tab w:val="center" w:pos="4320"/>
        <w:tab w:val="right" w:pos="8640"/>
      </w:tabs>
      <w:overflowPunct w:val="0"/>
      <w:autoSpaceDE w:val="0"/>
      <w:autoSpaceDN w:val="0"/>
      <w:adjustRightInd w:val="0"/>
      <w:textAlignment w:val="baseline"/>
    </w:pPr>
    <w:rPr>
      <w:lang w:val="en-US"/>
    </w:rPr>
  </w:style>
  <w:style w:type="paragraph" w:styleId="Pta">
    <w:name w:val="footer"/>
    <w:basedOn w:val="Normlny"/>
    <w:link w:val="PtaChar"/>
    <w:uiPriority w:val="99"/>
    <w:rsid w:val="0035791E"/>
    <w:pPr>
      <w:tabs>
        <w:tab w:val="center" w:pos="4536"/>
        <w:tab w:val="right" w:pos="9072"/>
      </w:tabs>
      <w:overflowPunct w:val="0"/>
      <w:autoSpaceDE w:val="0"/>
      <w:autoSpaceDN w:val="0"/>
      <w:adjustRightInd w:val="0"/>
      <w:textAlignment w:val="baseline"/>
    </w:pPr>
    <w:rPr>
      <w:lang w:val="en-US"/>
    </w:rPr>
  </w:style>
  <w:style w:type="paragraph" w:styleId="Zarkazkladnhotextu">
    <w:name w:val="Body Text Indent"/>
    <w:basedOn w:val="Normlny"/>
    <w:rsid w:val="0035791E"/>
    <w:pPr>
      <w:numPr>
        <w:ilvl w:val="12"/>
      </w:numPr>
      <w:ind w:left="720"/>
      <w:jc w:val="both"/>
    </w:pPr>
    <w:rPr>
      <w:rFonts w:ascii="Arial" w:hAnsi="Arial" w:cs="Arial"/>
    </w:rPr>
  </w:style>
  <w:style w:type="character" w:styleId="slostrany">
    <w:name w:val="page number"/>
    <w:basedOn w:val="Predvolenpsmoodseku"/>
    <w:uiPriority w:val="99"/>
    <w:rsid w:val="0035791E"/>
  </w:style>
  <w:style w:type="paragraph" w:styleId="Zarkazkladnhotextu2">
    <w:name w:val="Body Text Indent 2"/>
    <w:basedOn w:val="Normlny"/>
    <w:rsid w:val="0035791E"/>
    <w:pPr>
      <w:ind w:left="709"/>
      <w:jc w:val="both"/>
    </w:pPr>
    <w:rPr>
      <w:rFonts w:ascii="Arial" w:hAnsi="Arial" w:cs="Arial"/>
      <w:lang w:val="sk-SK"/>
    </w:rPr>
  </w:style>
  <w:style w:type="paragraph" w:customStyle="1" w:styleId="Paragraph">
    <w:name w:val="Paragraph"/>
    <w:link w:val="ParagraphChar"/>
    <w:qFormat/>
    <w:rsid w:val="0035791E"/>
    <w:pPr>
      <w:spacing w:after="240"/>
    </w:pPr>
    <w:rPr>
      <w:sz w:val="24"/>
      <w:szCs w:val="24"/>
      <w:lang w:val="en-US" w:eastAsia="en-US"/>
    </w:rPr>
  </w:style>
  <w:style w:type="paragraph" w:styleId="Podtitul">
    <w:name w:val="Subtitle"/>
    <w:basedOn w:val="Normlny"/>
    <w:qFormat/>
    <w:rsid w:val="0035791E"/>
    <w:pPr>
      <w:jc w:val="center"/>
    </w:pPr>
    <w:rPr>
      <w:rFonts w:ascii="Arial" w:hAnsi="Arial"/>
      <w:b/>
      <w:sz w:val="24"/>
      <w:u w:val="single"/>
      <w:lang w:val="sk-SK" w:eastAsia="en-GB"/>
    </w:rPr>
  </w:style>
  <w:style w:type="character" w:styleId="Hypertextovprepojenie">
    <w:name w:val="Hyperlink"/>
    <w:rsid w:val="000D39C7"/>
    <w:rPr>
      <w:color w:val="0000FF"/>
      <w:u w:val="single"/>
    </w:rPr>
  </w:style>
  <w:style w:type="paragraph" w:styleId="Textbubliny">
    <w:name w:val="Balloon Text"/>
    <w:basedOn w:val="Normlny"/>
    <w:link w:val="TextbublinyChar"/>
    <w:rsid w:val="00F80E18"/>
    <w:rPr>
      <w:rFonts w:ascii="Tahoma" w:hAnsi="Tahoma"/>
      <w:sz w:val="16"/>
      <w:szCs w:val="16"/>
    </w:rPr>
  </w:style>
  <w:style w:type="character" w:customStyle="1" w:styleId="TextbublinyChar">
    <w:name w:val="Text bubliny Char"/>
    <w:link w:val="Textbubliny"/>
    <w:rsid w:val="00F80E18"/>
    <w:rPr>
      <w:rFonts w:ascii="Tahoma" w:hAnsi="Tahoma" w:cs="Tahoma"/>
      <w:sz w:val="16"/>
      <w:szCs w:val="16"/>
      <w:lang w:val="en-AU" w:eastAsia="en-US"/>
    </w:rPr>
  </w:style>
  <w:style w:type="character" w:styleId="Odkaznakomentr">
    <w:name w:val="annotation reference"/>
    <w:rsid w:val="00BD226C"/>
    <w:rPr>
      <w:sz w:val="16"/>
      <w:szCs w:val="16"/>
    </w:rPr>
  </w:style>
  <w:style w:type="paragraph" w:styleId="Textkomentra">
    <w:name w:val="annotation text"/>
    <w:basedOn w:val="Normlny"/>
    <w:link w:val="TextkomentraChar"/>
    <w:rsid w:val="00BD226C"/>
  </w:style>
  <w:style w:type="character" w:customStyle="1" w:styleId="TextkomentraChar">
    <w:name w:val="Text komentára Char"/>
    <w:link w:val="Textkomentra"/>
    <w:rsid w:val="00BD226C"/>
    <w:rPr>
      <w:lang w:val="en-AU" w:eastAsia="en-US"/>
    </w:rPr>
  </w:style>
  <w:style w:type="paragraph" w:styleId="Predmetkomentra">
    <w:name w:val="annotation subject"/>
    <w:basedOn w:val="Textkomentra"/>
    <w:next w:val="Textkomentra"/>
    <w:link w:val="PredmetkomentraChar"/>
    <w:rsid w:val="00BD226C"/>
    <w:rPr>
      <w:b/>
      <w:bCs/>
    </w:rPr>
  </w:style>
  <w:style w:type="character" w:customStyle="1" w:styleId="PredmetkomentraChar">
    <w:name w:val="Predmet komentára Char"/>
    <w:link w:val="Predmetkomentra"/>
    <w:rsid w:val="00BD226C"/>
    <w:rPr>
      <w:b/>
      <w:bCs/>
      <w:lang w:val="en-AU" w:eastAsia="en-US"/>
    </w:rPr>
  </w:style>
  <w:style w:type="paragraph" w:styleId="Revzia">
    <w:name w:val="Revision"/>
    <w:hidden/>
    <w:uiPriority w:val="99"/>
    <w:semiHidden/>
    <w:rsid w:val="008E6167"/>
    <w:rPr>
      <w:lang w:val="en-AU" w:eastAsia="en-US"/>
    </w:rPr>
  </w:style>
  <w:style w:type="character" w:customStyle="1" w:styleId="PtaChar">
    <w:name w:val="Päta Char"/>
    <w:link w:val="Pta"/>
    <w:uiPriority w:val="99"/>
    <w:locked/>
    <w:rsid w:val="005D73BB"/>
  </w:style>
  <w:style w:type="character" w:customStyle="1" w:styleId="ParagraphChar">
    <w:name w:val="Paragraph Char"/>
    <w:link w:val="Paragraph"/>
    <w:rsid w:val="000A5722"/>
    <w:rPr>
      <w:sz w:val="24"/>
      <w:szCs w:val="24"/>
    </w:rPr>
  </w:style>
  <w:style w:type="paragraph" w:customStyle="1" w:styleId="TableText">
    <w:name w:val="TableText"/>
    <w:link w:val="TableTextChar"/>
    <w:rsid w:val="002732C5"/>
    <w:rPr>
      <w:rFonts w:cs="Arial"/>
      <w:lang w:val="en-US" w:eastAsia="en-US"/>
    </w:rPr>
  </w:style>
  <w:style w:type="character" w:customStyle="1" w:styleId="TableText12">
    <w:name w:val="TableText 12"/>
    <w:rsid w:val="002732C5"/>
    <w:rPr>
      <w:rFonts w:ascii="Times New Roman" w:hAnsi="Times New Roman"/>
      <w:sz w:val="24"/>
    </w:rPr>
  </w:style>
  <w:style w:type="character" w:customStyle="1" w:styleId="TableTextChar">
    <w:name w:val="TableText Char"/>
    <w:link w:val="TableText"/>
    <w:locked/>
    <w:rsid w:val="002732C5"/>
    <w:rPr>
      <w:rFonts w:cs="Arial"/>
    </w:rPr>
  </w:style>
  <w:style w:type="character" w:customStyle="1" w:styleId="Instructions">
    <w:name w:val="Instructions"/>
    <w:rsid w:val="00BD3773"/>
    <w:rPr>
      <w:i/>
      <w:iCs/>
      <w:color w:val="008000"/>
    </w:rPr>
  </w:style>
  <w:style w:type="paragraph" w:styleId="Popis">
    <w:name w:val="caption"/>
    <w:next w:val="Paragraph"/>
    <w:qFormat/>
    <w:rsid w:val="00A9664B"/>
    <w:pPr>
      <w:keepNext/>
      <w:tabs>
        <w:tab w:val="left" w:pos="1152"/>
      </w:tabs>
      <w:spacing w:after="240"/>
      <w:ind w:left="1152" w:hanging="1152"/>
    </w:pPr>
    <w:rPr>
      <w:rFonts w:ascii="Times New Roman Bold" w:hAnsi="Times New Roman Bold" w:cs="Arial"/>
      <w:b/>
      <w:bCs/>
      <w:sz w:val="24"/>
      <w:szCs w:val="24"/>
      <w:lang w:val="en-US" w:eastAsia="en-US"/>
    </w:rPr>
  </w:style>
  <w:style w:type="paragraph" w:customStyle="1" w:styleId="TableTextColHead">
    <w:name w:val="TableText Col Head"/>
    <w:next w:val="Normlny"/>
    <w:uiPriority w:val="99"/>
    <w:rsid w:val="00A9664B"/>
    <w:pPr>
      <w:jc w:val="center"/>
    </w:pPr>
    <w:rPr>
      <w:rFonts w:ascii="Times New Roman Bold" w:hAnsi="Times New Roman Bold"/>
      <w:b/>
      <w:lang w:val="en-US" w:eastAsia="en-US"/>
    </w:rPr>
  </w:style>
  <w:style w:type="paragraph" w:styleId="Zkladntext2">
    <w:name w:val="Body Text 2"/>
    <w:basedOn w:val="Normlny"/>
    <w:link w:val="Zkladntext2Char"/>
    <w:rsid w:val="00A9664B"/>
    <w:pPr>
      <w:overflowPunct w:val="0"/>
      <w:autoSpaceDE w:val="0"/>
      <w:autoSpaceDN w:val="0"/>
      <w:adjustRightInd w:val="0"/>
      <w:spacing w:after="120" w:line="480" w:lineRule="auto"/>
      <w:textAlignment w:val="baseline"/>
    </w:pPr>
    <w:rPr>
      <w:sz w:val="24"/>
      <w:szCs w:val="24"/>
      <w:lang w:val="x-none" w:eastAsia="x-none"/>
    </w:rPr>
  </w:style>
  <w:style w:type="character" w:customStyle="1" w:styleId="Zkladntext2Char">
    <w:name w:val="Základný text 2 Char"/>
    <w:link w:val="Zkladntext2"/>
    <w:rsid w:val="00A9664B"/>
    <w:rPr>
      <w:sz w:val="24"/>
      <w:szCs w:val="24"/>
      <w:lang w:val="x-none" w:eastAsia="x-none"/>
    </w:rPr>
  </w:style>
  <w:style w:type="character" w:customStyle="1" w:styleId="HlavikaChar">
    <w:name w:val="Hlavička Char"/>
    <w:link w:val="Hlavika"/>
    <w:rsid w:val="00097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702715">
      <w:bodyDiv w:val="1"/>
      <w:marLeft w:val="0"/>
      <w:marRight w:val="0"/>
      <w:marTop w:val="0"/>
      <w:marBottom w:val="0"/>
      <w:divBdr>
        <w:top w:val="none" w:sz="0" w:space="0" w:color="auto"/>
        <w:left w:val="none" w:sz="0" w:space="0" w:color="auto"/>
        <w:bottom w:val="none" w:sz="0" w:space="0" w:color="auto"/>
        <w:right w:val="none" w:sz="0" w:space="0" w:color="auto"/>
      </w:divBdr>
      <w:divsChild>
        <w:div w:id="1721974062">
          <w:marLeft w:val="0"/>
          <w:marRight w:val="0"/>
          <w:marTop w:val="0"/>
          <w:marBottom w:val="0"/>
          <w:divBdr>
            <w:top w:val="none" w:sz="0" w:space="0" w:color="auto"/>
            <w:left w:val="none" w:sz="0" w:space="0" w:color="auto"/>
            <w:bottom w:val="none" w:sz="0" w:space="0" w:color="auto"/>
            <w:right w:val="none" w:sz="0" w:space="0" w:color="auto"/>
          </w:divBdr>
          <w:divsChild>
            <w:div w:id="2061899984">
              <w:marLeft w:val="0"/>
              <w:marRight w:val="0"/>
              <w:marTop w:val="0"/>
              <w:marBottom w:val="0"/>
              <w:divBdr>
                <w:top w:val="none" w:sz="0" w:space="0" w:color="auto"/>
                <w:left w:val="none" w:sz="0" w:space="0" w:color="auto"/>
                <w:bottom w:val="none" w:sz="0" w:space="0" w:color="auto"/>
                <w:right w:val="none" w:sz="0" w:space="0" w:color="auto"/>
              </w:divBdr>
              <w:divsChild>
                <w:div w:id="1262370857">
                  <w:marLeft w:val="0"/>
                  <w:marRight w:val="0"/>
                  <w:marTop w:val="0"/>
                  <w:marBottom w:val="0"/>
                  <w:divBdr>
                    <w:top w:val="none" w:sz="0" w:space="0" w:color="auto"/>
                    <w:left w:val="none" w:sz="0" w:space="0" w:color="auto"/>
                    <w:bottom w:val="none" w:sz="0" w:space="0" w:color="auto"/>
                    <w:right w:val="none" w:sz="0" w:space="0" w:color="auto"/>
                  </w:divBdr>
                  <w:divsChild>
                    <w:div w:id="1286303917">
                      <w:marLeft w:val="0"/>
                      <w:marRight w:val="0"/>
                      <w:marTop w:val="0"/>
                      <w:marBottom w:val="0"/>
                      <w:divBdr>
                        <w:top w:val="none" w:sz="0" w:space="0" w:color="auto"/>
                        <w:left w:val="none" w:sz="0" w:space="0" w:color="auto"/>
                        <w:bottom w:val="none" w:sz="0" w:space="0" w:color="auto"/>
                        <w:right w:val="none" w:sz="0" w:space="0" w:color="auto"/>
                      </w:divBdr>
                      <w:divsChild>
                        <w:div w:id="1570728909">
                          <w:marLeft w:val="0"/>
                          <w:marRight w:val="0"/>
                          <w:marTop w:val="0"/>
                          <w:marBottom w:val="0"/>
                          <w:divBdr>
                            <w:top w:val="none" w:sz="0" w:space="0" w:color="auto"/>
                            <w:left w:val="none" w:sz="0" w:space="0" w:color="auto"/>
                            <w:bottom w:val="none" w:sz="0" w:space="0" w:color="auto"/>
                            <w:right w:val="none" w:sz="0" w:space="0" w:color="auto"/>
                          </w:divBdr>
                          <w:divsChild>
                            <w:div w:id="1140227363">
                              <w:marLeft w:val="0"/>
                              <w:marRight w:val="0"/>
                              <w:marTop w:val="0"/>
                              <w:marBottom w:val="0"/>
                              <w:divBdr>
                                <w:top w:val="none" w:sz="0" w:space="0" w:color="auto"/>
                                <w:left w:val="none" w:sz="0" w:space="0" w:color="auto"/>
                                <w:bottom w:val="none" w:sz="0" w:space="0" w:color="auto"/>
                                <w:right w:val="none" w:sz="0" w:space="0" w:color="auto"/>
                              </w:divBdr>
                              <w:divsChild>
                                <w:div w:id="270943882">
                                  <w:marLeft w:val="0"/>
                                  <w:marRight w:val="0"/>
                                  <w:marTop w:val="0"/>
                                  <w:marBottom w:val="0"/>
                                  <w:divBdr>
                                    <w:top w:val="none" w:sz="0" w:space="0" w:color="auto"/>
                                    <w:left w:val="none" w:sz="0" w:space="0" w:color="auto"/>
                                    <w:bottom w:val="none" w:sz="0" w:space="0" w:color="auto"/>
                                    <w:right w:val="none" w:sz="0" w:space="0" w:color="auto"/>
                                  </w:divBdr>
                                  <w:divsChild>
                                    <w:div w:id="938026691">
                                      <w:marLeft w:val="60"/>
                                      <w:marRight w:val="0"/>
                                      <w:marTop w:val="0"/>
                                      <w:marBottom w:val="0"/>
                                      <w:divBdr>
                                        <w:top w:val="none" w:sz="0" w:space="0" w:color="auto"/>
                                        <w:left w:val="none" w:sz="0" w:space="0" w:color="auto"/>
                                        <w:bottom w:val="none" w:sz="0" w:space="0" w:color="auto"/>
                                        <w:right w:val="none" w:sz="0" w:space="0" w:color="auto"/>
                                      </w:divBdr>
                                      <w:divsChild>
                                        <w:div w:id="1191839509">
                                          <w:marLeft w:val="0"/>
                                          <w:marRight w:val="0"/>
                                          <w:marTop w:val="0"/>
                                          <w:marBottom w:val="0"/>
                                          <w:divBdr>
                                            <w:top w:val="none" w:sz="0" w:space="0" w:color="auto"/>
                                            <w:left w:val="none" w:sz="0" w:space="0" w:color="auto"/>
                                            <w:bottom w:val="none" w:sz="0" w:space="0" w:color="auto"/>
                                            <w:right w:val="none" w:sz="0" w:space="0" w:color="auto"/>
                                          </w:divBdr>
                                          <w:divsChild>
                                            <w:div w:id="414014769">
                                              <w:marLeft w:val="0"/>
                                              <w:marRight w:val="0"/>
                                              <w:marTop w:val="0"/>
                                              <w:marBottom w:val="120"/>
                                              <w:divBdr>
                                                <w:top w:val="single" w:sz="6" w:space="0" w:color="F5F5F5"/>
                                                <w:left w:val="single" w:sz="6" w:space="0" w:color="F5F5F5"/>
                                                <w:bottom w:val="single" w:sz="6" w:space="0" w:color="F5F5F5"/>
                                                <w:right w:val="single" w:sz="6" w:space="0" w:color="F5F5F5"/>
                                              </w:divBdr>
                                              <w:divsChild>
                                                <w:div w:id="1396472508">
                                                  <w:marLeft w:val="0"/>
                                                  <w:marRight w:val="0"/>
                                                  <w:marTop w:val="0"/>
                                                  <w:marBottom w:val="0"/>
                                                  <w:divBdr>
                                                    <w:top w:val="none" w:sz="0" w:space="0" w:color="auto"/>
                                                    <w:left w:val="none" w:sz="0" w:space="0" w:color="auto"/>
                                                    <w:bottom w:val="none" w:sz="0" w:space="0" w:color="auto"/>
                                                    <w:right w:val="none" w:sz="0" w:space="0" w:color="auto"/>
                                                  </w:divBdr>
                                                  <w:divsChild>
                                                    <w:div w:id="77872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2517952">
      <w:bodyDiv w:val="1"/>
      <w:marLeft w:val="0"/>
      <w:marRight w:val="0"/>
      <w:marTop w:val="0"/>
      <w:marBottom w:val="0"/>
      <w:divBdr>
        <w:top w:val="none" w:sz="0" w:space="0" w:color="auto"/>
        <w:left w:val="none" w:sz="0" w:space="0" w:color="auto"/>
        <w:bottom w:val="none" w:sz="0" w:space="0" w:color="auto"/>
        <w:right w:val="none" w:sz="0" w:space="0" w:color="auto"/>
      </w:divBdr>
      <w:divsChild>
        <w:div w:id="2113087088">
          <w:marLeft w:val="0"/>
          <w:marRight w:val="0"/>
          <w:marTop w:val="0"/>
          <w:marBottom w:val="0"/>
          <w:divBdr>
            <w:top w:val="none" w:sz="0" w:space="0" w:color="auto"/>
            <w:left w:val="none" w:sz="0" w:space="0" w:color="auto"/>
            <w:bottom w:val="none" w:sz="0" w:space="0" w:color="auto"/>
            <w:right w:val="none" w:sz="0" w:space="0" w:color="auto"/>
          </w:divBdr>
          <w:divsChild>
            <w:div w:id="1100830276">
              <w:marLeft w:val="0"/>
              <w:marRight w:val="0"/>
              <w:marTop w:val="0"/>
              <w:marBottom w:val="0"/>
              <w:divBdr>
                <w:top w:val="none" w:sz="0" w:space="0" w:color="auto"/>
                <w:left w:val="none" w:sz="0" w:space="0" w:color="auto"/>
                <w:bottom w:val="none" w:sz="0" w:space="0" w:color="auto"/>
                <w:right w:val="none" w:sz="0" w:space="0" w:color="auto"/>
              </w:divBdr>
              <w:divsChild>
                <w:div w:id="1649941691">
                  <w:marLeft w:val="0"/>
                  <w:marRight w:val="0"/>
                  <w:marTop w:val="0"/>
                  <w:marBottom w:val="0"/>
                  <w:divBdr>
                    <w:top w:val="none" w:sz="0" w:space="0" w:color="auto"/>
                    <w:left w:val="none" w:sz="0" w:space="0" w:color="auto"/>
                    <w:bottom w:val="none" w:sz="0" w:space="0" w:color="auto"/>
                    <w:right w:val="none" w:sz="0" w:space="0" w:color="auto"/>
                  </w:divBdr>
                  <w:divsChild>
                    <w:div w:id="1630163299">
                      <w:marLeft w:val="0"/>
                      <w:marRight w:val="0"/>
                      <w:marTop w:val="0"/>
                      <w:marBottom w:val="0"/>
                      <w:divBdr>
                        <w:top w:val="none" w:sz="0" w:space="0" w:color="auto"/>
                        <w:left w:val="none" w:sz="0" w:space="0" w:color="auto"/>
                        <w:bottom w:val="none" w:sz="0" w:space="0" w:color="auto"/>
                        <w:right w:val="none" w:sz="0" w:space="0" w:color="auto"/>
                      </w:divBdr>
                      <w:divsChild>
                        <w:div w:id="1413816491">
                          <w:marLeft w:val="0"/>
                          <w:marRight w:val="0"/>
                          <w:marTop w:val="0"/>
                          <w:marBottom w:val="0"/>
                          <w:divBdr>
                            <w:top w:val="none" w:sz="0" w:space="0" w:color="auto"/>
                            <w:left w:val="none" w:sz="0" w:space="0" w:color="auto"/>
                            <w:bottom w:val="none" w:sz="0" w:space="0" w:color="auto"/>
                            <w:right w:val="none" w:sz="0" w:space="0" w:color="auto"/>
                          </w:divBdr>
                          <w:divsChild>
                            <w:div w:id="1981492236">
                              <w:marLeft w:val="0"/>
                              <w:marRight w:val="0"/>
                              <w:marTop w:val="0"/>
                              <w:marBottom w:val="0"/>
                              <w:divBdr>
                                <w:top w:val="none" w:sz="0" w:space="0" w:color="auto"/>
                                <w:left w:val="none" w:sz="0" w:space="0" w:color="auto"/>
                                <w:bottom w:val="none" w:sz="0" w:space="0" w:color="auto"/>
                                <w:right w:val="none" w:sz="0" w:space="0" w:color="auto"/>
                              </w:divBdr>
                              <w:divsChild>
                                <w:div w:id="1173690700">
                                  <w:marLeft w:val="0"/>
                                  <w:marRight w:val="0"/>
                                  <w:marTop w:val="0"/>
                                  <w:marBottom w:val="0"/>
                                  <w:divBdr>
                                    <w:top w:val="none" w:sz="0" w:space="0" w:color="auto"/>
                                    <w:left w:val="none" w:sz="0" w:space="0" w:color="auto"/>
                                    <w:bottom w:val="none" w:sz="0" w:space="0" w:color="auto"/>
                                    <w:right w:val="none" w:sz="0" w:space="0" w:color="auto"/>
                                  </w:divBdr>
                                  <w:divsChild>
                                    <w:div w:id="1420756264">
                                      <w:marLeft w:val="60"/>
                                      <w:marRight w:val="0"/>
                                      <w:marTop w:val="0"/>
                                      <w:marBottom w:val="0"/>
                                      <w:divBdr>
                                        <w:top w:val="none" w:sz="0" w:space="0" w:color="auto"/>
                                        <w:left w:val="none" w:sz="0" w:space="0" w:color="auto"/>
                                        <w:bottom w:val="none" w:sz="0" w:space="0" w:color="auto"/>
                                        <w:right w:val="none" w:sz="0" w:space="0" w:color="auto"/>
                                      </w:divBdr>
                                      <w:divsChild>
                                        <w:div w:id="185288244">
                                          <w:marLeft w:val="0"/>
                                          <w:marRight w:val="0"/>
                                          <w:marTop w:val="0"/>
                                          <w:marBottom w:val="0"/>
                                          <w:divBdr>
                                            <w:top w:val="none" w:sz="0" w:space="0" w:color="auto"/>
                                            <w:left w:val="none" w:sz="0" w:space="0" w:color="auto"/>
                                            <w:bottom w:val="none" w:sz="0" w:space="0" w:color="auto"/>
                                            <w:right w:val="none" w:sz="0" w:space="0" w:color="auto"/>
                                          </w:divBdr>
                                          <w:divsChild>
                                            <w:div w:id="1890609940">
                                              <w:marLeft w:val="0"/>
                                              <w:marRight w:val="0"/>
                                              <w:marTop w:val="0"/>
                                              <w:marBottom w:val="120"/>
                                              <w:divBdr>
                                                <w:top w:val="single" w:sz="6" w:space="0" w:color="F5F5F5"/>
                                                <w:left w:val="single" w:sz="6" w:space="0" w:color="F5F5F5"/>
                                                <w:bottom w:val="single" w:sz="6" w:space="0" w:color="F5F5F5"/>
                                                <w:right w:val="single" w:sz="6" w:space="0" w:color="F5F5F5"/>
                                              </w:divBdr>
                                              <w:divsChild>
                                                <w:div w:id="287669980">
                                                  <w:marLeft w:val="0"/>
                                                  <w:marRight w:val="0"/>
                                                  <w:marTop w:val="0"/>
                                                  <w:marBottom w:val="0"/>
                                                  <w:divBdr>
                                                    <w:top w:val="none" w:sz="0" w:space="0" w:color="auto"/>
                                                    <w:left w:val="none" w:sz="0" w:space="0" w:color="auto"/>
                                                    <w:bottom w:val="none" w:sz="0" w:space="0" w:color="auto"/>
                                                    <w:right w:val="none" w:sz="0" w:space="0" w:color="auto"/>
                                                  </w:divBdr>
                                                  <w:divsChild>
                                                    <w:div w:id="235171223">
                                                      <w:marLeft w:val="0"/>
                                                      <w:marRight w:val="0"/>
                                                      <w:marTop w:val="0"/>
                                                      <w:marBottom w:val="0"/>
                                                      <w:divBdr>
                                                        <w:top w:val="none" w:sz="0" w:space="0" w:color="auto"/>
                                                        <w:left w:val="none" w:sz="0" w:space="0" w:color="auto"/>
                                                        <w:bottom w:val="none" w:sz="0" w:space="0" w:color="auto"/>
                                                        <w:right w:val="none" w:sz="0" w:space="0" w:color="auto"/>
                                                      </w:divBdr>
                                                      <w:divsChild>
                                                        <w:div w:id="217208728">
                                                          <w:marLeft w:val="0"/>
                                                          <w:marRight w:val="0"/>
                                                          <w:marTop w:val="0"/>
                                                          <w:marBottom w:val="0"/>
                                                          <w:divBdr>
                                                            <w:top w:val="none" w:sz="0" w:space="0" w:color="auto"/>
                                                            <w:left w:val="none" w:sz="0" w:space="0" w:color="auto"/>
                                                            <w:bottom w:val="none" w:sz="0" w:space="0" w:color="auto"/>
                                                            <w:right w:val="none" w:sz="0" w:space="0" w:color="auto"/>
                                                          </w:divBdr>
                                                        </w:div>
                                                      </w:divsChild>
                                                    </w:div>
                                                    <w:div w:id="2053459173">
                                                      <w:marLeft w:val="0"/>
                                                      <w:marRight w:val="0"/>
                                                      <w:marTop w:val="0"/>
                                                      <w:marBottom w:val="0"/>
                                                      <w:divBdr>
                                                        <w:top w:val="none" w:sz="0" w:space="0" w:color="auto"/>
                                                        <w:left w:val="none" w:sz="0" w:space="0" w:color="auto"/>
                                                        <w:bottom w:val="none" w:sz="0" w:space="0" w:color="auto"/>
                                                        <w:right w:val="none" w:sz="0" w:space="0" w:color="auto"/>
                                                      </w:divBdr>
                                                      <w:divsChild>
                                                        <w:div w:id="1870022951">
                                                          <w:marLeft w:val="0"/>
                                                          <w:marRight w:val="120"/>
                                                          <w:marTop w:val="90"/>
                                                          <w:marBottom w:val="0"/>
                                                          <w:divBdr>
                                                            <w:top w:val="none" w:sz="0" w:space="0" w:color="auto"/>
                                                            <w:left w:val="none" w:sz="0" w:space="0" w:color="auto"/>
                                                            <w:bottom w:val="none" w:sz="0" w:space="0" w:color="auto"/>
                                                            <w:right w:val="none" w:sz="0" w:space="0" w:color="auto"/>
                                                          </w:divBdr>
                                                        </w:div>
                                                      </w:divsChild>
                                                    </w:div>
                                                  </w:divsChild>
                                                </w:div>
                                                <w:div w:id="1621302941">
                                                  <w:marLeft w:val="0"/>
                                                  <w:marRight w:val="0"/>
                                                  <w:marTop w:val="0"/>
                                                  <w:marBottom w:val="0"/>
                                                  <w:divBdr>
                                                    <w:top w:val="none" w:sz="0" w:space="0" w:color="auto"/>
                                                    <w:left w:val="none" w:sz="0" w:space="0" w:color="auto"/>
                                                    <w:bottom w:val="none" w:sz="0" w:space="0" w:color="auto"/>
                                                    <w:right w:val="none" w:sz="0" w:space="0" w:color="auto"/>
                                                  </w:divBdr>
                                                  <w:divsChild>
                                                    <w:div w:id="1940411917">
                                                      <w:marLeft w:val="0"/>
                                                      <w:marRight w:val="0"/>
                                                      <w:marTop w:val="0"/>
                                                      <w:marBottom w:val="0"/>
                                                      <w:divBdr>
                                                        <w:top w:val="none" w:sz="0" w:space="0" w:color="auto"/>
                                                        <w:left w:val="none" w:sz="0" w:space="0" w:color="auto"/>
                                                        <w:bottom w:val="none" w:sz="0" w:space="0" w:color="auto"/>
                                                        <w:right w:val="none" w:sz="0" w:space="0" w:color="auto"/>
                                                      </w:divBdr>
                                                      <w:divsChild>
                                                        <w:div w:id="123404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6934292">
      <w:bodyDiv w:val="1"/>
      <w:marLeft w:val="0"/>
      <w:marRight w:val="0"/>
      <w:marTop w:val="0"/>
      <w:marBottom w:val="0"/>
      <w:divBdr>
        <w:top w:val="none" w:sz="0" w:space="0" w:color="auto"/>
        <w:left w:val="none" w:sz="0" w:space="0" w:color="auto"/>
        <w:bottom w:val="none" w:sz="0" w:space="0" w:color="auto"/>
        <w:right w:val="none" w:sz="0" w:space="0" w:color="auto"/>
      </w:divBdr>
    </w:div>
    <w:div w:id="1926719696">
      <w:bodyDiv w:val="1"/>
      <w:marLeft w:val="0"/>
      <w:marRight w:val="0"/>
      <w:marTop w:val="0"/>
      <w:marBottom w:val="0"/>
      <w:divBdr>
        <w:top w:val="none" w:sz="0" w:space="0" w:color="auto"/>
        <w:left w:val="none" w:sz="0" w:space="0" w:color="auto"/>
        <w:bottom w:val="none" w:sz="0" w:space="0" w:color="auto"/>
        <w:right w:val="none" w:sz="0" w:space="0" w:color="auto"/>
      </w:divBdr>
      <w:divsChild>
        <w:div w:id="1457915097">
          <w:marLeft w:val="0"/>
          <w:marRight w:val="0"/>
          <w:marTop w:val="0"/>
          <w:marBottom w:val="0"/>
          <w:divBdr>
            <w:top w:val="none" w:sz="0" w:space="0" w:color="auto"/>
            <w:left w:val="none" w:sz="0" w:space="0" w:color="auto"/>
            <w:bottom w:val="none" w:sz="0" w:space="0" w:color="auto"/>
            <w:right w:val="none" w:sz="0" w:space="0" w:color="auto"/>
          </w:divBdr>
          <w:divsChild>
            <w:div w:id="983463032">
              <w:marLeft w:val="0"/>
              <w:marRight w:val="0"/>
              <w:marTop w:val="0"/>
              <w:marBottom w:val="0"/>
              <w:divBdr>
                <w:top w:val="none" w:sz="0" w:space="0" w:color="auto"/>
                <w:left w:val="none" w:sz="0" w:space="0" w:color="auto"/>
                <w:bottom w:val="none" w:sz="0" w:space="0" w:color="auto"/>
                <w:right w:val="none" w:sz="0" w:space="0" w:color="auto"/>
              </w:divBdr>
              <w:divsChild>
                <w:div w:id="724455117">
                  <w:marLeft w:val="0"/>
                  <w:marRight w:val="0"/>
                  <w:marTop w:val="0"/>
                  <w:marBottom w:val="0"/>
                  <w:divBdr>
                    <w:top w:val="none" w:sz="0" w:space="0" w:color="auto"/>
                    <w:left w:val="none" w:sz="0" w:space="0" w:color="auto"/>
                    <w:bottom w:val="none" w:sz="0" w:space="0" w:color="auto"/>
                    <w:right w:val="none" w:sz="0" w:space="0" w:color="auto"/>
                  </w:divBdr>
                  <w:divsChild>
                    <w:div w:id="1788154235">
                      <w:marLeft w:val="0"/>
                      <w:marRight w:val="0"/>
                      <w:marTop w:val="0"/>
                      <w:marBottom w:val="0"/>
                      <w:divBdr>
                        <w:top w:val="none" w:sz="0" w:space="0" w:color="auto"/>
                        <w:left w:val="none" w:sz="0" w:space="0" w:color="auto"/>
                        <w:bottom w:val="none" w:sz="0" w:space="0" w:color="auto"/>
                        <w:right w:val="none" w:sz="0" w:space="0" w:color="auto"/>
                      </w:divBdr>
                      <w:divsChild>
                        <w:div w:id="1250893619">
                          <w:marLeft w:val="0"/>
                          <w:marRight w:val="0"/>
                          <w:marTop w:val="0"/>
                          <w:marBottom w:val="0"/>
                          <w:divBdr>
                            <w:top w:val="none" w:sz="0" w:space="0" w:color="auto"/>
                            <w:left w:val="none" w:sz="0" w:space="0" w:color="auto"/>
                            <w:bottom w:val="none" w:sz="0" w:space="0" w:color="auto"/>
                            <w:right w:val="none" w:sz="0" w:space="0" w:color="auto"/>
                          </w:divBdr>
                          <w:divsChild>
                            <w:div w:id="1895434523">
                              <w:marLeft w:val="0"/>
                              <w:marRight w:val="0"/>
                              <w:marTop w:val="0"/>
                              <w:marBottom w:val="0"/>
                              <w:divBdr>
                                <w:top w:val="none" w:sz="0" w:space="0" w:color="auto"/>
                                <w:left w:val="none" w:sz="0" w:space="0" w:color="auto"/>
                                <w:bottom w:val="none" w:sz="0" w:space="0" w:color="auto"/>
                                <w:right w:val="none" w:sz="0" w:space="0" w:color="auto"/>
                              </w:divBdr>
                              <w:divsChild>
                                <w:div w:id="1847553265">
                                  <w:marLeft w:val="0"/>
                                  <w:marRight w:val="0"/>
                                  <w:marTop w:val="0"/>
                                  <w:marBottom w:val="0"/>
                                  <w:divBdr>
                                    <w:top w:val="none" w:sz="0" w:space="0" w:color="auto"/>
                                    <w:left w:val="none" w:sz="0" w:space="0" w:color="auto"/>
                                    <w:bottom w:val="none" w:sz="0" w:space="0" w:color="auto"/>
                                    <w:right w:val="none" w:sz="0" w:space="0" w:color="auto"/>
                                  </w:divBdr>
                                  <w:divsChild>
                                    <w:div w:id="836576265">
                                      <w:marLeft w:val="60"/>
                                      <w:marRight w:val="0"/>
                                      <w:marTop w:val="0"/>
                                      <w:marBottom w:val="0"/>
                                      <w:divBdr>
                                        <w:top w:val="none" w:sz="0" w:space="0" w:color="auto"/>
                                        <w:left w:val="none" w:sz="0" w:space="0" w:color="auto"/>
                                        <w:bottom w:val="none" w:sz="0" w:space="0" w:color="auto"/>
                                        <w:right w:val="none" w:sz="0" w:space="0" w:color="auto"/>
                                      </w:divBdr>
                                      <w:divsChild>
                                        <w:div w:id="391587734">
                                          <w:marLeft w:val="0"/>
                                          <w:marRight w:val="0"/>
                                          <w:marTop w:val="0"/>
                                          <w:marBottom w:val="0"/>
                                          <w:divBdr>
                                            <w:top w:val="none" w:sz="0" w:space="0" w:color="auto"/>
                                            <w:left w:val="none" w:sz="0" w:space="0" w:color="auto"/>
                                            <w:bottom w:val="none" w:sz="0" w:space="0" w:color="auto"/>
                                            <w:right w:val="none" w:sz="0" w:space="0" w:color="auto"/>
                                          </w:divBdr>
                                          <w:divsChild>
                                            <w:div w:id="2088913926">
                                              <w:marLeft w:val="0"/>
                                              <w:marRight w:val="0"/>
                                              <w:marTop w:val="0"/>
                                              <w:marBottom w:val="120"/>
                                              <w:divBdr>
                                                <w:top w:val="single" w:sz="6" w:space="0" w:color="F5F5F5"/>
                                                <w:left w:val="single" w:sz="6" w:space="0" w:color="F5F5F5"/>
                                                <w:bottom w:val="single" w:sz="6" w:space="0" w:color="F5F5F5"/>
                                                <w:right w:val="single" w:sz="6" w:space="0" w:color="F5F5F5"/>
                                              </w:divBdr>
                                              <w:divsChild>
                                                <w:div w:id="1259287405">
                                                  <w:marLeft w:val="0"/>
                                                  <w:marRight w:val="0"/>
                                                  <w:marTop w:val="0"/>
                                                  <w:marBottom w:val="0"/>
                                                  <w:divBdr>
                                                    <w:top w:val="none" w:sz="0" w:space="0" w:color="auto"/>
                                                    <w:left w:val="none" w:sz="0" w:space="0" w:color="auto"/>
                                                    <w:bottom w:val="none" w:sz="0" w:space="0" w:color="auto"/>
                                                    <w:right w:val="none" w:sz="0" w:space="0" w:color="auto"/>
                                                  </w:divBdr>
                                                  <w:divsChild>
                                                    <w:div w:id="528572492">
                                                      <w:marLeft w:val="0"/>
                                                      <w:marRight w:val="0"/>
                                                      <w:marTop w:val="0"/>
                                                      <w:marBottom w:val="0"/>
                                                      <w:divBdr>
                                                        <w:top w:val="none" w:sz="0" w:space="0" w:color="auto"/>
                                                        <w:left w:val="none" w:sz="0" w:space="0" w:color="auto"/>
                                                        <w:bottom w:val="none" w:sz="0" w:space="0" w:color="auto"/>
                                                        <w:right w:val="none" w:sz="0" w:space="0" w:color="auto"/>
                                                      </w:divBdr>
                                                      <w:divsChild>
                                                        <w:div w:id="831607838">
                                                          <w:marLeft w:val="0"/>
                                                          <w:marRight w:val="0"/>
                                                          <w:marTop w:val="0"/>
                                                          <w:marBottom w:val="0"/>
                                                          <w:divBdr>
                                                            <w:top w:val="none" w:sz="0" w:space="0" w:color="auto"/>
                                                            <w:left w:val="none" w:sz="0" w:space="0" w:color="auto"/>
                                                            <w:bottom w:val="none" w:sz="0" w:space="0" w:color="auto"/>
                                                            <w:right w:val="none" w:sz="0" w:space="0" w:color="auto"/>
                                                          </w:divBdr>
                                                        </w:div>
                                                      </w:divsChild>
                                                    </w:div>
                                                    <w:div w:id="855847571">
                                                      <w:marLeft w:val="0"/>
                                                      <w:marRight w:val="0"/>
                                                      <w:marTop w:val="0"/>
                                                      <w:marBottom w:val="0"/>
                                                      <w:divBdr>
                                                        <w:top w:val="none" w:sz="0" w:space="0" w:color="auto"/>
                                                        <w:left w:val="none" w:sz="0" w:space="0" w:color="auto"/>
                                                        <w:bottom w:val="none" w:sz="0" w:space="0" w:color="auto"/>
                                                        <w:right w:val="none" w:sz="0" w:space="0" w:color="auto"/>
                                                      </w:divBdr>
                                                      <w:divsChild>
                                                        <w:div w:id="1507594699">
                                                          <w:marLeft w:val="0"/>
                                                          <w:marRight w:val="120"/>
                                                          <w:marTop w:val="90"/>
                                                          <w:marBottom w:val="0"/>
                                                          <w:divBdr>
                                                            <w:top w:val="none" w:sz="0" w:space="0" w:color="auto"/>
                                                            <w:left w:val="none" w:sz="0" w:space="0" w:color="auto"/>
                                                            <w:bottom w:val="none" w:sz="0" w:space="0" w:color="auto"/>
                                                            <w:right w:val="none" w:sz="0" w:space="0" w:color="auto"/>
                                                          </w:divBdr>
                                                        </w:div>
                                                      </w:divsChild>
                                                    </w:div>
                                                  </w:divsChild>
                                                </w:div>
                                                <w:div w:id="1928614966">
                                                  <w:marLeft w:val="0"/>
                                                  <w:marRight w:val="0"/>
                                                  <w:marTop w:val="0"/>
                                                  <w:marBottom w:val="0"/>
                                                  <w:divBdr>
                                                    <w:top w:val="none" w:sz="0" w:space="0" w:color="auto"/>
                                                    <w:left w:val="none" w:sz="0" w:space="0" w:color="auto"/>
                                                    <w:bottom w:val="none" w:sz="0" w:space="0" w:color="auto"/>
                                                    <w:right w:val="none" w:sz="0" w:space="0" w:color="auto"/>
                                                  </w:divBdr>
                                                  <w:divsChild>
                                                    <w:div w:id="333151244">
                                                      <w:marLeft w:val="0"/>
                                                      <w:marRight w:val="0"/>
                                                      <w:marTop w:val="0"/>
                                                      <w:marBottom w:val="0"/>
                                                      <w:divBdr>
                                                        <w:top w:val="none" w:sz="0" w:space="0" w:color="auto"/>
                                                        <w:left w:val="none" w:sz="0" w:space="0" w:color="auto"/>
                                                        <w:bottom w:val="none" w:sz="0" w:space="0" w:color="auto"/>
                                                        <w:right w:val="none" w:sz="0" w:space="0" w:color="auto"/>
                                                      </w:divBdr>
                                                      <w:divsChild>
                                                        <w:div w:id="104965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1126477">
      <w:bodyDiv w:val="1"/>
      <w:marLeft w:val="0"/>
      <w:marRight w:val="0"/>
      <w:marTop w:val="0"/>
      <w:marBottom w:val="0"/>
      <w:divBdr>
        <w:top w:val="none" w:sz="0" w:space="0" w:color="auto"/>
        <w:left w:val="none" w:sz="0" w:space="0" w:color="auto"/>
        <w:bottom w:val="none" w:sz="0" w:space="0" w:color="auto"/>
        <w:right w:val="none" w:sz="0" w:space="0" w:color="auto"/>
      </w:divBdr>
      <w:divsChild>
        <w:div w:id="1251621892">
          <w:marLeft w:val="0"/>
          <w:marRight w:val="0"/>
          <w:marTop w:val="0"/>
          <w:marBottom w:val="0"/>
          <w:divBdr>
            <w:top w:val="none" w:sz="0" w:space="0" w:color="auto"/>
            <w:left w:val="none" w:sz="0" w:space="0" w:color="auto"/>
            <w:bottom w:val="none" w:sz="0" w:space="0" w:color="auto"/>
            <w:right w:val="none" w:sz="0" w:space="0" w:color="auto"/>
          </w:divBdr>
          <w:divsChild>
            <w:div w:id="1522696156">
              <w:marLeft w:val="0"/>
              <w:marRight w:val="0"/>
              <w:marTop w:val="0"/>
              <w:marBottom w:val="0"/>
              <w:divBdr>
                <w:top w:val="none" w:sz="0" w:space="0" w:color="auto"/>
                <w:left w:val="none" w:sz="0" w:space="0" w:color="auto"/>
                <w:bottom w:val="none" w:sz="0" w:space="0" w:color="auto"/>
                <w:right w:val="none" w:sz="0" w:space="0" w:color="auto"/>
              </w:divBdr>
              <w:divsChild>
                <w:div w:id="1401514968">
                  <w:marLeft w:val="0"/>
                  <w:marRight w:val="0"/>
                  <w:marTop w:val="0"/>
                  <w:marBottom w:val="0"/>
                  <w:divBdr>
                    <w:top w:val="none" w:sz="0" w:space="0" w:color="auto"/>
                    <w:left w:val="none" w:sz="0" w:space="0" w:color="auto"/>
                    <w:bottom w:val="none" w:sz="0" w:space="0" w:color="auto"/>
                    <w:right w:val="none" w:sz="0" w:space="0" w:color="auto"/>
                  </w:divBdr>
                  <w:divsChild>
                    <w:div w:id="889267949">
                      <w:marLeft w:val="0"/>
                      <w:marRight w:val="0"/>
                      <w:marTop w:val="0"/>
                      <w:marBottom w:val="0"/>
                      <w:divBdr>
                        <w:top w:val="none" w:sz="0" w:space="0" w:color="auto"/>
                        <w:left w:val="none" w:sz="0" w:space="0" w:color="auto"/>
                        <w:bottom w:val="none" w:sz="0" w:space="0" w:color="auto"/>
                        <w:right w:val="none" w:sz="0" w:space="0" w:color="auto"/>
                      </w:divBdr>
                      <w:divsChild>
                        <w:div w:id="951669627">
                          <w:marLeft w:val="0"/>
                          <w:marRight w:val="0"/>
                          <w:marTop w:val="0"/>
                          <w:marBottom w:val="0"/>
                          <w:divBdr>
                            <w:top w:val="none" w:sz="0" w:space="0" w:color="auto"/>
                            <w:left w:val="none" w:sz="0" w:space="0" w:color="auto"/>
                            <w:bottom w:val="none" w:sz="0" w:space="0" w:color="auto"/>
                            <w:right w:val="none" w:sz="0" w:space="0" w:color="auto"/>
                          </w:divBdr>
                          <w:divsChild>
                            <w:div w:id="278487926">
                              <w:marLeft w:val="0"/>
                              <w:marRight w:val="0"/>
                              <w:marTop w:val="0"/>
                              <w:marBottom w:val="0"/>
                              <w:divBdr>
                                <w:top w:val="none" w:sz="0" w:space="0" w:color="auto"/>
                                <w:left w:val="none" w:sz="0" w:space="0" w:color="auto"/>
                                <w:bottom w:val="none" w:sz="0" w:space="0" w:color="auto"/>
                                <w:right w:val="none" w:sz="0" w:space="0" w:color="auto"/>
                              </w:divBdr>
                              <w:divsChild>
                                <w:div w:id="1781415517">
                                  <w:marLeft w:val="0"/>
                                  <w:marRight w:val="0"/>
                                  <w:marTop w:val="0"/>
                                  <w:marBottom w:val="0"/>
                                  <w:divBdr>
                                    <w:top w:val="none" w:sz="0" w:space="0" w:color="auto"/>
                                    <w:left w:val="none" w:sz="0" w:space="0" w:color="auto"/>
                                    <w:bottom w:val="none" w:sz="0" w:space="0" w:color="auto"/>
                                    <w:right w:val="none" w:sz="0" w:space="0" w:color="auto"/>
                                  </w:divBdr>
                                  <w:divsChild>
                                    <w:div w:id="636692038">
                                      <w:marLeft w:val="60"/>
                                      <w:marRight w:val="0"/>
                                      <w:marTop w:val="0"/>
                                      <w:marBottom w:val="0"/>
                                      <w:divBdr>
                                        <w:top w:val="none" w:sz="0" w:space="0" w:color="auto"/>
                                        <w:left w:val="none" w:sz="0" w:space="0" w:color="auto"/>
                                        <w:bottom w:val="none" w:sz="0" w:space="0" w:color="auto"/>
                                        <w:right w:val="none" w:sz="0" w:space="0" w:color="auto"/>
                                      </w:divBdr>
                                      <w:divsChild>
                                        <w:div w:id="110829214">
                                          <w:marLeft w:val="0"/>
                                          <w:marRight w:val="0"/>
                                          <w:marTop w:val="0"/>
                                          <w:marBottom w:val="0"/>
                                          <w:divBdr>
                                            <w:top w:val="none" w:sz="0" w:space="0" w:color="auto"/>
                                            <w:left w:val="none" w:sz="0" w:space="0" w:color="auto"/>
                                            <w:bottom w:val="none" w:sz="0" w:space="0" w:color="auto"/>
                                            <w:right w:val="none" w:sz="0" w:space="0" w:color="auto"/>
                                          </w:divBdr>
                                          <w:divsChild>
                                            <w:div w:id="1261330579">
                                              <w:marLeft w:val="0"/>
                                              <w:marRight w:val="0"/>
                                              <w:marTop w:val="0"/>
                                              <w:marBottom w:val="120"/>
                                              <w:divBdr>
                                                <w:top w:val="single" w:sz="6" w:space="0" w:color="F5F5F5"/>
                                                <w:left w:val="single" w:sz="6" w:space="0" w:color="F5F5F5"/>
                                                <w:bottom w:val="single" w:sz="6" w:space="0" w:color="F5F5F5"/>
                                                <w:right w:val="single" w:sz="6" w:space="0" w:color="F5F5F5"/>
                                              </w:divBdr>
                                              <w:divsChild>
                                                <w:div w:id="1305235513">
                                                  <w:marLeft w:val="0"/>
                                                  <w:marRight w:val="0"/>
                                                  <w:marTop w:val="0"/>
                                                  <w:marBottom w:val="0"/>
                                                  <w:divBdr>
                                                    <w:top w:val="none" w:sz="0" w:space="0" w:color="auto"/>
                                                    <w:left w:val="none" w:sz="0" w:space="0" w:color="auto"/>
                                                    <w:bottom w:val="none" w:sz="0" w:space="0" w:color="auto"/>
                                                    <w:right w:val="none" w:sz="0" w:space="0" w:color="auto"/>
                                                  </w:divBdr>
                                                  <w:divsChild>
                                                    <w:div w:id="155407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5314</Words>
  <Characters>30291</Characters>
  <Application>Microsoft Office Word</Application>
  <DocSecurity>4</DocSecurity>
  <Lines>252</Lines>
  <Paragraphs>71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Schválený text k rozhodnutiu o zmene, ev</vt:lpstr>
      <vt:lpstr>Schválený text k rozhodnutiu o zmene, ev</vt:lpstr>
      <vt:lpstr>Schválený text k rozhodnutiu o zmene, ev</vt:lpstr>
    </vt:vector>
  </TitlesOfParts>
  <Company>SUKL</Company>
  <LinksUpToDate>false</LinksUpToDate>
  <CharactersWithSpaces>35534</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Schválený text k rozhodnutiu o zmene, ev</dc:title>
  <dc:creator>stratinska</dc:creator>
  <cp:lastModifiedBy>Skladaná, Judita</cp:lastModifiedBy>
  <cp:revision>2</cp:revision>
  <cp:lastPrinted>2018-07-17T12:25:00Z</cp:lastPrinted>
  <dcterms:created xsi:type="dcterms:W3CDTF">2020-11-24T13:29:00Z</dcterms:created>
  <dcterms:modified xsi:type="dcterms:W3CDTF">2020-11-24T13:29:00Z</dcterms:modified>
</cp:coreProperties>
</file>