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F692E" w14:textId="77777777" w:rsidR="00CB714D" w:rsidRPr="00C101CC" w:rsidRDefault="00CB714D" w:rsidP="00C101CC">
      <w:pPr>
        <w:spacing w:line="240" w:lineRule="auto"/>
        <w:jc w:val="center"/>
        <w:rPr>
          <w:b/>
          <w:szCs w:val="22"/>
          <w:lang w:val="sk-SK"/>
        </w:rPr>
      </w:pPr>
      <w:r w:rsidRPr="00C101CC">
        <w:rPr>
          <w:b/>
          <w:szCs w:val="22"/>
          <w:lang w:val="sk-SK"/>
        </w:rPr>
        <w:t>SÚHRN CHARAKTERISTICKÝCH VLASTNOSTÍ LIEKU</w:t>
      </w:r>
    </w:p>
    <w:p w14:paraId="5D530BDC" w14:textId="27C129FF" w:rsidR="00CB714D" w:rsidRDefault="00CB714D" w:rsidP="00C101CC">
      <w:pPr>
        <w:spacing w:line="240" w:lineRule="auto"/>
        <w:rPr>
          <w:szCs w:val="22"/>
          <w:lang w:val="sk-SK"/>
        </w:rPr>
      </w:pPr>
    </w:p>
    <w:p w14:paraId="3874D662" w14:textId="77777777" w:rsidR="00701C25" w:rsidRPr="00B602EC" w:rsidRDefault="00701C25" w:rsidP="00C101CC">
      <w:pPr>
        <w:spacing w:line="240" w:lineRule="auto"/>
        <w:rPr>
          <w:szCs w:val="22"/>
          <w:lang w:val="sk-SK"/>
        </w:rPr>
      </w:pPr>
    </w:p>
    <w:p w14:paraId="55FAE464" w14:textId="77777777" w:rsidR="00FF7468" w:rsidRPr="00C101CC" w:rsidRDefault="00FF7468" w:rsidP="00C101CC">
      <w:pPr>
        <w:keepNext/>
        <w:spacing w:line="240" w:lineRule="auto"/>
        <w:rPr>
          <w:b/>
          <w:szCs w:val="22"/>
          <w:lang w:val="sk-SK"/>
        </w:rPr>
      </w:pPr>
      <w:r w:rsidRPr="00C101CC">
        <w:rPr>
          <w:b/>
          <w:szCs w:val="22"/>
          <w:lang w:val="sk-SK"/>
        </w:rPr>
        <w:t>1.</w:t>
      </w:r>
      <w:r w:rsidRPr="00C101CC">
        <w:rPr>
          <w:b/>
          <w:szCs w:val="22"/>
          <w:lang w:val="sk-SK"/>
        </w:rPr>
        <w:tab/>
        <w:t>NÁZOV LIEKU</w:t>
      </w:r>
    </w:p>
    <w:p w14:paraId="1518B8A2" w14:textId="77777777" w:rsidR="00FF7468" w:rsidRPr="00C101CC" w:rsidRDefault="00FF7468" w:rsidP="00C101CC">
      <w:pPr>
        <w:keepNext/>
        <w:spacing w:line="240" w:lineRule="auto"/>
        <w:rPr>
          <w:szCs w:val="22"/>
          <w:lang w:val="sk-SK"/>
        </w:rPr>
      </w:pPr>
    </w:p>
    <w:p w14:paraId="706FCC55" w14:textId="77777777" w:rsidR="00FF7468" w:rsidRPr="00C101CC" w:rsidRDefault="00FF7468" w:rsidP="00C101CC">
      <w:pPr>
        <w:keepNext/>
        <w:tabs>
          <w:tab w:val="clear" w:pos="567"/>
        </w:tabs>
        <w:autoSpaceDE w:val="0"/>
        <w:autoSpaceDN w:val="0"/>
        <w:adjustRightInd w:val="0"/>
        <w:spacing w:line="240" w:lineRule="auto"/>
        <w:rPr>
          <w:szCs w:val="22"/>
          <w:lang w:val="sk-SK"/>
        </w:rPr>
      </w:pPr>
      <w:r w:rsidRPr="00C101CC">
        <w:rPr>
          <w:szCs w:val="22"/>
          <w:lang w:val="sk-SK"/>
        </w:rPr>
        <w:t xml:space="preserve">Topamax 25 </w:t>
      </w:r>
    </w:p>
    <w:p w14:paraId="0BFEBC89" w14:textId="77777777" w:rsidR="00FF7468" w:rsidRPr="00C101CC" w:rsidRDefault="00FF7468" w:rsidP="00C101CC">
      <w:pPr>
        <w:tabs>
          <w:tab w:val="clear" w:pos="567"/>
        </w:tabs>
        <w:autoSpaceDE w:val="0"/>
        <w:autoSpaceDN w:val="0"/>
        <w:adjustRightInd w:val="0"/>
        <w:spacing w:line="240" w:lineRule="auto"/>
        <w:rPr>
          <w:szCs w:val="22"/>
          <w:highlight w:val="lightGray"/>
          <w:lang w:val="sk-SK"/>
        </w:rPr>
      </w:pPr>
      <w:r w:rsidRPr="00C101CC">
        <w:rPr>
          <w:szCs w:val="22"/>
          <w:highlight w:val="lightGray"/>
          <w:lang w:val="sk-SK"/>
        </w:rPr>
        <w:t xml:space="preserve">Topamax 50 </w:t>
      </w:r>
    </w:p>
    <w:p w14:paraId="46939DB9" w14:textId="77777777" w:rsidR="00FF7468" w:rsidRPr="00C101CC" w:rsidRDefault="00FF7468" w:rsidP="00C101CC">
      <w:pPr>
        <w:tabs>
          <w:tab w:val="clear" w:pos="567"/>
        </w:tabs>
        <w:autoSpaceDE w:val="0"/>
        <w:autoSpaceDN w:val="0"/>
        <w:adjustRightInd w:val="0"/>
        <w:spacing w:line="240" w:lineRule="auto"/>
        <w:rPr>
          <w:szCs w:val="22"/>
          <w:lang w:val="sk-SK"/>
        </w:rPr>
      </w:pPr>
      <w:r w:rsidRPr="00C101CC">
        <w:rPr>
          <w:szCs w:val="22"/>
          <w:highlight w:val="lightGray"/>
          <w:lang w:val="sk-SK"/>
        </w:rPr>
        <w:t>Topamax 100</w:t>
      </w:r>
      <w:r w:rsidRPr="00C101CC">
        <w:rPr>
          <w:szCs w:val="22"/>
          <w:lang w:val="sk-SK"/>
        </w:rPr>
        <w:t xml:space="preserve"> </w:t>
      </w:r>
    </w:p>
    <w:p w14:paraId="2816A6C3" w14:textId="7C36B7DC" w:rsidR="00FF7468" w:rsidRPr="00C101CC" w:rsidRDefault="00EE6A37" w:rsidP="00C101CC">
      <w:pPr>
        <w:tabs>
          <w:tab w:val="clear" w:pos="567"/>
        </w:tabs>
        <w:autoSpaceDE w:val="0"/>
        <w:autoSpaceDN w:val="0"/>
        <w:adjustRightInd w:val="0"/>
        <w:spacing w:line="240" w:lineRule="auto"/>
        <w:rPr>
          <w:szCs w:val="22"/>
          <w:lang w:val="sk-SK"/>
        </w:rPr>
      </w:pPr>
      <w:r w:rsidRPr="00C101CC">
        <w:rPr>
          <w:szCs w:val="22"/>
          <w:lang w:val="sk-SK"/>
        </w:rPr>
        <w:t xml:space="preserve">mg </w:t>
      </w:r>
      <w:r w:rsidR="004806C0" w:rsidRPr="00C101CC">
        <w:rPr>
          <w:szCs w:val="22"/>
          <w:lang w:val="sk-SK"/>
        </w:rPr>
        <w:t>filmom obalené tablety</w:t>
      </w:r>
    </w:p>
    <w:p w14:paraId="0808578B" w14:textId="77777777" w:rsidR="00FF7468" w:rsidRPr="00C101CC" w:rsidRDefault="00FF7468" w:rsidP="00C101CC">
      <w:pPr>
        <w:widowControl w:val="0"/>
        <w:spacing w:line="240" w:lineRule="auto"/>
        <w:jc w:val="both"/>
        <w:rPr>
          <w:szCs w:val="22"/>
          <w:lang w:val="sk-SK"/>
        </w:rPr>
      </w:pPr>
    </w:p>
    <w:p w14:paraId="431314A9" w14:textId="77777777" w:rsidR="00FF7468" w:rsidRPr="00C101CC" w:rsidRDefault="00FF7468" w:rsidP="00C101CC">
      <w:pPr>
        <w:widowControl w:val="0"/>
        <w:spacing w:line="240" w:lineRule="auto"/>
        <w:jc w:val="both"/>
        <w:rPr>
          <w:szCs w:val="22"/>
          <w:lang w:val="sk-SK"/>
        </w:rPr>
      </w:pPr>
    </w:p>
    <w:p w14:paraId="4E0C74D4" w14:textId="77777777" w:rsidR="00FF7468" w:rsidRPr="00C101CC" w:rsidRDefault="00FF7468" w:rsidP="00C101CC">
      <w:pPr>
        <w:keepNext/>
        <w:widowControl w:val="0"/>
        <w:spacing w:line="240" w:lineRule="auto"/>
        <w:jc w:val="both"/>
        <w:rPr>
          <w:szCs w:val="22"/>
          <w:lang w:val="sk-SK"/>
        </w:rPr>
      </w:pPr>
      <w:r w:rsidRPr="00C101CC">
        <w:rPr>
          <w:b/>
          <w:szCs w:val="22"/>
          <w:lang w:val="sk-SK"/>
        </w:rPr>
        <w:t>2.</w:t>
      </w:r>
      <w:r w:rsidRPr="00C101CC">
        <w:rPr>
          <w:b/>
          <w:szCs w:val="22"/>
          <w:lang w:val="sk-SK"/>
        </w:rPr>
        <w:tab/>
        <w:t>KVALITATÍVNE A KVANTITATÍVNE ZLOŽENIE</w:t>
      </w:r>
    </w:p>
    <w:p w14:paraId="4EEAD643" w14:textId="77777777" w:rsidR="00FF7468" w:rsidRPr="00C101CC" w:rsidRDefault="00FF7468" w:rsidP="00C101CC">
      <w:pPr>
        <w:keepNext/>
        <w:spacing w:line="240" w:lineRule="auto"/>
        <w:jc w:val="both"/>
        <w:rPr>
          <w:szCs w:val="22"/>
          <w:lang w:val="sk-SK"/>
        </w:rPr>
      </w:pPr>
    </w:p>
    <w:p w14:paraId="222A9BBD" w14:textId="5E4339C5" w:rsidR="0073285D" w:rsidRPr="00C101CC" w:rsidRDefault="00D01C32" w:rsidP="00C101CC">
      <w:pPr>
        <w:spacing w:line="240" w:lineRule="auto"/>
        <w:rPr>
          <w:szCs w:val="22"/>
          <w:lang w:val="sk-SK"/>
        </w:rPr>
      </w:pPr>
      <w:r w:rsidRPr="00C101CC">
        <w:rPr>
          <w:szCs w:val="22"/>
          <w:lang w:val="sk-SK"/>
        </w:rPr>
        <w:t>Jedna tableta obsahuje 25</w:t>
      </w:r>
      <w:r w:rsidR="00215D65" w:rsidRPr="00C101CC">
        <w:rPr>
          <w:szCs w:val="22"/>
          <w:lang w:val="sk-SK"/>
        </w:rPr>
        <w:t> </w:t>
      </w:r>
      <w:r w:rsidRPr="00C101CC">
        <w:rPr>
          <w:szCs w:val="22"/>
          <w:lang w:val="sk-SK"/>
        </w:rPr>
        <w:t xml:space="preserve">mg topiramátu. </w:t>
      </w:r>
    </w:p>
    <w:p w14:paraId="57A55B81" w14:textId="540C3213" w:rsidR="00D01C32" w:rsidRPr="00C101CC" w:rsidRDefault="00D01C32" w:rsidP="00C101CC">
      <w:pPr>
        <w:spacing w:line="240" w:lineRule="auto"/>
        <w:rPr>
          <w:szCs w:val="22"/>
          <w:highlight w:val="lightGray"/>
          <w:lang w:val="sk-SK"/>
        </w:rPr>
      </w:pPr>
      <w:r w:rsidRPr="00C101CC">
        <w:rPr>
          <w:szCs w:val="22"/>
          <w:highlight w:val="lightGray"/>
          <w:lang w:val="sk-SK"/>
        </w:rPr>
        <w:t>Jedna tableta obsahuje 50</w:t>
      </w:r>
      <w:r w:rsidR="00215D65" w:rsidRPr="00C101CC">
        <w:rPr>
          <w:szCs w:val="22"/>
          <w:highlight w:val="lightGray"/>
          <w:lang w:val="sk-SK"/>
        </w:rPr>
        <w:t> </w:t>
      </w:r>
      <w:r w:rsidRPr="00C101CC">
        <w:rPr>
          <w:szCs w:val="22"/>
          <w:highlight w:val="lightGray"/>
          <w:lang w:val="sk-SK"/>
        </w:rPr>
        <w:t xml:space="preserve">mg topiramátu. </w:t>
      </w:r>
    </w:p>
    <w:p w14:paraId="7DB44664" w14:textId="72E9F83D" w:rsidR="00D01C32" w:rsidRPr="00C101CC" w:rsidRDefault="00D01C32" w:rsidP="00C101CC">
      <w:pPr>
        <w:spacing w:line="240" w:lineRule="auto"/>
        <w:rPr>
          <w:szCs w:val="22"/>
          <w:lang w:val="sk-SK"/>
        </w:rPr>
      </w:pPr>
      <w:r w:rsidRPr="00C101CC">
        <w:rPr>
          <w:szCs w:val="22"/>
          <w:highlight w:val="lightGray"/>
          <w:lang w:val="sk-SK"/>
        </w:rPr>
        <w:t>Jedna tableta obsahuje 100</w:t>
      </w:r>
      <w:r w:rsidR="00215D65" w:rsidRPr="00C101CC">
        <w:rPr>
          <w:szCs w:val="22"/>
          <w:highlight w:val="lightGray"/>
          <w:lang w:val="sk-SK"/>
        </w:rPr>
        <w:t> </w:t>
      </w:r>
      <w:r w:rsidRPr="00C101CC">
        <w:rPr>
          <w:szCs w:val="22"/>
          <w:highlight w:val="lightGray"/>
          <w:lang w:val="sk-SK"/>
        </w:rPr>
        <w:t>mg topiramátu.</w:t>
      </w:r>
    </w:p>
    <w:p w14:paraId="07FD6510" w14:textId="77777777" w:rsidR="00D01C32" w:rsidRPr="00C101CC" w:rsidRDefault="00D01C32" w:rsidP="00C101CC">
      <w:pPr>
        <w:spacing w:line="240" w:lineRule="auto"/>
        <w:rPr>
          <w:szCs w:val="22"/>
          <w:lang w:val="sk-SK"/>
        </w:rPr>
      </w:pPr>
    </w:p>
    <w:p w14:paraId="133C853D" w14:textId="215DD3EE" w:rsidR="00D01C32" w:rsidRPr="00C101CC" w:rsidRDefault="00D01C32" w:rsidP="00C101CC">
      <w:pPr>
        <w:keepNext/>
        <w:spacing w:line="240" w:lineRule="auto"/>
        <w:rPr>
          <w:szCs w:val="22"/>
          <w:lang w:val="sk-SK"/>
        </w:rPr>
      </w:pPr>
      <w:r w:rsidRPr="00C101CC">
        <w:rPr>
          <w:szCs w:val="22"/>
          <w:u w:val="single"/>
          <w:lang w:val="sk-SK"/>
        </w:rPr>
        <w:t>Pomocné látky</w:t>
      </w:r>
      <w:r w:rsidR="002E42EE" w:rsidRPr="00C101CC">
        <w:rPr>
          <w:szCs w:val="22"/>
          <w:u w:val="single"/>
          <w:lang w:val="sk-SK"/>
        </w:rPr>
        <w:t xml:space="preserve"> so známym účinkom</w:t>
      </w:r>
      <w:r w:rsidR="00834010" w:rsidRPr="00C101CC">
        <w:rPr>
          <w:szCs w:val="22"/>
          <w:u w:val="single"/>
          <w:lang w:val="sk-SK"/>
        </w:rPr>
        <w:t>:</w:t>
      </w:r>
      <w:r w:rsidRPr="00C101CC">
        <w:rPr>
          <w:szCs w:val="22"/>
          <w:lang w:val="sk-SK"/>
        </w:rPr>
        <w:t xml:space="preserve"> </w:t>
      </w:r>
      <w:r w:rsidR="00834010" w:rsidRPr="00C101CC">
        <w:rPr>
          <w:szCs w:val="22"/>
          <w:lang w:val="sk-SK"/>
        </w:rPr>
        <w:t xml:space="preserve">obsahuje </w:t>
      </w:r>
      <w:r w:rsidRPr="00C101CC">
        <w:rPr>
          <w:szCs w:val="22"/>
          <w:lang w:val="sk-SK"/>
        </w:rPr>
        <w:t xml:space="preserve">tiež </w:t>
      </w:r>
      <w:r w:rsidR="0020165C">
        <w:rPr>
          <w:szCs w:val="22"/>
          <w:lang w:val="sk-SK"/>
        </w:rPr>
        <w:t xml:space="preserve">monohydrát </w:t>
      </w:r>
      <w:r w:rsidR="007A2A50">
        <w:rPr>
          <w:szCs w:val="22"/>
          <w:lang w:val="sk-SK"/>
        </w:rPr>
        <w:t>laktóz</w:t>
      </w:r>
      <w:r w:rsidR="0020165C">
        <w:rPr>
          <w:szCs w:val="22"/>
          <w:lang w:val="sk-SK"/>
        </w:rPr>
        <w:t>y</w:t>
      </w:r>
      <w:r w:rsidR="00C623D8" w:rsidRPr="00C101CC">
        <w:rPr>
          <w:szCs w:val="22"/>
          <w:lang w:val="sk-SK"/>
        </w:rPr>
        <w:t>:</w:t>
      </w:r>
    </w:p>
    <w:p w14:paraId="13D03633" w14:textId="77777777" w:rsidR="00D01C32" w:rsidRPr="00C101CC" w:rsidRDefault="00D01C32" w:rsidP="00C101CC">
      <w:pPr>
        <w:spacing w:line="240" w:lineRule="auto"/>
        <w:rPr>
          <w:szCs w:val="22"/>
          <w:lang w:val="sk-SK"/>
        </w:rPr>
      </w:pPr>
    </w:p>
    <w:p w14:paraId="35BC0F7B" w14:textId="64BE7752" w:rsidR="00D01C32" w:rsidRPr="00C101CC" w:rsidRDefault="002506F8" w:rsidP="00C101CC">
      <w:pPr>
        <w:spacing w:line="240" w:lineRule="auto"/>
        <w:rPr>
          <w:szCs w:val="22"/>
          <w:lang w:val="sk-SK"/>
        </w:rPr>
      </w:pPr>
      <w:r w:rsidRPr="00C101CC">
        <w:rPr>
          <w:szCs w:val="22"/>
          <w:lang w:val="sk-SK"/>
        </w:rPr>
        <w:t xml:space="preserve">Jedna </w:t>
      </w:r>
      <w:r w:rsidR="00D01C32" w:rsidRPr="00C101CC">
        <w:rPr>
          <w:szCs w:val="22"/>
          <w:lang w:val="sk-SK"/>
        </w:rPr>
        <w:t xml:space="preserve">25 mg tableta obsahuje </w:t>
      </w:r>
      <w:r w:rsidR="002E42EE" w:rsidRPr="00C101CC">
        <w:rPr>
          <w:szCs w:val="22"/>
          <w:lang w:val="sk-SK"/>
        </w:rPr>
        <w:t>30,85</w:t>
      </w:r>
      <w:r w:rsidR="00215D65" w:rsidRPr="00C101CC">
        <w:rPr>
          <w:szCs w:val="22"/>
          <w:lang w:val="sk-SK"/>
        </w:rPr>
        <w:t> </w:t>
      </w:r>
      <w:r w:rsidR="00D01C32" w:rsidRPr="00C101CC">
        <w:rPr>
          <w:szCs w:val="22"/>
          <w:lang w:val="sk-SK"/>
        </w:rPr>
        <w:t xml:space="preserve">mg </w:t>
      </w:r>
      <w:r w:rsidR="0020165C">
        <w:rPr>
          <w:szCs w:val="22"/>
          <w:lang w:val="sk-SK"/>
        </w:rPr>
        <w:t xml:space="preserve">monohydrátu </w:t>
      </w:r>
      <w:r w:rsidR="007A2A50">
        <w:rPr>
          <w:szCs w:val="22"/>
          <w:lang w:val="sk-SK"/>
        </w:rPr>
        <w:t>laktózy</w:t>
      </w:r>
      <w:r w:rsidR="00B67BA9" w:rsidRPr="00C101CC">
        <w:rPr>
          <w:szCs w:val="22"/>
          <w:lang w:val="sk-SK"/>
        </w:rPr>
        <w:t>.</w:t>
      </w:r>
      <w:r w:rsidR="00D01C32" w:rsidRPr="00C101CC">
        <w:rPr>
          <w:szCs w:val="22"/>
          <w:lang w:val="sk-SK"/>
        </w:rPr>
        <w:t xml:space="preserve"> </w:t>
      </w:r>
    </w:p>
    <w:p w14:paraId="0AAAAA11" w14:textId="4942FD07" w:rsidR="00D01C32" w:rsidRPr="00C101CC" w:rsidRDefault="002506F8" w:rsidP="00C101CC">
      <w:pPr>
        <w:spacing w:line="240" w:lineRule="auto"/>
        <w:rPr>
          <w:szCs w:val="22"/>
          <w:highlight w:val="lightGray"/>
          <w:lang w:val="sk-SK"/>
        </w:rPr>
      </w:pPr>
      <w:r w:rsidRPr="00C101CC">
        <w:rPr>
          <w:szCs w:val="22"/>
          <w:highlight w:val="lightGray"/>
          <w:lang w:val="sk-SK"/>
        </w:rPr>
        <w:t xml:space="preserve">Jedna </w:t>
      </w:r>
      <w:r w:rsidR="00D01C32" w:rsidRPr="00C101CC">
        <w:rPr>
          <w:szCs w:val="22"/>
          <w:highlight w:val="lightGray"/>
          <w:lang w:val="sk-SK"/>
        </w:rPr>
        <w:t xml:space="preserve">50 mg tableta obsahuje </w:t>
      </w:r>
      <w:r w:rsidR="002E42EE" w:rsidRPr="00C101CC">
        <w:rPr>
          <w:szCs w:val="22"/>
          <w:highlight w:val="lightGray"/>
          <w:lang w:val="sk-SK"/>
        </w:rPr>
        <w:t>61,70</w:t>
      </w:r>
      <w:r w:rsidR="00215D65" w:rsidRPr="00C101CC">
        <w:rPr>
          <w:szCs w:val="22"/>
          <w:highlight w:val="lightGray"/>
          <w:lang w:val="sk-SK"/>
        </w:rPr>
        <w:t> </w:t>
      </w:r>
      <w:r w:rsidR="00D01C32" w:rsidRPr="00C101CC">
        <w:rPr>
          <w:szCs w:val="22"/>
          <w:highlight w:val="lightGray"/>
          <w:lang w:val="sk-SK"/>
        </w:rPr>
        <w:t xml:space="preserve">mg </w:t>
      </w:r>
      <w:r w:rsidR="0020165C">
        <w:rPr>
          <w:szCs w:val="22"/>
          <w:highlight w:val="lightGray"/>
          <w:lang w:val="sk-SK"/>
        </w:rPr>
        <w:t xml:space="preserve">monohydrátu </w:t>
      </w:r>
      <w:r w:rsidR="007A2A50">
        <w:rPr>
          <w:szCs w:val="22"/>
          <w:highlight w:val="lightGray"/>
          <w:lang w:val="sk-SK"/>
        </w:rPr>
        <w:t>laktózy</w:t>
      </w:r>
      <w:r w:rsidR="00B67BA9" w:rsidRPr="00C101CC">
        <w:rPr>
          <w:szCs w:val="22"/>
          <w:highlight w:val="lightGray"/>
          <w:lang w:val="sk-SK"/>
        </w:rPr>
        <w:t>.</w:t>
      </w:r>
      <w:r w:rsidR="00D01C32" w:rsidRPr="00C101CC">
        <w:rPr>
          <w:szCs w:val="22"/>
          <w:highlight w:val="lightGray"/>
          <w:lang w:val="sk-SK"/>
        </w:rPr>
        <w:t xml:space="preserve"> </w:t>
      </w:r>
    </w:p>
    <w:p w14:paraId="504B137C" w14:textId="48FEC388" w:rsidR="00D01C32" w:rsidRPr="00C101CC" w:rsidRDefault="002506F8" w:rsidP="00C101CC">
      <w:pPr>
        <w:spacing w:line="240" w:lineRule="auto"/>
        <w:rPr>
          <w:szCs w:val="22"/>
          <w:lang w:val="sk-SK"/>
        </w:rPr>
      </w:pPr>
      <w:r w:rsidRPr="00C101CC">
        <w:rPr>
          <w:szCs w:val="22"/>
          <w:highlight w:val="lightGray"/>
          <w:lang w:val="sk-SK"/>
        </w:rPr>
        <w:t xml:space="preserve">Jedna </w:t>
      </w:r>
      <w:r w:rsidR="00D01C32" w:rsidRPr="00C101CC">
        <w:rPr>
          <w:szCs w:val="22"/>
          <w:highlight w:val="lightGray"/>
          <w:lang w:val="sk-SK"/>
        </w:rPr>
        <w:t>100 mg tableta obsahuje 123</w:t>
      </w:r>
      <w:r w:rsidR="002E42EE" w:rsidRPr="00C101CC">
        <w:rPr>
          <w:szCs w:val="22"/>
          <w:highlight w:val="lightGray"/>
          <w:lang w:val="sk-SK"/>
        </w:rPr>
        <w:t>,40</w:t>
      </w:r>
      <w:r w:rsidR="00215D65" w:rsidRPr="00C101CC">
        <w:rPr>
          <w:szCs w:val="22"/>
          <w:highlight w:val="lightGray"/>
          <w:lang w:val="sk-SK"/>
        </w:rPr>
        <w:t> </w:t>
      </w:r>
      <w:r w:rsidR="00D01C32" w:rsidRPr="00C101CC">
        <w:rPr>
          <w:szCs w:val="22"/>
          <w:highlight w:val="lightGray"/>
          <w:lang w:val="sk-SK"/>
        </w:rPr>
        <w:t xml:space="preserve">mg </w:t>
      </w:r>
      <w:r w:rsidR="0020165C">
        <w:rPr>
          <w:szCs w:val="22"/>
          <w:highlight w:val="lightGray"/>
          <w:lang w:val="sk-SK"/>
        </w:rPr>
        <w:t xml:space="preserve">monohydrátu </w:t>
      </w:r>
      <w:r w:rsidR="007A2A50">
        <w:rPr>
          <w:szCs w:val="22"/>
          <w:highlight w:val="lightGray"/>
          <w:lang w:val="sk-SK"/>
        </w:rPr>
        <w:t>laktózy</w:t>
      </w:r>
      <w:r w:rsidR="00D01C32" w:rsidRPr="00C101CC">
        <w:rPr>
          <w:szCs w:val="22"/>
          <w:highlight w:val="lightGray"/>
          <w:lang w:val="sk-SK"/>
        </w:rPr>
        <w:t>.</w:t>
      </w:r>
      <w:r w:rsidR="00D01C32" w:rsidRPr="00C101CC">
        <w:rPr>
          <w:szCs w:val="22"/>
          <w:lang w:val="sk-SK"/>
        </w:rPr>
        <w:t xml:space="preserve"> </w:t>
      </w:r>
    </w:p>
    <w:p w14:paraId="6C8B484B" w14:textId="77777777" w:rsidR="00445220" w:rsidRPr="00C101CC" w:rsidRDefault="00445220" w:rsidP="00C101CC">
      <w:pPr>
        <w:spacing w:line="240" w:lineRule="auto"/>
        <w:rPr>
          <w:szCs w:val="22"/>
          <w:lang w:val="sk-SK"/>
        </w:rPr>
      </w:pPr>
    </w:p>
    <w:p w14:paraId="450095F9" w14:textId="77777777" w:rsidR="00FF7468" w:rsidRPr="00C101CC" w:rsidRDefault="00FF7468" w:rsidP="00C101CC">
      <w:pPr>
        <w:spacing w:line="240" w:lineRule="auto"/>
        <w:rPr>
          <w:szCs w:val="22"/>
          <w:lang w:val="sk-SK"/>
        </w:rPr>
      </w:pPr>
      <w:r w:rsidRPr="00C101CC">
        <w:rPr>
          <w:szCs w:val="22"/>
          <w:lang w:val="sk-SK"/>
        </w:rPr>
        <w:t>Úplný zoznam pomocných látok, pozri časť 6.1.</w:t>
      </w:r>
    </w:p>
    <w:p w14:paraId="42864C32" w14:textId="77777777" w:rsidR="00FF7468" w:rsidRPr="00C101CC" w:rsidRDefault="00FF7468" w:rsidP="00C101CC">
      <w:pPr>
        <w:spacing w:line="240" w:lineRule="auto"/>
        <w:jc w:val="both"/>
        <w:rPr>
          <w:szCs w:val="22"/>
          <w:lang w:val="sk-SK"/>
        </w:rPr>
      </w:pPr>
    </w:p>
    <w:p w14:paraId="3525F2BB" w14:textId="77777777" w:rsidR="00FF7468" w:rsidRPr="00C101CC" w:rsidRDefault="00FF7468" w:rsidP="00C101CC">
      <w:pPr>
        <w:spacing w:line="240" w:lineRule="auto"/>
        <w:jc w:val="both"/>
        <w:rPr>
          <w:szCs w:val="22"/>
          <w:lang w:val="sk-SK"/>
        </w:rPr>
      </w:pPr>
    </w:p>
    <w:p w14:paraId="0BDDBE3D" w14:textId="77777777" w:rsidR="00FF7468" w:rsidRPr="00C101CC" w:rsidRDefault="00FF7468" w:rsidP="00C101CC">
      <w:pPr>
        <w:keepNext/>
        <w:spacing w:line="240" w:lineRule="auto"/>
        <w:ind w:left="567" w:hanging="567"/>
        <w:jc w:val="both"/>
        <w:rPr>
          <w:b/>
          <w:caps/>
          <w:szCs w:val="22"/>
          <w:lang w:val="sk-SK"/>
        </w:rPr>
      </w:pPr>
      <w:r w:rsidRPr="00C101CC">
        <w:rPr>
          <w:b/>
          <w:szCs w:val="22"/>
          <w:lang w:val="sk-SK"/>
        </w:rPr>
        <w:t>3.</w:t>
      </w:r>
      <w:r w:rsidRPr="00C101CC">
        <w:rPr>
          <w:b/>
          <w:szCs w:val="22"/>
          <w:lang w:val="sk-SK"/>
        </w:rPr>
        <w:tab/>
        <w:t>LIEKOVÁ FORMA</w:t>
      </w:r>
    </w:p>
    <w:p w14:paraId="54D7D684" w14:textId="77777777" w:rsidR="00FF7468" w:rsidRPr="00C101CC" w:rsidRDefault="00FF7468" w:rsidP="00C101CC">
      <w:pPr>
        <w:keepNext/>
        <w:spacing w:line="240" w:lineRule="auto"/>
        <w:jc w:val="both"/>
        <w:rPr>
          <w:szCs w:val="22"/>
          <w:lang w:val="sk-SK"/>
        </w:rPr>
      </w:pPr>
    </w:p>
    <w:p w14:paraId="774D742B" w14:textId="77777777" w:rsidR="00FF7468" w:rsidRPr="00C101CC" w:rsidRDefault="00FF7468" w:rsidP="00C101CC">
      <w:pPr>
        <w:pStyle w:val="Default"/>
        <w:keepNext/>
        <w:rPr>
          <w:sz w:val="22"/>
          <w:szCs w:val="22"/>
          <w:lang w:val="sk-SK"/>
        </w:rPr>
      </w:pPr>
      <w:r w:rsidRPr="00C101CC">
        <w:rPr>
          <w:sz w:val="22"/>
          <w:szCs w:val="22"/>
          <w:lang w:val="sk-SK"/>
        </w:rPr>
        <w:t>Filmom obalen</w:t>
      </w:r>
      <w:r w:rsidR="00B745A1" w:rsidRPr="00C101CC">
        <w:rPr>
          <w:sz w:val="22"/>
          <w:szCs w:val="22"/>
          <w:lang w:val="sk-SK"/>
        </w:rPr>
        <w:t>á</w:t>
      </w:r>
      <w:r w:rsidRPr="00C101CC">
        <w:rPr>
          <w:sz w:val="22"/>
          <w:szCs w:val="22"/>
          <w:lang w:val="sk-SK"/>
        </w:rPr>
        <w:t xml:space="preserve"> tablet</w:t>
      </w:r>
      <w:r w:rsidR="00B745A1" w:rsidRPr="00C101CC">
        <w:rPr>
          <w:sz w:val="22"/>
          <w:szCs w:val="22"/>
          <w:lang w:val="sk-SK"/>
        </w:rPr>
        <w:t>a</w:t>
      </w:r>
      <w:r w:rsidRPr="00C101CC">
        <w:rPr>
          <w:sz w:val="22"/>
          <w:szCs w:val="22"/>
          <w:lang w:val="sk-SK"/>
        </w:rPr>
        <w:t xml:space="preserve"> </w:t>
      </w:r>
    </w:p>
    <w:p w14:paraId="716E9D3D" w14:textId="77777777" w:rsidR="00FF7468" w:rsidRPr="00C101CC" w:rsidRDefault="00FF7468" w:rsidP="00C101CC">
      <w:pPr>
        <w:pStyle w:val="Default"/>
        <w:rPr>
          <w:iCs/>
          <w:sz w:val="22"/>
          <w:szCs w:val="22"/>
          <w:highlight w:val="lightGray"/>
          <w:lang w:val="sk-SK"/>
        </w:rPr>
      </w:pPr>
      <w:bookmarkStart w:id="0" w:name="OLE_LINK3"/>
    </w:p>
    <w:p w14:paraId="0F477C1A" w14:textId="58917C6F" w:rsidR="0073285D" w:rsidRPr="00C101CC" w:rsidRDefault="0073285D" w:rsidP="00C101CC">
      <w:pPr>
        <w:pStyle w:val="Bodytext"/>
        <w:tabs>
          <w:tab w:val="left" w:pos="8222"/>
        </w:tabs>
        <w:spacing w:after="0" w:line="240" w:lineRule="auto"/>
        <w:ind w:left="0" w:right="-43"/>
        <w:jc w:val="both"/>
        <w:rPr>
          <w:rFonts w:ascii="Times New Roman" w:hAnsi="Times New Roman"/>
          <w:strike w:val="0"/>
          <w:sz w:val="22"/>
          <w:szCs w:val="22"/>
        </w:rPr>
      </w:pPr>
      <w:r w:rsidRPr="00C101CC">
        <w:rPr>
          <w:rFonts w:ascii="Times New Roman" w:hAnsi="Times New Roman"/>
          <w:strike w:val="0"/>
          <w:sz w:val="22"/>
          <w:szCs w:val="22"/>
        </w:rPr>
        <w:t>25</w:t>
      </w:r>
      <w:r w:rsidR="00215D65" w:rsidRPr="00C101CC">
        <w:rPr>
          <w:rFonts w:ascii="Times New Roman" w:hAnsi="Times New Roman"/>
          <w:strike w:val="0"/>
          <w:sz w:val="22"/>
          <w:szCs w:val="22"/>
        </w:rPr>
        <w:t> </w:t>
      </w:r>
      <w:r w:rsidRPr="00C101CC">
        <w:rPr>
          <w:rFonts w:ascii="Times New Roman" w:hAnsi="Times New Roman"/>
          <w:strike w:val="0"/>
          <w:sz w:val="22"/>
          <w:szCs w:val="22"/>
        </w:rPr>
        <w:t>mg</w:t>
      </w:r>
      <w:r w:rsidR="00B67BA9" w:rsidRPr="00C101CC">
        <w:rPr>
          <w:rFonts w:ascii="Times New Roman" w:hAnsi="Times New Roman"/>
          <w:strike w:val="0"/>
          <w:sz w:val="22"/>
          <w:szCs w:val="22"/>
        </w:rPr>
        <w:t xml:space="preserve">: biele okrúhle tablety s priemerom 6 mm, </w:t>
      </w:r>
      <w:r w:rsidR="007A2A50">
        <w:rPr>
          <w:rFonts w:ascii="Times New Roman" w:hAnsi="Times New Roman"/>
          <w:strike w:val="0"/>
          <w:sz w:val="22"/>
          <w:szCs w:val="22"/>
        </w:rPr>
        <w:t>„</w:t>
      </w:r>
      <w:r w:rsidRPr="00C101CC">
        <w:rPr>
          <w:rFonts w:ascii="Times New Roman" w:hAnsi="Times New Roman"/>
          <w:strike w:val="0"/>
          <w:sz w:val="22"/>
          <w:szCs w:val="22"/>
        </w:rPr>
        <w:t>TOP</w:t>
      </w:r>
      <w:r w:rsidR="007A2A50">
        <w:rPr>
          <w:rFonts w:ascii="Times New Roman" w:hAnsi="Times New Roman"/>
          <w:strike w:val="0"/>
          <w:sz w:val="22"/>
          <w:szCs w:val="22"/>
        </w:rPr>
        <w:t>‟</w:t>
      </w:r>
      <w:r w:rsidRPr="00C101CC">
        <w:rPr>
          <w:rFonts w:ascii="Times New Roman" w:hAnsi="Times New Roman"/>
          <w:strike w:val="0"/>
          <w:sz w:val="22"/>
          <w:szCs w:val="22"/>
        </w:rPr>
        <w:t xml:space="preserve"> na jednej strane, </w:t>
      </w:r>
      <w:r w:rsidR="007A2A50">
        <w:rPr>
          <w:rFonts w:ascii="Times New Roman" w:hAnsi="Times New Roman"/>
          <w:strike w:val="0"/>
          <w:sz w:val="22"/>
          <w:szCs w:val="22"/>
        </w:rPr>
        <w:t>„</w:t>
      </w:r>
      <w:r w:rsidRPr="00C101CC">
        <w:rPr>
          <w:rFonts w:ascii="Times New Roman" w:hAnsi="Times New Roman"/>
          <w:strike w:val="0"/>
          <w:sz w:val="22"/>
          <w:szCs w:val="22"/>
        </w:rPr>
        <w:t>25</w:t>
      </w:r>
      <w:r w:rsidR="007A2A50">
        <w:rPr>
          <w:rFonts w:ascii="Times New Roman" w:hAnsi="Times New Roman"/>
          <w:strike w:val="0"/>
          <w:sz w:val="22"/>
          <w:szCs w:val="22"/>
        </w:rPr>
        <w:t>‟</w:t>
      </w:r>
      <w:r w:rsidRPr="00C101CC">
        <w:rPr>
          <w:rFonts w:ascii="Times New Roman" w:hAnsi="Times New Roman"/>
          <w:strike w:val="0"/>
          <w:sz w:val="22"/>
          <w:szCs w:val="22"/>
        </w:rPr>
        <w:t xml:space="preserve"> na strane druhej</w:t>
      </w:r>
      <w:r w:rsidR="00B67BA9" w:rsidRPr="00C101CC">
        <w:rPr>
          <w:rFonts w:ascii="Times New Roman" w:hAnsi="Times New Roman"/>
          <w:strike w:val="0"/>
          <w:sz w:val="22"/>
          <w:szCs w:val="22"/>
        </w:rPr>
        <w:t>.</w:t>
      </w:r>
    </w:p>
    <w:p w14:paraId="4470A632" w14:textId="7E6CCB20" w:rsidR="0073285D" w:rsidRPr="00C101CC" w:rsidRDefault="0073285D" w:rsidP="00C101CC">
      <w:pPr>
        <w:pStyle w:val="Bodytext"/>
        <w:tabs>
          <w:tab w:val="left" w:pos="8222"/>
        </w:tabs>
        <w:spacing w:after="0" w:line="240" w:lineRule="auto"/>
        <w:ind w:left="0" w:right="-43"/>
        <w:jc w:val="both"/>
        <w:rPr>
          <w:rFonts w:ascii="Times New Roman" w:hAnsi="Times New Roman"/>
          <w:strike w:val="0"/>
          <w:sz w:val="22"/>
          <w:szCs w:val="22"/>
          <w:highlight w:val="lightGray"/>
        </w:rPr>
      </w:pPr>
      <w:r w:rsidRPr="00C101CC">
        <w:rPr>
          <w:rFonts w:ascii="Times New Roman" w:hAnsi="Times New Roman"/>
          <w:strike w:val="0"/>
          <w:sz w:val="22"/>
          <w:szCs w:val="22"/>
          <w:highlight w:val="lightGray"/>
        </w:rPr>
        <w:t>50</w:t>
      </w:r>
      <w:r w:rsidR="00215D65" w:rsidRPr="00C101CC">
        <w:rPr>
          <w:rFonts w:ascii="Times New Roman" w:hAnsi="Times New Roman"/>
          <w:strike w:val="0"/>
          <w:sz w:val="22"/>
          <w:szCs w:val="22"/>
          <w:highlight w:val="lightGray"/>
        </w:rPr>
        <w:t> </w:t>
      </w:r>
      <w:r w:rsidRPr="00C101CC">
        <w:rPr>
          <w:rFonts w:ascii="Times New Roman" w:hAnsi="Times New Roman"/>
          <w:strike w:val="0"/>
          <w:sz w:val="22"/>
          <w:szCs w:val="22"/>
          <w:highlight w:val="lightGray"/>
        </w:rPr>
        <w:t>mg</w:t>
      </w:r>
      <w:r w:rsidR="00B67BA9" w:rsidRPr="00C101CC">
        <w:rPr>
          <w:rFonts w:ascii="Times New Roman" w:hAnsi="Times New Roman"/>
          <w:strike w:val="0"/>
          <w:sz w:val="22"/>
          <w:szCs w:val="22"/>
          <w:highlight w:val="lightGray"/>
        </w:rPr>
        <w:t xml:space="preserve">: bledožlté okrúhle tablety s priemerom 7 mm, </w:t>
      </w:r>
      <w:r w:rsidR="007A2A50">
        <w:rPr>
          <w:rFonts w:ascii="Times New Roman" w:hAnsi="Times New Roman"/>
          <w:strike w:val="0"/>
          <w:sz w:val="22"/>
          <w:szCs w:val="22"/>
          <w:highlight w:val="lightGray"/>
        </w:rPr>
        <w:t>„</w:t>
      </w:r>
      <w:r w:rsidRPr="00C101CC">
        <w:rPr>
          <w:rFonts w:ascii="Times New Roman" w:hAnsi="Times New Roman"/>
          <w:strike w:val="0"/>
          <w:sz w:val="22"/>
          <w:szCs w:val="22"/>
          <w:highlight w:val="lightGray"/>
        </w:rPr>
        <w:t>TOP</w:t>
      </w:r>
      <w:r w:rsidR="007A2A50">
        <w:rPr>
          <w:rFonts w:ascii="Times New Roman" w:hAnsi="Times New Roman"/>
          <w:strike w:val="0"/>
          <w:sz w:val="22"/>
          <w:szCs w:val="22"/>
          <w:highlight w:val="lightGray"/>
        </w:rPr>
        <w:t>‟</w:t>
      </w:r>
      <w:r w:rsidRPr="00C101CC">
        <w:rPr>
          <w:rFonts w:ascii="Times New Roman" w:hAnsi="Times New Roman"/>
          <w:strike w:val="0"/>
          <w:sz w:val="22"/>
          <w:szCs w:val="22"/>
          <w:highlight w:val="lightGray"/>
        </w:rPr>
        <w:t xml:space="preserve"> na jednej strane, </w:t>
      </w:r>
      <w:r w:rsidR="007A2A50">
        <w:rPr>
          <w:rFonts w:ascii="Times New Roman" w:hAnsi="Times New Roman"/>
          <w:strike w:val="0"/>
          <w:sz w:val="22"/>
          <w:szCs w:val="22"/>
          <w:highlight w:val="lightGray"/>
        </w:rPr>
        <w:t>„</w:t>
      </w:r>
      <w:r w:rsidRPr="00C101CC">
        <w:rPr>
          <w:rFonts w:ascii="Times New Roman" w:hAnsi="Times New Roman"/>
          <w:strike w:val="0"/>
          <w:sz w:val="22"/>
          <w:szCs w:val="22"/>
          <w:highlight w:val="lightGray"/>
        </w:rPr>
        <w:t>50</w:t>
      </w:r>
      <w:r w:rsidR="007A2A50">
        <w:rPr>
          <w:rFonts w:ascii="Times New Roman" w:hAnsi="Times New Roman"/>
          <w:strike w:val="0"/>
          <w:sz w:val="22"/>
          <w:szCs w:val="22"/>
          <w:highlight w:val="lightGray"/>
        </w:rPr>
        <w:t>‟</w:t>
      </w:r>
      <w:r w:rsidRPr="00C101CC">
        <w:rPr>
          <w:rFonts w:ascii="Times New Roman" w:hAnsi="Times New Roman"/>
          <w:strike w:val="0"/>
          <w:sz w:val="22"/>
          <w:szCs w:val="22"/>
          <w:highlight w:val="lightGray"/>
        </w:rPr>
        <w:t xml:space="preserve"> na strane druhej</w:t>
      </w:r>
      <w:r w:rsidR="00B67BA9" w:rsidRPr="00C101CC">
        <w:rPr>
          <w:rFonts w:ascii="Times New Roman" w:hAnsi="Times New Roman"/>
          <w:strike w:val="0"/>
          <w:sz w:val="22"/>
          <w:szCs w:val="22"/>
          <w:highlight w:val="lightGray"/>
        </w:rPr>
        <w:t>.</w:t>
      </w:r>
    </w:p>
    <w:p w14:paraId="30A4A135" w14:textId="50ED6021" w:rsidR="0073285D" w:rsidRPr="00C101CC" w:rsidRDefault="0073285D" w:rsidP="00C101CC">
      <w:pPr>
        <w:pStyle w:val="Bodytext"/>
        <w:tabs>
          <w:tab w:val="left" w:pos="8222"/>
        </w:tabs>
        <w:spacing w:after="0" w:line="240" w:lineRule="auto"/>
        <w:ind w:left="0" w:right="-43"/>
        <w:jc w:val="both"/>
        <w:rPr>
          <w:rFonts w:ascii="Times New Roman" w:hAnsi="Times New Roman"/>
          <w:strike w:val="0"/>
          <w:sz w:val="22"/>
          <w:szCs w:val="22"/>
        </w:rPr>
      </w:pPr>
      <w:r w:rsidRPr="00C101CC">
        <w:rPr>
          <w:rFonts w:ascii="Times New Roman" w:hAnsi="Times New Roman"/>
          <w:strike w:val="0"/>
          <w:sz w:val="22"/>
          <w:szCs w:val="22"/>
          <w:highlight w:val="lightGray"/>
        </w:rPr>
        <w:t>100</w:t>
      </w:r>
      <w:r w:rsidR="00215D65" w:rsidRPr="00C101CC">
        <w:rPr>
          <w:rFonts w:ascii="Times New Roman" w:hAnsi="Times New Roman"/>
          <w:strike w:val="0"/>
          <w:sz w:val="22"/>
          <w:szCs w:val="22"/>
          <w:highlight w:val="lightGray"/>
        </w:rPr>
        <w:t> </w:t>
      </w:r>
      <w:r w:rsidRPr="00C101CC">
        <w:rPr>
          <w:rFonts w:ascii="Times New Roman" w:hAnsi="Times New Roman"/>
          <w:strike w:val="0"/>
          <w:sz w:val="22"/>
          <w:szCs w:val="22"/>
          <w:highlight w:val="lightGray"/>
        </w:rPr>
        <w:t>mg</w:t>
      </w:r>
      <w:r w:rsidR="00B67BA9" w:rsidRPr="00C101CC">
        <w:rPr>
          <w:rFonts w:ascii="Times New Roman" w:hAnsi="Times New Roman"/>
          <w:strike w:val="0"/>
          <w:sz w:val="22"/>
          <w:szCs w:val="22"/>
          <w:highlight w:val="lightGray"/>
        </w:rPr>
        <w:t>:</w:t>
      </w:r>
      <w:r w:rsidRPr="00C101CC">
        <w:rPr>
          <w:rFonts w:ascii="Times New Roman" w:hAnsi="Times New Roman"/>
          <w:strike w:val="0"/>
          <w:sz w:val="22"/>
          <w:szCs w:val="22"/>
          <w:highlight w:val="lightGray"/>
        </w:rPr>
        <w:t xml:space="preserve"> </w:t>
      </w:r>
      <w:r w:rsidR="00B67BA9" w:rsidRPr="00C101CC">
        <w:rPr>
          <w:rFonts w:ascii="Times New Roman" w:hAnsi="Times New Roman"/>
          <w:strike w:val="0"/>
          <w:sz w:val="22"/>
          <w:szCs w:val="22"/>
          <w:highlight w:val="lightGray"/>
        </w:rPr>
        <w:t xml:space="preserve">žlté okrúhle tablety s priemerom 10 mm, </w:t>
      </w:r>
      <w:r w:rsidR="007A2A50">
        <w:rPr>
          <w:rFonts w:ascii="Times New Roman" w:hAnsi="Times New Roman"/>
          <w:strike w:val="0"/>
          <w:sz w:val="22"/>
          <w:szCs w:val="22"/>
          <w:highlight w:val="lightGray"/>
        </w:rPr>
        <w:t>„</w:t>
      </w:r>
      <w:r w:rsidRPr="00C101CC">
        <w:rPr>
          <w:rFonts w:ascii="Times New Roman" w:hAnsi="Times New Roman"/>
          <w:strike w:val="0"/>
          <w:sz w:val="22"/>
          <w:szCs w:val="22"/>
          <w:highlight w:val="lightGray"/>
        </w:rPr>
        <w:t>TOP</w:t>
      </w:r>
      <w:r w:rsidR="007A2A50">
        <w:rPr>
          <w:rFonts w:ascii="Times New Roman" w:hAnsi="Times New Roman"/>
          <w:strike w:val="0"/>
          <w:sz w:val="22"/>
          <w:szCs w:val="22"/>
          <w:highlight w:val="lightGray"/>
        </w:rPr>
        <w:t>‟</w:t>
      </w:r>
      <w:r w:rsidRPr="00C101CC">
        <w:rPr>
          <w:rFonts w:ascii="Times New Roman" w:hAnsi="Times New Roman"/>
          <w:strike w:val="0"/>
          <w:sz w:val="22"/>
          <w:szCs w:val="22"/>
          <w:highlight w:val="lightGray"/>
        </w:rPr>
        <w:t xml:space="preserve"> na jednej strane, </w:t>
      </w:r>
      <w:r w:rsidR="007A2A50">
        <w:rPr>
          <w:rFonts w:ascii="Times New Roman" w:hAnsi="Times New Roman"/>
          <w:strike w:val="0"/>
          <w:sz w:val="22"/>
          <w:szCs w:val="22"/>
          <w:highlight w:val="lightGray"/>
        </w:rPr>
        <w:t>„</w:t>
      </w:r>
      <w:r w:rsidRPr="00C101CC">
        <w:rPr>
          <w:rFonts w:ascii="Times New Roman" w:hAnsi="Times New Roman"/>
          <w:strike w:val="0"/>
          <w:sz w:val="22"/>
          <w:szCs w:val="22"/>
          <w:highlight w:val="lightGray"/>
        </w:rPr>
        <w:t>100</w:t>
      </w:r>
      <w:r w:rsidR="007A2A50">
        <w:rPr>
          <w:rFonts w:ascii="Times New Roman" w:hAnsi="Times New Roman"/>
          <w:strike w:val="0"/>
          <w:sz w:val="22"/>
          <w:szCs w:val="22"/>
          <w:highlight w:val="lightGray"/>
        </w:rPr>
        <w:t>‟</w:t>
      </w:r>
      <w:r w:rsidRPr="00C101CC">
        <w:rPr>
          <w:rFonts w:ascii="Times New Roman" w:hAnsi="Times New Roman"/>
          <w:strike w:val="0"/>
          <w:sz w:val="22"/>
          <w:szCs w:val="22"/>
          <w:highlight w:val="lightGray"/>
        </w:rPr>
        <w:t xml:space="preserve"> na strane druhej</w:t>
      </w:r>
      <w:r w:rsidR="00DA2B85" w:rsidRPr="00C101CC">
        <w:rPr>
          <w:rFonts w:ascii="Times New Roman" w:hAnsi="Times New Roman"/>
          <w:strike w:val="0"/>
          <w:sz w:val="22"/>
          <w:szCs w:val="22"/>
          <w:highlight w:val="lightGray"/>
        </w:rPr>
        <w:t>.</w:t>
      </w:r>
    </w:p>
    <w:bookmarkEnd w:id="0"/>
    <w:p w14:paraId="36C94E50" w14:textId="77777777" w:rsidR="00FF7468" w:rsidRPr="00C101CC" w:rsidRDefault="00FF7468" w:rsidP="00C101CC">
      <w:pPr>
        <w:pStyle w:val="Default"/>
        <w:rPr>
          <w:sz w:val="22"/>
          <w:szCs w:val="22"/>
          <w:lang w:val="sk-SK"/>
        </w:rPr>
      </w:pPr>
    </w:p>
    <w:p w14:paraId="63CE27A8" w14:textId="77777777" w:rsidR="00FF7468" w:rsidRPr="00C101CC" w:rsidRDefault="00FF7468" w:rsidP="00C101CC">
      <w:pPr>
        <w:pStyle w:val="Default"/>
        <w:rPr>
          <w:sz w:val="22"/>
          <w:szCs w:val="22"/>
          <w:lang w:val="sk-SK"/>
        </w:rPr>
      </w:pPr>
    </w:p>
    <w:p w14:paraId="76D434A4" w14:textId="77777777" w:rsidR="00FF7468" w:rsidRPr="00C101CC" w:rsidRDefault="00FF7468" w:rsidP="00C101CC">
      <w:pPr>
        <w:keepNext/>
        <w:spacing w:line="240" w:lineRule="auto"/>
        <w:ind w:left="567" w:hanging="567"/>
        <w:jc w:val="both"/>
        <w:rPr>
          <w:caps/>
          <w:szCs w:val="22"/>
          <w:lang w:val="sk-SK"/>
        </w:rPr>
      </w:pPr>
      <w:r w:rsidRPr="00C101CC">
        <w:rPr>
          <w:b/>
          <w:caps/>
          <w:szCs w:val="22"/>
          <w:lang w:val="sk-SK"/>
        </w:rPr>
        <w:t>4.</w:t>
      </w:r>
      <w:r w:rsidRPr="00C101CC">
        <w:rPr>
          <w:b/>
          <w:caps/>
          <w:szCs w:val="22"/>
          <w:lang w:val="sk-SK"/>
        </w:rPr>
        <w:tab/>
        <w:t>KLINICKÉ ÚDAJE</w:t>
      </w:r>
    </w:p>
    <w:p w14:paraId="45F464E6" w14:textId="77777777" w:rsidR="00FF7468" w:rsidRPr="00C101CC" w:rsidRDefault="00FF7468" w:rsidP="00C101CC">
      <w:pPr>
        <w:keepNext/>
        <w:spacing w:line="240" w:lineRule="auto"/>
        <w:jc w:val="both"/>
        <w:rPr>
          <w:szCs w:val="22"/>
          <w:lang w:val="sk-SK"/>
        </w:rPr>
      </w:pPr>
    </w:p>
    <w:p w14:paraId="4BCFA5FE" w14:textId="77777777" w:rsidR="00FF7468" w:rsidRPr="00C101CC" w:rsidRDefault="00FF7468" w:rsidP="00C101CC">
      <w:pPr>
        <w:keepNext/>
        <w:spacing w:line="240" w:lineRule="auto"/>
        <w:ind w:left="567" w:hanging="567"/>
        <w:jc w:val="both"/>
        <w:rPr>
          <w:szCs w:val="22"/>
          <w:lang w:val="sk-SK"/>
        </w:rPr>
      </w:pPr>
      <w:r w:rsidRPr="00C101CC">
        <w:rPr>
          <w:b/>
          <w:szCs w:val="22"/>
          <w:lang w:val="sk-SK"/>
        </w:rPr>
        <w:t>4.1</w:t>
      </w:r>
      <w:r w:rsidRPr="00C101CC">
        <w:rPr>
          <w:b/>
          <w:szCs w:val="22"/>
          <w:lang w:val="sk-SK"/>
        </w:rPr>
        <w:tab/>
        <w:t>Terapeutické indikácie</w:t>
      </w:r>
    </w:p>
    <w:p w14:paraId="781FE453" w14:textId="77777777" w:rsidR="00FF7468" w:rsidRPr="00C101CC" w:rsidRDefault="00FF7468" w:rsidP="00C101CC">
      <w:pPr>
        <w:keepNext/>
        <w:spacing w:line="240" w:lineRule="auto"/>
        <w:jc w:val="both"/>
        <w:rPr>
          <w:szCs w:val="22"/>
          <w:lang w:val="sk-SK"/>
        </w:rPr>
      </w:pPr>
    </w:p>
    <w:p w14:paraId="7A87494C" w14:textId="07ACBDB6" w:rsidR="00FF7468" w:rsidRPr="00C101CC" w:rsidRDefault="00FF7468" w:rsidP="00C101CC">
      <w:pPr>
        <w:pStyle w:val="Default"/>
        <w:keepNext/>
        <w:rPr>
          <w:sz w:val="22"/>
          <w:szCs w:val="22"/>
          <w:lang w:val="sk-SK"/>
        </w:rPr>
      </w:pPr>
      <w:r w:rsidRPr="00C101CC">
        <w:rPr>
          <w:sz w:val="22"/>
          <w:szCs w:val="22"/>
          <w:lang w:val="sk-SK"/>
        </w:rPr>
        <w:t>Monoterapia u dospelých, dospievajúcich a detí od</w:t>
      </w:r>
      <w:r w:rsidR="008C445F" w:rsidRPr="00C101CC">
        <w:rPr>
          <w:sz w:val="22"/>
          <w:szCs w:val="22"/>
          <w:lang w:val="sk-SK"/>
        </w:rPr>
        <w:t> </w:t>
      </w:r>
      <w:r w:rsidRPr="00C101CC">
        <w:rPr>
          <w:sz w:val="22"/>
          <w:szCs w:val="22"/>
          <w:lang w:val="sk-SK"/>
        </w:rPr>
        <w:t>6</w:t>
      </w:r>
      <w:r w:rsidR="008C445F" w:rsidRPr="00C101CC">
        <w:rPr>
          <w:sz w:val="22"/>
          <w:szCs w:val="22"/>
          <w:lang w:val="sk-SK"/>
        </w:rPr>
        <w:t> </w:t>
      </w:r>
      <w:r w:rsidRPr="00C101CC">
        <w:rPr>
          <w:sz w:val="22"/>
          <w:szCs w:val="22"/>
          <w:lang w:val="sk-SK"/>
        </w:rPr>
        <w:t>rokov s parciálnymi epileptickými záchvatmi so</w:t>
      </w:r>
      <w:r w:rsidR="008C445F" w:rsidRPr="00C101CC">
        <w:rPr>
          <w:sz w:val="22"/>
          <w:szCs w:val="22"/>
          <w:lang w:val="sk-SK"/>
        </w:rPr>
        <w:t> </w:t>
      </w:r>
      <w:r w:rsidRPr="00C101CC">
        <w:rPr>
          <w:sz w:val="22"/>
          <w:szCs w:val="22"/>
          <w:lang w:val="sk-SK"/>
        </w:rPr>
        <w:t>sekundárnou generalizáciou alebo bez nej a s primárnymi generalizovanými tonicko-klonickými záchvatmi.</w:t>
      </w:r>
    </w:p>
    <w:p w14:paraId="3313E045" w14:textId="77777777" w:rsidR="00FF7468" w:rsidRPr="00C101CC" w:rsidRDefault="00FF7468" w:rsidP="00C101CC">
      <w:pPr>
        <w:pStyle w:val="Default"/>
        <w:rPr>
          <w:sz w:val="22"/>
          <w:szCs w:val="22"/>
          <w:lang w:val="sk-SK"/>
        </w:rPr>
      </w:pPr>
    </w:p>
    <w:p w14:paraId="1C8F940E" w14:textId="7946ED32" w:rsidR="00FF7468" w:rsidRPr="00C101CC" w:rsidRDefault="00FF7468" w:rsidP="00C101CC">
      <w:pPr>
        <w:pStyle w:val="Default"/>
        <w:rPr>
          <w:sz w:val="22"/>
          <w:szCs w:val="22"/>
          <w:lang w:val="sk-SK"/>
        </w:rPr>
      </w:pPr>
      <w:r w:rsidRPr="00C101CC">
        <w:rPr>
          <w:sz w:val="22"/>
          <w:szCs w:val="22"/>
          <w:lang w:val="sk-SK"/>
        </w:rPr>
        <w:t>Prídavná terapia u detí od</w:t>
      </w:r>
      <w:r w:rsidR="008C445F" w:rsidRPr="00C101CC">
        <w:rPr>
          <w:sz w:val="22"/>
          <w:szCs w:val="22"/>
          <w:lang w:val="sk-SK"/>
        </w:rPr>
        <w:t> </w:t>
      </w:r>
      <w:r w:rsidRPr="00C101CC">
        <w:rPr>
          <w:sz w:val="22"/>
          <w:szCs w:val="22"/>
          <w:lang w:val="sk-SK"/>
        </w:rPr>
        <w:t>2</w:t>
      </w:r>
      <w:r w:rsidR="008C445F" w:rsidRPr="00C101CC">
        <w:rPr>
          <w:sz w:val="22"/>
          <w:szCs w:val="22"/>
          <w:lang w:val="sk-SK"/>
        </w:rPr>
        <w:t> </w:t>
      </w:r>
      <w:r w:rsidRPr="00C101CC">
        <w:rPr>
          <w:sz w:val="22"/>
          <w:szCs w:val="22"/>
          <w:lang w:val="sk-SK"/>
        </w:rPr>
        <w:t>rokov, dospievajúcich a dospelých s parciálnymi epileptickými záchvatmi so sekundárnou generalizáciou alebo bez nej alebo s primárnymi generalizovanými tonicko-klonickými záchvatmi a liečba záchvatov spojených s Lennoxovým-Gastautovým syndrómom.</w:t>
      </w:r>
    </w:p>
    <w:p w14:paraId="4B2FA085" w14:textId="77777777" w:rsidR="00FF7468" w:rsidRPr="00C101CC" w:rsidRDefault="00FF7468" w:rsidP="00C101CC">
      <w:pPr>
        <w:pStyle w:val="Default"/>
        <w:rPr>
          <w:sz w:val="22"/>
          <w:szCs w:val="22"/>
          <w:lang w:val="sk-SK"/>
        </w:rPr>
      </w:pPr>
    </w:p>
    <w:p w14:paraId="7D2DFA6F" w14:textId="77777777" w:rsidR="00FF7468" w:rsidRPr="00C101CC" w:rsidRDefault="00FF7468" w:rsidP="00C101CC">
      <w:pPr>
        <w:pStyle w:val="Default"/>
        <w:rPr>
          <w:sz w:val="22"/>
          <w:szCs w:val="22"/>
          <w:lang w:val="sk-SK"/>
        </w:rPr>
      </w:pPr>
      <w:r w:rsidRPr="00C101CC">
        <w:rPr>
          <w:sz w:val="22"/>
          <w:szCs w:val="22"/>
          <w:lang w:val="sk-SK"/>
        </w:rPr>
        <w:t>Topiramát je indikovaný u dospelých na profylaxiu migrenóznych bolestí hlavy po starostlivom zvážení iných možností alternatívnej liečby. Topiramát nie je určený na akútnu liečbu.</w:t>
      </w:r>
    </w:p>
    <w:p w14:paraId="67ED78A5" w14:textId="77777777" w:rsidR="00FF7468" w:rsidRPr="00C101CC" w:rsidRDefault="00FF7468" w:rsidP="00C101CC">
      <w:pPr>
        <w:spacing w:line="240" w:lineRule="auto"/>
        <w:jc w:val="both"/>
        <w:rPr>
          <w:szCs w:val="22"/>
          <w:lang w:val="sk-SK"/>
        </w:rPr>
      </w:pPr>
    </w:p>
    <w:p w14:paraId="1C3A49C1" w14:textId="77777777" w:rsidR="00FF7468" w:rsidRPr="00C101CC" w:rsidRDefault="00FF7468" w:rsidP="00C101CC">
      <w:pPr>
        <w:keepNext/>
        <w:spacing w:line="240" w:lineRule="auto"/>
        <w:ind w:left="567" w:hanging="567"/>
        <w:jc w:val="both"/>
        <w:rPr>
          <w:b/>
          <w:szCs w:val="22"/>
          <w:lang w:val="sk-SK"/>
        </w:rPr>
      </w:pPr>
      <w:r w:rsidRPr="00C101CC">
        <w:rPr>
          <w:b/>
          <w:szCs w:val="22"/>
          <w:lang w:val="sk-SK"/>
        </w:rPr>
        <w:t>4.2</w:t>
      </w:r>
      <w:r w:rsidRPr="00C101CC">
        <w:rPr>
          <w:b/>
          <w:szCs w:val="22"/>
          <w:lang w:val="sk-SK"/>
        </w:rPr>
        <w:tab/>
        <w:t>Dávkovanie a spôsob podávania</w:t>
      </w:r>
    </w:p>
    <w:p w14:paraId="032C359A" w14:textId="77777777" w:rsidR="00FF7468" w:rsidRPr="00C101CC" w:rsidRDefault="00FF7468" w:rsidP="00C101CC">
      <w:pPr>
        <w:keepNext/>
        <w:spacing w:line="240" w:lineRule="auto"/>
        <w:ind w:left="567" w:hanging="567"/>
        <w:jc w:val="both"/>
        <w:rPr>
          <w:szCs w:val="22"/>
          <w:lang w:val="sk-SK"/>
        </w:rPr>
      </w:pPr>
    </w:p>
    <w:p w14:paraId="5211092B" w14:textId="77777777" w:rsidR="00FF7468" w:rsidRPr="00C101CC" w:rsidRDefault="00B745A1" w:rsidP="00C101CC">
      <w:pPr>
        <w:pStyle w:val="BodyText12"/>
        <w:keepNext/>
        <w:spacing w:after="0" w:line="240" w:lineRule="auto"/>
        <w:ind w:left="0"/>
        <w:jc w:val="left"/>
        <w:rPr>
          <w:sz w:val="22"/>
          <w:szCs w:val="22"/>
          <w:u w:val="single"/>
          <w:lang w:val="sk-SK"/>
        </w:rPr>
      </w:pPr>
      <w:r w:rsidRPr="00C101CC">
        <w:rPr>
          <w:sz w:val="22"/>
          <w:szCs w:val="22"/>
          <w:u w:val="single"/>
          <w:lang w:val="sk-SK"/>
        </w:rPr>
        <w:t>Dávkovanie</w:t>
      </w:r>
    </w:p>
    <w:p w14:paraId="0BC01F95"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Odporúča sa, aby sa liečba začala nízkou dávkou s následnou titráciou po účinnú dávku.</w:t>
      </w:r>
    </w:p>
    <w:p w14:paraId="6488602F"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Dávk</w:t>
      </w:r>
      <w:r w:rsidR="00523C38" w:rsidRPr="00C101CC">
        <w:rPr>
          <w:sz w:val="22"/>
          <w:szCs w:val="22"/>
          <w:lang w:val="sk-SK"/>
        </w:rPr>
        <w:t>a</w:t>
      </w:r>
      <w:r w:rsidRPr="00C101CC">
        <w:rPr>
          <w:sz w:val="22"/>
          <w:szCs w:val="22"/>
          <w:lang w:val="sk-SK"/>
        </w:rPr>
        <w:t xml:space="preserve"> a</w:t>
      </w:r>
      <w:r w:rsidR="00523C38" w:rsidRPr="00C101CC">
        <w:rPr>
          <w:sz w:val="22"/>
          <w:szCs w:val="22"/>
          <w:lang w:val="sk-SK"/>
        </w:rPr>
        <w:t> </w:t>
      </w:r>
      <w:r w:rsidR="0074612F" w:rsidRPr="00C101CC">
        <w:rPr>
          <w:sz w:val="22"/>
          <w:szCs w:val="22"/>
          <w:lang w:val="sk-SK"/>
        </w:rPr>
        <w:t>r</w:t>
      </w:r>
      <w:r w:rsidR="00523C38" w:rsidRPr="00C101CC">
        <w:rPr>
          <w:sz w:val="22"/>
          <w:szCs w:val="22"/>
          <w:lang w:val="sk-SK"/>
        </w:rPr>
        <w:t xml:space="preserve">ýchlosť </w:t>
      </w:r>
      <w:r w:rsidRPr="00C101CC">
        <w:rPr>
          <w:sz w:val="22"/>
          <w:szCs w:val="22"/>
          <w:lang w:val="sk-SK"/>
        </w:rPr>
        <w:t>titráci</w:t>
      </w:r>
      <w:r w:rsidR="00523C38" w:rsidRPr="00C101CC">
        <w:rPr>
          <w:sz w:val="22"/>
          <w:szCs w:val="22"/>
          <w:lang w:val="sk-SK"/>
        </w:rPr>
        <w:t>e</w:t>
      </w:r>
      <w:r w:rsidRPr="00C101CC">
        <w:rPr>
          <w:sz w:val="22"/>
          <w:szCs w:val="22"/>
          <w:lang w:val="sk-SK"/>
        </w:rPr>
        <w:t xml:space="preserve"> sa majú riadiť klinickou odpoveďou.</w:t>
      </w:r>
    </w:p>
    <w:p w14:paraId="5EDEC8BC" w14:textId="77777777" w:rsidR="00FF7468" w:rsidRPr="00C101CC" w:rsidRDefault="00FF7468" w:rsidP="00C101CC">
      <w:pPr>
        <w:pStyle w:val="BodyText12"/>
        <w:spacing w:after="0" w:line="240" w:lineRule="auto"/>
        <w:ind w:left="0"/>
        <w:jc w:val="left"/>
        <w:rPr>
          <w:sz w:val="22"/>
          <w:szCs w:val="22"/>
          <w:lang w:val="sk-SK"/>
        </w:rPr>
      </w:pPr>
    </w:p>
    <w:p w14:paraId="23C7B016"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lastRenderedPageBreak/>
        <w:t>Na optimalizovanie liečby liekom Topamax nie je potrebné monitorovať plazmatické hladiny topiramátu. Zriedkavo môže pridanie topiramátu k fenytoínu vyžadovať úpravu dávky fenytoínu, aby sa dosiahol optimálny klinický výsledok. Pridanie alebo vynechanie fenytoínu a karbamazepínu pri prídavnej terapii Topamaxom môže vyžadovať úpravu dávky Topamaxu.</w:t>
      </w:r>
    </w:p>
    <w:p w14:paraId="3EBB0306" w14:textId="77777777" w:rsidR="00FF7468" w:rsidRPr="00C101CC" w:rsidRDefault="00FF7468" w:rsidP="00C101CC">
      <w:pPr>
        <w:pStyle w:val="BodyText12"/>
        <w:spacing w:after="0" w:line="240" w:lineRule="auto"/>
        <w:ind w:left="0"/>
        <w:jc w:val="left"/>
        <w:rPr>
          <w:sz w:val="22"/>
          <w:szCs w:val="22"/>
          <w:lang w:val="sk-SK"/>
        </w:rPr>
      </w:pPr>
    </w:p>
    <w:p w14:paraId="276FDE83" w14:textId="77777777" w:rsidR="00FF7468" w:rsidRPr="00C101CC" w:rsidRDefault="00FF7468" w:rsidP="00C101CC">
      <w:pPr>
        <w:pStyle w:val="BodyText12"/>
        <w:spacing w:after="0" w:line="240" w:lineRule="auto"/>
        <w:ind w:left="0"/>
        <w:jc w:val="left"/>
        <w:rPr>
          <w:sz w:val="22"/>
          <w:szCs w:val="22"/>
          <w:lang w:val="sk-SK"/>
        </w:rPr>
      </w:pPr>
      <w:r w:rsidRPr="00C101CC">
        <w:rPr>
          <w:color w:val="000000"/>
          <w:sz w:val="22"/>
          <w:szCs w:val="22"/>
          <w:lang w:val="sk-SK"/>
        </w:rPr>
        <w:t xml:space="preserve">U pacientov s anamnézou </w:t>
      </w:r>
      <w:r w:rsidR="00BF4820" w:rsidRPr="00C101CC">
        <w:rPr>
          <w:color w:val="000000"/>
          <w:sz w:val="22"/>
          <w:szCs w:val="22"/>
          <w:lang w:val="sk-SK"/>
        </w:rPr>
        <w:t xml:space="preserve">záchvatov alebo epilepsie </w:t>
      </w:r>
      <w:r w:rsidRPr="00C101CC">
        <w:rPr>
          <w:color w:val="000000"/>
          <w:sz w:val="22"/>
          <w:szCs w:val="22"/>
          <w:lang w:val="sk-SK"/>
        </w:rPr>
        <w:t xml:space="preserve">alebo bez </w:t>
      </w:r>
      <w:r w:rsidR="00BF4820" w:rsidRPr="00C101CC">
        <w:rPr>
          <w:color w:val="000000"/>
          <w:sz w:val="22"/>
          <w:szCs w:val="22"/>
          <w:lang w:val="sk-SK"/>
        </w:rPr>
        <w:t xml:space="preserve">tejto </w:t>
      </w:r>
      <w:r w:rsidRPr="00C101CC">
        <w:rPr>
          <w:color w:val="000000"/>
          <w:sz w:val="22"/>
          <w:szCs w:val="22"/>
          <w:lang w:val="sk-SK"/>
        </w:rPr>
        <w:t>anamnézy sa má liečba antiepileptikami</w:t>
      </w:r>
      <w:r w:rsidR="0074187D" w:rsidRPr="00C101CC">
        <w:rPr>
          <w:color w:val="000000"/>
          <w:sz w:val="22"/>
          <w:szCs w:val="22"/>
          <w:lang w:val="sk-SK"/>
        </w:rPr>
        <w:t>,</w:t>
      </w:r>
      <w:r w:rsidRPr="00C101CC">
        <w:rPr>
          <w:color w:val="000000"/>
          <w:sz w:val="22"/>
          <w:szCs w:val="22"/>
          <w:lang w:val="sk-SK"/>
        </w:rPr>
        <w:t xml:space="preserve"> vrátane topiramátu</w:t>
      </w:r>
      <w:r w:rsidR="0074187D" w:rsidRPr="00C101CC">
        <w:rPr>
          <w:color w:val="000000"/>
          <w:sz w:val="22"/>
          <w:szCs w:val="22"/>
          <w:lang w:val="sk-SK"/>
        </w:rPr>
        <w:t>,</w:t>
      </w:r>
      <w:r w:rsidRPr="00C101CC">
        <w:rPr>
          <w:color w:val="000000"/>
          <w:sz w:val="22"/>
          <w:szCs w:val="22"/>
          <w:lang w:val="sk-SK"/>
        </w:rPr>
        <w:t xml:space="preserve"> postupne ukončiť, aby sa minimalizoval potenciál záchvatov alebo zvýšenie frekvencie záchvatov. V klinických štúdiách sa denné dávky znižovali v týždňových intervaloch o</w:t>
      </w:r>
      <w:r w:rsidR="0074612F" w:rsidRPr="00C101CC">
        <w:rPr>
          <w:color w:val="000000"/>
          <w:sz w:val="22"/>
          <w:szCs w:val="22"/>
          <w:lang w:val="sk-SK"/>
        </w:rPr>
        <w:t> </w:t>
      </w:r>
      <w:r w:rsidRPr="00C101CC">
        <w:rPr>
          <w:color w:val="000000"/>
          <w:sz w:val="22"/>
          <w:szCs w:val="22"/>
          <w:lang w:val="sk-SK"/>
        </w:rPr>
        <w:t>50</w:t>
      </w:r>
      <w:r w:rsidR="0074612F" w:rsidRPr="00C101CC">
        <w:rPr>
          <w:color w:val="000000"/>
          <w:sz w:val="22"/>
          <w:szCs w:val="22"/>
          <w:lang w:val="sk-SK"/>
        </w:rPr>
        <w:t xml:space="preserve"> - </w:t>
      </w:r>
      <w:r w:rsidRPr="00C101CC">
        <w:rPr>
          <w:color w:val="000000"/>
          <w:sz w:val="22"/>
          <w:szCs w:val="22"/>
          <w:lang w:val="sk-SK"/>
        </w:rPr>
        <w:t>100 mg u dospelých s epilepsiou a o</w:t>
      </w:r>
      <w:r w:rsidR="0074612F" w:rsidRPr="00C101CC">
        <w:rPr>
          <w:color w:val="000000"/>
          <w:sz w:val="22"/>
          <w:szCs w:val="22"/>
          <w:lang w:val="sk-SK"/>
        </w:rPr>
        <w:t> </w:t>
      </w:r>
      <w:r w:rsidRPr="00C101CC">
        <w:rPr>
          <w:color w:val="000000"/>
          <w:sz w:val="22"/>
          <w:szCs w:val="22"/>
          <w:lang w:val="sk-SK"/>
        </w:rPr>
        <w:t>25</w:t>
      </w:r>
      <w:r w:rsidR="0074612F" w:rsidRPr="00C101CC">
        <w:rPr>
          <w:color w:val="000000"/>
          <w:sz w:val="22"/>
          <w:szCs w:val="22"/>
          <w:lang w:val="sk-SK"/>
        </w:rPr>
        <w:t xml:space="preserve"> </w:t>
      </w:r>
      <w:r w:rsidRPr="00C101CC">
        <w:rPr>
          <w:color w:val="000000"/>
          <w:sz w:val="22"/>
          <w:szCs w:val="22"/>
          <w:lang w:val="sk-SK"/>
        </w:rPr>
        <w:t>-</w:t>
      </w:r>
      <w:r w:rsidR="0074612F" w:rsidRPr="00C101CC">
        <w:rPr>
          <w:color w:val="000000"/>
          <w:sz w:val="22"/>
          <w:szCs w:val="22"/>
          <w:lang w:val="sk-SK"/>
        </w:rPr>
        <w:t xml:space="preserve"> </w:t>
      </w:r>
      <w:r w:rsidRPr="00C101CC">
        <w:rPr>
          <w:color w:val="000000"/>
          <w:sz w:val="22"/>
          <w:szCs w:val="22"/>
          <w:lang w:val="sk-SK"/>
        </w:rPr>
        <w:t xml:space="preserve">50 mg u dospelých, ktorí na prevenciu migrény užívali topiramát </w:t>
      </w:r>
      <w:r w:rsidR="00B173B2" w:rsidRPr="00C101CC">
        <w:rPr>
          <w:color w:val="000000"/>
          <w:sz w:val="22"/>
          <w:szCs w:val="22"/>
          <w:lang w:val="sk-SK"/>
        </w:rPr>
        <w:t>v</w:t>
      </w:r>
      <w:r w:rsidR="00D116AF" w:rsidRPr="00C101CC">
        <w:rPr>
          <w:color w:val="000000"/>
          <w:sz w:val="22"/>
          <w:szCs w:val="22"/>
          <w:lang w:val="sk-SK"/>
        </w:rPr>
        <w:t xml:space="preserve"> dávke</w:t>
      </w:r>
      <w:r w:rsidR="00B173B2" w:rsidRPr="00C101CC">
        <w:rPr>
          <w:color w:val="000000"/>
          <w:sz w:val="22"/>
          <w:szCs w:val="22"/>
          <w:lang w:val="sk-SK"/>
        </w:rPr>
        <w:t xml:space="preserve"> do</w:t>
      </w:r>
      <w:r w:rsidRPr="00C101CC">
        <w:rPr>
          <w:color w:val="000000"/>
          <w:sz w:val="22"/>
          <w:szCs w:val="22"/>
          <w:lang w:val="sk-SK"/>
        </w:rPr>
        <w:t xml:space="preserve"> 100 mg/deň. V klinických štúdiách u detí bol topiramát postupne </w:t>
      </w:r>
      <w:r w:rsidR="006E1C42" w:rsidRPr="00C101CC">
        <w:rPr>
          <w:color w:val="000000"/>
          <w:sz w:val="22"/>
          <w:szCs w:val="22"/>
          <w:lang w:val="sk-SK"/>
        </w:rPr>
        <w:t xml:space="preserve">vynechaný </w:t>
      </w:r>
      <w:r w:rsidRPr="00C101CC">
        <w:rPr>
          <w:color w:val="000000"/>
          <w:sz w:val="22"/>
          <w:szCs w:val="22"/>
          <w:lang w:val="sk-SK"/>
        </w:rPr>
        <w:t>počas 2</w:t>
      </w:r>
      <w:r w:rsidR="0074612F" w:rsidRPr="00C101CC">
        <w:rPr>
          <w:color w:val="000000"/>
          <w:sz w:val="22"/>
          <w:szCs w:val="22"/>
          <w:lang w:val="sk-SK"/>
        </w:rPr>
        <w:t xml:space="preserve"> </w:t>
      </w:r>
      <w:r w:rsidRPr="00C101CC">
        <w:rPr>
          <w:color w:val="000000"/>
          <w:sz w:val="22"/>
          <w:szCs w:val="22"/>
          <w:lang w:val="sk-SK"/>
        </w:rPr>
        <w:t>-</w:t>
      </w:r>
      <w:r w:rsidR="0074612F" w:rsidRPr="00C101CC">
        <w:rPr>
          <w:color w:val="000000"/>
          <w:sz w:val="22"/>
          <w:szCs w:val="22"/>
          <w:lang w:val="sk-SK"/>
        </w:rPr>
        <w:t xml:space="preserve"> </w:t>
      </w:r>
      <w:r w:rsidRPr="00C101CC">
        <w:rPr>
          <w:color w:val="000000"/>
          <w:sz w:val="22"/>
          <w:szCs w:val="22"/>
          <w:lang w:val="sk-SK"/>
        </w:rPr>
        <w:t>8 týždňového obdobia.</w:t>
      </w:r>
    </w:p>
    <w:p w14:paraId="09B81F8F" w14:textId="77777777" w:rsidR="00FF7468" w:rsidRPr="00C101CC" w:rsidRDefault="00FF7468" w:rsidP="00C101CC">
      <w:pPr>
        <w:pStyle w:val="BodyText12"/>
        <w:spacing w:after="0" w:line="240" w:lineRule="auto"/>
        <w:ind w:left="0"/>
        <w:jc w:val="left"/>
        <w:rPr>
          <w:sz w:val="22"/>
          <w:szCs w:val="22"/>
          <w:lang w:val="sk-SK"/>
        </w:rPr>
      </w:pPr>
    </w:p>
    <w:p w14:paraId="779F6DDD"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Monoterapia epilepsie</w:t>
      </w:r>
    </w:p>
    <w:p w14:paraId="4419FDAE" w14:textId="77777777" w:rsidR="00FF7468" w:rsidRPr="00C101CC" w:rsidRDefault="00FF7468" w:rsidP="00C101CC">
      <w:pPr>
        <w:pStyle w:val="BodyText12"/>
        <w:keepNext/>
        <w:spacing w:after="0" w:line="240" w:lineRule="auto"/>
        <w:ind w:left="0"/>
        <w:jc w:val="left"/>
        <w:rPr>
          <w:i/>
          <w:sz w:val="22"/>
          <w:szCs w:val="22"/>
          <w:lang w:val="sk-SK"/>
        </w:rPr>
      </w:pPr>
      <w:r w:rsidRPr="00C101CC">
        <w:rPr>
          <w:i/>
          <w:sz w:val="22"/>
          <w:szCs w:val="22"/>
          <w:lang w:val="sk-SK"/>
        </w:rPr>
        <w:t>Všeobecne</w:t>
      </w:r>
    </w:p>
    <w:p w14:paraId="2A27272E" w14:textId="2FC218E6"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Pri vynechaní sú</w:t>
      </w:r>
      <w:r w:rsidR="008C445F" w:rsidRPr="00C101CC">
        <w:rPr>
          <w:sz w:val="22"/>
          <w:szCs w:val="22"/>
          <w:lang w:val="sk-SK"/>
        </w:rPr>
        <w:t>bež</w:t>
      </w:r>
      <w:r w:rsidRPr="00C101CC">
        <w:rPr>
          <w:sz w:val="22"/>
          <w:szCs w:val="22"/>
          <w:lang w:val="sk-SK"/>
        </w:rPr>
        <w:t>ne užívaných antiepileptík pre dosiahnutie monoterapie topiramátom, sa majú zvážiť následky, ktoré môže mať toto vynechanie na kontrolu záchvatov. S výnimkou prípadov, ktoré z hľadiska bezpečnosti vyžadujú náhle vynechanie sú</w:t>
      </w:r>
      <w:r w:rsidR="008C445F" w:rsidRPr="00C101CC">
        <w:rPr>
          <w:sz w:val="22"/>
          <w:szCs w:val="22"/>
          <w:lang w:val="sk-SK"/>
        </w:rPr>
        <w:t>bež</w:t>
      </w:r>
      <w:r w:rsidRPr="00C101CC">
        <w:rPr>
          <w:sz w:val="22"/>
          <w:szCs w:val="22"/>
          <w:lang w:val="sk-SK"/>
        </w:rPr>
        <w:t>ne podávaných antiepileptík, odporúča sa postupné vynechanie sú</w:t>
      </w:r>
      <w:r w:rsidR="008C445F" w:rsidRPr="00C101CC">
        <w:rPr>
          <w:sz w:val="22"/>
          <w:szCs w:val="22"/>
          <w:lang w:val="sk-SK"/>
        </w:rPr>
        <w:t>bež</w:t>
      </w:r>
      <w:r w:rsidRPr="00C101CC">
        <w:rPr>
          <w:sz w:val="22"/>
          <w:szCs w:val="22"/>
          <w:lang w:val="sk-SK"/>
        </w:rPr>
        <w:t>ne podávaného antiepileptika v rozsahu približne jednej tretiny jeho dávky každé 2 týždne.</w:t>
      </w:r>
    </w:p>
    <w:p w14:paraId="3B16E820" w14:textId="77777777" w:rsidR="00FF7468" w:rsidRPr="00C101CC" w:rsidRDefault="00FF7468" w:rsidP="00C101CC">
      <w:pPr>
        <w:pStyle w:val="BodyText12"/>
        <w:spacing w:after="0" w:line="240" w:lineRule="auto"/>
        <w:ind w:left="0"/>
        <w:jc w:val="left"/>
        <w:rPr>
          <w:sz w:val="22"/>
          <w:szCs w:val="22"/>
          <w:lang w:val="sk-SK"/>
        </w:rPr>
      </w:pPr>
    </w:p>
    <w:p w14:paraId="78D3FA59"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Keď sa vynechajú enzým-indukujúce lieky, hladiny topiramátu sa zvýšia. Ak sú na to klinické dôvody, môže sa dávkovanie Topamaxu (topiramát) znížiť.</w:t>
      </w:r>
    </w:p>
    <w:p w14:paraId="773829A8" w14:textId="77777777" w:rsidR="00FF7468" w:rsidRPr="00C101CC" w:rsidRDefault="00FF7468" w:rsidP="00C101CC">
      <w:pPr>
        <w:pStyle w:val="BodyText12"/>
        <w:spacing w:after="0" w:line="240" w:lineRule="auto"/>
        <w:ind w:left="0"/>
        <w:jc w:val="left"/>
        <w:rPr>
          <w:sz w:val="22"/>
          <w:szCs w:val="22"/>
          <w:lang w:val="sk-SK"/>
        </w:rPr>
      </w:pPr>
    </w:p>
    <w:p w14:paraId="40A2FFA7" w14:textId="77777777" w:rsidR="00FF7468" w:rsidRPr="00C101CC" w:rsidRDefault="00FF7468" w:rsidP="00C101CC">
      <w:pPr>
        <w:pStyle w:val="BodyText12"/>
        <w:keepNext/>
        <w:spacing w:after="0" w:line="240" w:lineRule="auto"/>
        <w:ind w:left="0"/>
        <w:jc w:val="left"/>
        <w:rPr>
          <w:i/>
          <w:sz w:val="22"/>
          <w:szCs w:val="22"/>
          <w:lang w:val="sk-SK"/>
        </w:rPr>
      </w:pPr>
      <w:r w:rsidRPr="00C101CC">
        <w:rPr>
          <w:i/>
          <w:sz w:val="22"/>
          <w:szCs w:val="22"/>
          <w:lang w:val="sk-SK"/>
        </w:rPr>
        <w:t>Dospelí</w:t>
      </w:r>
    </w:p>
    <w:p w14:paraId="6CE474F8" w14:textId="43AAFBDC"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Dávka a titrácia sa má riadiť klinickou odpoveďou. Titrácia sa má začať dávkou 25</w:t>
      </w:r>
      <w:r w:rsidR="00215D65" w:rsidRPr="00C101CC">
        <w:rPr>
          <w:sz w:val="22"/>
          <w:szCs w:val="22"/>
          <w:lang w:val="sk-SK"/>
        </w:rPr>
        <w:t> </w:t>
      </w:r>
      <w:r w:rsidRPr="00C101CC">
        <w:rPr>
          <w:sz w:val="22"/>
          <w:szCs w:val="22"/>
          <w:lang w:val="sk-SK"/>
        </w:rPr>
        <w:t>mg na noc počas 1</w:t>
      </w:r>
      <w:r w:rsidR="008C445F" w:rsidRPr="00C101CC">
        <w:rPr>
          <w:sz w:val="22"/>
          <w:szCs w:val="22"/>
          <w:lang w:val="sk-SK"/>
        </w:rPr>
        <w:t> </w:t>
      </w:r>
      <w:r w:rsidRPr="00C101CC">
        <w:rPr>
          <w:sz w:val="22"/>
          <w:szCs w:val="22"/>
          <w:lang w:val="sk-SK"/>
        </w:rPr>
        <w:t>týždňa. Dávkovanie sa má potom zvyšovať v</w:t>
      </w:r>
      <w:r w:rsidR="008C445F" w:rsidRPr="00C101CC">
        <w:rPr>
          <w:sz w:val="22"/>
          <w:szCs w:val="22"/>
          <w:lang w:val="sk-SK"/>
        </w:rPr>
        <w:t> 1</w:t>
      </w:r>
      <w:r w:rsidR="008C445F" w:rsidRPr="00C101CC">
        <w:rPr>
          <w:sz w:val="22"/>
          <w:szCs w:val="22"/>
          <w:lang w:val="sk-SK"/>
        </w:rPr>
        <w:noBreakHyphen/>
      </w:r>
      <w:r w:rsidR="00265BEE" w:rsidRPr="00C101CC">
        <w:rPr>
          <w:sz w:val="22"/>
          <w:szCs w:val="22"/>
          <w:lang w:val="sk-SK"/>
        </w:rPr>
        <w:t xml:space="preserve"> </w:t>
      </w:r>
      <w:r w:rsidRPr="00C101CC">
        <w:rPr>
          <w:sz w:val="22"/>
          <w:szCs w:val="22"/>
          <w:lang w:val="sk-SK"/>
        </w:rPr>
        <w:t>alebo 2-týždňových intervaloch o 25 alebo 50</w:t>
      </w:r>
      <w:r w:rsidR="00215D65" w:rsidRPr="00C101CC">
        <w:rPr>
          <w:sz w:val="22"/>
          <w:szCs w:val="22"/>
          <w:lang w:val="sk-SK"/>
        </w:rPr>
        <w:t> </w:t>
      </w:r>
      <w:r w:rsidRPr="00C101CC">
        <w:rPr>
          <w:sz w:val="22"/>
          <w:szCs w:val="22"/>
          <w:lang w:val="sk-SK"/>
        </w:rPr>
        <w:t xml:space="preserve">mg/deň rozdelených na dve dávky. Ak pacient netoleruje titračný režim, môže sa použiť menšie zvýšenie alebo dlhšie intervaly medzi zvýšeniami dávok. </w:t>
      </w:r>
    </w:p>
    <w:p w14:paraId="13682E61" w14:textId="77777777" w:rsidR="00FF7468" w:rsidRPr="00C101CC" w:rsidRDefault="00FF7468" w:rsidP="00C101CC">
      <w:pPr>
        <w:pStyle w:val="BodyText12"/>
        <w:spacing w:after="0" w:line="240" w:lineRule="auto"/>
        <w:ind w:left="0"/>
        <w:jc w:val="left"/>
        <w:rPr>
          <w:sz w:val="22"/>
          <w:szCs w:val="22"/>
          <w:u w:val="single"/>
          <w:lang w:val="sk-SK"/>
        </w:rPr>
      </w:pPr>
    </w:p>
    <w:p w14:paraId="1EC80274" w14:textId="6D05BE0B"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Pri monoterapii topiramátom sa dospelým odporúča iniciálna cieľová dávka 100</w:t>
      </w:r>
      <w:r w:rsidR="00215D65" w:rsidRPr="00C101CC">
        <w:rPr>
          <w:sz w:val="22"/>
          <w:szCs w:val="22"/>
          <w:lang w:val="sk-SK"/>
        </w:rPr>
        <w:t> </w:t>
      </w:r>
      <w:r w:rsidRPr="00C101CC">
        <w:rPr>
          <w:sz w:val="22"/>
          <w:szCs w:val="22"/>
          <w:lang w:val="sk-SK"/>
        </w:rPr>
        <w:t>mg/deň až 200 mg/deň rozdelená na dve dávky. Maximálna odporúčaná denná dávka je 500</w:t>
      </w:r>
      <w:r w:rsidR="00215D65" w:rsidRPr="00C101CC">
        <w:rPr>
          <w:sz w:val="22"/>
          <w:szCs w:val="22"/>
          <w:lang w:val="sk-SK"/>
        </w:rPr>
        <w:t> </w:t>
      </w:r>
      <w:r w:rsidRPr="00C101CC">
        <w:rPr>
          <w:sz w:val="22"/>
          <w:szCs w:val="22"/>
          <w:lang w:val="sk-SK"/>
        </w:rPr>
        <w:t>mg/deň rozdelená na dve dávky. Niektorí pacienti s refraktérnymi formami epilepsie tolerovali monoterapiu topiramátom pri dávke 1000 mg/deň. Toto dávkovanie sa odporúča všetkým dospelým vrátane pacientov vo vyššom veku bez ochorenia obličiek.</w:t>
      </w:r>
    </w:p>
    <w:p w14:paraId="7A12CCFE" w14:textId="77777777" w:rsidR="00FF7468" w:rsidRPr="00C101CC" w:rsidRDefault="00FF7468" w:rsidP="00C101CC">
      <w:pPr>
        <w:pStyle w:val="BodyText12"/>
        <w:spacing w:after="0" w:line="240" w:lineRule="auto"/>
        <w:ind w:left="0"/>
        <w:jc w:val="left"/>
        <w:rPr>
          <w:sz w:val="22"/>
          <w:szCs w:val="22"/>
          <w:lang w:val="sk-SK"/>
        </w:rPr>
      </w:pPr>
    </w:p>
    <w:p w14:paraId="3E4F1699" w14:textId="118D0808" w:rsidR="00FF7468" w:rsidRPr="00C101CC" w:rsidRDefault="00B745A1" w:rsidP="00C101CC">
      <w:pPr>
        <w:pStyle w:val="BodyText12"/>
        <w:keepNext/>
        <w:spacing w:after="0" w:line="240" w:lineRule="auto"/>
        <w:ind w:left="0"/>
        <w:jc w:val="left"/>
        <w:rPr>
          <w:i/>
          <w:sz w:val="22"/>
          <w:szCs w:val="22"/>
          <w:lang w:val="sk-SK"/>
        </w:rPr>
      </w:pPr>
      <w:r w:rsidRPr="00C101CC">
        <w:rPr>
          <w:i/>
          <w:sz w:val="22"/>
          <w:szCs w:val="22"/>
          <w:lang w:val="sk-SK"/>
        </w:rPr>
        <w:t>Pediatrická populácia</w:t>
      </w:r>
      <w:r w:rsidR="00FF7468" w:rsidRPr="00C101CC">
        <w:rPr>
          <w:i/>
          <w:sz w:val="22"/>
          <w:szCs w:val="22"/>
          <w:lang w:val="sk-SK"/>
        </w:rPr>
        <w:t xml:space="preserve"> (deti od 6</w:t>
      </w:r>
      <w:r w:rsidR="008C445F" w:rsidRPr="00C101CC">
        <w:rPr>
          <w:i/>
          <w:sz w:val="22"/>
          <w:szCs w:val="22"/>
          <w:lang w:val="sk-SK"/>
        </w:rPr>
        <w:t> </w:t>
      </w:r>
      <w:r w:rsidR="00FF7468" w:rsidRPr="00C101CC">
        <w:rPr>
          <w:i/>
          <w:sz w:val="22"/>
          <w:szCs w:val="22"/>
          <w:lang w:val="sk-SK"/>
        </w:rPr>
        <w:t>rokov)</w:t>
      </w:r>
    </w:p>
    <w:p w14:paraId="7E8CA275" w14:textId="050BACF5"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Dávka a </w:t>
      </w:r>
      <w:r w:rsidR="00212625" w:rsidRPr="00C101CC">
        <w:rPr>
          <w:sz w:val="22"/>
          <w:szCs w:val="22"/>
          <w:lang w:val="sk-SK"/>
        </w:rPr>
        <w:t xml:space="preserve">rýchlosť </w:t>
      </w:r>
      <w:r w:rsidRPr="00C101CC">
        <w:rPr>
          <w:sz w:val="22"/>
          <w:szCs w:val="22"/>
          <w:lang w:val="sk-SK"/>
        </w:rPr>
        <w:t xml:space="preserve">titrácie u detí sa má riadiť klinickým </w:t>
      </w:r>
      <w:r w:rsidR="00A356BB" w:rsidRPr="00C101CC">
        <w:rPr>
          <w:sz w:val="22"/>
          <w:szCs w:val="22"/>
          <w:lang w:val="sk-SK"/>
        </w:rPr>
        <w:t>výsledkom</w:t>
      </w:r>
      <w:r w:rsidRPr="00C101CC">
        <w:rPr>
          <w:sz w:val="22"/>
          <w:szCs w:val="22"/>
          <w:lang w:val="sk-SK"/>
        </w:rPr>
        <w:t>. Deti od 6</w:t>
      </w:r>
      <w:r w:rsidR="008C445F" w:rsidRPr="00C101CC">
        <w:rPr>
          <w:sz w:val="22"/>
          <w:szCs w:val="22"/>
          <w:lang w:val="sk-SK"/>
        </w:rPr>
        <w:t> </w:t>
      </w:r>
      <w:r w:rsidRPr="00C101CC">
        <w:rPr>
          <w:sz w:val="22"/>
          <w:szCs w:val="22"/>
          <w:lang w:val="sk-SK"/>
        </w:rPr>
        <w:t>rokov majú začať dávkou 0,5 až 1 mg/kg na noc počas prvého týždňa. Dávkovanie sa má zvyšovať v</w:t>
      </w:r>
      <w:r w:rsidR="008C445F" w:rsidRPr="00C101CC">
        <w:rPr>
          <w:sz w:val="22"/>
          <w:szCs w:val="22"/>
          <w:lang w:val="sk-SK"/>
        </w:rPr>
        <w:t> </w:t>
      </w:r>
      <w:r w:rsidRPr="00C101CC">
        <w:rPr>
          <w:sz w:val="22"/>
          <w:szCs w:val="22"/>
          <w:lang w:val="sk-SK"/>
        </w:rPr>
        <w:t>1</w:t>
      </w:r>
      <w:r w:rsidR="008C445F" w:rsidRPr="00C101CC">
        <w:rPr>
          <w:sz w:val="22"/>
          <w:szCs w:val="22"/>
          <w:lang w:val="sk-SK"/>
        </w:rPr>
        <w:noBreakHyphen/>
      </w:r>
      <w:r w:rsidR="00265BEE" w:rsidRPr="00C101CC">
        <w:rPr>
          <w:sz w:val="22"/>
          <w:szCs w:val="22"/>
          <w:lang w:val="sk-SK"/>
        </w:rPr>
        <w:t xml:space="preserve"> </w:t>
      </w:r>
      <w:r w:rsidRPr="00C101CC">
        <w:rPr>
          <w:sz w:val="22"/>
          <w:szCs w:val="22"/>
          <w:lang w:val="sk-SK"/>
        </w:rPr>
        <w:t>alebo 2</w:t>
      </w:r>
      <w:r w:rsidR="008C445F" w:rsidRPr="00C101CC">
        <w:rPr>
          <w:sz w:val="22"/>
          <w:szCs w:val="22"/>
          <w:lang w:val="sk-SK"/>
        </w:rPr>
        <w:noBreakHyphen/>
      </w:r>
      <w:r w:rsidRPr="00C101CC">
        <w:rPr>
          <w:sz w:val="22"/>
          <w:szCs w:val="22"/>
          <w:lang w:val="sk-SK"/>
        </w:rPr>
        <w:t>týždňových intervaloch o 0,5 až 1 mg/kg/deň, rozdelené do dvoch dávok. Ak dieťa netoleruje titračný režim, môže sa použiť menšie zvýšenie alebo dlhšie intervaly medzi zvýšeniami dávok.</w:t>
      </w:r>
    </w:p>
    <w:p w14:paraId="744158D0" w14:textId="77777777" w:rsidR="00FF7468" w:rsidRPr="00C101CC" w:rsidRDefault="00FF7468" w:rsidP="00C101CC">
      <w:pPr>
        <w:pStyle w:val="BodyText12"/>
        <w:spacing w:after="0" w:line="240" w:lineRule="auto"/>
        <w:ind w:left="0"/>
        <w:jc w:val="left"/>
        <w:rPr>
          <w:sz w:val="22"/>
          <w:szCs w:val="22"/>
          <w:lang w:val="sk-SK"/>
        </w:rPr>
      </w:pPr>
    </w:p>
    <w:p w14:paraId="09F91C93" w14:textId="61CE8B3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Odporúčané začiatočné dávkovanie pri monoterapii topiramátom u detí vo veku od 6</w:t>
      </w:r>
      <w:r w:rsidR="008C445F" w:rsidRPr="00C101CC">
        <w:rPr>
          <w:sz w:val="22"/>
          <w:szCs w:val="22"/>
          <w:lang w:val="sk-SK"/>
        </w:rPr>
        <w:t> </w:t>
      </w:r>
      <w:r w:rsidRPr="00C101CC">
        <w:rPr>
          <w:sz w:val="22"/>
          <w:szCs w:val="22"/>
          <w:lang w:val="sk-SK"/>
        </w:rPr>
        <w:t>rokov je 100 mg/deň v závislosti od klinickej odpovede (to je okolo 2,0</w:t>
      </w:r>
      <w:r w:rsidR="00215D65" w:rsidRPr="00C101CC">
        <w:rPr>
          <w:sz w:val="22"/>
          <w:szCs w:val="22"/>
          <w:lang w:val="sk-SK"/>
        </w:rPr>
        <w:t> </w:t>
      </w:r>
      <w:r w:rsidRPr="00C101CC">
        <w:rPr>
          <w:sz w:val="22"/>
          <w:szCs w:val="22"/>
          <w:lang w:val="sk-SK"/>
        </w:rPr>
        <w:t>mg/kg/deň u</w:t>
      </w:r>
      <w:r w:rsidR="008C445F" w:rsidRPr="00C101CC">
        <w:rPr>
          <w:sz w:val="22"/>
          <w:szCs w:val="22"/>
          <w:lang w:val="sk-SK"/>
        </w:rPr>
        <w:t> </w:t>
      </w:r>
      <w:r w:rsidRPr="00C101CC">
        <w:rPr>
          <w:sz w:val="22"/>
          <w:szCs w:val="22"/>
          <w:lang w:val="sk-SK"/>
        </w:rPr>
        <w:t>6</w:t>
      </w:r>
      <w:r w:rsidR="008C445F" w:rsidRPr="00C101CC">
        <w:rPr>
          <w:sz w:val="22"/>
          <w:szCs w:val="22"/>
          <w:lang w:val="sk-SK"/>
        </w:rPr>
        <w:noBreakHyphen/>
      </w:r>
      <w:r w:rsidRPr="00C101CC">
        <w:rPr>
          <w:sz w:val="22"/>
          <w:szCs w:val="22"/>
          <w:lang w:val="sk-SK"/>
        </w:rPr>
        <w:t xml:space="preserve">16 ročných detí). </w:t>
      </w:r>
    </w:p>
    <w:p w14:paraId="34C9F45E" w14:textId="77777777" w:rsidR="00FF7468" w:rsidRPr="00C101CC" w:rsidRDefault="00FF7468" w:rsidP="00C101CC">
      <w:pPr>
        <w:pStyle w:val="BodyText12"/>
        <w:spacing w:after="0" w:line="240" w:lineRule="auto"/>
        <w:ind w:left="0"/>
        <w:jc w:val="left"/>
        <w:rPr>
          <w:sz w:val="22"/>
          <w:szCs w:val="22"/>
          <w:lang w:val="sk-SK"/>
        </w:rPr>
      </w:pPr>
    </w:p>
    <w:p w14:paraId="42B08022"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Prídavná terapia epilepsie (parciálne záchvaty so sekundárnou generalizáciou alebo bez nej, primárne generalizované tonicko-klonické záchvaty, alebo záchvaty spojené s Lennoxovým-Gaustatovým syndrómom)</w:t>
      </w:r>
    </w:p>
    <w:p w14:paraId="083064DB" w14:textId="77777777" w:rsidR="00FF7468" w:rsidRPr="00C101CC" w:rsidRDefault="00FF7468" w:rsidP="00C101CC">
      <w:pPr>
        <w:pStyle w:val="BodyText12"/>
        <w:keepNext/>
        <w:spacing w:after="0" w:line="240" w:lineRule="auto"/>
        <w:ind w:left="0"/>
        <w:jc w:val="left"/>
        <w:rPr>
          <w:sz w:val="22"/>
          <w:szCs w:val="22"/>
          <w:lang w:val="sk-SK"/>
        </w:rPr>
      </w:pPr>
    </w:p>
    <w:p w14:paraId="4399EA7E" w14:textId="77777777" w:rsidR="00FF7468" w:rsidRPr="00C101CC" w:rsidRDefault="00FF7468" w:rsidP="00C101CC">
      <w:pPr>
        <w:pStyle w:val="BodyText12"/>
        <w:keepNext/>
        <w:spacing w:after="0" w:line="240" w:lineRule="auto"/>
        <w:ind w:left="0"/>
        <w:jc w:val="left"/>
        <w:rPr>
          <w:i/>
          <w:sz w:val="22"/>
          <w:szCs w:val="22"/>
          <w:lang w:val="sk-SK"/>
        </w:rPr>
      </w:pPr>
      <w:r w:rsidRPr="00C101CC">
        <w:rPr>
          <w:i/>
          <w:sz w:val="22"/>
          <w:szCs w:val="22"/>
          <w:lang w:val="sk-SK"/>
        </w:rPr>
        <w:t>Dospelí</w:t>
      </w:r>
    </w:p>
    <w:p w14:paraId="77A8FA76" w14:textId="2ABDF4FB" w:rsidR="00FF7468" w:rsidRPr="00C101CC" w:rsidRDefault="00FF7468" w:rsidP="00C101CC">
      <w:pPr>
        <w:pStyle w:val="BodyText12"/>
        <w:keepNext/>
        <w:spacing w:after="0" w:line="240" w:lineRule="auto"/>
        <w:ind w:left="0"/>
        <w:jc w:val="left"/>
        <w:rPr>
          <w:b/>
          <w:sz w:val="22"/>
          <w:szCs w:val="22"/>
          <w:lang w:val="sk-SK"/>
        </w:rPr>
      </w:pPr>
      <w:r w:rsidRPr="00C101CC">
        <w:rPr>
          <w:sz w:val="22"/>
          <w:szCs w:val="22"/>
          <w:lang w:val="sk-SK"/>
        </w:rPr>
        <w:t xml:space="preserve">Liečba sa má začať </w:t>
      </w:r>
      <w:r w:rsidR="00A356BB" w:rsidRPr="00C101CC">
        <w:rPr>
          <w:sz w:val="22"/>
          <w:szCs w:val="22"/>
          <w:lang w:val="sk-SK"/>
        </w:rPr>
        <w:t>dávkou</w:t>
      </w:r>
      <w:r w:rsidRPr="00C101CC">
        <w:rPr>
          <w:sz w:val="22"/>
          <w:szCs w:val="22"/>
          <w:lang w:val="sk-SK"/>
        </w:rPr>
        <w:t xml:space="preserve"> 25</w:t>
      </w:r>
      <w:r w:rsidR="008C445F" w:rsidRPr="00C101CC">
        <w:rPr>
          <w:sz w:val="22"/>
          <w:szCs w:val="22"/>
          <w:lang w:val="sk-SK"/>
        </w:rPr>
        <w:noBreakHyphen/>
      </w:r>
      <w:r w:rsidRPr="00C101CC">
        <w:rPr>
          <w:sz w:val="22"/>
          <w:szCs w:val="22"/>
          <w:lang w:val="sk-SK"/>
        </w:rPr>
        <w:t xml:space="preserve">50 mg na noc počas jedného týždňa. </w:t>
      </w:r>
      <w:r w:rsidR="00A356BB" w:rsidRPr="00C101CC">
        <w:rPr>
          <w:sz w:val="22"/>
          <w:szCs w:val="22"/>
          <w:lang w:val="sk-SK"/>
        </w:rPr>
        <w:t>P</w:t>
      </w:r>
      <w:r w:rsidRPr="00C101CC">
        <w:rPr>
          <w:sz w:val="22"/>
          <w:szCs w:val="22"/>
          <w:lang w:val="sk-SK"/>
        </w:rPr>
        <w:t>oužitie nižšej úvodnej dávky</w:t>
      </w:r>
      <w:r w:rsidR="00A356BB" w:rsidRPr="00C101CC">
        <w:rPr>
          <w:sz w:val="22"/>
          <w:szCs w:val="22"/>
          <w:lang w:val="sk-SK"/>
        </w:rPr>
        <w:t xml:space="preserve"> bolo zaznamen</w:t>
      </w:r>
      <w:r w:rsidR="003C61AE" w:rsidRPr="00C101CC">
        <w:rPr>
          <w:sz w:val="22"/>
          <w:szCs w:val="22"/>
          <w:lang w:val="sk-SK"/>
        </w:rPr>
        <w:t>a</w:t>
      </w:r>
      <w:r w:rsidR="00A356BB" w:rsidRPr="00C101CC">
        <w:rPr>
          <w:sz w:val="22"/>
          <w:szCs w:val="22"/>
          <w:lang w:val="sk-SK"/>
        </w:rPr>
        <w:t>né</w:t>
      </w:r>
      <w:r w:rsidRPr="00C101CC">
        <w:rPr>
          <w:sz w:val="22"/>
          <w:szCs w:val="22"/>
          <w:lang w:val="sk-SK"/>
        </w:rPr>
        <w:t xml:space="preserve">, ale nebolo systematicky </w:t>
      </w:r>
      <w:r w:rsidR="00C24D44" w:rsidRPr="00C101CC">
        <w:rPr>
          <w:sz w:val="22"/>
          <w:szCs w:val="22"/>
          <w:lang w:val="sk-SK"/>
        </w:rPr>
        <w:t>skúmané</w:t>
      </w:r>
      <w:r w:rsidR="003C61AE" w:rsidRPr="00C101CC">
        <w:rPr>
          <w:sz w:val="22"/>
          <w:szCs w:val="22"/>
          <w:lang w:val="sk-SK"/>
        </w:rPr>
        <w:t>.</w:t>
      </w:r>
      <w:r w:rsidRPr="00C101CC">
        <w:rPr>
          <w:sz w:val="22"/>
          <w:szCs w:val="22"/>
          <w:lang w:val="sk-SK"/>
        </w:rPr>
        <w:t xml:space="preserve"> Následne sa v týždňových alebo dvojtýždňových intervaloch dávka zvyšuje o</w:t>
      </w:r>
      <w:r w:rsidR="008C445F" w:rsidRPr="00C101CC">
        <w:rPr>
          <w:sz w:val="22"/>
          <w:szCs w:val="22"/>
          <w:lang w:val="sk-SK"/>
        </w:rPr>
        <w:t> </w:t>
      </w:r>
      <w:r w:rsidRPr="00C101CC">
        <w:rPr>
          <w:sz w:val="22"/>
          <w:szCs w:val="22"/>
          <w:lang w:val="sk-SK"/>
        </w:rPr>
        <w:t>25</w:t>
      </w:r>
      <w:r w:rsidR="008C445F" w:rsidRPr="00C101CC">
        <w:rPr>
          <w:sz w:val="22"/>
          <w:szCs w:val="22"/>
          <w:lang w:val="sk-SK"/>
        </w:rPr>
        <w:noBreakHyphen/>
      </w:r>
      <w:r w:rsidRPr="00C101CC">
        <w:rPr>
          <w:sz w:val="22"/>
          <w:szCs w:val="22"/>
          <w:lang w:val="sk-SK"/>
        </w:rPr>
        <w:t>50 mg/deň a podáva sa v</w:t>
      </w:r>
      <w:r w:rsidR="00215D65" w:rsidRPr="00C101CC">
        <w:rPr>
          <w:sz w:val="22"/>
          <w:szCs w:val="22"/>
          <w:lang w:val="sk-SK"/>
        </w:rPr>
        <w:t> </w:t>
      </w:r>
      <w:r w:rsidRPr="00C101CC">
        <w:rPr>
          <w:sz w:val="22"/>
          <w:szCs w:val="22"/>
          <w:lang w:val="sk-SK"/>
        </w:rPr>
        <w:t>dvoch rozdelených dávkach. U niektorých pacientov sa môže dosiahnuť účinok s</w:t>
      </w:r>
      <w:r w:rsidR="00215D65" w:rsidRPr="00C101CC">
        <w:rPr>
          <w:sz w:val="22"/>
          <w:szCs w:val="22"/>
          <w:lang w:val="sk-SK"/>
        </w:rPr>
        <w:t> </w:t>
      </w:r>
      <w:r w:rsidRPr="00C101CC">
        <w:rPr>
          <w:sz w:val="22"/>
          <w:szCs w:val="22"/>
          <w:lang w:val="sk-SK"/>
        </w:rPr>
        <w:t>dávkovaním jedenkrát denne.</w:t>
      </w:r>
    </w:p>
    <w:p w14:paraId="289D8006" w14:textId="77777777" w:rsidR="00FF7468" w:rsidRPr="00C101CC" w:rsidRDefault="00FF7468" w:rsidP="00C101CC">
      <w:pPr>
        <w:pStyle w:val="BodyText12"/>
        <w:spacing w:after="0" w:line="240" w:lineRule="auto"/>
        <w:ind w:left="0"/>
        <w:jc w:val="left"/>
        <w:rPr>
          <w:sz w:val="22"/>
          <w:szCs w:val="22"/>
          <w:lang w:val="sk-SK"/>
        </w:rPr>
      </w:pPr>
    </w:p>
    <w:p w14:paraId="3D453A06" w14:textId="4E0DE950" w:rsidR="00FF7468" w:rsidRPr="00C101CC" w:rsidRDefault="00FF7468" w:rsidP="00C101CC">
      <w:pPr>
        <w:pStyle w:val="Bodytext"/>
        <w:tabs>
          <w:tab w:val="left" w:pos="8222"/>
        </w:tabs>
        <w:spacing w:after="0" w:line="240" w:lineRule="auto"/>
        <w:ind w:left="0" w:right="-369"/>
        <w:rPr>
          <w:rFonts w:ascii="Times New Roman" w:hAnsi="Times New Roman"/>
          <w:strike w:val="0"/>
          <w:sz w:val="22"/>
          <w:szCs w:val="22"/>
        </w:rPr>
      </w:pPr>
      <w:r w:rsidRPr="00C101CC">
        <w:rPr>
          <w:rFonts w:ascii="Times New Roman" w:hAnsi="Times New Roman"/>
          <w:strike w:val="0"/>
          <w:sz w:val="22"/>
          <w:szCs w:val="22"/>
        </w:rPr>
        <w:t>V</w:t>
      </w:r>
      <w:r w:rsidR="00215D65" w:rsidRPr="00C101CC">
        <w:rPr>
          <w:rFonts w:ascii="Times New Roman" w:hAnsi="Times New Roman"/>
          <w:strike w:val="0"/>
          <w:sz w:val="22"/>
          <w:szCs w:val="22"/>
        </w:rPr>
        <w:t> </w:t>
      </w:r>
      <w:r w:rsidRPr="00C101CC">
        <w:rPr>
          <w:rFonts w:ascii="Times New Roman" w:hAnsi="Times New Roman"/>
          <w:strike w:val="0"/>
          <w:sz w:val="22"/>
          <w:szCs w:val="22"/>
        </w:rPr>
        <w:t xml:space="preserve">klinických štúdiách </w:t>
      </w:r>
      <w:r w:rsidR="00EA4D32" w:rsidRPr="00C101CC">
        <w:rPr>
          <w:rFonts w:ascii="Times New Roman" w:hAnsi="Times New Roman"/>
          <w:strike w:val="0"/>
          <w:sz w:val="22"/>
          <w:szCs w:val="22"/>
        </w:rPr>
        <w:t xml:space="preserve">bola </w:t>
      </w:r>
      <w:r w:rsidRPr="00C101CC">
        <w:rPr>
          <w:rFonts w:ascii="Times New Roman" w:hAnsi="Times New Roman"/>
          <w:strike w:val="0"/>
          <w:sz w:val="22"/>
          <w:szCs w:val="22"/>
        </w:rPr>
        <w:t>pri prídavnej terapii najnižš</w:t>
      </w:r>
      <w:r w:rsidR="00EA4D32" w:rsidRPr="00C101CC">
        <w:rPr>
          <w:rFonts w:ascii="Times New Roman" w:hAnsi="Times New Roman"/>
          <w:strike w:val="0"/>
          <w:sz w:val="22"/>
          <w:szCs w:val="22"/>
        </w:rPr>
        <w:t>ia</w:t>
      </w:r>
      <w:r w:rsidRPr="00C101CC">
        <w:rPr>
          <w:rFonts w:ascii="Times New Roman" w:hAnsi="Times New Roman"/>
          <w:strike w:val="0"/>
          <w:sz w:val="22"/>
          <w:szCs w:val="22"/>
        </w:rPr>
        <w:t xml:space="preserve"> účinn</w:t>
      </w:r>
      <w:r w:rsidR="00EA4D32" w:rsidRPr="00C101CC">
        <w:rPr>
          <w:rFonts w:ascii="Times New Roman" w:hAnsi="Times New Roman"/>
          <w:strike w:val="0"/>
          <w:sz w:val="22"/>
          <w:szCs w:val="22"/>
        </w:rPr>
        <w:t>á</w:t>
      </w:r>
      <w:r w:rsidRPr="00C101CC">
        <w:rPr>
          <w:rFonts w:ascii="Times New Roman" w:hAnsi="Times New Roman"/>
          <w:strike w:val="0"/>
          <w:sz w:val="22"/>
          <w:szCs w:val="22"/>
        </w:rPr>
        <w:t xml:space="preserve"> dávka 200 mg. Zvyčajná denná dávka je 200</w:t>
      </w:r>
      <w:r w:rsidR="008C445F" w:rsidRPr="00C101CC">
        <w:rPr>
          <w:rFonts w:ascii="Times New Roman" w:hAnsi="Times New Roman"/>
          <w:strike w:val="0"/>
          <w:sz w:val="22"/>
          <w:szCs w:val="22"/>
        </w:rPr>
        <w:noBreakHyphen/>
      </w:r>
      <w:r w:rsidRPr="00C101CC">
        <w:rPr>
          <w:rFonts w:ascii="Times New Roman" w:hAnsi="Times New Roman"/>
          <w:strike w:val="0"/>
          <w:sz w:val="22"/>
          <w:szCs w:val="22"/>
        </w:rPr>
        <w:t>400</w:t>
      </w:r>
      <w:r w:rsidR="00215D65" w:rsidRPr="00C101CC">
        <w:rPr>
          <w:rFonts w:ascii="Times New Roman" w:hAnsi="Times New Roman"/>
          <w:strike w:val="0"/>
          <w:sz w:val="22"/>
          <w:szCs w:val="22"/>
        </w:rPr>
        <w:t> </w:t>
      </w:r>
      <w:r w:rsidRPr="00C101CC">
        <w:rPr>
          <w:rFonts w:ascii="Times New Roman" w:hAnsi="Times New Roman"/>
          <w:strike w:val="0"/>
          <w:sz w:val="22"/>
          <w:szCs w:val="22"/>
        </w:rPr>
        <w:t>mg rozdelená na dve dávky.</w:t>
      </w:r>
    </w:p>
    <w:p w14:paraId="23CFDBD6" w14:textId="77777777" w:rsidR="00FF7468" w:rsidRPr="00C101CC" w:rsidRDefault="00FF7468" w:rsidP="00C101CC">
      <w:pPr>
        <w:pStyle w:val="BodyText12"/>
        <w:spacing w:after="0" w:line="240" w:lineRule="auto"/>
        <w:ind w:left="0"/>
        <w:jc w:val="left"/>
        <w:rPr>
          <w:sz w:val="22"/>
          <w:szCs w:val="22"/>
          <w:lang w:val="sk-SK"/>
        </w:rPr>
      </w:pPr>
    </w:p>
    <w:p w14:paraId="78316A8B"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lastRenderedPageBreak/>
        <w:t>Uvedené dávkovanie platí pre všetkých dospelých, vrátane starších pacientov, bez ochorenia obličiek (pozri časť 4.4).</w:t>
      </w:r>
    </w:p>
    <w:p w14:paraId="1AD1537B" w14:textId="77777777" w:rsidR="00FF7468" w:rsidRPr="00C101CC" w:rsidRDefault="00FF7468" w:rsidP="00C101CC">
      <w:pPr>
        <w:pStyle w:val="BodyText12"/>
        <w:spacing w:after="0" w:line="240" w:lineRule="auto"/>
        <w:ind w:left="0"/>
        <w:jc w:val="left"/>
        <w:rPr>
          <w:sz w:val="22"/>
          <w:szCs w:val="22"/>
          <w:lang w:val="sk-SK"/>
        </w:rPr>
      </w:pPr>
      <w:r w:rsidRPr="00C101CC">
        <w:rPr>
          <w:rStyle w:val="Odkaznakomentr"/>
          <w:vanish/>
          <w:sz w:val="22"/>
          <w:szCs w:val="22"/>
          <w:lang w:val="sk-SK"/>
        </w:rPr>
        <w:t xml:space="preserve"> </w:t>
      </w:r>
    </w:p>
    <w:p w14:paraId="6B7C4842" w14:textId="77777777" w:rsidR="00FF7468" w:rsidRPr="00C101CC" w:rsidRDefault="00B745A1" w:rsidP="00C101CC">
      <w:pPr>
        <w:pStyle w:val="BodyText12"/>
        <w:keepNext/>
        <w:spacing w:after="0" w:line="240" w:lineRule="auto"/>
        <w:ind w:left="0"/>
        <w:jc w:val="left"/>
        <w:rPr>
          <w:i/>
          <w:sz w:val="22"/>
          <w:szCs w:val="22"/>
          <w:lang w:val="sk-SK"/>
        </w:rPr>
      </w:pPr>
      <w:r w:rsidRPr="00C101CC">
        <w:rPr>
          <w:i/>
          <w:sz w:val="22"/>
          <w:szCs w:val="22"/>
          <w:lang w:val="sk-SK"/>
        </w:rPr>
        <w:t>Pediatrická populácia</w:t>
      </w:r>
      <w:r w:rsidR="00FF7468" w:rsidRPr="00C101CC">
        <w:rPr>
          <w:i/>
          <w:sz w:val="22"/>
          <w:szCs w:val="22"/>
          <w:lang w:val="sk-SK"/>
        </w:rPr>
        <w:t xml:space="preserve"> (deti od 2 rokov</w:t>
      </w:r>
      <w:r w:rsidR="004373B1" w:rsidRPr="00C101CC">
        <w:rPr>
          <w:i/>
          <w:sz w:val="22"/>
          <w:szCs w:val="22"/>
          <w:lang w:val="sk-SK"/>
        </w:rPr>
        <w:t>)</w:t>
      </w:r>
      <w:r w:rsidR="00FF7468" w:rsidRPr="00C101CC">
        <w:rPr>
          <w:i/>
          <w:sz w:val="22"/>
          <w:szCs w:val="22"/>
          <w:lang w:val="sk-SK"/>
        </w:rPr>
        <w:t xml:space="preserve"> </w:t>
      </w:r>
    </w:p>
    <w:p w14:paraId="33B74C87" w14:textId="2BF6F7CA"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Pri prídavnej terapii sa odporúča podávať Topamax (topiramát) v celkovej dennej dávke približne 5</w:t>
      </w:r>
      <w:r w:rsidR="008C445F" w:rsidRPr="00C101CC">
        <w:rPr>
          <w:sz w:val="22"/>
          <w:szCs w:val="22"/>
          <w:lang w:val="sk-SK"/>
        </w:rPr>
        <w:noBreakHyphen/>
      </w:r>
      <w:r w:rsidRPr="00C101CC">
        <w:rPr>
          <w:sz w:val="22"/>
          <w:szCs w:val="22"/>
          <w:lang w:val="sk-SK"/>
        </w:rPr>
        <w:t>9 mg/kg/deň v dvoch rozdelených dávkach. Titrácia sa má začať od dávky 25 mg (alebo nižšej, v rozsahu od 1 do 3</w:t>
      </w:r>
      <w:r w:rsidR="00215D65" w:rsidRPr="00C101CC">
        <w:rPr>
          <w:sz w:val="22"/>
          <w:szCs w:val="22"/>
          <w:lang w:val="sk-SK"/>
        </w:rPr>
        <w:t> </w:t>
      </w:r>
      <w:r w:rsidRPr="00C101CC">
        <w:rPr>
          <w:sz w:val="22"/>
          <w:szCs w:val="22"/>
          <w:lang w:val="sk-SK"/>
        </w:rPr>
        <w:t xml:space="preserve">mg/kg/deň) na noc počas </w:t>
      </w:r>
      <w:r w:rsidR="00D116AF" w:rsidRPr="00C101CC">
        <w:rPr>
          <w:sz w:val="22"/>
          <w:szCs w:val="22"/>
          <w:lang w:val="sk-SK"/>
        </w:rPr>
        <w:t xml:space="preserve">prvého </w:t>
      </w:r>
      <w:r w:rsidRPr="00C101CC">
        <w:rPr>
          <w:sz w:val="22"/>
          <w:szCs w:val="22"/>
          <w:lang w:val="sk-SK"/>
        </w:rPr>
        <w:t>týždňa. Dávkovanie sa má potom zv</w:t>
      </w:r>
      <w:r w:rsidR="003C61AE" w:rsidRPr="00C101CC">
        <w:rPr>
          <w:sz w:val="22"/>
          <w:szCs w:val="22"/>
          <w:lang w:val="sk-SK"/>
        </w:rPr>
        <w:t>y</w:t>
      </w:r>
      <w:r w:rsidRPr="00C101CC">
        <w:rPr>
          <w:sz w:val="22"/>
          <w:szCs w:val="22"/>
          <w:lang w:val="sk-SK"/>
        </w:rPr>
        <w:t>š</w:t>
      </w:r>
      <w:r w:rsidR="00D116AF" w:rsidRPr="00C101CC">
        <w:rPr>
          <w:sz w:val="22"/>
          <w:szCs w:val="22"/>
          <w:lang w:val="sk-SK"/>
        </w:rPr>
        <w:t>ovať</w:t>
      </w:r>
      <w:r w:rsidRPr="00C101CC">
        <w:rPr>
          <w:sz w:val="22"/>
          <w:szCs w:val="22"/>
          <w:lang w:val="sk-SK"/>
        </w:rPr>
        <w:t xml:space="preserve"> v</w:t>
      </w:r>
      <w:r w:rsidR="00215D65" w:rsidRPr="00C101CC">
        <w:rPr>
          <w:sz w:val="22"/>
          <w:szCs w:val="22"/>
          <w:lang w:val="sk-SK"/>
        </w:rPr>
        <w:t> </w:t>
      </w:r>
      <w:r w:rsidRPr="00C101CC">
        <w:rPr>
          <w:sz w:val="22"/>
          <w:szCs w:val="22"/>
          <w:lang w:val="sk-SK"/>
        </w:rPr>
        <w:t>1</w:t>
      </w:r>
      <w:r w:rsidR="008C445F" w:rsidRPr="00C101CC">
        <w:rPr>
          <w:sz w:val="22"/>
          <w:szCs w:val="22"/>
          <w:lang w:val="sk-SK"/>
        </w:rPr>
        <w:noBreakHyphen/>
      </w:r>
      <w:r w:rsidR="00265BEE" w:rsidRPr="00C101CC">
        <w:rPr>
          <w:sz w:val="22"/>
          <w:szCs w:val="22"/>
          <w:lang w:val="sk-SK"/>
        </w:rPr>
        <w:t xml:space="preserve"> </w:t>
      </w:r>
      <w:r w:rsidRPr="00C101CC">
        <w:rPr>
          <w:sz w:val="22"/>
          <w:szCs w:val="22"/>
          <w:lang w:val="sk-SK"/>
        </w:rPr>
        <w:t>alebo 2</w:t>
      </w:r>
      <w:r w:rsidR="008C445F" w:rsidRPr="00C101CC">
        <w:rPr>
          <w:sz w:val="22"/>
          <w:szCs w:val="22"/>
          <w:lang w:val="sk-SK"/>
        </w:rPr>
        <w:noBreakHyphen/>
      </w:r>
      <w:r w:rsidRPr="00C101CC">
        <w:rPr>
          <w:sz w:val="22"/>
          <w:szCs w:val="22"/>
          <w:lang w:val="sk-SK"/>
        </w:rPr>
        <w:t>týždňových intervaloch o 1 až 3</w:t>
      </w:r>
      <w:r w:rsidR="00215D65" w:rsidRPr="00C101CC">
        <w:rPr>
          <w:sz w:val="22"/>
          <w:szCs w:val="22"/>
          <w:lang w:val="sk-SK"/>
        </w:rPr>
        <w:t> </w:t>
      </w:r>
      <w:r w:rsidRPr="00C101CC">
        <w:rPr>
          <w:sz w:val="22"/>
          <w:szCs w:val="22"/>
          <w:lang w:val="sk-SK"/>
        </w:rPr>
        <w:t xml:space="preserve">mg/kg/deň (v dvoch rozdelených dávkach), aby sa dosiahla optimálna klinická odpoveď. </w:t>
      </w:r>
    </w:p>
    <w:p w14:paraId="19FFAEB6" w14:textId="77777777" w:rsidR="00FF7468" w:rsidRPr="00C101CC" w:rsidRDefault="00FF7468" w:rsidP="00C101CC">
      <w:pPr>
        <w:pStyle w:val="BodyText12"/>
        <w:spacing w:after="0" w:line="240" w:lineRule="auto"/>
        <w:ind w:left="0"/>
        <w:jc w:val="left"/>
        <w:rPr>
          <w:i/>
          <w:sz w:val="22"/>
          <w:szCs w:val="22"/>
          <w:lang w:val="sk-SK"/>
        </w:rPr>
      </w:pPr>
    </w:p>
    <w:p w14:paraId="00DE4387"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Denné dávky do 30 mg/kg/deň sa skúmali v klinických štúdiách a všeobecne boli dobre tolerované.</w:t>
      </w:r>
    </w:p>
    <w:p w14:paraId="69D1497D" w14:textId="77777777" w:rsidR="00FF7468" w:rsidRPr="00C101CC" w:rsidRDefault="00FF7468" w:rsidP="00C101CC">
      <w:pPr>
        <w:pStyle w:val="BodyText12"/>
        <w:spacing w:after="0" w:line="240" w:lineRule="auto"/>
        <w:ind w:left="0"/>
        <w:jc w:val="left"/>
        <w:rPr>
          <w:sz w:val="22"/>
          <w:szCs w:val="22"/>
          <w:lang w:val="sk-SK"/>
        </w:rPr>
      </w:pPr>
    </w:p>
    <w:p w14:paraId="1CFD2A23"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Migréna</w:t>
      </w:r>
    </w:p>
    <w:p w14:paraId="1EB6E629" w14:textId="77777777" w:rsidR="00FF7468" w:rsidRPr="00C101CC" w:rsidRDefault="00FF7468" w:rsidP="00C101CC">
      <w:pPr>
        <w:pStyle w:val="BodyText12"/>
        <w:keepNext/>
        <w:spacing w:after="0" w:line="240" w:lineRule="auto"/>
        <w:ind w:left="0"/>
        <w:jc w:val="left"/>
        <w:rPr>
          <w:i/>
          <w:sz w:val="22"/>
          <w:szCs w:val="22"/>
          <w:lang w:val="sk-SK"/>
        </w:rPr>
      </w:pPr>
      <w:r w:rsidRPr="00C101CC">
        <w:rPr>
          <w:i/>
          <w:sz w:val="22"/>
          <w:szCs w:val="22"/>
          <w:lang w:val="sk-SK"/>
        </w:rPr>
        <w:t>Dospelí</w:t>
      </w:r>
    </w:p>
    <w:p w14:paraId="7E54C632" w14:textId="3FC6E5AA" w:rsidR="00FF7468" w:rsidRPr="00C101CC" w:rsidRDefault="00FF7468" w:rsidP="00C101CC">
      <w:pPr>
        <w:pStyle w:val="Bodytext"/>
        <w:keepNext/>
        <w:tabs>
          <w:tab w:val="left" w:pos="8222"/>
        </w:tabs>
        <w:spacing w:after="0" w:line="240" w:lineRule="auto"/>
        <w:ind w:left="0" w:right="-369"/>
        <w:rPr>
          <w:rFonts w:ascii="Times New Roman" w:hAnsi="Times New Roman"/>
          <w:strike w:val="0"/>
          <w:sz w:val="22"/>
          <w:szCs w:val="22"/>
        </w:rPr>
      </w:pPr>
      <w:r w:rsidRPr="00C101CC">
        <w:rPr>
          <w:rFonts w:ascii="Times New Roman" w:hAnsi="Times New Roman"/>
          <w:strike w:val="0"/>
          <w:sz w:val="22"/>
          <w:szCs w:val="22"/>
        </w:rPr>
        <w:t xml:space="preserve">Odporúčaná celková denná dávka topiramátu pri profylaxii migrenóznych bolestí hlavy je 100 mg/deň,  podávaná v dvoch </w:t>
      </w:r>
      <w:r w:rsidR="004031B6" w:rsidRPr="00C101CC">
        <w:rPr>
          <w:rFonts w:ascii="Times New Roman" w:hAnsi="Times New Roman"/>
          <w:strike w:val="0"/>
          <w:sz w:val="22"/>
          <w:szCs w:val="22"/>
        </w:rPr>
        <w:t xml:space="preserve">rozdelených </w:t>
      </w:r>
      <w:r w:rsidRPr="00C101CC">
        <w:rPr>
          <w:rFonts w:ascii="Times New Roman" w:hAnsi="Times New Roman"/>
          <w:strike w:val="0"/>
          <w:sz w:val="22"/>
          <w:szCs w:val="22"/>
        </w:rPr>
        <w:t>dávkach. Titrácia sa má začať dávkou 25 mg na noc, po dobu 1</w:t>
      </w:r>
      <w:r w:rsidR="008C445F" w:rsidRPr="00C101CC">
        <w:rPr>
          <w:rFonts w:ascii="Times New Roman" w:hAnsi="Times New Roman"/>
          <w:strike w:val="0"/>
          <w:sz w:val="22"/>
          <w:szCs w:val="22"/>
        </w:rPr>
        <w:t> </w:t>
      </w:r>
      <w:r w:rsidRPr="00C101CC">
        <w:rPr>
          <w:rFonts w:ascii="Times New Roman" w:hAnsi="Times New Roman"/>
          <w:strike w:val="0"/>
          <w:sz w:val="22"/>
          <w:szCs w:val="22"/>
        </w:rPr>
        <w:t xml:space="preserve">týždňa. Dávka sa má ďalej zvyšovať v týždenných intervaloch o 25 mg/deň. Ak pacient netoleruje titračný režim, môžu sa intervaly medzi zvyšovaním dávky predĺžiť. </w:t>
      </w:r>
    </w:p>
    <w:p w14:paraId="154461E1" w14:textId="77777777" w:rsidR="00702661" w:rsidRPr="00C101CC" w:rsidRDefault="00702661" w:rsidP="00C101CC">
      <w:pPr>
        <w:pStyle w:val="Bodytext"/>
        <w:tabs>
          <w:tab w:val="left" w:pos="8222"/>
        </w:tabs>
        <w:spacing w:after="0" w:line="240" w:lineRule="auto"/>
        <w:ind w:left="0" w:right="-369"/>
        <w:rPr>
          <w:rFonts w:ascii="Times New Roman" w:hAnsi="Times New Roman"/>
          <w:strike w:val="0"/>
          <w:sz w:val="22"/>
          <w:szCs w:val="22"/>
        </w:rPr>
      </w:pPr>
    </w:p>
    <w:p w14:paraId="7B6BB5FF" w14:textId="77777777" w:rsidR="00FF7468" w:rsidRPr="00C101CC" w:rsidRDefault="00FF7468" w:rsidP="00C101CC">
      <w:pPr>
        <w:pStyle w:val="BodyText12"/>
        <w:spacing w:after="0" w:line="240" w:lineRule="auto"/>
        <w:ind w:left="0"/>
        <w:jc w:val="left"/>
        <w:rPr>
          <w:strike/>
          <w:sz w:val="22"/>
          <w:szCs w:val="22"/>
          <w:lang w:val="sk-SK"/>
        </w:rPr>
      </w:pPr>
      <w:r w:rsidRPr="00C101CC">
        <w:rPr>
          <w:sz w:val="22"/>
          <w:szCs w:val="22"/>
          <w:lang w:val="sk-SK"/>
        </w:rPr>
        <w:t xml:space="preserve">Niektorí pacienti môžu byť úspešne liečení celkovou dennou dávkou 50 mg/deň. Pacienti užívali celkovú dennú dávku až do 200 mg/deň. U niektorých pacientov môže byť táto dávka prínosná, predsa sa však odporúča opatrnosť kvôli zvýšenej incidencii vedľajších účinkov.  </w:t>
      </w:r>
    </w:p>
    <w:p w14:paraId="6E31FFDB" w14:textId="77777777" w:rsidR="00FF7468" w:rsidRPr="00C101CC" w:rsidRDefault="00FF7468" w:rsidP="00C101CC">
      <w:pPr>
        <w:pStyle w:val="BodyText12"/>
        <w:spacing w:after="0" w:line="240" w:lineRule="auto"/>
        <w:ind w:left="0"/>
        <w:jc w:val="left"/>
        <w:rPr>
          <w:b/>
          <w:sz w:val="22"/>
          <w:szCs w:val="22"/>
          <w:lang w:val="sk-SK"/>
        </w:rPr>
      </w:pPr>
    </w:p>
    <w:p w14:paraId="0F315718" w14:textId="77777777" w:rsidR="00FF7468" w:rsidRPr="00C101CC" w:rsidRDefault="00B745A1" w:rsidP="00C101CC">
      <w:pPr>
        <w:pStyle w:val="BodyText12"/>
        <w:keepNext/>
        <w:spacing w:after="0" w:line="240" w:lineRule="auto"/>
        <w:ind w:left="0"/>
        <w:jc w:val="left"/>
        <w:rPr>
          <w:i/>
          <w:sz w:val="22"/>
          <w:szCs w:val="22"/>
          <w:lang w:val="sk-SK"/>
        </w:rPr>
      </w:pPr>
      <w:r w:rsidRPr="00C101CC">
        <w:rPr>
          <w:i/>
          <w:sz w:val="22"/>
          <w:szCs w:val="22"/>
          <w:lang w:val="sk-SK"/>
        </w:rPr>
        <w:t>Pediatrická populácia</w:t>
      </w:r>
    </w:p>
    <w:p w14:paraId="1E714426" w14:textId="77777777"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 xml:space="preserve">Topamax (topiramát) sa neodporúča na liečbu alebo prevenciu migrény u detí kvôli nedostatočným údajom o bezpečnosti a účinnosti. </w:t>
      </w:r>
    </w:p>
    <w:p w14:paraId="7A503527" w14:textId="77777777" w:rsidR="00FF7468" w:rsidRPr="00C101CC" w:rsidRDefault="00FF7468" w:rsidP="00C101CC">
      <w:pPr>
        <w:pStyle w:val="Default"/>
        <w:rPr>
          <w:sz w:val="22"/>
          <w:szCs w:val="22"/>
          <w:lang w:val="sk-SK"/>
        </w:rPr>
      </w:pPr>
    </w:p>
    <w:p w14:paraId="721400B7" w14:textId="77777777" w:rsidR="00FF7468" w:rsidRPr="00C101CC" w:rsidRDefault="00FF7468" w:rsidP="00C101CC">
      <w:pPr>
        <w:pStyle w:val="Default"/>
        <w:keepNext/>
        <w:rPr>
          <w:sz w:val="22"/>
          <w:szCs w:val="22"/>
          <w:highlight w:val="yellow"/>
          <w:u w:val="single"/>
          <w:lang w:val="sk-SK"/>
        </w:rPr>
      </w:pPr>
      <w:r w:rsidRPr="00C101CC">
        <w:rPr>
          <w:sz w:val="22"/>
          <w:szCs w:val="22"/>
          <w:u w:val="single"/>
          <w:lang w:val="sk-SK"/>
        </w:rPr>
        <w:t>Všeobecné odporúčania pre dávkovanie Topamaxu v osobitných skupinách pacientov</w:t>
      </w:r>
    </w:p>
    <w:p w14:paraId="4EC04540" w14:textId="77777777" w:rsidR="00FF7468" w:rsidRPr="00C101CC" w:rsidRDefault="00602ACF" w:rsidP="00C101CC">
      <w:pPr>
        <w:pStyle w:val="Default"/>
        <w:keepNext/>
        <w:rPr>
          <w:i/>
          <w:iCs/>
          <w:sz w:val="22"/>
          <w:szCs w:val="22"/>
          <w:highlight w:val="yellow"/>
          <w:lang w:val="sk-SK"/>
        </w:rPr>
      </w:pPr>
      <w:r w:rsidRPr="00C101CC">
        <w:rPr>
          <w:i/>
          <w:iCs/>
          <w:sz w:val="22"/>
          <w:szCs w:val="22"/>
          <w:lang w:val="sk-SK"/>
        </w:rPr>
        <w:t xml:space="preserve">Porucha </w:t>
      </w:r>
      <w:r w:rsidR="00FF7468" w:rsidRPr="00C101CC">
        <w:rPr>
          <w:i/>
          <w:iCs/>
          <w:sz w:val="22"/>
          <w:szCs w:val="22"/>
          <w:lang w:val="sk-SK"/>
        </w:rPr>
        <w:t>funkcie obličiek</w:t>
      </w:r>
    </w:p>
    <w:p w14:paraId="0C7C8028"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U pacientov s </w:t>
      </w:r>
      <w:r w:rsidR="00602ACF" w:rsidRPr="00C101CC">
        <w:rPr>
          <w:sz w:val="22"/>
          <w:szCs w:val="22"/>
          <w:lang w:val="sk-SK"/>
        </w:rPr>
        <w:t xml:space="preserve">poruchou </w:t>
      </w:r>
      <w:r w:rsidRPr="00C101CC">
        <w:rPr>
          <w:sz w:val="22"/>
          <w:szCs w:val="22"/>
          <w:lang w:val="sk-SK"/>
        </w:rPr>
        <w:t>funkci</w:t>
      </w:r>
      <w:r w:rsidR="00602ACF" w:rsidRPr="00C101CC">
        <w:rPr>
          <w:sz w:val="22"/>
          <w:szCs w:val="22"/>
          <w:lang w:val="sk-SK"/>
        </w:rPr>
        <w:t>e</w:t>
      </w:r>
      <w:r w:rsidRPr="00C101CC">
        <w:rPr>
          <w:sz w:val="22"/>
          <w:szCs w:val="22"/>
          <w:lang w:val="sk-SK"/>
        </w:rPr>
        <w:t xml:space="preserve"> obličiek (CL</w:t>
      </w:r>
      <w:r w:rsidRPr="00C101CC">
        <w:rPr>
          <w:sz w:val="22"/>
          <w:szCs w:val="22"/>
          <w:vertAlign w:val="subscript"/>
          <w:lang w:val="sk-SK"/>
        </w:rPr>
        <w:t>CR</w:t>
      </w:r>
      <w:r w:rsidRPr="00C101CC">
        <w:rPr>
          <w:sz w:val="22"/>
          <w:szCs w:val="22"/>
          <w:lang w:val="sk-SK"/>
        </w:rPr>
        <w:t> ≤ </w:t>
      </w:r>
      <w:r w:rsidR="00702661" w:rsidRPr="00C101CC">
        <w:rPr>
          <w:sz w:val="22"/>
          <w:szCs w:val="22"/>
          <w:lang w:val="sk-SK"/>
        </w:rPr>
        <w:t>70</w:t>
      </w:r>
      <w:r w:rsidRPr="00C101CC">
        <w:rPr>
          <w:sz w:val="22"/>
          <w:szCs w:val="22"/>
          <w:lang w:val="sk-SK"/>
        </w:rPr>
        <w:t> ml/min) sa má podávať topiramát opatrne, pretože plazmatický a renálny klírens topiramátu je znížený. U pacientov so znám</w:t>
      </w:r>
      <w:r w:rsidR="00602ACF" w:rsidRPr="00C101CC">
        <w:rPr>
          <w:sz w:val="22"/>
          <w:szCs w:val="22"/>
          <w:lang w:val="sk-SK"/>
        </w:rPr>
        <w:t>ou</w:t>
      </w:r>
      <w:r w:rsidRPr="00C101CC">
        <w:rPr>
          <w:sz w:val="22"/>
          <w:szCs w:val="22"/>
          <w:lang w:val="sk-SK"/>
        </w:rPr>
        <w:t xml:space="preserve"> </w:t>
      </w:r>
      <w:r w:rsidR="00602ACF" w:rsidRPr="00C101CC">
        <w:rPr>
          <w:sz w:val="22"/>
          <w:szCs w:val="22"/>
          <w:lang w:val="sk-SK"/>
        </w:rPr>
        <w:t xml:space="preserve">poruchou </w:t>
      </w:r>
      <w:r w:rsidRPr="00C101CC">
        <w:rPr>
          <w:sz w:val="22"/>
          <w:szCs w:val="22"/>
          <w:lang w:val="sk-SK"/>
        </w:rPr>
        <w:t xml:space="preserve">funkcie obličiek môže byť </w:t>
      </w:r>
      <w:r w:rsidR="004031B6" w:rsidRPr="00C101CC">
        <w:rPr>
          <w:sz w:val="22"/>
          <w:szCs w:val="22"/>
          <w:lang w:val="sk-SK"/>
        </w:rPr>
        <w:t xml:space="preserve">čas do </w:t>
      </w:r>
      <w:r w:rsidRPr="00C101CC">
        <w:rPr>
          <w:sz w:val="22"/>
          <w:szCs w:val="22"/>
          <w:lang w:val="sk-SK"/>
        </w:rPr>
        <w:t>dosiahnuti</w:t>
      </w:r>
      <w:r w:rsidR="004031B6" w:rsidRPr="00C101CC">
        <w:rPr>
          <w:sz w:val="22"/>
          <w:szCs w:val="22"/>
          <w:lang w:val="sk-SK"/>
        </w:rPr>
        <w:t>a</w:t>
      </w:r>
      <w:r w:rsidRPr="00C101CC">
        <w:rPr>
          <w:sz w:val="22"/>
          <w:szCs w:val="22"/>
          <w:lang w:val="sk-SK"/>
        </w:rPr>
        <w:t xml:space="preserve"> rovnovážneho stavu pri každej dávke predĺžen</w:t>
      </w:r>
      <w:r w:rsidR="004031B6" w:rsidRPr="00C101CC">
        <w:rPr>
          <w:sz w:val="22"/>
          <w:szCs w:val="22"/>
          <w:lang w:val="sk-SK"/>
        </w:rPr>
        <w:t>ý</w:t>
      </w:r>
      <w:r w:rsidRPr="00C101CC">
        <w:rPr>
          <w:sz w:val="22"/>
          <w:szCs w:val="22"/>
          <w:lang w:val="sk-SK"/>
        </w:rPr>
        <w:t>.</w:t>
      </w:r>
      <w:r w:rsidR="00702661" w:rsidRPr="00C101CC">
        <w:rPr>
          <w:sz w:val="22"/>
          <w:szCs w:val="22"/>
          <w:lang w:val="sk-SK"/>
        </w:rPr>
        <w:t xml:space="preserve"> Odporúča sa polovica zvyčajnej úvodnej a udržiavacej dávky (pozri časť 5.2).</w:t>
      </w:r>
    </w:p>
    <w:p w14:paraId="1F4D38AE" w14:textId="77777777" w:rsidR="00FF7468" w:rsidRPr="00C101CC" w:rsidRDefault="00FF7468" w:rsidP="00C101CC">
      <w:pPr>
        <w:pStyle w:val="BodyText12"/>
        <w:spacing w:after="0" w:line="240" w:lineRule="auto"/>
        <w:ind w:left="0"/>
        <w:jc w:val="left"/>
        <w:rPr>
          <w:sz w:val="22"/>
          <w:szCs w:val="22"/>
          <w:lang w:val="sk-SK"/>
        </w:rPr>
      </w:pPr>
    </w:p>
    <w:p w14:paraId="70841CE3" w14:textId="77777777" w:rsidR="00FF7468" w:rsidRPr="00C101CC" w:rsidRDefault="00FF7468" w:rsidP="00C101CC">
      <w:pPr>
        <w:pStyle w:val="Default"/>
        <w:rPr>
          <w:sz w:val="22"/>
          <w:szCs w:val="22"/>
          <w:lang w:val="sk-SK"/>
        </w:rPr>
      </w:pPr>
      <w:r w:rsidRPr="00C101CC">
        <w:rPr>
          <w:sz w:val="22"/>
          <w:szCs w:val="22"/>
          <w:lang w:val="sk-SK"/>
        </w:rPr>
        <w:t xml:space="preserve">Keďže topiramát sa z plazmy odstraňuje hemodialýzou, pacientom so zlyhaním funkcie obličiek v konečnom štádiu sa má podávať v deň hemodialýzy doplnková dávka Topamaxu, ktorá sa rovná približne polovici dennej dávky. Doplnková dávka sa má podávať v rozdelených dávkach, na začiatku a po ukončení dialýzy. Doplnková dávka sa môže líšiť v závislosti </w:t>
      </w:r>
      <w:r w:rsidR="004031B6" w:rsidRPr="00C101CC">
        <w:rPr>
          <w:sz w:val="22"/>
          <w:szCs w:val="22"/>
          <w:lang w:val="sk-SK"/>
        </w:rPr>
        <w:t xml:space="preserve">od </w:t>
      </w:r>
      <w:r w:rsidRPr="00C101CC">
        <w:rPr>
          <w:sz w:val="22"/>
          <w:szCs w:val="22"/>
          <w:lang w:val="sk-SK"/>
        </w:rPr>
        <w:t>vlastnost</w:t>
      </w:r>
      <w:r w:rsidR="004031B6" w:rsidRPr="00C101CC">
        <w:rPr>
          <w:sz w:val="22"/>
          <w:szCs w:val="22"/>
          <w:lang w:val="sk-SK"/>
        </w:rPr>
        <w:t>í</w:t>
      </w:r>
      <w:r w:rsidRPr="00C101CC">
        <w:rPr>
          <w:sz w:val="22"/>
          <w:szCs w:val="22"/>
          <w:lang w:val="sk-SK"/>
        </w:rPr>
        <w:t xml:space="preserve"> používaného dialyzačného zariadenia</w:t>
      </w:r>
      <w:r w:rsidR="00702661" w:rsidRPr="00C101CC">
        <w:rPr>
          <w:sz w:val="22"/>
          <w:szCs w:val="22"/>
          <w:lang w:val="sk-SK"/>
        </w:rPr>
        <w:t xml:space="preserve"> (pozri časť 5.2)</w:t>
      </w:r>
      <w:r w:rsidRPr="00C101CC">
        <w:rPr>
          <w:sz w:val="22"/>
          <w:szCs w:val="22"/>
          <w:lang w:val="sk-SK"/>
        </w:rPr>
        <w:t xml:space="preserve">. </w:t>
      </w:r>
    </w:p>
    <w:p w14:paraId="17551AB7" w14:textId="77777777" w:rsidR="00FF7468" w:rsidRPr="00C101CC" w:rsidRDefault="00FF7468" w:rsidP="00C101CC">
      <w:pPr>
        <w:pStyle w:val="Default"/>
        <w:rPr>
          <w:sz w:val="22"/>
          <w:szCs w:val="22"/>
          <w:lang w:val="sk-SK"/>
        </w:rPr>
      </w:pPr>
    </w:p>
    <w:p w14:paraId="36EEA7D6" w14:textId="77777777" w:rsidR="00FF7468" w:rsidRPr="00C101CC" w:rsidRDefault="00602ACF" w:rsidP="00C101CC">
      <w:pPr>
        <w:pStyle w:val="Default"/>
        <w:keepNext/>
        <w:rPr>
          <w:i/>
          <w:sz w:val="22"/>
          <w:szCs w:val="22"/>
          <w:highlight w:val="yellow"/>
          <w:lang w:val="sk-SK"/>
        </w:rPr>
      </w:pPr>
      <w:r w:rsidRPr="00C101CC">
        <w:rPr>
          <w:i/>
          <w:sz w:val="22"/>
          <w:szCs w:val="22"/>
          <w:lang w:val="sk-SK"/>
        </w:rPr>
        <w:t xml:space="preserve">Porucha </w:t>
      </w:r>
      <w:r w:rsidR="00FF7468" w:rsidRPr="00C101CC">
        <w:rPr>
          <w:i/>
          <w:sz w:val="22"/>
          <w:szCs w:val="22"/>
          <w:lang w:val="sk-SK"/>
        </w:rPr>
        <w:t>funkcie pečene</w:t>
      </w:r>
    </w:p>
    <w:p w14:paraId="1002CF50" w14:textId="77777777" w:rsidR="00FF7468" w:rsidRPr="00C101CC" w:rsidRDefault="00FF7468" w:rsidP="00C101CC">
      <w:pPr>
        <w:pStyle w:val="Default"/>
        <w:keepNext/>
        <w:rPr>
          <w:sz w:val="22"/>
          <w:szCs w:val="22"/>
          <w:lang w:val="sk-SK"/>
        </w:rPr>
      </w:pPr>
      <w:r w:rsidRPr="00C101CC">
        <w:rPr>
          <w:sz w:val="22"/>
          <w:szCs w:val="22"/>
          <w:lang w:val="sk-SK"/>
        </w:rPr>
        <w:t xml:space="preserve">U pacientov so stredne </w:t>
      </w:r>
      <w:r w:rsidR="00602ACF" w:rsidRPr="00C101CC">
        <w:rPr>
          <w:sz w:val="22"/>
          <w:szCs w:val="22"/>
          <w:lang w:val="sk-SK"/>
        </w:rPr>
        <w:t xml:space="preserve">závažnou </w:t>
      </w:r>
      <w:r w:rsidRPr="00C101CC">
        <w:rPr>
          <w:sz w:val="22"/>
          <w:szCs w:val="22"/>
          <w:lang w:val="sk-SK"/>
        </w:rPr>
        <w:t>a</w:t>
      </w:r>
      <w:r w:rsidR="004031B6" w:rsidRPr="00C101CC">
        <w:rPr>
          <w:sz w:val="22"/>
          <w:szCs w:val="22"/>
          <w:lang w:val="sk-SK"/>
        </w:rPr>
        <w:t>ž</w:t>
      </w:r>
      <w:r w:rsidRPr="00C101CC">
        <w:rPr>
          <w:sz w:val="22"/>
          <w:szCs w:val="22"/>
          <w:lang w:val="sk-SK"/>
        </w:rPr>
        <w:t> </w:t>
      </w:r>
      <w:r w:rsidR="00602ACF" w:rsidRPr="00C101CC">
        <w:rPr>
          <w:sz w:val="22"/>
          <w:szCs w:val="22"/>
          <w:lang w:val="sk-SK"/>
        </w:rPr>
        <w:t xml:space="preserve">závažnou poruchou </w:t>
      </w:r>
      <w:r w:rsidRPr="00C101CC">
        <w:rPr>
          <w:sz w:val="22"/>
          <w:szCs w:val="22"/>
          <w:lang w:val="sk-SK"/>
        </w:rPr>
        <w:t xml:space="preserve">funkcie pečene sa má topiramát podávať s opatrnosťou, pretože klírens topiramátu sa znižuje. </w:t>
      </w:r>
    </w:p>
    <w:p w14:paraId="56D7F8AB" w14:textId="77777777" w:rsidR="00FF7468" w:rsidRPr="00C101CC" w:rsidRDefault="00FF7468" w:rsidP="00C101CC">
      <w:pPr>
        <w:pStyle w:val="Default"/>
        <w:rPr>
          <w:sz w:val="22"/>
          <w:szCs w:val="22"/>
          <w:lang w:val="sk-SK"/>
        </w:rPr>
      </w:pPr>
    </w:p>
    <w:p w14:paraId="366B9256" w14:textId="77777777" w:rsidR="00FF7468" w:rsidRPr="00C101CC" w:rsidRDefault="00FF7468" w:rsidP="00C101CC">
      <w:pPr>
        <w:pStyle w:val="Default"/>
        <w:keepNext/>
        <w:rPr>
          <w:i/>
          <w:sz w:val="22"/>
          <w:szCs w:val="22"/>
          <w:highlight w:val="yellow"/>
          <w:lang w:val="sk-SK"/>
        </w:rPr>
      </w:pPr>
      <w:r w:rsidRPr="00C101CC">
        <w:rPr>
          <w:i/>
          <w:sz w:val="22"/>
          <w:szCs w:val="22"/>
          <w:lang w:val="sk-SK"/>
        </w:rPr>
        <w:t>Starší pacienti</w:t>
      </w:r>
    </w:p>
    <w:p w14:paraId="56F6D679" w14:textId="77777777" w:rsidR="00FF7468" w:rsidRPr="00C101CC" w:rsidRDefault="00FF7468" w:rsidP="00C101CC">
      <w:pPr>
        <w:pStyle w:val="Default"/>
        <w:rPr>
          <w:sz w:val="22"/>
          <w:szCs w:val="22"/>
          <w:lang w:val="sk-SK"/>
        </w:rPr>
      </w:pPr>
      <w:r w:rsidRPr="00C101CC">
        <w:rPr>
          <w:sz w:val="22"/>
          <w:szCs w:val="22"/>
          <w:lang w:val="sk-SK"/>
        </w:rPr>
        <w:t xml:space="preserve">U starších pacientov sa úprava dávky nevyžaduje za predpokladu, že nie je porušená funkcia obličiek. </w:t>
      </w:r>
    </w:p>
    <w:p w14:paraId="568ED66B" w14:textId="77777777" w:rsidR="00B745A1" w:rsidRPr="00C101CC" w:rsidRDefault="00B745A1" w:rsidP="00C101CC">
      <w:pPr>
        <w:keepNext/>
        <w:spacing w:line="240" w:lineRule="auto"/>
        <w:rPr>
          <w:szCs w:val="22"/>
          <w:u w:val="single"/>
          <w:lang w:val="sk-SK"/>
        </w:rPr>
      </w:pPr>
    </w:p>
    <w:p w14:paraId="40C4A761" w14:textId="77777777" w:rsidR="00B745A1" w:rsidRPr="00C101CC" w:rsidRDefault="00B745A1" w:rsidP="00C101CC">
      <w:pPr>
        <w:keepNext/>
        <w:spacing w:line="240" w:lineRule="auto"/>
        <w:rPr>
          <w:szCs w:val="22"/>
          <w:u w:val="single"/>
          <w:lang w:val="sk-SK"/>
        </w:rPr>
      </w:pPr>
      <w:r w:rsidRPr="00C101CC">
        <w:rPr>
          <w:szCs w:val="22"/>
          <w:u w:val="single"/>
          <w:lang w:val="sk-SK"/>
        </w:rPr>
        <w:t>Spôsob podávania</w:t>
      </w:r>
    </w:p>
    <w:p w14:paraId="2721EA0B" w14:textId="77777777" w:rsidR="00B745A1" w:rsidRPr="00C101CC" w:rsidRDefault="00B745A1" w:rsidP="00C101CC">
      <w:pPr>
        <w:pStyle w:val="BodyText12"/>
        <w:spacing w:after="0" w:line="240" w:lineRule="auto"/>
        <w:ind w:left="0"/>
        <w:jc w:val="left"/>
        <w:rPr>
          <w:sz w:val="22"/>
          <w:szCs w:val="22"/>
          <w:highlight w:val="lightGray"/>
          <w:lang w:val="sk-SK"/>
        </w:rPr>
      </w:pPr>
      <w:r w:rsidRPr="00C101CC">
        <w:rPr>
          <w:sz w:val="22"/>
          <w:szCs w:val="22"/>
          <w:lang w:val="sk-SK"/>
        </w:rPr>
        <w:t>Topamax je dostupný vo forme filmom obalených tabliet a tvrdých kapsúl na perorálne podávanie. Odporúča sa, aby sa filmom obalené tablety nedelili. Tvrdé kapsuly sú vhodné pre pacientov, ktorí nemôžu prehĺtať tablety, napr. deti a starší pacienti.</w:t>
      </w:r>
    </w:p>
    <w:p w14:paraId="5B1C7133" w14:textId="77777777" w:rsidR="00B745A1" w:rsidRPr="00C101CC" w:rsidRDefault="00B745A1" w:rsidP="00C101CC">
      <w:pPr>
        <w:spacing w:line="240" w:lineRule="auto"/>
        <w:rPr>
          <w:szCs w:val="22"/>
          <w:lang w:val="sk-SK"/>
        </w:rPr>
      </w:pPr>
    </w:p>
    <w:p w14:paraId="6D2F9D1F" w14:textId="77777777" w:rsidR="00B745A1" w:rsidRPr="00C101CC" w:rsidRDefault="00B745A1" w:rsidP="00C101CC">
      <w:pPr>
        <w:pStyle w:val="BodyText12"/>
        <w:spacing w:after="0" w:line="240" w:lineRule="auto"/>
        <w:ind w:left="0"/>
        <w:jc w:val="left"/>
        <w:rPr>
          <w:sz w:val="22"/>
          <w:szCs w:val="22"/>
          <w:lang w:val="sk-SK"/>
        </w:rPr>
      </w:pPr>
      <w:r w:rsidRPr="00C101CC">
        <w:rPr>
          <w:sz w:val="22"/>
          <w:szCs w:val="22"/>
          <w:lang w:val="sk-SK"/>
        </w:rPr>
        <w:t>Topamax sa môže užívať bez ohľadu na príjem potravy.</w:t>
      </w:r>
    </w:p>
    <w:p w14:paraId="56ABA82B" w14:textId="77777777" w:rsidR="00FF7468" w:rsidRPr="00C101CC" w:rsidRDefault="00FF7468" w:rsidP="00C101CC">
      <w:pPr>
        <w:pStyle w:val="Default"/>
        <w:rPr>
          <w:sz w:val="22"/>
          <w:szCs w:val="22"/>
          <w:lang w:val="sk-SK"/>
        </w:rPr>
      </w:pPr>
    </w:p>
    <w:p w14:paraId="125F67D8" w14:textId="77777777" w:rsidR="00FF7468" w:rsidRPr="00C101CC" w:rsidRDefault="00FF7468" w:rsidP="00C101CC">
      <w:pPr>
        <w:keepNext/>
        <w:spacing w:line="240" w:lineRule="auto"/>
        <w:ind w:left="567" w:hanging="567"/>
        <w:jc w:val="both"/>
        <w:rPr>
          <w:szCs w:val="22"/>
          <w:lang w:val="sk-SK"/>
        </w:rPr>
      </w:pPr>
      <w:r w:rsidRPr="00C101CC">
        <w:rPr>
          <w:b/>
          <w:szCs w:val="22"/>
          <w:lang w:val="sk-SK"/>
        </w:rPr>
        <w:t>4.3</w:t>
      </w:r>
      <w:r w:rsidRPr="00C101CC">
        <w:rPr>
          <w:b/>
          <w:szCs w:val="22"/>
          <w:lang w:val="sk-SK"/>
        </w:rPr>
        <w:tab/>
        <w:t>Kontraindikácie</w:t>
      </w:r>
    </w:p>
    <w:p w14:paraId="711F845C" w14:textId="77777777" w:rsidR="00FF7468" w:rsidRPr="00C101CC" w:rsidRDefault="00FF7468" w:rsidP="00C101CC">
      <w:pPr>
        <w:keepNext/>
        <w:spacing w:line="240" w:lineRule="auto"/>
        <w:jc w:val="both"/>
        <w:rPr>
          <w:szCs w:val="22"/>
          <w:lang w:val="sk-SK"/>
        </w:rPr>
      </w:pPr>
    </w:p>
    <w:p w14:paraId="6125B4C8" w14:textId="6C57F8DE" w:rsidR="00FF7468" w:rsidRPr="00C101CC" w:rsidRDefault="00FF7468" w:rsidP="00C101CC">
      <w:pPr>
        <w:keepNext/>
        <w:spacing w:line="240" w:lineRule="auto"/>
        <w:rPr>
          <w:szCs w:val="22"/>
          <w:lang w:val="sk-SK"/>
        </w:rPr>
      </w:pPr>
      <w:r w:rsidRPr="00C101CC">
        <w:rPr>
          <w:szCs w:val="22"/>
          <w:lang w:val="sk-SK"/>
        </w:rPr>
        <w:t xml:space="preserve">Precitlivenosť na liečivo, alebo na ktorúkoľvek z pomocných látok </w:t>
      </w:r>
      <w:r w:rsidR="00B745A1" w:rsidRPr="00C101CC">
        <w:rPr>
          <w:szCs w:val="22"/>
          <w:lang w:val="sk-SK"/>
        </w:rPr>
        <w:t>uvedených v</w:t>
      </w:r>
      <w:r w:rsidR="008C445F" w:rsidRPr="00C101CC">
        <w:rPr>
          <w:szCs w:val="22"/>
          <w:lang w:val="sk-SK"/>
        </w:rPr>
        <w:t> </w:t>
      </w:r>
      <w:r w:rsidR="00B745A1" w:rsidRPr="00C101CC">
        <w:rPr>
          <w:szCs w:val="22"/>
          <w:lang w:val="sk-SK"/>
        </w:rPr>
        <w:t>časti</w:t>
      </w:r>
      <w:r w:rsidR="008C445F" w:rsidRPr="00C101CC">
        <w:rPr>
          <w:szCs w:val="22"/>
          <w:lang w:val="sk-SK"/>
        </w:rPr>
        <w:t> </w:t>
      </w:r>
      <w:r w:rsidR="00B745A1" w:rsidRPr="00C101CC">
        <w:rPr>
          <w:szCs w:val="22"/>
          <w:lang w:val="sk-SK"/>
        </w:rPr>
        <w:t>6.1</w:t>
      </w:r>
      <w:r w:rsidRPr="00C101CC">
        <w:rPr>
          <w:szCs w:val="22"/>
          <w:lang w:val="sk-SK"/>
        </w:rPr>
        <w:t xml:space="preserve">. </w:t>
      </w:r>
    </w:p>
    <w:p w14:paraId="7E954421" w14:textId="77777777" w:rsidR="00FF7468" w:rsidRPr="00C101CC" w:rsidRDefault="00FF7468" w:rsidP="00C101CC">
      <w:pPr>
        <w:spacing w:line="240" w:lineRule="auto"/>
        <w:rPr>
          <w:szCs w:val="22"/>
          <w:lang w:val="sk-SK"/>
        </w:rPr>
      </w:pPr>
    </w:p>
    <w:p w14:paraId="3F63A046" w14:textId="77777777" w:rsidR="00FF7468" w:rsidRPr="00C101CC" w:rsidRDefault="00FF7468" w:rsidP="00C101CC">
      <w:pPr>
        <w:spacing w:line="240" w:lineRule="auto"/>
        <w:rPr>
          <w:szCs w:val="22"/>
          <w:lang w:val="sk-SK"/>
        </w:rPr>
      </w:pPr>
      <w:r w:rsidRPr="00C101CC">
        <w:rPr>
          <w:szCs w:val="22"/>
          <w:lang w:val="sk-SK"/>
        </w:rPr>
        <w:t xml:space="preserve">Profylaxia migrény počas gravidity a u žien v plodnom veku, ak nepoužívajú </w:t>
      </w:r>
      <w:r w:rsidR="00C623D8" w:rsidRPr="00C101CC">
        <w:rPr>
          <w:szCs w:val="22"/>
          <w:lang w:val="sk-SK"/>
        </w:rPr>
        <w:t xml:space="preserve">vysoko </w:t>
      </w:r>
      <w:r w:rsidRPr="00C101CC">
        <w:rPr>
          <w:szCs w:val="22"/>
          <w:lang w:val="sk-SK"/>
        </w:rPr>
        <w:t xml:space="preserve">účinnú antikoncepciu. </w:t>
      </w:r>
    </w:p>
    <w:p w14:paraId="6C0861B0" w14:textId="77777777" w:rsidR="00FF7468" w:rsidRPr="00C101CC" w:rsidRDefault="00FF7468" w:rsidP="00C101CC">
      <w:pPr>
        <w:spacing w:line="240" w:lineRule="auto"/>
        <w:rPr>
          <w:szCs w:val="22"/>
          <w:lang w:val="sk-SK"/>
        </w:rPr>
      </w:pPr>
    </w:p>
    <w:p w14:paraId="189888FD" w14:textId="77777777" w:rsidR="00FF7468" w:rsidRPr="00C101CC" w:rsidRDefault="00FF7468" w:rsidP="00C101CC">
      <w:pPr>
        <w:keepNext/>
        <w:spacing w:line="240" w:lineRule="auto"/>
        <w:ind w:left="567" w:hanging="567"/>
        <w:jc w:val="both"/>
        <w:rPr>
          <w:szCs w:val="22"/>
          <w:lang w:val="sk-SK"/>
        </w:rPr>
      </w:pPr>
      <w:r w:rsidRPr="00C101CC">
        <w:rPr>
          <w:b/>
          <w:szCs w:val="22"/>
          <w:lang w:val="sk-SK"/>
        </w:rPr>
        <w:t>4.4</w:t>
      </w:r>
      <w:r w:rsidRPr="00C101CC">
        <w:rPr>
          <w:b/>
          <w:szCs w:val="22"/>
          <w:lang w:val="sk-SK"/>
        </w:rPr>
        <w:tab/>
        <w:t>Osobitné upozornenia a opatrenia pri používaní</w:t>
      </w:r>
    </w:p>
    <w:p w14:paraId="2ECC02B1" w14:textId="77777777" w:rsidR="00FF7468" w:rsidRPr="00C101CC" w:rsidRDefault="00FF7468" w:rsidP="00C101CC">
      <w:pPr>
        <w:pStyle w:val="BodyText12"/>
        <w:keepNext/>
        <w:spacing w:after="0" w:line="240" w:lineRule="auto"/>
        <w:ind w:left="0"/>
        <w:jc w:val="left"/>
        <w:rPr>
          <w:sz w:val="22"/>
          <w:szCs w:val="22"/>
          <w:lang w:val="sk-SK"/>
        </w:rPr>
      </w:pPr>
    </w:p>
    <w:p w14:paraId="638FFD4A" w14:textId="05F358A9" w:rsidR="00FF7468" w:rsidRPr="00C101CC" w:rsidRDefault="00FF7468" w:rsidP="00C101CC">
      <w:pPr>
        <w:pStyle w:val="BodyText12"/>
        <w:keepNext/>
        <w:spacing w:after="0" w:line="240" w:lineRule="auto"/>
        <w:ind w:left="0"/>
        <w:jc w:val="left"/>
        <w:rPr>
          <w:color w:val="000000"/>
          <w:sz w:val="22"/>
          <w:szCs w:val="22"/>
          <w:lang w:val="sk-SK"/>
        </w:rPr>
      </w:pPr>
      <w:r w:rsidRPr="00C101CC">
        <w:rPr>
          <w:color w:val="000000"/>
          <w:sz w:val="22"/>
          <w:szCs w:val="22"/>
          <w:lang w:val="sk-SK"/>
        </w:rPr>
        <w:t xml:space="preserve">V prípadoch, kedy je z medicínskeho hľadiska potrebné rýchle ukončenie liečby topiramátom, sa odporúča </w:t>
      </w:r>
      <w:r w:rsidR="004031B6" w:rsidRPr="00C101CC">
        <w:rPr>
          <w:color w:val="000000"/>
          <w:sz w:val="22"/>
          <w:szCs w:val="22"/>
          <w:lang w:val="sk-SK"/>
        </w:rPr>
        <w:t xml:space="preserve">náležité </w:t>
      </w:r>
      <w:r w:rsidR="00AD18CD" w:rsidRPr="00C101CC">
        <w:rPr>
          <w:color w:val="000000"/>
          <w:sz w:val="22"/>
          <w:szCs w:val="22"/>
          <w:lang w:val="sk-SK"/>
        </w:rPr>
        <w:t xml:space="preserve">monitorovanie </w:t>
      </w:r>
      <w:r w:rsidRPr="00C101CC">
        <w:rPr>
          <w:color w:val="000000"/>
          <w:sz w:val="22"/>
          <w:szCs w:val="22"/>
          <w:lang w:val="sk-SK"/>
        </w:rPr>
        <w:t>(</w:t>
      </w:r>
      <w:r w:rsidR="00B745A1" w:rsidRPr="00C101CC">
        <w:rPr>
          <w:color w:val="000000"/>
          <w:sz w:val="22"/>
          <w:szCs w:val="22"/>
          <w:lang w:val="sk-SK"/>
        </w:rPr>
        <w:t>pozri</w:t>
      </w:r>
      <w:r w:rsidRPr="00C101CC">
        <w:rPr>
          <w:color w:val="000000"/>
          <w:sz w:val="22"/>
          <w:szCs w:val="22"/>
          <w:lang w:val="sk-SK"/>
        </w:rPr>
        <w:t> čas</w:t>
      </w:r>
      <w:r w:rsidR="00B745A1" w:rsidRPr="00C101CC">
        <w:rPr>
          <w:color w:val="000000"/>
          <w:sz w:val="22"/>
          <w:szCs w:val="22"/>
          <w:lang w:val="sk-SK"/>
        </w:rPr>
        <w:t>ť</w:t>
      </w:r>
      <w:r w:rsidR="008C445F" w:rsidRPr="00C101CC">
        <w:rPr>
          <w:color w:val="000000"/>
          <w:sz w:val="22"/>
          <w:szCs w:val="22"/>
          <w:lang w:val="sk-SK"/>
        </w:rPr>
        <w:t> </w:t>
      </w:r>
      <w:r w:rsidRPr="00C101CC">
        <w:rPr>
          <w:color w:val="000000"/>
          <w:sz w:val="22"/>
          <w:szCs w:val="22"/>
          <w:lang w:val="sk-SK"/>
        </w:rPr>
        <w:t>4.2).</w:t>
      </w:r>
    </w:p>
    <w:p w14:paraId="25F4FA8B" w14:textId="77777777" w:rsidR="00FF7468" w:rsidRPr="00C101CC" w:rsidRDefault="00FF7468" w:rsidP="00C101CC">
      <w:pPr>
        <w:pStyle w:val="BodyText12"/>
        <w:spacing w:after="0" w:line="240" w:lineRule="auto"/>
        <w:ind w:left="0"/>
        <w:jc w:val="left"/>
        <w:rPr>
          <w:sz w:val="22"/>
          <w:szCs w:val="22"/>
          <w:lang w:val="sk-SK"/>
        </w:rPr>
      </w:pPr>
    </w:p>
    <w:p w14:paraId="423C673C" w14:textId="639CF02F"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 xml:space="preserve">Tak ako pri iných antiepileptikách, u niektorých  pacientov sa pri užívaní </w:t>
      </w:r>
      <w:r w:rsidR="00192543" w:rsidRPr="00C101CC">
        <w:rPr>
          <w:sz w:val="22"/>
          <w:szCs w:val="22"/>
          <w:lang w:val="sk-SK"/>
        </w:rPr>
        <w:t xml:space="preserve">topiramátu </w:t>
      </w:r>
      <w:r w:rsidRPr="00C101CC">
        <w:rPr>
          <w:sz w:val="22"/>
          <w:szCs w:val="22"/>
          <w:lang w:val="sk-SK"/>
        </w:rPr>
        <w:t>môže vyskytnúť zvýšená frekvencia záchvatov alebo vznik nových typov záchvatov. Tento fenomén môže byť dôsledkom predávkovania, poklesu plazmatických koncentrácií sú</w:t>
      </w:r>
      <w:r w:rsidR="008C445F" w:rsidRPr="00C101CC">
        <w:rPr>
          <w:sz w:val="22"/>
          <w:szCs w:val="22"/>
          <w:lang w:val="sk-SK"/>
        </w:rPr>
        <w:t>bež</w:t>
      </w:r>
      <w:r w:rsidRPr="00C101CC">
        <w:rPr>
          <w:sz w:val="22"/>
          <w:szCs w:val="22"/>
          <w:lang w:val="sk-SK"/>
        </w:rPr>
        <w:t>ne užívaných antiepileptík, priebehu ochorenia alebo môže ísť o</w:t>
      </w:r>
      <w:r w:rsidR="00215D65" w:rsidRPr="00C101CC">
        <w:rPr>
          <w:sz w:val="22"/>
          <w:szCs w:val="22"/>
          <w:lang w:val="sk-SK"/>
        </w:rPr>
        <w:t> </w:t>
      </w:r>
      <w:r w:rsidRPr="00C101CC">
        <w:rPr>
          <w:sz w:val="22"/>
          <w:szCs w:val="22"/>
          <w:lang w:val="sk-SK"/>
        </w:rPr>
        <w:t xml:space="preserve">paradoxný účinok.  </w:t>
      </w:r>
    </w:p>
    <w:p w14:paraId="2251403E" w14:textId="77777777" w:rsidR="00FF7468" w:rsidRPr="00C101CC" w:rsidRDefault="00FF7468" w:rsidP="00C101CC">
      <w:pPr>
        <w:pStyle w:val="BodyText12"/>
        <w:spacing w:after="0" w:line="240" w:lineRule="auto"/>
        <w:ind w:left="0"/>
        <w:jc w:val="left"/>
        <w:rPr>
          <w:sz w:val="22"/>
          <w:szCs w:val="22"/>
          <w:lang w:val="sk-SK"/>
        </w:rPr>
      </w:pPr>
    </w:p>
    <w:p w14:paraId="221A3D07" w14:textId="77777777"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 xml:space="preserve">Počas užívania topiramátu je veľmi dôležitá primeraná hydratácia organizmu. Hydratácia organizmu </w:t>
      </w:r>
      <w:r w:rsidR="00B21FC9" w:rsidRPr="00C101CC">
        <w:rPr>
          <w:sz w:val="22"/>
          <w:szCs w:val="22"/>
          <w:lang w:val="sk-SK"/>
        </w:rPr>
        <w:t xml:space="preserve">môže znížiť </w:t>
      </w:r>
      <w:r w:rsidRPr="00C101CC">
        <w:rPr>
          <w:sz w:val="22"/>
          <w:szCs w:val="22"/>
          <w:lang w:val="sk-SK"/>
        </w:rPr>
        <w:t>riziko nefrolitiázy (pozri nižšie). Správna hydratácia pred</w:t>
      </w:r>
      <w:r w:rsidR="00B21FC9" w:rsidRPr="00C101CC">
        <w:rPr>
          <w:sz w:val="22"/>
          <w:szCs w:val="22"/>
          <w:lang w:val="sk-SK"/>
        </w:rPr>
        <w:t xml:space="preserve"> aktivitami (ako je cvičenie alebo vystavenie sa vysokým teplotám)</w:t>
      </w:r>
      <w:r w:rsidRPr="00C101CC">
        <w:rPr>
          <w:sz w:val="22"/>
          <w:szCs w:val="22"/>
          <w:lang w:val="sk-SK"/>
        </w:rPr>
        <w:t xml:space="preserve"> a počas </w:t>
      </w:r>
      <w:r w:rsidR="00B21FC9" w:rsidRPr="00C101CC">
        <w:rPr>
          <w:sz w:val="22"/>
          <w:szCs w:val="22"/>
          <w:lang w:val="sk-SK"/>
        </w:rPr>
        <w:t>nich</w:t>
      </w:r>
      <w:r w:rsidRPr="00C101CC">
        <w:rPr>
          <w:sz w:val="22"/>
          <w:szCs w:val="22"/>
          <w:lang w:val="sk-SK"/>
        </w:rPr>
        <w:t>, môže znížiť riziko nežiaducich reakcií spojených s teplom (pozri časť 4.8).</w:t>
      </w:r>
    </w:p>
    <w:p w14:paraId="63A3F95A" w14:textId="77777777" w:rsidR="002E42EE" w:rsidRPr="00C101CC" w:rsidRDefault="002E42EE" w:rsidP="00C101CC">
      <w:pPr>
        <w:pStyle w:val="BodyText12"/>
        <w:spacing w:after="0" w:line="240" w:lineRule="auto"/>
        <w:ind w:left="0"/>
        <w:jc w:val="left"/>
        <w:rPr>
          <w:sz w:val="22"/>
          <w:szCs w:val="22"/>
          <w:lang w:val="sk-SK"/>
        </w:rPr>
      </w:pPr>
    </w:p>
    <w:p w14:paraId="020BDBE4" w14:textId="77777777" w:rsidR="00BE55E2" w:rsidRPr="00C101CC" w:rsidRDefault="00BE55E2" w:rsidP="00C101CC">
      <w:pPr>
        <w:keepNext/>
        <w:spacing w:line="240" w:lineRule="auto"/>
        <w:rPr>
          <w:szCs w:val="22"/>
          <w:u w:val="single"/>
          <w:lang w:val="sk-SK"/>
        </w:rPr>
      </w:pPr>
      <w:r w:rsidRPr="00C101CC">
        <w:rPr>
          <w:szCs w:val="22"/>
          <w:u w:val="single"/>
          <w:lang w:val="sk-SK"/>
        </w:rPr>
        <w:t>Ženy v plodnom veku</w:t>
      </w:r>
    </w:p>
    <w:p w14:paraId="2EDDB45C" w14:textId="77777777" w:rsidR="00BE55E2" w:rsidRPr="00C101CC" w:rsidRDefault="00BE55E2" w:rsidP="00C101CC">
      <w:pPr>
        <w:keepNext/>
        <w:spacing w:line="240" w:lineRule="auto"/>
        <w:rPr>
          <w:szCs w:val="22"/>
          <w:lang w:val="sk-SK"/>
        </w:rPr>
      </w:pPr>
      <w:r w:rsidRPr="00C101CC">
        <w:rPr>
          <w:szCs w:val="22"/>
          <w:lang w:val="sk-SK"/>
        </w:rPr>
        <w:t>Keď sa topiramát podáva tehotnej žene, môže spôsobiť poškodenie plodu a obmedziť rast plodu (malá veľkosť na gestačný vek a nízka pôrodná hmotnosť). Údaje pre monoterapiu topiramátom z tehotenského registra North American Antiepileptic Drug preukázali približne 3</w:t>
      </w:r>
      <w:r w:rsidRPr="00C101CC">
        <w:rPr>
          <w:szCs w:val="22"/>
          <w:lang w:val="sk-SK"/>
        </w:rPr>
        <w:noBreakHyphen/>
        <w:t xml:space="preserve">násobne vyššiu prevalenciu závažných vrodených malformácií (4,3 %) v porovnaní s referenčnou skupinou, ktorá neužívala antiepileptiká (1,4 %). Údaje z ďalších štúdií ďalej naznačujú, že v porovnaní s monoterapiou je zvýšené riziko teratogénnych účinkov spojených s použitím antiepileptík v kombinovanej terapii. </w:t>
      </w:r>
    </w:p>
    <w:p w14:paraId="0A5CF98D" w14:textId="77777777" w:rsidR="00BE55E2" w:rsidRPr="00C101CC" w:rsidRDefault="00BE55E2" w:rsidP="00C101CC">
      <w:pPr>
        <w:spacing w:line="240" w:lineRule="auto"/>
        <w:rPr>
          <w:szCs w:val="22"/>
          <w:lang w:val="sk-SK" w:eastAsia="zh-CN"/>
        </w:rPr>
      </w:pPr>
    </w:p>
    <w:p w14:paraId="2BDE5EAE" w14:textId="09BB3A66" w:rsidR="00BE55E2" w:rsidRPr="00C101CC" w:rsidRDefault="00BE55E2" w:rsidP="00C101CC">
      <w:pPr>
        <w:spacing w:line="240" w:lineRule="auto"/>
        <w:rPr>
          <w:szCs w:val="22"/>
          <w:lang w:val="sk-SK"/>
        </w:rPr>
      </w:pPr>
      <w:r w:rsidRPr="00C101CC">
        <w:rPr>
          <w:szCs w:val="22"/>
          <w:lang w:val="sk-SK"/>
        </w:rPr>
        <w:t>Pred začatím liečby topiramátom u ženy v plodnom veku, sa má urobiť tehotenský test a má sa odporučiť vysoko účinná antikoncepčná metóda (pozri časť</w:t>
      </w:r>
      <w:r w:rsidR="00F500EF" w:rsidRPr="00C101CC">
        <w:rPr>
          <w:szCs w:val="22"/>
          <w:lang w:val="sk-SK"/>
        </w:rPr>
        <w:t> </w:t>
      </w:r>
      <w:r w:rsidRPr="00C101CC">
        <w:rPr>
          <w:szCs w:val="22"/>
          <w:lang w:val="sk-SK"/>
        </w:rPr>
        <w:t>4.5). Pacientka má byť v plnej</w:t>
      </w:r>
      <w:r w:rsidRPr="00C101CC">
        <w:rPr>
          <w:b/>
          <w:szCs w:val="22"/>
          <w:lang w:val="sk-SK"/>
        </w:rPr>
        <w:t xml:space="preserve"> </w:t>
      </w:r>
      <w:r w:rsidRPr="00C101CC">
        <w:rPr>
          <w:szCs w:val="22"/>
          <w:lang w:val="sk-SK"/>
        </w:rPr>
        <w:t>miere informovaná o rizikách súvisiacich s užívaním topiramátu počas gravidity (pozri časti</w:t>
      </w:r>
      <w:r w:rsidR="00F500EF" w:rsidRPr="00C101CC">
        <w:rPr>
          <w:szCs w:val="22"/>
          <w:lang w:val="sk-SK"/>
        </w:rPr>
        <w:t> </w:t>
      </w:r>
      <w:r w:rsidRPr="00C101CC">
        <w:rPr>
          <w:szCs w:val="22"/>
          <w:lang w:val="sk-SK"/>
        </w:rPr>
        <w:t>4.3 a 4.6).</w:t>
      </w:r>
    </w:p>
    <w:p w14:paraId="7C5662CD" w14:textId="77777777" w:rsidR="002E42EE" w:rsidRPr="00C101CC" w:rsidRDefault="002E42EE" w:rsidP="00C101CC">
      <w:pPr>
        <w:pStyle w:val="BodyText12"/>
        <w:spacing w:after="0" w:line="240" w:lineRule="auto"/>
        <w:ind w:left="0"/>
        <w:jc w:val="left"/>
        <w:rPr>
          <w:sz w:val="22"/>
          <w:szCs w:val="22"/>
          <w:lang w:val="sk-SK"/>
        </w:rPr>
      </w:pPr>
    </w:p>
    <w:p w14:paraId="24A1DA4C" w14:textId="77777777" w:rsidR="002E42EE" w:rsidRPr="00C101CC" w:rsidRDefault="002E42EE" w:rsidP="00C101CC">
      <w:pPr>
        <w:keepNext/>
        <w:spacing w:line="240" w:lineRule="auto"/>
        <w:rPr>
          <w:szCs w:val="22"/>
          <w:u w:val="single"/>
          <w:lang w:val="sk-SK"/>
        </w:rPr>
      </w:pPr>
      <w:r w:rsidRPr="00C101CC">
        <w:rPr>
          <w:szCs w:val="22"/>
          <w:u w:val="single"/>
          <w:lang w:val="sk-SK"/>
        </w:rPr>
        <w:t>Oligohydr</w:t>
      </w:r>
      <w:r w:rsidR="00E67346" w:rsidRPr="00C101CC">
        <w:rPr>
          <w:szCs w:val="22"/>
          <w:u w:val="single"/>
          <w:lang w:val="sk-SK"/>
        </w:rPr>
        <w:t>óza</w:t>
      </w:r>
    </w:p>
    <w:p w14:paraId="7087FCE6" w14:textId="77777777" w:rsidR="002E42EE" w:rsidRPr="00C101CC" w:rsidRDefault="00E67346" w:rsidP="00C101CC">
      <w:pPr>
        <w:pStyle w:val="BodyText12"/>
        <w:spacing w:after="0" w:line="240" w:lineRule="auto"/>
        <w:ind w:left="0"/>
        <w:jc w:val="left"/>
        <w:rPr>
          <w:sz w:val="22"/>
          <w:szCs w:val="22"/>
          <w:lang w:val="sk-SK"/>
        </w:rPr>
      </w:pPr>
      <w:r w:rsidRPr="00C101CC">
        <w:rPr>
          <w:sz w:val="22"/>
          <w:szCs w:val="22"/>
          <w:lang w:val="sk-SK"/>
        </w:rPr>
        <w:t>V súvislosti s užívaním topiramátu bola hlásená o</w:t>
      </w:r>
      <w:r w:rsidR="002E42EE" w:rsidRPr="00C101CC">
        <w:rPr>
          <w:sz w:val="22"/>
          <w:szCs w:val="22"/>
          <w:lang w:val="sk-SK"/>
        </w:rPr>
        <w:t>ligohydr</w:t>
      </w:r>
      <w:r w:rsidRPr="00C101CC">
        <w:rPr>
          <w:sz w:val="22"/>
          <w:szCs w:val="22"/>
          <w:lang w:val="sk-SK"/>
        </w:rPr>
        <w:t>óza</w:t>
      </w:r>
      <w:r w:rsidR="002E42EE" w:rsidRPr="00C101CC">
        <w:rPr>
          <w:sz w:val="22"/>
          <w:szCs w:val="22"/>
          <w:lang w:val="sk-SK"/>
        </w:rPr>
        <w:t xml:space="preserve"> (</w:t>
      </w:r>
      <w:r w:rsidRPr="00C101CC">
        <w:rPr>
          <w:sz w:val="22"/>
          <w:szCs w:val="22"/>
          <w:lang w:val="sk-SK"/>
        </w:rPr>
        <w:t>znížené potenie</w:t>
      </w:r>
      <w:r w:rsidR="002E42EE" w:rsidRPr="00C101CC">
        <w:rPr>
          <w:sz w:val="22"/>
          <w:szCs w:val="22"/>
          <w:lang w:val="sk-SK"/>
        </w:rPr>
        <w:t xml:space="preserve">). </w:t>
      </w:r>
      <w:r w:rsidRPr="00C101CC">
        <w:rPr>
          <w:sz w:val="22"/>
          <w:szCs w:val="22"/>
          <w:lang w:val="sk-SK"/>
        </w:rPr>
        <w:t>Znížené potenie a hypertermia (zvýšenie telesnej teploty)</w:t>
      </w:r>
      <w:r w:rsidR="002E42EE" w:rsidRPr="00C101CC">
        <w:rPr>
          <w:sz w:val="22"/>
          <w:szCs w:val="22"/>
          <w:lang w:val="sk-SK"/>
        </w:rPr>
        <w:t xml:space="preserve"> </w:t>
      </w:r>
      <w:r w:rsidRPr="00C101CC">
        <w:rPr>
          <w:sz w:val="22"/>
          <w:szCs w:val="22"/>
          <w:lang w:val="sk-SK"/>
        </w:rPr>
        <w:t xml:space="preserve">sa môžu objaviť najmä u malých detí vystavených vysokej okolitej teplote. </w:t>
      </w:r>
    </w:p>
    <w:p w14:paraId="2BFDF55F" w14:textId="77777777" w:rsidR="00FF7468" w:rsidRPr="00C101CC" w:rsidRDefault="00FF7468" w:rsidP="00C101CC">
      <w:pPr>
        <w:pStyle w:val="BodyText12"/>
        <w:spacing w:after="0" w:line="240" w:lineRule="auto"/>
        <w:ind w:left="0"/>
        <w:jc w:val="left"/>
        <w:rPr>
          <w:sz w:val="22"/>
          <w:szCs w:val="22"/>
          <w:lang w:val="sk-SK"/>
        </w:rPr>
      </w:pPr>
    </w:p>
    <w:p w14:paraId="48BB140E"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Zmeny nálady/depresia</w:t>
      </w:r>
    </w:p>
    <w:p w14:paraId="4B032159" w14:textId="77777777" w:rsidR="00FF7468" w:rsidRPr="00C101CC" w:rsidRDefault="00FF7468" w:rsidP="00C101CC">
      <w:pPr>
        <w:pStyle w:val="BodyText12"/>
        <w:keepNext/>
        <w:spacing w:after="0" w:line="240" w:lineRule="auto"/>
        <w:ind w:left="0"/>
        <w:jc w:val="left"/>
        <w:rPr>
          <w:sz w:val="22"/>
          <w:szCs w:val="22"/>
          <w:lang w:val="sk-SK"/>
        </w:rPr>
      </w:pPr>
      <w:r w:rsidRPr="00C101CC">
        <w:rPr>
          <w:color w:val="000000"/>
          <w:sz w:val="22"/>
          <w:szCs w:val="22"/>
          <w:lang w:val="sk-SK"/>
        </w:rPr>
        <w:t xml:space="preserve">Počas liečby topiramátom sa pozoroval zvýšený výskyt </w:t>
      </w:r>
      <w:r w:rsidR="00B21FC9" w:rsidRPr="00C101CC">
        <w:rPr>
          <w:color w:val="000000"/>
          <w:sz w:val="22"/>
          <w:szCs w:val="22"/>
          <w:lang w:val="sk-SK"/>
        </w:rPr>
        <w:t xml:space="preserve">zmien </w:t>
      </w:r>
      <w:r w:rsidRPr="00C101CC">
        <w:rPr>
          <w:color w:val="000000"/>
          <w:sz w:val="22"/>
          <w:szCs w:val="22"/>
          <w:lang w:val="sk-SK"/>
        </w:rPr>
        <w:t>nálady a depresie.</w:t>
      </w:r>
    </w:p>
    <w:p w14:paraId="5223376F" w14:textId="77777777" w:rsidR="00FF7468" w:rsidRPr="00C101CC" w:rsidRDefault="00FF7468" w:rsidP="00C101CC">
      <w:pPr>
        <w:pStyle w:val="BodyText12"/>
        <w:spacing w:after="0" w:line="240" w:lineRule="auto"/>
        <w:ind w:left="0"/>
        <w:jc w:val="left"/>
        <w:rPr>
          <w:sz w:val="22"/>
          <w:szCs w:val="22"/>
          <w:lang w:val="sk-SK"/>
        </w:rPr>
      </w:pPr>
    </w:p>
    <w:p w14:paraId="2C1290F1"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 xml:space="preserve">Samovražda/samovražedné </w:t>
      </w:r>
      <w:r w:rsidR="00192543" w:rsidRPr="00C101CC">
        <w:rPr>
          <w:sz w:val="22"/>
          <w:szCs w:val="22"/>
          <w:u w:val="single"/>
          <w:lang w:val="sk-SK"/>
        </w:rPr>
        <w:t>myšlienky</w:t>
      </w:r>
    </w:p>
    <w:p w14:paraId="7B42693C" w14:textId="77777777" w:rsidR="00FF7468" w:rsidRPr="00C101CC" w:rsidRDefault="00FF7468" w:rsidP="00C101CC">
      <w:pPr>
        <w:pStyle w:val="BodyText12"/>
        <w:keepNext/>
        <w:spacing w:after="0" w:line="240" w:lineRule="auto"/>
        <w:ind w:left="0"/>
        <w:jc w:val="left"/>
        <w:rPr>
          <w:sz w:val="22"/>
          <w:szCs w:val="22"/>
          <w:lang w:val="sk-SK"/>
        </w:rPr>
      </w:pPr>
      <w:r w:rsidRPr="00C101CC">
        <w:rPr>
          <w:sz w:val="22"/>
          <w:szCs w:val="22"/>
          <w:lang w:val="sk-SK"/>
        </w:rPr>
        <w:t>U pacientov liečených a</w:t>
      </w:r>
      <w:r w:rsidR="008450EC" w:rsidRPr="00C101CC">
        <w:rPr>
          <w:sz w:val="22"/>
          <w:szCs w:val="22"/>
          <w:lang w:val="sk-SK"/>
        </w:rPr>
        <w:t>n</w:t>
      </w:r>
      <w:r w:rsidRPr="00C101CC">
        <w:rPr>
          <w:sz w:val="22"/>
          <w:szCs w:val="22"/>
          <w:lang w:val="sk-SK"/>
        </w:rPr>
        <w:t xml:space="preserve">tiepileptikami v rôznych indikáciách boli hlásené samovražedné </w:t>
      </w:r>
      <w:r w:rsidR="00866464" w:rsidRPr="00C101CC">
        <w:rPr>
          <w:sz w:val="22"/>
          <w:szCs w:val="22"/>
          <w:lang w:val="sk-SK"/>
        </w:rPr>
        <w:t>myšlienky</w:t>
      </w:r>
      <w:r w:rsidRPr="00C101CC">
        <w:rPr>
          <w:sz w:val="22"/>
          <w:szCs w:val="22"/>
          <w:lang w:val="sk-SK"/>
        </w:rPr>
        <w:t xml:space="preserve"> a správanie. Meta</w:t>
      </w:r>
      <w:r w:rsidR="00192543" w:rsidRPr="00C101CC">
        <w:rPr>
          <w:sz w:val="22"/>
          <w:szCs w:val="22"/>
          <w:lang w:val="sk-SK"/>
        </w:rPr>
        <w:t>-</w:t>
      </w:r>
      <w:r w:rsidRPr="00C101CC">
        <w:rPr>
          <w:sz w:val="22"/>
          <w:szCs w:val="22"/>
          <w:lang w:val="sk-SK"/>
        </w:rPr>
        <w:t>analýza randomizova</w:t>
      </w:r>
      <w:r w:rsidR="0009056C" w:rsidRPr="00C101CC">
        <w:rPr>
          <w:sz w:val="22"/>
          <w:szCs w:val="22"/>
          <w:lang w:val="sk-SK"/>
        </w:rPr>
        <w:t>n</w:t>
      </w:r>
      <w:r w:rsidRPr="00C101CC">
        <w:rPr>
          <w:sz w:val="22"/>
          <w:szCs w:val="22"/>
          <w:lang w:val="sk-SK"/>
        </w:rPr>
        <w:t>ých, placebom kontrolovaných štúdií s antiepileptikami preukázala malé zvýšenie rizika samovražedných úmyslov a správania. Mechanizmus tohto rizika nie je známy a dostupné informácie nevylučujú možnosť zvýšeného rizika u topiramátu.</w:t>
      </w:r>
    </w:p>
    <w:p w14:paraId="3DCC252C" w14:textId="77777777" w:rsidR="00FF7468" w:rsidRPr="00C101CC" w:rsidRDefault="00FF7468" w:rsidP="00C101CC">
      <w:pPr>
        <w:pStyle w:val="BodyText12"/>
        <w:spacing w:after="0" w:line="240" w:lineRule="auto"/>
        <w:ind w:left="0"/>
        <w:jc w:val="left"/>
        <w:rPr>
          <w:sz w:val="22"/>
          <w:szCs w:val="22"/>
          <w:lang w:val="sk-SK"/>
        </w:rPr>
      </w:pPr>
    </w:p>
    <w:p w14:paraId="5BBAE4EC" w14:textId="77777777" w:rsidR="00FF7468" w:rsidRPr="00C101CC" w:rsidRDefault="00FF7468" w:rsidP="00C101CC">
      <w:pPr>
        <w:pStyle w:val="Bodytext"/>
        <w:tabs>
          <w:tab w:val="left" w:pos="8222"/>
        </w:tabs>
        <w:spacing w:after="0" w:line="240" w:lineRule="auto"/>
        <w:ind w:left="0" w:right="-49"/>
        <w:rPr>
          <w:rFonts w:ascii="Times New Roman" w:hAnsi="Times New Roman"/>
          <w:strike w:val="0"/>
          <w:color w:val="000000"/>
          <w:sz w:val="22"/>
          <w:szCs w:val="22"/>
        </w:rPr>
      </w:pPr>
      <w:r w:rsidRPr="00C101CC">
        <w:rPr>
          <w:rFonts w:ascii="Times New Roman" w:hAnsi="Times New Roman"/>
          <w:strike w:val="0"/>
          <w:sz w:val="22"/>
          <w:szCs w:val="22"/>
        </w:rPr>
        <w:t>V dvojito zaslepených klinických štúdiách sa príhody súvisiace so samovraždou (myšlienky na samovraždu, pokusy o samovraždu a samovražda) vyskytli s frekvenciou 0,5</w:t>
      </w:r>
      <w:r w:rsidR="00B21FC9" w:rsidRPr="00C101CC">
        <w:rPr>
          <w:rFonts w:ascii="Times New Roman" w:hAnsi="Times New Roman"/>
          <w:strike w:val="0"/>
          <w:sz w:val="22"/>
          <w:szCs w:val="22"/>
        </w:rPr>
        <w:t> </w:t>
      </w:r>
      <w:r w:rsidRPr="00C101CC">
        <w:rPr>
          <w:rFonts w:ascii="Times New Roman" w:hAnsi="Times New Roman"/>
          <w:strike w:val="0"/>
          <w:sz w:val="22"/>
          <w:szCs w:val="22"/>
        </w:rPr>
        <w:t>%  u pacientov liečených topiramátom (46 z 8 652 liečených pacientov) a s približne 3-násobne vyššou incidenciou ako u pacientov liečených placebom (0,2</w:t>
      </w:r>
      <w:r w:rsidR="003C61AE" w:rsidRPr="00C101CC">
        <w:rPr>
          <w:rFonts w:ascii="Times New Roman" w:hAnsi="Times New Roman"/>
          <w:strike w:val="0"/>
          <w:sz w:val="22"/>
          <w:szCs w:val="22"/>
        </w:rPr>
        <w:t> </w:t>
      </w:r>
      <w:r w:rsidRPr="00C101CC">
        <w:rPr>
          <w:rFonts w:ascii="Times New Roman" w:hAnsi="Times New Roman"/>
          <w:strike w:val="0"/>
          <w:sz w:val="22"/>
          <w:szCs w:val="22"/>
        </w:rPr>
        <w:t>%; 8 z 4 045 liečených pacientov).</w:t>
      </w:r>
    </w:p>
    <w:p w14:paraId="2BED06B4" w14:textId="77777777" w:rsidR="00FF7468" w:rsidRPr="00C101CC" w:rsidRDefault="00FF7468" w:rsidP="00C101CC">
      <w:pPr>
        <w:pStyle w:val="BodyText12"/>
        <w:spacing w:after="0" w:line="240" w:lineRule="auto"/>
        <w:ind w:left="0"/>
        <w:jc w:val="left"/>
        <w:rPr>
          <w:sz w:val="22"/>
          <w:szCs w:val="22"/>
          <w:lang w:val="sk-SK"/>
        </w:rPr>
      </w:pPr>
    </w:p>
    <w:p w14:paraId="4AF64C17" w14:textId="4FE96682" w:rsidR="00C0378E" w:rsidRDefault="00FF7468" w:rsidP="00C101CC">
      <w:pPr>
        <w:pStyle w:val="BodyText12"/>
        <w:spacing w:after="0" w:line="240" w:lineRule="auto"/>
        <w:ind w:left="0"/>
        <w:jc w:val="left"/>
        <w:rPr>
          <w:sz w:val="22"/>
          <w:szCs w:val="22"/>
          <w:lang w:val="sk-SK"/>
        </w:rPr>
      </w:pPr>
      <w:r w:rsidRPr="00C101CC">
        <w:rPr>
          <w:sz w:val="22"/>
          <w:szCs w:val="22"/>
          <w:lang w:val="sk-SK"/>
        </w:rPr>
        <w:t>Preto sa majú u pacientov sledovať príznaky samovražedných úmyslov a správani</w:t>
      </w:r>
      <w:r w:rsidR="00B21FC9" w:rsidRPr="00C101CC">
        <w:rPr>
          <w:sz w:val="22"/>
          <w:szCs w:val="22"/>
          <w:lang w:val="sk-SK"/>
        </w:rPr>
        <w:t>a</w:t>
      </w:r>
      <w:r w:rsidRPr="00C101CC">
        <w:rPr>
          <w:sz w:val="22"/>
          <w:szCs w:val="22"/>
          <w:lang w:val="sk-SK"/>
        </w:rPr>
        <w:t xml:space="preserve"> a má sa zvážiť vhodná liečba. Pacienti (a ich ošetrovatelia) majú byť poučení, aby vyhľadali lekársku pomoc, ak sa objavia príznaky samovražedných úmyslov alebo správania.</w:t>
      </w:r>
    </w:p>
    <w:p w14:paraId="480E5C52" w14:textId="69F8A07C" w:rsidR="00C0378E" w:rsidRDefault="00C0378E" w:rsidP="00C101CC">
      <w:pPr>
        <w:pStyle w:val="BodyText12"/>
        <w:spacing w:after="0" w:line="240" w:lineRule="auto"/>
        <w:ind w:left="0"/>
        <w:jc w:val="left"/>
        <w:rPr>
          <w:sz w:val="22"/>
          <w:szCs w:val="22"/>
          <w:lang w:val="sk-SK"/>
        </w:rPr>
      </w:pPr>
    </w:p>
    <w:p w14:paraId="0231A811" w14:textId="3D202AA5" w:rsidR="00C0378E" w:rsidRPr="00075451" w:rsidRDefault="00C0378E" w:rsidP="00C101CC">
      <w:pPr>
        <w:pStyle w:val="BodyText12"/>
        <w:spacing w:after="0" w:line="240" w:lineRule="auto"/>
        <w:ind w:left="0"/>
        <w:jc w:val="left"/>
        <w:rPr>
          <w:sz w:val="22"/>
          <w:szCs w:val="22"/>
          <w:u w:val="single"/>
          <w:lang w:val="sk-SK"/>
        </w:rPr>
      </w:pPr>
      <w:bookmarkStart w:id="1" w:name="_GoBack"/>
      <w:r w:rsidRPr="00075451">
        <w:rPr>
          <w:sz w:val="22"/>
          <w:szCs w:val="22"/>
          <w:u w:val="single"/>
          <w:lang w:val="sk-SK"/>
        </w:rPr>
        <w:t>Závažné kožné reakcie</w:t>
      </w:r>
    </w:p>
    <w:bookmarkEnd w:id="1"/>
    <w:p w14:paraId="1610DDBA" w14:textId="3D8DB066" w:rsidR="00C0378E" w:rsidRPr="00C101CC" w:rsidRDefault="00C0378E" w:rsidP="00C101CC">
      <w:pPr>
        <w:pStyle w:val="BodyText12"/>
        <w:spacing w:after="0" w:line="240" w:lineRule="auto"/>
        <w:ind w:left="0"/>
        <w:jc w:val="left"/>
        <w:rPr>
          <w:sz w:val="22"/>
          <w:szCs w:val="22"/>
          <w:lang w:val="sk-SK"/>
        </w:rPr>
      </w:pPr>
      <w:r>
        <w:rPr>
          <w:sz w:val="22"/>
          <w:szCs w:val="22"/>
          <w:lang w:val="sk-SK"/>
        </w:rPr>
        <w:t>U pacientov užívajúcich topiramát boli hlásené závažné kožné reakcie (Steven</w:t>
      </w:r>
      <w:r w:rsidR="00C07684">
        <w:rPr>
          <w:sz w:val="22"/>
          <w:szCs w:val="22"/>
          <w:lang w:val="sk-SK"/>
        </w:rPr>
        <w:t>sov</w:t>
      </w:r>
      <w:r>
        <w:rPr>
          <w:sz w:val="22"/>
          <w:szCs w:val="22"/>
          <w:lang w:val="sk-SK"/>
        </w:rPr>
        <w:t>-Johnsonov syndróm (SJS) a toxická epidermálna nekrolýza (TEN)) (pozri časť 4.8.). Odporúča sa informovať pacientov o</w:t>
      </w:r>
      <w:r w:rsidR="00CD2C01">
        <w:rPr>
          <w:sz w:val="22"/>
          <w:szCs w:val="22"/>
          <w:lang w:val="sk-SK"/>
        </w:rPr>
        <w:t> </w:t>
      </w:r>
      <w:r w:rsidR="0066725B">
        <w:rPr>
          <w:sz w:val="22"/>
          <w:szCs w:val="22"/>
          <w:lang w:val="sk-SK"/>
        </w:rPr>
        <w:t>prejavoch</w:t>
      </w:r>
      <w:r>
        <w:rPr>
          <w:sz w:val="22"/>
          <w:szCs w:val="22"/>
          <w:lang w:val="sk-SK"/>
        </w:rPr>
        <w:t xml:space="preserve"> závažných kožných reakcií. V prípade, že existuje podozrenie na SJS alebo TEN, užívanie Topamaxu </w:t>
      </w:r>
      <w:r w:rsidR="0066725B">
        <w:rPr>
          <w:sz w:val="22"/>
          <w:szCs w:val="22"/>
          <w:lang w:val="sk-SK"/>
        </w:rPr>
        <w:t>sa má</w:t>
      </w:r>
      <w:r>
        <w:rPr>
          <w:sz w:val="22"/>
          <w:szCs w:val="22"/>
          <w:lang w:val="sk-SK"/>
        </w:rPr>
        <w:t xml:space="preserve"> preruš</w:t>
      </w:r>
      <w:r w:rsidR="0066725B">
        <w:rPr>
          <w:sz w:val="22"/>
          <w:szCs w:val="22"/>
          <w:lang w:val="sk-SK"/>
        </w:rPr>
        <w:t>iť</w:t>
      </w:r>
      <w:r>
        <w:rPr>
          <w:sz w:val="22"/>
          <w:szCs w:val="22"/>
          <w:lang w:val="sk-SK"/>
        </w:rPr>
        <w:t xml:space="preserve">. </w:t>
      </w:r>
    </w:p>
    <w:p w14:paraId="564A4766" w14:textId="77777777" w:rsidR="00FF7468" w:rsidRPr="00C101CC" w:rsidRDefault="00FF7468" w:rsidP="00C101CC">
      <w:pPr>
        <w:pStyle w:val="BodyText12"/>
        <w:spacing w:after="0" w:line="240" w:lineRule="auto"/>
        <w:ind w:left="0"/>
        <w:jc w:val="left"/>
        <w:rPr>
          <w:sz w:val="22"/>
          <w:szCs w:val="22"/>
          <w:lang w:val="sk-SK"/>
        </w:rPr>
      </w:pPr>
    </w:p>
    <w:p w14:paraId="7AA1F04A" w14:textId="77777777" w:rsidR="00FF7468" w:rsidRPr="00C101CC" w:rsidRDefault="00FF7468" w:rsidP="00C101CC">
      <w:pPr>
        <w:pStyle w:val="BodyText12"/>
        <w:keepNext/>
        <w:spacing w:after="0" w:line="240" w:lineRule="auto"/>
        <w:ind w:left="0"/>
        <w:jc w:val="left"/>
        <w:rPr>
          <w:sz w:val="22"/>
          <w:szCs w:val="22"/>
          <w:u w:val="single"/>
          <w:lang w:val="sk-SK"/>
        </w:rPr>
      </w:pPr>
      <w:r w:rsidRPr="00C101CC">
        <w:rPr>
          <w:sz w:val="22"/>
          <w:szCs w:val="22"/>
          <w:u w:val="single"/>
          <w:lang w:val="sk-SK"/>
        </w:rPr>
        <w:t>Nefrolitiáza</w:t>
      </w:r>
    </w:p>
    <w:p w14:paraId="6B42A353" w14:textId="77777777" w:rsidR="00FF7468" w:rsidRPr="00C101CC" w:rsidRDefault="00FF7468" w:rsidP="00C101CC">
      <w:pPr>
        <w:pStyle w:val="Bodytext"/>
        <w:keepNext/>
        <w:tabs>
          <w:tab w:val="left" w:pos="8222"/>
        </w:tabs>
        <w:spacing w:after="0" w:line="240" w:lineRule="auto"/>
        <w:ind w:left="0" w:right="-369"/>
        <w:rPr>
          <w:rFonts w:ascii="Times New Roman" w:hAnsi="Times New Roman"/>
          <w:strike w:val="0"/>
          <w:sz w:val="22"/>
          <w:szCs w:val="22"/>
        </w:rPr>
      </w:pPr>
      <w:r w:rsidRPr="00C101CC">
        <w:rPr>
          <w:rFonts w:ascii="Times New Roman" w:hAnsi="Times New Roman"/>
          <w:strike w:val="0"/>
          <w:sz w:val="22"/>
          <w:szCs w:val="22"/>
        </w:rPr>
        <w:t xml:space="preserve">U niektorých pacientov, najmä u tých so sklonom k nefrolitiáze, môže byť zvýšené riziko tvorby obličkových kameňov a pridružených príznakov a symptómov, ako sú renálna kolika, bolesť obličiek alebo bolesť boku. </w:t>
      </w:r>
    </w:p>
    <w:p w14:paraId="76808F4D" w14:textId="77777777" w:rsidR="00FF7468" w:rsidRPr="00C101CC" w:rsidRDefault="00FF7468" w:rsidP="00C101CC">
      <w:pPr>
        <w:pStyle w:val="Bodytext"/>
        <w:tabs>
          <w:tab w:val="left" w:pos="8222"/>
        </w:tabs>
        <w:spacing w:after="0" w:line="240" w:lineRule="auto"/>
        <w:ind w:left="0" w:right="-369"/>
        <w:rPr>
          <w:rFonts w:ascii="Times New Roman" w:hAnsi="Times New Roman"/>
          <w:sz w:val="22"/>
          <w:szCs w:val="22"/>
        </w:rPr>
      </w:pPr>
    </w:p>
    <w:p w14:paraId="3D066965" w14:textId="75FF3212" w:rsidR="00FF7468" w:rsidRPr="00C101CC" w:rsidRDefault="00FF7468" w:rsidP="00C101CC">
      <w:pPr>
        <w:pStyle w:val="BodyText12"/>
        <w:spacing w:after="0" w:line="240" w:lineRule="auto"/>
        <w:ind w:left="0"/>
        <w:jc w:val="left"/>
        <w:rPr>
          <w:sz w:val="22"/>
          <w:szCs w:val="22"/>
          <w:lang w:val="sk-SK"/>
        </w:rPr>
      </w:pPr>
      <w:r w:rsidRPr="00C101CC">
        <w:rPr>
          <w:sz w:val="22"/>
          <w:szCs w:val="22"/>
          <w:lang w:val="sk-SK"/>
        </w:rPr>
        <w:t>Medzi rizikové faktory nefrolitiázy patria: tvorba kameňov v anamnéze, výskyt nefrolitiázy a  hyperkalciúrie v rodinnej anamnéze</w:t>
      </w:r>
      <w:r w:rsidR="006B7F2E" w:rsidRPr="00C101CC">
        <w:rPr>
          <w:sz w:val="22"/>
          <w:szCs w:val="22"/>
          <w:lang w:val="sk-SK"/>
        </w:rPr>
        <w:t xml:space="preserve"> (pozri nižšie – Metabolická acidóza)</w:t>
      </w:r>
      <w:r w:rsidRPr="00C101CC">
        <w:rPr>
          <w:sz w:val="22"/>
          <w:szCs w:val="22"/>
          <w:lang w:val="sk-SK"/>
        </w:rPr>
        <w:t xml:space="preserve">. Ani jeden z uvedených rizikových faktorov však neznamená  spoľahlivú predikciu tvorby kameňov počas liečby topiramátom. Zvýšené riziko sa týka najmä pacientov, ktorí užívajú ešte ďalšie lieky spojené s nefrolitiázou. </w:t>
      </w:r>
    </w:p>
    <w:p w14:paraId="3A061B3D" w14:textId="77777777" w:rsidR="004140B0" w:rsidRPr="00C101CC" w:rsidRDefault="004140B0">
      <w:pPr>
        <w:pStyle w:val="BodyText12"/>
        <w:spacing w:after="0" w:line="240" w:lineRule="auto"/>
        <w:ind w:left="0"/>
        <w:jc w:val="left"/>
        <w:rPr>
          <w:sz w:val="22"/>
          <w:szCs w:val="22"/>
          <w:lang w:val="sk-SK"/>
        </w:rPr>
      </w:pPr>
    </w:p>
    <w:p w14:paraId="174FBAF2" w14:textId="77777777" w:rsidR="004140B0" w:rsidRPr="00C101CC" w:rsidRDefault="004140B0">
      <w:pPr>
        <w:pStyle w:val="BodyText12"/>
        <w:keepNext/>
        <w:spacing w:after="0" w:line="240" w:lineRule="auto"/>
        <w:ind w:left="0"/>
        <w:jc w:val="left"/>
        <w:rPr>
          <w:sz w:val="22"/>
          <w:szCs w:val="22"/>
          <w:u w:val="single"/>
          <w:lang w:val="sk-SK"/>
        </w:rPr>
      </w:pPr>
      <w:r w:rsidRPr="00C101CC">
        <w:rPr>
          <w:sz w:val="22"/>
          <w:szCs w:val="22"/>
          <w:u w:val="single"/>
          <w:lang w:val="sk-SK"/>
        </w:rPr>
        <w:t>Znížená funkcia obličiek</w:t>
      </w:r>
    </w:p>
    <w:p w14:paraId="308BD23A" w14:textId="6EBC0636" w:rsidR="004140B0" w:rsidRPr="00C101CC" w:rsidRDefault="004140B0">
      <w:pPr>
        <w:pStyle w:val="Default"/>
        <w:keepNext/>
        <w:rPr>
          <w:i/>
          <w:iCs/>
          <w:sz w:val="22"/>
          <w:szCs w:val="22"/>
          <w:highlight w:val="yellow"/>
          <w:lang w:val="sk-SK"/>
        </w:rPr>
      </w:pPr>
      <w:r w:rsidRPr="00C101CC">
        <w:rPr>
          <w:sz w:val="22"/>
          <w:szCs w:val="22"/>
          <w:lang w:val="sk-SK"/>
        </w:rPr>
        <w:t>Pacientom s </w:t>
      </w:r>
      <w:r w:rsidR="00602ACF" w:rsidRPr="00C101CC">
        <w:rPr>
          <w:sz w:val="22"/>
          <w:szCs w:val="22"/>
          <w:lang w:val="sk-SK"/>
        </w:rPr>
        <w:t>poruchou</w:t>
      </w:r>
      <w:r w:rsidRPr="00C101CC">
        <w:rPr>
          <w:sz w:val="22"/>
          <w:szCs w:val="22"/>
          <w:lang w:val="sk-SK"/>
        </w:rPr>
        <w:t xml:space="preserve"> funkcie obličiek (Cl</w:t>
      </w:r>
      <w:r w:rsidRPr="00C101CC">
        <w:rPr>
          <w:sz w:val="22"/>
          <w:szCs w:val="22"/>
          <w:vertAlign w:val="subscript"/>
          <w:lang w:val="sk-SK"/>
        </w:rPr>
        <w:t>CR</w:t>
      </w:r>
      <w:r w:rsidRPr="00C101CC">
        <w:rPr>
          <w:position w:val="-10"/>
          <w:sz w:val="22"/>
          <w:szCs w:val="22"/>
          <w:lang w:val="sk-SK"/>
        </w:rPr>
        <w:t xml:space="preserve"> </w:t>
      </w:r>
      <w:r w:rsidRPr="00C101CC">
        <w:rPr>
          <w:sz w:val="22"/>
          <w:szCs w:val="22"/>
          <w:lang w:val="sk-SK"/>
        </w:rPr>
        <w:t>≤ 70 ml/min) sa má topiramát podávať opatrne, pretože plazmatický a renálny klírens topiramátu je znížený. Pre osobitné odporúčania pre dávkovanie u pacientov so zníženou funkciou obličiek pozri časť</w:t>
      </w:r>
      <w:r w:rsidR="00F500EF" w:rsidRPr="00C101CC">
        <w:rPr>
          <w:sz w:val="22"/>
          <w:szCs w:val="22"/>
          <w:lang w:val="sk-SK"/>
        </w:rPr>
        <w:t> </w:t>
      </w:r>
      <w:r w:rsidRPr="00C101CC">
        <w:rPr>
          <w:sz w:val="22"/>
          <w:szCs w:val="22"/>
          <w:lang w:val="sk-SK"/>
        </w:rPr>
        <w:t>4.2</w:t>
      </w:r>
      <w:r w:rsidRPr="00C101CC">
        <w:rPr>
          <w:iCs/>
          <w:sz w:val="22"/>
          <w:szCs w:val="22"/>
          <w:lang w:val="sk-SK"/>
        </w:rPr>
        <w:t>.</w:t>
      </w:r>
    </w:p>
    <w:p w14:paraId="7F0CBBBB" w14:textId="77777777" w:rsidR="00FF7468" w:rsidRPr="00C101CC" w:rsidRDefault="00FF7468">
      <w:pPr>
        <w:pStyle w:val="BodyText12"/>
        <w:spacing w:after="0" w:line="240" w:lineRule="auto"/>
        <w:ind w:left="0"/>
        <w:jc w:val="left"/>
        <w:rPr>
          <w:sz w:val="22"/>
          <w:szCs w:val="22"/>
          <w:lang w:val="sk-SK"/>
        </w:rPr>
      </w:pPr>
    </w:p>
    <w:p w14:paraId="268AEBC6"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Znížená funkcia pečene</w:t>
      </w:r>
    </w:p>
    <w:p w14:paraId="6BAAE7C3" w14:textId="77777777"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Pacientom s </w:t>
      </w:r>
      <w:r w:rsidR="00602ACF" w:rsidRPr="00C101CC">
        <w:rPr>
          <w:sz w:val="22"/>
          <w:szCs w:val="22"/>
          <w:lang w:val="sk-SK"/>
        </w:rPr>
        <w:t xml:space="preserve">poruchou </w:t>
      </w:r>
      <w:r w:rsidRPr="00C101CC">
        <w:rPr>
          <w:sz w:val="22"/>
          <w:szCs w:val="22"/>
          <w:lang w:val="sk-SK"/>
        </w:rPr>
        <w:t>funkcie pečene sa má topiramát podávať opatrne, pretože klírens topiramátu sa môže znížiť.</w:t>
      </w:r>
    </w:p>
    <w:p w14:paraId="168A07B9" w14:textId="77777777" w:rsidR="00FF7468" w:rsidRPr="00C101CC" w:rsidRDefault="00FF7468">
      <w:pPr>
        <w:pStyle w:val="BodyText12"/>
        <w:spacing w:after="0" w:line="240" w:lineRule="auto"/>
        <w:ind w:left="0"/>
        <w:jc w:val="left"/>
        <w:rPr>
          <w:sz w:val="22"/>
          <w:szCs w:val="22"/>
          <w:lang w:val="sk-SK"/>
        </w:rPr>
      </w:pPr>
    </w:p>
    <w:p w14:paraId="4856FCA1"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Akútna myopia a sekundárny glaukóm s uzavretým uhlom</w:t>
      </w:r>
    </w:p>
    <w:p w14:paraId="7BB1850E" w14:textId="77777777"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 xml:space="preserve">U pacientov užívajúcich topiramát sa zaznamenal syndróm akútnej myopie spojenej so sekundárnym glaukómom s uzavretým uhlom. Príznaky zahŕňajú akútne zníženie zrakovej ostrosti a/alebo bolesť oka. Oftalmologické nálezy môžu zahŕňať myopiu, plytkú prednú komoru, hyperémiu oka (sčervenanie) a zvýšený vnútroočný tlak. Mydriáza môže alebo nemusí byť prítomná. Tento syndróm môže byť spojený so supraciliárnou efúziou, ktorá vedie k prednej dislokácii šošovky a dúhovky so sekundárnym glaukómom s uzavretým uhlom. Najčastejšie sa príznaky objavujú v priebehu prvého mesiaca od začiatku liečby topiramátom. V porovnaní s primárnym glaukómom s úzkym uhlom, ktorý je zriedkavý vo veku do 40 rokov, </w:t>
      </w:r>
      <w:r w:rsidR="00713604" w:rsidRPr="00C101CC">
        <w:rPr>
          <w:sz w:val="22"/>
          <w:szCs w:val="22"/>
          <w:lang w:val="sk-SK"/>
        </w:rPr>
        <w:t xml:space="preserve">sa </w:t>
      </w:r>
      <w:r w:rsidRPr="00C101CC">
        <w:rPr>
          <w:sz w:val="22"/>
          <w:szCs w:val="22"/>
          <w:lang w:val="sk-SK"/>
        </w:rPr>
        <w:t>sekundárny glaukóm s uzavretým uhlom v súvislosti s liečbou topiramátom zaznamenal u detských aj dospelých pacientov. Liečba zahŕňa čo najrýchlejšie ukončenie podávania topiramátu pod dohľadom ošetrujúceho lekára a vhodné opatrenia na zníženie vnútroočného tlaku. Tieto opatrenia všeobecne vedú k zníženiu vnútroočného tlaku.</w:t>
      </w:r>
    </w:p>
    <w:p w14:paraId="644A7766" w14:textId="77777777" w:rsidR="00FF7468" w:rsidRPr="00C101CC" w:rsidRDefault="00FF7468">
      <w:pPr>
        <w:pStyle w:val="BodyText12"/>
        <w:spacing w:after="0" w:line="240" w:lineRule="auto"/>
        <w:ind w:left="0"/>
        <w:jc w:val="left"/>
        <w:rPr>
          <w:b/>
          <w:sz w:val="22"/>
          <w:szCs w:val="22"/>
          <w:lang w:val="sk-SK"/>
        </w:rPr>
      </w:pPr>
    </w:p>
    <w:p w14:paraId="17D37413" w14:textId="77777777" w:rsidR="00FF7468" w:rsidRPr="00C101CC" w:rsidRDefault="00FF7468">
      <w:pPr>
        <w:pStyle w:val="BodyText12"/>
        <w:spacing w:after="0" w:line="240" w:lineRule="auto"/>
        <w:ind w:left="0"/>
        <w:jc w:val="left"/>
        <w:rPr>
          <w:sz w:val="22"/>
          <w:szCs w:val="22"/>
          <w:lang w:val="sk-SK"/>
        </w:rPr>
      </w:pPr>
      <w:r w:rsidRPr="00C101CC">
        <w:rPr>
          <w:sz w:val="22"/>
          <w:szCs w:val="22"/>
          <w:lang w:val="sk-SK"/>
        </w:rPr>
        <w:t>Ak sa zvýšený vnútroočný tlak akejkoľvek etiológie nelieči, môže spôsobiť závažné následky vrátane trvalej straty zraku.</w:t>
      </w:r>
    </w:p>
    <w:p w14:paraId="2618C596" w14:textId="77777777" w:rsidR="00FF7468" w:rsidRPr="00C101CC" w:rsidRDefault="00FF7468">
      <w:pPr>
        <w:pStyle w:val="BodyText12"/>
        <w:spacing w:after="0" w:line="240" w:lineRule="auto"/>
        <w:ind w:left="0"/>
        <w:jc w:val="left"/>
        <w:rPr>
          <w:sz w:val="22"/>
          <w:szCs w:val="22"/>
          <w:lang w:val="sk-SK"/>
        </w:rPr>
      </w:pPr>
    </w:p>
    <w:p w14:paraId="1F60C650" w14:textId="77777777" w:rsidR="00FF7468" w:rsidRPr="00C101CC" w:rsidRDefault="00FF7468">
      <w:pPr>
        <w:pStyle w:val="BodyText12"/>
        <w:spacing w:after="0" w:line="240" w:lineRule="auto"/>
        <w:ind w:left="0"/>
        <w:jc w:val="left"/>
        <w:rPr>
          <w:iCs/>
          <w:snapToGrid w:val="0"/>
          <w:sz w:val="22"/>
          <w:szCs w:val="22"/>
          <w:lang w:val="sk-SK"/>
        </w:rPr>
      </w:pPr>
      <w:r w:rsidRPr="00C101CC">
        <w:rPr>
          <w:iCs/>
          <w:snapToGrid w:val="0"/>
          <w:sz w:val="22"/>
          <w:szCs w:val="22"/>
          <w:lang w:val="sk-SK"/>
        </w:rPr>
        <w:t xml:space="preserve">Treba rozhodnúť, či pacienti s poruchami očí v anamnéze majú byť liečení topiramátom. </w:t>
      </w:r>
    </w:p>
    <w:p w14:paraId="5EA4B517" w14:textId="77777777" w:rsidR="00B745A1" w:rsidRPr="00C101CC" w:rsidRDefault="00B745A1">
      <w:pPr>
        <w:keepNext/>
        <w:spacing w:line="240" w:lineRule="auto"/>
        <w:rPr>
          <w:szCs w:val="22"/>
          <w:u w:val="single"/>
          <w:lang w:val="sk-SK"/>
        </w:rPr>
      </w:pPr>
    </w:p>
    <w:p w14:paraId="6FC41EE0" w14:textId="7313F81B" w:rsidR="00B745A1" w:rsidRPr="00C101CC" w:rsidRDefault="00E06E73">
      <w:pPr>
        <w:keepNext/>
        <w:spacing w:line="240" w:lineRule="auto"/>
        <w:rPr>
          <w:szCs w:val="22"/>
          <w:u w:val="single"/>
          <w:lang w:val="sk-SK"/>
        </w:rPr>
      </w:pPr>
      <w:r w:rsidRPr="00C101CC">
        <w:rPr>
          <w:szCs w:val="22"/>
          <w:u w:val="single"/>
          <w:lang w:val="sk-SK"/>
        </w:rPr>
        <w:t>Poruchy zorného po</w:t>
      </w:r>
      <w:r w:rsidR="004A7FE7" w:rsidRPr="00C101CC">
        <w:rPr>
          <w:szCs w:val="22"/>
          <w:u w:val="single"/>
          <w:lang w:val="sk-SK"/>
        </w:rPr>
        <w:t>ľ</w:t>
      </w:r>
      <w:r w:rsidRPr="00C101CC">
        <w:rPr>
          <w:szCs w:val="22"/>
          <w:u w:val="single"/>
          <w:lang w:val="sk-SK"/>
        </w:rPr>
        <w:t>a</w:t>
      </w:r>
    </w:p>
    <w:p w14:paraId="4FB8717A" w14:textId="16E68EC5" w:rsidR="00B745A1" w:rsidRPr="00C101CC" w:rsidRDefault="00E06E73">
      <w:pPr>
        <w:spacing w:line="240" w:lineRule="auto"/>
        <w:rPr>
          <w:szCs w:val="22"/>
          <w:lang w:val="sk-SK"/>
        </w:rPr>
      </w:pPr>
      <w:r w:rsidRPr="00C101CC">
        <w:rPr>
          <w:szCs w:val="22"/>
          <w:lang w:val="sk-SK"/>
        </w:rPr>
        <w:t>U pacientov užívajúcich topiramát boli hlásené poruchy zorného po</w:t>
      </w:r>
      <w:r w:rsidR="004A7FE7" w:rsidRPr="00C101CC">
        <w:rPr>
          <w:szCs w:val="22"/>
          <w:lang w:val="sk-SK"/>
        </w:rPr>
        <w:t>ľ</w:t>
      </w:r>
      <w:r w:rsidRPr="00C101CC">
        <w:rPr>
          <w:szCs w:val="22"/>
          <w:lang w:val="sk-SK"/>
        </w:rPr>
        <w:t xml:space="preserve">a nezávisle od zvýšeného očného tlaku. V klinických štúdiách bola väčšina týchto prípadov reverzibilná po ukončení užívania topiramátu. Ak sa kedykoľvek počas liečby topiramátom objavia </w:t>
      </w:r>
      <w:r w:rsidR="00563871" w:rsidRPr="00C101CC">
        <w:rPr>
          <w:szCs w:val="22"/>
          <w:lang w:val="sk-SK"/>
        </w:rPr>
        <w:t>poruchy zorného po</w:t>
      </w:r>
      <w:r w:rsidR="004A7FE7" w:rsidRPr="00C101CC">
        <w:rPr>
          <w:szCs w:val="22"/>
          <w:lang w:val="sk-SK"/>
        </w:rPr>
        <w:t>ľ</w:t>
      </w:r>
      <w:r w:rsidR="00563871" w:rsidRPr="00C101CC">
        <w:rPr>
          <w:szCs w:val="22"/>
          <w:lang w:val="sk-SK"/>
        </w:rPr>
        <w:t>a</w:t>
      </w:r>
      <w:r w:rsidRPr="00C101CC">
        <w:rPr>
          <w:szCs w:val="22"/>
          <w:lang w:val="sk-SK"/>
        </w:rPr>
        <w:t xml:space="preserve">, treba zvážiť ukončenie užívania lieku. </w:t>
      </w:r>
    </w:p>
    <w:p w14:paraId="71E63D2B" w14:textId="77777777" w:rsidR="00FF7468" w:rsidRPr="00C101CC" w:rsidRDefault="00FF7468">
      <w:pPr>
        <w:pStyle w:val="BodyText12"/>
        <w:spacing w:after="0" w:line="240" w:lineRule="auto"/>
        <w:ind w:left="0"/>
        <w:jc w:val="left"/>
        <w:rPr>
          <w:sz w:val="22"/>
          <w:szCs w:val="22"/>
          <w:lang w:val="sk-SK"/>
        </w:rPr>
      </w:pPr>
    </w:p>
    <w:p w14:paraId="28C59162"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Metabolická acidóza</w:t>
      </w:r>
    </w:p>
    <w:p w14:paraId="1810A531" w14:textId="36814794"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Hyperchloremická, metabolická acidóza bez zvýšenia aniónovej medzery (t.</w:t>
      </w:r>
      <w:r w:rsidR="00215D65" w:rsidRPr="00C101CC">
        <w:rPr>
          <w:sz w:val="22"/>
          <w:szCs w:val="22"/>
          <w:lang w:val="sk-SK"/>
        </w:rPr>
        <w:t> </w:t>
      </w:r>
      <w:r w:rsidRPr="00C101CC">
        <w:rPr>
          <w:sz w:val="22"/>
          <w:szCs w:val="22"/>
          <w:lang w:val="sk-SK"/>
        </w:rPr>
        <w:t>j. znížená hladina bikarbonátu v sére pod normálne referenčné rozpätie bez prítomnosti respiračnej alkalózy) je spojená s</w:t>
      </w:r>
      <w:r w:rsidR="00713604" w:rsidRPr="00C101CC">
        <w:rPr>
          <w:sz w:val="22"/>
          <w:szCs w:val="22"/>
          <w:lang w:val="sk-SK"/>
        </w:rPr>
        <w:t xml:space="preserve"> liečbou </w:t>
      </w:r>
      <w:r w:rsidRPr="00C101CC">
        <w:rPr>
          <w:sz w:val="22"/>
          <w:szCs w:val="22"/>
          <w:lang w:val="sk-SK"/>
        </w:rPr>
        <w:t>topiramáto</w:t>
      </w:r>
      <w:r w:rsidR="00713604" w:rsidRPr="00C101CC">
        <w:rPr>
          <w:sz w:val="22"/>
          <w:szCs w:val="22"/>
          <w:lang w:val="sk-SK"/>
        </w:rPr>
        <w:t>m</w:t>
      </w:r>
      <w:r w:rsidRPr="00C101CC">
        <w:rPr>
          <w:sz w:val="22"/>
          <w:szCs w:val="22"/>
          <w:lang w:val="sk-SK"/>
        </w:rPr>
        <w:t>. Toto zníženie hladiny bikarbonát</w:t>
      </w:r>
      <w:r w:rsidR="00713604" w:rsidRPr="00C101CC">
        <w:rPr>
          <w:sz w:val="22"/>
          <w:szCs w:val="22"/>
          <w:lang w:val="sk-SK"/>
        </w:rPr>
        <w:t>u</w:t>
      </w:r>
      <w:r w:rsidRPr="00C101CC">
        <w:rPr>
          <w:sz w:val="22"/>
          <w:szCs w:val="22"/>
          <w:lang w:val="sk-SK"/>
        </w:rPr>
        <w:t xml:space="preserve"> v sére je dôsledkom inhibičného účinku topiramátu na renálnu karboanhydrázu. Obvykle sa na začiatku liečby pozoruje zníženie hladiny bikarbonátu, avšak pokles sa môže pozorovať aj kedykoľvek počas liečby. Tieto poklesy sú zvyčajne mierne</w:t>
      </w:r>
      <w:r w:rsidR="00713604" w:rsidRPr="00C101CC">
        <w:rPr>
          <w:sz w:val="22"/>
          <w:szCs w:val="22"/>
          <w:lang w:val="sk-SK"/>
        </w:rPr>
        <w:t>ho</w:t>
      </w:r>
      <w:r w:rsidRPr="00C101CC">
        <w:rPr>
          <w:sz w:val="22"/>
          <w:szCs w:val="22"/>
          <w:lang w:val="sk-SK"/>
        </w:rPr>
        <w:t xml:space="preserve"> až stredn</w:t>
      </w:r>
      <w:r w:rsidR="00713604" w:rsidRPr="00C101CC">
        <w:rPr>
          <w:sz w:val="22"/>
          <w:szCs w:val="22"/>
          <w:lang w:val="sk-SK"/>
        </w:rPr>
        <w:t>e</w:t>
      </w:r>
      <w:r w:rsidRPr="00C101CC">
        <w:rPr>
          <w:sz w:val="22"/>
          <w:szCs w:val="22"/>
          <w:lang w:val="sk-SK"/>
        </w:rPr>
        <w:t xml:space="preserve"> </w:t>
      </w:r>
      <w:r w:rsidR="00713604" w:rsidRPr="00C101CC">
        <w:rPr>
          <w:sz w:val="22"/>
          <w:szCs w:val="22"/>
          <w:lang w:val="sk-SK"/>
        </w:rPr>
        <w:t xml:space="preserve">závažného charakteru </w:t>
      </w:r>
      <w:r w:rsidRPr="00C101CC">
        <w:rPr>
          <w:sz w:val="22"/>
          <w:szCs w:val="22"/>
          <w:lang w:val="sk-SK"/>
        </w:rPr>
        <w:t>(priemerný pokles o 4 mmol/l je u dospelých pri dávkach 100 mg/deň alebo vyšších a u </w:t>
      </w:r>
      <w:r w:rsidR="00713604" w:rsidRPr="00C101CC">
        <w:rPr>
          <w:sz w:val="22"/>
          <w:szCs w:val="22"/>
          <w:lang w:val="sk-SK"/>
        </w:rPr>
        <w:t xml:space="preserve">pediatrických pacientov </w:t>
      </w:r>
      <w:r w:rsidRPr="00C101CC">
        <w:rPr>
          <w:sz w:val="22"/>
          <w:szCs w:val="22"/>
          <w:lang w:val="sk-SK"/>
        </w:rPr>
        <w:t xml:space="preserve">pri dávkach približne 6 mg/kg/deň). Zriedkavo sa u pacientov zaznamenali hodnoty nižšie ako 10 mmol/l. Ochorenia alebo terapie, ktoré </w:t>
      </w:r>
      <w:r w:rsidR="00D6558D" w:rsidRPr="00C101CC">
        <w:rPr>
          <w:sz w:val="22"/>
          <w:szCs w:val="22"/>
          <w:lang w:val="sk-SK"/>
        </w:rPr>
        <w:t>predisponujú</w:t>
      </w:r>
      <w:r w:rsidRPr="00C101CC">
        <w:rPr>
          <w:sz w:val="22"/>
          <w:szCs w:val="22"/>
          <w:lang w:val="sk-SK"/>
        </w:rPr>
        <w:t xml:space="preserve"> k acidóze (ako ochorenie obličiek, závažné poruchy dýchania, status epilepticus, diarea, operácia, ketogénna diéta alebo niektoré lieky) môžu pôsobiť aditívne </w:t>
      </w:r>
      <w:r w:rsidR="00416D93" w:rsidRPr="00C101CC">
        <w:rPr>
          <w:sz w:val="22"/>
          <w:szCs w:val="22"/>
          <w:lang w:val="sk-SK"/>
        </w:rPr>
        <w:t xml:space="preserve">na </w:t>
      </w:r>
      <w:r w:rsidRPr="00C101CC">
        <w:rPr>
          <w:sz w:val="22"/>
          <w:szCs w:val="22"/>
          <w:lang w:val="sk-SK"/>
        </w:rPr>
        <w:t>znižova</w:t>
      </w:r>
      <w:r w:rsidR="00D6558D" w:rsidRPr="00C101CC">
        <w:rPr>
          <w:sz w:val="22"/>
          <w:szCs w:val="22"/>
          <w:lang w:val="sk-SK"/>
        </w:rPr>
        <w:t>nie</w:t>
      </w:r>
      <w:r w:rsidRPr="00C101CC">
        <w:rPr>
          <w:sz w:val="22"/>
          <w:szCs w:val="22"/>
          <w:lang w:val="sk-SK"/>
        </w:rPr>
        <w:t xml:space="preserve"> hladin</w:t>
      </w:r>
      <w:r w:rsidR="00D6558D" w:rsidRPr="00C101CC">
        <w:rPr>
          <w:sz w:val="22"/>
          <w:szCs w:val="22"/>
          <w:lang w:val="sk-SK"/>
        </w:rPr>
        <w:t>y</w:t>
      </w:r>
      <w:r w:rsidRPr="00C101CC">
        <w:rPr>
          <w:sz w:val="22"/>
          <w:szCs w:val="22"/>
          <w:lang w:val="sk-SK"/>
        </w:rPr>
        <w:t xml:space="preserve"> bikarbonátu</w:t>
      </w:r>
      <w:r w:rsidR="00D6558D" w:rsidRPr="00C101CC">
        <w:rPr>
          <w:sz w:val="22"/>
          <w:szCs w:val="22"/>
          <w:lang w:val="sk-SK"/>
        </w:rPr>
        <w:t xml:space="preserve"> spôsobené topiramátom</w:t>
      </w:r>
      <w:r w:rsidRPr="00C101CC">
        <w:rPr>
          <w:sz w:val="22"/>
          <w:szCs w:val="22"/>
          <w:lang w:val="sk-SK"/>
        </w:rPr>
        <w:t>.</w:t>
      </w:r>
    </w:p>
    <w:p w14:paraId="519E0A10" w14:textId="77777777" w:rsidR="00FF7468" w:rsidRPr="00C101CC" w:rsidRDefault="00FF7468">
      <w:pPr>
        <w:pStyle w:val="BodyText12"/>
        <w:spacing w:after="0" w:line="240" w:lineRule="auto"/>
        <w:ind w:left="0"/>
        <w:jc w:val="left"/>
        <w:rPr>
          <w:sz w:val="22"/>
          <w:szCs w:val="22"/>
          <w:lang w:val="sk-SK"/>
        </w:rPr>
      </w:pPr>
    </w:p>
    <w:p w14:paraId="36F4E9AB" w14:textId="03FD6B3D" w:rsidR="00FF7468" w:rsidRPr="00C101CC" w:rsidRDefault="00FF7468">
      <w:pPr>
        <w:pStyle w:val="BodyText12"/>
        <w:spacing w:after="0" w:line="240" w:lineRule="auto"/>
        <w:ind w:left="0"/>
        <w:jc w:val="left"/>
        <w:rPr>
          <w:sz w:val="22"/>
          <w:szCs w:val="22"/>
          <w:lang w:val="sk-SK"/>
        </w:rPr>
      </w:pPr>
      <w:r w:rsidRPr="00C101CC">
        <w:rPr>
          <w:sz w:val="22"/>
          <w:szCs w:val="22"/>
          <w:lang w:val="sk-SK"/>
        </w:rPr>
        <w:t>Chronická</w:t>
      </w:r>
      <w:r w:rsidR="006B7F2E" w:rsidRPr="00C101CC">
        <w:rPr>
          <w:sz w:val="22"/>
          <w:szCs w:val="22"/>
          <w:lang w:val="sk-SK"/>
        </w:rPr>
        <w:t>, neliečená</w:t>
      </w:r>
      <w:r w:rsidRPr="00C101CC">
        <w:rPr>
          <w:sz w:val="22"/>
          <w:szCs w:val="22"/>
          <w:lang w:val="sk-SK"/>
        </w:rPr>
        <w:t xml:space="preserve"> metabolická acidóza zvyšuje riziko </w:t>
      </w:r>
      <w:r w:rsidR="006B7F2E" w:rsidRPr="00C101CC">
        <w:rPr>
          <w:sz w:val="22"/>
          <w:szCs w:val="22"/>
          <w:lang w:val="sk-SK"/>
        </w:rPr>
        <w:t xml:space="preserve">nefrolitiázy a nefrokalcinózy </w:t>
      </w:r>
      <w:r w:rsidRPr="00C101CC">
        <w:rPr>
          <w:sz w:val="22"/>
          <w:szCs w:val="22"/>
          <w:lang w:val="sk-SK"/>
        </w:rPr>
        <w:t>a môže potenciálne viesť k</w:t>
      </w:r>
      <w:r w:rsidR="006B7F2E" w:rsidRPr="00C101CC">
        <w:rPr>
          <w:sz w:val="22"/>
          <w:szCs w:val="22"/>
          <w:lang w:val="sk-SK"/>
        </w:rPr>
        <w:t> </w:t>
      </w:r>
      <w:r w:rsidRPr="00C101CC">
        <w:rPr>
          <w:sz w:val="22"/>
          <w:szCs w:val="22"/>
          <w:lang w:val="sk-SK"/>
        </w:rPr>
        <w:t>osteopénii</w:t>
      </w:r>
      <w:r w:rsidR="006B7F2E" w:rsidRPr="00C101CC">
        <w:rPr>
          <w:sz w:val="22"/>
          <w:szCs w:val="22"/>
          <w:lang w:val="sk-SK"/>
        </w:rPr>
        <w:t xml:space="preserve"> (pozri vyššie – Nefrolitiáza)</w:t>
      </w:r>
      <w:r w:rsidRPr="00C101CC">
        <w:rPr>
          <w:sz w:val="22"/>
          <w:szCs w:val="22"/>
          <w:lang w:val="sk-SK"/>
        </w:rPr>
        <w:t xml:space="preserve">. </w:t>
      </w:r>
    </w:p>
    <w:p w14:paraId="6CB52780" w14:textId="77777777" w:rsidR="00FF7468" w:rsidRPr="00C101CC" w:rsidRDefault="00FF7468">
      <w:pPr>
        <w:pStyle w:val="BodyText12"/>
        <w:spacing w:after="0" w:line="240" w:lineRule="auto"/>
        <w:ind w:left="0"/>
        <w:jc w:val="left"/>
        <w:rPr>
          <w:sz w:val="22"/>
          <w:szCs w:val="22"/>
          <w:lang w:val="sk-SK"/>
        </w:rPr>
      </w:pPr>
    </w:p>
    <w:p w14:paraId="7CB9464B" w14:textId="77777777" w:rsidR="00FF7468" w:rsidRPr="00C101CC" w:rsidRDefault="00FF7468">
      <w:pPr>
        <w:tabs>
          <w:tab w:val="clear" w:pos="567"/>
        </w:tabs>
        <w:spacing w:line="240" w:lineRule="auto"/>
        <w:rPr>
          <w:szCs w:val="22"/>
          <w:lang w:val="sk-SK"/>
        </w:rPr>
      </w:pPr>
      <w:r w:rsidRPr="00C101CC">
        <w:rPr>
          <w:szCs w:val="22"/>
          <w:lang w:val="sk-SK"/>
        </w:rPr>
        <w:t>Výskyt chronickej metabolickej acidózy u </w:t>
      </w:r>
      <w:r w:rsidR="00D6558D" w:rsidRPr="00C101CC">
        <w:rPr>
          <w:szCs w:val="22"/>
          <w:lang w:val="sk-SK"/>
        </w:rPr>
        <w:t xml:space="preserve">pediatrických pacientov </w:t>
      </w:r>
      <w:r w:rsidRPr="00C101CC">
        <w:rPr>
          <w:szCs w:val="22"/>
          <w:lang w:val="sk-SK"/>
        </w:rPr>
        <w:t>môže spomaľovať rýchlosť ich rastu. Účinok topiramátu na kost</w:t>
      </w:r>
      <w:r w:rsidR="00D6558D" w:rsidRPr="00C101CC">
        <w:rPr>
          <w:szCs w:val="22"/>
          <w:lang w:val="sk-SK"/>
        </w:rPr>
        <w:t>i</w:t>
      </w:r>
      <w:r w:rsidRPr="00C101CC">
        <w:rPr>
          <w:szCs w:val="22"/>
          <w:lang w:val="sk-SK"/>
        </w:rPr>
        <w:t xml:space="preserve"> </w:t>
      </w:r>
      <w:r w:rsidR="00D6558D" w:rsidRPr="00C101CC">
        <w:rPr>
          <w:szCs w:val="22"/>
          <w:lang w:val="sk-SK"/>
        </w:rPr>
        <w:t xml:space="preserve">v podobe kostných </w:t>
      </w:r>
      <w:r w:rsidRPr="00C101CC">
        <w:rPr>
          <w:szCs w:val="22"/>
          <w:lang w:val="sk-SK"/>
        </w:rPr>
        <w:t>zm</w:t>
      </w:r>
      <w:r w:rsidR="00D6558D" w:rsidRPr="00C101CC">
        <w:rPr>
          <w:szCs w:val="22"/>
          <w:lang w:val="sk-SK"/>
        </w:rPr>
        <w:t>i</w:t>
      </w:r>
      <w:r w:rsidRPr="00C101CC">
        <w:rPr>
          <w:szCs w:val="22"/>
          <w:lang w:val="sk-SK"/>
        </w:rPr>
        <w:t>en nebol ani u </w:t>
      </w:r>
      <w:r w:rsidR="00D6558D" w:rsidRPr="00C101CC">
        <w:rPr>
          <w:szCs w:val="22"/>
          <w:lang w:val="sk-SK"/>
        </w:rPr>
        <w:t xml:space="preserve">pediatrických </w:t>
      </w:r>
      <w:r w:rsidRPr="00C101CC">
        <w:rPr>
          <w:szCs w:val="22"/>
          <w:lang w:val="sk-SK"/>
        </w:rPr>
        <w:t xml:space="preserve">ani u dospelých </w:t>
      </w:r>
      <w:r w:rsidR="00D6558D" w:rsidRPr="00C101CC">
        <w:rPr>
          <w:szCs w:val="22"/>
          <w:lang w:val="sk-SK"/>
        </w:rPr>
        <w:t xml:space="preserve">populácií </w:t>
      </w:r>
      <w:r w:rsidRPr="00C101CC">
        <w:rPr>
          <w:szCs w:val="22"/>
          <w:lang w:val="sk-SK"/>
        </w:rPr>
        <w:t>systematicky skúmaný.</w:t>
      </w:r>
    </w:p>
    <w:p w14:paraId="6ACAA18E" w14:textId="77777777" w:rsidR="00FF7468" w:rsidRPr="00C101CC" w:rsidRDefault="00FF7468">
      <w:pPr>
        <w:tabs>
          <w:tab w:val="clear" w:pos="567"/>
        </w:tabs>
        <w:spacing w:line="240" w:lineRule="auto"/>
        <w:rPr>
          <w:szCs w:val="22"/>
          <w:lang w:val="sk-SK"/>
        </w:rPr>
      </w:pPr>
    </w:p>
    <w:p w14:paraId="7AA4BD98" w14:textId="77777777" w:rsidR="00FF7468" w:rsidRPr="00C101CC" w:rsidRDefault="00FF7468">
      <w:pPr>
        <w:pStyle w:val="BodyText12"/>
        <w:spacing w:after="0" w:line="240" w:lineRule="auto"/>
        <w:ind w:left="0"/>
        <w:jc w:val="left"/>
        <w:rPr>
          <w:sz w:val="22"/>
          <w:szCs w:val="22"/>
          <w:lang w:val="sk-SK"/>
        </w:rPr>
      </w:pPr>
      <w:r w:rsidRPr="00C101CC">
        <w:rPr>
          <w:sz w:val="22"/>
          <w:szCs w:val="22"/>
          <w:lang w:val="sk-SK"/>
        </w:rPr>
        <w:t>Počas liečby topiramátom sa v závislosti od základného ochorenia odporúča vykonať primerané vyšetrenia</w:t>
      </w:r>
      <w:r w:rsidR="00D6558D" w:rsidRPr="00C101CC">
        <w:rPr>
          <w:sz w:val="22"/>
          <w:szCs w:val="22"/>
          <w:lang w:val="sk-SK"/>
        </w:rPr>
        <w:t>,</w:t>
      </w:r>
      <w:r w:rsidRPr="00C101CC">
        <w:rPr>
          <w:sz w:val="22"/>
          <w:szCs w:val="22"/>
          <w:lang w:val="sk-SK"/>
        </w:rPr>
        <w:t xml:space="preserve"> vrátane stanovenia hladiny bikarbonátu. </w:t>
      </w:r>
      <w:r w:rsidR="00473FFB" w:rsidRPr="00C101CC">
        <w:rPr>
          <w:sz w:val="22"/>
          <w:szCs w:val="22"/>
          <w:lang w:val="sk-SK"/>
        </w:rPr>
        <w:t>Ak sú prítomné zn</w:t>
      </w:r>
      <w:r w:rsidR="00FE631C" w:rsidRPr="00C101CC">
        <w:rPr>
          <w:sz w:val="22"/>
          <w:szCs w:val="22"/>
          <w:lang w:val="sk-SK"/>
        </w:rPr>
        <w:t>a</w:t>
      </w:r>
      <w:r w:rsidR="00473FFB" w:rsidRPr="00C101CC">
        <w:rPr>
          <w:sz w:val="22"/>
          <w:szCs w:val="22"/>
          <w:lang w:val="sk-SK"/>
        </w:rPr>
        <w:t xml:space="preserve">ky alebo príznaky </w:t>
      </w:r>
      <w:r w:rsidR="002E42EE" w:rsidRPr="00C101CC">
        <w:rPr>
          <w:sz w:val="22"/>
          <w:szCs w:val="22"/>
          <w:lang w:val="sk-SK"/>
        </w:rPr>
        <w:t>(</w:t>
      </w:r>
      <w:r w:rsidR="00473FFB" w:rsidRPr="00C101CC">
        <w:rPr>
          <w:sz w:val="22"/>
          <w:szCs w:val="22"/>
          <w:lang w:val="sk-SK"/>
        </w:rPr>
        <w:t xml:space="preserve">napr. </w:t>
      </w:r>
      <w:r w:rsidR="002E42EE" w:rsidRPr="00C101CC">
        <w:rPr>
          <w:sz w:val="22"/>
          <w:szCs w:val="22"/>
          <w:lang w:val="sk-SK"/>
        </w:rPr>
        <w:t xml:space="preserve"> </w:t>
      </w:r>
      <w:r w:rsidR="00571675" w:rsidRPr="00C101CC">
        <w:rPr>
          <w:sz w:val="22"/>
          <w:szCs w:val="22"/>
          <w:lang w:val="sk-SK"/>
        </w:rPr>
        <w:t xml:space="preserve">hlboké </w:t>
      </w:r>
      <w:r w:rsidR="002E42EE" w:rsidRPr="00C101CC">
        <w:rPr>
          <w:sz w:val="22"/>
          <w:szCs w:val="22"/>
          <w:lang w:val="sk-SK"/>
        </w:rPr>
        <w:t>Kussmaul</w:t>
      </w:r>
      <w:r w:rsidR="00571675" w:rsidRPr="00C101CC">
        <w:rPr>
          <w:sz w:val="22"/>
          <w:szCs w:val="22"/>
          <w:lang w:val="sk-SK"/>
        </w:rPr>
        <w:t>ovo dýchanie</w:t>
      </w:r>
      <w:r w:rsidR="002E42EE" w:rsidRPr="00C101CC">
        <w:rPr>
          <w:sz w:val="22"/>
          <w:szCs w:val="22"/>
          <w:lang w:val="sk-SK"/>
        </w:rPr>
        <w:t>, dyspnoe, anorexia, nau</w:t>
      </w:r>
      <w:r w:rsidR="00473FFB" w:rsidRPr="00C101CC">
        <w:rPr>
          <w:sz w:val="22"/>
          <w:szCs w:val="22"/>
          <w:lang w:val="sk-SK"/>
        </w:rPr>
        <w:t>z</w:t>
      </w:r>
      <w:r w:rsidR="002E42EE" w:rsidRPr="00C101CC">
        <w:rPr>
          <w:sz w:val="22"/>
          <w:szCs w:val="22"/>
          <w:lang w:val="sk-SK"/>
        </w:rPr>
        <w:t>ea, v</w:t>
      </w:r>
      <w:r w:rsidR="00473FFB" w:rsidRPr="00C101CC">
        <w:rPr>
          <w:sz w:val="22"/>
          <w:szCs w:val="22"/>
          <w:lang w:val="sk-SK"/>
        </w:rPr>
        <w:t>racanie</w:t>
      </w:r>
      <w:r w:rsidR="002E42EE" w:rsidRPr="00C101CC">
        <w:rPr>
          <w:sz w:val="22"/>
          <w:szCs w:val="22"/>
          <w:lang w:val="sk-SK"/>
        </w:rPr>
        <w:t xml:space="preserve">, </w:t>
      </w:r>
      <w:r w:rsidR="00473FFB" w:rsidRPr="00C101CC">
        <w:rPr>
          <w:sz w:val="22"/>
          <w:szCs w:val="22"/>
          <w:lang w:val="sk-SK"/>
        </w:rPr>
        <w:t xml:space="preserve">nadmerná únava, </w:t>
      </w:r>
      <w:r w:rsidR="002E42EE" w:rsidRPr="00C101CC">
        <w:rPr>
          <w:sz w:val="22"/>
          <w:szCs w:val="22"/>
          <w:lang w:val="sk-SK"/>
        </w:rPr>
        <w:t>tachy</w:t>
      </w:r>
      <w:r w:rsidR="00473FFB" w:rsidRPr="00C101CC">
        <w:rPr>
          <w:sz w:val="22"/>
          <w:szCs w:val="22"/>
          <w:lang w:val="sk-SK"/>
        </w:rPr>
        <w:t>k</w:t>
      </w:r>
      <w:r w:rsidR="002E42EE" w:rsidRPr="00C101CC">
        <w:rPr>
          <w:sz w:val="22"/>
          <w:szCs w:val="22"/>
          <w:lang w:val="sk-SK"/>
        </w:rPr>
        <w:t xml:space="preserve">ardia </w:t>
      </w:r>
      <w:r w:rsidR="00571675" w:rsidRPr="00C101CC">
        <w:rPr>
          <w:sz w:val="22"/>
          <w:szCs w:val="22"/>
          <w:lang w:val="sk-SK"/>
        </w:rPr>
        <w:t>alebo</w:t>
      </w:r>
      <w:r w:rsidR="002E42EE" w:rsidRPr="00C101CC">
        <w:rPr>
          <w:sz w:val="22"/>
          <w:szCs w:val="22"/>
          <w:lang w:val="sk-SK"/>
        </w:rPr>
        <w:t xml:space="preserve"> arytmia), </w:t>
      </w:r>
      <w:r w:rsidR="00571675" w:rsidRPr="00C101CC">
        <w:rPr>
          <w:sz w:val="22"/>
          <w:szCs w:val="22"/>
          <w:lang w:val="sk-SK"/>
        </w:rPr>
        <w:t xml:space="preserve">svedčiace o metabolickej acidóze, odporúča sa meranie hladiny bikarbonátu v sére. </w:t>
      </w:r>
      <w:r w:rsidRPr="00C101CC">
        <w:rPr>
          <w:sz w:val="22"/>
          <w:szCs w:val="22"/>
          <w:lang w:val="sk-SK"/>
        </w:rPr>
        <w:t>Ak sa metabolická acidóza rozvíja alebo pretrváva, je potrebné uvažovať o</w:t>
      </w:r>
      <w:r w:rsidR="00D65FD4" w:rsidRPr="00C101CC">
        <w:rPr>
          <w:sz w:val="22"/>
          <w:szCs w:val="22"/>
          <w:lang w:val="sk-SK"/>
        </w:rPr>
        <w:t> z</w:t>
      </w:r>
      <w:r w:rsidRPr="00C101CC">
        <w:rPr>
          <w:sz w:val="22"/>
          <w:szCs w:val="22"/>
          <w:lang w:val="sk-SK"/>
        </w:rPr>
        <w:t>nížení dávok alebo o</w:t>
      </w:r>
      <w:r w:rsidR="00D4380B" w:rsidRPr="00C101CC">
        <w:rPr>
          <w:sz w:val="22"/>
          <w:szCs w:val="22"/>
          <w:lang w:val="sk-SK"/>
        </w:rPr>
        <w:t> </w:t>
      </w:r>
      <w:r w:rsidRPr="00C101CC">
        <w:rPr>
          <w:sz w:val="22"/>
          <w:szCs w:val="22"/>
          <w:lang w:val="sk-SK"/>
        </w:rPr>
        <w:t>ukončení liečby topiramátom (postupným znižovaním dávok).</w:t>
      </w:r>
    </w:p>
    <w:p w14:paraId="1D0A578C" w14:textId="77777777" w:rsidR="00FF7468" w:rsidRPr="00C101CC" w:rsidRDefault="00FF7468">
      <w:pPr>
        <w:pStyle w:val="BodyText12"/>
        <w:spacing w:after="0" w:line="240" w:lineRule="auto"/>
        <w:ind w:left="0"/>
        <w:jc w:val="left"/>
        <w:rPr>
          <w:sz w:val="22"/>
          <w:szCs w:val="22"/>
          <w:lang w:val="sk-SK"/>
        </w:rPr>
      </w:pPr>
    </w:p>
    <w:p w14:paraId="30CD5BEB" w14:textId="77777777" w:rsidR="00FF7468" w:rsidRPr="00C101CC" w:rsidRDefault="00FF7468">
      <w:pPr>
        <w:pStyle w:val="BodyText12"/>
        <w:spacing w:after="0" w:line="240" w:lineRule="auto"/>
        <w:ind w:left="0"/>
        <w:jc w:val="left"/>
        <w:rPr>
          <w:sz w:val="22"/>
          <w:szCs w:val="22"/>
          <w:lang w:val="sk-SK"/>
        </w:rPr>
      </w:pPr>
      <w:r w:rsidRPr="00C101CC">
        <w:rPr>
          <w:sz w:val="22"/>
          <w:szCs w:val="22"/>
          <w:lang w:val="sk-SK"/>
        </w:rPr>
        <w:t xml:space="preserve">Topiramát sa má používať opatrne u pacientov so sklonom k metabolickej acidóze alebo u pacientov užívajúcich lieky, ktoré môžu metabolickú acidózu vyvolávať. </w:t>
      </w:r>
    </w:p>
    <w:p w14:paraId="514C19D7" w14:textId="77777777" w:rsidR="002E42EE" w:rsidRPr="00C101CC" w:rsidRDefault="002E42EE">
      <w:pPr>
        <w:pStyle w:val="BodyText12"/>
        <w:spacing w:after="0" w:line="240" w:lineRule="auto"/>
        <w:ind w:left="0"/>
        <w:jc w:val="left"/>
        <w:rPr>
          <w:sz w:val="22"/>
          <w:szCs w:val="22"/>
          <w:lang w:val="sk-SK"/>
        </w:rPr>
      </w:pPr>
    </w:p>
    <w:p w14:paraId="6F883447" w14:textId="77777777" w:rsidR="002E42EE" w:rsidRPr="00C101CC" w:rsidRDefault="00571675">
      <w:pPr>
        <w:keepNext/>
        <w:spacing w:line="240" w:lineRule="auto"/>
        <w:rPr>
          <w:szCs w:val="22"/>
          <w:u w:val="single"/>
          <w:lang w:val="sk-SK"/>
        </w:rPr>
      </w:pPr>
      <w:r w:rsidRPr="00C101CC">
        <w:rPr>
          <w:szCs w:val="22"/>
          <w:u w:val="single"/>
          <w:lang w:val="sk-SK"/>
        </w:rPr>
        <w:t>Poškodenie kognitívnych funkcií</w:t>
      </w:r>
    </w:p>
    <w:p w14:paraId="61FF6B6B" w14:textId="3E47376F" w:rsidR="002E42EE" w:rsidRPr="00C101CC" w:rsidRDefault="00571675">
      <w:pPr>
        <w:pStyle w:val="BodyText12"/>
        <w:keepNext/>
        <w:spacing w:after="0" w:line="240" w:lineRule="auto"/>
        <w:ind w:left="0"/>
        <w:jc w:val="left"/>
        <w:rPr>
          <w:sz w:val="22"/>
          <w:szCs w:val="22"/>
          <w:lang w:val="sk-SK"/>
        </w:rPr>
      </w:pPr>
      <w:r w:rsidRPr="00C101CC">
        <w:rPr>
          <w:sz w:val="22"/>
          <w:szCs w:val="22"/>
          <w:lang w:val="sk-SK"/>
        </w:rPr>
        <w:t xml:space="preserve">Kognitívne poškodenie pri epilepsii zahŕňa viaceré faktory a môže byť následkom skrytej etiológie, epilepsie alebo antiepileptickej liečby. V literatúre sa objavili hlásenia o poškodení kognitívnych funkcií u dospelých liečených topiramátom, ktoré vyžadovali zníženie dávky alebo ukončenie liečby. </w:t>
      </w:r>
      <w:r w:rsidR="009748D2" w:rsidRPr="00C101CC">
        <w:rPr>
          <w:sz w:val="22"/>
          <w:szCs w:val="22"/>
          <w:lang w:val="sk-SK"/>
        </w:rPr>
        <w:t xml:space="preserve">Štúdie týkajúce sa kognitívnych výsledkov u detí liečených topiramátom však nie sú dostatočné a jeho účinok v tomto smere potrebuje byť ešte ozrejmený. </w:t>
      </w:r>
    </w:p>
    <w:p w14:paraId="1EC8D26C" w14:textId="77777777" w:rsidR="00FF7468" w:rsidRPr="00C101CC" w:rsidRDefault="00FF7468">
      <w:pPr>
        <w:pStyle w:val="BodyText12"/>
        <w:spacing w:after="0" w:line="240" w:lineRule="auto"/>
        <w:ind w:left="0"/>
        <w:jc w:val="left"/>
        <w:rPr>
          <w:sz w:val="22"/>
          <w:szCs w:val="22"/>
          <w:lang w:val="sk-SK"/>
        </w:rPr>
      </w:pPr>
    </w:p>
    <w:p w14:paraId="193D37F4" w14:textId="77777777" w:rsidR="009C7D06" w:rsidRPr="00C101CC" w:rsidRDefault="009C7D06">
      <w:pPr>
        <w:keepNext/>
        <w:spacing w:line="240" w:lineRule="auto"/>
        <w:rPr>
          <w:szCs w:val="22"/>
          <w:u w:val="single"/>
          <w:lang w:val="sk-SK"/>
        </w:rPr>
      </w:pPr>
      <w:r w:rsidRPr="00C101CC">
        <w:rPr>
          <w:szCs w:val="22"/>
          <w:u w:val="single"/>
          <w:lang w:val="sk-SK"/>
        </w:rPr>
        <w:t>Hyperam</w:t>
      </w:r>
      <w:r w:rsidR="007D1B83" w:rsidRPr="00C101CC">
        <w:rPr>
          <w:szCs w:val="22"/>
          <w:u w:val="single"/>
          <w:lang w:val="sk-SK"/>
        </w:rPr>
        <w:t>onémia a encefalopatia</w:t>
      </w:r>
      <w:r w:rsidRPr="00C101CC">
        <w:rPr>
          <w:szCs w:val="22"/>
          <w:u w:val="single"/>
          <w:lang w:val="sk-SK"/>
        </w:rPr>
        <w:t xml:space="preserve"> </w:t>
      </w:r>
    </w:p>
    <w:p w14:paraId="57EB115F" w14:textId="25FFE273" w:rsidR="009C7D06" w:rsidRPr="00C101CC" w:rsidRDefault="009C7D06">
      <w:pPr>
        <w:spacing w:line="240" w:lineRule="auto"/>
        <w:rPr>
          <w:szCs w:val="22"/>
          <w:lang w:val="sk-SK"/>
        </w:rPr>
      </w:pPr>
      <w:r w:rsidRPr="00C101CC">
        <w:rPr>
          <w:szCs w:val="22"/>
          <w:shd w:val="clear" w:color="auto" w:fill="FFFFFF"/>
          <w:lang w:val="sk-SK"/>
        </w:rPr>
        <w:t>Hyperam</w:t>
      </w:r>
      <w:r w:rsidR="007D1B83" w:rsidRPr="00C101CC">
        <w:rPr>
          <w:szCs w:val="22"/>
          <w:shd w:val="clear" w:color="auto" w:fill="FFFFFF"/>
          <w:lang w:val="sk-SK"/>
        </w:rPr>
        <w:t>oné</w:t>
      </w:r>
      <w:r w:rsidRPr="00C101CC">
        <w:rPr>
          <w:szCs w:val="22"/>
          <w:shd w:val="clear" w:color="auto" w:fill="FFFFFF"/>
          <w:lang w:val="sk-SK"/>
        </w:rPr>
        <w:t xml:space="preserve">mia </w:t>
      </w:r>
      <w:r w:rsidR="007D1B83" w:rsidRPr="00C101CC">
        <w:rPr>
          <w:szCs w:val="22"/>
          <w:shd w:val="clear" w:color="auto" w:fill="FFFFFF"/>
          <w:lang w:val="sk-SK"/>
        </w:rPr>
        <w:t xml:space="preserve">s encefalopatiou alebo bez nej bola hlásená pri liečbe topiramátom </w:t>
      </w:r>
      <w:r w:rsidRPr="00C101CC">
        <w:rPr>
          <w:szCs w:val="22"/>
          <w:shd w:val="clear" w:color="auto" w:fill="FFFFFF"/>
          <w:lang w:val="sk-SK"/>
        </w:rPr>
        <w:t>(</w:t>
      </w:r>
      <w:r w:rsidR="007D1B83" w:rsidRPr="00C101CC">
        <w:rPr>
          <w:szCs w:val="22"/>
          <w:shd w:val="clear" w:color="auto" w:fill="FFFFFF"/>
          <w:lang w:val="sk-SK"/>
        </w:rPr>
        <w:t xml:space="preserve">pozri časť </w:t>
      </w:r>
      <w:r w:rsidRPr="00C101CC">
        <w:rPr>
          <w:szCs w:val="22"/>
          <w:shd w:val="clear" w:color="auto" w:fill="FFFFFF"/>
          <w:lang w:val="sk-SK"/>
        </w:rPr>
        <w:t>4.8).</w:t>
      </w:r>
      <w:r w:rsidR="007D1B83" w:rsidRPr="00C101CC">
        <w:rPr>
          <w:szCs w:val="22"/>
          <w:shd w:val="clear" w:color="auto" w:fill="FFFFFF"/>
          <w:lang w:val="sk-SK"/>
        </w:rPr>
        <w:t xml:space="preserve"> Riziko hyperamonémie </w:t>
      </w:r>
      <w:r w:rsidR="002F18D6" w:rsidRPr="00C101CC">
        <w:rPr>
          <w:szCs w:val="22"/>
          <w:shd w:val="clear" w:color="auto" w:fill="FFFFFF"/>
          <w:lang w:val="sk-SK"/>
        </w:rPr>
        <w:t>pri</w:t>
      </w:r>
      <w:r w:rsidR="007D1B83" w:rsidRPr="00C101CC">
        <w:rPr>
          <w:szCs w:val="22"/>
          <w:shd w:val="clear" w:color="auto" w:fill="FFFFFF"/>
          <w:lang w:val="sk-SK"/>
        </w:rPr>
        <w:t xml:space="preserve"> topiramát</w:t>
      </w:r>
      <w:r w:rsidR="002F18D6" w:rsidRPr="00C101CC">
        <w:rPr>
          <w:szCs w:val="22"/>
          <w:shd w:val="clear" w:color="auto" w:fill="FFFFFF"/>
          <w:lang w:val="sk-SK"/>
        </w:rPr>
        <w:t>e</w:t>
      </w:r>
      <w:r w:rsidR="007D1B83" w:rsidRPr="00C101CC">
        <w:rPr>
          <w:szCs w:val="22"/>
          <w:shd w:val="clear" w:color="auto" w:fill="FFFFFF"/>
          <w:lang w:val="sk-SK"/>
        </w:rPr>
        <w:t xml:space="preserve"> sa </w:t>
      </w:r>
      <w:r w:rsidR="00D067E0" w:rsidRPr="00C101CC">
        <w:rPr>
          <w:szCs w:val="22"/>
          <w:shd w:val="clear" w:color="auto" w:fill="FFFFFF"/>
          <w:lang w:val="sk-SK"/>
        </w:rPr>
        <w:t>zdá byť</w:t>
      </w:r>
      <w:r w:rsidR="007D1B83" w:rsidRPr="00C101CC">
        <w:rPr>
          <w:szCs w:val="22"/>
          <w:shd w:val="clear" w:color="auto" w:fill="FFFFFF"/>
          <w:lang w:val="sk-SK"/>
        </w:rPr>
        <w:t xml:space="preserve"> </w:t>
      </w:r>
      <w:r w:rsidR="0092401B" w:rsidRPr="00C101CC">
        <w:rPr>
          <w:szCs w:val="22"/>
          <w:shd w:val="clear" w:color="auto" w:fill="FFFFFF"/>
          <w:lang w:val="sk-SK"/>
        </w:rPr>
        <w:t xml:space="preserve">závislé </w:t>
      </w:r>
      <w:r w:rsidR="00D067E0" w:rsidRPr="00C101CC">
        <w:rPr>
          <w:szCs w:val="22"/>
          <w:shd w:val="clear" w:color="auto" w:fill="FFFFFF"/>
          <w:lang w:val="sk-SK"/>
        </w:rPr>
        <w:t>od</w:t>
      </w:r>
      <w:r w:rsidR="007D1B83" w:rsidRPr="00C101CC">
        <w:rPr>
          <w:szCs w:val="22"/>
          <w:shd w:val="clear" w:color="auto" w:fill="FFFFFF"/>
          <w:lang w:val="sk-SK"/>
        </w:rPr>
        <w:t xml:space="preserve"> dávk</w:t>
      </w:r>
      <w:r w:rsidR="00D067E0" w:rsidRPr="00C101CC">
        <w:rPr>
          <w:szCs w:val="22"/>
          <w:shd w:val="clear" w:color="auto" w:fill="FFFFFF"/>
          <w:lang w:val="sk-SK"/>
        </w:rPr>
        <w:t>y</w:t>
      </w:r>
      <w:r w:rsidR="007D1B83" w:rsidRPr="00C101CC">
        <w:rPr>
          <w:szCs w:val="22"/>
          <w:shd w:val="clear" w:color="auto" w:fill="FFFFFF"/>
          <w:lang w:val="sk-SK"/>
        </w:rPr>
        <w:t xml:space="preserve">. </w:t>
      </w:r>
      <w:r w:rsidRPr="00C101CC">
        <w:rPr>
          <w:szCs w:val="22"/>
          <w:lang w:val="sk-SK"/>
        </w:rPr>
        <w:t>Hyperam</w:t>
      </w:r>
      <w:r w:rsidR="007D1B83" w:rsidRPr="00C101CC">
        <w:rPr>
          <w:szCs w:val="22"/>
          <w:lang w:val="sk-SK"/>
        </w:rPr>
        <w:t>onémia</w:t>
      </w:r>
      <w:r w:rsidRPr="00C101CC">
        <w:rPr>
          <w:szCs w:val="22"/>
          <w:lang w:val="sk-SK"/>
        </w:rPr>
        <w:t xml:space="preserve"> </w:t>
      </w:r>
      <w:r w:rsidR="007D1B83" w:rsidRPr="00C101CC">
        <w:rPr>
          <w:szCs w:val="22"/>
          <w:lang w:val="sk-SK"/>
        </w:rPr>
        <w:t>bola hlásená častejšie</w:t>
      </w:r>
      <w:r w:rsidR="0092401B" w:rsidRPr="00C101CC">
        <w:rPr>
          <w:szCs w:val="22"/>
          <w:lang w:val="sk-SK"/>
        </w:rPr>
        <w:t xml:space="preserve"> pri súbežnom užívaní</w:t>
      </w:r>
      <w:r w:rsidR="00D067E0" w:rsidRPr="00C101CC">
        <w:rPr>
          <w:szCs w:val="22"/>
          <w:lang w:val="sk-SK"/>
        </w:rPr>
        <w:t xml:space="preserve"> topiramátu </w:t>
      </w:r>
      <w:r w:rsidR="007D1B83" w:rsidRPr="00C101CC">
        <w:rPr>
          <w:szCs w:val="22"/>
          <w:lang w:val="sk-SK"/>
        </w:rPr>
        <w:t xml:space="preserve"> s kyselinou valproovou </w:t>
      </w:r>
      <w:r w:rsidRPr="00C101CC">
        <w:rPr>
          <w:szCs w:val="22"/>
          <w:lang w:val="sk-SK"/>
        </w:rPr>
        <w:t>(</w:t>
      </w:r>
      <w:r w:rsidR="007D1B83" w:rsidRPr="00C101CC">
        <w:rPr>
          <w:szCs w:val="22"/>
          <w:lang w:val="sk-SK"/>
        </w:rPr>
        <w:t>pozri časť</w:t>
      </w:r>
      <w:r w:rsidRPr="00C101CC">
        <w:rPr>
          <w:szCs w:val="22"/>
          <w:lang w:val="sk-SK"/>
        </w:rPr>
        <w:t xml:space="preserve"> 4.5).</w:t>
      </w:r>
    </w:p>
    <w:p w14:paraId="70064991" w14:textId="77777777" w:rsidR="009C7D06" w:rsidRPr="00C101CC" w:rsidRDefault="009C7D06">
      <w:pPr>
        <w:spacing w:line="240" w:lineRule="auto"/>
        <w:rPr>
          <w:szCs w:val="22"/>
          <w:lang w:val="sk-SK"/>
        </w:rPr>
      </w:pPr>
    </w:p>
    <w:p w14:paraId="3C413AA2" w14:textId="7FB50DCC" w:rsidR="009C7D06" w:rsidRPr="00C101CC" w:rsidRDefault="0092401B">
      <w:pPr>
        <w:spacing w:line="240" w:lineRule="auto"/>
        <w:rPr>
          <w:szCs w:val="22"/>
          <w:lang w:val="sk-SK"/>
        </w:rPr>
      </w:pPr>
      <w:r w:rsidRPr="00C101CC">
        <w:rPr>
          <w:szCs w:val="22"/>
          <w:lang w:val="sk-SK"/>
        </w:rPr>
        <w:t>U</w:t>
      </w:r>
      <w:r w:rsidR="00051F94" w:rsidRPr="00C101CC">
        <w:rPr>
          <w:szCs w:val="22"/>
          <w:lang w:val="sk-SK"/>
        </w:rPr>
        <w:t xml:space="preserve"> pacientov, u ktorých sa vyvinie nevysvetliteľná letargia alebo zmeny duševného stavu súvisiace s</w:t>
      </w:r>
      <w:r w:rsidR="00640510" w:rsidRPr="00C101CC">
        <w:rPr>
          <w:szCs w:val="22"/>
          <w:lang w:val="sk-SK"/>
        </w:rPr>
        <w:t> </w:t>
      </w:r>
      <w:r w:rsidRPr="00C101CC">
        <w:rPr>
          <w:szCs w:val="22"/>
          <w:lang w:val="sk-SK"/>
        </w:rPr>
        <w:t xml:space="preserve">topiramátom v </w:t>
      </w:r>
      <w:r w:rsidR="00051F94" w:rsidRPr="00C101CC">
        <w:rPr>
          <w:szCs w:val="22"/>
          <w:lang w:val="sk-SK"/>
        </w:rPr>
        <w:t>monoterapi</w:t>
      </w:r>
      <w:r w:rsidRPr="00C101CC">
        <w:rPr>
          <w:szCs w:val="22"/>
          <w:lang w:val="sk-SK"/>
        </w:rPr>
        <w:t>i</w:t>
      </w:r>
      <w:r w:rsidR="00051F94" w:rsidRPr="00C101CC">
        <w:rPr>
          <w:szCs w:val="22"/>
          <w:lang w:val="sk-SK"/>
        </w:rPr>
        <w:t xml:space="preserve"> alebo prídavn</w:t>
      </w:r>
      <w:r w:rsidRPr="00C101CC">
        <w:rPr>
          <w:szCs w:val="22"/>
          <w:lang w:val="sk-SK"/>
        </w:rPr>
        <w:t>ej</w:t>
      </w:r>
      <w:r w:rsidR="00051F94" w:rsidRPr="00C101CC">
        <w:rPr>
          <w:szCs w:val="22"/>
          <w:lang w:val="sk-SK"/>
        </w:rPr>
        <w:t xml:space="preserve"> liečb</w:t>
      </w:r>
      <w:r w:rsidRPr="00C101CC">
        <w:rPr>
          <w:szCs w:val="22"/>
          <w:lang w:val="sk-SK"/>
        </w:rPr>
        <w:t>e</w:t>
      </w:r>
      <w:r w:rsidR="00051F94" w:rsidRPr="00C101CC">
        <w:rPr>
          <w:szCs w:val="22"/>
          <w:lang w:val="sk-SK"/>
        </w:rPr>
        <w:t xml:space="preserve">, </w:t>
      </w:r>
      <w:r w:rsidR="00640510" w:rsidRPr="00C101CC">
        <w:rPr>
          <w:szCs w:val="22"/>
          <w:lang w:val="sk-SK"/>
        </w:rPr>
        <w:t xml:space="preserve">sa </w:t>
      </w:r>
      <w:r w:rsidR="00051F94" w:rsidRPr="00C101CC">
        <w:rPr>
          <w:szCs w:val="22"/>
          <w:lang w:val="sk-SK"/>
        </w:rPr>
        <w:t xml:space="preserve">odporúča vziať do úvahy hyperamonemickú encefalopatiu a odmerať hladiny amoniaku. </w:t>
      </w:r>
    </w:p>
    <w:p w14:paraId="2D73358A" w14:textId="77777777" w:rsidR="009C7D06" w:rsidRPr="00C101CC" w:rsidRDefault="009C7D06">
      <w:pPr>
        <w:pStyle w:val="BodyText12"/>
        <w:spacing w:after="0" w:line="240" w:lineRule="auto"/>
        <w:ind w:left="0"/>
        <w:jc w:val="left"/>
        <w:rPr>
          <w:sz w:val="22"/>
          <w:szCs w:val="22"/>
          <w:lang w:val="sk-SK"/>
        </w:rPr>
      </w:pPr>
    </w:p>
    <w:p w14:paraId="37D9BD0F"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Nutričná suplementácia</w:t>
      </w:r>
    </w:p>
    <w:p w14:paraId="4A3E68C3" w14:textId="77777777"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 xml:space="preserve">U niektorých pacientov môže počas liečby topiramátom dôjsť k poklesu telesnej hmotnosti. Odporúča sa, aby sa u pacientov liečených topiramátom sledoval pokles telesnej hmotnosti. Ak sa počas liečby topiramátom znížila hmotnosť pacienta, možno zvážiť doplnky </w:t>
      </w:r>
      <w:r w:rsidR="00191BC6" w:rsidRPr="00C101CC">
        <w:rPr>
          <w:sz w:val="22"/>
          <w:szCs w:val="22"/>
          <w:lang w:val="sk-SK"/>
        </w:rPr>
        <w:t xml:space="preserve">výživy </w:t>
      </w:r>
      <w:r w:rsidRPr="00C101CC">
        <w:rPr>
          <w:sz w:val="22"/>
          <w:szCs w:val="22"/>
          <w:lang w:val="sk-SK"/>
        </w:rPr>
        <w:t>alebo zvýšený príjem potravy.</w:t>
      </w:r>
    </w:p>
    <w:p w14:paraId="5745E039" w14:textId="77777777" w:rsidR="00FF7468" w:rsidRPr="00C101CC" w:rsidRDefault="00FF7468">
      <w:pPr>
        <w:pStyle w:val="BodyText12"/>
        <w:spacing w:after="0" w:line="240" w:lineRule="auto"/>
        <w:ind w:left="0"/>
        <w:jc w:val="left"/>
        <w:rPr>
          <w:sz w:val="22"/>
          <w:szCs w:val="22"/>
          <w:lang w:val="sk-SK"/>
        </w:rPr>
      </w:pPr>
    </w:p>
    <w:p w14:paraId="2EB7CD50" w14:textId="77777777" w:rsidR="00FF7468" w:rsidRPr="00C101CC" w:rsidRDefault="00FF7468">
      <w:pPr>
        <w:pStyle w:val="BodyText12"/>
        <w:keepNext/>
        <w:spacing w:after="0" w:line="240" w:lineRule="auto"/>
        <w:ind w:left="0"/>
        <w:jc w:val="left"/>
        <w:rPr>
          <w:sz w:val="22"/>
          <w:szCs w:val="22"/>
          <w:u w:val="single"/>
          <w:lang w:val="sk-SK"/>
        </w:rPr>
      </w:pPr>
      <w:r w:rsidRPr="00C101CC">
        <w:rPr>
          <w:sz w:val="22"/>
          <w:szCs w:val="22"/>
          <w:u w:val="single"/>
          <w:lang w:val="sk-SK"/>
        </w:rPr>
        <w:t>Intolerancia laktózy</w:t>
      </w:r>
    </w:p>
    <w:p w14:paraId="76DBA000" w14:textId="5737DD9E" w:rsidR="00FF7468" w:rsidRPr="00C101CC" w:rsidRDefault="00FF7468">
      <w:pPr>
        <w:pStyle w:val="BodyText12"/>
        <w:spacing w:after="0" w:line="240" w:lineRule="auto"/>
        <w:ind w:left="0"/>
        <w:jc w:val="left"/>
        <w:rPr>
          <w:sz w:val="22"/>
          <w:szCs w:val="22"/>
          <w:lang w:val="sk-SK"/>
        </w:rPr>
      </w:pPr>
      <w:r w:rsidRPr="00C101CC">
        <w:rPr>
          <w:sz w:val="22"/>
          <w:szCs w:val="22"/>
          <w:lang w:val="sk-SK"/>
        </w:rPr>
        <w:t xml:space="preserve">Topamax obsahuje laktózu. Pacienti so zriedkavými dedičnými problémami galaktózovej intolerancie, </w:t>
      </w:r>
      <w:r w:rsidR="00DA2B85" w:rsidRPr="00C101CC">
        <w:rPr>
          <w:sz w:val="22"/>
          <w:szCs w:val="22"/>
          <w:lang w:val="sk-SK"/>
        </w:rPr>
        <w:t xml:space="preserve">celkovým </w:t>
      </w:r>
      <w:r w:rsidRPr="00C101CC">
        <w:rPr>
          <w:sz w:val="22"/>
          <w:szCs w:val="22"/>
          <w:lang w:val="sk-SK"/>
        </w:rPr>
        <w:t>deficit</w:t>
      </w:r>
      <w:r w:rsidR="00DA2B85" w:rsidRPr="00C101CC">
        <w:rPr>
          <w:sz w:val="22"/>
          <w:szCs w:val="22"/>
          <w:lang w:val="sk-SK"/>
        </w:rPr>
        <w:t>om</w:t>
      </w:r>
      <w:r w:rsidRPr="00C101CC">
        <w:rPr>
          <w:sz w:val="22"/>
          <w:szCs w:val="22"/>
          <w:lang w:val="sk-SK"/>
        </w:rPr>
        <w:t xml:space="preserve"> laktázy alebo glukózo-galaktózov</w:t>
      </w:r>
      <w:r w:rsidR="00DA2B85" w:rsidRPr="00C101CC">
        <w:rPr>
          <w:sz w:val="22"/>
          <w:szCs w:val="22"/>
          <w:lang w:val="sk-SK"/>
        </w:rPr>
        <w:t>ou</w:t>
      </w:r>
      <w:r w:rsidRPr="00C101CC">
        <w:rPr>
          <w:sz w:val="22"/>
          <w:szCs w:val="22"/>
          <w:lang w:val="sk-SK"/>
        </w:rPr>
        <w:t xml:space="preserve"> malabsorpci</w:t>
      </w:r>
      <w:r w:rsidR="00DA2B85" w:rsidRPr="00C101CC">
        <w:rPr>
          <w:sz w:val="22"/>
          <w:szCs w:val="22"/>
          <w:lang w:val="sk-SK"/>
        </w:rPr>
        <w:t>ou</w:t>
      </w:r>
      <w:r w:rsidRPr="00C101CC">
        <w:rPr>
          <w:sz w:val="22"/>
          <w:szCs w:val="22"/>
          <w:lang w:val="sk-SK"/>
        </w:rPr>
        <w:t xml:space="preserve"> nesmú užívať tento liek.</w:t>
      </w:r>
    </w:p>
    <w:p w14:paraId="55E95754" w14:textId="73C81A0A" w:rsidR="00F4618F" w:rsidRPr="00C101CC" w:rsidRDefault="00F4618F">
      <w:pPr>
        <w:pStyle w:val="BodyText12"/>
        <w:spacing w:after="0" w:line="240" w:lineRule="auto"/>
        <w:ind w:left="0"/>
        <w:jc w:val="left"/>
        <w:rPr>
          <w:sz w:val="22"/>
          <w:szCs w:val="22"/>
          <w:lang w:val="sk-SK"/>
        </w:rPr>
      </w:pPr>
    </w:p>
    <w:p w14:paraId="5E9BDA62" w14:textId="5E271B9C" w:rsidR="00F4618F" w:rsidRPr="00C101CC" w:rsidRDefault="00F4618F">
      <w:pPr>
        <w:pStyle w:val="BodyText12"/>
        <w:spacing w:after="0" w:line="240" w:lineRule="auto"/>
        <w:ind w:left="0"/>
        <w:jc w:val="left"/>
        <w:rPr>
          <w:sz w:val="22"/>
          <w:szCs w:val="22"/>
          <w:u w:val="single"/>
          <w:lang w:val="sk-SK"/>
        </w:rPr>
      </w:pPr>
      <w:r w:rsidRPr="00C101CC">
        <w:rPr>
          <w:sz w:val="22"/>
          <w:szCs w:val="22"/>
          <w:u w:val="single"/>
          <w:lang w:val="sk-SK"/>
        </w:rPr>
        <w:t>Sodík</w:t>
      </w:r>
    </w:p>
    <w:p w14:paraId="6F3C31C9" w14:textId="39F8F407" w:rsidR="00F500EF" w:rsidRPr="00C101CC" w:rsidRDefault="00F4618F">
      <w:pPr>
        <w:pStyle w:val="Default"/>
        <w:rPr>
          <w:sz w:val="22"/>
          <w:szCs w:val="22"/>
          <w:lang w:val="sk-SK"/>
        </w:rPr>
      </w:pPr>
      <w:r w:rsidRPr="00C101CC">
        <w:rPr>
          <w:sz w:val="22"/>
          <w:szCs w:val="22"/>
          <w:lang w:val="sk-SK"/>
        </w:rPr>
        <w:t>Jedna tableta obsahuje menej ako 1</w:t>
      </w:r>
      <w:r w:rsidR="003A3974">
        <w:rPr>
          <w:sz w:val="22"/>
          <w:szCs w:val="22"/>
          <w:lang w:val="sk-SK"/>
        </w:rPr>
        <w:t> </w:t>
      </w:r>
      <w:r w:rsidRPr="00C101CC">
        <w:rPr>
          <w:sz w:val="22"/>
          <w:szCs w:val="22"/>
          <w:lang w:val="sk-SK"/>
        </w:rPr>
        <w:t>mmol sodíka (23</w:t>
      </w:r>
      <w:r w:rsidR="003A3974">
        <w:rPr>
          <w:sz w:val="22"/>
          <w:szCs w:val="22"/>
          <w:lang w:val="sk-SK"/>
        </w:rPr>
        <w:t> </w:t>
      </w:r>
      <w:r w:rsidRPr="00C101CC">
        <w:rPr>
          <w:sz w:val="22"/>
          <w:szCs w:val="22"/>
          <w:lang w:val="sk-SK"/>
        </w:rPr>
        <w:t>mg), t.</w:t>
      </w:r>
      <w:r w:rsidR="003A3974">
        <w:rPr>
          <w:sz w:val="22"/>
          <w:szCs w:val="22"/>
          <w:lang w:val="sk-SK"/>
        </w:rPr>
        <w:t> </w:t>
      </w:r>
      <w:r w:rsidRPr="00C101CC">
        <w:rPr>
          <w:sz w:val="22"/>
          <w:szCs w:val="22"/>
          <w:lang w:val="sk-SK"/>
        </w:rPr>
        <w:t>j. v podstate zanedbateľné množstvo sodíka.</w:t>
      </w:r>
    </w:p>
    <w:p w14:paraId="62961A0E" w14:textId="03869681" w:rsidR="00FF7468" w:rsidRPr="00C101CC" w:rsidRDefault="00FF7468">
      <w:pPr>
        <w:pStyle w:val="Default"/>
        <w:rPr>
          <w:sz w:val="22"/>
          <w:szCs w:val="22"/>
          <w:lang w:val="sk-SK"/>
        </w:rPr>
      </w:pPr>
    </w:p>
    <w:p w14:paraId="3372873E" w14:textId="77777777" w:rsidR="00FF7468" w:rsidRPr="00C101CC" w:rsidRDefault="00FF7468">
      <w:pPr>
        <w:keepNext/>
        <w:spacing w:line="240" w:lineRule="auto"/>
        <w:jc w:val="both"/>
        <w:rPr>
          <w:szCs w:val="22"/>
          <w:lang w:val="sk-SK"/>
        </w:rPr>
      </w:pPr>
      <w:r w:rsidRPr="00C101CC">
        <w:rPr>
          <w:b/>
          <w:szCs w:val="22"/>
          <w:lang w:val="sk-SK"/>
        </w:rPr>
        <w:t>4.5</w:t>
      </w:r>
      <w:r w:rsidRPr="00C101CC">
        <w:rPr>
          <w:b/>
          <w:szCs w:val="22"/>
          <w:lang w:val="sk-SK"/>
        </w:rPr>
        <w:tab/>
        <w:t>Liekové a iné interakcie</w:t>
      </w:r>
    </w:p>
    <w:p w14:paraId="4BBB2E8A" w14:textId="77777777" w:rsidR="00FF7468" w:rsidRPr="00C101CC" w:rsidRDefault="00FF7468">
      <w:pPr>
        <w:pStyle w:val="Default"/>
        <w:keepNext/>
        <w:rPr>
          <w:iCs/>
          <w:sz w:val="22"/>
          <w:szCs w:val="22"/>
          <w:lang w:val="sk-SK"/>
        </w:rPr>
      </w:pPr>
    </w:p>
    <w:p w14:paraId="66F535E1" w14:textId="77777777" w:rsidR="00FF7468" w:rsidRPr="00C101CC" w:rsidRDefault="00FF7468">
      <w:pPr>
        <w:pStyle w:val="Default"/>
        <w:keepNext/>
        <w:rPr>
          <w:sz w:val="22"/>
          <w:szCs w:val="22"/>
          <w:u w:val="single"/>
          <w:lang w:val="sk-SK"/>
        </w:rPr>
      </w:pPr>
      <w:r w:rsidRPr="00C101CC">
        <w:rPr>
          <w:sz w:val="22"/>
          <w:szCs w:val="22"/>
          <w:u w:val="single"/>
          <w:lang w:val="sk-SK"/>
        </w:rPr>
        <w:t xml:space="preserve">Účinky Topamaxu na iné antiepileptiká  </w:t>
      </w:r>
    </w:p>
    <w:p w14:paraId="4F355E2F" w14:textId="77777777" w:rsidR="00FF7468" w:rsidRPr="00C101CC" w:rsidRDefault="00FF7468">
      <w:pPr>
        <w:tabs>
          <w:tab w:val="clear" w:pos="567"/>
        </w:tabs>
        <w:suppressAutoHyphens/>
        <w:spacing w:line="240" w:lineRule="auto"/>
        <w:ind w:right="-369"/>
        <w:rPr>
          <w:szCs w:val="22"/>
          <w:lang w:val="sk-SK"/>
        </w:rPr>
      </w:pPr>
      <w:r w:rsidRPr="00C101CC">
        <w:rPr>
          <w:szCs w:val="22"/>
          <w:lang w:val="sk-SK"/>
        </w:rPr>
        <w:t>Pridanie Topamaxu k iným antiepileptikám (fenytoín, karbamazepín, kyselina valproová, fenobarbital, primid</w:t>
      </w:r>
      <w:r w:rsidR="006F441C" w:rsidRPr="00C101CC">
        <w:rPr>
          <w:szCs w:val="22"/>
          <w:lang w:val="sk-SK"/>
        </w:rPr>
        <w:t>ó</w:t>
      </w:r>
      <w:r w:rsidRPr="00C101CC">
        <w:rPr>
          <w:szCs w:val="22"/>
          <w:lang w:val="sk-SK"/>
        </w:rPr>
        <w:t>n) nemá vplyv na ich rovnovážnu plazmatickú koncentráciu s výnimkou jednotlivých prípadov, kedy pridanie Topamaxu k fenytoínu môže spôsobiť zvýšenie plazmatickej koncentrácie fenytoínu. Zvýšenie je pravdepodobne spôsobené inhibíciou špecifickej polymorfnej enzýmovej izoformy (CYP2</w:t>
      </w:r>
      <w:r w:rsidR="00717117" w:rsidRPr="00C101CC">
        <w:rPr>
          <w:szCs w:val="22"/>
          <w:lang w:val="sk-SK"/>
        </w:rPr>
        <w:t> </w:t>
      </w:r>
      <w:r w:rsidRPr="00C101CC">
        <w:rPr>
          <w:szCs w:val="22"/>
          <w:lang w:val="sk-SK"/>
        </w:rPr>
        <w:t>C19). Pacientom, ktorí užívajú fenytoín a vykazujú klinické prejavy alebo symptómy toxicity, sa majú monitorovať hladiny fenytoínu.</w:t>
      </w:r>
    </w:p>
    <w:p w14:paraId="4D6B2390" w14:textId="77777777" w:rsidR="00FF7468" w:rsidRPr="00C101CC" w:rsidRDefault="00FF7468">
      <w:pPr>
        <w:tabs>
          <w:tab w:val="clear" w:pos="567"/>
        </w:tabs>
        <w:suppressAutoHyphens/>
        <w:spacing w:line="240" w:lineRule="auto"/>
        <w:ind w:right="-369"/>
        <w:jc w:val="both"/>
        <w:rPr>
          <w:szCs w:val="22"/>
          <w:lang w:val="sk-SK"/>
        </w:rPr>
      </w:pPr>
    </w:p>
    <w:p w14:paraId="22403A22" w14:textId="77777777" w:rsidR="00FF7468" w:rsidRPr="00C101CC" w:rsidRDefault="00FF7468">
      <w:pPr>
        <w:pStyle w:val="Default"/>
        <w:rPr>
          <w:sz w:val="22"/>
          <w:szCs w:val="22"/>
          <w:lang w:val="sk-SK"/>
        </w:rPr>
      </w:pPr>
      <w:r w:rsidRPr="00C101CC">
        <w:rPr>
          <w:sz w:val="22"/>
          <w:szCs w:val="22"/>
          <w:lang w:val="sk-SK"/>
        </w:rPr>
        <w:t>Farmakokinetická štúdia liekových interakcií u pacientov s</w:t>
      </w:r>
      <w:r w:rsidR="00717117" w:rsidRPr="00C101CC">
        <w:rPr>
          <w:sz w:val="22"/>
          <w:szCs w:val="22"/>
          <w:lang w:val="sk-SK"/>
        </w:rPr>
        <w:t> </w:t>
      </w:r>
      <w:r w:rsidRPr="00C101CC">
        <w:rPr>
          <w:sz w:val="22"/>
          <w:szCs w:val="22"/>
          <w:lang w:val="sk-SK"/>
        </w:rPr>
        <w:t>epilepsiou</w:t>
      </w:r>
      <w:r w:rsidR="00717117" w:rsidRPr="00C101CC">
        <w:rPr>
          <w:sz w:val="22"/>
          <w:szCs w:val="22"/>
          <w:lang w:val="sk-SK"/>
        </w:rPr>
        <w:t xml:space="preserve"> naznačila</w:t>
      </w:r>
      <w:r w:rsidRPr="00C101CC">
        <w:rPr>
          <w:sz w:val="22"/>
          <w:szCs w:val="22"/>
          <w:lang w:val="sk-SK"/>
        </w:rPr>
        <w:t xml:space="preserve">, </w:t>
      </w:r>
      <w:r w:rsidR="00717117" w:rsidRPr="00C101CC">
        <w:rPr>
          <w:sz w:val="22"/>
          <w:szCs w:val="22"/>
          <w:lang w:val="sk-SK"/>
        </w:rPr>
        <w:t xml:space="preserve">že pridanie </w:t>
      </w:r>
      <w:r w:rsidRPr="00C101CC">
        <w:rPr>
          <w:sz w:val="22"/>
          <w:szCs w:val="22"/>
          <w:lang w:val="sk-SK"/>
        </w:rPr>
        <w:t>topiramát</w:t>
      </w:r>
      <w:r w:rsidR="00717117" w:rsidRPr="00C101CC">
        <w:rPr>
          <w:sz w:val="22"/>
          <w:szCs w:val="22"/>
          <w:lang w:val="sk-SK"/>
        </w:rPr>
        <w:t>u</w:t>
      </w:r>
      <w:r w:rsidRPr="00C101CC">
        <w:rPr>
          <w:sz w:val="22"/>
          <w:szCs w:val="22"/>
          <w:lang w:val="sk-SK"/>
        </w:rPr>
        <w:t xml:space="preserve"> </w:t>
      </w:r>
      <w:r w:rsidR="00717117" w:rsidRPr="00C101CC">
        <w:rPr>
          <w:sz w:val="22"/>
          <w:szCs w:val="22"/>
          <w:lang w:val="sk-SK"/>
        </w:rPr>
        <w:t>k </w:t>
      </w:r>
      <w:r w:rsidRPr="00C101CC">
        <w:rPr>
          <w:sz w:val="22"/>
          <w:szCs w:val="22"/>
          <w:lang w:val="sk-SK"/>
        </w:rPr>
        <w:t>lamotrigín</w:t>
      </w:r>
      <w:r w:rsidR="00717117" w:rsidRPr="00C101CC">
        <w:rPr>
          <w:sz w:val="22"/>
          <w:szCs w:val="22"/>
          <w:lang w:val="sk-SK"/>
        </w:rPr>
        <w:t>u</w:t>
      </w:r>
      <w:r w:rsidRPr="00C101CC">
        <w:rPr>
          <w:sz w:val="22"/>
          <w:szCs w:val="22"/>
          <w:lang w:val="sk-SK"/>
        </w:rPr>
        <w:t>, nemal</w:t>
      </w:r>
      <w:r w:rsidR="00717117" w:rsidRPr="00C101CC">
        <w:rPr>
          <w:sz w:val="22"/>
          <w:szCs w:val="22"/>
          <w:lang w:val="sk-SK"/>
        </w:rPr>
        <w:t>o</w:t>
      </w:r>
      <w:r w:rsidRPr="00C101CC">
        <w:rPr>
          <w:sz w:val="22"/>
          <w:szCs w:val="22"/>
          <w:lang w:val="sk-SK"/>
        </w:rPr>
        <w:t xml:space="preserve"> žiadny vplyv na rovnovážnu plazmatickú koncentráciu lamotrigínu pri dávkach topiramátu od 100 do 400 mg/deň. Taktiež v priebehu liečby lamotrigínom (priemerná dávka 327 mg/deň) alebo po jeho vynechaní, nebola zaznamenaná žiadna zmena rovnovážnej plazmatickej koncentrácie topiramátu.</w:t>
      </w:r>
    </w:p>
    <w:p w14:paraId="1502F6A2" w14:textId="77777777" w:rsidR="00FF7468" w:rsidRPr="00C101CC" w:rsidRDefault="00FF7468">
      <w:pPr>
        <w:pStyle w:val="Default"/>
        <w:rPr>
          <w:sz w:val="22"/>
          <w:szCs w:val="22"/>
          <w:lang w:val="sk-SK"/>
        </w:rPr>
      </w:pPr>
    </w:p>
    <w:p w14:paraId="2DBC54E2" w14:textId="77777777" w:rsidR="00FF7468" w:rsidRPr="00C101CC" w:rsidRDefault="00FF7468">
      <w:pPr>
        <w:pStyle w:val="Default"/>
        <w:rPr>
          <w:sz w:val="22"/>
          <w:szCs w:val="22"/>
          <w:lang w:val="sk-SK"/>
        </w:rPr>
      </w:pPr>
      <w:r w:rsidRPr="00C101CC">
        <w:rPr>
          <w:sz w:val="22"/>
          <w:szCs w:val="22"/>
          <w:lang w:val="sk-SK"/>
        </w:rPr>
        <w:t>Topiramát inhibuje enzým CYP 2C19 a môže interferovať s inými látkami, ktoré tento enzým metabolizuje (napr. diazepam, imipram</w:t>
      </w:r>
      <w:r w:rsidR="00717117" w:rsidRPr="00C101CC">
        <w:rPr>
          <w:sz w:val="22"/>
          <w:szCs w:val="22"/>
          <w:lang w:val="sk-SK"/>
        </w:rPr>
        <w:t>í</w:t>
      </w:r>
      <w:r w:rsidRPr="00C101CC">
        <w:rPr>
          <w:sz w:val="22"/>
          <w:szCs w:val="22"/>
          <w:lang w:val="sk-SK"/>
        </w:rPr>
        <w:t xml:space="preserve">n, moklobemid, proguanil, omeprazol). </w:t>
      </w:r>
    </w:p>
    <w:p w14:paraId="2D112623" w14:textId="77777777" w:rsidR="00FF7468" w:rsidRPr="00C101CC" w:rsidRDefault="00FF7468">
      <w:pPr>
        <w:pStyle w:val="Default"/>
        <w:rPr>
          <w:sz w:val="22"/>
          <w:szCs w:val="22"/>
          <w:lang w:val="sk-SK"/>
        </w:rPr>
      </w:pPr>
    </w:p>
    <w:p w14:paraId="05F0E3DC" w14:textId="77777777" w:rsidR="00FF7468" w:rsidRPr="00C101CC" w:rsidRDefault="00FF7468">
      <w:pPr>
        <w:pStyle w:val="Default"/>
        <w:keepNext/>
        <w:rPr>
          <w:sz w:val="22"/>
          <w:szCs w:val="22"/>
          <w:u w:val="single"/>
          <w:lang w:val="sk-SK"/>
        </w:rPr>
      </w:pPr>
      <w:r w:rsidRPr="00C101CC">
        <w:rPr>
          <w:sz w:val="22"/>
          <w:szCs w:val="22"/>
          <w:u w:val="single"/>
          <w:lang w:val="sk-SK"/>
        </w:rPr>
        <w:t>Účinky iných antiepileptík na Topamax</w:t>
      </w:r>
    </w:p>
    <w:p w14:paraId="223B844E" w14:textId="77777777" w:rsidR="00FF7468" w:rsidRPr="00C101CC" w:rsidRDefault="00FF7468">
      <w:pPr>
        <w:keepNext/>
        <w:suppressAutoHyphens/>
        <w:spacing w:line="240" w:lineRule="auto"/>
        <w:ind w:right="-369"/>
        <w:rPr>
          <w:szCs w:val="22"/>
          <w:lang w:val="sk-SK"/>
        </w:rPr>
      </w:pPr>
      <w:r w:rsidRPr="00C101CC">
        <w:rPr>
          <w:szCs w:val="22"/>
          <w:lang w:val="sk-SK"/>
        </w:rPr>
        <w:t>Fenytoín a karbamazepín znižujú plazmatickú koncentráciu topiramátu. Pridanie alebo vynechanie fenytoínu alebo karbamazepínu počas liečby Topamaxom môže vyžadovať úpravu dávky druhého lieku. To sa má dosiahnuť titráciou až do dosiahnutia klinického účinku. Pridanie alebo vynechanie kyseliny valproovej nevyvoláva klinicky významné zmeny plazmatických koncentrácií Topamaxu, a preto sa nevyžaduje úprava dávky Topamaxu. Výsledky týchto interakcií sú zhrnuté nižšie:</w:t>
      </w:r>
    </w:p>
    <w:p w14:paraId="60E56158" w14:textId="77777777" w:rsidR="00FF7468" w:rsidRPr="00C101CC" w:rsidRDefault="00FF7468">
      <w:pPr>
        <w:pStyle w:val="Default"/>
        <w:keepNext/>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0"/>
        <w:gridCol w:w="2040"/>
        <w:gridCol w:w="1934"/>
      </w:tblGrid>
      <w:tr w:rsidR="00FF7468" w:rsidRPr="00C101CC" w14:paraId="59614302" w14:textId="77777777" w:rsidTr="009B49B1">
        <w:trPr>
          <w:trHeight w:val="282"/>
          <w:jc w:val="center"/>
        </w:trPr>
        <w:tc>
          <w:tcPr>
            <w:tcW w:w="2400" w:type="dxa"/>
          </w:tcPr>
          <w:p w14:paraId="5AD445D5" w14:textId="5D4879C0" w:rsidR="00FF7468" w:rsidRPr="00C101CC" w:rsidRDefault="00FF7468">
            <w:pPr>
              <w:pStyle w:val="Default"/>
              <w:keepNext/>
              <w:rPr>
                <w:b/>
                <w:sz w:val="22"/>
                <w:szCs w:val="22"/>
                <w:lang w:val="sk-SK"/>
              </w:rPr>
            </w:pPr>
            <w:r w:rsidRPr="00C101CC">
              <w:rPr>
                <w:b/>
                <w:sz w:val="22"/>
                <w:szCs w:val="22"/>
                <w:lang w:val="sk-SK"/>
              </w:rPr>
              <w:t>AEP Sú</w:t>
            </w:r>
            <w:r w:rsidR="008C445F" w:rsidRPr="00C101CC">
              <w:rPr>
                <w:b/>
                <w:sz w:val="22"/>
                <w:szCs w:val="22"/>
                <w:lang w:val="sk-SK"/>
              </w:rPr>
              <w:t>bež</w:t>
            </w:r>
            <w:r w:rsidRPr="00C101CC">
              <w:rPr>
                <w:b/>
                <w:sz w:val="22"/>
                <w:szCs w:val="22"/>
                <w:lang w:val="sk-SK"/>
              </w:rPr>
              <w:t>ne podávané</w:t>
            </w:r>
          </w:p>
        </w:tc>
        <w:tc>
          <w:tcPr>
            <w:tcW w:w="2040" w:type="dxa"/>
          </w:tcPr>
          <w:p w14:paraId="1C87E68E" w14:textId="77777777" w:rsidR="00FF7468" w:rsidRPr="00C101CC" w:rsidRDefault="00FF7468">
            <w:pPr>
              <w:pStyle w:val="Default"/>
              <w:keepNext/>
              <w:rPr>
                <w:b/>
                <w:sz w:val="22"/>
                <w:szCs w:val="22"/>
                <w:lang w:val="sk-SK"/>
              </w:rPr>
            </w:pPr>
            <w:r w:rsidRPr="00C101CC">
              <w:rPr>
                <w:b/>
                <w:sz w:val="22"/>
                <w:szCs w:val="22"/>
                <w:lang w:val="sk-SK"/>
              </w:rPr>
              <w:t xml:space="preserve">AEP Koncentrácie </w:t>
            </w:r>
          </w:p>
        </w:tc>
        <w:tc>
          <w:tcPr>
            <w:tcW w:w="1934" w:type="dxa"/>
          </w:tcPr>
          <w:p w14:paraId="24A497D3" w14:textId="77777777" w:rsidR="00FF7468" w:rsidRPr="00C101CC" w:rsidRDefault="00FF7468">
            <w:pPr>
              <w:pStyle w:val="Default"/>
              <w:keepNext/>
              <w:rPr>
                <w:b/>
                <w:sz w:val="22"/>
                <w:szCs w:val="22"/>
                <w:lang w:val="sk-SK"/>
              </w:rPr>
            </w:pPr>
            <w:r w:rsidRPr="00C101CC">
              <w:rPr>
                <w:b/>
                <w:sz w:val="22"/>
                <w:szCs w:val="22"/>
                <w:lang w:val="sk-SK"/>
              </w:rPr>
              <w:t xml:space="preserve">Koncentrácia Topamaxu </w:t>
            </w:r>
          </w:p>
        </w:tc>
      </w:tr>
      <w:tr w:rsidR="00FF7468" w:rsidRPr="00C101CC" w14:paraId="0DE82C64" w14:textId="77777777" w:rsidTr="009B49B1">
        <w:trPr>
          <w:trHeight w:val="267"/>
          <w:jc w:val="center"/>
        </w:trPr>
        <w:tc>
          <w:tcPr>
            <w:tcW w:w="2400" w:type="dxa"/>
          </w:tcPr>
          <w:p w14:paraId="035476E7" w14:textId="77777777" w:rsidR="00FF7468" w:rsidRPr="00C101CC" w:rsidRDefault="00FF7468" w:rsidP="00C101CC">
            <w:pPr>
              <w:pStyle w:val="Default"/>
              <w:keepNext/>
              <w:jc w:val="both"/>
              <w:rPr>
                <w:sz w:val="22"/>
                <w:szCs w:val="22"/>
                <w:lang w:val="sk-SK"/>
              </w:rPr>
            </w:pPr>
            <w:r w:rsidRPr="00C101CC">
              <w:rPr>
                <w:sz w:val="22"/>
                <w:szCs w:val="22"/>
                <w:lang w:val="sk-SK"/>
              </w:rPr>
              <w:t>Fenytoín</w:t>
            </w:r>
          </w:p>
        </w:tc>
        <w:tc>
          <w:tcPr>
            <w:tcW w:w="2040" w:type="dxa"/>
          </w:tcPr>
          <w:p w14:paraId="5A6220DB" w14:textId="77777777" w:rsidR="00FF7468" w:rsidRPr="00C101CC" w:rsidRDefault="00FF7468">
            <w:pPr>
              <w:pStyle w:val="Default"/>
              <w:keepNext/>
              <w:jc w:val="center"/>
              <w:rPr>
                <w:sz w:val="22"/>
                <w:szCs w:val="22"/>
                <w:lang w:val="sk-SK"/>
              </w:rPr>
            </w:pPr>
            <w:r w:rsidRPr="00C101CC">
              <w:rPr>
                <w:sz w:val="22"/>
                <w:szCs w:val="22"/>
                <w:lang w:val="sk-SK"/>
              </w:rPr>
              <w:t xml:space="preserve">   ↔</w:t>
            </w:r>
            <w:r w:rsidRPr="00C101CC">
              <w:rPr>
                <w:position w:val="8"/>
                <w:sz w:val="22"/>
                <w:szCs w:val="22"/>
                <w:vertAlign w:val="superscript"/>
                <w:lang w:val="sk-SK"/>
              </w:rPr>
              <w:t>**</w:t>
            </w:r>
          </w:p>
        </w:tc>
        <w:tc>
          <w:tcPr>
            <w:tcW w:w="1934" w:type="dxa"/>
          </w:tcPr>
          <w:p w14:paraId="01936075" w14:textId="77777777" w:rsidR="00FF7468" w:rsidRPr="00C101CC" w:rsidRDefault="00FF7468">
            <w:pPr>
              <w:pStyle w:val="Default"/>
              <w:keepNext/>
              <w:jc w:val="center"/>
              <w:rPr>
                <w:sz w:val="22"/>
                <w:szCs w:val="22"/>
                <w:lang w:val="sk-SK"/>
              </w:rPr>
            </w:pPr>
            <w:r w:rsidRPr="00C101CC">
              <w:rPr>
                <w:sz w:val="22"/>
                <w:szCs w:val="22"/>
                <w:lang w:val="sk-SK"/>
              </w:rPr>
              <w:t>↓</w:t>
            </w:r>
          </w:p>
        </w:tc>
      </w:tr>
      <w:tr w:rsidR="00FF7468" w:rsidRPr="00C101CC" w14:paraId="2DC5DFAE" w14:textId="77777777" w:rsidTr="009B49B1">
        <w:trPr>
          <w:trHeight w:val="264"/>
          <w:jc w:val="center"/>
        </w:trPr>
        <w:tc>
          <w:tcPr>
            <w:tcW w:w="2400" w:type="dxa"/>
          </w:tcPr>
          <w:p w14:paraId="1EFBC189" w14:textId="77777777" w:rsidR="00FF7468" w:rsidRPr="00C101CC" w:rsidRDefault="00FF7468" w:rsidP="00C101CC">
            <w:pPr>
              <w:pStyle w:val="Default"/>
              <w:keepNext/>
              <w:jc w:val="both"/>
              <w:rPr>
                <w:sz w:val="22"/>
                <w:szCs w:val="22"/>
                <w:lang w:val="sk-SK"/>
              </w:rPr>
            </w:pPr>
            <w:r w:rsidRPr="00C101CC">
              <w:rPr>
                <w:sz w:val="22"/>
                <w:szCs w:val="22"/>
                <w:lang w:val="sk-SK"/>
              </w:rPr>
              <w:t xml:space="preserve">Karbamazepín (CBZ) </w:t>
            </w:r>
          </w:p>
        </w:tc>
        <w:tc>
          <w:tcPr>
            <w:tcW w:w="2040" w:type="dxa"/>
          </w:tcPr>
          <w:p w14:paraId="3B3C7581" w14:textId="77777777" w:rsidR="00FF7468" w:rsidRPr="00C101CC" w:rsidRDefault="00FF7468">
            <w:pPr>
              <w:pStyle w:val="Default"/>
              <w:keepNext/>
              <w:jc w:val="center"/>
              <w:rPr>
                <w:sz w:val="22"/>
                <w:szCs w:val="22"/>
                <w:lang w:val="sk-SK"/>
              </w:rPr>
            </w:pPr>
            <w:r w:rsidRPr="00C101CC">
              <w:rPr>
                <w:sz w:val="22"/>
                <w:szCs w:val="22"/>
                <w:lang w:val="sk-SK"/>
              </w:rPr>
              <w:t>↔</w:t>
            </w:r>
          </w:p>
        </w:tc>
        <w:tc>
          <w:tcPr>
            <w:tcW w:w="1934" w:type="dxa"/>
          </w:tcPr>
          <w:p w14:paraId="1974B80F" w14:textId="77777777" w:rsidR="00FF7468" w:rsidRPr="00C101CC" w:rsidRDefault="00FF7468">
            <w:pPr>
              <w:pStyle w:val="Default"/>
              <w:keepNext/>
              <w:jc w:val="center"/>
              <w:rPr>
                <w:sz w:val="22"/>
                <w:szCs w:val="22"/>
                <w:lang w:val="sk-SK"/>
              </w:rPr>
            </w:pPr>
            <w:r w:rsidRPr="00C101CC">
              <w:rPr>
                <w:sz w:val="22"/>
                <w:szCs w:val="22"/>
                <w:lang w:val="sk-SK"/>
              </w:rPr>
              <w:t>↓</w:t>
            </w:r>
          </w:p>
        </w:tc>
      </w:tr>
      <w:tr w:rsidR="00FF7468" w:rsidRPr="00C101CC" w14:paraId="4B9D5E66" w14:textId="77777777" w:rsidTr="009B49B1">
        <w:trPr>
          <w:trHeight w:val="264"/>
          <w:jc w:val="center"/>
        </w:trPr>
        <w:tc>
          <w:tcPr>
            <w:tcW w:w="2400" w:type="dxa"/>
          </w:tcPr>
          <w:p w14:paraId="1B22F3F3" w14:textId="77777777" w:rsidR="00FF7468" w:rsidRPr="00C101CC" w:rsidRDefault="00FF7468" w:rsidP="00C101CC">
            <w:pPr>
              <w:pStyle w:val="Default"/>
              <w:keepNext/>
              <w:jc w:val="both"/>
              <w:rPr>
                <w:sz w:val="22"/>
                <w:szCs w:val="22"/>
                <w:lang w:val="sk-SK"/>
              </w:rPr>
            </w:pPr>
            <w:r w:rsidRPr="00C101CC">
              <w:rPr>
                <w:sz w:val="22"/>
                <w:szCs w:val="22"/>
                <w:lang w:val="sk-SK"/>
              </w:rPr>
              <w:t xml:space="preserve">Kyselina valproová </w:t>
            </w:r>
          </w:p>
        </w:tc>
        <w:tc>
          <w:tcPr>
            <w:tcW w:w="2040" w:type="dxa"/>
          </w:tcPr>
          <w:p w14:paraId="26F56DAC" w14:textId="77777777" w:rsidR="00FF7468" w:rsidRPr="00C101CC" w:rsidRDefault="00FF7468">
            <w:pPr>
              <w:pStyle w:val="Default"/>
              <w:keepNext/>
              <w:jc w:val="center"/>
              <w:rPr>
                <w:sz w:val="22"/>
                <w:szCs w:val="22"/>
                <w:lang w:val="sk-SK"/>
              </w:rPr>
            </w:pPr>
            <w:r w:rsidRPr="00C101CC">
              <w:rPr>
                <w:sz w:val="22"/>
                <w:szCs w:val="22"/>
                <w:lang w:val="sk-SK"/>
              </w:rPr>
              <w:t>↔</w:t>
            </w:r>
          </w:p>
        </w:tc>
        <w:tc>
          <w:tcPr>
            <w:tcW w:w="1934" w:type="dxa"/>
          </w:tcPr>
          <w:p w14:paraId="307D2266" w14:textId="77777777" w:rsidR="00FF7468" w:rsidRPr="00C101CC" w:rsidRDefault="00FF7468">
            <w:pPr>
              <w:pStyle w:val="Default"/>
              <w:keepNext/>
              <w:jc w:val="center"/>
              <w:rPr>
                <w:sz w:val="22"/>
                <w:szCs w:val="22"/>
                <w:lang w:val="sk-SK"/>
              </w:rPr>
            </w:pPr>
            <w:r w:rsidRPr="00C101CC">
              <w:rPr>
                <w:sz w:val="22"/>
                <w:szCs w:val="22"/>
                <w:lang w:val="sk-SK"/>
              </w:rPr>
              <w:t>↔</w:t>
            </w:r>
          </w:p>
        </w:tc>
      </w:tr>
      <w:tr w:rsidR="00FF7468" w:rsidRPr="00C101CC" w14:paraId="3696C137" w14:textId="77777777" w:rsidTr="009B49B1">
        <w:trPr>
          <w:trHeight w:val="264"/>
          <w:jc w:val="center"/>
        </w:trPr>
        <w:tc>
          <w:tcPr>
            <w:tcW w:w="2400" w:type="dxa"/>
          </w:tcPr>
          <w:p w14:paraId="6F3B437F" w14:textId="77777777" w:rsidR="00FF7468" w:rsidRPr="00C101CC" w:rsidRDefault="00FF7468" w:rsidP="00C101CC">
            <w:pPr>
              <w:pStyle w:val="Default"/>
              <w:jc w:val="both"/>
              <w:rPr>
                <w:sz w:val="22"/>
                <w:szCs w:val="22"/>
                <w:lang w:val="sk-SK"/>
              </w:rPr>
            </w:pPr>
            <w:r w:rsidRPr="00C101CC">
              <w:rPr>
                <w:sz w:val="22"/>
                <w:szCs w:val="22"/>
                <w:lang w:val="sk-SK"/>
              </w:rPr>
              <w:t xml:space="preserve">Lamotrigín </w:t>
            </w:r>
          </w:p>
        </w:tc>
        <w:tc>
          <w:tcPr>
            <w:tcW w:w="2040" w:type="dxa"/>
          </w:tcPr>
          <w:p w14:paraId="4F99542D" w14:textId="77777777" w:rsidR="00FF7468" w:rsidRPr="00C101CC" w:rsidRDefault="00FF7468">
            <w:pPr>
              <w:pStyle w:val="Default"/>
              <w:jc w:val="center"/>
              <w:rPr>
                <w:sz w:val="22"/>
                <w:szCs w:val="22"/>
                <w:lang w:val="sk-SK"/>
              </w:rPr>
            </w:pPr>
            <w:r w:rsidRPr="00C101CC">
              <w:rPr>
                <w:sz w:val="22"/>
                <w:szCs w:val="22"/>
                <w:lang w:val="sk-SK"/>
              </w:rPr>
              <w:t>↔</w:t>
            </w:r>
          </w:p>
        </w:tc>
        <w:tc>
          <w:tcPr>
            <w:tcW w:w="1934" w:type="dxa"/>
          </w:tcPr>
          <w:p w14:paraId="483F11B2"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592FB68A" w14:textId="77777777" w:rsidTr="009B49B1">
        <w:trPr>
          <w:trHeight w:val="264"/>
          <w:jc w:val="center"/>
        </w:trPr>
        <w:tc>
          <w:tcPr>
            <w:tcW w:w="2400" w:type="dxa"/>
          </w:tcPr>
          <w:p w14:paraId="507F35DE" w14:textId="77777777" w:rsidR="00FF7468" w:rsidRPr="00C101CC" w:rsidRDefault="00FF7468" w:rsidP="00C101CC">
            <w:pPr>
              <w:pStyle w:val="Default"/>
              <w:jc w:val="both"/>
              <w:rPr>
                <w:sz w:val="22"/>
                <w:szCs w:val="22"/>
                <w:lang w:val="sk-SK"/>
              </w:rPr>
            </w:pPr>
            <w:r w:rsidRPr="00C101CC">
              <w:rPr>
                <w:sz w:val="22"/>
                <w:szCs w:val="22"/>
                <w:lang w:val="sk-SK"/>
              </w:rPr>
              <w:t>Fenobarbital</w:t>
            </w:r>
          </w:p>
        </w:tc>
        <w:tc>
          <w:tcPr>
            <w:tcW w:w="2040" w:type="dxa"/>
          </w:tcPr>
          <w:p w14:paraId="3B426C27" w14:textId="77777777" w:rsidR="00FF7468" w:rsidRPr="00C101CC" w:rsidRDefault="00FF7468">
            <w:pPr>
              <w:pStyle w:val="Default"/>
              <w:jc w:val="center"/>
              <w:rPr>
                <w:sz w:val="22"/>
                <w:szCs w:val="22"/>
                <w:lang w:val="sk-SK"/>
              </w:rPr>
            </w:pPr>
            <w:r w:rsidRPr="00C101CC">
              <w:rPr>
                <w:sz w:val="22"/>
                <w:szCs w:val="22"/>
                <w:lang w:val="sk-SK"/>
              </w:rPr>
              <w:t>↔</w:t>
            </w:r>
          </w:p>
        </w:tc>
        <w:tc>
          <w:tcPr>
            <w:tcW w:w="1934" w:type="dxa"/>
          </w:tcPr>
          <w:p w14:paraId="7E3BDA39"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62206609" w14:textId="77777777" w:rsidTr="00A252EC">
        <w:trPr>
          <w:trHeight w:val="264"/>
          <w:jc w:val="center"/>
        </w:trPr>
        <w:tc>
          <w:tcPr>
            <w:tcW w:w="2400" w:type="dxa"/>
            <w:tcBorders>
              <w:bottom w:val="single" w:sz="4" w:space="0" w:color="auto"/>
            </w:tcBorders>
          </w:tcPr>
          <w:p w14:paraId="167AB376" w14:textId="77777777" w:rsidR="00FF7468" w:rsidRPr="00C101CC" w:rsidRDefault="00FF7468" w:rsidP="00C101CC">
            <w:pPr>
              <w:pStyle w:val="Default"/>
              <w:jc w:val="both"/>
              <w:rPr>
                <w:sz w:val="22"/>
                <w:szCs w:val="22"/>
                <w:lang w:val="sk-SK"/>
              </w:rPr>
            </w:pPr>
            <w:r w:rsidRPr="00C101CC">
              <w:rPr>
                <w:sz w:val="22"/>
                <w:szCs w:val="22"/>
                <w:lang w:val="sk-SK"/>
              </w:rPr>
              <w:t>Primid</w:t>
            </w:r>
            <w:r w:rsidR="006F441C" w:rsidRPr="00C101CC">
              <w:rPr>
                <w:sz w:val="22"/>
                <w:szCs w:val="22"/>
                <w:lang w:val="sk-SK"/>
              </w:rPr>
              <w:t>ó</w:t>
            </w:r>
            <w:r w:rsidRPr="00C101CC">
              <w:rPr>
                <w:sz w:val="22"/>
                <w:szCs w:val="22"/>
                <w:lang w:val="sk-SK"/>
              </w:rPr>
              <w:t xml:space="preserve">n </w:t>
            </w:r>
          </w:p>
        </w:tc>
        <w:tc>
          <w:tcPr>
            <w:tcW w:w="2040" w:type="dxa"/>
            <w:tcBorders>
              <w:bottom w:val="single" w:sz="4" w:space="0" w:color="auto"/>
            </w:tcBorders>
          </w:tcPr>
          <w:p w14:paraId="7C437BD9" w14:textId="77777777" w:rsidR="00FF7468" w:rsidRPr="00C101CC" w:rsidRDefault="00FF7468">
            <w:pPr>
              <w:pStyle w:val="Default"/>
              <w:jc w:val="center"/>
              <w:rPr>
                <w:sz w:val="22"/>
                <w:szCs w:val="22"/>
                <w:lang w:val="sk-SK"/>
              </w:rPr>
            </w:pPr>
            <w:r w:rsidRPr="00C101CC">
              <w:rPr>
                <w:sz w:val="22"/>
                <w:szCs w:val="22"/>
                <w:lang w:val="sk-SK"/>
              </w:rPr>
              <w:t>↔</w:t>
            </w:r>
          </w:p>
        </w:tc>
        <w:tc>
          <w:tcPr>
            <w:tcW w:w="1934" w:type="dxa"/>
            <w:tcBorders>
              <w:bottom w:val="single" w:sz="4" w:space="0" w:color="auto"/>
            </w:tcBorders>
          </w:tcPr>
          <w:p w14:paraId="43F326B2"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39A0BCFD" w14:textId="77777777" w:rsidTr="00A252EC">
        <w:trPr>
          <w:trHeight w:val="1198"/>
          <w:jc w:val="center"/>
        </w:trPr>
        <w:tc>
          <w:tcPr>
            <w:tcW w:w="6374" w:type="dxa"/>
            <w:gridSpan w:val="3"/>
            <w:tcBorders>
              <w:left w:val="nil"/>
              <w:bottom w:val="nil"/>
              <w:right w:val="nil"/>
            </w:tcBorders>
          </w:tcPr>
          <w:p w14:paraId="0FF74C47" w14:textId="1EB67D59" w:rsidR="00FF7468" w:rsidRPr="00E2432E" w:rsidRDefault="00FF7468" w:rsidP="00C101CC">
            <w:pPr>
              <w:pStyle w:val="Default"/>
              <w:ind w:left="180" w:hanging="180"/>
              <w:rPr>
                <w:lang w:val="sk-SK"/>
              </w:rPr>
            </w:pPr>
            <w:r w:rsidRPr="00E2432E">
              <w:rPr>
                <w:lang w:val="sk-SK"/>
              </w:rPr>
              <w:t xml:space="preserve">↔ </w:t>
            </w:r>
            <w:r w:rsidR="00D4380B" w:rsidRPr="00E2432E">
              <w:rPr>
                <w:lang w:val="sk-SK"/>
              </w:rPr>
              <w:t xml:space="preserve">    </w:t>
            </w:r>
            <w:r w:rsidRPr="00E2432E">
              <w:rPr>
                <w:lang w:val="sk-SK"/>
              </w:rPr>
              <w:t>= bez účinku na plazmatické koncentrácie (zmena ≤</w:t>
            </w:r>
            <w:r w:rsidR="003A3974" w:rsidRPr="00E2432E">
              <w:rPr>
                <w:lang w:val="sk-SK"/>
              </w:rPr>
              <w:t> </w:t>
            </w:r>
            <w:r w:rsidRPr="00E2432E">
              <w:rPr>
                <w:lang w:val="sk-SK"/>
              </w:rPr>
              <w:t>15</w:t>
            </w:r>
            <w:r w:rsidR="003C61AE" w:rsidRPr="00E2432E">
              <w:rPr>
                <w:lang w:val="sk-SK"/>
              </w:rPr>
              <w:t> </w:t>
            </w:r>
            <w:r w:rsidRPr="00E2432E">
              <w:rPr>
                <w:lang w:val="sk-SK"/>
              </w:rPr>
              <w:t xml:space="preserve">%) </w:t>
            </w:r>
          </w:p>
          <w:p w14:paraId="1D35ED94" w14:textId="77777777" w:rsidR="00FF7468" w:rsidRPr="00E2432E" w:rsidRDefault="00FF7468">
            <w:pPr>
              <w:pStyle w:val="Default"/>
              <w:ind w:left="180" w:hanging="180"/>
              <w:rPr>
                <w:lang w:val="sk-SK"/>
              </w:rPr>
            </w:pPr>
            <w:r w:rsidRPr="00E2432E">
              <w:rPr>
                <w:lang w:val="sk-SK"/>
              </w:rPr>
              <w:t xml:space="preserve">** </w:t>
            </w:r>
            <w:r w:rsidR="00D4380B" w:rsidRPr="00E2432E">
              <w:rPr>
                <w:lang w:val="sk-SK"/>
              </w:rPr>
              <w:t xml:space="preserve">    </w:t>
            </w:r>
            <w:r w:rsidRPr="00E2432E">
              <w:rPr>
                <w:lang w:val="sk-SK"/>
              </w:rPr>
              <w:t>= zvýšená plazmatická koncentrácia u niektorých pacientov</w:t>
            </w:r>
          </w:p>
          <w:p w14:paraId="38E7F991" w14:textId="77777777" w:rsidR="00FF7468" w:rsidRPr="00E2432E" w:rsidRDefault="00FF7468">
            <w:pPr>
              <w:pStyle w:val="Default"/>
              <w:ind w:left="180" w:hanging="180"/>
              <w:rPr>
                <w:lang w:val="sk-SK"/>
              </w:rPr>
            </w:pPr>
            <w:r w:rsidRPr="00E2432E">
              <w:rPr>
                <w:lang w:val="sk-SK"/>
              </w:rPr>
              <w:t xml:space="preserve">↓ </w:t>
            </w:r>
            <w:r w:rsidR="00D4380B" w:rsidRPr="00E2432E">
              <w:rPr>
                <w:lang w:val="sk-SK"/>
              </w:rPr>
              <w:t xml:space="preserve">      </w:t>
            </w:r>
            <w:r w:rsidRPr="00E2432E">
              <w:rPr>
                <w:lang w:val="sk-SK"/>
              </w:rPr>
              <w:t xml:space="preserve">= znížené plazmatické koncentrácie </w:t>
            </w:r>
          </w:p>
          <w:p w14:paraId="365E0F5C" w14:textId="77777777" w:rsidR="00FF7468" w:rsidRPr="00E2432E" w:rsidRDefault="00FF7468">
            <w:pPr>
              <w:pStyle w:val="Default"/>
              <w:ind w:left="180" w:hanging="180"/>
              <w:rPr>
                <w:lang w:val="sk-SK"/>
              </w:rPr>
            </w:pPr>
            <w:r w:rsidRPr="00E2432E">
              <w:rPr>
                <w:lang w:val="sk-SK"/>
              </w:rPr>
              <w:t xml:space="preserve">NS </w:t>
            </w:r>
            <w:r w:rsidR="00D4380B" w:rsidRPr="00E2432E">
              <w:rPr>
                <w:lang w:val="sk-SK"/>
              </w:rPr>
              <w:t xml:space="preserve">   </w:t>
            </w:r>
            <w:r w:rsidRPr="00E2432E">
              <w:rPr>
                <w:lang w:val="sk-SK"/>
              </w:rPr>
              <w:t xml:space="preserve">= štúdie neboli vykonané </w:t>
            </w:r>
          </w:p>
          <w:p w14:paraId="51801489" w14:textId="77777777" w:rsidR="00FF7468" w:rsidRPr="00E2432E" w:rsidRDefault="00FF7468">
            <w:pPr>
              <w:pStyle w:val="Default"/>
              <w:ind w:left="180" w:hanging="180"/>
              <w:rPr>
                <w:lang w:val="sk-SK"/>
              </w:rPr>
            </w:pPr>
            <w:r w:rsidRPr="00E2432E">
              <w:rPr>
                <w:lang w:val="sk-SK"/>
              </w:rPr>
              <w:t xml:space="preserve">AEP = antiepileptiká </w:t>
            </w:r>
          </w:p>
        </w:tc>
      </w:tr>
    </w:tbl>
    <w:p w14:paraId="667EFAFE" w14:textId="77777777" w:rsidR="00FF7468" w:rsidRPr="00C101CC" w:rsidRDefault="00FF7468" w:rsidP="00C101CC">
      <w:pPr>
        <w:pStyle w:val="Default"/>
        <w:jc w:val="both"/>
        <w:rPr>
          <w:sz w:val="22"/>
          <w:szCs w:val="22"/>
          <w:lang w:val="sk-SK"/>
        </w:rPr>
      </w:pPr>
    </w:p>
    <w:p w14:paraId="306FCE3F" w14:textId="77777777" w:rsidR="00FF7468" w:rsidRPr="00C101CC" w:rsidRDefault="00FF7468">
      <w:pPr>
        <w:pStyle w:val="Default"/>
        <w:keepNext/>
        <w:rPr>
          <w:sz w:val="22"/>
          <w:szCs w:val="22"/>
          <w:u w:val="single"/>
          <w:lang w:val="sk-SK"/>
        </w:rPr>
      </w:pPr>
      <w:r w:rsidRPr="00C101CC">
        <w:rPr>
          <w:sz w:val="22"/>
          <w:szCs w:val="22"/>
          <w:u w:val="single"/>
          <w:lang w:val="sk-SK"/>
        </w:rPr>
        <w:t xml:space="preserve">Interakcie s inými liekmi </w:t>
      </w:r>
    </w:p>
    <w:p w14:paraId="04A3C230" w14:textId="77777777" w:rsidR="00FF7468" w:rsidRPr="00C101CC" w:rsidRDefault="00FF7468">
      <w:pPr>
        <w:pStyle w:val="Default"/>
        <w:keepNext/>
        <w:rPr>
          <w:i/>
          <w:sz w:val="22"/>
          <w:szCs w:val="22"/>
          <w:lang w:val="sk-SK"/>
        </w:rPr>
      </w:pPr>
      <w:r w:rsidRPr="00C101CC">
        <w:rPr>
          <w:i/>
          <w:sz w:val="22"/>
          <w:szCs w:val="22"/>
          <w:lang w:val="sk-SK"/>
        </w:rPr>
        <w:t>Digoxín</w:t>
      </w:r>
    </w:p>
    <w:p w14:paraId="2E6824AC" w14:textId="77777777" w:rsidR="00FF7468" w:rsidRPr="00C101CC" w:rsidRDefault="00FF7468">
      <w:pPr>
        <w:pStyle w:val="Default"/>
        <w:keepNext/>
        <w:rPr>
          <w:sz w:val="22"/>
          <w:szCs w:val="22"/>
          <w:lang w:val="sk-SK"/>
        </w:rPr>
      </w:pPr>
      <w:r w:rsidRPr="00C101CC">
        <w:rPr>
          <w:sz w:val="22"/>
          <w:szCs w:val="22"/>
          <w:lang w:val="sk-SK"/>
        </w:rPr>
        <w:t>V štúdii po podaní jednej dávky sa plocha pod krivkou plazmatickej koncentrácie digoxínu (AUC) v dôsledku podávania Topamaxu znížila o</w:t>
      </w:r>
      <w:r w:rsidR="003C61AE" w:rsidRPr="00C101CC">
        <w:rPr>
          <w:sz w:val="22"/>
          <w:szCs w:val="22"/>
          <w:lang w:val="sk-SK"/>
        </w:rPr>
        <w:t> </w:t>
      </w:r>
      <w:r w:rsidRPr="00C101CC">
        <w:rPr>
          <w:sz w:val="22"/>
          <w:szCs w:val="22"/>
          <w:lang w:val="sk-SK"/>
        </w:rPr>
        <w:t>12</w:t>
      </w:r>
      <w:r w:rsidR="003C61AE" w:rsidRPr="00C101CC">
        <w:rPr>
          <w:sz w:val="22"/>
          <w:szCs w:val="22"/>
          <w:lang w:val="sk-SK"/>
        </w:rPr>
        <w:t> </w:t>
      </w:r>
      <w:r w:rsidRPr="00C101CC">
        <w:rPr>
          <w:sz w:val="22"/>
          <w:szCs w:val="22"/>
          <w:lang w:val="sk-SK"/>
        </w:rPr>
        <w:t xml:space="preserve">%. Klinická relevantnosť tohto pozorovania </w:t>
      </w:r>
      <w:r w:rsidR="00456927" w:rsidRPr="00C101CC">
        <w:rPr>
          <w:sz w:val="22"/>
          <w:szCs w:val="22"/>
          <w:lang w:val="sk-SK"/>
        </w:rPr>
        <w:t xml:space="preserve">nebola </w:t>
      </w:r>
      <w:r w:rsidRPr="00C101CC">
        <w:rPr>
          <w:sz w:val="22"/>
          <w:szCs w:val="22"/>
          <w:lang w:val="sk-SK"/>
        </w:rPr>
        <w:t xml:space="preserve"> stanovená. Pri pridávaní alebo znižovaní dávky Topamaxu u pacientov liečených digoxínom je potrebné venovať zvýšenú pozornosť rutinnému monitorovaniu hladiny digoxínu v sére.</w:t>
      </w:r>
    </w:p>
    <w:p w14:paraId="6C53A735" w14:textId="77777777" w:rsidR="00FF7468" w:rsidRPr="00C101CC" w:rsidRDefault="00FF7468">
      <w:pPr>
        <w:pStyle w:val="Default"/>
        <w:rPr>
          <w:i/>
          <w:sz w:val="22"/>
          <w:szCs w:val="22"/>
          <w:lang w:val="sk-SK"/>
        </w:rPr>
      </w:pPr>
    </w:p>
    <w:p w14:paraId="60429C74" w14:textId="77777777" w:rsidR="00FF7468" w:rsidRPr="00C101CC" w:rsidRDefault="00FF7468">
      <w:pPr>
        <w:pStyle w:val="Default"/>
        <w:rPr>
          <w:i/>
          <w:sz w:val="22"/>
          <w:szCs w:val="22"/>
          <w:lang w:val="sk-SK"/>
        </w:rPr>
      </w:pPr>
      <w:r w:rsidRPr="00C101CC">
        <w:rPr>
          <w:i/>
          <w:sz w:val="22"/>
          <w:szCs w:val="22"/>
          <w:lang w:val="sk-SK"/>
        </w:rPr>
        <w:t xml:space="preserve">Lieky tlmiace </w:t>
      </w:r>
      <w:r w:rsidR="00495DA7" w:rsidRPr="00C101CC">
        <w:rPr>
          <w:i/>
          <w:sz w:val="22"/>
          <w:szCs w:val="22"/>
          <w:lang w:val="sk-SK"/>
        </w:rPr>
        <w:t>centrálny nervový systém</w:t>
      </w:r>
    </w:p>
    <w:p w14:paraId="1BF1A59C" w14:textId="6C9394D7" w:rsidR="00FF7468" w:rsidRPr="00C101CC" w:rsidRDefault="00FF7468">
      <w:pPr>
        <w:pStyle w:val="Default"/>
        <w:rPr>
          <w:sz w:val="22"/>
          <w:szCs w:val="22"/>
          <w:lang w:val="sk-SK"/>
        </w:rPr>
      </w:pPr>
      <w:r w:rsidRPr="00C101CC">
        <w:rPr>
          <w:sz w:val="22"/>
          <w:szCs w:val="22"/>
          <w:lang w:val="sk-SK"/>
        </w:rPr>
        <w:t>Sú</w:t>
      </w:r>
      <w:r w:rsidR="008C445F" w:rsidRPr="00C101CC">
        <w:rPr>
          <w:sz w:val="22"/>
          <w:szCs w:val="22"/>
          <w:lang w:val="sk-SK"/>
        </w:rPr>
        <w:t>bež</w:t>
      </w:r>
      <w:r w:rsidRPr="00C101CC">
        <w:rPr>
          <w:sz w:val="22"/>
          <w:szCs w:val="22"/>
          <w:lang w:val="sk-SK"/>
        </w:rPr>
        <w:t xml:space="preserve">né podávanie Topamaxu a alkoholu alebo iných liekov tlmiacich </w:t>
      </w:r>
      <w:r w:rsidR="00495DA7" w:rsidRPr="00C101CC">
        <w:rPr>
          <w:sz w:val="22"/>
          <w:szCs w:val="22"/>
          <w:lang w:val="sk-SK"/>
        </w:rPr>
        <w:t>centrálny nervový systém (</w:t>
      </w:r>
      <w:r w:rsidRPr="00C101CC">
        <w:rPr>
          <w:sz w:val="22"/>
          <w:szCs w:val="22"/>
          <w:lang w:val="sk-SK"/>
        </w:rPr>
        <w:t>CNS</w:t>
      </w:r>
      <w:r w:rsidR="00495DA7" w:rsidRPr="00C101CC">
        <w:rPr>
          <w:sz w:val="22"/>
          <w:szCs w:val="22"/>
          <w:lang w:val="sk-SK"/>
        </w:rPr>
        <w:t>)</w:t>
      </w:r>
      <w:r w:rsidRPr="00C101CC">
        <w:rPr>
          <w:sz w:val="22"/>
          <w:szCs w:val="22"/>
          <w:lang w:val="sk-SK"/>
        </w:rPr>
        <w:t xml:space="preserve"> sa</w:t>
      </w:r>
      <w:r w:rsidR="00456927" w:rsidRPr="00C101CC">
        <w:rPr>
          <w:sz w:val="22"/>
          <w:szCs w:val="22"/>
          <w:lang w:val="sk-SK"/>
        </w:rPr>
        <w:t xml:space="preserve"> v klinických štúdiách </w:t>
      </w:r>
      <w:r w:rsidR="00416D93" w:rsidRPr="00C101CC">
        <w:rPr>
          <w:sz w:val="22"/>
          <w:szCs w:val="22"/>
          <w:lang w:val="sk-SK"/>
        </w:rPr>
        <w:t>nehodnotilo</w:t>
      </w:r>
      <w:r w:rsidRPr="00C101CC">
        <w:rPr>
          <w:sz w:val="22"/>
          <w:szCs w:val="22"/>
          <w:lang w:val="sk-SK"/>
        </w:rPr>
        <w:t>. Odporúča sa, aby sa Topamax nepodával sú</w:t>
      </w:r>
      <w:r w:rsidR="008C445F" w:rsidRPr="00C101CC">
        <w:rPr>
          <w:sz w:val="22"/>
          <w:szCs w:val="22"/>
          <w:lang w:val="sk-SK"/>
        </w:rPr>
        <w:t>bež</w:t>
      </w:r>
      <w:r w:rsidRPr="00C101CC">
        <w:rPr>
          <w:sz w:val="22"/>
          <w:szCs w:val="22"/>
          <w:lang w:val="sk-SK"/>
        </w:rPr>
        <w:t>ne s</w:t>
      </w:r>
      <w:r w:rsidR="001765C2" w:rsidRPr="00C101CC">
        <w:rPr>
          <w:sz w:val="22"/>
          <w:szCs w:val="22"/>
          <w:lang w:val="sk-SK"/>
        </w:rPr>
        <w:t> </w:t>
      </w:r>
      <w:r w:rsidRPr="00C101CC">
        <w:rPr>
          <w:sz w:val="22"/>
          <w:szCs w:val="22"/>
          <w:lang w:val="sk-SK"/>
        </w:rPr>
        <w:t>alkoholom alebo inými liekmi tlmiacimi CNS.</w:t>
      </w:r>
    </w:p>
    <w:p w14:paraId="206B1BEE" w14:textId="77777777" w:rsidR="00FF7468" w:rsidRPr="00C101CC" w:rsidRDefault="00FF7468">
      <w:pPr>
        <w:pStyle w:val="Default"/>
        <w:rPr>
          <w:sz w:val="22"/>
          <w:szCs w:val="22"/>
          <w:lang w:val="sk-SK"/>
        </w:rPr>
      </w:pPr>
    </w:p>
    <w:p w14:paraId="481B2D29" w14:textId="77777777" w:rsidR="00FF7468" w:rsidRPr="00C101CC" w:rsidRDefault="00FF7468">
      <w:pPr>
        <w:keepNext/>
        <w:spacing w:line="240" w:lineRule="auto"/>
        <w:rPr>
          <w:i/>
          <w:szCs w:val="22"/>
          <w:lang w:val="sk-SK"/>
        </w:rPr>
      </w:pPr>
      <w:r w:rsidRPr="00C101CC">
        <w:rPr>
          <w:i/>
          <w:szCs w:val="22"/>
          <w:lang w:val="sk-SK"/>
        </w:rPr>
        <w:t>Ľubovník bodkovaný (Hypericum perforatum)</w:t>
      </w:r>
    </w:p>
    <w:p w14:paraId="053B42FD" w14:textId="752C313B" w:rsidR="00FF7468" w:rsidRPr="00C101CC" w:rsidRDefault="00FF7468">
      <w:pPr>
        <w:keepNext/>
        <w:spacing w:line="240" w:lineRule="auto"/>
        <w:rPr>
          <w:szCs w:val="22"/>
          <w:lang w:val="sk-SK"/>
        </w:rPr>
      </w:pPr>
      <w:r w:rsidRPr="00C101CC">
        <w:rPr>
          <w:szCs w:val="22"/>
          <w:lang w:val="sk-SK"/>
        </w:rPr>
        <w:t>Pri sú</w:t>
      </w:r>
      <w:r w:rsidR="008C445F" w:rsidRPr="00C101CC">
        <w:rPr>
          <w:szCs w:val="22"/>
          <w:lang w:val="sk-SK"/>
        </w:rPr>
        <w:t>bež</w:t>
      </w:r>
      <w:r w:rsidRPr="00C101CC">
        <w:rPr>
          <w:szCs w:val="22"/>
          <w:lang w:val="sk-SK"/>
        </w:rPr>
        <w:t xml:space="preserve">nom užívaní topiramátu a ľubovníka bodkovaného sa môže pozorovať riziko zníženia plazmatických koncentrácií, čo môže viesť k strate účinnosti. Nevykonali sa žiadne klinické štúdie, ktoré by hodnotili túto možnú interakciu. </w:t>
      </w:r>
    </w:p>
    <w:p w14:paraId="4D858CE5" w14:textId="77777777" w:rsidR="00FF7468" w:rsidRPr="00C101CC" w:rsidRDefault="00FF7468">
      <w:pPr>
        <w:pStyle w:val="Default"/>
        <w:rPr>
          <w:sz w:val="22"/>
          <w:szCs w:val="22"/>
          <w:lang w:val="sk-SK"/>
        </w:rPr>
      </w:pPr>
    </w:p>
    <w:p w14:paraId="177B14BF" w14:textId="77777777" w:rsidR="00FF7468" w:rsidRPr="00C101CC" w:rsidRDefault="00FF7468">
      <w:pPr>
        <w:pStyle w:val="Default"/>
        <w:rPr>
          <w:i/>
          <w:sz w:val="22"/>
          <w:szCs w:val="22"/>
          <w:lang w:val="sk-SK"/>
        </w:rPr>
      </w:pPr>
      <w:r w:rsidRPr="00C101CC">
        <w:rPr>
          <w:i/>
          <w:sz w:val="22"/>
          <w:szCs w:val="22"/>
          <w:lang w:val="sk-SK"/>
        </w:rPr>
        <w:t>Perorálne kontraceptíva</w:t>
      </w:r>
    </w:p>
    <w:p w14:paraId="54EBAC25" w14:textId="3613A840" w:rsidR="00FF7468" w:rsidRPr="00C101CC" w:rsidRDefault="00FF7468">
      <w:pPr>
        <w:tabs>
          <w:tab w:val="clear" w:pos="567"/>
        </w:tabs>
        <w:suppressAutoHyphens/>
        <w:spacing w:line="240" w:lineRule="auto"/>
        <w:ind w:right="-369"/>
        <w:rPr>
          <w:szCs w:val="22"/>
          <w:lang w:val="sk-SK"/>
        </w:rPr>
      </w:pPr>
      <w:r w:rsidRPr="00C101CC">
        <w:rPr>
          <w:szCs w:val="22"/>
          <w:lang w:val="sk-SK"/>
        </w:rPr>
        <w:t>Vo farmakokinetickej štúdii zameranej na sledovanie interakcií na zdravých dobrovoľní</w:t>
      </w:r>
      <w:r w:rsidR="00456927" w:rsidRPr="00C101CC">
        <w:rPr>
          <w:szCs w:val="22"/>
          <w:lang w:val="sk-SK"/>
        </w:rPr>
        <w:t>čkach</w:t>
      </w:r>
      <w:r w:rsidRPr="00C101CC">
        <w:rPr>
          <w:szCs w:val="22"/>
          <w:lang w:val="sk-SK"/>
        </w:rPr>
        <w:t>, ktor</w:t>
      </w:r>
      <w:r w:rsidR="00456927" w:rsidRPr="00C101CC">
        <w:rPr>
          <w:szCs w:val="22"/>
          <w:lang w:val="sk-SK"/>
        </w:rPr>
        <w:t>é</w:t>
      </w:r>
      <w:r w:rsidRPr="00C101CC">
        <w:rPr>
          <w:szCs w:val="22"/>
          <w:lang w:val="sk-SK"/>
        </w:rPr>
        <w:t xml:space="preserve"> užívali perorálne kontraceptívum s obsahom 1 mg noretisterónu (NET) a 35 µg etinylestradiolu (EE), podávanie Topamaxu pri absencii ďalšej medikácie, v dávkach od 50 do 200 mg/deň, nebolo spojené so štatisticky významnými zmenami plochy pod krivkou (AUC) žiadnej zložky perorálneho kontraceptíva. V inej štúdii bolo zaznamenané štatisticky signifikantné zníženie expozície EE pri dávkach topiramátu 200, 400 a 800 mg/deň (o 18</w:t>
      </w:r>
      <w:r w:rsidR="003C61AE" w:rsidRPr="00C101CC">
        <w:rPr>
          <w:szCs w:val="22"/>
          <w:lang w:val="sk-SK"/>
        </w:rPr>
        <w:t> </w:t>
      </w:r>
      <w:r w:rsidRPr="00C101CC">
        <w:rPr>
          <w:szCs w:val="22"/>
          <w:lang w:val="sk-SK"/>
        </w:rPr>
        <w:t>%, 21</w:t>
      </w:r>
      <w:r w:rsidR="003C61AE" w:rsidRPr="00C101CC">
        <w:rPr>
          <w:szCs w:val="22"/>
          <w:lang w:val="sk-SK"/>
        </w:rPr>
        <w:t> </w:t>
      </w:r>
      <w:r w:rsidRPr="00C101CC">
        <w:rPr>
          <w:szCs w:val="22"/>
          <w:lang w:val="sk-SK"/>
        </w:rPr>
        <w:t>% a</w:t>
      </w:r>
      <w:r w:rsidR="003C61AE" w:rsidRPr="00C101CC">
        <w:rPr>
          <w:szCs w:val="22"/>
          <w:lang w:val="sk-SK"/>
        </w:rPr>
        <w:t> </w:t>
      </w:r>
      <w:r w:rsidRPr="00C101CC">
        <w:rPr>
          <w:szCs w:val="22"/>
          <w:lang w:val="sk-SK"/>
        </w:rPr>
        <w:t>3</w:t>
      </w:r>
      <w:r w:rsidR="003C61AE" w:rsidRPr="00C101CC">
        <w:rPr>
          <w:szCs w:val="22"/>
          <w:lang w:val="sk-SK"/>
        </w:rPr>
        <w:t> </w:t>
      </w:r>
      <w:r w:rsidRPr="00C101CC">
        <w:rPr>
          <w:szCs w:val="22"/>
          <w:lang w:val="sk-SK"/>
        </w:rPr>
        <w:t>0%, v tomto poradí) pri doplnkovej terapii u pacient</w:t>
      </w:r>
      <w:r w:rsidR="00E06E0D" w:rsidRPr="00C101CC">
        <w:rPr>
          <w:szCs w:val="22"/>
          <w:lang w:val="sk-SK"/>
        </w:rPr>
        <w:t>ie</w:t>
      </w:r>
      <w:r w:rsidRPr="00C101CC">
        <w:rPr>
          <w:szCs w:val="22"/>
          <w:lang w:val="sk-SK"/>
        </w:rPr>
        <w:t>k s epilepsiou užívajúcich kyselinu valproovú. V obidvoch štúdiách Topamax (50</w:t>
      </w:r>
      <w:r w:rsidR="0074612F" w:rsidRPr="00C101CC">
        <w:rPr>
          <w:szCs w:val="22"/>
          <w:lang w:val="sk-SK"/>
        </w:rPr>
        <w:t> </w:t>
      </w:r>
      <w:r w:rsidRPr="00C101CC">
        <w:rPr>
          <w:szCs w:val="22"/>
          <w:lang w:val="sk-SK"/>
        </w:rPr>
        <w:t>-</w:t>
      </w:r>
      <w:r w:rsidR="0074612F" w:rsidRPr="00C101CC">
        <w:rPr>
          <w:szCs w:val="22"/>
          <w:lang w:val="sk-SK"/>
        </w:rPr>
        <w:t> </w:t>
      </w:r>
      <w:r w:rsidRPr="00C101CC">
        <w:rPr>
          <w:szCs w:val="22"/>
          <w:lang w:val="sk-SK"/>
        </w:rPr>
        <w:t>200 mg/deň u zdravých dobrovoľní</w:t>
      </w:r>
      <w:r w:rsidR="004A436A" w:rsidRPr="00C101CC">
        <w:rPr>
          <w:szCs w:val="22"/>
          <w:lang w:val="sk-SK"/>
        </w:rPr>
        <w:t>čok</w:t>
      </w:r>
      <w:r w:rsidRPr="00C101CC">
        <w:rPr>
          <w:szCs w:val="22"/>
          <w:lang w:val="sk-SK"/>
        </w:rPr>
        <w:t xml:space="preserve"> a</w:t>
      </w:r>
      <w:r w:rsidR="0074612F" w:rsidRPr="00C101CC">
        <w:rPr>
          <w:szCs w:val="22"/>
          <w:lang w:val="sk-SK"/>
        </w:rPr>
        <w:t> </w:t>
      </w:r>
      <w:r w:rsidRPr="00C101CC">
        <w:rPr>
          <w:szCs w:val="22"/>
          <w:lang w:val="sk-SK"/>
        </w:rPr>
        <w:t>200</w:t>
      </w:r>
      <w:r w:rsidR="0074612F" w:rsidRPr="00C101CC">
        <w:rPr>
          <w:szCs w:val="22"/>
          <w:lang w:val="sk-SK"/>
        </w:rPr>
        <w:t> </w:t>
      </w:r>
      <w:r w:rsidRPr="00C101CC">
        <w:rPr>
          <w:szCs w:val="22"/>
          <w:lang w:val="sk-SK"/>
        </w:rPr>
        <w:t>-</w:t>
      </w:r>
      <w:r w:rsidR="0074612F" w:rsidRPr="00C101CC">
        <w:rPr>
          <w:szCs w:val="22"/>
          <w:lang w:val="sk-SK"/>
        </w:rPr>
        <w:t> </w:t>
      </w:r>
      <w:r w:rsidRPr="00C101CC">
        <w:rPr>
          <w:szCs w:val="22"/>
          <w:lang w:val="sk-SK"/>
        </w:rPr>
        <w:t>800 mg/deň u pacient</w:t>
      </w:r>
      <w:r w:rsidR="004A7FE7" w:rsidRPr="00C101CC">
        <w:rPr>
          <w:szCs w:val="22"/>
          <w:lang w:val="sk-SK"/>
        </w:rPr>
        <w:t>ie</w:t>
      </w:r>
      <w:r w:rsidRPr="00C101CC">
        <w:rPr>
          <w:szCs w:val="22"/>
          <w:lang w:val="sk-SK"/>
        </w:rPr>
        <w:t xml:space="preserve">k s epilepsiou) signifikantne neovplyvnil </w:t>
      </w:r>
      <w:r w:rsidR="004A436A" w:rsidRPr="00C101CC">
        <w:rPr>
          <w:szCs w:val="22"/>
          <w:lang w:val="sk-SK"/>
        </w:rPr>
        <w:t>expozíciu</w:t>
      </w:r>
      <w:r w:rsidRPr="00C101CC">
        <w:rPr>
          <w:szCs w:val="22"/>
          <w:lang w:val="sk-SK"/>
        </w:rPr>
        <w:t xml:space="preserve"> NET. Hoci pri dávkach 200</w:t>
      </w:r>
      <w:r w:rsidR="0074612F" w:rsidRPr="00C101CC">
        <w:rPr>
          <w:szCs w:val="22"/>
          <w:lang w:val="sk-SK"/>
        </w:rPr>
        <w:t> </w:t>
      </w:r>
      <w:r w:rsidRPr="00C101CC">
        <w:rPr>
          <w:szCs w:val="22"/>
          <w:lang w:val="sk-SK"/>
        </w:rPr>
        <w:t>-</w:t>
      </w:r>
      <w:r w:rsidR="0074612F" w:rsidRPr="00C101CC">
        <w:rPr>
          <w:szCs w:val="22"/>
          <w:lang w:val="sk-SK"/>
        </w:rPr>
        <w:t> </w:t>
      </w:r>
      <w:r w:rsidRPr="00C101CC">
        <w:rPr>
          <w:szCs w:val="22"/>
          <w:lang w:val="sk-SK"/>
        </w:rPr>
        <w:t xml:space="preserve">800 mg/deň bolo pozorované od dávky závislé zníženie </w:t>
      </w:r>
      <w:r w:rsidR="004A436A" w:rsidRPr="00C101CC">
        <w:rPr>
          <w:szCs w:val="22"/>
          <w:lang w:val="sk-SK"/>
        </w:rPr>
        <w:t xml:space="preserve">expozície </w:t>
      </w:r>
      <w:r w:rsidRPr="00C101CC">
        <w:rPr>
          <w:szCs w:val="22"/>
          <w:lang w:val="sk-SK"/>
        </w:rPr>
        <w:t>EE (u pacient</w:t>
      </w:r>
      <w:r w:rsidR="004A7FE7" w:rsidRPr="00C101CC">
        <w:rPr>
          <w:szCs w:val="22"/>
          <w:lang w:val="sk-SK"/>
        </w:rPr>
        <w:t>ie</w:t>
      </w:r>
      <w:r w:rsidRPr="00C101CC">
        <w:rPr>
          <w:szCs w:val="22"/>
          <w:lang w:val="sk-SK"/>
        </w:rPr>
        <w:t>k s epilepsiou), pri dávkach 50</w:t>
      </w:r>
      <w:r w:rsidR="0074612F" w:rsidRPr="00C101CC">
        <w:rPr>
          <w:szCs w:val="22"/>
          <w:lang w:val="sk-SK"/>
        </w:rPr>
        <w:t> </w:t>
      </w:r>
      <w:r w:rsidRPr="00C101CC">
        <w:rPr>
          <w:szCs w:val="22"/>
          <w:lang w:val="sk-SK"/>
        </w:rPr>
        <w:t>-</w:t>
      </w:r>
      <w:r w:rsidR="0074612F" w:rsidRPr="00C101CC">
        <w:rPr>
          <w:szCs w:val="22"/>
          <w:lang w:val="sk-SK"/>
        </w:rPr>
        <w:t> </w:t>
      </w:r>
      <w:r w:rsidRPr="00C101CC">
        <w:rPr>
          <w:szCs w:val="22"/>
          <w:lang w:val="sk-SK"/>
        </w:rPr>
        <w:t xml:space="preserve">200 mg/deň neboli pozorované signifikantné zmeny </w:t>
      </w:r>
      <w:r w:rsidR="004A436A" w:rsidRPr="00C101CC">
        <w:rPr>
          <w:szCs w:val="22"/>
          <w:lang w:val="sk-SK"/>
        </w:rPr>
        <w:t>expozície</w:t>
      </w:r>
      <w:r w:rsidR="002D75ED" w:rsidRPr="00C101CC">
        <w:rPr>
          <w:szCs w:val="22"/>
          <w:lang w:val="sk-SK"/>
        </w:rPr>
        <w:t xml:space="preserve"> EE (u </w:t>
      </w:r>
      <w:r w:rsidRPr="00C101CC">
        <w:rPr>
          <w:szCs w:val="22"/>
          <w:lang w:val="sk-SK"/>
        </w:rPr>
        <w:t>zdravých dobrovoľníkov). Klinický význam pozorovaných zmien nie je známy. Je potrebné brať do úvahy možnosť zníženia antikoncepčnej účinnosti a zvýšenie možnosti intermenštruačného krvácania u pacient</w:t>
      </w:r>
      <w:r w:rsidR="004A7FE7" w:rsidRPr="00C101CC">
        <w:rPr>
          <w:szCs w:val="22"/>
          <w:lang w:val="sk-SK"/>
        </w:rPr>
        <w:t>ie</w:t>
      </w:r>
      <w:r w:rsidRPr="00C101CC">
        <w:rPr>
          <w:szCs w:val="22"/>
          <w:lang w:val="sk-SK"/>
        </w:rPr>
        <w:t>k užívajúcich kombinované perorálne kontraceptíva spolu s Topamaxom. Pacientky užívajúce perorálne kontraceptíva s obsahom estrogénu majú byť oboznámené s tým, že akékoľvek zmeny menštruačného cyklu musia okamžite oznámiť svojmu lekárovi. Antikoncepčná účinnosť môže byť znížená aj pri absencii intermenštruačného krvácania.</w:t>
      </w:r>
    </w:p>
    <w:p w14:paraId="7037F3DC" w14:textId="28D1C756" w:rsidR="00FF7468" w:rsidRPr="00C101CC" w:rsidRDefault="00FF7468">
      <w:pPr>
        <w:pStyle w:val="Default"/>
        <w:rPr>
          <w:sz w:val="22"/>
          <w:szCs w:val="22"/>
          <w:lang w:val="sk-SK"/>
        </w:rPr>
      </w:pPr>
    </w:p>
    <w:p w14:paraId="2D9338C2" w14:textId="77777777" w:rsidR="00FF7468" w:rsidRPr="00C101CC" w:rsidRDefault="00FF7468">
      <w:pPr>
        <w:pStyle w:val="Default"/>
        <w:keepNext/>
        <w:rPr>
          <w:i/>
          <w:sz w:val="22"/>
          <w:szCs w:val="22"/>
          <w:lang w:val="sk-SK"/>
        </w:rPr>
      </w:pPr>
      <w:r w:rsidRPr="00C101CC">
        <w:rPr>
          <w:i/>
          <w:sz w:val="22"/>
          <w:szCs w:val="22"/>
          <w:lang w:val="sk-SK"/>
        </w:rPr>
        <w:t>Lítium</w:t>
      </w:r>
    </w:p>
    <w:p w14:paraId="6F905408" w14:textId="28D4FA5B" w:rsidR="00FF7468" w:rsidRPr="00C101CC" w:rsidRDefault="00FF7468">
      <w:pPr>
        <w:pStyle w:val="Default"/>
        <w:keepNext/>
        <w:rPr>
          <w:i/>
          <w:sz w:val="22"/>
          <w:szCs w:val="22"/>
          <w:lang w:val="sk-SK"/>
        </w:rPr>
      </w:pPr>
      <w:r w:rsidRPr="00C101CC">
        <w:rPr>
          <w:color w:val="000000"/>
          <w:sz w:val="22"/>
          <w:szCs w:val="22"/>
          <w:lang w:val="sk-SK"/>
        </w:rPr>
        <w:t>U zdravých dobrovoľníkov sa počas sú</w:t>
      </w:r>
      <w:r w:rsidR="008C445F" w:rsidRPr="00C101CC">
        <w:rPr>
          <w:color w:val="000000"/>
          <w:sz w:val="22"/>
          <w:szCs w:val="22"/>
          <w:lang w:val="sk-SK"/>
        </w:rPr>
        <w:t>bež</w:t>
      </w:r>
      <w:r w:rsidRPr="00C101CC">
        <w:rPr>
          <w:color w:val="000000"/>
          <w:sz w:val="22"/>
          <w:szCs w:val="22"/>
          <w:lang w:val="sk-SK"/>
        </w:rPr>
        <w:t xml:space="preserve">ného podávania topiramátu </w:t>
      </w:r>
      <w:r w:rsidR="00071686" w:rsidRPr="00C101CC">
        <w:rPr>
          <w:color w:val="000000"/>
          <w:sz w:val="22"/>
          <w:szCs w:val="22"/>
          <w:lang w:val="sk-SK"/>
        </w:rPr>
        <w:t xml:space="preserve">v dávke </w:t>
      </w:r>
      <w:r w:rsidRPr="00C101CC">
        <w:rPr>
          <w:color w:val="000000"/>
          <w:sz w:val="22"/>
          <w:szCs w:val="22"/>
          <w:lang w:val="sk-SK"/>
        </w:rPr>
        <w:t>200 mg/deň pozorovala redukcia (18</w:t>
      </w:r>
      <w:r w:rsidR="003C61AE" w:rsidRPr="00C101CC">
        <w:rPr>
          <w:color w:val="000000"/>
          <w:sz w:val="22"/>
          <w:szCs w:val="22"/>
          <w:lang w:val="sk-SK"/>
        </w:rPr>
        <w:t> </w:t>
      </w:r>
      <w:r w:rsidRPr="00C101CC">
        <w:rPr>
          <w:color w:val="000000"/>
          <w:sz w:val="22"/>
          <w:szCs w:val="22"/>
          <w:lang w:val="sk-SK"/>
        </w:rPr>
        <w:t>% AUC) systémovej expozície líti</w:t>
      </w:r>
      <w:r w:rsidR="00071686" w:rsidRPr="00C101CC">
        <w:rPr>
          <w:color w:val="000000"/>
          <w:sz w:val="22"/>
          <w:szCs w:val="22"/>
          <w:lang w:val="sk-SK"/>
        </w:rPr>
        <w:t>u</w:t>
      </w:r>
      <w:r w:rsidRPr="00C101CC">
        <w:rPr>
          <w:color w:val="000000"/>
          <w:sz w:val="22"/>
          <w:szCs w:val="22"/>
          <w:lang w:val="sk-SK"/>
        </w:rPr>
        <w:t>. U pacientov s bipolárnou poruchou sa farmakokinetika lítia počas liečby topiramátom v dávkach 200</w:t>
      </w:r>
      <w:r w:rsidR="00215D65" w:rsidRPr="00C101CC">
        <w:rPr>
          <w:color w:val="000000"/>
          <w:sz w:val="22"/>
          <w:szCs w:val="22"/>
          <w:lang w:val="sk-SK"/>
        </w:rPr>
        <w:t> </w:t>
      </w:r>
      <w:r w:rsidRPr="00C101CC">
        <w:rPr>
          <w:color w:val="000000"/>
          <w:sz w:val="22"/>
          <w:szCs w:val="22"/>
          <w:lang w:val="sk-SK"/>
        </w:rPr>
        <w:t>mg/deň nezmenila, ale pozorovalo sa zvýšenie systémovej expozície (26</w:t>
      </w:r>
      <w:r w:rsidR="003C61AE" w:rsidRPr="00C101CC">
        <w:rPr>
          <w:color w:val="000000"/>
          <w:sz w:val="22"/>
          <w:szCs w:val="22"/>
          <w:lang w:val="sk-SK"/>
        </w:rPr>
        <w:t> </w:t>
      </w:r>
      <w:r w:rsidRPr="00C101CC">
        <w:rPr>
          <w:color w:val="000000"/>
          <w:sz w:val="22"/>
          <w:szCs w:val="22"/>
          <w:lang w:val="sk-SK"/>
        </w:rPr>
        <w:t>% AUC) pri podávaní topiramátu v dávkach do 600 mg/deň. Pri</w:t>
      </w:r>
      <w:r w:rsidR="00F500EF" w:rsidRPr="00C101CC">
        <w:rPr>
          <w:color w:val="000000"/>
          <w:sz w:val="22"/>
          <w:szCs w:val="22"/>
          <w:lang w:val="sk-SK"/>
        </w:rPr>
        <w:t> </w:t>
      </w:r>
      <w:r w:rsidRPr="00C101CC">
        <w:rPr>
          <w:color w:val="000000"/>
          <w:sz w:val="22"/>
          <w:szCs w:val="22"/>
          <w:lang w:val="sk-SK"/>
        </w:rPr>
        <w:t>sú</w:t>
      </w:r>
      <w:r w:rsidR="008C445F" w:rsidRPr="00C101CC">
        <w:rPr>
          <w:color w:val="000000"/>
          <w:sz w:val="22"/>
          <w:szCs w:val="22"/>
          <w:lang w:val="sk-SK"/>
        </w:rPr>
        <w:t>bež</w:t>
      </w:r>
      <w:r w:rsidRPr="00C101CC">
        <w:rPr>
          <w:color w:val="000000"/>
          <w:sz w:val="22"/>
          <w:szCs w:val="22"/>
          <w:lang w:val="sk-SK"/>
        </w:rPr>
        <w:t xml:space="preserve">nom podávaní s topiramátom sa má hladina lítia </w:t>
      </w:r>
      <w:r w:rsidR="00071686" w:rsidRPr="00C101CC">
        <w:rPr>
          <w:color w:val="000000"/>
          <w:sz w:val="22"/>
          <w:szCs w:val="22"/>
          <w:lang w:val="sk-SK"/>
        </w:rPr>
        <w:t>monitorovať</w:t>
      </w:r>
      <w:r w:rsidRPr="00C101CC">
        <w:rPr>
          <w:color w:val="000000"/>
          <w:sz w:val="22"/>
          <w:szCs w:val="22"/>
          <w:lang w:val="sk-SK"/>
        </w:rPr>
        <w:t>.</w:t>
      </w:r>
    </w:p>
    <w:p w14:paraId="0EF4A9C6" w14:textId="77777777" w:rsidR="00FF7468" w:rsidRPr="00C101CC" w:rsidRDefault="00FF7468">
      <w:pPr>
        <w:pStyle w:val="Default"/>
        <w:rPr>
          <w:i/>
          <w:sz w:val="22"/>
          <w:szCs w:val="22"/>
          <w:lang w:val="sk-SK"/>
        </w:rPr>
      </w:pPr>
    </w:p>
    <w:p w14:paraId="5B21D5F0" w14:textId="14C25812" w:rsidR="00FF7468" w:rsidRPr="00C101CC" w:rsidRDefault="00FF7468">
      <w:pPr>
        <w:pStyle w:val="Default"/>
        <w:keepNext/>
        <w:rPr>
          <w:i/>
          <w:sz w:val="22"/>
          <w:szCs w:val="22"/>
          <w:lang w:val="sk-SK"/>
        </w:rPr>
      </w:pPr>
      <w:r w:rsidRPr="00C101CC">
        <w:rPr>
          <w:i/>
          <w:sz w:val="22"/>
          <w:szCs w:val="22"/>
          <w:lang w:val="sk-SK"/>
        </w:rPr>
        <w:t>Ri</w:t>
      </w:r>
      <w:r w:rsidR="00353B04" w:rsidRPr="00C101CC">
        <w:rPr>
          <w:i/>
          <w:sz w:val="22"/>
          <w:szCs w:val="22"/>
          <w:lang w:val="sk-SK"/>
        </w:rPr>
        <w:t>s</w:t>
      </w:r>
      <w:r w:rsidRPr="00C101CC">
        <w:rPr>
          <w:i/>
          <w:sz w:val="22"/>
          <w:szCs w:val="22"/>
          <w:lang w:val="sk-SK"/>
        </w:rPr>
        <w:t>peridón</w:t>
      </w:r>
    </w:p>
    <w:p w14:paraId="2F4D54F2" w14:textId="5D48A646" w:rsidR="00FF7468" w:rsidRPr="00C101CC" w:rsidRDefault="00FF7468">
      <w:pPr>
        <w:pStyle w:val="Default"/>
        <w:keepNext/>
        <w:rPr>
          <w:spacing w:val="-3"/>
          <w:sz w:val="22"/>
          <w:szCs w:val="22"/>
          <w:lang w:val="sk-SK"/>
        </w:rPr>
      </w:pPr>
      <w:r w:rsidRPr="00C101CC">
        <w:rPr>
          <w:sz w:val="22"/>
          <w:szCs w:val="22"/>
          <w:lang w:val="sk-SK"/>
        </w:rPr>
        <w:t>Štúdie liekových interakcií po jednorazovom podaní zdravým dobrovoľníkom a opakovanom podaní  pacientom s bipolárnou poruchou viedli k podobným výsledkom. Keď sa podával sú</w:t>
      </w:r>
      <w:r w:rsidR="008C445F" w:rsidRPr="00C101CC">
        <w:rPr>
          <w:sz w:val="22"/>
          <w:szCs w:val="22"/>
          <w:lang w:val="sk-SK"/>
        </w:rPr>
        <w:t>bež</w:t>
      </w:r>
      <w:r w:rsidRPr="00C101CC">
        <w:rPr>
          <w:sz w:val="22"/>
          <w:szCs w:val="22"/>
          <w:lang w:val="sk-SK"/>
        </w:rPr>
        <w:t>ne s topiramátom vo zvyšujúcich sa dávkach 100, 250 a 400 mg/deň, zaznamenala sa redukcia systémovej expozície (</w:t>
      </w:r>
      <w:r w:rsidRPr="00C101CC">
        <w:rPr>
          <w:spacing w:val="-3"/>
          <w:sz w:val="22"/>
          <w:szCs w:val="22"/>
          <w:lang w:val="sk-SK"/>
        </w:rPr>
        <w:t xml:space="preserve">16 % a 33 % pre </w:t>
      </w:r>
      <w:r w:rsidR="00071686" w:rsidRPr="00C101CC">
        <w:rPr>
          <w:spacing w:val="-3"/>
          <w:sz w:val="22"/>
          <w:szCs w:val="22"/>
          <w:lang w:val="sk-SK"/>
        </w:rPr>
        <w:t xml:space="preserve">rovnovážny </w:t>
      </w:r>
      <w:r w:rsidRPr="00C101CC">
        <w:rPr>
          <w:spacing w:val="-3"/>
          <w:sz w:val="22"/>
          <w:szCs w:val="22"/>
          <w:lang w:val="sk-SK"/>
        </w:rPr>
        <w:t xml:space="preserve">stav AUC </w:t>
      </w:r>
      <w:r w:rsidR="00071686" w:rsidRPr="00C101CC">
        <w:rPr>
          <w:spacing w:val="-3"/>
          <w:sz w:val="22"/>
          <w:szCs w:val="22"/>
          <w:lang w:val="sk-SK"/>
        </w:rPr>
        <w:t>pre</w:t>
      </w:r>
      <w:r w:rsidRPr="00C101CC">
        <w:rPr>
          <w:spacing w:val="-3"/>
          <w:sz w:val="22"/>
          <w:szCs w:val="22"/>
          <w:lang w:val="sk-SK"/>
        </w:rPr>
        <w:t xml:space="preserve"> dávk</w:t>
      </w:r>
      <w:r w:rsidR="00071686" w:rsidRPr="00C101CC">
        <w:rPr>
          <w:spacing w:val="-3"/>
          <w:sz w:val="22"/>
          <w:szCs w:val="22"/>
          <w:lang w:val="sk-SK"/>
        </w:rPr>
        <w:t>y</w:t>
      </w:r>
      <w:r w:rsidRPr="00C101CC">
        <w:rPr>
          <w:spacing w:val="-3"/>
          <w:sz w:val="22"/>
          <w:szCs w:val="22"/>
          <w:lang w:val="sk-SK"/>
        </w:rPr>
        <w:t xml:space="preserve"> 250 a 400 mg/deň v tomto poradí) ri</w:t>
      </w:r>
      <w:r w:rsidR="004A7FE7" w:rsidRPr="00C101CC">
        <w:rPr>
          <w:spacing w:val="-3"/>
          <w:sz w:val="22"/>
          <w:szCs w:val="22"/>
          <w:lang w:val="sk-SK"/>
        </w:rPr>
        <w:t>s</w:t>
      </w:r>
      <w:r w:rsidRPr="00C101CC">
        <w:rPr>
          <w:spacing w:val="-3"/>
          <w:sz w:val="22"/>
          <w:szCs w:val="22"/>
          <w:lang w:val="sk-SK"/>
        </w:rPr>
        <w:t>peridónu (podávaného v dávkach od 1 do 6</w:t>
      </w:r>
      <w:r w:rsidR="00F500EF" w:rsidRPr="00C101CC">
        <w:rPr>
          <w:spacing w:val="-3"/>
          <w:sz w:val="22"/>
          <w:szCs w:val="22"/>
          <w:lang w:val="sk-SK"/>
        </w:rPr>
        <w:t> </w:t>
      </w:r>
      <w:r w:rsidRPr="00C101CC">
        <w:rPr>
          <w:spacing w:val="-3"/>
          <w:sz w:val="22"/>
          <w:szCs w:val="22"/>
          <w:lang w:val="sk-SK"/>
        </w:rPr>
        <w:t>mg denne).</w:t>
      </w:r>
      <w:r w:rsidRPr="00C101CC">
        <w:rPr>
          <w:sz w:val="22"/>
          <w:szCs w:val="22"/>
          <w:lang w:val="sk-SK"/>
        </w:rPr>
        <w:t xml:space="preserve"> Rozdiely v AUC celkovej účinnej </w:t>
      </w:r>
      <w:r w:rsidR="007B0707" w:rsidRPr="00C101CC">
        <w:rPr>
          <w:sz w:val="22"/>
          <w:szCs w:val="22"/>
          <w:lang w:val="sk-SK"/>
        </w:rPr>
        <w:t xml:space="preserve">frakcie liečiva </w:t>
      </w:r>
      <w:r w:rsidRPr="00C101CC">
        <w:rPr>
          <w:sz w:val="22"/>
          <w:szCs w:val="22"/>
          <w:lang w:val="sk-SK"/>
        </w:rPr>
        <w:t>pri liečbe samotným ri</w:t>
      </w:r>
      <w:r w:rsidR="004A7FE7" w:rsidRPr="00C101CC">
        <w:rPr>
          <w:sz w:val="22"/>
          <w:szCs w:val="22"/>
          <w:lang w:val="sk-SK"/>
        </w:rPr>
        <w:t>s</w:t>
      </w:r>
      <w:r w:rsidRPr="00C101CC">
        <w:rPr>
          <w:sz w:val="22"/>
          <w:szCs w:val="22"/>
          <w:lang w:val="sk-SK"/>
        </w:rPr>
        <w:t>peridónom a kombinovanou liečbou s topiramátom neboli však štatisticky významné. Pozorovala sa minimálna zmena farmakokinetiky celkovej účinnej</w:t>
      </w:r>
      <w:r w:rsidR="007B0707" w:rsidRPr="00C101CC">
        <w:rPr>
          <w:sz w:val="22"/>
          <w:szCs w:val="22"/>
          <w:lang w:val="sk-SK"/>
        </w:rPr>
        <w:t xml:space="preserve"> frakcie</w:t>
      </w:r>
      <w:r w:rsidRPr="00C101CC">
        <w:rPr>
          <w:sz w:val="22"/>
          <w:szCs w:val="22"/>
          <w:lang w:val="sk-SK"/>
        </w:rPr>
        <w:t xml:space="preserve"> </w:t>
      </w:r>
      <w:r w:rsidR="007B0707" w:rsidRPr="00C101CC">
        <w:rPr>
          <w:sz w:val="22"/>
          <w:szCs w:val="22"/>
          <w:lang w:val="sk-SK"/>
        </w:rPr>
        <w:t>liečiva</w:t>
      </w:r>
      <w:r w:rsidR="007B0707" w:rsidRPr="00C101CC">
        <w:rPr>
          <w:spacing w:val="-3"/>
          <w:sz w:val="22"/>
          <w:szCs w:val="22"/>
          <w:lang w:val="sk-SK"/>
        </w:rPr>
        <w:t xml:space="preserve"> </w:t>
      </w:r>
      <w:r w:rsidRPr="00C101CC">
        <w:rPr>
          <w:spacing w:val="-3"/>
          <w:sz w:val="22"/>
          <w:szCs w:val="22"/>
          <w:lang w:val="sk-SK"/>
        </w:rPr>
        <w:t>(ri</w:t>
      </w:r>
      <w:r w:rsidR="004A7FE7" w:rsidRPr="00C101CC">
        <w:rPr>
          <w:spacing w:val="-3"/>
          <w:sz w:val="22"/>
          <w:szCs w:val="22"/>
          <w:lang w:val="sk-SK"/>
        </w:rPr>
        <w:t>s</w:t>
      </w:r>
      <w:r w:rsidRPr="00C101CC">
        <w:rPr>
          <w:spacing w:val="-3"/>
          <w:sz w:val="22"/>
          <w:szCs w:val="22"/>
          <w:lang w:val="sk-SK"/>
        </w:rPr>
        <w:t>peridón plus 9-hydroxyri</w:t>
      </w:r>
      <w:r w:rsidR="004A7FE7" w:rsidRPr="00C101CC">
        <w:rPr>
          <w:spacing w:val="-3"/>
          <w:sz w:val="22"/>
          <w:szCs w:val="22"/>
          <w:lang w:val="sk-SK"/>
        </w:rPr>
        <w:t>s</w:t>
      </w:r>
      <w:r w:rsidRPr="00C101CC">
        <w:rPr>
          <w:spacing w:val="-3"/>
          <w:sz w:val="22"/>
          <w:szCs w:val="22"/>
          <w:lang w:val="sk-SK"/>
        </w:rPr>
        <w:t>peridón) a nezaznamenala sa žiadna zmena farmakokinetiky samotného 9-hydroxyri</w:t>
      </w:r>
      <w:r w:rsidR="00624DF5" w:rsidRPr="00C101CC">
        <w:rPr>
          <w:spacing w:val="-3"/>
          <w:sz w:val="22"/>
          <w:szCs w:val="22"/>
          <w:lang w:val="sk-SK"/>
        </w:rPr>
        <w:t>z</w:t>
      </w:r>
      <w:r w:rsidRPr="00C101CC">
        <w:rPr>
          <w:spacing w:val="-3"/>
          <w:sz w:val="22"/>
          <w:szCs w:val="22"/>
          <w:lang w:val="sk-SK"/>
        </w:rPr>
        <w:t>peridónu. Nezaznamenali sa žiadne signifikantné zmeny v systémovej expozícii celkovej účinnej frakcie ri</w:t>
      </w:r>
      <w:r w:rsidR="004A7FE7" w:rsidRPr="00C101CC">
        <w:rPr>
          <w:spacing w:val="-3"/>
          <w:sz w:val="22"/>
          <w:szCs w:val="22"/>
          <w:lang w:val="sk-SK"/>
        </w:rPr>
        <w:t>s</w:t>
      </w:r>
      <w:r w:rsidRPr="00C101CC">
        <w:rPr>
          <w:spacing w:val="-3"/>
          <w:sz w:val="22"/>
          <w:szCs w:val="22"/>
          <w:lang w:val="sk-SK"/>
        </w:rPr>
        <w:t>peridónu alebo topiramátu. Po pridaní topiramátu k liečbe ri</w:t>
      </w:r>
      <w:r w:rsidR="004A7FE7" w:rsidRPr="00C101CC">
        <w:rPr>
          <w:spacing w:val="-3"/>
          <w:sz w:val="22"/>
          <w:szCs w:val="22"/>
          <w:lang w:val="sk-SK"/>
        </w:rPr>
        <w:t>s</w:t>
      </w:r>
      <w:r w:rsidRPr="00C101CC">
        <w:rPr>
          <w:spacing w:val="-3"/>
          <w:sz w:val="22"/>
          <w:szCs w:val="22"/>
          <w:lang w:val="sk-SK"/>
        </w:rPr>
        <w:t>peridónom (1</w:t>
      </w:r>
      <w:r w:rsidR="002D75ED" w:rsidRPr="00C101CC">
        <w:rPr>
          <w:spacing w:val="-3"/>
          <w:sz w:val="22"/>
          <w:szCs w:val="22"/>
          <w:lang w:val="sk-SK"/>
        </w:rPr>
        <w:t> - 6 </w:t>
      </w:r>
      <w:r w:rsidRPr="00C101CC">
        <w:rPr>
          <w:spacing w:val="-3"/>
          <w:sz w:val="22"/>
          <w:szCs w:val="22"/>
          <w:lang w:val="sk-SK"/>
        </w:rPr>
        <w:t xml:space="preserve">mg/deň) sa vyskytovali </w:t>
      </w:r>
      <w:r w:rsidR="003C61AE" w:rsidRPr="00C101CC">
        <w:rPr>
          <w:spacing w:val="-3"/>
          <w:sz w:val="22"/>
          <w:szCs w:val="22"/>
          <w:lang w:val="sk-SK"/>
        </w:rPr>
        <w:t xml:space="preserve"> nežiaduce účinky častejšie (90 </w:t>
      </w:r>
      <w:r w:rsidRPr="00C101CC">
        <w:rPr>
          <w:spacing w:val="-3"/>
          <w:sz w:val="22"/>
          <w:szCs w:val="22"/>
          <w:lang w:val="sk-SK"/>
        </w:rPr>
        <w:t xml:space="preserve">% </w:t>
      </w:r>
      <w:r w:rsidR="007B0707" w:rsidRPr="00C101CC">
        <w:rPr>
          <w:spacing w:val="-3"/>
          <w:sz w:val="22"/>
          <w:szCs w:val="22"/>
          <w:lang w:val="sk-SK"/>
        </w:rPr>
        <w:t>a</w:t>
      </w:r>
      <w:r w:rsidR="003C61AE" w:rsidRPr="00C101CC">
        <w:rPr>
          <w:spacing w:val="-3"/>
          <w:sz w:val="22"/>
          <w:szCs w:val="22"/>
          <w:lang w:val="sk-SK"/>
        </w:rPr>
        <w:t> </w:t>
      </w:r>
      <w:r w:rsidRPr="00C101CC">
        <w:rPr>
          <w:spacing w:val="-3"/>
          <w:sz w:val="22"/>
          <w:szCs w:val="22"/>
          <w:lang w:val="sk-SK"/>
        </w:rPr>
        <w:t>54</w:t>
      </w:r>
      <w:r w:rsidR="003C61AE" w:rsidRPr="00C101CC">
        <w:rPr>
          <w:spacing w:val="-3"/>
          <w:sz w:val="22"/>
          <w:szCs w:val="22"/>
          <w:lang w:val="sk-SK"/>
        </w:rPr>
        <w:t> </w:t>
      </w:r>
      <w:r w:rsidRPr="00C101CC">
        <w:rPr>
          <w:spacing w:val="-3"/>
          <w:sz w:val="22"/>
          <w:szCs w:val="22"/>
          <w:lang w:val="sk-SK"/>
        </w:rPr>
        <w:t>%) ako pred pridaním topiramátu (250</w:t>
      </w:r>
      <w:r w:rsidR="00F500EF" w:rsidRPr="00C101CC">
        <w:rPr>
          <w:spacing w:val="-3"/>
          <w:sz w:val="22"/>
          <w:szCs w:val="22"/>
          <w:lang w:val="sk-SK"/>
        </w:rPr>
        <w:noBreakHyphen/>
      </w:r>
      <w:r w:rsidRPr="00C101CC">
        <w:rPr>
          <w:spacing w:val="-3"/>
          <w:sz w:val="22"/>
          <w:szCs w:val="22"/>
          <w:lang w:val="sk-SK"/>
        </w:rPr>
        <w:t>400</w:t>
      </w:r>
      <w:r w:rsidR="00215D65" w:rsidRPr="00C101CC">
        <w:rPr>
          <w:spacing w:val="-3"/>
          <w:sz w:val="22"/>
          <w:szCs w:val="22"/>
          <w:lang w:val="sk-SK"/>
        </w:rPr>
        <w:t> </w:t>
      </w:r>
      <w:r w:rsidRPr="00C101CC">
        <w:rPr>
          <w:spacing w:val="-3"/>
          <w:sz w:val="22"/>
          <w:szCs w:val="22"/>
          <w:lang w:val="sk-SK"/>
        </w:rPr>
        <w:t>mg/deň). Najčastejšie hlásené nežiaduce účinky po pridaní topiramátu k liečbe ri</w:t>
      </w:r>
      <w:r w:rsidR="004A7FE7" w:rsidRPr="00C101CC">
        <w:rPr>
          <w:spacing w:val="-3"/>
          <w:sz w:val="22"/>
          <w:szCs w:val="22"/>
          <w:lang w:val="sk-SK"/>
        </w:rPr>
        <w:t>s</w:t>
      </w:r>
      <w:r w:rsidR="003C61AE" w:rsidRPr="00C101CC">
        <w:rPr>
          <w:spacing w:val="-3"/>
          <w:sz w:val="22"/>
          <w:szCs w:val="22"/>
          <w:lang w:val="sk-SK"/>
        </w:rPr>
        <w:t>peridónom boli: somnolencia (27 % a 12 %), parestézia (22 </w:t>
      </w:r>
      <w:r w:rsidRPr="00C101CC">
        <w:rPr>
          <w:spacing w:val="-3"/>
          <w:sz w:val="22"/>
          <w:szCs w:val="22"/>
          <w:lang w:val="sk-SK"/>
        </w:rPr>
        <w:t>% a 0 %) a nauzea (18</w:t>
      </w:r>
      <w:r w:rsidR="003C61AE" w:rsidRPr="00C101CC">
        <w:rPr>
          <w:spacing w:val="-3"/>
          <w:sz w:val="22"/>
          <w:szCs w:val="22"/>
          <w:lang w:val="sk-SK"/>
        </w:rPr>
        <w:t> </w:t>
      </w:r>
      <w:r w:rsidRPr="00C101CC">
        <w:rPr>
          <w:spacing w:val="-3"/>
          <w:sz w:val="22"/>
          <w:szCs w:val="22"/>
          <w:lang w:val="sk-SK"/>
        </w:rPr>
        <w:t xml:space="preserve">% a 9 %). </w:t>
      </w:r>
    </w:p>
    <w:p w14:paraId="44C0A114" w14:textId="77777777" w:rsidR="00FF7468" w:rsidRPr="00C101CC" w:rsidRDefault="00FF7468">
      <w:pPr>
        <w:pStyle w:val="Default"/>
        <w:rPr>
          <w:sz w:val="22"/>
          <w:szCs w:val="22"/>
          <w:lang w:val="sk-SK"/>
        </w:rPr>
      </w:pPr>
    </w:p>
    <w:p w14:paraId="2CF05BF3" w14:textId="77777777" w:rsidR="00FF7468" w:rsidRPr="00C101CC" w:rsidRDefault="00FF7468">
      <w:pPr>
        <w:pStyle w:val="Default"/>
        <w:keepNext/>
        <w:rPr>
          <w:i/>
          <w:sz w:val="22"/>
          <w:szCs w:val="22"/>
          <w:lang w:val="sk-SK"/>
        </w:rPr>
      </w:pPr>
      <w:r w:rsidRPr="00C101CC">
        <w:rPr>
          <w:i/>
          <w:sz w:val="22"/>
          <w:szCs w:val="22"/>
          <w:lang w:val="sk-SK"/>
        </w:rPr>
        <w:t>Hydrochlórotiazid (HCTZ)</w:t>
      </w:r>
    </w:p>
    <w:p w14:paraId="6CB35A8B" w14:textId="23C95D1A" w:rsidR="00FF7468" w:rsidRPr="00C101CC" w:rsidRDefault="00FF7468">
      <w:pPr>
        <w:keepNext/>
        <w:tabs>
          <w:tab w:val="clear" w:pos="567"/>
        </w:tabs>
        <w:spacing w:line="240" w:lineRule="auto"/>
        <w:rPr>
          <w:szCs w:val="22"/>
          <w:vertAlign w:val="superscript"/>
          <w:lang w:val="sk-SK"/>
        </w:rPr>
      </w:pPr>
      <w:r w:rsidRPr="00C101CC">
        <w:rPr>
          <w:szCs w:val="22"/>
          <w:lang w:val="sk-SK"/>
        </w:rPr>
        <w:t>Štúdia zameraná na liekové interakcie u zdravých dobrovoľníkov hodnotila farmakokinetiku HCTZ (25 mg</w:t>
      </w:r>
      <w:r w:rsidR="00495DA7" w:rsidRPr="00C101CC">
        <w:rPr>
          <w:szCs w:val="22"/>
          <w:lang w:val="sk-SK"/>
        </w:rPr>
        <w:t xml:space="preserve"> každých </w:t>
      </w:r>
      <w:r w:rsidRPr="00C101CC">
        <w:rPr>
          <w:szCs w:val="22"/>
          <w:lang w:val="sk-SK"/>
        </w:rPr>
        <w:t>24 h) a topiramátu (96 mg</w:t>
      </w:r>
      <w:r w:rsidR="00495DA7" w:rsidRPr="00C101CC">
        <w:rPr>
          <w:szCs w:val="22"/>
          <w:lang w:val="sk-SK"/>
        </w:rPr>
        <w:t xml:space="preserve"> každých </w:t>
      </w:r>
      <w:r w:rsidRPr="00C101CC">
        <w:rPr>
          <w:szCs w:val="22"/>
          <w:lang w:val="sk-SK"/>
        </w:rPr>
        <w:t>12 h) v rovnovážnom stave po samostatnom podaní a po ich sú</w:t>
      </w:r>
      <w:r w:rsidR="008C445F" w:rsidRPr="00C101CC">
        <w:rPr>
          <w:szCs w:val="22"/>
          <w:lang w:val="sk-SK"/>
        </w:rPr>
        <w:t>bež</w:t>
      </w:r>
      <w:r w:rsidRPr="00C101CC">
        <w:rPr>
          <w:szCs w:val="22"/>
          <w:lang w:val="sk-SK"/>
        </w:rPr>
        <w:t>nom podaní. Výsledky tejto štúdie preukázali zvýšenie C</w:t>
      </w:r>
      <w:r w:rsidRPr="00C101CC">
        <w:rPr>
          <w:szCs w:val="22"/>
          <w:vertAlign w:val="subscript"/>
          <w:lang w:val="sk-SK"/>
        </w:rPr>
        <w:t>max</w:t>
      </w:r>
      <w:r w:rsidRPr="00C101CC">
        <w:rPr>
          <w:szCs w:val="22"/>
          <w:lang w:val="sk-SK"/>
        </w:rPr>
        <w:t xml:space="preserve"> topiramátu o 27 % a zvýšenie AUC o 29 %, keď sa HCTZ pridal k topiramátu. Klinický význam tejto zmeny nie je známy. Pridanie HCTZ </w:t>
      </w:r>
      <w:r w:rsidR="000F620D" w:rsidRPr="00C101CC">
        <w:rPr>
          <w:szCs w:val="22"/>
          <w:lang w:val="sk-SK"/>
        </w:rPr>
        <w:t xml:space="preserve">k </w:t>
      </w:r>
      <w:r w:rsidRPr="00C101CC">
        <w:rPr>
          <w:szCs w:val="22"/>
          <w:lang w:val="sk-SK"/>
        </w:rPr>
        <w:t>terapii topiramátom môže vyžadovať úpravu dávok topiramátu. Farmakokinetik</w:t>
      </w:r>
      <w:r w:rsidR="000F620D" w:rsidRPr="00C101CC">
        <w:rPr>
          <w:szCs w:val="22"/>
          <w:lang w:val="sk-SK"/>
        </w:rPr>
        <w:t>a</w:t>
      </w:r>
      <w:r w:rsidRPr="00C101CC">
        <w:rPr>
          <w:szCs w:val="22"/>
          <w:lang w:val="sk-SK"/>
        </w:rPr>
        <w:t xml:space="preserve"> rovnovážne</w:t>
      </w:r>
      <w:r w:rsidR="000F620D" w:rsidRPr="00C101CC">
        <w:rPr>
          <w:szCs w:val="22"/>
          <w:lang w:val="sk-SK"/>
        </w:rPr>
        <w:t>ho</w:t>
      </w:r>
      <w:r w:rsidRPr="00C101CC">
        <w:rPr>
          <w:szCs w:val="22"/>
          <w:lang w:val="sk-SK"/>
        </w:rPr>
        <w:t xml:space="preserve"> </w:t>
      </w:r>
      <w:r w:rsidR="000F620D" w:rsidRPr="00C101CC">
        <w:rPr>
          <w:szCs w:val="22"/>
          <w:lang w:val="sk-SK"/>
        </w:rPr>
        <w:t>stav</w:t>
      </w:r>
      <w:r w:rsidR="00E666D1" w:rsidRPr="00C101CC">
        <w:rPr>
          <w:szCs w:val="22"/>
          <w:lang w:val="sk-SK"/>
        </w:rPr>
        <w:t>u</w:t>
      </w:r>
      <w:r w:rsidR="000F620D" w:rsidRPr="00C101CC">
        <w:rPr>
          <w:szCs w:val="22"/>
          <w:lang w:val="sk-SK"/>
        </w:rPr>
        <w:t xml:space="preserve"> </w:t>
      </w:r>
      <w:r w:rsidRPr="00C101CC">
        <w:rPr>
          <w:szCs w:val="22"/>
          <w:lang w:val="sk-SK"/>
        </w:rPr>
        <w:t>HCTZ nebol</w:t>
      </w:r>
      <w:r w:rsidR="000F620D" w:rsidRPr="00C101CC">
        <w:rPr>
          <w:szCs w:val="22"/>
          <w:lang w:val="sk-SK"/>
        </w:rPr>
        <w:t>a</w:t>
      </w:r>
      <w:r w:rsidRPr="00C101CC">
        <w:rPr>
          <w:szCs w:val="22"/>
          <w:lang w:val="sk-SK"/>
        </w:rPr>
        <w:t xml:space="preserve"> signifikantne ovplyvnen</w:t>
      </w:r>
      <w:r w:rsidR="000F620D" w:rsidRPr="00C101CC">
        <w:rPr>
          <w:szCs w:val="22"/>
          <w:lang w:val="sk-SK"/>
        </w:rPr>
        <w:t>á</w:t>
      </w:r>
      <w:r w:rsidRPr="00C101CC">
        <w:rPr>
          <w:szCs w:val="22"/>
          <w:lang w:val="sk-SK"/>
        </w:rPr>
        <w:t xml:space="preserve"> sú</w:t>
      </w:r>
      <w:r w:rsidR="008C445F" w:rsidRPr="00C101CC">
        <w:rPr>
          <w:szCs w:val="22"/>
          <w:lang w:val="sk-SK"/>
        </w:rPr>
        <w:t>bež</w:t>
      </w:r>
      <w:r w:rsidRPr="00C101CC">
        <w:rPr>
          <w:szCs w:val="22"/>
          <w:lang w:val="sk-SK"/>
        </w:rPr>
        <w:t>ne podávaným topiramátom. Klinické laboratórne výsledky zaznamenali pokles hladiny draslíka v sére po podaní topiramátu alebo HCTZ; pokles bol výraznejší, ak boli HCTZ a topiramát podané v kombinácii.</w:t>
      </w:r>
    </w:p>
    <w:p w14:paraId="37A571F2" w14:textId="7F057FE4" w:rsidR="00FF7468" w:rsidRPr="00C101CC" w:rsidRDefault="00FF7468">
      <w:pPr>
        <w:pStyle w:val="Default"/>
        <w:rPr>
          <w:sz w:val="22"/>
          <w:szCs w:val="22"/>
          <w:lang w:val="sk-SK"/>
        </w:rPr>
      </w:pPr>
    </w:p>
    <w:p w14:paraId="611116AC" w14:textId="77777777" w:rsidR="00FF7468" w:rsidRPr="00C101CC" w:rsidRDefault="00FF7468">
      <w:pPr>
        <w:pStyle w:val="Default"/>
        <w:keepNext/>
        <w:rPr>
          <w:i/>
          <w:sz w:val="22"/>
          <w:szCs w:val="22"/>
          <w:lang w:val="sk-SK"/>
        </w:rPr>
      </w:pPr>
      <w:r w:rsidRPr="00C101CC">
        <w:rPr>
          <w:i/>
          <w:sz w:val="22"/>
          <w:szCs w:val="22"/>
          <w:lang w:val="sk-SK"/>
        </w:rPr>
        <w:t>Metformín</w:t>
      </w:r>
    </w:p>
    <w:p w14:paraId="7227C0B5" w14:textId="110838AE" w:rsidR="00FF7468" w:rsidRPr="00C101CC" w:rsidRDefault="00FF7468">
      <w:pPr>
        <w:keepNext/>
        <w:suppressAutoHyphens/>
        <w:spacing w:line="240" w:lineRule="auto"/>
        <w:ind w:right="-369"/>
        <w:rPr>
          <w:szCs w:val="22"/>
          <w:lang w:val="sk-SK"/>
        </w:rPr>
      </w:pPr>
      <w:r w:rsidRPr="00C101CC">
        <w:rPr>
          <w:szCs w:val="22"/>
          <w:lang w:val="sk-SK"/>
        </w:rPr>
        <w:t>Štúdia zameraná na liekové interakcie u zdravých dobrovoľníkov hodnotila farmakokinetiku metformínu a topiramátu v plazme, keď sa metformín podával samostatne a sú</w:t>
      </w:r>
      <w:r w:rsidR="008C445F" w:rsidRPr="00C101CC">
        <w:rPr>
          <w:szCs w:val="22"/>
          <w:lang w:val="sk-SK"/>
        </w:rPr>
        <w:t>bež</w:t>
      </w:r>
      <w:r w:rsidRPr="00C101CC">
        <w:rPr>
          <w:szCs w:val="22"/>
          <w:lang w:val="sk-SK"/>
        </w:rPr>
        <w:t>ne s topiramátom. Výsledky tejto štúdie ukázali, že priemerná C</w:t>
      </w:r>
      <w:r w:rsidRPr="00C101CC">
        <w:rPr>
          <w:szCs w:val="22"/>
          <w:vertAlign w:val="subscript"/>
          <w:lang w:val="sk-SK"/>
        </w:rPr>
        <w:t>max</w:t>
      </w:r>
      <w:r w:rsidRPr="00C101CC">
        <w:rPr>
          <w:szCs w:val="22"/>
          <w:lang w:val="sk-SK"/>
        </w:rPr>
        <w:t xml:space="preserve"> a priemerná AUC</w:t>
      </w:r>
      <w:r w:rsidRPr="00C101CC">
        <w:rPr>
          <w:szCs w:val="22"/>
          <w:vertAlign w:val="subscript"/>
          <w:lang w:val="sk-SK"/>
        </w:rPr>
        <w:t>0-12h</w:t>
      </w:r>
      <w:r w:rsidRPr="00C101CC">
        <w:rPr>
          <w:szCs w:val="22"/>
          <w:lang w:val="sk-SK"/>
        </w:rPr>
        <w:t xml:space="preserve"> sa zvýšili o</w:t>
      </w:r>
      <w:r w:rsidR="003C61AE" w:rsidRPr="00C101CC">
        <w:rPr>
          <w:szCs w:val="22"/>
          <w:lang w:val="sk-SK"/>
        </w:rPr>
        <w:t> </w:t>
      </w:r>
      <w:r w:rsidRPr="00C101CC">
        <w:rPr>
          <w:szCs w:val="22"/>
          <w:lang w:val="sk-SK"/>
        </w:rPr>
        <w:t>18</w:t>
      </w:r>
      <w:r w:rsidR="003C61AE" w:rsidRPr="00C101CC">
        <w:rPr>
          <w:szCs w:val="22"/>
          <w:lang w:val="sk-SK"/>
        </w:rPr>
        <w:t> </w:t>
      </w:r>
      <w:r w:rsidRPr="00C101CC">
        <w:rPr>
          <w:szCs w:val="22"/>
          <w:lang w:val="sk-SK"/>
        </w:rPr>
        <w:t>% a</w:t>
      </w:r>
      <w:r w:rsidR="003C61AE" w:rsidRPr="00C101CC">
        <w:rPr>
          <w:szCs w:val="22"/>
          <w:lang w:val="sk-SK"/>
        </w:rPr>
        <w:t> </w:t>
      </w:r>
      <w:r w:rsidRPr="00C101CC">
        <w:rPr>
          <w:szCs w:val="22"/>
          <w:lang w:val="sk-SK"/>
        </w:rPr>
        <w:t>25</w:t>
      </w:r>
      <w:r w:rsidR="003C61AE" w:rsidRPr="00C101CC">
        <w:rPr>
          <w:szCs w:val="22"/>
          <w:lang w:val="sk-SK"/>
        </w:rPr>
        <w:t> </w:t>
      </w:r>
      <w:r w:rsidRPr="00C101CC">
        <w:rPr>
          <w:szCs w:val="22"/>
          <w:lang w:val="sk-SK"/>
        </w:rPr>
        <w:t>% v tomto poradí, zatiaľ čo priemerný CL/F sa znížil o</w:t>
      </w:r>
      <w:r w:rsidR="003C61AE" w:rsidRPr="00C101CC">
        <w:rPr>
          <w:szCs w:val="22"/>
          <w:lang w:val="sk-SK"/>
        </w:rPr>
        <w:t> </w:t>
      </w:r>
      <w:r w:rsidRPr="00C101CC">
        <w:rPr>
          <w:szCs w:val="22"/>
          <w:lang w:val="sk-SK"/>
        </w:rPr>
        <w:t>20</w:t>
      </w:r>
      <w:r w:rsidR="003C61AE" w:rsidRPr="00C101CC">
        <w:rPr>
          <w:szCs w:val="22"/>
          <w:lang w:val="sk-SK"/>
        </w:rPr>
        <w:t> </w:t>
      </w:r>
      <w:r w:rsidRPr="00C101CC">
        <w:rPr>
          <w:szCs w:val="22"/>
          <w:lang w:val="sk-SK"/>
        </w:rPr>
        <w:t>%, keď sa metformín podával spolu s topiramátom. Topiramát neovplyvnil t</w:t>
      </w:r>
      <w:r w:rsidRPr="00C101CC">
        <w:rPr>
          <w:szCs w:val="22"/>
          <w:vertAlign w:val="subscript"/>
          <w:lang w:val="sk-SK"/>
        </w:rPr>
        <w:t>max</w:t>
      </w:r>
      <w:r w:rsidRPr="00C101CC">
        <w:rPr>
          <w:szCs w:val="22"/>
          <w:lang w:val="sk-SK"/>
        </w:rPr>
        <w:t xml:space="preserve"> metformínu. Klinický význam účinku topiramátu na farmakokinetiku metformínu nie je jasný. Plazmatický klírens topiramátu</w:t>
      </w:r>
      <w:r w:rsidR="00CB0D78" w:rsidRPr="00C101CC">
        <w:rPr>
          <w:szCs w:val="22"/>
          <w:lang w:val="sk-SK"/>
        </w:rPr>
        <w:t xml:space="preserve"> po perorálnom podaní</w:t>
      </w:r>
      <w:r w:rsidRPr="00C101CC">
        <w:rPr>
          <w:szCs w:val="22"/>
          <w:lang w:val="sk-SK"/>
        </w:rPr>
        <w:t xml:space="preserve"> sa znižuje, keď sa </w:t>
      </w:r>
      <w:r w:rsidR="00CB0D78" w:rsidRPr="00C101CC">
        <w:rPr>
          <w:szCs w:val="22"/>
          <w:lang w:val="sk-SK"/>
        </w:rPr>
        <w:t xml:space="preserve">topiramát </w:t>
      </w:r>
      <w:r w:rsidRPr="00C101CC">
        <w:rPr>
          <w:szCs w:val="22"/>
          <w:lang w:val="sk-SK"/>
        </w:rPr>
        <w:t xml:space="preserve">podáva spolu s metformínom. Rozsah zmeny klírensu nie je známy. Klinický význam účinku metformínu na farmakokinetiku topiramátu nie je jasný. </w:t>
      </w:r>
    </w:p>
    <w:p w14:paraId="7A18E306" w14:textId="77777777" w:rsidR="00FF7468" w:rsidRPr="00C101CC" w:rsidRDefault="00FF7468">
      <w:pPr>
        <w:suppressAutoHyphens/>
        <w:spacing w:line="240" w:lineRule="auto"/>
        <w:ind w:right="-369"/>
        <w:jc w:val="both"/>
        <w:rPr>
          <w:szCs w:val="22"/>
          <w:lang w:val="sk-SK"/>
        </w:rPr>
      </w:pPr>
    </w:p>
    <w:p w14:paraId="27CA6660" w14:textId="77777777" w:rsidR="00FF7468" w:rsidRPr="00C101CC" w:rsidRDefault="00FF7468">
      <w:pPr>
        <w:suppressAutoHyphens/>
        <w:spacing w:line="240" w:lineRule="auto"/>
        <w:ind w:right="-369"/>
        <w:rPr>
          <w:szCs w:val="22"/>
          <w:lang w:val="sk-SK"/>
        </w:rPr>
      </w:pPr>
      <w:r w:rsidRPr="00C101CC">
        <w:rPr>
          <w:szCs w:val="22"/>
          <w:lang w:val="sk-SK"/>
        </w:rPr>
        <w:t>Ak sa Topamax pridáva alebo vynecháva u pacientov liečených metformínom, mala by sa venovať pozornosť ich monitorovaniu, aby sa zabezpečila adekvátna kontrola diabetu.</w:t>
      </w:r>
    </w:p>
    <w:p w14:paraId="1AC63AD5" w14:textId="77777777" w:rsidR="00FF7468" w:rsidRPr="00C101CC" w:rsidRDefault="00FF7468">
      <w:pPr>
        <w:pStyle w:val="Default"/>
        <w:rPr>
          <w:sz w:val="22"/>
          <w:szCs w:val="22"/>
          <w:lang w:val="sk-SK"/>
        </w:rPr>
      </w:pPr>
    </w:p>
    <w:p w14:paraId="41CBBB92" w14:textId="77777777" w:rsidR="00FF7468" w:rsidRPr="00C101CC" w:rsidRDefault="00FF7468">
      <w:pPr>
        <w:pStyle w:val="Default"/>
        <w:keepNext/>
        <w:rPr>
          <w:i/>
          <w:sz w:val="22"/>
          <w:szCs w:val="22"/>
          <w:lang w:val="sk-SK"/>
        </w:rPr>
      </w:pPr>
      <w:r w:rsidRPr="00C101CC">
        <w:rPr>
          <w:i/>
          <w:sz w:val="22"/>
          <w:szCs w:val="22"/>
          <w:lang w:val="sk-SK"/>
        </w:rPr>
        <w:t>Pioglitazón</w:t>
      </w:r>
    </w:p>
    <w:p w14:paraId="340E3E30" w14:textId="03731F97" w:rsidR="00FF7468" w:rsidRPr="00C101CC" w:rsidRDefault="00FF7468">
      <w:pPr>
        <w:pStyle w:val="Default"/>
        <w:rPr>
          <w:sz w:val="22"/>
          <w:szCs w:val="22"/>
          <w:lang w:val="sk-SK"/>
        </w:rPr>
      </w:pPr>
      <w:r w:rsidRPr="00C101CC">
        <w:rPr>
          <w:sz w:val="22"/>
          <w:szCs w:val="22"/>
          <w:lang w:val="sk-SK"/>
        </w:rPr>
        <w:t>Štúdia zameraná na liekové interakcie u zdravých dobrovoľníkov hodnotila farmakokinetiku topiramátu a pioglitazónu v rovnovážnom stave po samostatnom podaní liečiv a po ich sú</w:t>
      </w:r>
      <w:r w:rsidR="008C445F" w:rsidRPr="00C101CC">
        <w:rPr>
          <w:sz w:val="22"/>
          <w:szCs w:val="22"/>
          <w:lang w:val="sk-SK"/>
        </w:rPr>
        <w:t>bež</w:t>
      </w:r>
      <w:r w:rsidRPr="00C101CC">
        <w:rPr>
          <w:sz w:val="22"/>
          <w:szCs w:val="22"/>
          <w:lang w:val="sk-SK"/>
        </w:rPr>
        <w:t>nom podaní. Bol pozorovaný 15</w:t>
      </w:r>
      <w:r w:rsidR="003C61AE" w:rsidRPr="00C101CC">
        <w:rPr>
          <w:sz w:val="22"/>
          <w:szCs w:val="22"/>
          <w:lang w:val="sk-SK"/>
        </w:rPr>
        <w:t> </w:t>
      </w:r>
      <w:r w:rsidRPr="00C101CC">
        <w:rPr>
          <w:sz w:val="22"/>
          <w:szCs w:val="22"/>
          <w:lang w:val="sk-SK"/>
        </w:rPr>
        <w:t>% pokles AUC</w:t>
      </w:r>
      <w:r w:rsidRPr="00C101CC">
        <w:rPr>
          <w:sz w:val="22"/>
          <w:szCs w:val="22"/>
          <w:vertAlign w:val="subscript"/>
          <w:lang w:val="sk-SK"/>
        </w:rPr>
        <w:sym w:font="Symbol" w:char="F074"/>
      </w:r>
      <w:r w:rsidRPr="00C101CC">
        <w:rPr>
          <w:sz w:val="22"/>
          <w:szCs w:val="22"/>
          <w:vertAlign w:val="subscript"/>
          <w:lang w:val="sk-SK"/>
        </w:rPr>
        <w:t>,ss</w:t>
      </w:r>
      <w:r w:rsidRPr="00C101CC">
        <w:rPr>
          <w:sz w:val="22"/>
          <w:szCs w:val="22"/>
          <w:lang w:val="sk-SK"/>
        </w:rPr>
        <w:t xml:space="preserve"> pioglitazónu bez zmeny v C</w:t>
      </w:r>
      <w:r w:rsidRPr="00C101CC">
        <w:rPr>
          <w:sz w:val="22"/>
          <w:szCs w:val="22"/>
          <w:vertAlign w:val="subscript"/>
          <w:lang w:val="sk-SK"/>
        </w:rPr>
        <w:t>max</w:t>
      </w:r>
      <w:r w:rsidRPr="00C101CC">
        <w:rPr>
          <w:sz w:val="22"/>
          <w:szCs w:val="22"/>
          <w:lang w:val="sk-SK"/>
        </w:rPr>
        <w:t>,</w:t>
      </w:r>
      <w:r w:rsidRPr="00C101CC">
        <w:rPr>
          <w:sz w:val="22"/>
          <w:szCs w:val="22"/>
          <w:vertAlign w:val="subscript"/>
          <w:lang w:val="sk-SK"/>
        </w:rPr>
        <w:t>ss</w:t>
      </w:r>
      <w:r w:rsidRPr="00C101CC">
        <w:rPr>
          <w:sz w:val="22"/>
          <w:szCs w:val="22"/>
          <w:lang w:val="sk-SK"/>
        </w:rPr>
        <w:t>. Toto zistenie nebolo štatisticky významné. Okrem toho bol zaznamenaný 13</w:t>
      </w:r>
      <w:r w:rsidR="003C61AE" w:rsidRPr="00C101CC">
        <w:rPr>
          <w:sz w:val="22"/>
          <w:szCs w:val="22"/>
          <w:lang w:val="sk-SK"/>
        </w:rPr>
        <w:t> </w:t>
      </w:r>
      <w:r w:rsidRPr="00C101CC">
        <w:rPr>
          <w:sz w:val="22"/>
          <w:szCs w:val="22"/>
          <w:lang w:val="sk-SK"/>
        </w:rPr>
        <w:t>% a</w:t>
      </w:r>
      <w:r w:rsidR="003C61AE" w:rsidRPr="00C101CC">
        <w:rPr>
          <w:sz w:val="22"/>
          <w:szCs w:val="22"/>
          <w:lang w:val="sk-SK"/>
        </w:rPr>
        <w:t> </w:t>
      </w:r>
      <w:r w:rsidRPr="00C101CC">
        <w:rPr>
          <w:sz w:val="22"/>
          <w:szCs w:val="22"/>
          <w:lang w:val="sk-SK"/>
        </w:rPr>
        <w:t>16</w:t>
      </w:r>
      <w:r w:rsidR="003C61AE" w:rsidRPr="00C101CC">
        <w:rPr>
          <w:sz w:val="22"/>
          <w:szCs w:val="22"/>
          <w:lang w:val="sk-SK"/>
        </w:rPr>
        <w:t> </w:t>
      </w:r>
      <w:r w:rsidRPr="00C101CC">
        <w:rPr>
          <w:sz w:val="22"/>
          <w:szCs w:val="22"/>
          <w:lang w:val="sk-SK"/>
        </w:rPr>
        <w:t>% pokles C</w:t>
      </w:r>
      <w:r w:rsidRPr="00C101CC">
        <w:rPr>
          <w:sz w:val="22"/>
          <w:szCs w:val="22"/>
          <w:vertAlign w:val="subscript"/>
          <w:lang w:val="sk-SK"/>
        </w:rPr>
        <w:t>max</w:t>
      </w:r>
      <w:r w:rsidRPr="00C101CC">
        <w:rPr>
          <w:sz w:val="22"/>
          <w:szCs w:val="22"/>
          <w:lang w:val="sk-SK"/>
        </w:rPr>
        <w:t>,</w:t>
      </w:r>
      <w:r w:rsidRPr="00C101CC">
        <w:rPr>
          <w:sz w:val="22"/>
          <w:szCs w:val="22"/>
          <w:vertAlign w:val="subscript"/>
          <w:lang w:val="sk-SK"/>
        </w:rPr>
        <w:t>ss</w:t>
      </w:r>
      <w:r w:rsidRPr="00C101CC">
        <w:rPr>
          <w:sz w:val="22"/>
          <w:szCs w:val="22"/>
          <w:lang w:val="sk-SK"/>
        </w:rPr>
        <w:t xml:space="preserve"> a AUC</w:t>
      </w:r>
      <w:r w:rsidRPr="00C101CC">
        <w:rPr>
          <w:sz w:val="22"/>
          <w:szCs w:val="22"/>
          <w:vertAlign w:val="subscript"/>
          <w:lang w:val="sk-SK"/>
        </w:rPr>
        <w:sym w:font="Symbol" w:char="F074"/>
      </w:r>
      <w:r w:rsidRPr="00C101CC">
        <w:rPr>
          <w:sz w:val="22"/>
          <w:szCs w:val="22"/>
          <w:vertAlign w:val="subscript"/>
          <w:lang w:val="sk-SK"/>
        </w:rPr>
        <w:t>,ss</w:t>
      </w:r>
      <w:r w:rsidR="0062721E" w:rsidRPr="00C101CC">
        <w:rPr>
          <w:sz w:val="22"/>
          <w:szCs w:val="22"/>
          <w:vertAlign w:val="subscript"/>
          <w:lang w:val="sk-SK"/>
        </w:rPr>
        <w:t xml:space="preserve"> </w:t>
      </w:r>
      <w:r w:rsidR="0062721E" w:rsidRPr="00C101CC">
        <w:rPr>
          <w:sz w:val="22"/>
          <w:szCs w:val="22"/>
          <w:lang w:val="sk-SK"/>
        </w:rPr>
        <w:t>aktívneho hydroxymetabolitu</w:t>
      </w:r>
      <w:r w:rsidRPr="00C101CC">
        <w:rPr>
          <w:sz w:val="22"/>
          <w:szCs w:val="22"/>
          <w:lang w:val="sk-SK"/>
        </w:rPr>
        <w:t xml:space="preserve"> v tomto poradí, ako aj 60</w:t>
      </w:r>
      <w:r w:rsidR="003C61AE" w:rsidRPr="00C101CC">
        <w:rPr>
          <w:sz w:val="22"/>
          <w:szCs w:val="22"/>
          <w:lang w:val="sk-SK"/>
        </w:rPr>
        <w:t> </w:t>
      </w:r>
      <w:r w:rsidRPr="00C101CC">
        <w:rPr>
          <w:sz w:val="22"/>
          <w:szCs w:val="22"/>
          <w:lang w:val="sk-SK"/>
        </w:rPr>
        <w:t>% pokles C</w:t>
      </w:r>
      <w:r w:rsidRPr="00C101CC">
        <w:rPr>
          <w:sz w:val="22"/>
          <w:szCs w:val="22"/>
          <w:vertAlign w:val="subscript"/>
          <w:lang w:val="sk-SK"/>
        </w:rPr>
        <w:t>max</w:t>
      </w:r>
      <w:r w:rsidRPr="00C101CC">
        <w:rPr>
          <w:sz w:val="22"/>
          <w:szCs w:val="22"/>
          <w:lang w:val="sk-SK"/>
        </w:rPr>
        <w:t>,</w:t>
      </w:r>
      <w:r w:rsidRPr="00C101CC">
        <w:rPr>
          <w:sz w:val="22"/>
          <w:szCs w:val="22"/>
          <w:vertAlign w:val="subscript"/>
          <w:lang w:val="sk-SK"/>
        </w:rPr>
        <w:t>ss</w:t>
      </w:r>
      <w:r w:rsidRPr="00C101CC">
        <w:rPr>
          <w:sz w:val="22"/>
          <w:szCs w:val="22"/>
          <w:lang w:val="sk-SK"/>
        </w:rPr>
        <w:t xml:space="preserve"> a AUC</w:t>
      </w:r>
      <w:r w:rsidRPr="00C101CC">
        <w:rPr>
          <w:sz w:val="22"/>
          <w:szCs w:val="22"/>
          <w:vertAlign w:val="subscript"/>
          <w:lang w:val="sk-SK"/>
        </w:rPr>
        <w:sym w:font="Symbol" w:char="F074"/>
      </w:r>
      <w:r w:rsidRPr="00C101CC">
        <w:rPr>
          <w:sz w:val="22"/>
          <w:szCs w:val="22"/>
          <w:vertAlign w:val="subscript"/>
          <w:lang w:val="sk-SK"/>
        </w:rPr>
        <w:t>,ss</w:t>
      </w:r>
      <w:r w:rsidRPr="00C101CC">
        <w:rPr>
          <w:sz w:val="22"/>
          <w:szCs w:val="22"/>
          <w:lang w:val="sk-SK"/>
        </w:rPr>
        <w:t xml:space="preserve"> aktívneho ketometabolitu. Klinický význam týchto zmien nie je </w:t>
      </w:r>
      <w:r w:rsidR="0062721E" w:rsidRPr="00C101CC">
        <w:rPr>
          <w:sz w:val="22"/>
          <w:szCs w:val="22"/>
          <w:lang w:val="sk-SK"/>
        </w:rPr>
        <w:t>známy</w:t>
      </w:r>
      <w:r w:rsidRPr="00C101CC">
        <w:rPr>
          <w:sz w:val="22"/>
          <w:szCs w:val="22"/>
          <w:lang w:val="sk-SK"/>
        </w:rPr>
        <w:t xml:space="preserve">. Ak sa Topamax pridáva </w:t>
      </w:r>
      <w:r w:rsidR="0062721E" w:rsidRPr="00C101CC">
        <w:rPr>
          <w:sz w:val="22"/>
          <w:szCs w:val="22"/>
          <w:lang w:val="sk-SK"/>
        </w:rPr>
        <w:t xml:space="preserve">k </w:t>
      </w:r>
      <w:r w:rsidRPr="00C101CC">
        <w:rPr>
          <w:sz w:val="22"/>
          <w:szCs w:val="22"/>
          <w:lang w:val="sk-SK"/>
        </w:rPr>
        <w:t>lieč</w:t>
      </w:r>
      <w:r w:rsidR="0062721E" w:rsidRPr="00C101CC">
        <w:rPr>
          <w:sz w:val="22"/>
          <w:szCs w:val="22"/>
          <w:lang w:val="sk-SK"/>
        </w:rPr>
        <w:t>b</w:t>
      </w:r>
      <w:r w:rsidRPr="00C101CC">
        <w:rPr>
          <w:sz w:val="22"/>
          <w:szCs w:val="22"/>
          <w:lang w:val="sk-SK"/>
        </w:rPr>
        <w:t xml:space="preserve">e pioglitazónom alebo pioglitazón sa pridáva </w:t>
      </w:r>
      <w:r w:rsidR="0062721E" w:rsidRPr="00C101CC">
        <w:rPr>
          <w:sz w:val="22"/>
          <w:szCs w:val="22"/>
          <w:lang w:val="sk-SK"/>
        </w:rPr>
        <w:t xml:space="preserve">k </w:t>
      </w:r>
      <w:r w:rsidRPr="00C101CC">
        <w:rPr>
          <w:sz w:val="22"/>
          <w:szCs w:val="22"/>
          <w:lang w:val="sk-SK"/>
        </w:rPr>
        <w:t>lieč</w:t>
      </w:r>
      <w:r w:rsidR="0062721E" w:rsidRPr="00C101CC">
        <w:rPr>
          <w:sz w:val="22"/>
          <w:szCs w:val="22"/>
          <w:lang w:val="sk-SK"/>
        </w:rPr>
        <w:t>b</w:t>
      </w:r>
      <w:r w:rsidRPr="00C101CC">
        <w:rPr>
          <w:sz w:val="22"/>
          <w:szCs w:val="22"/>
          <w:lang w:val="sk-SK"/>
        </w:rPr>
        <w:t xml:space="preserve">e Topamaxom, má sa </w:t>
      </w:r>
      <w:r w:rsidR="00802EB0" w:rsidRPr="00C101CC">
        <w:rPr>
          <w:sz w:val="22"/>
          <w:szCs w:val="22"/>
          <w:lang w:val="sk-SK"/>
        </w:rPr>
        <w:t>monitorovaniu ta</w:t>
      </w:r>
      <w:r w:rsidR="00404316" w:rsidRPr="00C101CC">
        <w:rPr>
          <w:sz w:val="22"/>
          <w:szCs w:val="22"/>
          <w:lang w:val="sk-SK"/>
        </w:rPr>
        <w:t>k</w:t>
      </w:r>
      <w:r w:rsidR="00802EB0" w:rsidRPr="00C101CC">
        <w:rPr>
          <w:sz w:val="22"/>
          <w:szCs w:val="22"/>
          <w:lang w:val="sk-SK"/>
        </w:rPr>
        <w:t xml:space="preserve">ýchto pacientov </w:t>
      </w:r>
      <w:r w:rsidRPr="00C101CC">
        <w:rPr>
          <w:sz w:val="22"/>
          <w:szCs w:val="22"/>
          <w:lang w:val="sk-SK"/>
        </w:rPr>
        <w:t>venovať zvýšená pozornosť, aby bola zabezpečená adekvátna kontrola diabetu.</w:t>
      </w:r>
    </w:p>
    <w:p w14:paraId="217494E0" w14:textId="77777777" w:rsidR="00FF7468" w:rsidRPr="00C101CC" w:rsidRDefault="00FF7468">
      <w:pPr>
        <w:pStyle w:val="Default"/>
        <w:rPr>
          <w:sz w:val="22"/>
          <w:szCs w:val="22"/>
          <w:lang w:val="sk-SK"/>
        </w:rPr>
      </w:pPr>
    </w:p>
    <w:p w14:paraId="10801C43" w14:textId="77777777" w:rsidR="00FF7468" w:rsidRPr="00C101CC" w:rsidRDefault="00FF7468">
      <w:pPr>
        <w:pStyle w:val="Default"/>
        <w:keepNext/>
        <w:rPr>
          <w:i/>
          <w:sz w:val="22"/>
          <w:szCs w:val="22"/>
          <w:lang w:val="sk-SK"/>
        </w:rPr>
      </w:pPr>
      <w:r w:rsidRPr="00C101CC">
        <w:rPr>
          <w:i/>
          <w:sz w:val="22"/>
          <w:szCs w:val="22"/>
          <w:lang w:val="sk-SK"/>
        </w:rPr>
        <w:t>Gl</w:t>
      </w:r>
      <w:r w:rsidR="009554F1" w:rsidRPr="00C101CC">
        <w:rPr>
          <w:i/>
          <w:sz w:val="22"/>
          <w:szCs w:val="22"/>
          <w:lang w:val="sk-SK"/>
        </w:rPr>
        <w:t>i</w:t>
      </w:r>
      <w:r w:rsidRPr="00C101CC">
        <w:rPr>
          <w:i/>
          <w:sz w:val="22"/>
          <w:szCs w:val="22"/>
          <w:lang w:val="sk-SK"/>
        </w:rPr>
        <w:t>benklamid</w:t>
      </w:r>
    </w:p>
    <w:p w14:paraId="3EC793B8" w14:textId="0A0A178D" w:rsidR="00FF7468" w:rsidRPr="00C101CC" w:rsidRDefault="00FF7468">
      <w:pPr>
        <w:pStyle w:val="Bodytext"/>
        <w:keepNext/>
        <w:spacing w:after="0" w:line="240" w:lineRule="auto"/>
        <w:ind w:left="0"/>
        <w:rPr>
          <w:rFonts w:ascii="Times New Roman" w:hAnsi="Times New Roman"/>
          <w:strike w:val="0"/>
          <w:color w:val="000000"/>
          <w:sz w:val="22"/>
          <w:szCs w:val="22"/>
        </w:rPr>
      </w:pPr>
      <w:r w:rsidRPr="00C101CC">
        <w:rPr>
          <w:rFonts w:ascii="Times New Roman" w:hAnsi="Times New Roman"/>
          <w:strike w:val="0"/>
          <w:color w:val="000000"/>
          <w:sz w:val="22"/>
          <w:szCs w:val="22"/>
        </w:rPr>
        <w:t xml:space="preserve">V štúdiách </w:t>
      </w:r>
      <w:r w:rsidR="009554F1" w:rsidRPr="00C101CC">
        <w:rPr>
          <w:rFonts w:ascii="Times New Roman" w:hAnsi="Times New Roman"/>
          <w:strike w:val="0"/>
          <w:color w:val="000000"/>
          <w:sz w:val="22"/>
          <w:szCs w:val="22"/>
        </w:rPr>
        <w:t xml:space="preserve">liekových </w:t>
      </w:r>
      <w:r w:rsidRPr="00C101CC">
        <w:rPr>
          <w:rFonts w:ascii="Times New Roman" w:hAnsi="Times New Roman"/>
          <w:strike w:val="0"/>
          <w:color w:val="000000"/>
          <w:sz w:val="22"/>
          <w:szCs w:val="22"/>
        </w:rPr>
        <w:t xml:space="preserve">interakcií </w:t>
      </w:r>
      <w:r w:rsidR="009554F1" w:rsidRPr="00C101CC">
        <w:rPr>
          <w:rFonts w:ascii="Times New Roman" w:hAnsi="Times New Roman"/>
          <w:strike w:val="0"/>
          <w:color w:val="000000"/>
          <w:sz w:val="22"/>
          <w:szCs w:val="22"/>
        </w:rPr>
        <w:t xml:space="preserve"> u</w:t>
      </w:r>
      <w:r w:rsidRPr="00C101CC">
        <w:rPr>
          <w:rFonts w:ascii="Times New Roman" w:hAnsi="Times New Roman"/>
          <w:strike w:val="0"/>
          <w:color w:val="000000"/>
          <w:sz w:val="22"/>
          <w:szCs w:val="22"/>
        </w:rPr>
        <w:t> paciento</w:t>
      </w:r>
      <w:r w:rsidR="009554F1" w:rsidRPr="00C101CC">
        <w:rPr>
          <w:rFonts w:ascii="Times New Roman" w:hAnsi="Times New Roman"/>
          <w:strike w:val="0"/>
          <w:color w:val="000000"/>
          <w:sz w:val="22"/>
          <w:szCs w:val="22"/>
        </w:rPr>
        <w:t>v</w:t>
      </w:r>
      <w:r w:rsidRPr="00C101CC">
        <w:rPr>
          <w:rFonts w:ascii="Times New Roman" w:hAnsi="Times New Roman"/>
          <w:strike w:val="0"/>
          <w:color w:val="000000"/>
          <w:sz w:val="22"/>
          <w:szCs w:val="22"/>
        </w:rPr>
        <w:t xml:space="preserve"> s diabet</w:t>
      </w:r>
      <w:r w:rsidR="009554F1" w:rsidRPr="00C101CC">
        <w:rPr>
          <w:rFonts w:ascii="Times New Roman" w:hAnsi="Times New Roman"/>
          <w:strike w:val="0"/>
          <w:color w:val="000000"/>
          <w:sz w:val="22"/>
          <w:szCs w:val="22"/>
        </w:rPr>
        <w:t>om</w:t>
      </w:r>
      <w:r w:rsidRPr="00C101CC">
        <w:rPr>
          <w:rFonts w:ascii="Times New Roman" w:hAnsi="Times New Roman"/>
          <w:strike w:val="0"/>
          <w:color w:val="000000"/>
          <w:sz w:val="22"/>
          <w:szCs w:val="22"/>
        </w:rPr>
        <w:t xml:space="preserve"> mellitus typ</w:t>
      </w:r>
      <w:r w:rsidR="009554F1" w:rsidRPr="00C101CC">
        <w:rPr>
          <w:rFonts w:ascii="Times New Roman" w:hAnsi="Times New Roman"/>
          <w:strike w:val="0"/>
          <w:color w:val="000000"/>
          <w:sz w:val="22"/>
          <w:szCs w:val="22"/>
        </w:rPr>
        <w:t>u</w:t>
      </w:r>
      <w:r w:rsidR="00F500EF"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 xml:space="preserve">2 sa hodnotila farmakokinetika  v rovnovážnom stave u samotného </w:t>
      </w:r>
      <w:r w:rsidR="00A95C9F" w:rsidRPr="00C101CC">
        <w:rPr>
          <w:rFonts w:ascii="Times New Roman" w:hAnsi="Times New Roman"/>
          <w:strike w:val="0"/>
          <w:color w:val="000000"/>
          <w:sz w:val="22"/>
          <w:szCs w:val="22"/>
        </w:rPr>
        <w:t xml:space="preserve">glibenklamidu </w:t>
      </w:r>
      <w:r w:rsidRPr="00C101CC">
        <w:rPr>
          <w:rFonts w:ascii="Times New Roman" w:hAnsi="Times New Roman"/>
          <w:strike w:val="0"/>
          <w:color w:val="000000"/>
          <w:sz w:val="22"/>
          <w:szCs w:val="22"/>
        </w:rPr>
        <w:t>(5</w:t>
      </w:r>
      <w:r w:rsidR="00215D65"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mg/deň) a sú</w:t>
      </w:r>
      <w:r w:rsidR="008C445F" w:rsidRPr="00C101CC">
        <w:rPr>
          <w:rFonts w:ascii="Times New Roman" w:hAnsi="Times New Roman"/>
          <w:strike w:val="0"/>
          <w:color w:val="000000"/>
          <w:sz w:val="22"/>
          <w:szCs w:val="22"/>
        </w:rPr>
        <w:t>bež</w:t>
      </w:r>
      <w:r w:rsidRPr="00C101CC">
        <w:rPr>
          <w:rFonts w:ascii="Times New Roman" w:hAnsi="Times New Roman"/>
          <w:strike w:val="0"/>
          <w:color w:val="000000"/>
          <w:sz w:val="22"/>
          <w:szCs w:val="22"/>
        </w:rPr>
        <w:t>ne podávaného s topiramátom (150 mg/deň). Počas podávania topiramátu bola zaznamenaná 25</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 redukcia AUC</w:t>
      </w:r>
      <w:r w:rsidRPr="00C101CC">
        <w:rPr>
          <w:rFonts w:ascii="Times New Roman" w:hAnsi="Times New Roman"/>
          <w:strike w:val="0"/>
          <w:color w:val="000000"/>
          <w:sz w:val="22"/>
          <w:szCs w:val="22"/>
          <w:vertAlign w:val="subscript"/>
        </w:rPr>
        <w:t>24</w:t>
      </w:r>
      <w:r w:rsidRPr="00C101CC">
        <w:rPr>
          <w:rFonts w:ascii="Times New Roman" w:hAnsi="Times New Roman"/>
          <w:strike w:val="0"/>
          <w:color w:val="000000"/>
          <w:sz w:val="22"/>
          <w:szCs w:val="22"/>
        </w:rPr>
        <w:t xml:space="preserve"> </w:t>
      </w:r>
      <w:r w:rsidR="00A95C9F" w:rsidRPr="00C101CC">
        <w:rPr>
          <w:rFonts w:ascii="Times New Roman" w:hAnsi="Times New Roman"/>
          <w:strike w:val="0"/>
          <w:color w:val="000000"/>
          <w:sz w:val="22"/>
          <w:szCs w:val="22"/>
        </w:rPr>
        <w:t>glibenklamidu</w:t>
      </w:r>
      <w:r w:rsidRPr="00C101CC">
        <w:rPr>
          <w:rFonts w:ascii="Times New Roman" w:hAnsi="Times New Roman"/>
          <w:strike w:val="0"/>
          <w:color w:val="000000"/>
          <w:sz w:val="22"/>
          <w:szCs w:val="22"/>
        </w:rPr>
        <w:t>. Systémová expozícia aktívny</w:t>
      </w:r>
      <w:r w:rsidR="007A2C1D" w:rsidRPr="00C101CC">
        <w:rPr>
          <w:rFonts w:ascii="Times New Roman" w:hAnsi="Times New Roman"/>
          <w:strike w:val="0"/>
          <w:color w:val="000000"/>
          <w:sz w:val="22"/>
          <w:szCs w:val="22"/>
        </w:rPr>
        <w:t>m</w:t>
      </w:r>
      <w:r w:rsidRPr="00C101CC">
        <w:rPr>
          <w:rFonts w:ascii="Times New Roman" w:hAnsi="Times New Roman"/>
          <w:strike w:val="0"/>
          <w:color w:val="000000"/>
          <w:sz w:val="22"/>
          <w:szCs w:val="22"/>
        </w:rPr>
        <w:t xml:space="preserve"> metabolito</w:t>
      </w:r>
      <w:r w:rsidR="007A2C1D" w:rsidRPr="00C101CC">
        <w:rPr>
          <w:rFonts w:ascii="Times New Roman" w:hAnsi="Times New Roman"/>
          <w:strike w:val="0"/>
          <w:color w:val="000000"/>
          <w:sz w:val="22"/>
          <w:szCs w:val="22"/>
        </w:rPr>
        <w:t>m</w:t>
      </w:r>
      <w:r w:rsidRPr="00C101CC">
        <w:rPr>
          <w:rFonts w:ascii="Times New Roman" w:hAnsi="Times New Roman"/>
          <w:strike w:val="0"/>
          <w:color w:val="000000"/>
          <w:sz w:val="22"/>
          <w:szCs w:val="22"/>
        </w:rPr>
        <w:t>, 4-</w:t>
      </w:r>
      <w:r w:rsidRPr="00C101CC">
        <w:rPr>
          <w:rFonts w:ascii="Times New Roman" w:hAnsi="Times New Roman"/>
          <w:i/>
          <w:strike w:val="0"/>
          <w:color w:val="000000"/>
          <w:sz w:val="22"/>
          <w:szCs w:val="22"/>
        </w:rPr>
        <w:t>trans</w:t>
      </w:r>
      <w:r w:rsidRPr="00C101CC">
        <w:rPr>
          <w:rFonts w:ascii="Times New Roman" w:hAnsi="Times New Roman"/>
          <w:strike w:val="0"/>
          <w:color w:val="000000"/>
          <w:sz w:val="22"/>
          <w:szCs w:val="22"/>
        </w:rPr>
        <w:t>-hydroxy</w:t>
      </w:r>
      <w:r w:rsidR="00A95C9F" w:rsidRPr="00C101CC">
        <w:rPr>
          <w:rFonts w:ascii="Times New Roman" w:hAnsi="Times New Roman"/>
          <w:strike w:val="0"/>
          <w:color w:val="000000"/>
          <w:sz w:val="22"/>
          <w:szCs w:val="22"/>
        </w:rPr>
        <w:t xml:space="preserve">glibenklamidu </w:t>
      </w:r>
      <w:r w:rsidRPr="00C101CC">
        <w:rPr>
          <w:rFonts w:ascii="Times New Roman" w:hAnsi="Times New Roman"/>
          <w:strike w:val="0"/>
          <w:color w:val="000000"/>
          <w:sz w:val="22"/>
          <w:szCs w:val="22"/>
        </w:rPr>
        <w:t>(M1) a 3-</w:t>
      </w:r>
      <w:r w:rsidRPr="00C101CC">
        <w:rPr>
          <w:rFonts w:ascii="Times New Roman" w:hAnsi="Times New Roman"/>
          <w:i/>
          <w:strike w:val="0"/>
          <w:color w:val="000000"/>
          <w:sz w:val="22"/>
          <w:szCs w:val="22"/>
        </w:rPr>
        <w:t>cis</w:t>
      </w:r>
      <w:r w:rsidRPr="00C101CC">
        <w:rPr>
          <w:rFonts w:ascii="Times New Roman" w:hAnsi="Times New Roman"/>
          <w:strike w:val="0"/>
          <w:color w:val="000000"/>
          <w:sz w:val="22"/>
          <w:szCs w:val="22"/>
        </w:rPr>
        <w:t>-hydroxy</w:t>
      </w:r>
      <w:r w:rsidR="00A95C9F" w:rsidRPr="00C101CC">
        <w:rPr>
          <w:rFonts w:ascii="Times New Roman" w:hAnsi="Times New Roman"/>
          <w:strike w:val="0"/>
          <w:color w:val="000000"/>
          <w:sz w:val="22"/>
          <w:szCs w:val="22"/>
        </w:rPr>
        <w:t>glibenklamidu</w:t>
      </w:r>
      <w:r w:rsidRPr="00C101CC">
        <w:rPr>
          <w:rFonts w:ascii="Times New Roman" w:hAnsi="Times New Roman"/>
          <w:strike w:val="0"/>
          <w:color w:val="000000"/>
          <w:sz w:val="22"/>
          <w:szCs w:val="22"/>
        </w:rPr>
        <w:t xml:space="preserve"> (M2), bola </w:t>
      </w:r>
      <w:r w:rsidR="007A2C1D" w:rsidRPr="00C101CC">
        <w:rPr>
          <w:rFonts w:ascii="Times New Roman" w:hAnsi="Times New Roman"/>
          <w:strike w:val="0"/>
          <w:color w:val="000000"/>
          <w:sz w:val="22"/>
          <w:szCs w:val="22"/>
        </w:rPr>
        <w:t xml:space="preserve">tiež </w:t>
      </w:r>
      <w:r w:rsidRPr="00C101CC">
        <w:rPr>
          <w:rFonts w:ascii="Times New Roman" w:hAnsi="Times New Roman"/>
          <w:strike w:val="0"/>
          <w:color w:val="000000"/>
          <w:sz w:val="22"/>
          <w:szCs w:val="22"/>
        </w:rPr>
        <w:t>zredukovaná o</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13</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 a</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15</w:t>
      </w:r>
      <w:r w:rsidR="003C61AE" w:rsidRPr="00C101CC">
        <w:rPr>
          <w:rFonts w:ascii="Times New Roman" w:hAnsi="Times New Roman"/>
          <w:strike w:val="0"/>
          <w:color w:val="000000"/>
          <w:sz w:val="22"/>
          <w:szCs w:val="22"/>
        </w:rPr>
        <w:t> </w:t>
      </w:r>
      <w:r w:rsidRPr="00C101CC">
        <w:rPr>
          <w:rFonts w:ascii="Times New Roman" w:hAnsi="Times New Roman"/>
          <w:strike w:val="0"/>
          <w:color w:val="000000"/>
          <w:sz w:val="22"/>
          <w:szCs w:val="22"/>
        </w:rPr>
        <w:t>% v tomto poradí. Pri sú</w:t>
      </w:r>
      <w:r w:rsidR="008C445F" w:rsidRPr="00C101CC">
        <w:rPr>
          <w:rFonts w:ascii="Times New Roman" w:hAnsi="Times New Roman"/>
          <w:strike w:val="0"/>
          <w:color w:val="000000"/>
          <w:sz w:val="22"/>
          <w:szCs w:val="22"/>
        </w:rPr>
        <w:t>bež</w:t>
      </w:r>
      <w:r w:rsidRPr="00C101CC">
        <w:rPr>
          <w:rFonts w:ascii="Times New Roman" w:hAnsi="Times New Roman"/>
          <w:strike w:val="0"/>
          <w:color w:val="000000"/>
          <w:sz w:val="22"/>
          <w:szCs w:val="22"/>
        </w:rPr>
        <w:t xml:space="preserve">nom podávaní </w:t>
      </w:r>
      <w:r w:rsidR="00A95C9F" w:rsidRPr="00C101CC">
        <w:rPr>
          <w:rFonts w:ascii="Times New Roman" w:hAnsi="Times New Roman"/>
          <w:strike w:val="0"/>
          <w:color w:val="000000"/>
          <w:sz w:val="22"/>
          <w:szCs w:val="22"/>
        </w:rPr>
        <w:t xml:space="preserve">glibenklamidu </w:t>
      </w:r>
      <w:r w:rsidRPr="00C101CC">
        <w:rPr>
          <w:rFonts w:ascii="Times New Roman" w:hAnsi="Times New Roman"/>
          <w:strike w:val="0"/>
          <w:color w:val="000000"/>
          <w:sz w:val="22"/>
          <w:szCs w:val="22"/>
        </w:rPr>
        <w:t xml:space="preserve">nebol ustálený stav farmakokinetiky topiramátu ovplyvnený. </w:t>
      </w:r>
    </w:p>
    <w:p w14:paraId="097ADC61" w14:textId="77777777" w:rsidR="00FF7468" w:rsidRPr="00C101CC" w:rsidRDefault="00FF7468">
      <w:pPr>
        <w:pStyle w:val="Bodytext"/>
        <w:spacing w:after="0" w:line="240" w:lineRule="auto"/>
        <w:ind w:left="0"/>
        <w:rPr>
          <w:rFonts w:ascii="Times New Roman" w:hAnsi="Times New Roman"/>
          <w:strike w:val="0"/>
          <w:color w:val="000000"/>
          <w:sz w:val="22"/>
          <w:szCs w:val="22"/>
        </w:rPr>
      </w:pPr>
    </w:p>
    <w:p w14:paraId="4965233E" w14:textId="77777777" w:rsidR="00FF7468" w:rsidRPr="00C101CC" w:rsidRDefault="00FF7468">
      <w:pPr>
        <w:pStyle w:val="Bodytext"/>
        <w:spacing w:after="0" w:line="240" w:lineRule="auto"/>
        <w:ind w:left="0"/>
        <w:rPr>
          <w:rFonts w:ascii="Times New Roman" w:hAnsi="Times New Roman"/>
          <w:strike w:val="0"/>
          <w:color w:val="000000"/>
          <w:sz w:val="22"/>
          <w:szCs w:val="22"/>
        </w:rPr>
      </w:pPr>
      <w:r w:rsidRPr="00C101CC">
        <w:rPr>
          <w:rFonts w:ascii="Times New Roman" w:hAnsi="Times New Roman"/>
          <w:strike w:val="0"/>
          <w:color w:val="000000"/>
          <w:sz w:val="22"/>
          <w:szCs w:val="22"/>
        </w:rPr>
        <w:t xml:space="preserve">Keď sa topiramát pridáva k liečbe </w:t>
      </w:r>
      <w:r w:rsidR="00A95C9F" w:rsidRPr="00C101CC">
        <w:rPr>
          <w:rFonts w:ascii="Times New Roman" w:hAnsi="Times New Roman"/>
          <w:strike w:val="0"/>
          <w:color w:val="000000"/>
          <w:sz w:val="22"/>
          <w:szCs w:val="22"/>
        </w:rPr>
        <w:t xml:space="preserve">glibenklamidom </w:t>
      </w:r>
      <w:r w:rsidRPr="00C101CC">
        <w:rPr>
          <w:rFonts w:ascii="Times New Roman" w:hAnsi="Times New Roman"/>
          <w:strike w:val="0"/>
          <w:color w:val="000000"/>
          <w:sz w:val="22"/>
          <w:szCs w:val="22"/>
        </w:rPr>
        <w:t xml:space="preserve">alebo sa </w:t>
      </w:r>
      <w:r w:rsidR="00A95C9F" w:rsidRPr="00C101CC">
        <w:rPr>
          <w:rFonts w:ascii="Times New Roman" w:hAnsi="Times New Roman"/>
          <w:strike w:val="0"/>
          <w:color w:val="000000"/>
          <w:sz w:val="22"/>
          <w:szCs w:val="22"/>
        </w:rPr>
        <w:t xml:space="preserve">glibenklamid </w:t>
      </w:r>
      <w:r w:rsidRPr="00C101CC">
        <w:rPr>
          <w:rFonts w:ascii="Times New Roman" w:hAnsi="Times New Roman"/>
          <w:strike w:val="0"/>
          <w:color w:val="000000"/>
          <w:sz w:val="22"/>
          <w:szCs w:val="22"/>
        </w:rPr>
        <w:t xml:space="preserve">pridáva k liečbe topiramátom, </w:t>
      </w:r>
      <w:r w:rsidR="00404316" w:rsidRPr="00C101CC">
        <w:rPr>
          <w:rFonts w:ascii="Times New Roman" w:hAnsi="Times New Roman"/>
          <w:strike w:val="0"/>
          <w:color w:val="000000"/>
          <w:sz w:val="22"/>
          <w:szCs w:val="22"/>
        </w:rPr>
        <w:t>má sa monitorovaniu takýchto</w:t>
      </w:r>
      <w:r w:rsidRPr="00C101CC">
        <w:rPr>
          <w:rFonts w:ascii="Times New Roman" w:hAnsi="Times New Roman"/>
          <w:strike w:val="0"/>
          <w:color w:val="000000"/>
          <w:sz w:val="22"/>
          <w:szCs w:val="22"/>
        </w:rPr>
        <w:t> pacientov venovať zvýšen</w:t>
      </w:r>
      <w:r w:rsidR="00404316" w:rsidRPr="00C101CC">
        <w:rPr>
          <w:rFonts w:ascii="Times New Roman" w:hAnsi="Times New Roman"/>
          <w:strike w:val="0"/>
          <w:color w:val="000000"/>
          <w:sz w:val="22"/>
          <w:szCs w:val="22"/>
        </w:rPr>
        <w:t>á</w:t>
      </w:r>
      <w:r w:rsidRPr="00C101CC">
        <w:rPr>
          <w:rFonts w:ascii="Times New Roman" w:hAnsi="Times New Roman"/>
          <w:strike w:val="0"/>
          <w:color w:val="000000"/>
          <w:sz w:val="22"/>
          <w:szCs w:val="22"/>
        </w:rPr>
        <w:t xml:space="preserve"> pozornosť</w:t>
      </w:r>
      <w:r w:rsidR="00404316" w:rsidRPr="00C101CC">
        <w:rPr>
          <w:rFonts w:ascii="Times New Roman" w:hAnsi="Times New Roman"/>
          <w:strike w:val="0"/>
          <w:color w:val="000000"/>
          <w:sz w:val="22"/>
          <w:szCs w:val="22"/>
        </w:rPr>
        <w:t>, aby bola zabezpečená adekvátna kontrola diabetu</w:t>
      </w:r>
      <w:r w:rsidRPr="00C101CC">
        <w:rPr>
          <w:rFonts w:ascii="Times New Roman" w:hAnsi="Times New Roman"/>
          <w:strike w:val="0"/>
          <w:color w:val="000000"/>
          <w:sz w:val="22"/>
          <w:szCs w:val="22"/>
        </w:rPr>
        <w:t>.</w:t>
      </w:r>
    </w:p>
    <w:p w14:paraId="4805EF98" w14:textId="77777777" w:rsidR="00FF7468" w:rsidRPr="00C101CC" w:rsidRDefault="00FF7468">
      <w:pPr>
        <w:pStyle w:val="Default"/>
        <w:rPr>
          <w:sz w:val="22"/>
          <w:szCs w:val="22"/>
          <w:lang w:val="sk-SK"/>
        </w:rPr>
      </w:pPr>
    </w:p>
    <w:p w14:paraId="26C56D8A" w14:textId="77777777" w:rsidR="00FF7468" w:rsidRPr="00C101CC" w:rsidRDefault="00FF7468">
      <w:pPr>
        <w:pStyle w:val="Default"/>
        <w:keepNext/>
        <w:rPr>
          <w:sz w:val="22"/>
          <w:szCs w:val="22"/>
          <w:u w:val="single"/>
          <w:lang w:val="sk-SK"/>
        </w:rPr>
      </w:pPr>
      <w:r w:rsidRPr="00C101CC">
        <w:rPr>
          <w:sz w:val="22"/>
          <w:szCs w:val="22"/>
          <w:u w:val="single"/>
          <w:lang w:val="sk-SK"/>
        </w:rPr>
        <w:t>Iné formy interakcií</w:t>
      </w:r>
    </w:p>
    <w:p w14:paraId="75CEC329" w14:textId="77777777" w:rsidR="00FF7468" w:rsidRPr="00C101CC" w:rsidRDefault="00FF7468">
      <w:pPr>
        <w:pStyle w:val="Default"/>
        <w:keepNext/>
        <w:rPr>
          <w:i/>
          <w:sz w:val="22"/>
          <w:szCs w:val="22"/>
          <w:lang w:val="sk-SK"/>
        </w:rPr>
      </w:pPr>
      <w:r w:rsidRPr="00C101CC">
        <w:rPr>
          <w:i/>
          <w:sz w:val="22"/>
          <w:szCs w:val="22"/>
          <w:lang w:val="sk-SK"/>
        </w:rPr>
        <w:t xml:space="preserve">Lieky prispievajúce k nefrolitiáze </w:t>
      </w:r>
    </w:p>
    <w:p w14:paraId="69F6A6A8" w14:textId="77777777" w:rsidR="00FF7468" w:rsidRPr="00C101CC" w:rsidRDefault="00FF7468">
      <w:pPr>
        <w:pStyle w:val="Default"/>
        <w:keepNext/>
        <w:rPr>
          <w:sz w:val="22"/>
          <w:szCs w:val="22"/>
          <w:lang w:val="sk-SK"/>
        </w:rPr>
      </w:pPr>
      <w:r w:rsidRPr="00C101CC">
        <w:rPr>
          <w:sz w:val="22"/>
          <w:szCs w:val="22"/>
          <w:lang w:val="sk-SK"/>
        </w:rPr>
        <w:t>Ak sa Topamax užíva spolu s inými liečivami, ktoré môžu prispieť k nefrolitiáze, riziko nefrolitiázy sa zvyšuje. Preto sa takýmto látkam počas užívania Topamaxu treba vyhnúť, nakoľko môžu vytvoriť fyziologické prostredie, ktoré zvyšuje riziko vzniku obličkových kameňov.</w:t>
      </w:r>
    </w:p>
    <w:p w14:paraId="366461AF" w14:textId="77777777" w:rsidR="00FF7468" w:rsidRPr="00C101CC" w:rsidRDefault="00FF7468">
      <w:pPr>
        <w:pStyle w:val="Default"/>
        <w:rPr>
          <w:sz w:val="22"/>
          <w:szCs w:val="22"/>
          <w:lang w:val="sk-SK"/>
        </w:rPr>
      </w:pPr>
    </w:p>
    <w:p w14:paraId="44044A92" w14:textId="77777777" w:rsidR="00FF7468" w:rsidRPr="00C101CC" w:rsidRDefault="00FF7468">
      <w:pPr>
        <w:pStyle w:val="Default"/>
        <w:rPr>
          <w:i/>
          <w:sz w:val="22"/>
          <w:szCs w:val="22"/>
          <w:lang w:val="sk-SK"/>
        </w:rPr>
      </w:pPr>
      <w:r w:rsidRPr="00C101CC">
        <w:rPr>
          <w:i/>
          <w:sz w:val="22"/>
          <w:szCs w:val="22"/>
          <w:lang w:val="sk-SK"/>
        </w:rPr>
        <w:t xml:space="preserve">Kyselina valproová </w:t>
      </w:r>
    </w:p>
    <w:p w14:paraId="6437AEA0" w14:textId="77777777" w:rsidR="00FF7468" w:rsidRPr="00C101CC" w:rsidRDefault="0092401B">
      <w:pPr>
        <w:pStyle w:val="Default"/>
        <w:rPr>
          <w:color w:val="000000"/>
          <w:sz w:val="22"/>
          <w:szCs w:val="22"/>
          <w:lang w:val="sk-SK"/>
        </w:rPr>
      </w:pPr>
      <w:r w:rsidRPr="00C101CC">
        <w:rPr>
          <w:color w:val="000000"/>
          <w:sz w:val="22"/>
          <w:szCs w:val="22"/>
          <w:lang w:val="sk-SK"/>
        </w:rPr>
        <w:t xml:space="preserve">Súbežné </w:t>
      </w:r>
      <w:r w:rsidR="00FF7468" w:rsidRPr="00C101CC">
        <w:rPr>
          <w:color w:val="000000"/>
          <w:sz w:val="22"/>
          <w:szCs w:val="22"/>
          <w:lang w:val="sk-SK"/>
        </w:rPr>
        <w:t>podávanie topiramátu a kyseliny valproovej sa spájalo s hyperamonémiou s encefalopatiou alebo bez nej u pacientov, ktorí tolerovali každý liek samostatne. Vo väčšine prípadov symptómy a príznaky ustúpili s prerušením podávania každého lieku</w:t>
      </w:r>
      <w:r w:rsidR="009C7D06" w:rsidRPr="00C101CC">
        <w:rPr>
          <w:color w:val="000000"/>
          <w:sz w:val="22"/>
          <w:szCs w:val="22"/>
          <w:lang w:val="sk-SK"/>
        </w:rPr>
        <w:t xml:space="preserve"> (pozri časť 4.4 a časť 4.8)</w:t>
      </w:r>
      <w:r w:rsidR="00FF7468" w:rsidRPr="00C101CC">
        <w:rPr>
          <w:color w:val="000000"/>
          <w:sz w:val="22"/>
          <w:szCs w:val="22"/>
          <w:lang w:val="sk-SK"/>
        </w:rPr>
        <w:t xml:space="preserve">. Táto nežiaduca reakcia nie je následkom farmakokinetickej interakcie. </w:t>
      </w:r>
    </w:p>
    <w:p w14:paraId="1175DC54" w14:textId="77777777" w:rsidR="004140B0" w:rsidRPr="00C101CC" w:rsidRDefault="004140B0">
      <w:pPr>
        <w:autoSpaceDE w:val="0"/>
        <w:autoSpaceDN w:val="0"/>
        <w:adjustRightInd w:val="0"/>
        <w:spacing w:line="240" w:lineRule="auto"/>
        <w:rPr>
          <w:szCs w:val="22"/>
          <w:lang w:val="sk-SK"/>
        </w:rPr>
      </w:pPr>
      <w:r w:rsidRPr="00C101CC">
        <w:rPr>
          <w:szCs w:val="22"/>
          <w:lang w:val="sk-SK"/>
        </w:rPr>
        <w:t xml:space="preserve">V súvislosti so súbežným užívaním topiramátu a kyseliny valproovej bola hlásená hypotermia, definovaná ako neželaný pokles telesnej teploty na &lt; 35 °C, v kombinácii s hyperamonémiou ako aj bez nej. Tento nežiaduci účinok sa môže objaviť u pacientov užívajúcich súbežne topiramát a valproát po začatí liečby topiramátom alebo po zvýšení dennej dávky topiramátu. </w:t>
      </w:r>
    </w:p>
    <w:p w14:paraId="71924653" w14:textId="0BBE04AF" w:rsidR="00FF7468" w:rsidRPr="00C101CC" w:rsidRDefault="00FF7468">
      <w:pPr>
        <w:pStyle w:val="Default"/>
        <w:rPr>
          <w:sz w:val="22"/>
          <w:szCs w:val="22"/>
          <w:lang w:val="sk-SK"/>
        </w:rPr>
      </w:pPr>
    </w:p>
    <w:p w14:paraId="13C66A32" w14:textId="5D9996FF" w:rsidR="006E6258" w:rsidRPr="00C101CC" w:rsidRDefault="00E06E0D">
      <w:pPr>
        <w:pStyle w:val="Default"/>
        <w:keepNext/>
        <w:rPr>
          <w:i/>
          <w:sz w:val="22"/>
          <w:szCs w:val="22"/>
          <w:lang w:val="sk-SK"/>
        </w:rPr>
      </w:pPr>
      <w:r w:rsidRPr="00C101CC">
        <w:rPr>
          <w:i/>
          <w:sz w:val="22"/>
          <w:szCs w:val="22"/>
          <w:lang w:val="sk-SK"/>
        </w:rPr>
        <w:t>W</w:t>
      </w:r>
      <w:r w:rsidR="006E6258" w:rsidRPr="00C101CC">
        <w:rPr>
          <w:i/>
          <w:sz w:val="22"/>
          <w:szCs w:val="22"/>
          <w:lang w:val="sk-SK"/>
        </w:rPr>
        <w:t>arfarín</w:t>
      </w:r>
    </w:p>
    <w:p w14:paraId="097ECFBF" w14:textId="096F4670" w:rsidR="006E6258" w:rsidRPr="00C101CC" w:rsidRDefault="00612D1C">
      <w:pPr>
        <w:pStyle w:val="Default"/>
        <w:keepNext/>
        <w:rPr>
          <w:sz w:val="22"/>
          <w:szCs w:val="22"/>
          <w:lang w:val="sk-SK"/>
        </w:rPr>
      </w:pPr>
      <w:r w:rsidRPr="00C101CC">
        <w:rPr>
          <w:sz w:val="22"/>
          <w:szCs w:val="22"/>
          <w:lang w:val="sk-SK"/>
        </w:rPr>
        <w:t>U pacientov liečených topiramátom v kombinácii s warfarín</w:t>
      </w:r>
      <w:r w:rsidR="00E06E0D" w:rsidRPr="00C101CC">
        <w:rPr>
          <w:sz w:val="22"/>
          <w:szCs w:val="22"/>
          <w:lang w:val="sk-SK"/>
        </w:rPr>
        <w:t>om</w:t>
      </w:r>
      <w:r w:rsidRPr="00C101CC">
        <w:rPr>
          <w:sz w:val="22"/>
          <w:szCs w:val="22"/>
          <w:lang w:val="sk-SK"/>
        </w:rPr>
        <w:t xml:space="preserve"> bol hlásený </w:t>
      </w:r>
      <w:r w:rsidR="00E06E0D" w:rsidRPr="00C101CC">
        <w:rPr>
          <w:sz w:val="22"/>
          <w:szCs w:val="22"/>
          <w:lang w:val="sk-SK"/>
        </w:rPr>
        <w:t>znížený</w:t>
      </w:r>
      <w:r w:rsidRPr="00C101CC">
        <w:rPr>
          <w:sz w:val="22"/>
          <w:szCs w:val="22"/>
          <w:lang w:val="sk-SK"/>
        </w:rPr>
        <w:t xml:space="preserve"> protrombínový čas/medzinárodný normalizovaný pomer (</w:t>
      </w:r>
      <w:r w:rsidR="00714124" w:rsidRPr="00C101CC">
        <w:rPr>
          <w:sz w:val="22"/>
          <w:szCs w:val="22"/>
        </w:rPr>
        <w:t xml:space="preserve">Prothrombin Time/International Normalized Ratio, </w:t>
      </w:r>
      <w:r w:rsidRPr="00C101CC">
        <w:rPr>
          <w:sz w:val="22"/>
          <w:szCs w:val="22"/>
          <w:lang w:val="sk-SK"/>
        </w:rPr>
        <w:t xml:space="preserve">PT/INR). </w:t>
      </w:r>
      <w:r w:rsidR="00E06E0D" w:rsidRPr="00C101CC">
        <w:rPr>
          <w:sz w:val="22"/>
          <w:szCs w:val="22"/>
          <w:lang w:val="sk-SK"/>
        </w:rPr>
        <w:t>Z toho dôvodu</w:t>
      </w:r>
      <w:r w:rsidRPr="00C101CC">
        <w:rPr>
          <w:sz w:val="22"/>
          <w:szCs w:val="22"/>
          <w:lang w:val="sk-SK"/>
        </w:rPr>
        <w:t xml:space="preserve"> sa má u pacientov </w:t>
      </w:r>
      <w:r w:rsidR="004A7FE7" w:rsidRPr="00C101CC">
        <w:rPr>
          <w:sz w:val="22"/>
          <w:szCs w:val="22"/>
          <w:lang w:val="sk-SK"/>
        </w:rPr>
        <w:t>súbežne</w:t>
      </w:r>
      <w:r w:rsidRPr="00C101CC">
        <w:rPr>
          <w:sz w:val="22"/>
          <w:szCs w:val="22"/>
          <w:lang w:val="sk-SK"/>
        </w:rPr>
        <w:t xml:space="preserve"> liečených topiramátom a warfarín</w:t>
      </w:r>
      <w:r w:rsidR="00E06E0D" w:rsidRPr="00C101CC">
        <w:rPr>
          <w:sz w:val="22"/>
          <w:szCs w:val="22"/>
          <w:lang w:val="sk-SK"/>
        </w:rPr>
        <w:t>om</w:t>
      </w:r>
      <w:r w:rsidRPr="00C101CC">
        <w:rPr>
          <w:sz w:val="22"/>
          <w:szCs w:val="22"/>
          <w:lang w:val="sk-SK"/>
        </w:rPr>
        <w:t xml:space="preserve"> pozorne sledovať INR.</w:t>
      </w:r>
    </w:p>
    <w:p w14:paraId="12218F18" w14:textId="77777777" w:rsidR="006E6258" w:rsidRPr="00C101CC" w:rsidRDefault="006E6258">
      <w:pPr>
        <w:pStyle w:val="Default"/>
        <w:rPr>
          <w:sz w:val="22"/>
          <w:szCs w:val="22"/>
          <w:lang w:val="sk-SK"/>
        </w:rPr>
      </w:pPr>
    </w:p>
    <w:p w14:paraId="13A0C6C1" w14:textId="77777777" w:rsidR="00FF7468" w:rsidRPr="00C101CC" w:rsidRDefault="00FF7468">
      <w:pPr>
        <w:pStyle w:val="Default"/>
        <w:rPr>
          <w:sz w:val="22"/>
          <w:szCs w:val="22"/>
          <w:u w:val="single"/>
          <w:lang w:val="sk-SK"/>
        </w:rPr>
      </w:pPr>
      <w:r w:rsidRPr="00C101CC">
        <w:rPr>
          <w:sz w:val="22"/>
          <w:szCs w:val="22"/>
          <w:u w:val="single"/>
          <w:lang w:val="sk-SK"/>
        </w:rPr>
        <w:t>Ďalšie farmakokinetické štúdie liekových interakcií</w:t>
      </w:r>
    </w:p>
    <w:p w14:paraId="7F8D05C3" w14:textId="782A2AB5" w:rsidR="00FF7468" w:rsidRPr="00C101CC" w:rsidRDefault="00FF7468">
      <w:pPr>
        <w:pStyle w:val="Default"/>
        <w:rPr>
          <w:sz w:val="22"/>
          <w:szCs w:val="22"/>
          <w:lang w:val="sk-SK"/>
        </w:rPr>
      </w:pPr>
      <w:r w:rsidRPr="00C101CC">
        <w:rPr>
          <w:sz w:val="22"/>
          <w:szCs w:val="22"/>
          <w:lang w:val="sk-SK"/>
        </w:rPr>
        <w:t>Vykonali sa klinické štúdie, aby sa zistili potenciálne farmakokinetické liekové interakcie topiramátu s inými liečivami. Zmeny C</w:t>
      </w:r>
      <w:r w:rsidRPr="00C101CC">
        <w:rPr>
          <w:sz w:val="22"/>
          <w:szCs w:val="22"/>
          <w:vertAlign w:val="subscript"/>
          <w:lang w:val="sk-SK"/>
        </w:rPr>
        <w:t>max</w:t>
      </w:r>
      <w:r w:rsidRPr="00C101CC">
        <w:rPr>
          <w:sz w:val="22"/>
          <w:szCs w:val="22"/>
          <w:lang w:val="sk-SK"/>
        </w:rPr>
        <w:t xml:space="preserve"> alebo AUC, ako aj výsledky interakcií sú zhrnuté nižšie. V druhom stĺpci (koncentrácia</w:t>
      </w:r>
      <w:r w:rsidR="00566A0D" w:rsidRPr="00C101CC">
        <w:rPr>
          <w:sz w:val="22"/>
          <w:szCs w:val="22"/>
          <w:lang w:val="sk-SK"/>
        </w:rPr>
        <w:t xml:space="preserve"> sú</w:t>
      </w:r>
      <w:r w:rsidR="008C445F" w:rsidRPr="00C101CC">
        <w:rPr>
          <w:sz w:val="22"/>
          <w:szCs w:val="22"/>
          <w:lang w:val="sk-SK"/>
        </w:rPr>
        <w:t>bež</w:t>
      </w:r>
      <w:r w:rsidR="00566A0D" w:rsidRPr="00C101CC">
        <w:rPr>
          <w:sz w:val="22"/>
          <w:szCs w:val="22"/>
          <w:lang w:val="sk-SK"/>
        </w:rPr>
        <w:t>ne podaného</w:t>
      </w:r>
      <w:r w:rsidRPr="00C101CC">
        <w:rPr>
          <w:sz w:val="22"/>
          <w:szCs w:val="22"/>
          <w:lang w:val="sk-SK"/>
        </w:rPr>
        <w:t xml:space="preserve"> liečiva) sú zmeny koncentrácie liečiva uvedeného v prvom stĺpci, ktoré sa zaznamenali po pridaní topiramátu. V treťom stĺpci (koncentrácia topiramátu) je zaznamenaný vplyv sú</w:t>
      </w:r>
      <w:r w:rsidR="008C445F" w:rsidRPr="00C101CC">
        <w:rPr>
          <w:sz w:val="22"/>
          <w:szCs w:val="22"/>
          <w:lang w:val="sk-SK"/>
        </w:rPr>
        <w:t>bež</w:t>
      </w:r>
      <w:r w:rsidRPr="00C101CC">
        <w:rPr>
          <w:sz w:val="22"/>
          <w:szCs w:val="22"/>
          <w:lang w:val="sk-SK"/>
        </w:rPr>
        <w:t>ného podania liečiva uvedeného v prvom stĺpci na koncentráciu topiramátu.</w:t>
      </w:r>
    </w:p>
    <w:p w14:paraId="6022FB81" w14:textId="77777777" w:rsidR="00FF7468" w:rsidRPr="00C101CC" w:rsidRDefault="00FF7468">
      <w:pPr>
        <w:pStyle w:val="Default"/>
        <w:rPr>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060"/>
        <w:gridCol w:w="2790"/>
      </w:tblGrid>
      <w:tr w:rsidR="00FF7468" w:rsidRPr="00C101CC" w14:paraId="539D2F97" w14:textId="77777777" w:rsidTr="009B49B1">
        <w:trPr>
          <w:trHeight w:val="267"/>
          <w:jc w:val="center"/>
        </w:trPr>
        <w:tc>
          <w:tcPr>
            <w:tcW w:w="8280" w:type="dxa"/>
            <w:gridSpan w:val="3"/>
          </w:tcPr>
          <w:p w14:paraId="391772D5" w14:textId="77777777" w:rsidR="00FF7468" w:rsidRPr="00C101CC" w:rsidRDefault="00FF7468">
            <w:pPr>
              <w:pStyle w:val="Default"/>
              <w:keepNext/>
              <w:jc w:val="center"/>
              <w:rPr>
                <w:b/>
                <w:sz w:val="22"/>
                <w:szCs w:val="22"/>
                <w:lang w:val="sk-SK"/>
              </w:rPr>
            </w:pPr>
            <w:r w:rsidRPr="00C101CC">
              <w:rPr>
                <w:b/>
                <w:sz w:val="22"/>
                <w:szCs w:val="22"/>
                <w:lang w:val="sk-SK"/>
              </w:rPr>
              <w:t>Súhrn výsledkov z ďalších farmakokinetických štúdií liekových interakcií</w:t>
            </w:r>
          </w:p>
        </w:tc>
      </w:tr>
      <w:tr w:rsidR="00FF7468" w:rsidRPr="00C101CC" w14:paraId="05CB9845" w14:textId="77777777" w:rsidTr="009B49B1">
        <w:trPr>
          <w:trHeight w:val="515"/>
          <w:jc w:val="center"/>
        </w:trPr>
        <w:tc>
          <w:tcPr>
            <w:tcW w:w="2430" w:type="dxa"/>
          </w:tcPr>
          <w:p w14:paraId="5037A85E" w14:textId="2C07ACF9" w:rsidR="00FF7468" w:rsidRPr="00C101CC" w:rsidRDefault="00566A0D" w:rsidP="00C101CC">
            <w:pPr>
              <w:pStyle w:val="Default"/>
              <w:keepNext/>
              <w:jc w:val="center"/>
              <w:rPr>
                <w:b/>
                <w:sz w:val="22"/>
                <w:szCs w:val="22"/>
                <w:lang w:val="sk-SK"/>
              </w:rPr>
            </w:pPr>
            <w:r w:rsidRPr="00C101CC">
              <w:rPr>
                <w:b/>
                <w:sz w:val="22"/>
                <w:szCs w:val="22"/>
                <w:lang w:val="sk-SK"/>
              </w:rPr>
              <w:t>Sú</w:t>
            </w:r>
            <w:r w:rsidR="008C445F" w:rsidRPr="00C101CC">
              <w:rPr>
                <w:b/>
                <w:sz w:val="22"/>
                <w:szCs w:val="22"/>
                <w:lang w:val="sk-SK"/>
              </w:rPr>
              <w:t>bež</w:t>
            </w:r>
            <w:r w:rsidRPr="00C101CC">
              <w:rPr>
                <w:b/>
                <w:sz w:val="22"/>
                <w:szCs w:val="22"/>
                <w:lang w:val="sk-SK"/>
              </w:rPr>
              <w:t xml:space="preserve">ne podané </w:t>
            </w:r>
            <w:r w:rsidR="00FF7468" w:rsidRPr="00C101CC">
              <w:rPr>
                <w:b/>
                <w:sz w:val="22"/>
                <w:szCs w:val="22"/>
                <w:lang w:val="sk-SK"/>
              </w:rPr>
              <w:t>liečivo</w:t>
            </w:r>
          </w:p>
        </w:tc>
        <w:tc>
          <w:tcPr>
            <w:tcW w:w="3060" w:type="dxa"/>
          </w:tcPr>
          <w:p w14:paraId="0243094D" w14:textId="3D838D92" w:rsidR="00FF7468" w:rsidRPr="00C101CC" w:rsidRDefault="00566A0D">
            <w:pPr>
              <w:pStyle w:val="Default"/>
              <w:keepNext/>
              <w:jc w:val="center"/>
              <w:rPr>
                <w:b/>
                <w:sz w:val="22"/>
                <w:szCs w:val="22"/>
                <w:lang w:val="sk-SK"/>
              </w:rPr>
            </w:pPr>
            <w:r w:rsidRPr="00C101CC">
              <w:rPr>
                <w:b/>
                <w:sz w:val="22"/>
                <w:szCs w:val="22"/>
                <w:lang w:val="sk-SK"/>
              </w:rPr>
              <w:t>K</w:t>
            </w:r>
            <w:r w:rsidR="00FF7468" w:rsidRPr="00C101CC">
              <w:rPr>
                <w:b/>
                <w:sz w:val="22"/>
                <w:szCs w:val="22"/>
                <w:lang w:val="sk-SK"/>
              </w:rPr>
              <w:t xml:space="preserve">oncentrácia </w:t>
            </w:r>
            <w:r w:rsidRPr="00C101CC">
              <w:rPr>
                <w:b/>
                <w:sz w:val="22"/>
                <w:szCs w:val="22"/>
                <w:lang w:val="sk-SK"/>
              </w:rPr>
              <w:t>sú</w:t>
            </w:r>
            <w:r w:rsidR="008C445F" w:rsidRPr="00C101CC">
              <w:rPr>
                <w:b/>
                <w:sz w:val="22"/>
                <w:szCs w:val="22"/>
                <w:lang w:val="sk-SK"/>
              </w:rPr>
              <w:t>bež</w:t>
            </w:r>
            <w:r w:rsidRPr="00C101CC">
              <w:rPr>
                <w:b/>
                <w:sz w:val="22"/>
                <w:szCs w:val="22"/>
                <w:lang w:val="sk-SK"/>
              </w:rPr>
              <w:t xml:space="preserve">ne podaného </w:t>
            </w:r>
            <w:r w:rsidR="00FF7468" w:rsidRPr="00C101CC">
              <w:rPr>
                <w:b/>
                <w:sz w:val="22"/>
                <w:szCs w:val="22"/>
                <w:lang w:val="sk-SK"/>
              </w:rPr>
              <w:t>liečiva</w:t>
            </w:r>
            <w:r w:rsidR="00FF7468" w:rsidRPr="00C101CC">
              <w:rPr>
                <w:b/>
                <w:sz w:val="22"/>
                <w:szCs w:val="22"/>
                <w:vertAlign w:val="superscript"/>
                <w:lang w:val="sk-SK"/>
              </w:rPr>
              <w:t>a</w:t>
            </w:r>
          </w:p>
        </w:tc>
        <w:tc>
          <w:tcPr>
            <w:tcW w:w="2790" w:type="dxa"/>
          </w:tcPr>
          <w:p w14:paraId="60C878B5" w14:textId="77777777" w:rsidR="00FF7468" w:rsidRPr="00C101CC" w:rsidRDefault="00FF7468">
            <w:pPr>
              <w:pStyle w:val="Default"/>
              <w:jc w:val="center"/>
              <w:rPr>
                <w:b/>
                <w:sz w:val="22"/>
                <w:szCs w:val="22"/>
                <w:lang w:val="sk-SK"/>
              </w:rPr>
            </w:pPr>
            <w:r w:rsidRPr="00C101CC">
              <w:rPr>
                <w:b/>
                <w:sz w:val="22"/>
                <w:szCs w:val="22"/>
                <w:lang w:val="sk-SK"/>
              </w:rPr>
              <w:t>Koncentrácia topiramátu</w:t>
            </w:r>
            <w:r w:rsidRPr="00C101CC">
              <w:rPr>
                <w:b/>
                <w:sz w:val="22"/>
                <w:szCs w:val="22"/>
                <w:vertAlign w:val="superscript"/>
                <w:lang w:val="sk-SK"/>
              </w:rPr>
              <w:t>a</w:t>
            </w:r>
          </w:p>
        </w:tc>
      </w:tr>
      <w:tr w:rsidR="00FF7468" w:rsidRPr="00C101CC" w14:paraId="448C41C1" w14:textId="77777777" w:rsidTr="009B49B1">
        <w:trPr>
          <w:trHeight w:val="738"/>
          <w:jc w:val="center"/>
        </w:trPr>
        <w:tc>
          <w:tcPr>
            <w:tcW w:w="2430" w:type="dxa"/>
          </w:tcPr>
          <w:p w14:paraId="6E9D3162" w14:textId="77777777" w:rsidR="00FF7468" w:rsidRPr="00C101CC" w:rsidRDefault="00FF7468" w:rsidP="00C101CC">
            <w:pPr>
              <w:pStyle w:val="Default"/>
              <w:jc w:val="both"/>
              <w:rPr>
                <w:sz w:val="22"/>
                <w:szCs w:val="22"/>
                <w:lang w:val="sk-SK"/>
              </w:rPr>
            </w:pPr>
            <w:r w:rsidRPr="00C101CC">
              <w:rPr>
                <w:sz w:val="22"/>
                <w:szCs w:val="22"/>
                <w:lang w:val="sk-SK"/>
              </w:rPr>
              <w:t xml:space="preserve">Amitriptylín </w:t>
            </w:r>
          </w:p>
        </w:tc>
        <w:tc>
          <w:tcPr>
            <w:tcW w:w="3060" w:type="dxa"/>
          </w:tcPr>
          <w:p w14:paraId="1F7C5DC9" w14:textId="77777777" w:rsidR="00FF7468" w:rsidRPr="00C101CC" w:rsidRDefault="00FF7468">
            <w:pPr>
              <w:pStyle w:val="Default"/>
              <w:jc w:val="center"/>
              <w:rPr>
                <w:sz w:val="22"/>
                <w:szCs w:val="22"/>
                <w:lang w:val="sk-SK"/>
              </w:rPr>
            </w:pPr>
            <w:r w:rsidRPr="00C101CC">
              <w:rPr>
                <w:sz w:val="22"/>
                <w:szCs w:val="22"/>
                <w:lang w:val="sk-SK"/>
              </w:rPr>
              <w:t>↔ 20</w:t>
            </w:r>
            <w:r w:rsidR="003C61AE" w:rsidRPr="00C101CC">
              <w:rPr>
                <w:sz w:val="22"/>
                <w:szCs w:val="22"/>
                <w:lang w:val="sk-SK"/>
              </w:rPr>
              <w:t> </w:t>
            </w:r>
            <w:r w:rsidRPr="00C101CC">
              <w:rPr>
                <w:sz w:val="22"/>
                <w:szCs w:val="22"/>
                <w:lang w:val="sk-SK"/>
              </w:rPr>
              <w:t>% zvýšenie C</w:t>
            </w:r>
            <w:r w:rsidRPr="00C101CC">
              <w:rPr>
                <w:sz w:val="22"/>
                <w:szCs w:val="22"/>
                <w:vertAlign w:val="subscript"/>
                <w:lang w:val="sk-SK"/>
              </w:rPr>
              <w:t>max</w:t>
            </w:r>
            <w:r w:rsidRPr="00C101CC">
              <w:rPr>
                <w:position w:val="-8"/>
                <w:sz w:val="22"/>
                <w:szCs w:val="22"/>
                <w:vertAlign w:val="subscript"/>
                <w:lang w:val="sk-SK"/>
              </w:rPr>
              <w:t xml:space="preserve"> </w:t>
            </w:r>
            <w:r w:rsidRPr="00C101CC">
              <w:rPr>
                <w:sz w:val="22"/>
                <w:szCs w:val="22"/>
                <w:lang w:val="sk-SK"/>
              </w:rPr>
              <w:t>a AUC nortriptylínu - metabolitu</w:t>
            </w:r>
          </w:p>
        </w:tc>
        <w:tc>
          <w:tcPr>
            <w:tcW w:w="2790" w:type="dxa"/>
          </w:tcPr>
          <w:p w14:paraId="0126B221"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08556499" w14:textId="77777777" w:rsidTr="009B49B1">
        <w:trPr>
          <w:trHeight w:val="493"/>
          <w:jc w:val="center"/>
        </w:trPr>
        <w:tc>
          <w:tcPr>
            <w:tcW w:w="2430" w:type="dxa"/>
          </w:tcPr>
          <w:p w14:paraId="53C35192" w14:textId="77777777" w:rsidR="00FF7468" w:rsidRPr="00C101CC" w:rsidRDefault="00FF7468" w:rsidP="00C101CC">
            <w:pPr>
              <w:pStyle w:val="Default"/>
              <w:rPr>
                <w:sz w:val="22"/>
                <w:szCs w:val="22"/>
                <w:lang w:val="sk-SK"/>
              </w:rPr>
            </w:pPr>
            <w:r w:rsidRPr="00C101CC">
              <w:rPr>
                <w:sz w:val="22"/>
                <w:szCs w:val="22"/>
                <w:lang w:val="sk-SK"/>
              </w:rPr>
              <w:t xml:space="preserve">Dihydroergotamín (perorálny a subkutánny) </w:t>
            </w:r>
          </w:p>
        </w:tc>
        <w:tc>
          <w:tcPr>
            <w:tcW w:w="3060" w:type="dxa"/>
          </w:tcPr>
          <w:p w14:paraId="071D25C9" w14:textId="77777777" w:rsidR="00FF7468" w:rsidRPr="00C101CC" w:rsidRDefault="00FF7468">
            <w:pPr>
              <w:pStyle w:val="Default"/>
              <w:jc w:val="center"/>
              <w:rPr>
                <w:sz w:val="22"/>
                <w:szCs w:val="22"/>
                <w:lang w:val="sk-SK"/>
              </w:rPr>
            </w:pPr>
            <w:r w:rsidRPr="00C101CC">
              <w:rPr>
                <w:sz w:val="22"/>
                <w:szCs w:val="22"/>
                <w:lang w:val="sk-SK"/>
              </w:rPr>
              <w:t>↔</w:t>
            </w:r>
          </w:p>
        </w:tc>
        <w:tc>
          <w:tcPr>
            <w:tcW w:w="2790" w:type="dxa"/>
          </w:tcPr>
          <w:p w14:paraId="043F3809"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1BB2B90C" w14:textId="77777777" w:rsidTr="009B49B1">
        <w:trPr>
          <w:trHeight w:val="738"/>
          <w:jc w:val="center"/>
        </w:trPr>
        <w:tc>
          <w:tcPr>
            <w:tcW w:w="2430" w:type="dxa"/>
          </w:tcPr>
          <w:p w14:paraId="4F010551" w14:textId="77777777" w:rsidR="00FF7468" w:rsidRPr="00C101CC" w:rsidRDefault="00FF7468" w:rsidP="00C101CC">
            <w:pPr>
              <w:pStyle w:val="Default"/>
              <w:jc w:val="both"/>
              <w:rPr>
                <w:sz w:val="22"/>
                <w:szCs w:val="22"/>
                <w:lang w:val="sk-SK"/>
              </w:rPr>
            </w:pPr>
            <w:r w:rsidRPr="00C101CC">
              <w:rPr>
                <w:sz w:val="22"/>
                <w:szCs w:val="22"/>
                <w:lang w:val="sk-SK"/>
              </w:rPr>
              <w:t xml:space="preserve">Haloperidol </w:t>
            </w:r>
          </w:p>
        </w:tc>
        <w:tc>
          <w:tcPr>
            <w:tcW w:w="3060" w:type="dxa"/>
          </w:tcPr>
          <w:p w14:paraId="7535D60E" w14:textId="77777777" w:rsidR="00FF7468" w:rsidRPr="00C101CC" w:rsidRDefault="00FF7468">
            <w:pPr>
              <w:pStyle w:val="Default"/>
              <w:jc w:val="center"/>
              <w:rPr>
                <w:sz w:val="22"/>
                <w:szCs w:val="22"/>
                <w:lang w:val="sk-SK"/>
              </w:rPr>
            </w:pPr>
            <w:r w:rsidRPr="00C101CC">
              <w:rPr>
                <w:sz w:val="22"/>
                <w:szCs w:val="22"/>
                <w:lang w:val="sk-SK"/>
              </w:rPr>
              <w:t>↔ 31</w:t>
            </w:r>
            <w:r w:rsidR="003C61AE" w:rsidRPr="00C101CC">
              <w:rPr>
                <w:sz w:val="22"/>
                <w:szCs w:val="22"/>
                <w:lang w:val="sk-SK"/>
              </w:rPr>
              <w:t> </w:t>
            </w:r>
            <w:r w:rsidRPr="00C101CC">
              <w:rPr>
                <w:sz w:val="22"/>
                <w:szCs w:val="22"/>
                <w:lang w:val="sk-SK"/>
              </w:rPr>
              <w:t>% zvýšenie AUC redukovaných metabolitov</w:t>
            </w:r>
          </w:p>
        </w:tc>
        <w:tc>
          <w:tcPr>
            <w:tcW w:w="2790" w:type="dxa"/>
          </w:tcPr>
          <w:p w14:paraId="2D61CAED"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272BDACD" w14:textId="77777777" w:rsidTr="009B49B1">
        <w:trPr>
          <w:trHeight w:val="738"/>
          <w:jc w:val="center"/>
        </w:trPr>
        <w:tc>
          <w:tcPr>
            <w:tcW w:w="2430" w:type="dxa"/>
          </w:tcPr>
          <w:p w14:paraId="3271B7C2" w14:textId="77777777" w:rsidR="00FF7468" w:rsidRPr="00C101CC" w:rsidRDefault="00FF7468" w:rsidP="00C101CC">
            <w:pPr>
              <w:pStyle w:val="Default"/>
              <w:jc w:val="both"/>
              <w:rPr>
                <w:sz w:val="22"/>
                <w:szCs w:val="22"/>
                <w:lang w:val="sk-SK"/>
              </w:rPr>
            </w:pPr>
            <w:r w:rsidRPr="00C101CC">
              <w:rPr>
                <w:sz w:val="22"/>
                <w:szCs w:val="22"/>
                <w:lang w:val="sk-SK"/>
              </w:rPr>
              <w:t xml:space="preserve">Propranolol </w:t>
            </w:r>
          </w:p>
        </w:tc>
        <w:tc>
          <w:tcPr>
            <w:tcW w:w="3060" w:type="dxa"/>
          </w:tcPr>
          <w:p w14:paraId="4FA3625F" w14:textId="53297F50" w:rsidR="00FF7468" w:rsidRPr="00C101CC" w:rsidRDefault="00FF7468">
            <w:pPr>
              <w:pStyle w:val="Default"/>
              <w:jc w:val="center"/>
              <w:rPr>
                <w:sz w:val="22"/>
                <w:szCs w:val="22"/>
                <w:lang w:val="sk-SK"/>
              </w:rPr>
            </w:pPr>
            <w:r w:rsidRPr="00C101CC">
              <w:rPr>
                <w:sz w:val="22"/>
                <w:szCs w:val="22"/>
                <w:lang w:val="sk-SK"/>
              </w:rPr>
              <w:t>↔ 17</w:t>
            </w:r>
            <w:r w:rsidR="003C61AE" w:rsidRPr="00C101CC">
              <w:rPr>
                <w:sz w:val="22"/>
                <w:szCs w:val="22"/>
                <w:lang w:val="sk-SK"/>
              </w:rPr>
              <w:t> </w:t>
            </w:r>
            <w:r w:rsidRPr="00C101CC">
              <w:rPr>
                <w:sz w:val="22"/>
                <w:szCs w:val="22"/>
                <w:lang w:val="sk-SK"/>
              </w:rPr>
              <w:t>% zvýšenie C</w:t>
            </w:r>
            <w:r w:rsidRPr="00C101CC">
              <w:rPr>
                <w:sz w:val="22"/>
                <w:szCs w:val="22"/>
                <w:vertAlign w:val="subscript"/>
                <w:lang w:val="sk-SK"/>
              </w:rPr>
              <w:t>max</w:t>
            </w:r>
            <w:r w:rsidRPr="00C101CC">
              <w:rPr>
                <w:sz w:val="22"/>
                <w:szCs w:val="22"/>
                <w:lang w:val="sk-SK"/>
              </w:rPr>
              <w:t xml:space="preserve"> </w:t>
            </w:r>
            <w:r w:rsidRPr="00C101CC">
              <w:rPr>
                <w:position w:val="-8"/>
                <w:sz w:val="22"/>
                <w:szCs w:val="22"/>
                <w:vertAlign w:val="subscript"/>
                <w:lang w:val="sk-SK"/>
              </w:rPr>
              <w:t xml:space="preserve"> </w:t>
            </w:r>
            <w:r w:rsidRPr="00C101CC">
              <w:rPr>
                <w:sz w:val="22"/>
                <w:szCs w:val="22"/>
                <w:lang w:val="sk-SK"/>
              </w:rPr>
              <w:t>4-</w:t>
            </w:r>
            <w:r w:rsidR="00EB304D" w:rsidRPr="00C101CC">
              <w:rPr>
                <w:sz w:val="22"/>
                <w:szCs w:val="22"/>
                <w:lang w:val="sk-SK"/>
              </w:rPr>
              <w:t>hydroxy</w:t>
            </w:r>
            <w:r w:rsidRPr="00C101CC">
              <w:rPr>
                <w:sz w:val="22"/>
                <w:szCs w:val="22"/>
                <w:lang w:val="sk-SK"/>
              </w:rPr>
              <w:t>propranololu (TPM 50</w:t>
            </w:r>
            <w:r w:rsidR="003C61AE" w:rsidRPr="00C101CC">
              <w:rPr>
                <w:sz w:val="22"/>
                <w:szCs w:val="22"/>
                <w:lang w:val="sk-SK"/>
              </w:rPr>
              <w:t> </w:t>
            </w:r>
            <w:r w:rsidRPr="00C101CC">
              <w:rPr>
                <w:sz w:val="22"/>
                <w:szCs w:val="22"/>
                <w:lang w:val="sk-SK"/>
              </w:rPr>
              <w:t>mg/12</w:t>
            </w:r>
            <w:r w:rsidR="00215D65" w:rsidRPr="00C101CC">
              <w:rPr>
                <w:sz w:val="22"/>
                <w:szCs w:val="22"/>
                <w:lang w:val="sk-SK"/>
              </w:rPr>
              <w:t> </w:t>
            </w:r>
            <w:r w:rsidRPr="00C101CC">
              <w:rPr>
                <w:sz w:val="22"/>
                <w:szCs w:val="22"/>
                <w:lang w:val="sk-SK"/>
              </w:rPr>
              <w:t>h)</w:t>
            </w:r>
          </w:p>
        </w:tc>
        <w:tc>
          <w:tcPr>
            <w:tcW w:w="2790" w:type="dxa"/>
          </w:tcPr>
          <w:p w14:paraId="4A01A8A2" w14:textId="77777777" w:rsidR="00FF7468" w:rsidRPr="00C101CC" w:rsidRDefault="00FF7468">
            <w:pPr>
              <w:pStyle w:val="Default"/>
              <w:jc w:val="center"/>
              <w:rPr>
                <w:sz w:val="22"/>
                <w:szCs w:val="22"/>
                <w:lang w:val="sk-SK"/>
              </w:rPr>
            </w:pPr>
            <w:r w:rsidRPr="00C101CC">
              <w:rPr>
                <w:sz w:val="22"/>
                <w:szCs w:val="22"/>
                <w:lang w:val="sk-SK"/>
              </w:rPr>
              <w:t>9</w:t>
            </w:r>
            <w:r w:rsidR="003C61AE" w:rsidRPr="00C101CC">
              <w:rPr>
                <w:sz w:val="22"/>
                <w:szCs w:val="22"/>
                <w:lang w:val="sk-SK"/>
              </w:rPr>
              <w:t> </w:t>
            </w:r>
            <w:r w:rsidRPr="00C101CC">
              <w:rPr>
                <w:sz w:val="22"/>
                <w:szCs w:val="22"/>
                <w:lang w:val="sk-SK"/>
              </w:rPr>
              <w:t>% a</w:t>
            </w:r>
            <w:r w:rsidR="003C61AE" w:rsidRPr="00C101CC">
              <w:rPr>
                <w:sz w:val="22"/>
                <w:szCs w:val="22"/>
                <w:lang w:val="sk-SK"/>
              </w:rPr>
              <w:t> </w:t>
            </w:r>
            <w:r w:rsidRPr="00C101CC">
              <w:rPr>
                <w:sz w:val="22"/>
                <w:szCs w:val="22"/>
                <w:lang w:val="sk-SK"/>
              </w:rPr>
              <w:t>16</w:t>
            </w:r>
            <w:r w:rsidR="003C61AE" w:rsidRPr="00C101CC">
              <w:rPr>
                <w:sz w:val="22"/>
                <w:szCs w:val="22"/>
                <w:lang w:val="sk-SK"/>
              </w:rPr>
              <w:t> </w:t>
            </w:r>
            <w:r w:rsidRPr="00C101CC">
              <w:rPr>
                <w:sz w:val="22"/>
                <w:szCs w:val="22"/>
                <w:lang w:val="sk-SK"/>
              </w:rPr>
              <w:t>% zvýšenie C</w:t>
            </w:r>
            <w:r w:rsidRPr="00C101CC">
              <w:rPr>
                <w:sz w:val="22"/>
                <w:szCs w:val="22"/>
                <w:vertAlign w:val="subscript"/>
                <w:lang w:val="sk-SK"/>
              </w:rPr>
              <w:t>max</w:t>
            </w:r>
            <w:r w:rsidRPr="00C101CC">
              <w:rPr>
                <w:sz w:val="22"/>
                <w:szCs w:val="22"/>
                <w:lang w:val="sk-SK"/>
              </w:rPr>
              <w:t>,</w:t>
            </w:r>
          </w:p>
          <w:p w14:paraId="3CAF2BB0" w14:textId="442D537B" w:rsidR="00FF7468" w:rsidRPr="00C101CC" w:rsidRDefault="00FF7468">
            <w:pPr>
              <w:spacing w:line="240" w:lineRule="auto"/>
              <w:jc w:val="center"/>
              <w:rPr>
                <w:szCs w:val="22"/>
                <w:lang w:val="sk-SK"/>
              </w:rPr>
            </w:pPr>
            <w:r w:rsidRPr="00C101CC">
              <w:rPr>
                <w:szCs w:val="22"/>
                <w:lang w:val="sk-SK"/>
              </w:rPr>
              <w:t>9</w:t>
            </w:r>
            <w:r w:rsidR="003C61AE" w:rsidRPr="00C101CC">
              <w:rPr>
                <w:szCs w:val="22"/>
                <w:lang w:val="sk-SK"/>
              </w:rPr>
              <w:t> </w:t>
            </w:r>
            <w:r w:rsidRPr="00C101CC">
              <w:rPr>
                <w:szCs w:val="22"/>
                <w:lang w:val="sk-SK"/>
              </w:rPr>
              <w:t>% a</w:t>
            </w:r>
            <w:r w:rsidR="003C61AE" w:rsidRPr="00C101CC">
              <w:rPr>
                <w:szCs w:val="22"/>
                <w:lang w:val="sk-SK"/>
              </w:rPr>
              <w:t> </w:t>
            </w:r>
            <w:r w:rsidRPr="00C101CC">
              <w:rPr>
                <w:szCs w:val="22"/>
                <w:lang w:val="sk-SK"/>
              </w:rPr>
              <w:t>17</w:t>
            </w:r>
            <w:r w:rsidR="003C61AE" w:rsidRPr="00C101CC">
              <w:rPr>
                <w:szCs w:val="22"/>
                <w:lang w:val="sk-SK"/>
              </w:rPr>
              <w:t> </w:t>
            </w:r>
            <w:r w:rsidRPr="00C101CC">
              <w:rPr>
                <w:szCs w:val="22"/>
                <w:lang w:val="sk-SK"/>
              </w:rPr>
              <w:t>% zvýšenie AUC (</w:t>
            </w:r>
            <w:smartTag w:uri="urn:schemas-microsoft-com:office:smarttags" w:element="metricconverter">
              <w:smartTagPr>
                <w:attr w:name="ProductID" w:val="40 a"/>
              </w:smartTagPr>
              <w:r w:rsidRPr="00C101CC">
                <w:rPr>
                  <w:szCs w:val="22"/>
                  <w:lang w:val="sk-SK"/>
                </w:rPr>
                <w:t>40 a</w:t>
              </w:r>
            </w:smartTag>
            <w:r w:rsidR="00215D65" w:rsidRPr="00C101CC">
              <w:rPr>
                <w:szCs w:val="22"/>
                <w:lang w:val="sk-SK"/>
              </w:rPr>
              <w:t> </w:t>
            </w:r>
            <w:r w:rsidRPr="00C101CC">
              <w:rPr>
                <w:szCs w:val="22"/>
                <w:lang w:val="sk-SK"/>
              </w:rPr>
              <w:t>80</w:t>
            </w:r>
            <w:r w:rsidR="00215D65" w:rsidRPr="00C101CC">
              <w:rPr>
                <w:szCs w:val="22"/>
                <w:lang w:val="sk-SK"/>
              </w:rPr>
              <w:t> </w:t>
            </w:r>
            <w:r w:rsidRPr="00C101CC">
              <w:rPr>
                <w:szCs w:val="22"/>
                <w:lang w:val="sk-SK"/>
              </w:rPr>
              <w:t>mg propranolol</w:t>
            </w:r>
            <w:r w:rsidR="00EB304D" w:rsidRPr="00C101CC">
              <w:rPr>
                <w:szCs w:val="22"/>
                <w:lang w:val="sk-SK"/>
              </w:rPr>
              <w:t>u</w:t>
            </w:r>
            <w:r w:rsidRPr="00C101CC">
              <w:rPr>
                <w:szCs w:val="22"/>
                <w:lang w:val="sk-SK"/>
              </w:rPr>
              <w:t>/12</w:t>
            </w:r>
            <w:r w:rsidR="00215D65" w:rsidRPr="00C101CC">
              <w:rPr>
                <w:szCs w:val="22"/>
                <w:lang w:val="sk-SK"/>
              </w:rPr>
              <w:t> </w:t>
            </w:r>
            <w:r w:rsidRPr="00C101CC">
              <w:rPr>
                <w:szCs w:val="22"/>
                <w:lang w:val="sk-SK"/>
              </w:rPr>
              <w:t>h, v tomto poradí)</w:t>
            </w:r>
          </w:p>
        </w:tc>
      </w:tr>
      <w:tr w:rsidR="00FF7468" w:rsidRPr="00C101CC" w14:paraId="16AF1121" w14:textId="77777777" w:rsidTr="009B49B1">
        <w:trPr>
          <w:trHeight w:val="493"/>
          <w:jc w:val="center"/>
        </w:trPr>
        <w:tc>
          <w:tcPr>
            <w:tcW w:w="2430" w:type="dxa"/>
          </w:tcPr>
          <w:p w14:paraId="5875B879" w14:textId="77777777" w:rsidR="00FF7468" w:rsidRPr="00C101CC" w:rsidRDefault="00FF7468" w:rsidP="00C101CC">
            <w:pPr>
              <w:pStyle w:val="Default"/>
              <w:jc w:val="both"/>
              <w:rPr>
                <w:sz w:val="22"/>
                <w:szCs w:val="22"/>
                <w:lang w:val="sk-SK"/>
              </w:rPr>
            </w:pPr>
            <w:r w:rsidRPr="00C101CC">
              <w:rPr>
                <w:sz w:val="22"/>
                <w:szCs w:val="22"/>
                <w:lang w:val="sk-SK"/>
              </w:rPr>
              <w:t xml:space="preserve">Sumatriptan (perorálny a subkutánny) </w:t>
            </w:r>
          </w:p>
        </w:tc>
        <w:tc>
          <w:tcPr>
            <w:tcW w:w="3060" w:type="dxa"/>
          </w:tcPr>
          <w:p w14:paraId="3732D72B" w14:textId="77777777" w:rsidR="00FF7468" w:rsidRPr="00C101CC" w:rsidRDefault="00FF7468">
            <w:pPr>
              <w:pStyle w:val="Default"/>
              <w:jc w:val="center"/>
              <w:rPr>
                <w:sz w:val="22"/>
                <w:szCs w:val="22"/>
                <w:lang w:val="sk-SK"/>
              </w:rPr>
            </w:pPr>
            <w:r w:rsidRPr="00C101CC">
              <w:rPr>
                <w:sz w:val="22"/>
                <w:szCs w:val="22"/>
                <w:lang w:val="sk-SK"/>
              </w:rPr>
              <w:t>↔</w:t>
            </w:r>
          </w:p>
        </w:tc>
        <w:tc>
          <w:tcPr>
            <w:tcW w:w="2790" w:type="dxa"/>
          </w:tcPr>
          <w:p w14:paraId="347564F6" w14:textId="77777777" w:rsidR="00FF7468" w:rsidRPr="00C101CC" w:rsidRDefault="00FF7468">
            <w:pPr>
              <w:pStyle w:val="Default"/>
              <w:jc w:val="center"/>
              <w:rPr>
                <w:sz w:val="22"/>
                <w:szCs w:val="22"/>
                <w:lang w:val="sk-SK"/>
              </w:rPr>
            </w:pPr>
            <w:r w:rsidRPr="00C101CC">
              <w:rPr>
                <w:sz w:val="22"/>
                <w:szCs w:val="22"/>
                <w:lang w:val="sk-SK"/>
              </w:rPr>
              <w:t>NS</w:t>
            </w:r>
          </w:p>
        </w:tc>
      </w:tr>
      <w:tr w:rsidR="00FF7468" w:rsidRPr="00C101CC" w14:paraId="17813E1F" w14:textId="77777777" w:rsidTr="009B49B1">
        <w:trPr>
          <w:trHeight w:val="264"/>
          <w:jc w:val="center"/>
        </w:trPr>
        <w:tc>
          <w:tcPr>
            <w:tcW w:w="2430" w:type="dxa"/>
          </w:tcPr>
          <w:p w14:paraId="5530D7B5" w14:textId="77777777" w:rsidR="00FF7468" w:rsidRPr="00C101CC" w:rsidRDefault="00FF7468" w:rsidP="00C101CC">
            <w:pPr>
              <w:pStyle w:val="Default"/>
              <w:jc w:val="both"/>
              <w:rPr>
                <w:sz w:val="22"/>
                <w:szCs w:val="22"/>
                <w:lang w:val="sk-SK"/>
              </w:rPr>
            </w:pPr>
            <w:r w:rsidRPr="00C101CC">
              <w:rPr>
                <w:sz w:val="22"/>
                <w:szCs w:val="22"/>
                <w:lang w:val="sk-SK"/>
              </w:rPr>
              <w:t xml:space="preserve">Pizotifén </w:t>
            </w:r>
          </w:p>
        </w:tc>
        <w:tc>
          <w:tcPr>
            <w:tcW w:w="3060" w:type="dxa"/>
          </w:tcPr>
          <w:p w14:paraId="4DD027D9" w14:textId="77777777" w:rsidR="00FF7468" w:rsidRPr="00C101CC" w:rsidRDefault="00FF7468">
            <w:pPr>
              <w:pStyle w:val="Default"/>
              <w:jc w:val="center"/>
              <w:rPr>
                <w:sz w:val="22"/>
                <w:szCs w:val="22"/>
                <w:lang w:val="sk-SK"/>
              </w:rPr>
            </w:pPr>
            <w:r w:rsidRPr="00C101CC">
              <w:rPr>
                <w:sz w:val="22"/>
                <w:szCs w:val="22"/>
                <w:lang w:val="sk-SK"/>
              </w:rPr>
              <w:t>↔</w:t>
            </w:r>
          </w:p>
        </w:tc>
        <w:tc>
          <w:tcPr>
            <w:tcW w:w="2790" w:type="dxa"/>
          </w:tcPr>
          <w:p w14:paraId="45959BA7"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38AD72C9" w14:textId="77777777" w:rsidTr="009B49B1">
        <w:trPr>
          <w:trHeight w:val="739"/>
          <w:jc w:val="center"/>
        </w:trPr>
        <w:tc>
          <w:tcPr>
            <w:tcW w:w="2430" w:type="dxa"/>
          </w:tcPr>
          <w:p w14:paraId="5438E6AE" w14:textId="77777777" w:rsidR="00FF7468" w:rsidRPr="00C101CC" w:rsidRDefault="00FF7468" w:rsidP="00C101CC">
            <w:pPr>
              <w:pStyle w:val="Default"/>
              <w:jc w:val="both"/>
              <w:rPr>
                <w:sz w:val="22"/>
                <w:szCs w:val="22"/>
                <w:lang w:val="sk-SK"/>
              </w:rPr>
            </w:pPr>
            <w:r w:rsidRPr="00C101CC">
              <w:rPr>
                <w:sz w:val="22"/>
                <w:szCs w:val="22"/>
                <w:lang w:val="sk-SK"/>
              </w:rPr>
              <w:t xml:space="preserve">Diltiazem </w:t>
            </w:r>
          </w:p>
        </w:tc>
        <w:tc>
          <w:tcPr>
            <w:tcW w:w="3060" w:type="dxa"/>
          </w:tcPr>
          <w:p w14:paraId="25F67CA0" w14:textId="77777777" w:rsidR="00FF7468" w:rsidRPr="00C101CC" w:rsidRDefault="00FF7468">
            <w:pPr>
              <w:pStyle w:val="Default"/>
              <w:jc w:val="center"/>
              <w:rPr>
                <w:sz w:val="22"/>
                <w:szCs w:val="22"/>
                <w:lang w:val="sk-SK"/>
              </w:rPr>
            </w:pPr>
            <w:r w:rsidRPr="00C101CC">
              <w:rPr>
                <w:sz w:val="22"/>
                <w:szCs w:val="22"/>
                <w:lang w:val="sk-SK"/>
              </w:rPr>
              <w:t>25</w:t>
            </w:r>
            <w:r w:rsidR="003C61AE" w:rsidRPr="00C101CC">
              <w:rPr>
                <w:sz w:val="22"/>
                <w:szCs w:val="22"/>
                <w:lang w:val="sk-SK"/>
              </w:rPr>
              <w:t> </w:t>
            </w:r>
            <w:r w:rsidRPr="00C101CC">
              <w:rPr>
                <w:sz w:val="22"/>
                <w:szCs w:val="22"/>
                <w:lang w:val="sk-SK"/>
              </w:rPr>
              <w:t>% zníženie AUC diltiazemu a</w:t>
            </w:r>
            <w:r w:rsidR="003C61AE" w:rsidRPr="00C101CC">
              <w:rPr>
                <w:sz w:val="22"/>
                <w:szCs w:val="22"/>
                <w:lang w:val="sk-SK"/>
              </w:rPr>
              <w:t> </w:t>
            </w:r>
            <w:r w:rsidRPr="00C101CC">
              <w:rPr>
                <w:sz w:val="22"/>
                <w:szCs w:val="22"/>
                <w:lang w:val="sk-SK"/>
              </w:rPr>
              <w:t>18</w:t>
            </w:r>
            <w:r w:rsidR="003C61AE" w:rsidRPr="00C101CC">
              <w:rPr>
                <w:sz w:val="22"/>
                <w:szCs w:val="22"/>
                <w:lang w:val="sk-SK"/>
              </w:rPr>
              <w:t> </w:t>
            </w:r>
            <w:r w:rsidRPr="00C101CC">
              <w:rPr>
                <w:sz w:val="22"/>
                <w:szCs w:val="22"/>
                <w:lang w:val="sk-SK"/>
              </w:rPr>
              <w:t>% zníženie DEA, a ↔ pre DEM*</w:t>
            </w:r>
          </w:p>
        </w:tc>
        <w:tc>
          <w:tcPr>
            <w:tcW w:w="2790" w:type="dxa"/>
          </w:tcPr>
          <w:p w14:paraId="7C17D0AD" w14:textId="77777777" w:rsidR="00FF7468" w:rsidRPr="00C101CC" w:rsidRDefault="00FF7468">
            <w:pPr>
              <w:pStyle w:val="Default"/>
              <w:jc w:val="center"/>
              <w:rPr>
                <w:sz w:val="22"/>
                <w:szCs w:val="22"/>
                <w:lang w:val="sk-SK"/>
              </w:rPr>
            </w:pPr>
            <w:r w:rsidRPr="00C101CC">
              <w:rPr>
                <w:sz w:val="22"/>
                <w:szCs w:val="22"/>
                <w:lang w:val="sk-SK"/>
              </w:rPr>
              <w:t>20</w:t>
            </w:r>
            <w:r w:rsidR="003C61AE" w:rsidRPr="00C101CC">
              <w:rPr>
                <w:sz w:val="22"/>
                <w:szCs w:val="22"/>
                <w:lang w:val="sk-SK"/>
              </w:rPr>
              <w:t> </w:t>
            </w:r>
            <w:r w:rsidRPr="00C101CC">
              <w:rPr>
                <w:sz w:val="22"/>
                <w:szCs w:val="22"/>
                <w:lang w:val="sk-SK"/>
              </w:rPr>
              <w:t>% zvýšenie AUC</w:t>
            </w:r>
          </w:p>
        </w:tc>
      </w:tr>
      <w:tr w:rsidR="00FF7468" w:rsidRPr="00C101CC" w14:paraId="0DF2BFFC" w14:textId="77777777" w:rsidTr="00BF3EE3">
        <w:trPr>
          <w:trHeight w:val="264"/>
          <w:jc w:val="center"/>
        </w:trPr>
        <w:tc>
          <w:tcPr>
            <w:tcW w:w="2430" w:type="dxa"/>
            <w:tcBorders>
              <w:bottom w:val="single" w:sz="4" w:space="0" w:color="auto"/>
            </w:tcBorders>
          </w:tcPr>
          <w:p w14:paraId="71195F42" w14:textId="77777777" w:rsidR="00FF7468" w:rsidRPr="00C101CC" w:rsidRDefault="00FF7468" w:rsidP="00C101CC">
            <w:pPr>
              <w:pStyle w:val="Default"/>
              <w:jc w:val="both"/>
              <w:rPr>
                <w:sz w:val="22"/>
                <w:szCs w:val="22"/>
                <w:lang w:val="sk-SK"/>
              </w:rPr>
            </w:pPr>
            <w:r w:rsidRPr="00C101CC">
              <w:rPr>
                <w:sz w:val="22"/>
                <w:szCs w:val="22"/>
                <w:lang w:val="sk-SK"/>
              </w:rPr>
              <w:t>Venlafax</w:t>
            </w:r>
            <w:r w:rsidR="004B1BDC" w:rsidRPr="00C101CC">
              <w:rPr>
                <w:sz w:val="22"/>
                <w:szCs w:val="22"/>
                <w:lang w:val="sk-SK"/>
              </w:rPr>
              <w:t>í</w:t>
            </w:r>
            <w:r w:rsidRPr="00C101CC">
              <w:rPr>
                <w:sz w:val="22"/>
                <w:szCs w:val="22"/>
                <w:lang w:val="sk-SK"/>
              </w:rPr>
              <w:t xml:space="preserve">n </w:t>
            </w:r>
          </w:p>
        </w:tc>
        <w:tc>
          <w:tcPr>
            <w:tcW w:w="3060" w:type="dxa"/>
            <w:tcBorders>
              <w:bottom w:val="single" w:sz="4" w:space="0" w:color="auto"/>
            </w:tcBorders>
          </w:tcPr>
          <w:p w14:paraId="756869CC" w14:textId="77777777" w:rsidR="00FF7468" w:rsidRPr="00C101CC" w:rsidRDefault="00FF7468">
            <w:pPr>
              <w:pStyle w:val="Default"/>
              <w:jc w:val="center"/>
              <w:rPr>
                <w:sz w:val="22"/>
                <w:szCs w:val="22"/>
                <w:lang w:val="sk-SK"/>
              </w:rPr>
            </w:pPr>
            <w:r w:rsidRPr="00C101CC">
              <w:rPr>
                <w:sz w:val="22"/>
                <w:szCs w:val="22"/>
                <w:lang w:val="sk-SK"/>
              </w:rPr>
              <w:t>↔</w:t>
            </w:r>
          </w:p>
        </w:tc>
        <w:tc>
          <w:tcPr>
            <w:tcW w:w="2790" w:type="dxa"/>
            <w:tcBorders>
              <w:bottom w:val="single" w:sz="4" w:space="0" w:color="auto"/>
            </w:tcBorders>
          </w:tcPr>
          <w:p w14:paraId="41AFBD02"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2A0C3DB5" w14:textId="77777777" w:rsidTr="00BF3EE3">
        <w:trPr>
          <w:trHeight w:val="493"/>
          <w:jc w:val="center"/>
        </w:trPr>
        <w:tc>
          <w:tcPr>
            <w:tcW w:w="2430" w:type="dxa"/>
            <w:tcBorders>
              <w:bottom w:val="single" w:sz="4" w:space="0" w:color="auto"/>
            </w:tcBorders>
          </w:tcPr>
          <w:p w14:paraId="34BBDA40" w14:textId="77777777" w:rsidR="00FF7468" w:rsidRPr="00C101CC" w:rsidRDefault="00FF7468" w:rsidP="00C101CC">
            <w:pPr>
              <w:pStyle w:val="Default"/>
              <w:jc w:val="both"/>
              <w:rPr>
                <w:sz w:val="22"/>
                <w:szCs w:val="22"/>
                <w:lang w:val="sk-SK"/>
              </w:rPr>
            </w:pPr>
            <w:r w:rsidRPr="00C101CC">
              <w:rPr>
                <w:sz w:val="22"/>
                <w:szCs w:val="22"/>
                <w:lang w:val="sk-SK"/>
              </w:rPr>
              <w:t>Flunariz</w:t>
            </w:r>
            <w:r w:rsidR="004B1BDC" w:rsidRPr="00C101CC">
              <w:rPr>
                <w:sz w:val="22"/>
                <w:szCs w:val="22"/>
                <w:lang w:val="sk-SK"/>
              </w:rPr>
              <w:t>í</w:t>
            </w:r>
            <w:r w:rsidRPr="00C101CC">
              <w:rPr>
                <w:sz w:val="22"/>
                <w:szCs w:val="22"/>
                <w:lang w:val="sk-SK"/>
              </w:rPr>
              <w:t xml:space="preserve">n </w:t>
            </w:r>
          </w:p>
        </w:tc>
        <w:tc>
          <w:tcPr>
            <w:tcW w:w="3060" w:type="dxa"/>
            <w:tcBorders>
              <w:bottom w:val="single" w:sz="4" w:space="0" w:color="auto"/>
            </w:tcBorders>
          </w:tcPr>
          <w:p w14:paraId="25B08977" w14:textId="77777777" w:rsidR="00FF7468" w:rsidRPr="00C101CC" w:rsidRDefault="00FF7468">
            <w:pPr>
              <w:pStyle w:val="Default"/>
              <w:jc w:val="center"/>
              <w:rPr>
                <w:sz w:val="22"/>
                <w:szCs w:val="22"/>
                <w:lang w:val="sk-SK"/>
              </w:rPr>
            </w:pPr>
            <w:r w:rsidRPr="00C101CC">
              <w:rPr>
                <w:sz w:val="22"/>
                <w:szCs w:val="22"/>
                <w:lang w:val="sk-SK"/>
              </w:rPr>
              <w:t>16</w:t>
            </w:r>
            <w:r w:rsidR="003C61AE" w:rsidRPr="00C101CC">
              <w:rPr>
                <w:sz w:val="22"/>
                <w:szCs w:val="22"/>
                <w:lang w:val="sk-SK"/>
              </w:rPr>
              <w:t> </w:t>
            </w:r>
            <w:r w:rsidRPr="00C101CC">
              <w:rPr>
                <w:sz w:val="22"/>
                <w:szCs w:val="22"/>
                <w:lang w:val="sk-SK"/>
              </w:rPr>
              <w:t>% zvýšenie AUC</w:t>
            </w:r>
          </w:p>
          <w:p w14:paraId="00966743" w14:textId="19E864A9" w:rsidR="00FF7468" w:rsidRPr="00C101CC" w:rsidRDefault="00FF7468">
            <w:pPr>
              <w:pStyle w:val="Default"/>
              <w:jc w:val="center"/>
              <w:rPr>
                <w:sz w:val="22"/>
                <w:szCs w:val="22"/>
                <w:lang w:val="sk-SK"/>
              </w:rPr>
            </w:pPr>
            <w:r w:rsidRPr="00C101CC">
              <w:rPr>
                <w:sz w:val="22"/>
                <w:szCs w:val="22"/>
                <w:lang w:val="sk-SK"/>
              </w:rPr>
              <w:t>(TPM 50</w:t>
            </w:r>
            <w:r w:rsidR="00215D65" w:rsidRPr="00C101CC">
              <w:rPr>
                <w:sz w:val="22"/>
                <w:szCs w:val="22"/>
                <w:lang w:val="sk-SK"/>
              </w:rPr>
              <w:t> </w:t>
            </w:r>
            <w:r w:rsidRPr="00C101CC">
              <w:rPr>
                <w:sz w:val="22"/>
                <w:szCs w:val="22"/>
                <w:lang w:val="sk-SK"/>
              </w:rPr>
              <w:t>mg/12</w:t>
            </w:r>
            <w:r w:rsidR="00215D65" w:rsidRPr="00C101CC">
              <w:rPr>
                <w:sz w:val="22"/>
                <w:szCs w:val="22"/>
                <w:lang w:val="sk-SK"/>
              </w:rPr>
              <w:t> </w:t>
            </w:r>
            <w:r w:rsidRPr="00C101CC">
              <w:rPr>
                <w:sz w:val="22"/>
                <w:szCs w:val="22"/>
                <w:lang w:val="sk-SK"/>
              </w:rPr>
              <w:t>h)</w:t>
            </w:r>
            <w:r w:rsidRPr="00C101CC">
              <w:rPr>
                <w:position w:val="8"/>
                <w:sz w:val="22"/>
                <w:szCs w:val="22"/>
                <w:vertAlign w:val="superscript"/>
                <w:lang w:val="sk-SK"/>
              </w:rPr>
              <w:t>b</w:t>
            </w:r>
          </w:p>
        </w:tc>
        <w:tc>
          <w:tcPr>
            <w:tcW w:w="2790" w:type="dxa"/>
            <w:tcBorders>
              <w:bottom w:val="single" w:sz="4" w:space="0" w:color="auto"/>
            </w:tcBorders>
          </w:tcPr>
          <w:p w14:paraId="25041E54" w14:textId="77777777" w:rsidR="00FF7468" w:rsidRPr="00C101CC" w:rsidRDefault="00FF7468">
            <w:pPr>
              <w:pStyle w:val="Default"/>
              <w:jc w:val="center"/>
              <w:rPr>
                <w:sz w:val="22"/>
                <w:szCs w:val="22"/>
                <w:lang w:val="sk-SK"/>
              </w:rPr>
            </w:pPr>
            <w:r w:rsidRPr="00C101CC">
              <w:rPr>
                <w:sz w:val="22"/>
                <w:szCs w:val="22"/>
                <w:lang w:val="sk-SK"/>
              </w:rPr>
              <w:t>↔</w:t>
            </w:r>
          </w:p>
        </w:tc>
      </w:tr>
      <w:tr w:rsidR="00FF7468" w:rsidRPr="00C101CC" w14:paraId="0F88314B" w14:textId="77777777" w:rsidTr="00BF3EE3">
        <w:trPr>
          <w:trHeight w:val="331"/>
          <w:jc w:val="center"/>
        </w:trPr>
        <w:tc>
          <w:tcPr>
            <w:tcW w:w="8280" w:type="dxa"/>
            <w:gridSpan w:val="3"/>
            <w:tcBorders>
              <w:top w:val="single" w:sz="4" w:space="0" w:color="auto"/>
              <w:left w:val="nil"/>
              <w:bottom w:val="nil"/>
              <w:right w:val="nil"/>
            </w:tcBorders>
          </w:tcPr>
          <w:p w14:paraId="32A808C8" w14:textId="77777777" w:rsidR="00FF7468" w:rsidRPr="00E2432E" w:rsidRDefault="00FF7468" w:rsidP="00C101CC">
            <w:pPr>
              <w:pStyle w:val="Default"/>
              <w:rPr>
                <w:lang w:val="sk-SK"/>
              </w:rPr>
            </w:pPr>
            <w:r w:rsidRPr="00E2432E">
              <w:rPr>
                <w:vertAlign w:val="superscript"/>
                <w:lang w:val="sk-SK"/>
              </w:rPr>
              <w:t>a</w:t>
            </w:r>
            <w:r w:rsidRPr="00E2432E">
              <w:rPr>
                <w:lang w:val="sk-SK"/>
              </w:rPr>
              <w:t xml:space="preserve"> </w:t>
            </w:r>
            <w:r w:rsidR="001765C2" w:rsidRPr="00E2432E">
              <w:rPr>
                <w:lang w:val="sk-SK"/>
              </w:rPr>
              <w:t xml:space="preserve">        = </w:t>
            </w:r>
            <w:r w:rsidRPr="00E2432E">
              <w:rPr>
                <w:lang w:val="sk-SK"/>
              </w:rPr>
              <w:t>Hodnoty v % sú priemerné zmeny C</w:t>
            </w:r>
            <w:r w:rsidRPr="00E2432E">
              <w:rPr>
                <w:vertAlign w:val="subscript"/>
                <w:lang w:val="sk-SK"/>
              </w:rPr>
              <w:t>max</w:t>
            </w:r>
            <w:r w:rsidRPr="00E2432E">
              <w:rPr>
                <w:lang w:val="sk-SK"/>
              </w:rPr>
              <w:t xml:space="preserve"> alebo AUC pri monoterapii </w:t>
            </w:r>
          </w:p>
          <w:p w14:paraId="7365AF71" w14:textId="77777777" w:rsidR="00FF7468" w:rsidRPr="00E2432E" w:rsidRDefault="00FF7468">
            <w:pPr>
              <w:pStyle w:val="Default"/>
              <w:ind w:left="180" w:hanging="180"/>
              <w:rPr>
                <w:lang w:val="sk-SK"/>
              </w:rPr>
            </w:pPr>
            <w:r w:rsidRPr="00E2432E">
              <w:rPr>
                <w:lang w:val="sk-SK"/>
              </w:rPr>
              <w:t xml:space="preserve">↔ </w:t>
            </w:r>
            <w:r w:rsidR="001765C2" w:rsidRPr="00E2432E">
              <w:rPr>
                <w:lang w:val="sk-SK"/>
              </w:rPr>
              <w:t xml:space="preserve">     </w:t>
            </w:r>
            <w:r w:rsidRPr="00E2432E">
              <w:rPr>
                <w:lang w:val="sk-SK"/>
              </w:rPr>
              <w:t>= Žiadny účinok na C</w:t>
            </w:r>
            <w:r w:rsidRPr="00E2432E">
              <w:rPr>
                <w:vertAlign w:val="subscript"/>
                <w:lang w:val="sk-SK"/>
              </w:rPr>
              <w:t>max</w:t>
            </w:r>
            <w:r w:rsidRPr="00E2432E">
              <w:rPr>
                <w:position w:val="-8"/>
                <w:vertAlign w:val="subscript"/>
                <w:lang w:val="sk-SK"/>
              </w:rPr>
              <w:t xml:space="preserve"> </w:t>
            </w:r>
            <w:r w:rsidRPr="00E2432E">
              <w:rPr>
                <w:lang w:val="sk-SK"/>
              </w:rPr>
              <w:t>a AUC (≤ 15</w:t>
            </w:r>
            <w:r w:rsidR="003C61AE" w:rsidRPr="00E2432E">
              <w:rPr>
                <w:lang w:val="sk-SK"/>
              </w:rPr>
              <w:t> </w:t>
            </w:r>
            <w:r w:rsidRPr="00E2432E">
              <w:rPr>
                <w:lang w:val="sk-SK"/>
              </w:rPr>
              <w:t xml:space="preserve">% zmena) materskej zlúčeniny </w:t>
            </w:r>
          </w:p>
          <w:p w14:paraId="1F086EE3" w14:textId="77777777" w:rsidR="00FF7468" w:rsidRPr="00E2432E" w:rsidRDefault="00FF7468">
            <w:pPr>
              <w:pStyle w:val="Default"/>
              <w:ind w:left="-18" w:hanging="20"/>
              <w:rPr>
                <w:lang w:val="sk-SK"/>
              </w:rPr>
            </w:pPr>
            <w:r w:rsidRPr="00E2432E">
              <w:rPr>
                <w:lang w:val="sk-SK"/>
              </w:rPr>
              <w:t xml:space="preserve">NS </w:t>
            </w:r>
            <w:r w:rsidR="001765C2" w:rsidRPr="00E2432E">
              <w:rPr>
                <w:lang w:val="sk-SK"/>
              </w:rPr>
              <w:t xml:space="preserve">     </w:t>
            </w:r>
            <w:r w:rsidRPr="00E2432E">
              <w:rPr>
                <w:lang w:val="sk-SK"/>
              </w:rPr>
              <w:t xml:space="preserve">= Štúdie neboli vykonané </w:t>
            </w:r>
          </w:p>
          <w:p w14:paraId="2192BAD5" w14:textId="77777777" w:rsidR="00FF7468" w:rsidRPr="00E2432E" w:rsidRDefault="00FF7468">
            <w:pPr>
              <w:pStyle w:val="Default"/>
              <w:ind w:left="-18" w:hanging="20"/>
              <w:rPr>
                <w:lang w:val="sk-SK"/>
              </w:rPr>
            </w:pPr>
            <w:r w:rsidRPr="00E2432E">
              <w:rPr>
                <w:lang w:val="sk-SK"/>
              </w:rPr>
              <w:t xml:space="preserve">*DEA = desacetyldiltiazem, DEM = N-demetyldiltiazem </w:t>
            </w:r>
          </w:p>
          <w:p w14:paraId="151631FB" w14:textId="77777777" w:rsidR="00FF7468" w:rsidRPr="00E2432E" w:rsidRDefault="00FF7468">
            <w:pPr>
              <w:pStyle w:val="Default"/>
              <w:ind w:left="-18" w:hanging="20"/>
              <w:rPr>
                <w:lang w:val="sk-SK"/>
              </w:rPr>
            </w:pPr>
            <w:r w:rsidRPr="00E2432E">
              <w:rPr>
                <w:vertAlign w:val="superscript"/>
                <w:lang w:val="sk-SK"/>
              </w:rPr>
              <w:t>b</w:t>
            </w:r>
            <w:r w:rsidRPr="00E2432E">
              <w:rPr>
                <w:lang w:val="sk-SK"/>
              </w:rPr>
              <w:t xml:space="preserve"> </w:t>
            </w:r>
            <w:r w:rsidR="001765C2" w:rsidRPr="00E2432E">
              <w:rPr>
                <w:lang w:val="sk-SK"/>
              </w:rPr>
              <w:t xml:space="preserve">         = </w:t>
            </w:r>
            <w:r w:rsidRPr="00E2432E">
              <w:rPr>
                <w:lang w:val="sk-SK"/>
              </w:rPr>
              <w:t>Zvýšenie AUC flu</w:t>
            </w:r>
            <w:r w:rsidR="004F75B7" w:rsidRPr="00E2432E">
              <w:rPr>
                <w:lang w:val="sk-SK"/>
              </w:rPr>
              <w:t>n</w:t>
            </w:r>
            <w:r w:rsidRPr="00E2432E">
              <w:rPr>
                <w:lang w:val="sk-SK"/>
              </w:rPr>
              <w:t>a</w:t>
            </w:r>
            <w:r w:rsidR="004F75B7" w:rsidRPr="00E2432E">
              <w:rPr>
                <w:lang w:val="sk-SK"/>
              </w:rPr>
              <w:t>ri</w:t>
            </w:r>
            <w:r w:rsidRPr="00E2432E">
              <w:rPr>
                <w:lang w:val="sk-SK"/>
              </w:rPr>
              <w:t>zínu o</w:t>
            </w:r>
            <w:r w:rsidR="003C61AE" w:rsidRPr="00E2432E">
              <w:rPr>
                <w:lang w:val="sk-SK"/>
              </w:rPr>
              <w:t> </w:t>
            </w:r>
            <w:r w:rsidRPr="00E2432E">
              <w:rPr>
                <w:lang w:val="sk-SK"/>
              </w:rPr>
              <w:t>14</w:t>
            </w:r>
            <w:r w:rsidR="003C61AE" w:rsidRPr="00E2432E">
              <w:rPr>
                <w:lang w:val="sk-SK"/>
              </w:rPr>
              <w:t> </w:t>
            </w:r>
            <w:r w:rsidRPr="00E2432E">
              <w:rPr>
                <w:lang w:val="sk-SK"/>
              </w:rPr>
              <w:t xml:space="preserve">% u jednotlivcov, ktorí užívali flunarizín samostatne. Zvýšenie expozície môže byť pripisované akumulácii počas dosiahnutia ustáleného stavu. </w:t>
            </w:r>
          </w:p>
        </w:tc>
      </w:tr>
    </w:tbl>
    <w:p w14:paraId="76D7CC2E" w14:textId="77777777" w:rsidR="00FF7468" w:rsidRPr="00C101CC" w:rsidRDefault="00FF7468" w:rsidP="00C101CC">
      <w:pPr>
        <w:spacing w:line="240" w:lineRule="auto"/>
        <w:rPr>
          <w:b/>
          <w:szCs w:val="22"/>
          <w:lang w:val="sk-SK"/>
        </w:rPr>
      </w:pPr>
    </w:p>
    <w:p w14:paraId="4FC0FAEB" w14:textId="77777777" w:rsidR="00FF7468" w:rsidRPr="00C101CC" w:rsidRDefault="00702661">
      <w:pPr>
        <w:keepNext/>
        <w:numPr>
          <w:ilvl w:val="1"/>
          <w:numId w:val="9"/>
        </w:numPr>
        <w:spacing w:line="240" w:lineRule="auto"/>
        <w:rPr>
          <w:b/>
          <w:szCs w:val="22"/>
          <w:lang w:val="sk-SK"/>
        </w:rPr>
      </w:pPr>
      <w:bookmarkStart w:id="2" w:name="OLE_LINK7"/>
      <w:r w:rsidRPr="00C101CC">
        <w:rPr>
          <w:b/>
          <w:szCs w:val="22"/>
          <w:lang w:val="sk-SK"/>
        </w:rPr>
        <w:t>Fertilita, g</w:t>
      </w:r>
      <w:r w:rsidR="00FF7468" w:rsidRPr="00C101CC">
        <w:rPr>
          <w:b/>
          <w:szCs w:val="22"/>
          <w:lang w:val="sk-SK"/>
        </w:rPr>
        <w:t>ravidita a laktácia</w:t>
      </w:r>
    </w:p>
    <w:p w14:paraId="3966ED1A" w14:textId="77777777" w:rsidR="00FF7468" w:rsidRPr="00C101CC" w:rsidRDefault="00FF7468">
      <w:pPr>
        <w:keepNext/>
        <w:spacing w:line="240" w:lineRule="auto"/>
        <w:rPr>
          <w:szCs w:val="22"/>
          <w:lang w:val="sk-SK"/>
        </w:rPr>
      </w:pPr>
    </w:p>
    <w:p w14:paraId="3CA2CF38" w14:textId="77777777" w:rsidR="00495DA7" w:rsidRPr="00C101CC" w:rsidRDefault="00495DA7">
      <w:pPr>
        <w:keepNext/>
        <w:spacing w:line="240" w:lineRule="auto"/>
        <w:rPr>
          <w:szCs w:val="22"/>
          <w:u w:val="single"/>
          <w:lang w:val="sk-SK"/>
        </w:rPr>
      </w:pPr>
      <w:r w:rsidRPr="00C101CC">
        <w:rPr>
          <w:szCs w:val="22"/>
          <w:u w:val="single"/>
          <w:lang w:val="sk-SK"/>
        </w:rPr>
        <w:t>Gravidita</w:t>
      </w:r>
    </w:p>
    <w:p w14:paraId="578D366B" w14:textId="77777777" w:rsidR="00C623D8" w:rsidRPr="00C101CC" w:rsidRDefault="008544FA">
      <w:pPr>
        <w:keepNext/>
        <w:autoSpaceDE w:val="0"/>
        <w:autoSpaceDN w:val="0"/>
        <w:adjustRightInd w:val="0"/>
        <w:spacing w:line="240" w:lineRule="auto"/>
        <w:rPr>
          <w:i/>
          <w:szCs w:val="22"/>
          <w:lang w:val="sk-SK"/>
        </w:rPr>
      </w:pPr>
      <w:r w:rsidRPr="00C101CC">
        <w:rPr>
          <w:i/>
          <w:szCs w:val="22"/>
          <w:lang w:val="sk-SK"/>
        </w:rPr>
        <w:t>Riziko súvisiace s epilepsiou a s antiepileptikami všeobecne</w:t>
      </w:r>
    </w:p>
    <w:p w14:paraId="09E675A7" w14:textId="77777777" w:rsidR="00C623D8" w:rsidRPr="00C101CC" w:rsidRDefault="008544FA">
      <w:pPr>
        <w:autoSpaceDE w:val="0"/>
        <w:autoSpaceDN w:val="0"/>
        <w:adjustRightInd w:val="0"/>
        <w:spacing w:line="240" w:lineRule="auto"/>
        <w:rPr>
          <w:szCs w:val="22"/>
          <w:lang w:val="sk-SK"/>
        </w:rPr>
      </w:pPr>
      <w:r w:rsidRPr="00C101CC">
        <w:rPr>
          <w:szCs w:val="22"/>
          <w:lang w:val="sk-SK"/>
        </w:rPr>
        <w:t>Ženám v plodnom veku je potrebné poskytnúť radu špecialistu. Ak žena plánuje otehotnieť, je potrebné posúdiť potrebu liečby antiepileptikami. U žien liečených na epilepsiu sa treba vyhnúť náhlemu prer</w:t>
      </w:r>
      <w:r w:rsidR="00B43519" w:rsidRPr="00C101CC">
        <w:rPr>
          <w:szCs w:val="22"/>
          <w:lang w:val="sk-SK"/>
        </w:rPr>
        <w:t>u</w:t>
      </w:r>
      <w:r w:rsidRPr="00C101CC">
        <w:rPr>
          <w:szCs w:val="22"/>
          <w:lang w:val="sk-SK"/>
        </w:rPr>
        <w:t xml:space="preserve">šeniu liečby </w:t>
      </w:r>
      <w:r w:rsidR="00B43519" w:rsidRPr="00C101CC">
        <w:rPr>
          <w:szCs w:val="22"/>
          <w:lang w:val="sk-SK"/>
        </w:rPr>
        <w:t xml:space="preserve">antiepileptikami, pretože to môže viesť k nástupu záchvatov, ktoré môžu mať vážne dôsledky pre ženu a pre nenarodené dieťa. </w:t>
      </w:r>
    </w:p>
    <w:p w14:paraId="693C2CE8" w14:textId="77777777" w:rsidR="00C623D8" w:rsidRPr="00C101CC" w:rsidRDefault="00B43519">
      <w:pPr>
        <w:autoSpaceDE w:val="0"/>
        <w:autoSpaceDN w:val="0"/>
        <w:adjustRightInd w:val="0"/>
        <w:spacing w:line="240" w:lineRule="auto"/>
        <w:rPr>
          <w:szCs w:val="22"/>
          <w:lang w:val="sk-SK"/>
        </w:rPr>
      </w:pPr>
      <w:r w:rsidRPr="00C101CC">
        <w:rPr>
          <w:szCs w:val="22"/>
          <w:lang w:val="sk-SK"/>
        </w:rPr>
        <w:t xml:space="preserve">Ak je to možné, je potrebné uprednostniť monoterapiu, pretože liečba viacerými antiepileptikami môže súvisieť s vyšším rizikom vrodených malformácií ako v prípade monoterapie, v závislosti od pridružených antiepileptík. </w:t>
      </w:r>
    </w:p>
    <w:p w14:paraId="4493A4AF" w14:textId="77777777" w:rsidR="00C623D8" w:rsidRPr="00C101CC" w:rsidRDefault="00C623D8">
      <w:pPr>
        <w:autoSpaceDE w:val="0"/>
        <w:autoSpaceDN w:val="0"/>
        <w:adjustRightInd w:val="0"/>
        <w:spacing w:line="240" w:lineRule="auto"/>
        <w:rPr>
          <w:szCs w:val="22"/>
          <w:lang w:val="sk-SK"/>
        </w:rPr>
      </w:pPr>
    </w:p>
    <w:p w14:paraId="6F21B6B2" w14:textId="77777777" w:rsidR="00C623D8" w:rsidRPr="00C101CC" w:rsidRDefault="00B43519">
      <w:pPr>
        <w:keepNext/>
        <w:autoSpaceDE w:val="0"/>
        <w:autoSpaceDN w:val="0"/>
        <w:adjustRightInd w:val="0"/>
        <w:spacing w:line="240" w:lineRule="auto"/>
        <w:rPr>
          <w:i/>
          <w:szCs w:val="22"/>
          <w:lang w:val="sk-SK"/>
        </w:rPr>
      </w:pPr>
      <w:r w:rsidRPr="00C101CC">
        <w:rPr>
          <w:i/>
          <w:szCs w:val="22"/>
          <w:lang w:val="sk-SK"/>
        </w:rPr>
        <w:t xml:space="preserve">Riziko súvisiace s </w:t>
      </w:r>
      <w:r w:rsidR="00C623D8" w:rsidRPr="00C101CC">
        <w:rPr>
          <w:i/>
          <w:szCs w:val="22"/>
          <w:lang w:val="sk-SK"/>
        </w:rPr>
        <w:t>topiram</w:t>
      </w:r>
      <w:r w:rsidRPr="00C101CC">
        <w:rPr>
          <w:i/>
          <w:szCs w:val="22"/>
          <w:lang w:val="sk-SK"/>
        </w:rPr>
        <w:t>átom</w:t>
      </w:r>
    </w:p>
    <w:p w14:paraId="4A0CA2F2" w14:textId="77777777" w:rsidR="00FF7468" w:rsidRPr="00C101CC" w:rsidRDefault="00FF7468">
      <w:pPr>
        <w:pStyle w:val="BodyText12"/>
        <w:keepNext/>
        <w:spacing w:after="0" w:line="240" w:lineRule="auto"/>
        <w:ind w:left="0"/>
        <w:jc w:val="left"/>
        <w:rPr>
          <w:sz w:val="22"/>
          <w:szCs w:val="22"/>
          <w:lang w:val="sk-SK"/>
        </w:rPr>
      </w:pPr>
      <w:r w:rsidRPr="00C101CC">
        <w:rPr>
          <w:sz w:val="22"/>
          <w:szCs w:val="22"/>
          <w:lang w:val="sk-SK"/>
        </w:rPr>
        <w:t>Topiramát bol teratogénny u myší, potkanov a</w:t>
      </w:r>
      <w:r w:rsidR="00C623D8" w:rsidRPr="00C101CC">
        <w:rPr>
          <w:sz w:val="22"/>
          <w:szCs w:val="22"/>
          <w:lang w:val="sk-SK"/>
        </w:rPr>
        <w:t> </w:t>
      </w:r>
      <w:r w:rsidRPr="00C101CC">
        <w:rPr>
          <w:sz w:val="22"/>
          <w:szCs w:val="22"/>
          <w:lang w:val="sk-SK"/>
        </w:rPr>
        <w:t>králikov</w:t>
      </w:r>
      <w:r w:rsidR="00C623D8" w:rsidRPr="00C101CC">
        <w:rPr>
          <w:sz w:val="22"/>
          <w:szCs w:val="22"/>
          <w:lang w:val="sk-SK"/>
        </w:rPr>
        <w:t xml:space="preserve"> (pozri časť 5.3)</w:t>
      </w:r>
      <w:r w:rsidRPr="00C101CC">
        <w:rPr>
          <w:sz w:val="22"/>
          <w:szCs w:val="22"/>
          <w:lang w:val="sk-SK"/>
        </w:rPr>
        <w:t xml:space="preserve">. U potkanov topiramát prechádzal cez placentárnu bariéru. </w:t>
      </w:r>
    </w:p>
    <w:p w14:paraId="61D3F9D9" w14:textId="77777777" w:rsidR="00FF7468" w:rsidRPr="00C101CC" w:rsidRDefault="00FF7468">
      <w:pPr>
        <w:tabs>
          <w:tab w:val="left" w:pos="4080"/>
        </w:tabs>
        <w:autoSpaceDE w:val="0"/>
        <w:autoSpaceDN w:val="0"/>
        <w:adjustRightInd w:val="0"/>
        <w:spacing w:line="240" w:lineRule="auto"/>
        <w:rPr>
          <w:szCs w:val="22"/>
          <w:lang w:val="sk-SK"/>
        </w:rPr>
      </w:pPr>
    </w:p>
    <w:p w14:paraId="4ECA4726" w14:textId="0B54D547" w:rsidR="00DA2B85" w:rsidRPr="00C101CC" w:rsidRDefault="00BE55E2">
      <w:pPr>
        <w:spacing w:line="240" w:lineRule="auto"/>
        <w:rPr>
          <w:rFonts w:eastAsia="Verdana"/>
          <w:szCs w:val="22"/>
          <w:lang w:val="sk-SK"/>
        </w:rPr>
      </w:pPr>
      <w:r w:rsidRPr="00C101CC">
        <w:rPr>
          <w:rFonts w:eastAsia="Verdana"/>
          <w:szCs w:val="22"/>
          <w:lang w:val="sk-SK"/>
        </w:rPr>
        <w:t xml:space="preserve">U ľudí prechádza topiramát placentou a v pupočnej šnúre a v krvi matky boli hlásené podobné koncentrácie. </w:t>
      </w:r>
    </w:p>
    <w:p w14:paraId="5C67D922" w14:textId="77777777" w:rsidR="00DA2B85" w:rsidRPr="00C101CC" w:rsidRDefault="00DA2B85">
      <w:pPr>
        <w:tabs>
          <w:tab w:val="left" w:pos="4080"/>
        </w:tabs>
        <w:autoSpaceDE w:val="0"/>
        <w:autoSpaceDN w:val="0"/>
        <w:adjustRightInd w:val="0"/>
        <w:spacing w:line="240" w:lineRule="auto"/>
        <w:rPr>
          <w:szCs w:val="22"/>
          <w:lang w:val="sk-SK"/>
        </w:rPr>
      </w:pPr>
    </w:p>
    <w:p w14:paraId="1F3A5F3E" w14:textId="77777777" w:rsidR="00EE5FA8" w:rsidRPr="00C101CC" w:rsidRDefault="00C623D8">
      <w:pPr>
        <w:pStyle w:val="BodyText12"/>
        <w:spacing w:after="0" w:line="240" w:lineRule="auto"/>
        <w:ind w:left="0"/>
        <w:jc w:val="left"/>
        <w:rPr>
          <w:sz w:val="22"/>
          <w:szCs w:val="22"/>
          <w:lang w:val="sk-SK"/>
        </w:rPr>
      </w:pPr>
      <w:r w:rsidRPr="00C101CC">
        <w:rPr>
          <w:sz w:val="22"/>
          <w:szCs w:val="22"/>
          <w:lang w:val="sk-SK"/>
        </w:rPr>
        <w:t xml:space="preserve">Klinické údaje z tehotenských registrov </w:t>
      </w:r>
      <w:r w:rsidR="00EC42F4" w:rsidRPr="00C101CC">
        <w:rPr>
          <w:sz w:val="22"/>
          <w:szCs w:val="22"/>
          <w:lang w:val="sk-SK"/>
        </w:rPr>
        <w:t>naznačujú, že det</w:t>
      </w:r>
      <w:r w:rsidRPr="00C101CC">
        <w:rPr>
          <w:sz w:val="22"/>
          <w:szCs w:val="22"/>
          <w:lang w:val="sk-SK"/>
        </w:rPr>
        <w:t>i</w:t>
      </w:r>
      <w:r w:rsidR="00EC42F4" w:rsidRPr="00C101CC">
        <w:rPr>
          <w:sz w:val="22"/>
          <w:szCs w:val="22"/>
          <w:lang w:val="sk-SK"/>
        </w:rPr>
        <w:t xml:space="preserve"> vystaven</w:t>
      </w:r>
      <w:r w:rsidRPr="00C101CC">
        <w:rPr>
          <w:sz w:val="22"/>
          <w:szCs w:val="22"/>
          <w:lang w:val="sk-SK"/>
        </w:rPr>
        <w:t>é</w:t>
      </w:r>
      <w:r w:rsidR="00EC42F4" w:rsidRPr="00C101CC">
        <w:rPr>
          <w:sz w:val="22"/>
          <w:szCs w:val="22"/>
          <w:lang w:val="sk-SK"/>
        </w:rPr>
        <w:t xml:space="preserve"> monoterapii topiramátom </w:t>
      </w:r>
      <w:r w:rsidRPr="00C101CC">
        <w:rPr>
          <w:sz w:val="22"/>
          <w:szCs w:val="22"/>
          <w:lang w:val="sk-SK"/>
        </w:rPr>
        <w:t>majú:</w:t>
      </w:r>
    </w:p>
    <w:p w14:paraId="1C24F52B" w14:textId="036A6C1C" w:rsidR="00C623D8" w:rsidRPr="00C101CC" w:rsidRDefault="00C623D8">
      <w:pPr>
        <w:pStyle w:val="BodyText12"/>
        <w:spacing w:after="0" w:line="240" w:lineRule="auto"/>
        <w:ind w:left="0"/>
        <w:jc w:val="left"/>
        <w:rPr>
          <w:sz w:val="22"/>
          <w:szCs w:val="22"/>
          <w:lang w:val="sk-SK"/>
        </w:rPr>
      </w:pPr>
    </w:p>
    <w:p w14:paraId="50DE2559" w14:textId="7ADAEDF5" w:rsidR="00C623D8" w:rsidRPr="00C101CC" w:rsidRDefault="00C623D8">
      <w:pPr>
        <w:numPr>
          <w:ilvl w:val="0"/>
          <w:numId w:val="47"/>
        </w:numPr>
        <w:tabs>
          <w:tab w:val="clear" w:pos="567"/>
        </w:tabs>
        <w:spacing w:line="240" w:lineRule="auto"/>
        <w:ind w:left="284" w:hanging="284"/>
        <w:rPr>
          <w:szCs w:val="22"/>
          <w:lang w:val="sk-SK"/>
        </w:rPr>
      </w:pPr>
      <w:r w:rsidRPr="00C101CC">
        <w:rPr>
          <w:szCs w:val="22"/>
          <w:lang w:val="sk-SK"/>
        </w:rPr>
        <w:t>Z</w:t>
      </w:r>
      <w:r w:rsidR="00EC42F4" w:rsidRPr="00C101CC">
        <w:rPr>
          <w:szCs w:val="22"/>
          <w:lang w:val="sk-SK"/>
        </w:rPr>
        <w:t xml:space="preserve">výšené riziko </w:t>
      </w:r>
      <w:r w:rsidR="00FF7468" w:rsidRPr="00C101CC">
        <w:rPr>
          <w:szCs w:val="22"/>
          <w:lang w:val="sk-SK"/>
        </w:rPr>
        <w:t>vrodený</w:t>
      </w:r>
      <w:r w:rsidR="00EC42F4" w:rsidRPr="00C101CC">
        <w:rPr>
          <w:szCs w:val="22"/>
          <w:lang w:val="sk-SK"/>
        </w:rPr>
        <w:t>ch</w:t>
      </w:r>
      <w:r w:rsidR="00FF7468" w:rsidRPr="00C101CC">
        <w:rPr>
          <w:szCs w:val="22"/>
          <w:lang w:val="sk-SK"/>
        </w:rPr>
        <w:t xml:space="preserve"> malformáci</w:t>
      </w:r>
      <w:r w:rsidR="00EC42F4" w:rsidRPr="00C101CC">
        <w:rPr>
          <w:szCs w:val="22"/>
          <w:lang w:val="sk-SK"/>
        </w:rPr>
        <w:t>í</w:t>
      </w:r>
      <w:r w:rsidR="00FF7468" w:rsidRPr="00C101CC">
        <w:rPr>
          <w:szCs w:val="22"/>
          <w:lang w:val="sk-SK"/>
        </w:rPr>
        <w:t xml:space="preserve"> (</w:t>
      </w:r>
      <w:r w:rsidRPr="00C101CC">
        <w:rPr>
          <w:szCs w:val="22"/>
          <w:lang w:val="sk-SK"/>
        </w:rPr>
        <w:t>obzvlášť</w:t>
      </w:r>
      <w:r w:rsidR="00FF7468" w:rsidRPr="00C101CC">
        <w:rPr>
          <w:szCs w:val="22"/>
          <w:lang w:val="sk-SK"/>
        </w:rPr>
        <w:t xml:space="preserve"> rázštep pery/podnebia, hypospádia a anomálie týkajúce sa rozličných orgánových systémov)</w:t>
      </w:r>
      <w:r w:rsidRPr="00C101CC">
        <w:rPr>
          <w:szCs w:val="22"/>
          <w:lang w:val="sk-SK"/>
        </w:rPr>
        <w:t xml:space="preserve"> po expozícii v prvom trimestri</w:t>
      </w:r>
      <w:r w:rsidR="00FF7468" w:rsidRPr="00C101CC">
        <w:rPr>
          <w:szCs w:val="22"/>
          <w:lang w:val="sk-SK"/>
        </w:rPr>
        <w:t xml:space="preserve">. </w:t>
      </w:r>
      <w:r w:rsidR="00EC42F4" w:rsidRPr="00C101CC">
        <w:rPr>
          <w:szCs w:val="22"/>
          <w:lang w:val="sk-SK"/>
        </w:rPr>
        <w:t xml:space="preserve">Údaje pre monoterapiu topiramátom z tehotenského registra </w:t>
      </w:r>
      <w:r w:rsidRPr="00C101CC">
        <w:rPr>
          <w:szCs w:val="22"/>
          <w:lang w:val="sk-SK"/>
        </w:rPr>
        <w:t xml:space="preserve">North American Antiepileptic Drug </w:t>
      </w:r>
      <w:r w:rsidR="00EC42F4" w:rsidRPr="00C101CC">
        <w:rPr>
          <w:szCs w:val="22"/>
          <w:lang w:val="sk-SK"/>
        </w:rPr>
        <w:t xml:space="preserve">preukázali približne 3-násobne vyššiu </w:t>
      </w:r>
      <w:r w:rsidR="00BE55E2" w:rsidRPr="00C101CC">
        <w:rPr>
          <w:szCs w:val="22"/>
          <w:lang w:val="sk-SK"/>
        </w:rPr>
        <w:t xml:space="preserve">prevalenciu </w:t>
      </w:r>
      <w:r w:rsidR="00EC42F4" w:rsidRPr="00C101CC">
        <w:rPr>
          <w:szCs w:val="22"/>
          <w:lang w:val="sk-SK"/>
        </w:rPr>
        <w:t xml:space="preserve">závažných vrodených malformácií </w:t>
      </w:r>
      <w:r w:rsidR="00BE55E2" w:rsidRPr="00C101CC">
        <w:rPr>
          <w:szCs w:val="22"/>
          <w:lang w:val="sk-SK"/>
        </w:rPr>
        <w:t>(</w:t>
      </w:r>
      <w:r w:rsidR="00BE55E2" w:rsidRPr="00C101CC">
        <w:rPr>
          <w:rFonts w:eastAsia="Verdana"/>
          <w:szCs w:val="22"/>
          <w:lang w:val="sk-SK"/>
        </w:rPr>
        <w:t>4,3 %)</w:t>
      </w:r>
      <w:r w:rsidR="00EC42F4" w:rsidRPr="00C101CC">
        <w:rPr>
          <w:szCs w:val="22"/>
          <w:lang w:val="sk-SK"/>
        </w:rPr>
        <w:t xml:space="preserve"> v porovnaní </w:t>
      </w:r>
      <w:r w:rsidR="00606BD6" w:rsidRPr="00C101CC">
        <w:rPr>
          <w:szCs w:val="22"/>
          <w:lang w:val="sk-SK"/>
        </w:rPr>
        <w:t xml:space="preserve"> s</w:t>
      </w:r>
      <w:r w:rsidR="00486D5E" w:rsidRPr="00C101CC">
        <w:rPr>
          <w:szCs w:val="22"/>
          <w:lang w:val="sk-SK"/>
        </w:rPr>
        <w:t xml:space="preserve">  </w:t>
      </w:r>
      <w:r w:rsidR="00606BD6" w:rsidRPr="00C101CC">
        <w:rPr>
          <w:szCs w:val="22"/>
          <w:lang w:val="sk-SK"/>
        </w:rPr>
        <w:t>referenčnou skupinou, ktorá neužívala antiepileptiká</w:t>
      </w:r>
      <w:r w:rsidR="00BE55E2" w:rsidRPr="00C101CC">
        <w:rPr>
          <w:szCs w:val="22"/>
          <w:lang w:val="sk-SK"/>
        </w:rPr>
        <w:t xml:space="preserve"> </w:t>
      </w:r>
      <w:r w:rsidR="00BE55E2" w:rsidRPr="00C101CC">
        <w:rPr>
          <w:rFonts w:eastAsia="Verdana"/>
          <w:szCs w:val="22"/>
          <w:lang w:val="sk-SK"/>
        </w:rPr>
        <w:t>(1,4 %)</w:t>
      </w:r>
      <w:r w:rsidR="00702661" w:rsidRPr="00C101CC">
        <w:rPr>
          <w:szCs w:val="22"/>
          <w:lang w:val="sk-SK"/>
        </w:rPr>
        <w:t xml:space="preserve">. </w:t>
      </w:r>
      <w:r w:rsidR="00B43519" w:rsidRPr="00C101CC">
        <w:rPr>
          <w:szCs w:val="22"/>
          <w:lang w:val="sk-SK"/>
        </w:rPr>
        <w:t>Údaje z ďalších štúdií ďalej naznačujú, že v porovnaní s monoterapiou je zvýšené riziko teratogénn</w:t>
      </w:r>
      <w:r w:rsidR="000E5C08" w:rsidRPr="00C101CC">
        <w:rPr>
          <w:szCs w:val="22"/>
          <w:lang w:val="sk-SK"/>
        </w:rPr>
        <w:t>y</w:t>
      </w:r>
      <w:r w:rsidR="00B43519" w:rsidRPr="00C101CC">
        <w:rPr>
          <w:szCs w:val="22"/>
          <w:lang w:val="sk-SK"/>
        </w:rPr>
        <w:t>ch účinkov spojených s</w:t>
      </w:r>
      <w:r w:rsidR="00486D5E" w:rsidRPr="00C101CC">
        <w:rPr>
          <w:szCs w:val="22"/>
          <w:lang w:val="sk-SK"/>
        </w:rPr>
        <w:t> </w:t>
      </w:r>
      <w:r w:rsidR="00B43519" w:rsidRPr="00C101CC">
        <w:rPr>
          <w:szCs w:val="22"/>
          <w:lang w:val="sk-SK"/>
        </w:rPr>
        <w:t xml:space="preserve">použitím antiepileptík v kombinovanej terapii. </w:t>
      </w:r>
      <w:r w:rsidR="00BE55E2" w:rsidRPr="00C101CC">
        <w:rPr>
          <w:rFonts w:eastAsia="Verdana"/>
          <w:szCs w:val="22"/>
          <w:lang w:val="sk-SK"/>
        </w:rPr>
        <w:t>Riziko bolo hlásené ako na dávke závislé; účinky boli pozorované pri všetkých dávkach. U žien liečených topiramátom, ktoré mali dieťa s vrodenou malformáciou, sa objavuje zvýšené riziko malformácií v ďalších graviditách, keď sú vystavené vplyvu topiramátu.</w:t>
      </w:r>
    </w:p>
    <w:p w14:paraId="754BA00B" w14:textId="7D5B61B2" w:rsidR="00606BD6" w:rsidRPr="00C101CC" w:rsidRDefault="00C623D8">
      <w:pPr>
        <w:pStyle w:val="BodyText12"/>
        <w:numPr>
          <w:ilvl w:val="0"/>
          <w:numId w:val="46"/>
        </w:numPr>
        <w:spacing w:after="0" w:line="240" w:lineRule="auto"/>
        <w:ind w:left="270" w:hanging="270"/>
        <w:jc w:val="left"/>
        <w:rPr>
          <w:sz w:val="22"/>
          <w:szCs w:val="22"/>
          <w:lang w:val="sk-SK"/>
        </w:rPr>
      </w:pPr>
      <w:r w:rsidRPr="00C101CC">
        <w:rPr>
          <w:sz w:val="22"/>
          <w:szCs w:val="22"/>
          <w:lang w:val="sk-SK"/>
        </w:rPr>
        <w:t>V</w:t>
      </w:r>
      <w:r w:rsidR="00606BD6" w:rsidRPr="00C101CC">
        <w:rPr>
          <w:sz w:val="22"/>
          <w:szCs w:val="22"/>
          <w:lang w:val="sk-SK"/>
        </w:rPr>
        <w:t>yšší výskyt nízkej pôrodnej hmotnosti (&lt;</w:t>
      </w:r>
      <w:r w:rsidR="00BE1FC8">
        <w:rPr>
          <w:sz w:val="22"/>
          <w:szCs w:val="22"/>
          <w:lang w:val="sk-SK"/>
        </w:rPr>
        <w:t> </w:t>
      </w:r>
      <w:r w:rsidR="00606BD6" w:rsidRPr="00C101CC">
        <w:rPr>
          <w:sz w:val="22"/>
          <w:szCs w:val="22"/>
          <w:lang w:val="sk-SK"/>
        </w:rPr>
        <w:t>2500</w:t>
      </w:r>
      <w:r w:rsidR="00215D65" w:rsidRPr="00C101CC">
        <w:rPr>
          <w:sz w:val="22"/>
          <w:szCs w:val="22"/>
          <w:lang w:val="sk-SK"/>
        </w:rPr>
        <w:t> </w:t>
      </w:r>
      <w:r w:rsidR="00606BD6" w:rsidRPr="00C101CC">
        <w:rPr>
          <w:sz w:val="22"/>
          <w:szCs w:val="22"/>
          <w:lang w:val="sk-SK"/>
        </w:rPr>
        <w:t xml:space="preserve">gramov) </w:t>
      </w:r>
      <w:r w:rsidR="00EC42F4" w:rsidRPr="00C101CC">
        <w:rPr>
          <w:sz w:val="22"/>
          <w:szCs w:val="22"/>
          <w:lang w:val="sk-SK"/>
        </w:rPr>
        <w:t>v</w:t>
      </w:r>
      <w:r w:rsidRPr="00C101CC">
        <w:rPr>
          <w:sz w:val="22"/>
          <w:szCs w:val="22"/>
          <w:lang w:val="sk-SK"/>
        </w:rPr>
        <w:t xml:space="preserve"> porovnaní s </w:t>
      </w:r>
      <w:r w:rsidR="00EC42F4" w:rsidRPr="00C101CC">
        <w:rPr>
          <w:sz w:val="22"/>
          <w:szCs w:val="22"/>
          <w:lang w:val="sk-SK"/>
        </w:rPr>
        <w:t>referenčn</w:t>
      </w:r>
      <w:r w:rsidRPr="00C101CC">
        <w:rPr>
          <w:sz w:val="22"/>
          <w:szCs w:val="22"/>
          <w:lang w:val="sk-SK"/>
        </w:rPr>
        <w:t>ou</w:t>
      </w:r>
      <w:r w:rsidR="00EC42F4" w:rsidRPr="00C101CC">
        <w:rPr>
          <w:sz w:val="22"/>
          <w:szCs w:val="22"/>
          <w:lang w:val="sk-SK"/>
        </w:rPr>
        <w:t xml:space="preserve"> skupin</w:t>
      </w:r>
      <w:r w:rsidRPr="00C101CC">
        <w:rPr>
          <w:sz w:val="22"/>
          <w:szCs w:val="22"/>
          <w:lang w:val="sk-SK"/>
        </w:rPr>
        <w:t>ou</w:t>
      </w:r>
      <w:r w:rsidR="00606BD6" w:rsidRPr="00C101CC">
        <w:rPr>
          <w:sz w:val="22"/>
          <w:szCs w:val="22"/>
          <w:lang w:val="sk-SK"/>
        </w:rPr>
        <w:t xml:space="preserve">. </w:t>
      </w:r>
    </w:p>
    <w:p w14:paraId="7147C898" w14:textId="6EBCB7EA" w:rsidR="00C623D8" w:rsidRPr="00C101CC" w:rsidRDefault="00B43519">
      <w:pPr>
        <w:pStyle w:val="BodyText12"/>
        <w:numPr>
          <w:ilvl w:val="0"/>
          <w:numId w:val="46"/>
        </w:numPr>
        <w:spacing w:after="0" w:line="240" w:lineRule="auto"/>
        <w:ind w:left="270" w:hanging="270"/>
        <w:jc w:val="left"/>
        <w:rPr>
          <w:sz w:val="22"/>
          <w:szCs w:val="22"/>
          <w:lang w:val="sk-SK"/>
        </w:rPr>
      </w:pPr>
      <w:r w:rsidRPr="00C101CC">
        <w:rPr>
          <w:sz w:val="22"/>
          <w:szCs w:val="22"/>
          <w:lang w:val="sk-SK"/>
        </w:rPr>
        <w:t xml:space="preserve">Zvýšená prevalencia malej veľkosti na gestačný vek </w:t>
      </w:r>
      <w:r w:rsidR="00C623D8" w:rsidRPr="00C101CC">
        <w:rPr>
          <w:sz w:val="22"/>
          <w:szCs w:val="22"/>
          <w:lang w:val="sk-SK"/>
        </w:rPr>
        <w:t xml:space="preserve">(SGA; </w:t>
      </w:r>
      <w:r w:rsidRPr="00C101CC">
        <w:rPr>
          <w:sz w:val="22"/>
          <w:szCs w:val="22"/>
          <w:lang w:val="sk-SK"/>
        </w:rPr>
        <w:t>definovan</w:t>
      </w:r>
      <w:r w:rsidR="00DC15E5" w:rsidRPr="00C101CC">
        <w:rPr>
          <w:sz w:val="22"/>
          <w:szCs w:val="22"/>
          <w:lang w:val="sk-SK"/>
        </w:rPr>
        <w:t>á</w:t>
      </w:r>
      <w:r w:rsidRPr="00C101CC">
        <w:rPr>
          <w:sz w:val="22"/>
          <w:szCs w:val="22"/>
          <w:lang w:val="sk-SK"/>
        </w:rPr>
        <w:t xml:space="preserve"> ako pôrodná hmotnosť pod </w:t>
      </w:r>
      <w:r w:rsidR="00C623D8" w:rsidRPr="00C101CC">
        <w:rPr>
          <w:sz w:val="22"/>
          <w:szCs w:val="22"/>
          <w:lang w:val="sk-SK"/>
        </w:rPr>
        <w:t>10</w:t>
      </w:r>
      <w:r w:rsidRPr="00C101CC">
        <w:rPr>
          <w:sz w:val="22"/>
          <w:szCs w:val="22"/>
          <w:lang w:val="sk-SK"/>
        </w:rPr>
        <w:t>.</w:t>
      </w:r>
      <w:r w:rsidR="00215D65" w:rsidRPr="00C101CC">
        <w:rPr>
          <w:sz w:val="22"/>
          <w:szCs w:val="22"/>
          <w:lang w:val="sk-SK"/>
        </w:rPr>
        <w:t> </w:t>
      </w:r>
      <w:r w:rsidR="00DC15E5" w:rsidRPr="00C101CC">
        <w:rPr>
          <w:sz w:val="22"/>
          <w:szCs w:val="22"/>
          <w:lang w:val="sk-SK"/>
        </w:rPr>
        <w:t>p</w:t>
      </w:r>
      <w:r w:rsidR="00C623D8" w:rsidRPr="00C101CC">
        <w:rPr>
          <w:sz w:val="22"/>
          <w:szCs w:val="22"/>
          <w:lang w:val="sk-SK"/>
        </w:rPr>
        <w:t>ercentil</w:t>
      </w:r>
      <w:r w:rsidRPr="00C101CC">
        <w:rPr>
          <w:sz w:val="22"/>
          <w:szCs w:val="22"/>
          <w:lang w:val="sk-SK"/>
        </w:rPr>
        <w:t>om korigovaná pre gestačný vek, stratifikovaná podľa pohlavia</w:t>
      </w:r>
      <w:r w:rsidR="00C623D8" w:rsidRPr="00C101CC">
        <w:rPr>
          <w:sz w:val="22"/>
          <w:szCs w:val="22"/>
          <w:lang w:val="sk-SK"/>
        </w:rPr>
        <w:t xml:space="preserve">). </w:t>
      </w:r>
      <w:r w:rsidRPr="00C101CC">
        <w:rPr>
          <w:sz w:val="22"/>
          <w:szCs w:val="22"/>
          <w:lang w:val="sk-SK"/>
        </w:rPr>
        <w:t xml:space="preserve">Dlhodobé </w:t>
      </w:r>
      <w:r w:rsidR="00DC15E5" w:rsidRPr="00C101CC">
        <w:rPr>
          <w:sz w:val="22"/>
          <w:szCs w:val="22"/>
          <w:lang w:val="sk-SK"/>
        </w:rPr>
        <w:t>dôsledky</w:t>
      </w:r>
      <w:r w:rsidRPr="00C101CC">
        <w:rPr>
          <w:sz w:val="22"/>
          <w:szCs w:val="22"/>
          <w:lang w:val="sk-SK"/>
        </w:rPr>
        <w:t xml:space="preserve"> </w:t>
      </w:r>
      <w:r w:rsidR="00DC15E5" w:rsidRPr="00C101CC">
        <w:rPr>
          <w:sz w:val="22"/>
          <w:szCs w:val="22"/>
          <w:lang w:val="sk-SK"/>
        </w:rPr>
        <w:t xml:space="preserve">nálezov </w:t>
      </w:r>
      <w:r w:rsidR="00C623D8" w:rsidRPr="00C101CC">
        <w:rPr>
          <w:sz w:val="22"/>
          <w:szCs w:val="22"/>
          <w:lang w:val="sk-SK"/>
        </w:rPr>
        <w:t xml:space="preserve">SGA </w:t>
      </w:r>
      <w:r w:rsidR="00DC15E5" w:rsidRPr="00C101CC">
        <w:rPr>
          <w:sz w:val="22"/>
          <w:szCs w:val="22"/>
          <w:lang w:val="sk-SK"/>
        </w:rPr>
        <w:t xml:space="preserve">nebolo možné stanoviť. </w:t>
      </w:r>
    </w:p>
    <w:p w14:paraId="374842D9" w14:textId="77777777" w:rsidR="00FF7468" w:rsidRPr="00C101CC" w:rsidRDefault="00FF7468">
      <w:pPr>
        <w:pStyle w:val="BodyText12"/>
        <w:spacing w:after="0" w:line="240" w:lineRule="auto"/>
        <w:ind w:left="0"/>
        <w:jc w:val="left"/>
        <w:rPr>
          <w:b/>
          <w:sz w:val="22"/>
          <w:szCs w:val="22"/>
          <w:lang w:val="sk-SK"/>
        </w:rPr>
      </w:pPr>
    </w:p>
    <w:bookmarkEnd w:id="2"/>
    <w:p w14:paraId="6A394962" w14:textId="77777777" w:rsidR="00FF7468" w:rsidRPr="00C101CC" w:rsidRDefault="00FF7468">
      <w:pPr>
        <w:pStyle w:val="Default"/>
        <w:keepNext/>
        <w:rPr>
          <w:bCs/>
          <w:i/>
          <w:sz w:val="22"/>
          <w:szCs w:val="22"/>
          <w:lang w:val="sk-SK"/>
        </w:rPr>
      </w:pPr>
      <w:r w:rsidRPr="00C101CC">
        <w:rPr>
          <w:bCs/>
          <w:i/>
          <w:sz w:val="22"/>
          <w:szCs w:val="22"/>
          <w:lang w:val="sk-SK"/>
        </w:rPr>
        <w:t>Indikovaná epilepsia</w:t>
      </w:r>
    </w:p>
    <w:p w14:paraId="3789C63A" w14:textId="234C5956" w:rsidR="00FF7468" w:rsidRPr="00C101CC" w:rsidRDefault="00DC15E5">
      <w:pPr>
        <w:pStyle w:val="Default"/>
        <w:rPr>
          <w:sz w:val="22"/>
          <w:szCs w:val="22"/>
          <w:lang w:val="sk-SK"/>
        </w:rPr>
      </w:pPr>
      <w:r w:rsidRPr="00C101CC">
        <w:rPr>
          <w:sz w:val="22"/>
          <w:szCs w:val="22"/>
          <w:lang w:val="sk-SK"/>
        </w:rPr>
        <w:t xml:space="preserve">U žien v plodnom veku sa odporúča zvážiť alternatívne možnosti liečby. Ak sa topiramát používa u žien v plodnom veku, odporúča sa používať vysoko účinnú antikoncepciu </w:t>
      </w:r>
      <w:r w:rsidR="00C623D8" w:rsidRPr="00C101CC">
        <w:rPr>
          <w:sz w:val="22"/>
          <w:szCs w:val="22"/>
          <w:lang w:val="sk-SK"/>
        </w:rPr>
        <w:t>(</w:t>
      </w:r>
      <w:r w:rsidRPr="00C101CC">
        <w:rPr>
          <w:sz w:val="22"/>
          <w:szCs w:val="22"/>
          <w:lang w:val="sk-SK"/>
        </w:rPr>
        <w:t>pozri časť</w:t>
      </w:r>
      <w:r w:rsidR="00A85B23" w:rsidRPr="00C101CC">
        <w:rPr>
          <w:sz w:val="22"/>
          <w:szCs w:val="22"/>
          <w:lang w:val="sk-SK"/>
        </w:rPr>
        <w:t xml:space="preserve"> 4.5) a ženu v</w:t>
      </w:r>
      <w:r w:rsidR="00486D5E" w:rsidRPr="00C101CC">
        <w:rPr>
          <w:sz w:val="22"/>
          <w:szCs w:val="22"/>
          <w:lang w:val="sk-SK"/>
        </w:rPr>
        <w:t> </w:t>
      </w:r>
      <w:r w:rsidR="00A85B23" w:rsidRPr="00C101CC">
        <w:rPr>
          <w:sz w:val="22"/>
          <w:szCs w:val="22"/>
          <w:lang w:val="sk-SK"/>
        </w:rPr>
        <w:t>plnej miere informovať o známych rizikách nekontrolovanej epilepsie na graviditu a o</w:t>
      </w:r>
      <w:r w:rsidR="00486D5E" w:rsidRPr="00C101CC">
        <w:rPr>
          <w:sz w:val="22"/>
          <w:szCs w:val="22"/>
          <w:lang w:val="sk-SK"/>
        </w:rPr>
        <w:t> </w:t>
      </w:r>
      <w:r w:rsidR="00A85B23" w:rsidRPr="00C101CC">
        <w:rPr>
          <w:sz w:val="22"/>
          <w:szCs w:val="22"/>
          <w:lang w:val="sk-SK"/>
        </w:rPr>
        <w:t xml:space="preserve">potenciálnych rizikách lieku pre plod. Ak žena plánuje otehotnieť, odporúča sa návšteva u lekára pred počatím, aby sa opätovne posúdila liečba a zvážili sa ďalšie </w:t>
      </w:r>
      <w:r w:rsidR="00B3661D" w:rsidRPr="00C101CC">
        <w:rPr>
          <w:sz w:val="22"/>
          <w:szCs w:val="22"/>
          <w:lang w:val="sk-SK"/>
        </w:rPr>
        <w:t>liečebné možnosti</w:t>
      </w:r>
      <w:r w:rsidR="00A85B23" w:rsidRPr="00C101CC">
        <w:rPr>
          <w:sz w:val="22"/>
          <w:szCs w:val="22"/>
          <w:lang w:val="sk-SK"/>
        </w:rPr>
        <w:t>. V prípade podávania v prvom trimestri sa má vykonať podrobné prenatálne monitorovanie.</w:t>
      </w:r>
    </w:p>
    <w:p w14:paraId="3B866D99" w14:textId="77777777" w:rsidR="00FF7468" w:rsidRPr="00C101CC" w:rsidRDefault="00FF7468">
      <w:pPr>
        <w:pStyle w:val="Default"/>
        <w:rPr>
          <w:b/>
          <w:bCs/>
          <w:sz w:val="22"/>
          <w:szCs w:val="22"/>
          <w:lang w:val="sk-SK"/>
        </w:rPr>
      </w:pPr>
    </w:p>
    <w:p w14:paraId="2F2747D9" w14:textId="77777777" w:rsidR="00FF7468" w:rsidRPr="00C101CC" w:rsidRDefault="00FF7468">
      <w:pPr>
        <w:pStyle w:val="Default"/>
        <w:keepNext/>
        <w:rPr>
          <w:bCs/>
          <w:i/>
          <w:sz w:val="22"/>
          <w:szCs w:val="22"/>
          <w:lang w:val="sk-SK"/>
        </w:rPr>
      </w:pPr>
      <w:r w:rsidRPr="00C101CC">
        <w:rPr>
          <w:bCs/>
          <w:i/>
          <w:sz w:val="22"/>
          <w:szCs w:val="22"/>
          <w:lang w:val="sk-SK"/>
        </w:rPr>
        <w:t>Indikovaná profylaxia migrény</w:t>
      </w:r>
    </w:p>
    <w:p w14:paraId="304B5189" w14:textId="430BFA41" w:rsidR="00FF7468" w:rsidRPr="00C101CC" w:rsidRDefault="00FF7468">
      <w:pPr>
        <w:pStyle w:val="Default"/>
        <w:keepNext/>
        <w:rPr>
          <w:sz w:val="22"/>
          <w:szCs w:val="22"/>
          <w:lang w:val="sk-SK"/>
        </w:rPr>
      </w:pPr>
      <w:r w:rsidRPr="00C101CC">
        <w:rPr>
          <w:sz w:val="22"/>
          <w:szCs w:val="22"/>
          <w:lang w:val="sk-SK"/>
        </w:rPr>
        <w:t xml:space="preserve">Topiramát je kontraindikovaný počas gravidity a u žien v plodnom veku, ak nepoužívajú </w:t>
      </w:r>
      <w:r w:rsidR="00C623D8" w:rsidRPr="00C101CC">
        <w:rPr>
          <w:sz w:val="22"/>
          <w:szCs w:val="22"/>
          <w:lang w:val="sk-SK"/>
        </w:rPr>
        <w:t xml:space="preserve">vysoko </w:t>
      </w:r>
      <w:r w:rsidRPr="00C101CC">
        <w:rPr>
          <w:sz w:val="22"/>
          <w:szCs w:val="22"/>
          <w:lang w:val="sk-SK"/>
        </w:rPr>
        <w:t>účinnú antikoncepciu (pozri čas</w:t>
      </w:r>
      <w:r w:rsidR="00702661" w:rsidRPr="00C101CC">
        <w:rPr>
          <w:sz w:val="22"/>
          <w:szCs w:val="22"/>
          <w:lang w:val="sk-SK"/>
        </w:rPr>
        <w:t>ti</w:t>
      </w:r>
      <w:r w:rsidR="008B27FA" w:rsidRPr="00C101CC">
        <w:rPr>
          <w:sz w:val="22"/>
          <w:szCs w:val="22"/>
          <w:lang w:val="sk-SK"/>
        </w:rPr>
        <w:t> </w:t>
      </w:r>
      <w:r w:rsidRPr="00C101CC">
        <w:rPr>
          <w:sz w:val="22"/>
          <w:szCs w:val="22"/>
          <w:lang w:val="sk-SK"/>
        </w:rPr>
        <w:t xml:space="preserve">4.3 a 4.5). </w:t>
      </w:r>
    </w:p>
    <w:p w14:paraId="5483BB34" w14:textId="77777777" w:rsidR="00FF7468" w:rsidRPr="00C101CC" w:rsidRDefault="00FF7468">
      <w:pPr>
        <w:pStyle w:val="Default"/>
        <w:rPr>
          <w:sz w:val="22"/>
          <w:szCs w:val="22"/>
          <w:lang w:val="sk-SK"/>
        </w:rPr>
      </w:pPr>
    </w:p>
    <w:p w14:paraId="5CB189D6" w14:textId="6F9D8661" w:rsidR="00495DA7" w:rsidRPr="00C101CC" w:rsidRDefault="000035B4">
      <w:pPr>
        <w:pStyle w:val="Default"/>
        <w:keepNext/>
        <w:rPr>
          <w:sz w:val="22"/>
          <w:szCs w:val="22"/>
          <w:u w:val="single"/>
          <w:lang w:val="sk-SK"/>
        </w:rPr>
      </w:pPr>
      <w:r w:rsidRPr="00C101CC">
        <w:rPr>
          <w:sz w:val="22"/>
          <w:szCs w:val="22"/>
          <w:u w:val="single"/>
          <w:lang w:val="sk-SK"/>
        </w:rPr>
        <w:t>Dojčenie</w:t>
      </w:r>
    </w:p>
    <w:p w14:paraId="3A890022" w14:textId="3D8C6A6D" w:rsidR="00495DA7" w:rsidRPr="00C101CC" w:rsidRDefault="00495DA7">
      <w:pPr>
        <w:pStyle w:val="BodyText12"/>
        <w:keepNext/>
        <w:spacing w:after="0" w:line="240" w:lineRule="auto"/>
        <w:ind w:left="0"/>
        <w:jc w:val="left"/>
        <w:rPr>
          <w:sz w:val="22"/>
          <w:szCs w:val="22"/>
          <w:lang w:val="sk-SK"/>
        </w:rPr>
      </w:pPr>
      <w:r w:rsidRPr="00C101CC">
        <w:rPr>
          <w:sz w:val="22"/>
          <w:szCs w:val="22"/>
          <w:lang w:val="sk-SK"/>
        </w:rPr>
        <w:t xml:space="preserve">Štúdie na zvieratách preukázali vylučovanie topiramátu do materského mlieka. Vylučovanie topiramátu do materského mlieka u ľudí sa v kontrolovaných štúdiách nehodnotilo. Obmedzené pozorovania u pacientov naznačujú značné vylučovanie topiramátu do </w:t>
      </w:r>
      <w:r w:rsidR="00AE1E6A" w:rsidRPr="00C101CC">
        <w:rPr>
          <w:sz w:val="22"/>
          <w:szCs w:val="22"/>
          <w:lang w:val="sk-SK"/>
        </w:rPr>
        <w:t xml:space="preserve">ľudského </w:t>
      </w:r>
      <w:r w:rsidRPr="00C101CC">
        <w:rPr>
          <w:sz w:val="22"/>
          <w:szCs w:val="22"/>
          <w:lang w:val="sk-SK"/>
        </w:rPr>
        <w:t xml:space="preserve">mlieka. </w:t>
      </w:r>
      <w:r w:rsidR="00BE55E2" w:rsidRPr="00C101CC">
        <w:rPr>
          <w:sz w:val="22"/>
          <w:szCs w:val="22"/>
          <w:lang w:val="sk-SK"/>
        </w:rPr>
        <w:t>Účinky, ktoré boli pozorované u dojčených novorodencov/detí liečených matiek, zahŕňajú hnačku, ospalosť, podráždenosť a nedostatočný prírastok na hmotnosti.</w:t>
      </w:r>
      <w:r w:rsidRPr="00C101CC">
        <w:rPr>
          <w:sz w:val="22"/>
          <w:szCs w:val="22"/>
          <w:lang w:val="sk-SK"/>
        </w:rPr>
        <w:t xml:space="preserve"> </w:t>
      </w:r>
      <w:r w:rsidR="00BE55E2" w:rsidRPr="00C101CC">
        <w:rPr>
          <w:sz w:val="22"/>
          <w:szCs w:val="22"/>
          <w:lang w:val="sk-SK"/>
        </w:rPr>
        <w:t>Z toho dôvodu</w:t>
      </w:r>
      <w:r w:rsidRPr="00C101CC">
        <w:rPr>
          <w:b/>
          <w:sz w:val="22"/>
          <w:szCs w:val="22"/>
          <w:u w:val="single"/>
          <w:lang w:val="sk-SK"/>
        </w:rPr>
        <w:t xml:space="preserve"> </w:t>
      </w:r>
      <w:r w:rsidRPr="00C101CC">
        <w:rPr>
          <w:sz w:val="22"/>
          <w:szCs w:val="22"/>
          <w:lang w:val="sk-SK"/>
        </w:rPr>
        <w:t xml:space="preserve">je nutné zvážiť, či ukončiť </w:t>
      </w:r>
      <w:r w:rsidR="000035B4" w:rsidRPr="00C101CC">
        <w:rPr>
          <w:sz w:val="22"/>
          <w:szCs w:val="22"/>
          <w:lang w:val="sk-SK"/>
        </w:rPr>
        <w:t>dojčenie</w:t>
      </w:r>
      <w:r w:rsidRPr="00C101CC">
        <w:rPr>
          <w:sz w:val="22"/>
          <w:szCs w:val="22"/>
          <w:lang w:val="sk-SK"/>
        </w:rPr>
        <w:t xml:space="preserve"> alebo prerušiť/ukončiť liečbu topiramátom, pričom treba vziať do úvahy </w:t>
      </w:r>
      <w:r w:rsidR="00CA5717" w:rsidRPr="00C101CC">
        <w:rPr>
          <w:sz w:val="22"/>
          <w:szCs w:val="22"/>
          <w:lang w:val="sk-SK"/>
        </w:rPr>
        <w:t>prínos dojčenia pre dieťa a prínos liečby topiramátom pre ženu</w:t>
      </w:r>
      <w:r w:rsidRPr="00C101CC">
        <w:rPr>
          <w:sz w:val="22"/>
          <w:szCs w:val="22"/>
          <w:lang w:val="sk-SK"/>
        </w:rPr>
        <w:t xml:space="preserve"> (pozri časť</w:t>
      </w:r>
      <w:r w:rsidR="008B27FA" w:rsidRPr="00C101CC">
        <w:rPr>
          <w:sz w:val="22"/>
          <w:szCs w:val="22"/>
          <w:lang w:val="sk-SK"/>
        </w:rPr>
        <w:t> </w:t>
      </w:r>
      <w:r w:rsidRPr="00C101CC">
        <w:rPr>
          <w:sz w:val="22"/>
          <w:szCs w:val="22"/>
          <w:lang w:val="sk-SK"/>
        </w:rPr>
        <w:t>4.4).</w:t>
      </w:r>
    </w:p>
    <w:p w14:paraId="34D6DB7D" w14:textId="77777777" w:rsidR="00495DA7" w:rsidRPr="00C101CC" w:rsidRDefault="00495DA7">
      <w:pPr>
        <w:pStyle w:val="Default"/>
        <w:rPr>
          <w:sz w:val="22"/>
          <w:szCs w:val="22"/>
          <w:lang w:val="sk-SK"/>
        </w:rPr>
      </w:pPr>
    </w:p>
    <w:p w14:paraId="31AF1AA9" w14:textId="77777777" w:rsidR="00495DA7" w:rsidRPr="00C101CC" w:rsidRDefault="00495DA7">
      <w:pPr>
        <w:keepNext/>
        <w:spacing w:line="240" w:lineRule="auto"/>
        <w:rPr>
          <w:szCs w:val="22"/>
          <w:lang w:val="sk-SK"/>
        </w:rPr>
      </w:pPr>
      <w:r w:rsidRPr="00C101CC">
        <w:rPr>
          <w:szCs w:val="22"/>
          <w:u w:val="single"/>
          <w:lang w:val="sk-SK"/>
        </w:rPr>
        <w:t>Fertilita</w:t>
      </w:r>
    </w:p>
    <w:p w14:paraId="4EA6511E" w14:textId="77777777" w:rsidR="00495DA7" w:rsidRPr="00C101CC" w:rsidRDefault="00987C65">
      <w:pPr>
        <w:spacing w:line="240" w:lineRule="auto"/>
        <w:rPr>
          <w:szCs w:val="22"/>
          <w:lang w:val="sk-SK"/>
        </w:rPr>
      </w:pPr>
      <w:r w:rsidRPr="00C101CC">
        <w:rPr>
          <w:szCs w:val="22"/>
          <w:lang w:val="sk-SK"/>
        </w:rPr>
        <w:t xml:space="preserve">Štúdie na zvieratách nepreukázali reprodukčnú toxicitu spôsobenú topiramátom </w:t>
      </w:r>
      <w:r w:rsidR="00495DA7" w:rsidRPr="00C101CC">
        <w:rPr>
          <w:szCs w:val="22"/>
          <w:lang w:val="sk-SK"/>
        </w:rPr>
        <w:t>(</w:t>
      </w:r>
      <w:r w:rsidRPr="00C101CC">
        <w:rPr>
          <w:szCs w:val="22"/>
          <w:lang w:val="sk-SK"/>
        </w:rPr>
        <w:t>pozri časť</w:t>
      </w:r>
      <w:r w:rsidR="00495DA7" w:rsidRPr="00C101CC">
        <w:rPr>
          <w:szCs w:val="22"/>
          <w:lang w:val="sk-SK"/>
        </w:rPr>
        <w:t xml:space="preserve"> 5.3). </w:t>
      </w:r>
      <w:r w:rsidRPr="00C101CC">
        <w:rPr>
          <w:szCs w:val="22"/>
          <w:lang w:val="sk-SK"/>
        </w:rPr>
        <w:t xml:space="preserve">Účinok topiramátu na fertilitu u ľudí nebol stanovený. </w:t>
      </w:r>
    </w:p>
    <w:p w14:paraId="5D82D6E5" w14:textId="77777777" w:rsidR="00495DA7" w:rsidRPr="00C101CC" w:rsidRDefault="00495DA7">
      <w:pPr>
        <w:pStyle w:val="Default"/>
        <w:rPr>
          <w:sz w:val="22"/>
          <w:szCs w:val="22"/>
          <w:lang w:val="sk-SK"/>
        </w:rPr>
      </w:pPr>
    </w:p>
    <w:p w14:paraId="7F7AF7B6" w14:textId="77777777" w:rsidR="00FF7468" w:rsidRPr="00C101CC" w:rsidRDefault="00FF7468">
      <w:pPr>
        <w:keepNext/>
        <w:spacing w:line="240" w:lineRule="auto"/>
        <w:jc w:val="both"/>
        <w:rPr>
          <w:b/>
          <w:szCs w:val="22"/>
          <w:lang w:val="sk-SK"/>
        </w:rPr>
      </w:pPr>
      <w:r w:rsidRPr="00C101CC">
        <w:rPr>
          <w:b/>
          <w:szCs w:val="22"/>
          <w:lang w:val="sk-SK"/>
        </w:rPr>
        <w:t>4.7</w:t>
      </w:r>
      <w:r w:rsidRPr="00C101CC">
        <w:rPr>
          <w:b/>
          <w:szCs w:val="22"/>
          <w:lang w:val="sk-SK"/>
        </w:rPr>
        <w:tab/>
        <w:t>Ovplyvnenie schopnosti viesť vozidlá a obsluhovať stroje</w:t>
      </w:r>
    </w:p>
    <w:p w14:paraId="2B7E103B" w14:textId="77777777" w:rsidR="00FF7468" w:rsidRPr="00C101CC" w:rsidRDefault="00FF7468">
      <w:pPr>
        <w:keepNext/>
        <w:spacing w:line="240" w:lineRule="auto"/>
        <w:jc w:val="both"/>
        <w:rPr>
          <w:szCs w:val="22"/>
          <w:lang w:val="sk-SK"/>
        </w:rPr>
      </w:pPr>
    </w:p>
    <w:p w14:paraId="1E417EE1" w14:textId="77777777" w:rsidR="00FF7468" w:rsidRPr="00C101CC" w:rsidRDefault="00702661">
      <w:pPr>
        <w:pStyle w:val="EMEAEnBodyText"/>
        <w:keepNext/>
        <w:tabs>
          <w:tab w:val="left" w:pos="567"/>
        </w:tabs>
        <w:spacing w:before="0" w:after="0"/>
        <w:jc w:val="left"/>
        <w:rPr>
          <w:szCs w:val="22"/>
          <w:lang w:val="sk-SK"/>
        </w:rPr>
      </w:pPr>
      <w:r w:rsidRPr="00C101CC">
        <w:rPr>
          <w:szCs w:val="22"/>
          <w:lang w:val="sk-SK"/>
        </w:rPr>
        <w:t xml:space="preserve">Topamax </w:t>
      </w:r>
      <w:r w:rsidR="00EC42F4" w:rsidRPr="00C101CC">
        <w:rPr>
          <w:szCs w:val="22"/>
          <w:lang w:val="sk-SK"/>
        </w:rPr>
        <w:t xml:space="preserve">má </w:t>
      </w:r>
      <w:r w:rsidR="0010735A" w:rsidRPr="00C101CC">
        <w:rPr>
          <w:szCs w:val="22"/>
          <w:lang w:val="sk-SK"/>
        </w:rPr>
        <w:t>malý alebo mierny vplyv na schopnosť viesť vozidlá a obsluhovať stroje</w:t>
      </w:r>
      <w:r w:rsidRPr="00C101CC">
        <w:rPr>
          <w:szCs w:val="22"/>
          <w:lang w:val="sk-SK"/>
        </w:rPr>
        <w:t xml:space="preserve">. </w:t>
      </w:r>
      <w:r w:rsidR="00FF7468" w:rsidRPr="00C101CC">
        <w:rPr>
          <w:szCs w:val="22"/>
          <w:lang w:val="sk-SK"/>
        </w:rPr>
        <w:t xml:space="preserve">Topiramát pôsobí na centrálny nervový systém a môže vyvolávať ospanlivosť, závraty alebo podobné príznaky. Môže tiež spôsobiť poruchy videnia a/alebo rozmazané videnie. Tieto nežiaduce reakcie môžu byť potenciálne nebezpečné u pacientov, ktorí vedú vozidlo alebo obsluhujú stroje, najmä v období, kým pacient nenadobudne s liekom skúsenosti.  </w:t>
      </w:r>
    </w:p>
    <w:p w14:paraId="51AD303D" w14:textId="77777777" w:rsidR="00FF7468" w:rsidRPr="00C101CC" w:rsidRDefault="00FF7468">
      <w:pPr>
        <w:pStyle w:val="Default"/>
        <w:rPr>
          <w:sz w:val="22"/>
          <w:szCs w:val="22"/>
          <w:lang w:val="sk-SK"/>
        </w:rPr>
      </w:pPr>
    </w:p>
    <w:p w14:paraId="7C207E55" w14:textId="77777777" w:rsidR="00FF7468" w:rsidRPr="00C101CC" w:rsidRDefault="00FF7468" w:rsidP="0029322E">
      <w:pPr>
        <w:keepNext/>
        <w:numPr>
          <w:ilvl w:val="1"/>
          <w:numId w:val="2"/>
        </w:numPr>
        <w:spacing w:line="240" w:lineRule="auto"/>
        <w:ind w:left="0" w:firstLine="0"/>
        <w:jc w:val="both"/>
        <w:rPr>
          <w:b/>
          <w:szCs w:val="22"/>
          <w:lang w:val="sk-SK"/>
        </w:rPr>
      </w:pPr>
      <w:r w:rsidRPr="00C101CC">
        <w:rPr>
          <w:b/>
          <w:szCs w:val="22"/>
          <w:lang w:val="sk-SK"/>
        </w:rPr>
        <w:t>Nežiaduce účinky</w:t>
      </w:r>
    </w:p>
    <w:p w14:paraId="059B6B7C" w14:textId="77777777" w:rsidR="00FF7468" w:rsidRPr="00C101CC" w:rsidRDefault="00FF7468">
      <w:pPr>
        <w:keepNext/>
        <w:tabs>
          <w:tab w:val="clear" w:pos="567"/>
        </w:tabs>
        <w:spacing w:line="240" w:lineRule="auto"/>
        <w:jc w:val="both"/>
        <w:rPr>
          <w:b/>
          <w:szCs w:val="22"/>
          <w:lang w:val="sk-SK"/>
        </w:rPr>
      </w:pPr>
    </w:p>
    <w:p w14:paraId="3677170A" w14:textId="5E0D5D87" w:rsidR="00FF7468" w:rsidRPr="00C101CC" w:rsidRDefault="00FF7468">
      <w:pPr>
        <w:keepNext/>
        <w:tabs>
          <w:tab w:val="clear" w:pos="567"/>
        </w:tabs>
        <w:autoSpaceDE w:val="0"/>
        <w:autoSpaceDN w:val="0"/>
        <w:adjustRightInd w:val="0"/>
        <w:spacing w:line="240" w:lineRule="auto"/>
        <w:rPr>
          <w:szCs w:val="22"/>
          <w:lang w:val="sk-SK"/>
        </w:rPr>
      </w:pPr>
      <w:bookmarkStart w:id="3" w:name="OLE_LINK1"/>
      <w:r w:rsidRPr="00C101CC">
        <w:rPr>
          <w:szCs w:val="22"/>
          <w:lang w:val="sk-SK"/>
        </w:rPr>
        <w:t>Bezpečnosť topiramátu bola hodnotená z databázy klinických štúdií pozostávajúcej z</w:t>
      </w:r>
      <w:r w:rsidR="00F8524C" w:rsidRPr="00C101CC">
        <w:rPr>
          <w:szCs w:val="22"/>
          <w:lang w:val="sk-SK"/>
        </w:rPr>
        <w:t> </w:t>
      </w:r>
      <w:r w:rsidRPr="00C101CC">
        <w:rPr>
          <w:szCs w:val="22"/>
          <w:lang w:val="sk-SK"/>
        </w:rPr>
        <w:t>4</w:t>
      </w:r>
      <w:r w:rsidR="008B27FA" w:rsidRPr="00C101CC">
        <w:rPr>
          <w:szCs w:val="22"/>
          <w:lang w:val="sk-SK"/>
        </w:rPr>
        <w:t> </w:t>
      </w:r>
      <w:r w:rsidRPr="00C101CC">
        <w:rPr>
          <w:szCs w:val="22"/>
          <w:lang w:val="sk-SK"/>
        </w:rPr>
        <w:t>111</w:t>
      </w:r>
      <w:r w:rsidR="008B27FA" w:rsidRPr="00C101CC">
        <w:rPr>
          <w:szCs w:val="22"/>
          <w:lang w:val="sk-SK"/>
        </w:rPr>
        <w:t> </w:t>
      </w:r>
      <w:r w:rsidRPr="00C101CC">
        <w:rPr>
          <w:szCs w:val="22"/>
          <w:lang w:val="sk-SK"/>
        </w:rPr>
        <w:t>pacientov (3</w:t>
      </w:r>
      <w:r w:rsidR="00F8524C" w:rsidRPr="00C101CC">
        <w:rPr>
          <w:szCs w:val="22"/>
          <w:lang w:val="sk-SK"/>
        </w:rPr>
        <w:t> </w:t>
      </w:r>
      <w:r w:rsidRPr="00C101CC">
        <w:rPr>
          <w:szCs w:val="22"/>
          <w:lang w:val="sk-SK"/>
        </w:rPr>
        <w:t>182 užívajúcich topiramát a 929 placebo), ktorí sa zúčastnili 20 dvojito-zaslepených štúdií a z</w:t>
      </w:r>
      <w:r w:rsidR="00F8524C" w:rsidRPr="00C101CC">
        <w:rPr>
          <w:szCs w:val="22"/>
          <w:lang w:val="sk-SK"/>
        </w:rPr>
        <w:t> </w:t>
      </w:r>
      <w:r w:rsidRPr="00C101CC">
        <w:rPr>
          <w:szCs w:val="22"/>
          <w:lang w:val="sk-SK"/>
        </w:rPr>
        <w:t>2</w:t>
      </w:r>
      <w:r w:rsidR="00F8524C" w:rsidRPr="00C101CC">
        <w:rPr>
          <w:szCs w:val="22"/>
          <w:lang w:val="sk-SK"/>
        </w:rPr>
        <w:t> </w:t>
      </w:r>
      <w:r w:rsidRPr="00C101CC">
        <w:rPr>
          <w:szCs w:val="22"/>
          <w:lang w:val="sk-SK"/>
        </w:rPr>
        <w:t xml:space="preserve">847 pacientov, ktorí sa zúčastnili 34 </w:t>
      </w:r>
      <w:r w:rsidR="00F8524C" w:rsidRPr="00C101CC">
        <w:rPr>
          <w:szCs w:val="22"/>
          <w:lang w:val="sk-SK"/>
        </w:rPr>
        <w:t xml:space="preserve">nezaslepených </w:t>
      </w:r>
      <w:r w:rsidRPr="00C101CC">
        <w:rPr>
          <w:szCs w:val="22"/>
          <w:lang w:val="sk-SK"/>
        </w:rPr>
        <w:t>štúdií s topiramátom v prídavnej terapii primárnych generalizovaných tonicko-klonických záchvatov, parciálnych záchvatov, záchvatov spojených s Lennoxovým-Gastautovým syndrómom, v monoterapii novo alebo nedávno diagnostikovanej epilepsie alebo profylaxie migrény. Väčšina nežiaducich reakcií bola mierne až stredne závažná. Nežiaduce reakcie identifikované v klinických štúdiách a počas postmarketingových skúseností (označené s „*“) sú uvedené podľa výskytu v klinických štúdiách v tabuľke 1. Frekvencie sú určené nasledovne:</w:t>
      </w:r>
    </w:p>
    <w:p w14:paraId="11BBADCE" w14:textId="77777777" w:rsidR="00FF7468" w:rsidRPr="00C101CC" w:rsidRDefault="00FF7468">
      <w:pPr>
        <w:tabs>
          <w:tab w:val="clear" w:pos="567"/>
        </w:tabs>
        <w:autoSpaceDE w:val="0"/>
        <w:autoSpaceDN w:val="0"/>
        <w:adjustRightInd w:val="0"/>
        <w:spacing w:line="240" w:lineRule="auto"/>
        <w:rPr>
          <w:szCs w:val="22"/>
          <w:lang w:val="sk-SK"/>
        </w:rPr>
      </w:pPr>
    </w:p>
    <w:p w14:paraId="68078323" w14:textId="77777777" w:rsidR="00FF7468" w:rsidRPr="00C101CC" w:rsidRDefault="00FF7468" w:rsidP="0020165C">
      <w:pPr>
        <w:pStyle w:val="BodyText12"/>
        <w:keepNext/>
        <w:spacing w:after="0" w:line="240" w:lineRule="auto"/>
        <w:ind w:left="0"/>
        <w:rPr>
          <w:sz w:val="22"/>
          <w:szCs w:val="22"/>
          <w:lang w:val="sk-SK"/>
        </w:rPr>
      </w:pPr>
      <w:r w:rsidRPr="00C101CC">
        <w:rPr>
          <w:sz w:val="22"/>
          <w:szCs w:val="22"/>
          <w:lang w:val="sk-SK"/>
        </w:rPr>
        <w:t>Veľmi časté</w:t>
      </w:r>
      <w:r w:rsidRPr="00C101CC">
        <w:rPr>
          <w:sz w:val="22"/>
          <w:szCs w:val="22"/>
          <w:lang w:val="sk-SK"/>
        </w:rPr>
        <w:tab/>
      </w:r>
      <w:r w:rsidRPr="00C101CC">
        <w:rPr>
          <w:sz w:val="22"/>
          <w:szCs w:val="22"/>
          <w:lang w:val="sk-SK"/>
        </w:rPr>
        <w:tab/>
        <w:t>≥</w:t>
      </w:r>
      <w:r w:rsidR="00281CA7" w:rsidRPr="00C101CC">
        <w:rPr>
          <w:sz w:val="22"/>
          <w:szCs w:val="22"/>
          <w:lang w:val="sk-SK"/>
        </w:rPr>
        <w:t> </w:t>
      </w:r>
      <w:r w:rsidRPr="00C101CC">
        <w:rPr>
          <w:sz w:val="22"/>
          <w:szCs w:val="22"/>
          <w:lang w:val="sk-SK"/>
        </w:rPr>
        <w:t>1/10</w:t>
      </w:r>
    </w:p>
    <w:p w14:paraId="033EC49D" w14:textId="77777777" w:rsidR="00FF7468" w:rsidRPr="00C101CC" w:rsidRDefault="00FF7468" w:rsidP="0020165C">
      <w:pPr>
        <w:pStyle w:val="BodyText12"/>
        <w:keepNext/>
        <w:spacing w:after="0" w:line="240" w:lineRule="auto"/>
        <w:ind w:left="0"/>
        <w:rPr>
          <w:sz w:val="22"/>
          <w:szCs w:val="22"/>
          <w:lang w:val="sk-SK"/>
        </w:rPr>
      </w:pPr>
      <w:r w:rsidRPr="00C101CC">
        <w:rPr>
          <w:sz w:val="22"/>
          <w:szCs w:val="22"/>
          <w:lang w:val="sk-SK"/>
        </w:rPr>
        <w:t>Časté</w:t>
      </w:r>
      <w:r w:rsidRPr="00C101CC">
        <w:rPr>
          <w:sz w:val="22"/>
          <w:szCs w:val="22"/>
          <w:lang w:val="sk-SK"/>
        </w:rPr>
        <w:tab/>
      </w:r>
      <w:r w:rsidRPr="00C101CC">
        <w:rPr>
          <w:sz w:val="22"/>
          <w:szCs w:val="22"/>
          <w:lang w:val="sk-SK"/>
        </w:rPr>
        <w:tab/>
      </w:r>
      <w:r w:rsidRPr="00C101CC">
        <w:rPr>
          <w:sz w:val="22"/>
          <w:szCs w:val="22"/>
          <w:lang w:val="sk-SK"/>
        </w:rPr>
        <w:tab/>
        <w:t>≥</w:t>
      </w:r>
      <w:r w:rsidR="00E666D1" w:rsidRPr="00C101CC">
        <w:rPr>
          <w:sz w:val="22"/>
          <w:szCs w:val="22"/>
          <w:lang w:val="sk-SK"/>
        </w:rPr>
        <w:t xml:space="preserve"> </w:t>
      </w:r>
      <w:r w:rsidRPr="00C101CC">
        <w:rPr>
          <w:sz w:val="22"/>
          <w:szCs w:val="22"/>
          <w:lang w:val="sk-SK"/>
        </w:rPr>
        <w:t>1/100 až &lt;</w:t>
      </w:r>
      <w:r w:rsidR="00E666D1" w:rsidRPr="00C101CC">
        <w:rPr>
          <w:sz w:val="22"/>
          <w:szCs w:val="22"/>
          <w:lang w:val="sk-SK"/>
        </w:rPr>
        <w:t> </w:t>
      </w:r>
      <w:r w:rsidRPr="00C101CC">
        <w:rPr>
          <w:sz w:val="22"/>
          <w:szCs w:val="22"/>
          <w:lang w:val="sk-SK"/>
        </w:rPr>
        <w:t>1/10</w:t>
      </w:r>
    </w:p>
    <w:p w14:paraId="1A0967EB" w14:textId="77777777" w:rsidR="00FF7468" w:rsidRPr="00C101CC" w:rsidRDefault="00FF7468" w:rsidP="0020165C">
      <w:pPr>
        <w:pStyle w:val="BodyText12"/>
        <w:keepNext/>
        <w:spacing w:after="0" w:line="240" w:lineRule="auto"/>
        <w:ind w:left="0"/>
        <w:rPr>
          <w:sz w:val="22"/>
          <w:szCs w:val="22"/>
          <w:lang w:val="sk-SK"/>
        </w:rPr>
      </w:pPr>
      <w:r w:rsidRPr="00C101CC">
        <w:rPr>
          <w:sz w:val="22"/>
          <w:szCs w:val="22"/>
          <w:lang w:val="sk-SK"/>
        </w:rPr>
        <w:t>Menej časté</w:t>
      </w:r>
      <w:r w:rsidRPr="00C101CC">
        <w:rPr>
          <w:sz w:val="22"/>
          <w:szCs w:val="22"/>
          <w:lang w:val="sk-SK"/>
        </w:rPr>
        <w:tab/>
      </w:r>
      <w:r w:rsidRPr="00C101CC">
        <w:rPr>
          <w:sz w:val="22"/>
          <w:szCs w:val="22"/>
          <w:lang w:val="sk-SK"/>
        </w:rPr>
        <w:tab/>
        <w:t>≥</w:t>
      </w:r>
      <w:r w:rsidR="00E666D1" w:rsidRPr="00C101CC">
        <w:rPr>
          <w:sz w:val="22"/>
          <w:szCs w:val="22"/>
          <w:lang w:val="sk-SK"/>
        </w:rPr>
        <w:t> </w:t>
      </w:r>
      <w:r w:rsidRPr="00C101CC">
        <w:rPr>
          <w:sz w:val="22"/>
          <w:szCs w:val="22"/>
          <w:lang w:val="sk-SK"/>
        </w:rPr>
        <w:t>1/1 000 až &lt;</w:t>
      </w:r>
      <w:r w:rsidR="00E666D1" w:rsidRPr="00C101CC">
        <w:rPr>
          <w:sz w:val="22"/>
          <w:szCs w:val="22"/>
          <w:lang w:val="sk-SK"/>
        </w:rPr>
        <w:t> </w:t>
      </w:r>
      <w:r w:rsidRPr="00C101CC">
        <w:rPr>
          <w:sz w:val="22"/>
          <w:szCs w:val="22"/>
          <w:lang w:val="sk-SK"/>
        </w:rPr>
        <w:t>1/100</w:t>
      </w:r>
    </w:p>
    <w:p w14:paraId="75E474A4" w14:textId="77777777" w:rsidR="00FF7468" w:rsidRPr="00C101CC" w:rsidRDefault="00FF7468" w:rsidP="0020165C">
      <w:pPr>
        <w:pStyle w:val="BodyText12"/>
        <w:keepNext/>
        <w:spacing w:after="0" w:line="240" w:lineRule="auto"/>
        <w:ind w:left="0"/>
        <w:rPr>
          <w:sz w:val="22"/>
          <w:szCs w:val="22"/>
          <w:lang w:val="sk-SK"/>
        </w:rPr>
      </w:pPr>
      <w:r w:rsidRPr="00C101CC">
        <w:rPr>
          <w:sz w:val="22"/>
          <w:szCs w:val="22"/>
          <w:lang w:val="sk-SK"/>
        </w:rPr>
        <w:t>Zriedkavé</w:t>
      </w:r>
      <w:r w:rsidRPr="00C101CC">
        <w:rPr>
          <w:sz w:val="22"/>
          <w:szCs w:val="22"/>
          <w:lang w:val="sk-SK"/>
        </w:rPr>
        <w:tab/>
      </w:r>
      <w:r w:rsidRPr="00C101CC">
        <w:rPr>
          <w:sz w:val="22"/>
          <w:szCs w:val="22"/>
          <w:lang w:val="sk-SK"/>
        </w:rPr>
        <w:tab/>
        <w:t>≥</w:t>
      </w:r>
      <w:r w:rsidR="00E666D1" w:rsidRPr="00C101CC">
        <w:rPr>
          <w:sz w:val="22"/>
          <w:szCs w:val="22"/>
          <w:lang w:val="sk-SK"/>
        </w:rPr>
        <w:t> </w:t>
      </w:r>
      <w:r w:rsidRPr="00C101CC">
        <w:rPr>
          <w:sz w:val="22"/>
          <w:szCs w:val="22"/>
          <w:lang w:val="sk-SK"/>
        </w:rPr>
        <w:t>1/10 000 až &lt;</w:t>
      </w:r>
      <w:r w:rsidR="00E666D1" w:rsidRPr="00C101CC">
        <w:rPr>
          <w:sz w:val="22"/>
          <w:szCs w:val="22"/>
          <w:lang w:val="sk-SK"/>
        </w:rPr>
        <w:t> </w:t>
      </w:r>
      <w:r w:rsidRPr="00C101CC">
        <w:rPr>
          <w:sz w:val="22"/>
          <w:szCs w:val="22"/>
          <w:lang w:val="sk-SK"/>
        </w:rPr>
        <w:t xml:space="preserve">1/1 000 </w:t>
      </w:r>
    </w:p>
    <w:p w14:paraId="585BB95A" w14:textId="77777777" w:rsidR="00FF7468" w:rsidRPr="00C101CC" w:rsidRDefault="00FF7468" w:rsidP="0020165C">
      <w:pPr>
        <w:pStyle w:val="BodyText12"/>
        <w:keepNext/>
        <w:spacing w:after="0" w:line="240" w:lineRule="auto"/>
        <w:ind w:left="0"/>
        <w:rPr>
          <w:sz w:val="22"/>
          <w:szCs w:val="22"/>
          <w:highlight w:val="cyan"/>
          <w:lang w:val="sk-SK"/>
        </w:rPr>
      </w:pPr>
      <w:r w:rsidRPr="00C101CC">
        <w:rPr>
          <w:sz w:val="22"/>
          <w:szCs w:val="22"/>
          <w:lang w:val="sk-SK"/>
        </w:rPr>
        <w:t>Veľmi zriedkavé</w:t>
      </w:r>
      <w:r w:rsidRPr="00C101CC">
        <w:rPr>
          <w:sz w:val="22"/>
          <w:szCs w:val="22"/>
          <w:lang w:val="sk-SK"/>
        </w:rPr>
        <w:tab/>
        <w:t>nemožno určiť z dostupných údajov</w:t>
      </w:r>
    </w:p>
    <w:p w14:paraId="51E2A29D" w14:textId="77777777" w:rsidR="00FF7468" w:rsidRPr="00C101CC" w:rsidRDefault="00FF7468">
      <w:pPr>
        <w:tabs>
          <w:tab w:val="clear" w:pos="567"/>
        </w:tabs>
        <w:autoSpaceDE w:val="0"/>
        <w:autoSpaceDN w:val="0"/>
        <w:adjustRightInd w:val="0"/>
        <w:spacing w:line="240" w:lineRule="auto"/>
        <w:rPr>
          <w:szCs w:val="22"/>
          <w:lang w:val="sk-SK"/>
        </w:rPr>
      </w:pPr>
    </w:p>
    <w:p w14:paraId="56A6A6C3" w14:textId="750CFAF0" w:rsidR="00FF7468" w:rsidRPr="00C101CC" w:rsidRDefault="00FF7468">
      <w:pPr>
        <w:tabs>
          <w:tab w:val="clear" w:pos="567"/>
        </w:tabs>
        <w:autoSpaceDE w:val="0"/>
        <w:autoSpaceDN w:val="0"/>
        <w:adjustRightInd w:val="0"/>
        <w:spacing w:line="240" w:lineRule="auto"/>
        <w:rPr>
          <w:szCs w:val="22"/>
          <w:lang w:val="sk-SK"/>
        </w:rPr>
      </w:pPr>
      <w:r w:rsidRPr="00C101CC">
        <w:rPr>
          <w:szCs w:val="22"/>
          <w:lang w:val="sk-SK"/>
        </w:rPr>
        <w:t>Najčastejšie nežiaduce reakcie (s výskytom &gt;</w:t>
      </w:r>
      <w:r w:rsidR="000F691F" w:rsidRPr="00C101CC">
        <w:rPr>
          <w:szCs w:val="22"/>
          <w:lang w:val="sk-SK"/>
        </w:rPr>
        <w:t> </w:t>
      </w:r>
      <w:r w:rsidRPr="00C101CC">
        <w:rPr>
          <w:szCs w:val="22"/>
          <w:lang w:val="sk-SK"/>
        </w:rPr>
        <w:t>5</w:t>
      </w:r>
      <w:r w:rsidR="003C61AE" w:rsidRPr="00C101CC">
        <w:rPr>
          <w:szCs w:val="22"/>
          <w:lang w:val="sk-SK"/>
        </w:rPr>
        <w:t> </w:t>
      </w:r>
      <w:r w:rsidRPr="00C101CC">
        <w:rPr>
          <w:szCs w:val="22"/>
          <w:lang w:val="sk-SK"/>
        </w:rPr>
        <w:t>% a vyšším ako bolo pozorované u placeba v minimálne 1 indikácii v dvojito zaslepených, kontrolovaných štúdiách s topiramátom) zahŕňajú: anorexiu, zníženú chuť do jedla, bradyfréniu, depresiu, ťažkosti s vyjadrovaním, insomniu, abnormálnu koordináciu, poruchy pozornosti, závraty, dysartriu, dysgeúziu, hypestéziu, letargiu, poruchy pamäti, nystagmus, parest</w:t>
      </w:r>
      <w:r w:rsidR="000D25D8" w:rsidRPr="00C101CC">
        <w:rPr>
          <w:szCs w:val="22"/>
          <w:lang w:val="sk-SK"/>
        </w:rPr>
        <w:t>é</w:t>
      </w:r>
      <w:r w:rsidRPr="00C101CC">
        <w:rPr>
          <w:szCs w:val="22"/>
          <w:lang w:val="sk-SK"/>
        </w:rPr>
        <w:t xml:space="preserve">ziu, somnolenciu, </w:t>
      </w:r>
      <w:r w:rsidR="000D25D8" w:rsidRPr="00C101CC">
        <w:rPr>
          <w:szCs w:val="22"/>
          <w:lang w:val="sk-SK"/>
        </w:rPr>
        <w:t>tremor</w:t>
      </w:r>
      <w:r w:rsidRPr="00C101CC">
        <w:rPr>
          <w:szCs w:val="22"/>
          <w:lang w:val="sk-SK"/>
        </w:rPr>
        <w:t>, diplopiu, rozmazané videnie, diareu, nauzeu, únavu, podráždenosť a zníženie hmotnosti.</w:t>
      </w:r>
    </w:p>
    <w:tbl>
      <w:tblPr>
        <w:tblW w:w="97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680"/>
        <w:gridCol w:w="1440"/>
        <w:gridCol w:w="1700"/>
        <w:gridCol w:w="1800"/>
        <w:gridCol w:w="1710"/>
        <w:gridCol w:w="1440"/>
      </w:tblGrid>
      <w:tr w:rsidR="00FF7468" w:rsidRPr="00C101CC" w14:paraId="27925612" w14:textId="77777777" w:rsidTr="00265BEE">
        <w:trPr>
          <w:jc w:val="right"/>
        </w:trPr>
        <w:tc>
          <w:tcPr>
            <w:tcW w:w="9770" w:type="dxa"/>
            <w:gridSpan w:val="6"/>
          </w:tcPr>
          <w:p w14:paraId="52587BCD" w14:textId="77777777" w:rsidR="00FF7468" w:rsidRPr="00C101CC" w:rsidRDefault="00FF7468">
            <w:pPr>
              <w:pStyle w:val="MarkTable"/>
              <w:rPr>
                <w:b/>
                <w:sz w:val="22"/>
                <w:szCs w:val="22"/>
                <w:lang w:val="sk-SK"/>
              </w:rPr>
            </w:pPr>
            <w:r w:rsidRPr="00C101CC">
              <w:rPr>
                <w:b/>
                <w:sz w:val="22"/>
                <w:szCs w:val="22"/>
                <w:lang w:val="sk-SK"/>
              </w:rPr>
              <w:t>Tabuľka 1: Nežiaduce reakcie na topiramát</w:t>
            </w:r>
          </w:p>
        </w:tc>
      </w:tr>
      <w:tr w:rsidR="00FF7468" w:rsidRPr="00C101CC" w14:paraId="6E59A4F1" w14:textId="77777777" w:rsidTr="00265BEE">
        <w:trPr>
          <w:trHeight w:val="58"/>
          <w:jc w:val="right"/>
        </w:trPr>
        <w:tc>
          <w:tcPr>
            <w:tcW w:w="1680" w:type="dxa"/>
            <w:vAlign w:val="center"/>
          </w:tcPr>
          <w:p w14:paraId="33FCA7EA" w14:textId="77777777" w:rsidR="00FF7468" w:rsidRPr="00C101CC" w:rsidRDefault="00FF7468" w:rsidP="00C101CC">
            <w:pPr>
              <w:pStyle w:val="TableText"/>
              <w:rPr>
                <w:b/>
                <w:sz w:val="22"/>
                <w:szCs w:val="22"/>
                <w:lang w:val="sk-SK"/>
              </w:rPr>
            </w:pPr>
            <w:r w:rsidRPr="00C101CC">
              <w:rPr>
                <w:b/>
                <w:sz w:val="22"/>
                <w:szCs w:val="22"/>
                <w:lang w:val="sk-SK"/>
              </w:rPr>
              <w:t>Trieda orgánových systémov</w:t>
            </w:r>
          </w:p>
        </w:tc>
        <w:tc>
          <w:tcPr>
            <w:tcW w:w="1440" w:type="dxa"/>
            <w:vAlign w:val="center"/>
          </w:tcPr>
          <w:p w14:paraId="7EC27866" w14:textId="77777777" w:rsidR="00FF7468" w:rsidRPr="00C101CC" w:rsidRDefault="00FF7468">
            <w:pPr>
              <w:pStyle w:val="TableText"/>
              <w:rPr>
                <w:b/>
                <w:sz w:val="22"/>
                <w:szCs w:val="22"/>
                <w:lang w:val="sk-SK"/>
              </w:rPr>
            </w:pPr>
            <w:r w:rsidRPr="00C101CC">
              <w:rPr>
                <w:b/>
                <w:sz w:val="22"/>
                <w:szCs w:val="22"/>
                <w:lang w:val="sk-SK"/>
              </w:rPr>
              <w:t>Veľmi časté</w:t>
            </w:r>
          </w:p>
        </w:tc>
        <w:tc>
          <w:tcPr>
            <w:tcW w:w="1700" w:type="dxa"/>
            <w:vAlign w:val="center"/>
          </w:tcPr>
          <w:p w14:paraId="0591CA55" w14:textId="77777777" w:rsidR="00FF7468" w:rsidRPr="00C101CC" w:rsidRDefault="00FF7468">
            <w:pPr>
              <w:pStyle w:val="TableText"/>
              <w:rPr>
                <w:b/>
                <w:sz w:val="22"/>
                <w:szCs w:val="22"/>
                <w:lang w:val="sk-SK"/>
              </w:rPr>
            </w:pPr>
            <w:r w:rsidRPr="00C101CC">
              <w:rPr>
                <w:b/>
                <w:sz w:val="22"/>
                <w:szCs w:val="22"/>
                <w:lang w:val="sk-SK"/>
              </w:rPr>
              <w:t>Časté</w:t>
            </w:r>
          </w:p>
        </w:tc>
        <w:tc>
          <w:tcPr>
            <w:tcW w:w="1800" w:type="dxa"/>
            <w:vAlign w:val="center"/>
          </w:tcPr>
          <w:p w14:paraId="450BDA4C" w14:textId="77777777" w:rsidR="00FF7468" w:rsidRPr="00C101CC" w:rsidRDefault="00FF7468">
            <w:pPr>
              <w:pStyle w:val="TableText"/>
              <w:rPr>
                <w:b/>
                <w:sz w:val="22"/>
                <w:szCs w:val="22"/>
                <w:lang w:val="sk-SK"/>
              </w:rPr>
            </w:pPr>
            <w:r w:rsidRPr="00C101CC">
              <w:rPr>
                <w:b/>
                <w:sz w:val="22"/>
                <w:szCs w:val="22"/>
                <w:lang w:val="sk-SK"/>
              </w:rPr>
              <w:t>Menej časté</w:t>
            </w:r>
          </w:p>
        </w:tc>
        <w:tc>
          <w:tcPr>
            <w:tcW w:w="1710" w:type="dxa"/>
            <w:vAlign w:val="center"/>
          </w:tcPr>
          <w:p w14:paraId="72C27105" w14:textId="77777777" w:rsidR="00FF7468" w:rsidRPr="00C101CC" w:rsidRDefault="00FF7468">
            <w:pPr>
              <w:pStyle w:val="TableText"/>
              <w:rPr>
                <w:b/>
                <w:sz w:val="22"/>
                <w:szCs w:val="22"/>
                <w:lang w:val="sk-SK"/>
              </w:rPr>
            </w:pPr>
            <w:r w:rsidRPr="00C101CC">
              <w:rPr>
                <w:b/>
                <w:sz w:val="22"/>
                <w:szCs w:val="22"/>
                <w:lang w:val="sk-SK"/>
              </w:rPr>
              <w:t>Zriedkavé</w:t>
            </w:r>
          </w:p>
        </w:tc>
        <w:tc>
          <w:tcPr>
            <w:tcW w:w="1440" w:type="dxa"/>
            <w:vAlign w:val="center"/>
          </w:tcPr>
          <w:p w14:paraId="2876BDBC" w14:textId="77777777" w:rsidR="00FF7468" w:rsidRPr="00C101CC" w:rsidRDefault="00FF7468">
            <w:pPr>
              <w:pStyle w:val="TableText"/>
              <w:rPr>
                <w:b/>
                <w:sz w:val="22"/>
                <w:szCs w:val="22"/>
                <w:lang w:val="sk-SK"/>
              </w:rPr>
            </w:pPr>
            <w:r w:rsidRPr="00C101CC">
              <w:rPr>
                <w:b/>
                <w:sz w:val="22"/>
                <w:szCs w:val="22"/>
                <w:lang w:val="sk-SK"/>
              </w:rPr>
              <w:t>Neznáme</w:t>
            </w:r>
          </w:p>
        </w:tc>
      </w:tr>
      <w:tr w:rsidR="0054697F" w:rsidRPr="00C101CC" w14:paraId="5029A5DB" w14:textId="77777777" w:rsidTr="00265BEE">
        <w:trPr>
          <w:jc w:val="right"/>
        </w:trPr>
        <w:tc>
          <w:tcPr>
            <w:tcW w:w="1680" w:type="dxa"/>
          </w:tcPr>
          <w:p w14:paraId="0019B4FB" w14:textId="77777777" w:rsidR="0054697F" w:rsidRPr="00C101CC" w:rsidRDefault="00495DA7" w:rsidP="00C101CC">
            <w:pPr>
              <w:pStyle w:val="TableText"/>
              <w:rPr>
                <w:sz w:val="22"/>
                <w:szCs w:val="22"/>
                <w:lang w:val="sk-SK"/>
              </w:rPr>
            </w:pPr>
            <w:r w:rsidRPr="00C101CC">
              <w:rPr>
                <w:sz w:val="22"/>
                <w:szCs w:val="22"/>
                <w:lang w:val="sk-SK"/>
              </w:rPr>
              <w:t>Infekcie a nákazy</w:t>
            </w:r>
          </w:p>
        </w:tc>
        <w:tc>
          <w:tcPr>
            <w:tcW w:w="1440" w:type="dxa"/>
          </w:tcPr>
          <w:p w14:paraId="7540A55F" w14:textId="350921A1" w:rsidR="0054697F" w:rsidRPr="00C101CC" w:rsidRDefault="00AF0DA3">
            <w:pPr>
              <w:pStyle w:val="TableText"/>
              <w:rPr>
                <w:sz w:val="22"/>
                <w:szCs w:val="22"/>
                <w:lang w:val="sk-SK"/>
              </w:rPr>
            </w:pPr>
            <w:r w:rsidRPr="00C101CC">
              <w:rPr>
                <w:sz w:val="22"/>
                <w:szCs w:val="22"/>
                <w:lang w:val="sk-SK"/>
              </w:rPr>
              <w:t>n</w:t>
            </w:r>
            <w:r w:rsidR="00495DA7" w:rsidRPr="00C101CC">
              <w:rPr>
                <w:sz w:val="22"/>
                <w:szCs w:val="22"/>
                <w:lang w:val="sk-SK"/>
              </w:rPr>
              <w:t>azofaryngi</w:t>
            </w:r>
            <w:r w:rsidR="00353B04" w:rsidRPr="00C101CC">
              <w:rPr>
                <w:sz w:val="22"/>
                <w:szCs w:val="22"/>
                <w:lang w:val="sk-SK"/>
              </w:rPr>
              <w:t>-</w:t>
            </w:r>
            <w:r w:rsidR="00495DA7" w:rsidRPr="00C101CC">
              <w:rPr>
                <w:sz w:val="22"/>
                <w:szCs w:val="22"/>
                <w:lang w:val="sk-SK"/>
              </w:rPr>
              <w:t>tída*</w:t>
            </w:r>
          </w:p>
        </w:tc>
        <w:tc>
          <w:tcPr>
            <w:tcW w:w="1700" w:type="dxa"/>
          </w:tcPr>
          <w:p w14:paraId="4C152373" w14:textId="77777777" w:rsidR="0054697F" w:rsidRPr="00C101CC" w:rsidRDefault="0054697F">
            <w:pPr>
              <w:pStyle w:val="TableText"/>
              <w:rPr>
                <w:sz w:val="22"/>
                <w:szCs w:val="22"/>
                <w:lang w:val="sk-SK"/>
              </w:rPr>
            </w:pPr>
          </w:p>
        </w:tc>
        <w:tc>
          <w:tcPr>
            <w:tcW w:w="1800" w:type="dxa"/>
          </w:tcPr>
          <w:p w14:paraId="61FDD6A8" w14:textId="77777777" w:rsidR="0054697F" w:rsidRPr="00C101CC" w:rsidRDefault="0054697F">
            <w:pPr>
              <w:pStyle w:val="TableText"/>
              <w:rPr>
                <w:sz w:val="22"/>
                <w:szCs w:val="22"/>
                <w:lang w:val="sk-SK"/>
              </w:rPr>
            </w:pPr>
          </w:p>
        </w:tc>
        <w:tc>
          <w:tcPr>
            <w:tcW w:w="1710" w:type="dxa"/>
          </w:tcPr>
          <w:p w14:paraId="6220C9BD" w14:textId="77777777" w:rsidR="0054697F" w:rsidRPr="00C101CC" w:rsidRDefault="0054697F">
            <w:pPr>
              <w:pStyle w:val="TableText"/>
              <w:rPr>
                <w:sz w:val="22"/>
                <w:szCs w:val="22"/>
                <w:lang w:val="sk-SK"/>
              </w:rPr>
            </w:pPr>
          </w:p>
        </w:tc>
        <w:tc>
          <w:tcPr>
            <w:tcW w:w="1440" w:type="dxa"/>
          </w:tcPr>
          <w:p w14:paraId="1EE84848" w14:textId="77777777" w:rsidR="0054697F" w:rsidRPr="00C101CC" w:rsidRDefault="0054697F">
            <w:pPr>
              <w:pStyle w:val="TableText"/>
              <w:rPr>
                <w:sz w:val="22"/>
                <w:szCs w:val="22"/>
                <w:lang w:val="sk-SK"/>
              </w:rPr>
            </w:pPr>
          </w:p>
        </w:tc>
      </w:tr>
      <w:tr w:rsidR="0054697F" w:rsidRPr="00C101CC" w14:paraId="6BA6C876" w14:textId="77777777" w:rsidTr="00265BEE">
        <w:trPr>
          <w:jc w:val="right"/>
        </w:trPr>
        <w:tc>
          <w:tcPr>
            <w:tcW w:w="1680" w:type="dxa"/>
          </w:tcPr>
          <w:p w14:paraId="68CCA922" w14:textId="77777777" w:rsidR="0054697F" w:rsidRPr="00C101CC" w:rsidRDefault="0054697F" w:rsidP="00C101CC">
            <w:pPr>
              <w:pStyle w:val="TableText"/>
              <w:rPr>
                <w:sz w:val="22"/>
                <w:szCs w:val="22"/>
                <w:lang w:val="sk-SK"/>
              </w:rPr>
            </w:pPr>
            <w:r w:rsidRPr="00C101CC">
              <w:rPr>
                <w:sz w:val="22"/>
                <w:szCs w:val="22"/>
                <w:lang w:val="sk-SK"/>
              </w:rPr>
              <w:t xml:space="preserve">Poruchy krvi a lymfatického systému </w:t>
            </w:r>
          </w:p>
        </w:tc>
        <w:tc>
          <w:tcPr>
            <w:tcW w:w="1440" w:type="dxa"/>
          </w:tcPr>
          <w:p w14:paraId="0E8170BF" w14:textId="77777777" w:rsidR="0054697F" w:rsidRPr="00C101CC" w:rsidRDefault="0054697F">
            <w:pPr>
              <w:pStyle w:val="TableText"/>
              <w:rPr>
                <w:sz w:val="22"/>
                <w:szCs w:val="22"/>
                <w:lang w:val="sk-SK"/>
              </w:rPr>
            </w:pPr>
          </w:p>
        </w:tc>
        <w:tc>
          <w:tcPr>
            <w:tcW w:w="1700" w:type="dxa"/>
          </w:tcPr>
          <w:p w14:paraId="16CEF860" w14:textId="3A5BEC77" w:rsidR="0054697F" w:rsidRPr="00C101CC" w:rsidRDefault="00267510">
            <w:pPr>
              <w:pStyle w:val="TableText"/>
              <w:rPr>
                <w:sz w:val="22"/>
                <w:szCs w:val="22"/>
                <w:lang w:val="sk-SK"/>
              </w:rPr>
            </w:pPr>
            <w:r w:rsidRPr="00C101CC">
              <w:rPr>
                <w:sz w:val="22"/>
                <w:szCs w:val="22"/>
                <w:lang w:val="sk-SK"/>
              </w:rPr>
              <w:t>a</w:t>
            </w:r>
            <w:r w:rsidR="0054697F" w:rsidRPr="00C101CC">
              <w:rPr>
                <w:sz w:val="22"/>
                <w:szCs w:val="22"/>
                <w:lang w:val="sk-SK"/>
              </w:rPr>
              <w:t>némia</w:t>
            </w:r>
          </w:p>
        </w:tc>
        <w:tc>
          <w:tcPr>
            <w:tcW w:w="1800" w:type="dxa"/>
          </w:tcPr>
          <w:p w14:paraId="1D1B3C11" w14:textId="738B55F0" w:rsidR="0054697F" w:rsidRPr="00C101CC" w:rsidRDefault="00267510">
            <w:pPr>
              <w:pStyle w:val="TableText"/>
              <w:rPr>
                <w:sz w:val="22"/>
                <w:szCs w:val="22"/>
                <w:lang w:val="sk-SK"/>
              </w:rPr>
            </w:pPr>
            <w:r w:rsidRPr="00C101CC">
              <w:rPr>
                <w:sz w:val="22"/>
                <w:szCs w:val="22"/>
                <w:lang w:val="sk-SK"/>
              </w:rPr>
              <w:t>l</w:t>
            </w:r>
            <w:r w:rsidR="0054697F" w:rsidRPr="00C101CC">
              <w:rPr>
                <w:sz w:val="22"/>
                <w:szCs w:val="22"/>
                <w:lang w:val="sk-SK"/>
              </w:rPr>
              <w:t>eukopénia, trombocytopénia</w:t>
            </w:r>
            <w:r w:rsidR="00495DA7" w:rsidRPr="00C101CC">
              <w:rPr>
                <w:sz w:val="22"/>
                <w:szCs w:val="22"/>
                <w:lang w:val="sk-SK"/>
              </w:rPr>
              <w:t xml:space="preserve">, lymfadenopatia,  eozinofilia </w:t>
            </w:r>
          </w:p>
        </w:tc>
        <w:tc>
          <w:tcPr>
            <w:tcW w:w="1710" w:type="dxa"/>
          </w:tcPr>
          <w:p w14:paraId="38DC0CB4" w14:textId="436CC7AE" w:rsidR="0054697F" w:rsidRPr="00C101CC" w:rsidRDefault="00267510">
            <w:pPr>
              <w:pStyle w:val="TableText"/>
              <w:rPr>
                <w:sz w:val="22"/>
                <w:szCs w:val="22"/>
                <w:lang w:val="sk-SK"/>
              </w:rPr>
            </w:pPr>
            <w:r w:rsidRPr="00C101CC">
              <w:rPr>
                <w:sz w:val="22"/>
                <w:szCs w:val="22"/>
                <w:lang w:val="sk-SK"/>
              </w:rPr>
              <w:t>n</w:t>
            </w:r>
            <w:r w:rsidR="0054697F" w:rsidRPr="00C101CC">
              <w:rPr>
                <w:sz w:val="22"/>
                <w:szCs w:val="22"/>
                <w:lang w:val="sk-SK"/>
              </w:rPr>
              <w:t>eutropénia*</w:t>
            </w:r>
          </w:p>
        </w:tc>
        <w:tc>
          <w:tcPr>
            <w:tcW w:w="1440" w:type="dxa"/>
          </w:tcPr>
          <w:p w14:paraId="6CE01587" w14:textId="77777777" w:rsidR="0054697F" w:rsidRPr="00C101CC" w:rsidRDefault="0054697F">
            <w:pPr>
              <w:pStyle w:val="TableText"/>
              <w:rPr>
                <w:sz w:val="22"/>
                <w:szCs w:val="22"/>
                <w:lang w:val="sk-SK"/>
              </w:rPr>
            </w:pPr>
          </w:p>
        </w:tc>
      </w:tr>
      <w:tr w:rsidR="0054697F" w:rsidRPr="00C101CC" w14:paraId="4509364E" w14:textId="77777777" w:rsidTr="00265BEE">
        <w:trPr>
          <w:jc w:val="right"/>
        </w:trPr>
        <w:tc>
          <w:tcPr>
            <w:tcW w:w="1680" w:type="dxa"/>
          </w:tcPr>
          <w:p w14:paraId="786550C6" w14:textId="77777777" w:rsidR="0054697F" w:rsidRPr="00C101CC" w:rsidRDefault="0054697F" w:rsidP="00C101CC">
            <w:pPr>
              <w:pStyle w:val="TableText"/>
              <w:rPr>
                <w:sz w:val="22"/>
                <w:szCs w:val="22"/>
                <w:lang w:val="sk-SK"/>
              </w:rPr>
            </w:pPr>
            <w:r w:rsidRPr="00C101CC">
              <w:rPr>
                <w:sz w:val="22"/>
                <w:szCs w:val="22"/>
                <w:lang w:val="sk-SK"/>
              </w:rPr>
              <w:t>Poruchy imunitného systému</w:t>
            </w:r>
          </w:p>
        </w:tc>
        <w:tc>
          <w:tcPr>
            <w:tcW w:w="1440" w:type="dxa"/>
          </w:tcPr>
          <w:p w14:paraId="61D8AA26" w14:textId="77777777" w:rsidR="0054697F" w:rsidRPr="00C101CC" w:rsidRDefault="0054697F">
            <w:pPr>
              <w:pStyle w:val="TableText"/>
              <w:rPr>
                <w:sz w:val="22"/>
                <w:szCs w:val="22"/>
                <w:lang w:val="sk-SK"/>
              </w:rPr>
            </w:pPr>
          </w:p>
        </w:tc>
        <w:tc>
          <w:tcPr>
            <w:tcW w:w="1700" w:type="dxa"/>
          </w:tcPr>
          <w:p w14:paraId="50045523" w14:textId="3F3542D7" w:rsidR="0054697F" w:rsidRPr="00C101CC" w:rsidRDefault="00267510">
            <w:pPr>
              <w:pStyle w:val="TableText"/>
              <w:rPr>
                <w:sz w:val="22"/>
                <w:szCs w:val="22"/>
                <w:lang w:val="sk-SK"/>
              </w:rPr>
            </w:pPr>
            <w:r w:rsidRPr="00C101CC">
              <w:rPr>
                <w:sz w:val="22"/>
                <w:szCs w:val="22"/>
                <w:lang w:val="sk-SK"/>
              </w:rPr>
              <w:t>h</w:t>
            </w:r>
            <w:r w:rsidR="0054697F" w:rsidRPr="00C101CC">
              <w:rPr>
                <w:sz w:val="22"/>
                <w:szCs w:val="22"/>
                <w:lang w:val="sk-SK"/>
              </w:rPr>
              <w:t>ypersenzitivita</w:t>
            </w:r>
          </w:p>
        </w:tc>
        <w:tc>
          <w:tcPr>
            <w:tcW w:w="1800" w:type="dxa"/>
          </w:tcPr>
          <w:p w14:paraId="5142F7AE" w14:textId="77777777" w:rsidR="0054697F" w:rsidRPr="00C101CC" w:rsidRDefault="0054697F">
            <w:pPr>
              <w:pStyle w:val="TableText"/>
              <w:rPr>
                <w:sz w:val="22"/>
                <w:szCs w:val="22"/>
                <w:lang w:val="sk-SK"/>
              </w:rPr>
            </w:pPr>
          </w:p>
        </w:tc>
        <w:tc>
          <w:tcPr>
            <w:tcW w:w="1710" w:type="dxa"/>
          </w:tcPr>
          <w:p w14:paraId="1124B17E" w14:textId="77777777" w:rsidR="0054697F" w:rsidRPr="00C101CC" w:rsidRDefault="0054697F">
            <w:pPr>
              <w:pStyle w:val="TableText"/>
              <w:rPr>
                <w:sz w:val="22"/>
                <w:szCs w:val="22"/>
                <w:lang w:val="sk-SK"/>
              </w:rPr>
            </w:pPr>
          </w:p>
        </w:tc>
        <w:tc>
          <w:tcPr>
            <w:tcW w:w="1440" w:type="dxa"/>
          </w:tcPr>
          <w:p w14:paraId="47B9FC19" w14:textId="795209C5" w:rsidR="0054697F" w:rsidRPr="00C101CC" w:rsidRDefault="00267510">
            <w:pPr>
              <w:pStyle w:val="TableText"/>
              <w:rPr>
                <w:sz w:val="22"/>
                <w:szCs w:val="22"/>
                <w:lang w:val="sk-SK"/>
              </w:rPr>
            </w:pPr>
            <w:r w:rsidRPr="00C101CC">
              <w:rPr>
                <w:sz w:val="22"/>
                <w:szCs w:val="22"/>
                <w:lang w:val="sk-SK"/>
              </w:rPr>
              <w:t>a</w:t>
            </w:r>
            <w:r w:rsidR="0054697F" w:rsidRPr="00C101CC">
              <w:rPr>
                <w:sz w:val="22"/>
                <w:szCs w:val="22"/>
                <w:lang w:val="sk-SK"/>
              </w:rPr>
              <w:t xml:space="preserve">lergický edém* </w:t>
            </w:r>
          </w:p>
        </w:tc>
      </w:tr>
      <w:tr w:rsidR="0054697F" w:rsidRPr="00C101CC" w14:paraId="0E2E5DF2" w14:textId="77777777" w:rsidTr="00265BEE">
        <w:trPr>
          <w:jc w:val="right"/>
        </w:trPr>
        <w:tc>
          <w:tcPr>
            <w:tcW w:w="1680" w:type="dxa"/>
          </w:tcPr>
          <w:p w14:paraId="0D752568" w14:textId="77777777" w:rsidR="0054697F" w:rsidRPr="00C101CC" w:rsidRDefault="0054697F" w:rsidP="00C101CC">
            <w:pPr>
              <w:pStyle w:val="TableText"/>
              <w:rPr>
                <w:sz w:val="22"/>
                <w:szCs w:val="22"/>
                <w:lang w:val="sk-SK"/>
              </w:rPr>
            </w:pPr>
            <w:r w:rsidRPr="00C101CC">
              <w:rPr>
                <w:sz w:val="22"/>
                <w:szCs w:val="22"/>
                <w:lang w:val="sk-SK"/>
              </w:rPr>
              <w:t>Poruchy metabolizmu a výživy</w:t>
            </w:r>
          </w:p>
        </w:tc>
        <w:tc>
          <w:tcPr>
            <w:tcW w:w="1440" w:type="dxa"/>
          </w:tcPr>
          <w:p w14:paraId="6228BCCE" w14:textId="77777777" w:rsidR="0054697F" w:rsidRPr="00C101CC" w:rsidRDefault="0054697F">
            <w:pPr>
              <w:pStyle w:val="TableText"/>
              <w:rPr>
                <w:sz w:val="22"/>
                <w:szCs w:val="22"/>
                <w:lang w:val="sk-SK"/>
              </w:rPr>
            </w:pPr>
          </w:p>
        </w:tc>
        <w:tc>
          <w:tcPr>
            <w:tcW w:w="1700" w:type="dxa"/>
          </w:tcPr>
          <w:p w14:paraId="4FE00340" w14:textId="5B4DB856" w:rsidR="0054697F" w:rsidRPr="00C101CC" w:rsidRDefault="00267510">
            <w:pPr>
              <w:pStyle w:val="TableText"/>
              <w:rPr>
                <w:sz w:val="22"/>
                <w:szCs w:val="22"/>
                <w:lang w:val="sk-SK"/>
              </w:rPr>
            </w:pPr>
            <w:r w:rsidRPr="00C101CC">
              <w:rPr>
                <w:sz w:val="22"/>
                <w:szCs w:val="22"/>
                <w:lang w:val="sk-SK"/>
              </w:rPr>
              <w:t>a</w:t>
            </w:r>
            <w:r w:rsidR="0054697F" w:rsidRPr="00C101CC">
              <w:rPr>
                <w:sz w:val="22"/>
                <w:szCs w:val="22"/>
                <w:lang w:val="sk-SK"/>
              </w:rPr>
              <w:t>norexia, znížený apetít</w:t>
            </w:r>
          </w:p>
        </w:tc>
        <w:tc>
          <w:tcPr>
            <w:tcW w:w="1800" w:type="dxa"/>
          </w:tcPr>
          <w:p w14:paraId="5FE994FA" w14:textId="4FA59920" w:rsidR="0054697F" w:rsidRPr="00C101CC" w:rsidRDefault="00267510">
            <w:pPr>
              <w:pStyle w:val="TableText"/>
              <w:rPr>
                <w:sz w:val="22"/>
                <w:szCs w:val="22"/>
                <w:lang w:val="sk-SK"/>
              </w:rPr>
            </w:pPr>
            <w:r w:rsidRPr="00C101CC">
              <w:rPr>
                <w:sz w:val="22"/>
                <w:szCs w:val="22"/>
                <w:lang w:val="sk-SK"/>
              </w:rPr>
              <w:t>m</w:t>
            </w:r>
            <w:r w:rsidR="0054697F" w:rsidRPr="00C101CC">
              <w:rPr>
                <w:sz w:val="22"/>
                <w:szCs w:val="22"/>
                <w:lang w:val="sk-SK"/>
              </w:rPr>
              <w:t>etabolická acidóza, hypokalié</w:t>
            </w:r>
            <w:r w:rsidR="00495DA7" w:rsidRPr="00C101CC">
              <w:rPr>
                <w:sz w:val="22"/>
                <w:szCs w:val="22"/>
                <w:lang w:val="sk-SK"/>
              </w:rPr>
              <w:t>mia, zvýšený apetít, polydipsia</w:t>
            </w:r>
          </w:p>
        </w:tc>
        <w:tc>
          <w:tcPr>
            <w:tcW w:w="1710" w:type="dxa"/>
          </w:tcPr>
          <w:p w14:paraId="1F0515C9" w14:textId="1EF05152" w:rsidR="009C7D06" w:rsidRPr="00C101CC" w:rsidRDefault="00267510">
            <w:pPr>
              <w:pStyle w:val="TableText"/>
              <w:rPr>
                <w:sz w:val="22"/>
                <w:szCs w:val="22"/>
                <w:lang w:val="sk-SK"/>
              </w:rPr>
            </w:pPr>
            <w:r w:rsidRPr="00C101CC">
              <w:rPr>
                <w:sz w:val="22"/>
                <w:szCs w:val="22"/>
                <w:lang w:val="sk-SK"/>
              </w:rPr>
              <w:t>h</w:t>
            </w:r>
            <w:r w:rsidR="0054697F" w:rsidRPr="00C101CC">
              <w:rPr>
                <w:sz w:val="22"/>
                <w:szCs w:val="22"/>
                <w:lang w:val="sk-SK"/>
              </w:rPr>
              <w:t>yperchlore</w:t>
            </w:r>
            <w:r w:rsidR="00987C65" w:rsidRPr="00C101CC">
              <w:rPr>
                <w:sz w:val="22"/>
                <w:szCs w:val="22"/>
                <w:lang w:val="sk-SK"/>
              </w:rPr>
              <w:t>-</w:t>
            </w:r>
            <w:r w:rsidR="0054697F" w:rsidRPr="00C101CC">
              <w:rPr>
                <w:sz w:val="22"/>
                <w:szCs w:val="22"/>
                <w:lang w:val="sk-SK"/>
              </w:rPr>
              <w:t>mická acidóza</w:t>
            </w:r>
            <w:r w:rsidR="009C7D06" w:rsidRPr="00C101CC">
              <w:rPr>
                <w:sz w:val="22"/>
                <w:szCs w:val="22"/>
                <w:lang w:val="sk-SK"/>
              </w:rPr>
              <w:t xml:space="preserve">, hyperamoné-mia*, </w:t>
            </w:r>
          </w:p>
          <w:p w14:paraId="21218721" w14:textId="41C9FD80" w:rsidR="0054697F" w:rsidRPr="00C101CC" w:rsidRDefault="009C7D06">
            <w:pPr>
              <w:pStyle w:val="TableText"/>
              <w:rPr>
                <w:sz w:val="22"/>
                <w:szCs w:val="22"/>
                <w:lang w:val="sk-SK"/>
              </w:rPr>
            </w:pPr>
            <w:r w:rsidRPr="00C101CC">
              <w:rPr>
                <w:sz w:val="22"/>
                <w:szCs w:val="22"/>
                <w:lang w:val="sk-SK"/>
              </w:rPr>
              <w:t>hyperamone</w:t>
            </w:r>
            <w:r w:rsidR="008D397A" w:rsidRPr="00C101CC">
              <w:rPr>
                <w:sz w:val="22"/>
                <w:szCs w:val="22"/>
                <w:lang w:val="sk-SK"/>
              </w:rPr>
              <w:t>-</w:t>
            </w:r>
            <w:r w:rsidRPr="00C101CC">
              <w:rPr>
                <w:sz w:val="22"/>
                <w:szCs w:val="22"/>
                <w:lang w:val="sk-SK"/>
              </w:rPr>
              <w:t>mická encefalopatia*</w:t>
            </w:r>
          </w:p>
        </w:tc>
        <w:tc>
          <w:tcPr>
            <w:tcW w:w="1440" w:type="dxa"/>
          </w:tcPr>
          <w:p w14:paraId="1E49BEED" w14:textId="77777777" w:rsidR="0054697F" w:rsidRPr="00C101CC" w:rsidRDefault="0054697F">
            <w:pPr>
              <w:pStyle w:val="TableText"/>
              <w:rPr>
                <w:sz w:val="22"/>
                <w:szCs w:val="22"/>
                <w:lang w:val="sk-SK"/>
              </w:rPr>
            </w:pPr>
          </w:p>
        </w:tc>
      </w:tr>
      <w:tr w:rsidR="0054697F" w:rsidRPr="00C101CC" w14:paraId="062062AF" w14:textId="77777777" w:rsidTr="00265BEE">
        <w:trPr>
          <w:jc w:val="right"/>
        </w:trPr>
        <w:tc>
          <w:tcPr>
            <w:tcW w:w="1680" w:type="dxa"/>
          </w:tcPr>
          <w:p w14:paraId="23D6CA35" w14:textId="77777777" w:rsidR="0054697F" w:rsidRPr="00C101CC" w:rsidRDefault="0054697F" w:rsidP="00C101CC">
            <w:pPr>
              <w:pStyle w:val="TableText"/>
              <w:rPr>
                <w:sz w:val="22"/>
                <w:szCs w:val="22"/>
                <w:lang w:val="sk-SK"/>
              </w:rPr>
            </w:pPr>
            <w:r w:rsidRPr="00C101CC">
              <w:rPr>
                <w:sz w:val="22"/>
                <w:szCs w:val="22"/>
                <w:lang w:val="sk-SK"/>
              </w:rPr>
              <w:t>Psychické poruchy</w:t>
            </w:r>
          </w:p>
        </w:tc>
        <w:tc>
          <w:tcPr>
            <w:tcW w:w="1440" w:type="dxa"/>
          </w:tcPr>
          <w:p w14:paraId="02181D10" w14:textId="046C7176" w:rsidR="0054697F" w:rsidRPr="00C101CC" w:rsidRDefault="00AF0DA3">
            <w:pPr>
              <w:pStyle w:val="TableText"/>
              <w:rPr>
                <w:sz w:val="22"/>
                <w:szCs w:val="22"/>
                <w:lang w:val="sk-SK"/>
              </w:rPr>
            </w:pPr>
            <w:r w:rsidRPr="00C101CC">
              <w:rPr>
                <w:sz w:val="22"/>
                <w:szCs w:val="22"/>
                <w:lang w:val="sk-SK"/>
              </w:rPr>
              <w:t>d</w:t>
            </w:r>
            <w:r w:rsidR="0054697F" w:rsidRPr="00C101CC">
              <w:rPr>
                <w:sz w:val="22"/>
                <w:szCs w:val="22"/>
                <w:lang w:val="sk-SK"/>
              </w:rPr>
              <w:t>epresia</w:t>
            </w:r>
          </w:p>
        </w:tc>
        <w:tc>
          <w:tcPr>
            <w:tcW w:w="1700" w:type="dxa"/>
          </w:tcPr>
          <w:p w14:paraId="721F9F10" w14:textId="4F4977F6" w:rsidR="0054697F" w:rsidRPr="00C101CC" w:rsidRDefault="00267510">
            <w:pPr>
              <w:pStyle w:val="TableText"/>
              <w:rPr>
                <w:sz w:val="22"/>
                <w:szCs w:val="22"/>
                <w:lang w:val="sk-SK"/>
              </w:rPr>
            </w:pPr>
            <w:r w:rsidRPr="00C101CC">
              <w:rPr>
                <w:sz w:val="22"/>
                <w:szCs w:val="22"/>
                <w:lang w:val="sk-SK"/>
              </w:rPr>
              <w:t>b</w:t>
            </w:r>
            <w:r w:rsidR="0054697F" w:rsidRPr="00C101CC">
              <w:rPr>
                <w:sz w:val="22"/>
                <w:szCs w:val="22"/>
                <w:lang w:val="sk-SK"/>
              </w:rPr>
              <w:t xml:space="preserve">radyfrénia, insomnia, problém s vyjadrovaním, úzkosť, stav zmätenosti, dezorientácia, agresivita, zmeny nálady, </w:t>
            </w:r>
            <w:r w:rsidR="009E1493" w:rsidRPr="00C101CC">
              <w:rPr>
                <w:sz w:val="22"/>
                <w:szCs w:val="22"/>
                <w:lang w:val="sk-SK"/>
              </w:rPr>
              <w:t xml:space="preserve">nepokoj, </w:t>
            </w:r>
            <w:r w:rsidR="0054697F" w:rsidRPr="00C101CC">
              <w:rPr>
                <w:sz w:val="22"/>
                <w:szCs w:val="22"/>
                <w:lang w:val="sk-SK"/>
              </w:rPr>
              <w:t xml:space="preserve"> striedanie nálad,  depresívna nálada, hnev, abnormálne správanie </w:t>
            </w:r>
          </w:p>
        </w:tc>
        <w:tc>
          <w:tcPr>
            <w:tcW w:w="1800" w:type="dxa"/>
          </w:tcPr>
          <w:p w14:paraId="4226281E" w14:textId="508BE5C4" w:rsidR="0054697F" w:rsidRPr="00C101CC" w:rsidRDefault="00267510">
            <w:pPr>
              <w:pStyle w:val="TableText"/>
              <w:rPr>
                <w:sz w:val="22"/>
                <w:szCs w:val="22"/>
                <w:lang w:val="sk-SK"/>
              </w:rPr>
            </w:pPr>
            <w:r w:rsidRPr="00C101CC">
              <w:rPr>
                <w:sz w:val="22"/>
                <w:szCs w:val="22"/>
                <w:lang w:val="sk-SK"/>
              </w:rPr>
              <w:t>s</w:t>
            </w:r>
            <w:r w:rsidR="0054697F" w:rsidRPr="00C101CC">
              <w:rPr>
                <w:sz w:val="22"/>
                <w:szCs w:val="22"/>
                <w:lang w:val="sk-SK"/>
              </w:rPr>
              <w:t xml:space="preserve">amovražedné </w:t>
            </w:r>
            <w:r w:rsidR="00866464" w:rsidRPr="00C101CC">
              <w:rPr>
                <w:sz w:val="22"/>
                <w:szCs w:val="22"/>
                <w:lang w:val="sk-SK"/>
              </w:rPr>
              <w:t>myšlienky</w:t>
            </w:r>
            <w:r w:rsidR="0054697F" w:rsidRPr="00C101CC">
              <w:rPr>
                <w:sz w:val="22"/>
                <w:szCs w:val="22"/>
                <w:lang w:val="sk-SK"/>
              </w:rPr>
              <w:t xml:space="preserve">, samovražedné pokusy, halucinácie, psychotická  porucha, sluchové halucinácie, vizuálne halucinácie, apatia, nedostatok spontánneho rečového prejavu, poruchy spánku, afektová labilita, znížené libido, roztržitosť, plač, dysfémia, euforická nálada, paranoja, neodbytnosť, záchvaty paniky, plačlivosť, porucha čítania, iniciálna insomnia, ľahostajnosť, abnormálne myslenie, strata libida, </w:t>
            </w:r>
            <w:r w:rsidR="00276673" w:rsidRPr="00C101CC">
              <w:rPr>
                <w:sz w:val="22"/>
                <w:szCs w:val="22"/>
                <w:lang w:val="sk-SK"/>
              </w:rPr>
              <w:t>malátnosť</w:t>
            </w:r>
            <w:r w:rsidR="0054697F" w:rsidRPr="00C101CC">
              <w:rPr>
                <w:sz w:val="22"/>
                <w:szCs w:val="22"/>
                <w:lang w:val="sk-SK"/>
              </w:rPr>
              <w:t>, stredná insomnia, roztržitosť, skoré ranné prebúdzanie, pani</w:t>
            </w:r>
            <w:r w:rsidR="00495DA7" w:rsidRPr="00C101CC">
              <w:rPr>
                <w:sz w:val="22"/>
                <w:szCs w:val="22"/>
                <w:lang w:val="sk-SK"/>
              </w:rPr>
              <w:t xml:space="preserve">cká reakcia, povznesená nálada </w:t>
            </w:r>
          </w:p>
        </w:tc>
        <w:tc>
          <w:tcPr>
            <w:tcW w:w="1710" w:type="dxa"/>
          </w:tcPr>
          <w:p w14:paraId="4CDDE8AE" w14:textId="21FA8265" w:rsidR="0054697F" w:rsidRPr="00C101CC" w:rsidRDefault="00267510">
            <w:pPr>
              <w:pStyle w:val="TableText"/>
              <w:rPr>
                <w:sz w:val="22"/>
                <w:szCs w:val="22"/>
                <w:lang w:val="sk-SK"/>
              </w:rPr>
            </w:pPr>
            <w:r w:rsidRPr="00C101CC">
              <w:rPr>
                <w:sz w:val="22"/>
                <w:szCs w:val="22"/>
                <w:lang w:val="sk-SK"/>
              </w:rPr>
              <w:t>m</w:t>
            </w:r>
            <w:r w:rsidR="0054697F" w:rsidRPr="00C101CC">
              <w:rPr>
                <w:sz w:val="22"/>
                <w:szCs w:val="22"/>
                <w:lang w:val="sk-SK"/>
              </w:rPr>
              <w:t>ánia, panická por</w:t>
            </w:r>
            <w:r w:rsidR="00401E60" w:rsidRPr="00C101CC">
              <w:rPr>
                <w:sz w:val="22"/>
                <w:szCs w:val="22"/>
                <w:lang w:val="sk-SK"/>
              </w:rPr>
              <w:t xml:space="preserve">ucha,  </w:t>
            </w:r>
            <w:r w:rsidR="0054697F" w:rsidRPr="00C101CC">
              <w:rPr>
                <w:sz w:val="22"/>
                <w:szCs w:val="22"/>
                <w:lang w:val="sk-SK"/>
              </w:rPr>
              <w:t xml:space="preserve">pocit zúfalstva*, hypománia </w:t>
            </w:r>
          </w:p>
        </w:tc>
        <w:tc>
          <w:tcPr>
            <w:tcW w:w="1440" w:type="dxa"/>
          </w:tcPr>
          <w:p w14:paraId="7834369F" w14:textId="77777777" w:rsidR="0054697F" w:rsidRPr="00C101CC" w:rsidRDefault="0054697F">
            <w:pPr>
              <w:pStyle w:val="TableText"/>
              <w:rPr>
                <w:sz w:val="22"/>
                <w:szCs w:val="22"/>
                <w:lang w:val="sk-SK"/>
              </w:rPr>
            </w:pPr>
          </w:p>
        </w:tc>
      </w:tr>
      <w:tr w:rsidR="0054697F" w:rsidRPr="00C101CC" w14:paraId="12DBB383" w14:textId="77777777" w:rsidTr="00265BEE">
        <w:trPr>
          <w:jc w:val="right"/>
        </w:trPr>
        <w:tc>
          <w:tcPr>
            <w:tcW w:w="1680" w:type="dxa"/>
          </w:tcPr>
          <w:p w14:paraId="23767CDD" w14:textId="77777777" w:rsidR="0054697F" w:rsidRPr="00C101CC" w:rsidRDefault="0054697F" w:rsidP="00C101CC">
            <w:pPr>
              <w:pStyle w:val="TableText"/>
              <w:rPr>
                <w:sz w:val="22"/>
                <w:szCs w:val="22"/>
                <w:lang w:val="sk-SK"/>
              </w:rPr>
            </w:pPr>
            <w:r w:rsidRPr="00C101CC">
              <w:rPr>
                <w:sz w:val="22"/>
                <w:szCs w:val="22"/>
                <w:lang w:val="sk-SK"/>
              </w:rPr>
              <w:t>Poruchy nervového systému</w:t>
            </w:r>
          </w:p>
        </w:tc>
        <w:tc>
          <w:tcPr>
            <w:tcW w:w="1440" w:type="dxa"/>
          </w:tcPr>
          <w:p w14:paraId="13A0E0FC" w14:textId="22692FA4" w:rsidR="0054697F" w:rsidRPr="00C101CC" w:rsidRDefault="00DA6793">
            <w:pPr>
              <w:pStyle w:val="TableText"/>
              <w:rPr>
                <w:sz w:val="22"/>
                <w:szCs w:val="22"/>
                <w:lang w:val="sk-SK"/>
              </w:rPr>
            </w:pPr>
            <w:r w:rsidRPr="00C101CC">
              <w:rPr>
                <w:sz w:val="22"/>
                <w:szCs w:val="22"/>
                <w:lang w:val="sk-SK"/>
              </w:rPr>
              <w:t>p</w:t>
            </w:r>
            <w:r w:rsidR="0054697F" w:rsidRPr="00C101CC">
              <w:rPr>
                <w:sz w:val="22"/>
                <w:szCs w:val="22"/>
                <w:lang w:val="sk-SK"/>
              </w:rPr>
              <w:t xml:space="preserve">arestézia, somnolencia,  závraty </w:t>
            </w:r>
          </w:p>
        </w:tc>
        <w:tc>
          <w:tcPr>
            <w:tcW w:w="1700" w:type="dxa"/>
          </w:tcPr>
          <w:p w14:paraId="1DE3EDF4" w14:textId="38555CFA" w:rsidR="0054697F" w:rsidRPr="00C101CC" w:rsidRDefault="00DA6793">
            <w:pPr>
              <w:pStyle w:val="TableText"/>
              <w:rPr>
                <w:sz w:val="22"/>
                <w:szCs w:val="22"/>
                <w:lang w:val="sk-SK"/>
              </w:rPr>
            </w:pPr>
            <w:r w:rsidRPr="00C101CC">
              <w:rPr>
                <w:sz w:val="22"/>
                <w:szCs w:val="22"/>
                <w:lang w:val="sk-SK"/>
              </w:rPr>
              <w:t>p</w:t>
            </w:r>
            <w:r w:rsidR="0054697F" w:rsidRPr="00C101CC">
              <w:rPr>
                <w:sz w:val="22"/>
                <w:szCs w:val="22"/>
                <w:lang w:val="sk-SK"/>
              </w:rPr>
              <w:t>oruchy pozornosti, poruchy pamäti, amnézia, kognitívna porucha, duševné poruchy, poruchy psychomotoric</w:t>
            </w:r>
            <w:r w:rsidR="00987C65" w:rsidRPr="00C101CC">
              <w:rPr>
                <w:sz w:val="22"/>
                <w:szCs w:val="22"/>
                <w:lang w:val="sk-SK"/>
              </w:rPr>
              <w:t>-</w:t>
            </w:r>
            <w:r w:rsidR="0054697F" w:rsidRPr="00C101CC">
              <w:rPr>
                <w:sz w:val="22"/>
                <w:szCs w:val="22"/>
                <w:lang w:val="sk-SK"/>
              </w:rPr>
              <w:t xml:space="preserve">kých zručností, konvulzia, abnormálna  koordinácia, tremor, letargia, hypestézia, nystagmus, dysgeúzia, porucha rovnováhy, dysartria, intenčný tremor, sedácia </w:t>
            </w:r>
          </w:p>
        </w:tc>
        <w:tc>
          <w:tcPr>
            <w:tcW w:w="1800" w:type="dxa"/>
          </w:tcPr>
          <w:p w14:paraId="4C2C6B47" w14:textId="3DDCB7B7" w:rsidR="00595638" w:rsidRPr="00C101CC" w:rsidRDefault="00DA6793">
            <w:pPr>
              <w:pStyle w:val="TableText"/>
              <w:rPr>
                <w:sz w:val="22"/>
                <w:szCs w:val="22"/>
                <w:lang w:val="sk-SK"/>
              </w:rPr>
            </w:pPr>
            <w:r w:rsidRPr="00C101CC">
              <w:rPr>
                <w:sz w:val="22"/>
                <w:szCs w:val="22"/>
                <w:lang w:val="sk-SK"/>
              </w:rPr>
              <w:t xml:space="preserve">znížená </w:t>
            </w:r>
            <w:r w:rsidR="0054697F" w:rsidRPr="00C101CC">
              <w:rPr>
                <w:sz w:val="22"/>
                <w:szCs w:val="22"/>
                <w:lang w:val="sk-SK"/>
              </w:rPr>
              <w:t>úroveň vedomia, konvulzie typu grand mal, porucha zorného poľa, komplexné parciálne záchvaty, porucha reči, psychomotorická hyperaktivita, synkopa, porucha zmyslového vnímania, slinenie, hypersomnia, afázia, opakujúca sa reč, hypokinéza, dyskinéza, posturálne závraty, zlá  kvalita spánku, pocit pálenia, strata zmyslového vnímania, parosmia, cerebelárny syndróm, dysestézia, hypogeúzia, stupor, nemotornosť, aura, ageúzia, dysgrafia, dysfázia, periférna neuropatia, p</w:t>
            </w:r>
            <w:r w:rsidR="00495DA7" w:rsidRPr="00C101CC">
              <w:rPr>
                <w:sz w:val="22"/>
                <w:szCs w:val="22"/>
                <w:lang w:val="sk-SK"/>
              </w:rPr>
              <w:t xml:space="preserve">resynkopa, dystónia, mravčenie </w:t>
            </w:r>
          </w:p>
        </w:tc>
        <w:tc>
          <w:tcPr>
            <w:tcW w:w="1710" w:type="dxa"/>
          </w:tcPr>
          <w:p w14:paraId="5F1C6120" w14:textId="5780B99A" w:rsidR="0054697F" w:rsidRPr="00C101CC" w:rsidRDefault="00DA6793">
            <w:pPr>
              <w:pStyle w:val="TableText"/>
              <w:rPr>
                <w:sz w:val="22"/>
                <w:szCs w:val="22"/>
                <w:lang w:val="sk-SK"/>
              </w:rPr>
            </w:pPr>
            <w:r w:rsidRPr="00C101CC">
              <w:rPr>
                <w:sz w:val="22"/>
                <w:szCs w:val="22"/>
                <w:lang w:val="sk-SK"/>
              </w:rPr>
              <w:t>a</w:t>
            </w:r>
            <w:r w:rsidR="0054697F" w:rsidRPr="00C101CC">
              <w:rPr>
                <w:sz w:val="22"/>
                <w:szCs w:val="22"/>
                <w:lang w:val="sk-SK"/>
              </w:rPr>
              <w:t>praxia, cirkadiánna porucha spánkového rytmu, hyperestézia, hyposmia, anosmia, esenciálny tremor, akinéza, nereagovanie na stimuly</w:t>
            </w:r>
          </w:p>
        </w:tc>
        <w:tc>
          <w:tcPr>
            <w:tcW w:w="1440" w:type="dxa"/>
          </w:tcPr>
          <w:p w14:paraId="5EC6FCC3" w14:textId="77777777" w:rsidR="0054697F" w:rsidRPr="00C101CC" w:rsidRDefault="0054697F">
            <w:pPr>
              <w:pStyle w:val="TableText"/>
              <w:rPr>
                <w:sz w:val="22"/>
                <w:szCs w:val="22"/>
                <w:lang w:val="sk-SK"/>
              </w:rPr>
            </w:pPr>
          </w:p>
        </w:tc>
      </w:tr>
      <w:tr w:rsidR="0054697F" w:rsidRPr="00C101CC" w14:paraId="63F1AC4D" w14:textId="77777777" w:rsidTr="00265BEE">
        <w:trPr>
          <w:jc w:val="right"/>
        </w:trPr>
        <w:tc>
          <w:tcPr>
            <w:tcW w:w="1680" w:type="dxa"/>
          </w:tcPr>
          <w:p w14:paraId="118266EF" w14:textId="77777777" w:rsidR="0054697F" w:rsidRPr="00C101CC" w:rsidRDefault="0054697F" w:rsidP="00C101CC">
            <w:pPr>
              <w:pStyle w:val="TableText"/>
              <w:rPr>
                <w:sz w:val="22"/>
                <w:szCs w:val="22"/>
                <w:lang w:val="sk-SK"/>
              </w:rPr>
            </w:pPr>
            <w:r w:rsidRPr="00C101CC">
              <w:rPr>
                <w:sz w:val="22"/>
                <w:szCs w:val="22"/>
                <w:lang w:val="sk-SK"/>
              </w:rPr>
              <w:t>Poruchy oka</w:t>
            </w:r>
          </w:p>
        </w:tc>
        <w:tc>
          <w:tcPr>
            <w:tcW w:w="1440" w:type="dxa"/>
          </w:tcPr>
          <w:p w14:paraId="52B39718" w14:textId="77777777" w:rsidR="0054697F" w:rsidRPr="00C101CC" w:rsidRDefault="0054697F">
            <w:pPr>
              <w:pStyle w:val="TableText"/>
              <w:rPr>
                <w:sz w:val="22"/>
                <w:szCs w:val="22"/>
                <w:lang w:val="sk-SK"/>
              </w:rPr>
            </w:pPr>
          </w:p>
        </w:tc>
        <w:tc>
          <w:tcPr>
            <w:tcW w:w="1700" w:type="dxa"/>
          </w:tcPr>
          <w:p w14:paraId="4EB85D5E" w14:textId="005D25C9" w:rsidR="0054697F" w:rsidRPr="00C101CC" w:rsidRDefault="009C3382">
            <w:pPr>
              <w:pStyle w:val="TableText"/>
              <w:rPr>
                <w:sz w:val="22"/>
                <w:szCs w:val="22"/>
                <w:lang w:val="sk-SK"/>
              </w:rPr>
            </w:pPr>
            <w:r w:rsidRPr="00C101CC">
              <w:rPr>
                <w:sz w:val="22"/>
                <w:szCs w:val="22"/>
                <w:lang w:val="sk-SK"/>
              </w:rPr>
              <w:t>r</w:t>
            </w:r>
            <w:r w:rsidR="0054697F" w:rsidRPr="00C101CC">
              <w:rPr>
                <w:sz w:val="22"/>
                <w:szCs w:val="22"/>
                <w:lang w:val="sk-SK"/>
              </w:rPr>
              <w:t>ozmazané videnie, diplopia, poruchy zraku</w:t>
            </w:r>
          </w:p>
        </w:tc>
        <w:tc>
          <w:tcPr>
            <w:tcW w:w="1800" w:type="dxa"/>
          </w:tcPr>
          <w:p w14:paraId="11E2BD56" w14:textId="107F4586" w:rsidR="0054697F" w:rsidRPr="00C101CC" w:rsidRDefault="009C3382">
            <w:pPr>
              <w:pStyle w:val="TableText"/>
              <w:rPr>
                <w:sz w:val="22"/>
                <w:szCs w:val="22"/>
                <w:lang w:val="sk-SK"/>
              </w:rPr>
            </w:pPr>
            <w:r w:rsidRPr="00C101CC">
              <w:rPr>
                <w:sz w:val="22"/>
                <w:szCs w:val="22"/>
                <w:lang w:val="sk-SK"/>
              </w:rPr>
              <w:t>z</w:t>
            </w:r>
            <w:r w:rsidR="0054697F" w:rsidRPr="00C101CC">
              <w:rPr>
                <w:sz w:val="22"/>
                <w:szCs w:val="22"/>
                <w:lang w:val="sk-SK"/>
              </w:rPr>
              <w:t>nížená zraková ostrosť, skotóm, myopia*, abnormálny pocit v</w:t>
            </w:r>
            <w:r w:rsidR="001C441B" w:rsidRPr="00C101CC">
              <w:rPr>
                <w:sz w:val="22"/>
                <w:szCs w:val="22"/>
                <w:lang w:val="sk-SK"/>
              </w:rPr>
              <w:t> </w:t>
            </w:r>
            <w:r w:rsidR="0054697F" w:rsidRPr="00C101CC">
              <w:rPr>
                <w:sz w:val="22"/>
                <w:szCs w:val="22"/>
                <w:lang w:val="sk-SK"/>
              </w:rPr>
              <w:t xml:space="preserve">oku*, suché oči, fotofóbia, blefarospasmus, zvýšené slzenie, fotopsia, mydriáza, presbyopia </w:t>
            </w:r>
          </w:p>
        </w:tc>
        <w:tc>
          <w:tcPr>
            <w:tcW w:w="1710" w:type="dxa"/>
          </w:tcPr>
          <w:p w14:paraId="42864C15" w14:textId="7D9ACD51" w:rsidR="0054697F" w:rsidRPr="00C101CC" w:rsidRDefault="009C3382">
            <w:pPr>
              <w:pStyle w:val="TableText"/>
              <w:rPr>
                <w:sz w:val="22"/>
                <w:szCs w:val="22"/>
                <w:lang w:val="sk-SK"/>
              </w:rPr>
            </w:pPr>
            <w:r w:rsidRPr="00C101CC">
              <w:rPr>
                <w:sz w:val="22"/>
                <w:szCs w:val="22"/>
                <w:lang w:val="sk-SK"/>
              </w:rPr>
              <w:t>j</w:t>
            </w:r>
            <w:r w:rsidR="0054697F" w:rsidRPr="00C101CC">
              <w:rPr>
                <w:sz w:val="22"/>
                <w:szCs w:val="22"/>
                <w:lang w:val="sk-SK"/>
              </w:rPr>
              <w:t>ednostranná slepota, prechodná  slepota, glaukóm, porucha akomodácie, zmenené vizuálne vnímanie hĺbky, mihotavý skotóm, edém očného vie</w:t>
            </w:r>
            <w:r w:rsidR="00495DA7" w:rsidRPr="00C101CC">
              <w:rPr>
                <w:sz w:val="22"/>
                <w:szCs w:val="22"/>
                <w:lang w:val="sk-SK"/>
              </w:rPr>
              <w:t xml:space="preserve">čka*, nočná slepota, amblyopia </w:t>
            </w:r>
          </w:p>
        </w:tc>
        <w:tc>
          <w:tcPr>
            <w:tcW w:w="1440" w:type="dxa"/>
          </w:tcPr>
          <w:p w14:paraId="3521922E" w14:textId="00ED30D9" w:rsidR="0054697F" w:rsidRPr="00C101CC" w:rsidRDefault="009C3382">
            <w:pPr>
              <w:pStyle w:val="TableText"/>
              <w:rPr>
                <w:sz w:val="22"/>
                <w:szCs w:val="22"/>
                <w:lang w:val="sk-SK"/>
              </w:rPr>
            </w:pPr>
            <w:r w:rsidRPr="00C101CC">
              <w:rPr>
                <w:sz w:val="22"/>
                <w:szCs w:val="22"/>
                <w:lang w:val="sk-SK"/>
              </w:rPr>
              <w:t>g</w:t>
            </w:r>
            <w:r w:rsidR="0054697F" w:rsidRPr="00C101CC">
              <w:rPr>
                <w:sz w:val="22"/>
                <w:szCs w:val="22"/>
                <w:lang w:val="sk-SK"/>
              </w:rPr>
              <w:t>laukóm s uzavretým uhlom*, makulopa-tia*, porucha pohybu oka*</w:t>
            </w:r>
            <w:r w:rsidR="00495DA7" w:rsidRPr="00C101CC">
              <w:rPr>
                <w:sz w:val="22"/>
                <w:szCs w:val="22"/>
                <w:lang w:val="sk-SK"/>
              </w:rPr>
              <w:t>, edém spojovky*</w:t>
            </w:r>
            <w:r w:rsidR="00B602EC">
              <w:rPr>
                <w:sz w:val="22"/>
                <w:szCs w:val="22"/>
                <w:lang w:val="sk-SK"/>
              </w:rPr>
              <w:t>, uveitída</w:t>
            </w:r>
            <w:r w:rsidR="0054697F" w:rsidRPr="00C101CC">
              <w:rPr>
                <w:sz w:val="22"/>
                <w:szCs w:val="22"/>
                <w:lang w:val="sk-SK"/>
              </w:rPr>
              <w:t xml:space="preserve"> </w:t>
            </w:r>
          </w:p>
        </w:tc>
      </w:tr>
      <w:tr w:rsidR="00F84AA8" w:rsidRPr="00C101CC" w14:paraId="7B137BF6" w14:textId="77777777" w:rsidTr="00265BEE">
        <w:trPr>
          <w:jc w:val="right"/>
        </w:trPr>
        <w:tc>
          <w:tcPr>
            <w:tcW w:w="1680" w:type="dxa"/>
          </w:tcPr>
          <w:p w14:paraId="496BEBA6" w14:textId="77777777" w:rsidR="00F84AA8" w:rsidRPr="00C101CC" w:rsidRDefault="00F84AA8" w:rsidP="00C101CC">
            <w:pPr>
              <w:pStyle w:val="TableText"/>
              <w:rPr>
                <w:sz w:val="22"/>
                <w:szCs w:val="22"/>
                <w:lang w:val="sk-SK"/>
              </w:rPr>
            </w:pPr>
            <w:r w:rsidRPr="00C101CC">
              <w:rPr>
                <w:sz w:val="22"/>
                <w:szCs w:val="22"/>
                <w:lang w:val="sk-SK"/>
              </w:rPr>
              <w:t>Poruchy ucha a labyrintu</w:t>
            </w:r>
          </w:p>
        </w:tc>
        <w:tc>
          <w:tcPr>
            <w:tcW w:w="1440" w:type="dxa"/>
          </w:tcPr>
          <w:p w14:paraId="4C3C2BCD" w14:textId="77777777" w:rsidR="00F84AA8" w:rsidRPr="00C101CC" w:rsidRDefault="00F84AA8">
            <w:pPr>
              <w:pStyle w:val="TableText"/>
              <w:rPr>
                <w:sz w:val="22"/>
                <w:szCs w:val="22"/>
                <w:lang w:val="sk-SK"/>
              </w:rPr>
            </w:pPr>
          </w:p>
        </w:tc>
        <w:tc>
          <w:tcPr>
            <w:tcW w:w="1700" w:type="dxa"/>
          </w:tcPr>
          <w:p w14:paraId="3B6931E9" w14:textId="064569DB" w:rsidR="00F84AA8" w:rsidRPr="00C101CC" w:rsidRDefault="00774981">
            <w:pPr>
              <w:pStyle w:val="TableText"/>
              <w:rPr>
                <w:sz w:val="22"/>
                <w:szCs w:val="22"/>
                <w:lang w:val="sk-SK"/>
              </w:rPr>
            </w:pPr>
            <w:r w:rsidRPr="00C101CC">
              <w:rPr>
                <w:sz w:val="22"/>
                <w:szCs w:val="22"/>
                <w:lang w:val="sk-SK"/>
              </w:rPr>
              <w:t>v</w:t>
            </w:r>
            <w:r w:rsidR="00F84AA8" w:rsidRPr="00C101CC">
              <w:rPr>
                <w:sz w:val="22"/>
                <w:szCs w:val="22"/>
                <w:lang w:val="sk-SK"/>
              </w:rPr>
              <w:t xml:space="preserve">ertigo,  tinnitus, bolesť ucha </w:t>
            </w:r>
          </w:p>
        </w:tc>
        <w:tc>
          <w:tcPr>
            <w:tcW w:w="1800" w:type="dxa"/>
          </w:tcPr>
          <w:p w14:paraId="4DAC9AB3" w14:textId="2FFAA1B8" w:rsidR="00F84AA8" w:rsidRPr="00C101CC" w:rsidRDefault="00774981">
            <w:pPr>
              <w:pStyle w:val="TableText"/>
              <w:rPr>
                <w:sz w:val="22"/>
                <w:szCs w:val="22"/>
                <w:lang w:val="sk-SK"/>
              </w:rPr>
            </w:pPr>
            <w:r w:rsidRPr="00C101CC">
              <w:rPr>
                <w:sz w:val="22"/>
                <w:szCs w:val="22"/>
                <w:lang w:val="sk-SK"/>
              </w:rPr>
              <w:t>h</w:t>
            </w:r>
            <w:r w:rsidR="00F84AA8" w:rsidRPr="00C101CC">
              <w:rPr>
                <w:sz w:val="22"/>
                <w:szCs w:val="22"/>
                <w:lang w:val="sk-SK"/>
              </w:rPr>
              <w:t>luchota, jednostranná hluchota, neurosenzorická hluchota, z</w:t>
            </w:r>
            <w:r w:rsidR="00495DA7" w:rsidRPr="00C101CC">
              <w:rPr>
                <w:sz w:val="22"/>
                <w:szCs w:val="22"/>
                <w:lang w:val="sk-SK"/>
              </w:rPr>
              <w:t>lý pocit v uchu, porucha sluchu</w:t>
            </w:r>
          </w:p>
        </w:tc>
        <w:tc>
          <w:tcPr>
            <w:tcW w:w="1710" w:type="dxa"/>
          </w:tcPr>
          <w:p w14:paraId="71B7A3CF" w14:textId="77777777" w:rsidR="00F84AA8" w:rsidRPr="00C101CC" w:rsidRDefault="00F84AA8">
            <w:pPr>
              <w:pStyle w:val="TableText"/>
              <w:rPr>
                <w:sz w:val="22"/>
                <w:szCs w:val="22"/>
                <w:lang w:val="sk-SK"/>
              </w:rPr>
            </w:pPr>
          </w:p>
        </w:tc>
        <w:tc>
          <w:tcPr>
            <w:tcW w:w="1440" w:type="dxa"/>
          </w:tcPr>
          <w:p w14:paraId="2D1433C9" w14:textId="77777777" w:rsidR="00F84AA8" w:rsidRPr="00C101CC" w:rsidRDefault="00F84AA8">
            <w:pPr>
              <w:pStyle w:val="TableText"/>
              <w:rPr>
                <w:sz w:val="22"/>
                <w:szCs w:val="22"/>
                <w:lang w:val="sk-SK"/>
              </w:rPr>
            </w:pPr>
          </w:p>
        </w:tc>
      </w:tr>
      <w:tr w:rsidR="0054697F" w:rsidRPr="00C101CC" w14:paraId="74C35CF4" w14:textId="77777777" w:rsidTr="00265BEE">
        <w:trPr>
          <w:jc w:val="right"/>
        </w:trPr>
        <w:tc>
          <w:tcPr>
            <w:tcW w:w="1680" w:type="dxa"/>
          </w:tcPr>
          <w:p w14:paraId="35877352" w14:textId="77777777" w:rsidR="0054697F" w:rsidRPr="00C101CC" w:rsidRDefault="0054697F" w:rsidP="00C101CC">
            <w:pPr>
              <w:pStyle w:val="TableText"/>
              <w:rPr>
                <w:sz w:val="22"/>
                <w:szCs w:val="22"/>
                <w:lang w:val="sk-SK"/>
              </w:rPr>
            </w:pPr>
            <w:r w:rsidRPr="00C101CC">
              <w:rPr>
                <w:sz w:val="22"/>
                <w:szCs w:val="22"/>
                <w:lang w:val="sk-SK"/>
              </w:rPr>
              <w:t>Poruchy srdca a srdcovej činnosti</w:t>
            </w:r>
          </w:p>
        </w:tc>
        <w:tc>
          <w:tcPr>
            <w:tcW w:w="1440" w:type="dxa"/>
          </w:tcPr>
          <w:p w14:paraId="285FDA72" w14:textId="77777777" w:rsidR="0054697F" w:rsidRPr="00C101CC" w:rsidRDefault="0054697F">
            <w:pPr>
              <w:pStyle w:val="TableText"/>
              <w:rPr>
                <w:sz w:val="22"/>
                <w:szCs w:val="22"/>
                <w:lang w:val="sk-SK"/>
              </w:rPr>
            </w:pPr>
          </w:p>
        </w:tc>
        <w:tc>
          <w:tcPr>
            <w:tcW w:w="1700" w:type="dxa"/>
          </w:tcPr>
          <w:p w14:paraId="004C1019" w14:textId="77777777" w:rsidR="0054697F" w:rsidRPr="00C101CC" w:rsidRDefault="0054697F">
            <w:pPr>
              <w:pStyle w:val="TableText"/>
              <w:rPr>
                <w:sz w:val="22"/>
                <w:szCs w:val="22"/>
                <w:lang w:val="sk-SK"/>
              </w:rPr>
            </w:pPr>
          </w:p>
        </w:tc>
        <w:tc>
          <w:tcPr>
            <w:tcW w:w="1800" w:type="dxa"/>
          </w:tcPr>
          <w:p w14:paraId="011249E8" w14:textId="3D1ADB4C" w:rsidR="0054697F" w:rsidRPr="00C101CC" w:rsidRDefault="00774981">
            <w:pPr>
              <w:pStyle w:val="TableText"/>
              <w:rPr>
                <w:sz w:val="22"/>
                <w:szCs w:val="22"/>
                <w:lang w:val="sk-SK"/>
              </w:rPr>
            </w:pPr>
            <w:r w:rsidRPr="00C101CC">
              <w:rPr>
                <w:sz w:val="22"/>
                <w:szCs w:val="22"/>
                <w:lang w:val="sk-SK"/>
              </w:rPr>
              <w:t>b</w:t>
            </w:r>
            <w:r w:rsidR="0054697F" w:rsidRPr="00C101CC">
              <w:rPr>
                <w:sz w:val="22"/>
                <w:szCs w:val="22"/>
                <w:lang w:val="sk-SK"/>
              </w:rPr>
              <w:t xml:space="preserve">radykardia, sínusová bradykardia,  palpitácie </w:t>
            </w:r>
          </w:p>
        </w:tc>
        <w:tc>
          <w:tcPr>
            <w:tcW w:w="1710" w:type="dxa"/>
          </w:tcPr>
          <w:p w14:paraId="35A9ECF3" w14:textId="77777777" w:rsidR="0054697F" w:rsidRPr="00C101CC" w:rsidRDefault="0054697F">
            <w:pPr>
              <w:pStyle w:val="TableText"/>
              <w:rPr>
                <w:sz w:val="22"/>
                <w:szCs w:val="22"/>
                <w:lang w:val="sk-SK"/>
              </w:rPr>
            </w:pPr>
          </w:p>
        </w:tc>
        <w:tc>
          <w:tcPr>
            <w:tcW w:w="1440" w:type="dxa"/>
          </w:tcPr>
          <w:p w14:paraId="52F3F9CF" w14:textId="77777777" w:rsidR="0054697F" w:rsidRPr="00C101CC" w:rsidRDefault="0054697F">
            <w:pPr>
              <w:pStyle w:val="TableText"/>
              <w:rPr>
                <w:sz w:val="22"/>
                <w:szCs w:val="22"/>
                <w:lang w:val="sk-SK"/>
              </w:rPr>
            </w:pPr>
          </w:p>
        </w:tc>
      </w:tr>
      <w:tr w:rsidR="0095652A" w:rsidRPr="00C101CC" w14:paraId="6EDB36DF" w14:textId="77777777" w:rsidTr="00265BEE">
        <w:trPr>
          <w:jc w:val="right"/>
        </w:trPr>
        <w:tc>
          <w:tcPr>
            <w:tcW w:w="1680" w:type="dxa"/>
          </w:tcPr>
          <w:p w14:paraId="05D1E5EB" w14:textId="77777777" w:rsidR="0095652A" w:rsidRPr="00C101CC" w:rsidRDefault="0095652A" w:rsidP="00C101CC">
            <w:pPr>
              <w:pStyle w:val="TableText"/>
              <w:rPr>
                <w:sz w:val="22"/>
                <w:szCs w:val="22"/>
                <w:lang w:val="sk-SK"/>
              </w:rPr>
            </w:pPr>
            <w:r w:rsidRPr="00C101CC">
              <w:rPr>
                <w:sz w:val="22"/>
                <w:szCs w:val="22"/>
                <w:lang w:val="sk-SK"/>
              </w:rPr>
              <w:t>Poruchy ciev</w:t>
            </w:r>
          </w:p>
        </w:tc>
        <w:tc>
          <w:tcPr>
            <w:tcW w:w="1440" w:type="dxa"/>
          </w:tcPr>
          <w:p w14:paraId="606E23CA" w14:textId="77777777" w:rsidR="0095652A" w:rsidRPr="00C101CC" w:rsidRDefault="0095652A">
            <w:pPr>
              <w:pStyle w:val="TableText"/>
              <w:rPr>
                <w:sz w:val="22"/>
                <w:szCs w:val="22"/>
                <w:lang w:val="sk-SK"/>
              </w:rPr>
            </w:pPr>
          </w:p>
        </w:tc>
        <w:tc>
          <w:tcPr>
            <w:tcW w:w="1700" w:type="dxa"/>
          </w:tcPr>
          <w:p w14:paraId="7C5FD7CB" w14:textId="77777777" w:rsidR="0095652A" w:rsidRPr="00C101CC" w:rsidRDefault="0095652A">
            <w:pPr>
              <w:pStyle w:val="TableText"/>
              <w:rPr>
                <w:sz w:val="22"/>
                <w:szCs w:val="22"/>
                <w:lang w:val="sk-SK"/>
              </w:rPr>
            </w:pPr>
          </w:p>
        </w:tc>
        <w:tc>
          <w:tcPr>
            <w:tcW w:w="1800" w:type="dxa"/>
          </w:tcPr>
          <w:p w14:paraId="03E677AB" w14:textId="4A5BC914" w:rsidR="0095652A" w:rsidRPr="00C101CC" w:rsidRDefault="00774981">
            <w:pPr>
              <w:pStyle w:val="TableText"/>
              <w:rPr>
                <w:sz w:val="22"/>
                <w:szCs w:val="22"/>
                <w:lang w:val="sk-SK"/>
              </w:rPr>
            </w:pPr>
            <w:r w:rsidRPr="00C101CC">
              <w:rPr>
                <w:sz w:val="22"/>
                <w:szCs w:val="22"/>
                <w:lang w:val="sk-SK"/>
              </w:rPr>
              <w:t>h</w:t>
            </w:r>
            <w:r w:rsidR="0095652A" w:rsidRPr="00C101CC">
              <w:rPr>
                <w:sz w:val="22"/>
                <w:szCs w:val="22"/>
                <w:lang w:val="sk-SK"/>
              </w:rPr>
              <w:t xml:space="preserve">ypotenzia, ortostatická hypotenzia, sčervenanie, nával horúčavy, </w:t>
            </w:r>
          </w:p>
        </w:tc>
        <w:tc>
          <w:tcPr>
            <w:tcW w:w="1710" w:type="dxa"/>
          </w:tcPr>
          <w:p w14:paraId="3B898468" w14:textId="3E3DCF45" w:rsidR="0095652A" w:rsidRPr="00C101CC" w:rsidRDefault="00774981">
            <w:pPr>
              <w:pStyle w:val="TableText"/>
              <w:rPr>
                <w:sz w:val="22"/>
                <w:szCs w:val="22"/>
                <w:lang w:val="sk-SK"/>
              </w:rPr>
            </w:pPr>
            <w:r w:rsidRPr="00C101CC">
              <w:rPr>
                <w:sz w:val="22"/>
                <w:szCs w:val="22"/>
                <w:lang w:val="sk-SK"/>
              </w:rPr>
              <w:t>r</w:t>
            </w:r>
            <w:r w:rsidR="0095652A" w:rsidRPr="00C101CC">
              <w:rPr>
                <w:sz w:val="22"/>
                <w:szCs w:val="22"/>
                <w:lang w:val="sk-SK"/>
              </w:rPr>
              <w:t>aynaudov fenomén</w:t>
            </w:r>
          </w:p>
        </w:tc>
        <w:tc>
          <w:tcPr>
            <w:tcW w:w="1440" w:type="dxa"/>
          </w:tcPr>
          <w:p w14:paraId="25A966D8" w14:textId="77777777" w:rsidR="0095652A" w:rsidRPr="00C101CC" w:rsidRDefault="0095652A">
            <w:pPr>
              <w:pStyle w:val="TableText"/>
              <w:rPr>
                <w:sz w:val="22"/>
                <w:szCs w:val="22"/>
                <w:lang w:val="sk-SK"/>
              </w:rPr>
            </w:pPr>
          </w:p>
        </w:tc>
      </w:tr>
      <w:tr w:rsidR="0095652A" w:rsidRPr="00C101CC" w14:paraId="0B230419" w14:textId="77777777" w:rsidTr="00265BEE">
        <w:trPr>
          <w:jc w:val="right"/>
        </w:trPr>
        <w:tc>
          <w:tcPr>
            <w:tcW w:w="1680" w:type="dxa"/>
          </w:tcPr>
          <w:p w14:paraId="6AD4F103" w14:textId="77777777" w:rsidR="0095652A" w:rsidRPr="00C101CC" w:rsidRDefault="0095652A" w:rsidP="00C101CC">
            <w:pPr>
              <w:pStyle w:val="TableText"/>
              <w:rPr>
                <w:sz w:val="22"/>
                <w:szCs w:val="22"/>
                <w:lang w:val="sk-SK"/>
              </w:rPr>
            </w:pPr>
            <w:r w:rsidRPr="00C101CC">
              <w:rPr>
                <w:sz w:val="22"/>
                <w:szCs w:val="22"/>
                <w:lang w:val="sk-SK"/>
              </w:rPr>
              <w:t>Poruchy dýchacej sústavy, hrudníka a mediastína</w:t>
            </w:r>
          </w:p>
        </w:tc>
        <w:tc>
          <w:tcPr>
            <w:tcW w:w="1440" w:type="dxa"/>
          </w:tcPr>
          <w:p w14:paraId="062EDE6E" w14:textId="77777777" w:rsidR="0095652A" w:rsidRPr="00C101CC" w:rsidRDefault="0095652A">
            <w:pPr>
              <w:pStyle w:val="TableText"/>
              <w:rPr>
                <w:sz w:val="22"/>
                <w:szCs w:val="22"/>
                <w:lang w:val="sk-SK"/>
              </w:rPr>
            </w:pPr>
          </w:p>
        </w:tc>
        <w:tc>
          <w:tcPr>
            <w:tcW w:w="1700" w:type="dxa"/>
          </w:tcPr>
          <w:p w14:paraId="4F17C973" w14:textId="64455D16" w:rsidR="0095652A" w:rsidRPr="00C101CC" w:rsidRDefault="00774981">
            <w:pPr>
              <w:pStyle w:val="TableText"/>
              <w:rPr>
                <w:sz w:val="22"/>
                <w:szCs w:val="22"/>
                <w:lang w:val="sk-SK"/>
              </w:rPr>
            </w:pPr>
            <w:r w:rsidRPr="00C101CC">
              <w:rPr>
                <w:sz w:val="22"/>
                <w:szCs w:val="22"/>
                <w:lang w:val="sk-SK"/>
              </w:rPr>
              <w:t>d</w:t>
            </w:r>
            <w:r w:rsidR="0095652A" w:rsidRPr="00C101CC">
              <w:rPr>
                <w:sz w:val="22"/>
                <w:szCs w:val="22"/>
                <w:lang w:val="sk-SK"/>
              </w:rPr>
              <w:t>yspnoe, epistaxa, upchanie nosa, rinorea</w:t>
            </w:r>
            <w:r w:rsidR="001E44F0" w:rsidRPr="00C101CC">
              <w:rPr>
                <w:sz w:val="22"/>
                <w:szCs w:val="22"/>
                <w:lang w:val="sk-SK"/>
              </w:rPr>
              <w:t>, kašeľ*</w:t>
            </w:r>
          </w:p>
        </w:tc>
        <w:tc>
          <w:tcPr>
            <w:tcW w:w="1800" w:type="dxa"/>
          </w:tcPr>
          <w:p w14:paraId="5E98100D" w14:textId="5410F8B9" w:rsidR="0095652A" w:rsidRPr="00C101CC" w:rsidRDefault="00774981">
            <w:pPr>
              <w:pStyle w:val="TableText"/>
              <w:rPr>
                <w:sz w:val="22"/>
                <w:szCs w:val="22"/>
                <w:lang w:val="sk-SK"/>
              </w:rPr>
            </w:pPr>
            <w:r w:rsidRPr="00C101CC">
              <w:rPr>
                <w:sz w:val="22"/>
                <w:szCs w:val="22"/>
                <w:lang w:val="sk-SK"/>
              </w:rPr>
              <w:t>n</w:t>
            </w:r>
            <w:r w:rsidR="0095652A" w:rsidRPr="00C101CC">
              <w:rPr>
                <w:sz w:val="22"/>
                <w:szCs w:val="22"/>
                <w:lang w:val="sk-SK"/>
              </w:rPr>
              <w:t>ámahové dyspnoe, hypersekrécia paranazálnych dutín, dysfónia</w:t>
            </w:r>
          </w:p>
        </w:tc>
        <w:tc>
          <w:tcPr>
            <w:tcW w:w="1710" w:type="dxa"/>
          </w:tcPr>
          <w:p w14:paraId="0AACA34F" w14:textId="77777777" w:rsidR="0095652A" w:rsidRPr="00C101CC" w:rsidRDefault="0095652A">
            <w:pPr>
              <w:pStyle w:val="TableText"/>
              <w:rPr>
                <w:sz w:val="22"/>
                <w:szCs w:val="22"/>
                <w:lang w:val="sk-SK"/>
              </w:rPr>
            </w:pPr>
          </w:p>
        </w:tc>
        <w:tc>
          <w:tcPr>
            <w:tcW w:w="1440" w:type="dxa"/>
          </w:tcPr>
          <w:p w14:paraId="1C01C659" w14:textId="77777777" w:rsidR="0095652A" w:rsidRPr="00C101CC" w:rsidRDefault="0095652A">
            <w:pPr>
              <w:pStyle w:val="TableText"/>
              <w:rPr>
                <w:sz w:val="22"/>
                <w:szCs w:val="22"/>
                <w:lang w:val="sk-SK"/>
              </w:rPr>
            </w:pPr>
          </w:p>
        </w:tc>
      </w:tr>
      <w:tr w:rsidR="0095652A" w:rsidRPr="00C101CC" w14:paraId="211893AB" w14:textId="77777777" w:rsidTr="00265BEE">
        <w:trPr>
          <w:jc w:val="right"/>
        </w:trPr>
        <w:tc>
          <w:tcPr>
            <w:tcW w:w="1680" w:type="dxa"/>
          </w:tcPr>
          <w:p w14:paraId="5960FCA9" w14:textId="77777777" w:rsidR="0095652A" w:rsidRPr="00C101CC" w:rsidRDefault="0095652A" w:rsidP="00C101CC">
            <w:pPr>
              <w:pStyle w:val="TableText"/>
              <w:rPr>
                <w:sz w:val="22"/>
                <w:szCs w:val="22"/>
                <w:lang w:val="sk-SK"/>
              </w:rPr>
            </w:pPr>
            <w:r w:rsidRPr="00C101CC">
              <w:rPr>
                <w:sz w:val="22"/>
                <w:szCs w:val="22"/>
                <w:lang w:val="sk-SK"/>
              </w:rPr>
              <w:t xml:space="preserve">Poruchy gastrointestinál-neho traktu </w:t>
            </w:r>
          </w:p>
        </w:tc>
        <w:tc>
          <w:tcPr>
            <w:tcW w:w="1440" w:type="dxa"/>
          </w:tcPr>
          <w:p w14:paraId="78C9C777" w14:textId="2A22A1FB" w:rsidR="0095652A" w:rsidRPr="00C101CC" w:rsidRDefault="00774981">
            <w:pPr>
              <w:pStyle w:val="TableText"/>
              <w:rPr>
                <w:sz w:val="22"/>
                <w:szCs w:val="22"/>
                <w:lang w:val="sk-SK"/>
              </w:rPr>
            </w:pPr>
            <w:r w:rsidRPr="00C101CC">
              <w:rPr>
                <w:sz w:val="22"/>
                <w:szCs w:val="22"/>
                <w:lang w:val="sk-SK"/>
              </w:rPr>
              <w:t>n</w:t>
            </w:r>
            <w:r w:rsidR="0095652A" w:rsidRPr="00C101CC">
              <w:rPr>
                <w:sz w:val="22"/>
                <w:szCs w:val="22"/>
                <w:lang w:val="sk-SK"/>
              </w:rPr>
              <w:t>auzea, diarea</w:t>
            </w:r>
          </w:p>
        </w:tc>
        <w:tc>
          <w:tcPr>
            <w:tcW w:w="1700" w:type="dxa"/>
          </w:tcPr>
          <w:p w14:paraId="6FF62BE5" w14:textId="0DACECAF" w:rsidR="0095652A" w:rsidRPr="00C101CC" w:rsidRDefault="00774981">
            <w:pPr>
              <w:pStyle w:val="TableText"/>
              <w:rPr>
                <w:sz w:val="22"/>
                <w:szCs w:val="22"/>
                <w:lang w:val="sk-SK"/>
              </w:rPr>
            </w:pPr>
            <w:r w:rsidRPr="00C101CC">
              <w:rPr>
                <w:sz w:val="22"/>
                <w:szCs w:val="22"/>
                <w:lang w:val="sk-SK"/>
              </w:rPr>
              <w:t>v</w:t>
            </w:r>
            <w:r w:rsidR="0095652A" w:rsidRPr="00C101CC">
              <w:rPr>
                <w:sz w:val="22"/>
                <w:szCs w:val="22"/>
                <w:lang w:val="sk-SK"/>
              </w:rPr>
              <w:t>racanie,  zápcha, bolesť v hornej časti brucha, dyspepsia, bolesť brucha, sucho v ústach, žalúdočný diskomfort,  orálna parestézia,   gastritída, abdominálny diskomfort</w:t>
            </w:r>
          </w:p>
        </w:tc>
        <w:tc>
          <w:tcPr>
            <w:tcW w:w="1800" w:type="dxa"/>
          </w:tcPr>
          <w:p w14:paraId="51FEE035" w14:textId="7F427329" w:rsidR="0095652A" w:rsidRPr="00C101CC" w:rsidRDefault="00774981">
            <w:pPr>
              <w:pStyle w:val="TableText"/>
              <w:rPr>
                <w:sz w:val="22"/>
                <w:szCs w:val="22"/>
                <w:lang w:val="sk-SK"/>
              </w:rPr>
            </w:pPr>
            <w:r w:rsidRPr="00C101CC">
              <w:rPr>
                <w:sz w:val="22"/>
                <w:szCs w:val="22"/>
                <w:lang w:val="sk-SK"/>
              </w:rPr>
              <w:t>p</w:t>
            </w:r>
            <w:r w:rsidR="0095652A" w:rsidRPr="00C101CC">
              <w:rPr>
                <w:sz w:val="22"/>
                <w:szCs w:val="22"/>
                <w:lang w:val="sk-SK"/>
              </w:rPr>
              <w:t>ankreatitída, flatulencia, gastroezofageál</w:t>
            </w:r>
            <w:r w:rsidR="000E5C08" w:rsidRPr="00C101CC">
              <w:rPr>
                <w:sz w:val="22"/>
                <w:szCs w:val="22"/>
                <w:lang w:val="sk-SK"/>
              </w:rPr>
              <w:t>-</w:t>
            </w:r>
            <w:r w:rsidR="0095652A" w:rsidRPr="00C101CC">
              <w:rPr>
                <w:sz w:val="22"/>
                <w:szCs w:val="22"/>
                <w:lang w:val="sk-SK"/>
              </w:rPr>
              <w:t xml:space="preserve">ny reflux, bolesť v podbrušiu,  orálna hypestézia, krvácanie ďasien,  abdominálna distenzia, diskomfort v epigastriu, citlivosť brucha, hypersekrécia slín, bolesť úst, zapáchajúci dych, glosodýnia </w:t>
            </w:r>
          </w:p>
        </w:tc>
        <w:tc>
          <w:tcPr>
            <w:tcW w:w="1710" w:type="dxa"/>
          </w:tcPr>
          <w:p w14:paraId="39EC4060" w14:textId="77777777" w:rsidR="0095652A" w:rsidRPr="00C101CC" w:rsidRDefault="0095652A">
            <w:pPr>
              <w:pStyle w:val="TableText"/>
              <w:rPr>
                <w:sz w:val="22"/>
                <w:szCs w:val="22"/>
                <w:lang w:val="sk-SK"/>
              </w:rPr>
            </w:pPr>
          </w:p>
        </w:tc>
        <w:tc>
          <w:tcPr>
            <w:tcW w:w="1440" w:type="dxa"/>
          </w:tcPr>
          <w:p w14:paraId="376E64AA" w14:textId="77777777" w:rsidR="0095652A" w:rsidRPr="00C101CC" w:rsidRDefault="0095652A">
            <w:pPr>
              <w:pStyle w:val="TableText"/>
              <w:rPr>
                <w:sz w:val="22"/>
                <w:szCs w:val="22"/>
                <w:lang w:val="sk-SK"/>
              </w:rPr>
            </w:pPr>
          </w:p>
        </w:tc>
      </w:tr>
      <w:tr w:rsidR="0095652A" w:rsidRPr="00C101CC" w14:paraId="027D16D2" w14:textId="77777777" w:rsidTr="00265BEE">
        <w:trPr>
          <w:trHeight w:val="919"/>
          <w:jc w:val="right"/>
        </w:trPr>
        <w:tc>
          <w:tcPr>
            <w:tcW w:w="1680" w:type="dxa"/>
          </w:tcPr>
          <w:p w14:paraId="46E5CCA8" w14:textId="77777777" w:rsidR="0095652A" w:rsidRPr="00C101CC" w:rsidRDefault="00595638" w:rsidP="00C101CC">
            <w:pPr>
              <w:pStyle w:val="TableText"/>
              <w:rPr>
                <w:sz w:val="22"/>
                <w:szCs w:val="22"/>
                <w:lang w:val="sk-SK"/>
              </w:rPr>
            </w:pPr>
            <w:r w:rsidRPr="00C101CC">
              <w:rPr>
                <w:sz w:val="22"/>
                <w:szCs w:val="22"/>
                <w:lang w:val="sk-SK"/>
              </w:rPr>
              <w:t>Poruchy pečene a žlčových ciest</w:t>
            </w:r>
          </w:p>
        </w:tc>
        <w:tc>
          <w:tcPr>
            <w:tcW w:w="1440" w:type="dxa"/>
          </w:tcPr>
          <w:p w14:paraId="78E91215" w14:textId="77777777" w:rsidR="0095652A" w:rsidRPr="00C101CC" w:rsidRDefault="0095652A">
            <w:pPr>
              <w:pStyle w:val="TableText"/>
              <w:rPr>
                <w:sz w:val="22"/>
                <w:szCs w:val="22"/>
                <w:lang w:val="sk-SK"/>
              </w:rPr>
            </w:pPr>
          </w:p>
        </w:tc>
        <w:tc>
          <w:tcPr>
            <w:tcW w:w="1700" w:type="dxa"/>
          </w:tcPr>
          <w:p w14:paraId="2067B3A8" w14:textId="77777777" w:rsidR="0095652A" w:rsidRPr="00C101CC" w:rsidRDefault="0095652A">
            <w:pPr>
              <w:pStyle w:val="TableText"/>
              <w:rPr>
                <w:sz w:val="22"/>
                <w:szCs w:val="22"/>
                <w:lang w:val="sk-SK"/>
              </w:rPr>
            </w:pPr>
          </w:p>
        </w:tc>
        <w:tc>
          <w:tcPr>
            <w:tcW w:w="1800" w:type="dxa"/>
          </w:tcPr>
          <w:p w14:paraId="4563E99B" w14:textId="77777777" w:rsidR="0095652A" w:rsidRPr="00C101CC" w:rsidRDefault="0095652A">
            <w:pPr>
              <w:pStyle w:val="TableText"/>
              <w:rPr>
                <w:sz w:val="22"/>
                <w:szCs w:val="22"/>
                <w:lang w:val="sk-SK"/>
              </w:rPr>
            </w:pPr>
          </w:p>
        </w:tc>
        <w:tc>
          <w:tcPr>
            <w:tcW w:w="1710" w:type="dxa"/>
          </w:tcPr>
          <w:p w14:paraId="2505B447" w14:textId="3A4E0A4D" w:rsidR="0095652A" w:rsidRPr="00C101CC" w:rsidRDefault="00527B7F">
            <w:pPr>
              <w:pStyle w:val="TableText"/>
              <w:rPr>
                <w:sz w:val="22"/>
                <w:szCs w:val="22"/>
                <w:lang w:val="sk-SK"/>
              </w:rPr>
            </w:pPr>
            <w:r w:rsidRPr="00C101CC">
              <w:rPr>
                <w:sz w:val="22"/>
                <w:szCs w:val="22"/>
                <w:lang w:val="sk-SK"/>
              </w:rPr>
              <w:t>h</w:t>
            </w:r>
            <w:r w:rsidR="00595638" w:rsidRPr="00C101CC">
              <w:rPr>
                <w:sz w:val="22"/>
                <w:szCs w:val="22"/>
                <w:lang w:val="sk-SK"/>
              </w:rPr>
              <w:t>epatitída, zlyhanie pečene</w:t>
            </w:r>
          </w:p>
        </w:tc>
        <w:tc>
          <w:tcPr>
            <w:tcW w:w="1440" w:type="dxa"/>
          </w:tcPr>
          <w:p w14:paraId="66E1E0E1" w14:textId="77777777" w:rsidR="0095652A" w:rsidRPr="00C101CC" w:rsidRDefault="0095652A">
            <w:pPr>
              <w:pStyle w:val="TableText"/>
              <w:rPr>
                <w:sz w:val="22"/>
                <w:szCs w:val="22"/>
                <w:lang w:val="sk-SK"/>
              </w:rPr>
            </w:pPr>
          </w:p>
        </w:tc>
      </w:tr>
      <w:tr w:rsidR="0095652A" w:rsidRPr="00C101CC" w14:paraId="35541181" w14:textId="77777777" w:rsidTr="00265BEE">
        <w:trPr>
          <w:trHeight w:val="1538"/>
          <w:jc w:val="right"/>
        </w:trPr>
        <w:tc>
          <w:tcPr>
            <w:tcW w:w="1680" w:type="dxa"/>
          </w:tcPr>
          <w:p w14:paraId="13E12C2A" w14:textId="77777777" w:rsidR="0095652A" w:rsidRPr="00C101CC" w:rsidRDefault="0095652A" w:rsidP="00C101CC">
            <w:pPr>
              <w:pStyle w:val="TableText"/>
              <w:rPr>
                <w:sz w:val="22"/>
                <w:szCs w:val="22"/>
                <w:lang w:val="sk-SK"/>
              </w:rPr>
            </w:pPr>
            <w:r w:rsidRPr="00C101CC">
              <w:rPr>
                <w:sz w:val="22"/>
                <w:szCs w:val="22"/>
                <w:lang w:val="sk-SK"/>
              </w:rPr>
              <w:t xml:space="preserve">Poruchy kože a podkožného tkaniva </w:t>
            </w:r>
          </w:p>
        </w:tc>
        <w:tc>
          <w:tcPr>
            <w:tcW w:w="1440" w:type="dxa"/>
          </w:tcPr>
          <w:p w14:paraId="406811BD" w14:textId="77777777" w:rsidR="0095652A" w:rsidRPr="00C101CC" w:rsidRDefault="0095652A">
            <w:pPr>
              <w:pStyle w:val="TableText"/>
              <w:rPr>
                <w:sz w:val="22"/>
                <w:szCs w:val="22"/>
                <w:lang w:val="sk-SK"/>
              </w:rPr>
            </w:pPr>
          </w:p>
        </w:tc>
        <w:tc>
          <w:tcPr>
            <w:tcW w:w="1700" w:type="dxa"/>
          </w:tcPr>
          <w:p w14:paraId="737D5F44" w14:textId="5EEDFBD8" w:rsidR="0095652A" w:rsidRPr="00C101CC" w:rsidRDefault="00527B7F">
            <w:pPr>
              <w:pStyle w:val="TableText"/>
              <w:rPr>
                <w:sz w:val="22"/>
                <w:szCs w:val="22"/>
                <w:lang w:val="sk-SK"/>
              </w:rPr>
            </w:pPr>
            <w:r w:rsidRPr="00C101CC">
              <w:rPr>
                <w:sz w:val="22"/>
                <w:szCs w:val="22"/>
                <w:lang w:val="sk-SK"/>
              </w:rPr>
              <w:t>a</w:t>
            </w:r>
            <w:r w:rsidR="0095652A" w:rsidRPr="00C101CC">
              <w:rPr>
                <w:sz w:val="22"/>
                <w:szCs w:val="22"/>
                <w:lang w:val="sk-SK"/>
              </w:rPr>
              <w:t xml:space="preserve">lopécia, vyrážka,  pruritus </w:t>
            </w:r>
          </w:p>
        </w:tc>
        <w:tc>
          <w:tcPr>
            <w:tcW w:w="1800" w:type="dxa"/>
          </w:tcPr>
          <w:p w14:paraId="2BBCAB37" w14:textId="6AE37F6F" w:rsidR="0095652A" w:rsidRPr="00C101CC" w:rsidRDefault="00527B7F">
            <w:pPr>
              <w:pStyle w:val="TableText"/>
              <w:rPr>
                <w:sz w:val="22"/>
                <w:szCs w:val="22"/>
                <w:lang w:val="sk-SK"/>
              </w:rPr>
            </w:pPr>
            <w:r w:rsidRPr="00C101CC">
              <w:rPr>
                <w:sz w:val="22"/>
                <w:szCs w:val="22"/>
                <w:lang w:val="sk-SK"/>
              </w:rPr>
              <w:t>a</w:t>
            </w:r>
            <w:r w:rsidR="0095652A" w:rsidRPr="00C101CC">
              <w:rPr>
                <w:sz w:val="22"/>
                <w:szCs w:val="22"/>
                <w:lang w:val="sk-SK"/>
              </w:rPr>
              <w:t xml:space="preserve">nhidróza, hypestézia tváre,  žihľavka, erytém, generalizovaný pruritus, makulárna vyrážka, zmena sfarbenia kože, alergická dermatitída, opuch tváre </w:t>
            </w:r>
          </w:p>
        </w:tc>
        <w:tc>
          <w:tcPr>
            <w:tcW w:w="1710" w:type="dxa"/>
          </w:tcPr>
          <w:p w14:paraId="00012C09" w14:textId="77777777" w:rsidR="0095652A" w:rsidRPr="00C101CC" w:rsidRDefault="0095652A">
            <w:pPr>
              <w:pStyle w:val="TableText"/>
              <w:rPr>
                <w:sz w:val="22"/>
                <w:szCs w:val="22"/>
                <w:lang w:val="sk-SK"/>
              </w:rPr>
            </w:pPr>
            <w:r w:rsidRPr="00C101CC">
              <w:rPr>
                <w:sz w:val="22"/>
                <w:szCs w:val="22"/>
                <w:lang w:val="sk-SK"/>
              </w:rPr>
              <w:t>Stevensov-Johnsonov syndróm*, multiformný erytém*, abnormálny pach kože, periorbitálny edém*, lokalizovaná žihľavka</w:t>
            </w:r>
          </w:p>
        </w:tc>
        <w:tc>
          <w:tcPr>
            <w:tcW w:w="1440" w:type="dxa"/>
          </w:tcPr>
          <w:p w14:paraId="4802FA95" w14:textId="349CA9BB" w:rsidR="0095652A" w:rsidRPr="00C101CC" w:rsidRDefault="00527B7F">
            <w:pPr>
              <w:pStyle w:val="TableText"/>
              <w:rPr>
                <w:sz w:val="22"/>
                <w:szCs w:val="22"/>
                <w:lang w:val="sk-SK"/>
              </w:rPr>
            </w:pPr>
            <w:r w:rsidRPr="00C101CC">
              <w:rPr>
                <w:sz w:val="22"/>
                <w:szCs w:val="22"/>
                <w:lang w:val="sk-SK"/>
              </w:rPr>
              <w:t>t</w:t>
            </w:r>
            <w:r w:rsidR="001C441B" w:rsidRPr="00C101CC">
              <w:rPr>
                <w:sz w:val="22"/>
                <w:szCs w:val="22"/>
                <w:lang w:val="sk-SK"/>
              </w:rPr>
              <w:t>oxická epidermál</w:t>
            </w:r>
            <w:r w:rsidR="0095652A" w:rsidRPr="00C101CC">
              <w:rPr>
                <w:sz w:val="22"/>
                <w:szCs w:val="22"/>
                <w:lang w:val="sk-SK"/>
              </w:rPr>
              <w:t>na nekrolýza*</w:t>
            </w:r>
          </w:p>
        </w:tc>
      </w:tr>
      <w:tr w:rsidR="0095652A" w:rsidRPr="00C101CC" w14:paraId="6824A154" w14:textId="77777777" w:rsidTr="00265BEE">
        <w:trPr>
          <w:jc w:val="right"/>
        </w:trPr>
        <w:tc>
          <w:tcPr>
            <w:tcW w:w="1680" w:type="dxa"/>
          </w:tcPr>
          <w:p w14:paraId="75304E5D" w14:textId="77777777" w:rsidR="0095652A" w:rsidRPr="00C101CC" w:rsidRDefault="0095652A" w:rsidP="00C101CC">
            <w:pPr>
              <w:pStyle w:val="TableText"/>
              <w:rPr>
                <w:sz w:val="22"/>
                <w:szCs w:val="22"/>
                <w:lang w:val="sk-SK"/>
              </w:rPr>
            </w:pPr>
            <w:r w:rsidRPr="00C101CC">
              <w:rPr>
                <w:sz w:val="22"/>
                <w:szCs w:val="22"/>
                <w:lang w:val="sk-SK"/>
              </w:rPr>
              <w:t>Poruchy kostrovej a svalovej sústavy a spojivového tkaniva</w:t>
            </w:r>
          </w:p>
        </w:tc>
        <w:tc>
          <w:tcPr>
            <w:tcW w:w="1440" w:type="dxa"/>
          </w:tcPr>
          <w:p w14:paraId="593B3115" w14:textId="77777777" w:rsidR="0095652A" w:rsidRPr="00C101CC" w:rsidRDefault="0095652A">
            <w:pPr>
              <w:pStyle w:val="TableText"/>
              <w:rPr>
                <w:sz w:val="22"/>
                <w:szCs w:val="22"/>
                <w:lang w:val="sk-SK"/>
              </w:rPr>
            </w:pPr>
          </w:p>
        </w:tc>
        <w:tc>
          <w:tcPr>
            <w:tcW w:w="1700" w:type="dxa"/>
          </w:tcPr>
          <w:p w14:paraId="4ED6D0AA" w14:textId="79282DB1" w:rsidR="0095652A" w:rsidRPr="00C101CC" w:rsidRDefault="00527B7F">
            <w:pPr>
              <w:pStyle w:val="TableText"/>
              <w:rPr>
                <w:sz w:val="22"/>
                <w:szCs w:val="22"/>
                <w:lang w:val="sk-SK"/>
              </w:rPr>
            </w:pPr>
            <w:r w:rsidRPr="00C101CC">
              <w:rPr>
                <w:sz w:val="22"/>
                <w:szCs w:val="22"/>
                <w:lang w:val="sk-SK"/>
              </w:rPr>
              <w:t>a</w:t>
            </w:r>
            <w:r w:rsidR="0095652A" w:rsidRPr="00C101CC">
              <w:rPr>
                <w:sz w:val="22"/>
                <w:szCs w:val="22"/>
                <w:lang w:val="sk-SK"/>
              </w:rPr>
              <w:t xml:space="preserve">rtralgia, svalové kŕče, myalgia zášklby svalov, svalová slabosť, muskuloskele-tálna bolesť na hrudi </w:t>
            </w:r>
          </w:p>
        </w:tc>
        <w:tc>
          <w:tcPr>
            <w:tcW w:w="1800" w:type="dxa"/>
          </w:tcPr>
          <w:p w14:paraId="220FE207" w14:textId="0A7D7478" w:rsidR="0095652A" w:rsidRPr="00C101CC" w:rsidRDefault="00527B7F">
            <w:pPr>
              <w:pStyle w:val="TableText"/>
              <w:rPr>
                <w:sz w:val="22"/>
                <w:szCs w:val="22"/>
                <w:lang w:val="sk-SK"/>
              </w:rPr>
            </w:pPr>
            <w:r w:rsidRPr="00C101CC">
              <w:rPr>
                <w:sz w:val="22"/>
                <w:szCs w:val="22"/>
                <w:lang w:val="sk-SK"/>
              </w:rPr>
              <w:t>o</w:t>
            </w:r>
            <w:r w:rsidR="001C441B" w:rsidRPr="00C101CC">
              <w:rPr>
                <w:sz w:val="22"/>
                <w:szCs w:val="22"/>
                <w:lang w:val="sk-SK"/>
              </w:rPr>
              <w:t>puch kĺbov*, muskuloskeletál</w:t>
            </w:r>
            <w:r w:rsidR="008D397A" w:rsidRPr="00C101CC">
              <w:rPr>
                <w:sz w:val="22"/>
                <w:szCs w:val="22"/>
                <w:lang w:val="sk-SK"/>
              </w:rPr>
              <w:t>-</w:t>
            </w:r>
            <w:r w:rsidR="0095652A" w:rsidRPr="00C101CC">
              <w:rPr>
                <w:sz w:val="22"/>
                <w:szCs w:val="22"/>
                <w:lang w:val="sk-SK"/>
              </w:rPr>
              <w:t>na strnulosť, bolesť v</w:t>
            </w:r>
            <w:r w:rsidR="001C441B" w:rsidRPr="00C101CC">
              <w:rPr>
                <w:sz w:val="22"/>
                <w:szCs w:val="22"/>
                <w:lang w:val="sk-SK"/>
              </w:rPr>
              <w:t> </w:t>
            </w:r>
            <w:r w:rsidR="0095652A" w:rsidRPr="00C101CC">
              <w:rPr>
                <w:sz w:val="22"/>
                <w:szCs w:val="22"/>
                <w:lang w:val="sk-SK"/>
              </w:rPr>
              <w:t xml:space="preserve">boku, svalová únava </w:t>
            </w:r>
          </w:p>
        </w:tc>
        <w:tc>
          <w:tcPr>
            <w:tcW w:w="1710" w:type="dxa"/>
          </w:tcPr>
          <w:p w14:paraId="565ED8F8" w14:textId="323B5429" w:rsidR="0095652A" w:rsidRPr="00C101CC" w:rsidRDefault="00527B7F">
            <w:pPr>
              <w:pStyle w:val="TableText"/>
              <w:rPr>
                <w:sz w:val="22"/>
                <w:szCs w:val="22"/>
                <w:lang w:val="sk-SK"/>
              </w:rPr>
            </w:pPr>
            <w:r w:rsidRPr="00C101CC">
              <w:rPr>
                <w:sz w:val="22"/>
                <w:szCs w:val="22"/>
                <w:lang w:val="sk-SK"/>
              </w:rPr>
              <w:t>b</w:t>
            </w:r>
            <w:r w:rsidR="0095652A" w:rsidRPr="00C101CC">
              <w:rPr>
                <w:sz w:val="22"/>
                <w:szCs w:val="22"/>
                <w:lang w:val="sk-SK"/>
              </w:rPr>
              <w:t>olesť končatín*</w:t>
            </w:r>
          </w:p>
        </w:tc>
        <w:tc>
          <w:tcPr>
            <w:tcW w:w="1440" w:type="dxa"/>
          </w:tcPr>
          <w:p w14:paraId="0FB6854D" w14:textId="77777777" w:rsidR="0095652A" w:rsidRPr="00C101CC" w:rsidRDefault="0095652A">
            <w:pPr>
              <w:pStyle w:val="TableText"/>
              <w:rPr>
                <w:sz w:val="22"/>
                <w:szCs w:val="22"/>
                <w:lang w:val="sk-SK"/>
              </w:rPr>
            </w:pPr>
          </w:p>
        </w:tc>
      </w:tr>
      <w:tr w:rsidR="0095652A" w:rsidRPr="00C101CC" w14:paraId="2319FC5B" w14:textId="77777777" w:rsidTr="00265BEE">
        <w:trPr>
          <w:jc w:val="right"/>
        </w:trPr>
        <w:tc>
          <w:tcPr>
            <w:tcW w:w="1680" w:type="dxa"/>
          </w:tcPr>
          <w:p w14:paraId="604E02DB" w14:textId="77777777" w:rsidR="0095652A" w:rsidRPr="00C101CC" w:rsidRDefault="0095652A" w:rsidP="00C101CC">
            <w:pPr>
              <w:pStyle w:val="TableText"/>
              <w:rPr>
                <w:sz w:val="22"/>
                <w:szCs w:val="22"/>
                <w:lang w:val="sk-SK"/>
              </w:rPr>
            </w:pPr>
            <w:r w:rsidRPr="00C101CC">
              <w:rPr>
                <w:sz w:val="22"/>
                <w:szCs w:val="22"/>
                <w:lang w:val="sk-SK"/>
              </w:rPr>
              <w:t>Poruchy obličiek a močových ciest</w:t>
            </w:r>
          </w:p>
        </w:tc>
        <w:tc>
          <w:tcPr>
            <w:tcW w:w="1440" w:type="dxa"/>
          </w:tcPr>
          <w:p w14:paraId="2BD0889E" w14:textId="77777777" w:rsidR="0095652A" w:rsidRPr="00C101CC" w:rsidRDefault="0095652A">
            <w:pPr>
              <w:pStyle w:val="TableText"/>
              <w:rPr>
                <w:sz w:val="22"/>
                <w:szCs w:val="22"/>
                <w:lang w:val="sk-SK"/>
              </w:rPr>
            </w:pPr>
          </w:p>
        </w:tc>
        <w:tc>
          <w:tcPr>
            <w:tcW w:w="1700" w:type="dxa"/>
          </w:tcPr>
          <w:p w14:paraId="7A15CEF1" w14:textId="02299285" w:rsidR="0095652A" w:rsidRPr="00C101CC" w:rsidRDefault="00527B7F">
            <w:pPr>
              <w:pStyle w:val="TableText"/>
              <w:rPr>
                <w:sz w:val="22"/>
                <w:szCs w:val="22"/>
                <w:lang w:val="sk-SK"/>
              </w:rPr>
            </w:pPr>
            <w:r w:rsidRPr="00C101CC">
              <w:rPr>
                <w:sz w:val="22"/>
                <w:szCs w:val="22"/>
                <w:lang w:val="sk-SK"/>
              </w:rPr>
              <w:t>n</w:t>
            </w:r>
            <w:r w:rsidR="0095652A" w:rsidRPr="00C101CC">
              <w:rPr>
                <w:sz w:val="22"/>
                <w:szCs w:val="22"/>
                <w:lang w:val="sk-SK"/>
              </w:rPr>
              <w:t>efrolitiáza, polakizúria</w:t>
            </w:r>
            <w:r w:rsidR="006B7F2E" w:rsidRPr="00C101CC">
              <w:rPr>
                <w:sz w:val="22"/>
                <w:szCs w:val="22"/>
                <w:lang w:val="sk-SK"/>
              </w:rPr>
              <w:t>,</w:t>
            </w:r>
            <w:r w:rsidR="0095652A" w:rsidRPr="00C101CC">
              <w:rPr>
                <w:sz w:val="22"/>
                <w:szCs w:val="22"/>
                <w:lang w:val="sk-SK"/>
              </w:rPr>
              <w:t xml:space="preserve"> dyzúria</w:t>
            </w:r>
            <w:r w:rsidR="006B7F2E" w:rsidRPr="00C101CC">
              <w:rPr>
                <w:sz w:val="22"/>
                <w:szCs w:val="22"/>
                <w:lang w:val="sk-SK"/>
              </w:rPr>
              <w:t>, nefrokalcinóza*</w:t>
            </w:r>
            <w:r w:rsidR="0095652A" w:rsidRPr="00C101CC">
              <w:rPr>
                <w:sz w:val="22"/>
                <w:szCs w:val="22"/>
                <w:lang w:val="sk-SK"/>
              </w:rPr>
              <w:t xml:space="preserve"> </w:t>
            </w:r>
          </w:p>
        </w:tc>
        <w:tc>
          <w:tcPr>
            <w:tcW w:w="1800" w:type="dxa"/>
          </w:tcPr>
          <w:p w14:paraId="31B0E093" w14:textId="2CA9D47A" w:rsidR="0095652A" w:rsidRPr="00C101CC" w:rsidRDefault="00527B7F">
            <w:pPr>
              <w:pStyle w:val="TableText"/>
              <w:rPr>
                <w:sz w:val="22"/>
                <w:szCs w:val="22"/>
                <w:lang w:val="sk-SK"/>
              </w:rPr>
            </w:pPr>
            <w:r w:rsidRPr="00C101CC">
              <w:rPr>
                <w:sz w:val="22"/>
                <w:szCs w:val="22"/>
                <w:lang w:val="sk-SK"/>
              </w:rPr>
              <w:t>m</w:t>
            </w:r>
            <w:r w:rsidR="0095652A" w:rsidRPr="00C101CC">
              <w:rPr>
                <w:sz w:val="22"/>
                <w:szCs w:val="22"/>
                <w:lang w:val="sk-SK"/>
              </w:rPr>
              <w:t xml:space="preserve">očové kamene, inkontinencia moču, hematúria, inkontinencia, nutkanie na močenie, renálna kolika, bolesť obličiek </w:t>
            </w:r>
          </w:p>
        </w:tc>
        <w:tc>
          <w:tcPr>
            <w:tcW w:w="1710" w:type="dxa"/>
          </w:tcPr>
          <w:p w14:paraId="69A425F7" w14:textId="0A492989" w:rsidR="0095652A" w:rsidRPr="00C101CC" w:rsidRDefault="00527B7F">
            <w:pPr>
              <w:pStyle w:val="TableText"/>
              <w:rPr>
                <w:sz w:val="22"/>
                <w:szCs w:val="22"/>
                <w:lang w:val="sk-SK"/>
              </w:rPr>
            </w:pPr>
            <w:r w:rsidRPr="00C101CC">
              <w:rPr>
                <w:sz w:val="22"/>
                <w:szCs w:val="22"/>
                <w:lang w:val="sk-SK"/>
              </w:rPr>
              <w:t>u</w:t>
            </w:r>
            <w:r w:rsidR="0095652A" w:rsidRPr="00C101CC">
              <w:rPr>
                <w:sz w:val="22"/>
                <w:szCs w:val="22"/>
                <w:lang w:val="sk-SK"/>
              </w:rPr>
              <w:t>reterálne kamene, renálna tubulárna acidóza*</w:t>
            </w:r>
          </w:p>
        </w:tc>
        <w:tc>
          <w:tcPr>
            <w:tcW w:w="1440" w:type="dxa"/>
          </w:tcPr>
          <w:p w14:paraId="59516845" w14:textId="77777777" w:rsidR="0095652A" w:rsidRPr="00C101CC" w:rsidRDefault="0095652A">
            <w:pPr>
              <w:pStyle w:val="TableText"/>
              <w:rPr>
                <w:sz w:val="22"/>
                <w:szCs w:val="22"/>
                <w:lang w:val="sk-SK"/>
              </w:rPr>
            </w:pPr>
          </w:p>
        </w:tc>
      </w:tr>
      <w:tr w:rsidR="0095652A" w:rsidRPr="00C101CC" w14:paraId="45F8ACCA" w14:textId="77777777" w:rsidTr="00265BEE">
        <w:trPr>
          <w:jc w:val="right"/>
        </w:trPr>
        <w:tc>
          <w:tcPr>
            <w:tcW w:w="1680" w:type="dxa"/>
          </w:tcPr>
          <w:p w14:paraId="36F2E801" w14:textId="77777777" w:rsidR="0095652A" w:rsidRPr="00C101CC" w:rsidRDefault="0095652A" w:rsidP="00C101CC">
            <w:pPr>
              <w:pStyle w:val="TableText"/>
              <w:rPr>
                <w:sz w:val="22"/>
                <w:szCs w:val="22"/>
                <w:lang w:val="sk-SK"/>
              </w:rPr>
            </w:pPr>
            <w:r w:rsidRPr="00C101CC">
              <w:rPr>
                <w:sz w:val="22"/>
                <w:szCs w:val="22"/>
                <w:lang w:val="sk-SK"/>
              </w:rPr>
              <w:t>Poruchy reprodukčného systému a prsníkov</w:t>
            </w:r>
          </w:p>
        </w:tc>
        <w:tc>
          <w:tcPr>
            <w:tcW w:w="1440" w:type="dxa"/>
          </w:tcPr>
          <w:p w14:paraId="1FBB4A01" w14:textId="77777777" w:rsidR="0095652A" w:rsidRPr="00C101CC" w:rsidRDefault="0095652A">
            <w:pPr>
              <w:pStyle w:val="TableText"/>
              <w:rPr>
                <w:sz w:val="22"/>
                <w:szCs w:val="22"/>
                <w:lang w:val="sk-SK"/>
              </w:rPr>
            </w:pPr>
          </w:p>
        </w:tc>
        <w:tc>
          <w:tcPr>
            <w:tcW w:w="1700" w:type="dxa"/>
          </w:tcPr>
          <w:p w14:paraId="6F12C175" w14:textId="77777777" w:rsidR="0095652A" w:rsidRPr="00C101CC" w:rsidRDefault="0095652A">
            <w:pPr>
              <w:pStyle w:val="TableText"/>
              <w:rPr>
                <w:sz w:val="22"/>
                <w:szCs w:val="22"/>
                <w:lang w:val="sk-SK"/>
              </w:rPr>
            </w:pPr>
          </w:p>
        </w:tc>
        <w:tc>
          <w:tcPr>
            <w:tcW w:w="1800" w:type="dxa"/>
          </w:tcPr>
          <w:p w14:paraId="3D948F14" w14:textId="33CB1EBF" w:rsidR="0095652A" w:rsidRPr="00C101CC" w:rsidRDefault="00527B7F">
            <w:pPr>
              <w:pStyle w:val="TableText"/>
              <w:rPr>
                <w:sz w:val="22"/>
                <w:szCs w:val="22"/>
                <w:lang w:val="sk-SK"/>
              </w:rPr>
            </w:pPr>
            <w:r w:rsidRPr="00C101CC">
              <w:rPr>
                <w:sz w:val="22"/>
                <w:szCs w:val="22"/>
                <w:lang w:val="sk-SK"/>
              </w:rPr>
              <w:t>e</w:t>
            </w:r>
            <w:r w:rsidR="0095652A" w:rsidRPr="00C101CC">
              <w:rPr>
                <w:sz w:val="22"/>
                <w:szCs w:val="22"/>
                <w:lang w:val="sk-SK"/>
              </w:rPr>
              <w:t>rektilná dysfunkcia, sexuálna dysfunkcia</w:t>
            </w:r>
          </w:p>
        </w:tc>
        <w:tc>
          <w:tcPr>
            <w:tcW w:w="1710" w:type="dxa"/>
          </w:tcPr>
          <w:p w14:paraId="0741C990" w14:textId="77777777" w:rsidR="0095652A" w:rsidRPr="00C101CC" w:rsidRDefault="0095652A">
            <w:pPr>
              <w:pStyle w:val="TableText"/>
              <w:rPr>
                <w:sz w:val="22"/>
                <w:szCs w:val="22"/>
                <w:lang w:val="sk-SK"/>
              </w:rPr>
            </w:pPr>
          </w:p>
        </w:tc>
        <w:tc>
          <w:tcPr>
            <w:tcW w:w="1440" w:type="dxa"/>
          </w:tcPr>
          <w:p w14:paraId="01DE3DE2" w14:textId="77777777" w:rsidR="0095652A" w:rsidRPr="00C101CC" w:rsidRDefault="0095652A">
            <w:pPr>
              <w:pStyle w:val="TableText"/>
              <w:rPr>
                <w:sz w:val="22"/>
                <w:szCs w:val="22"/>
                <w:lang w:val="sk-SK"/>
              </w:rPr>
            </w:pPr>
          </w:p>
        </w:tc>
      </w:tr>
      <w:tr w:rsidR="0095652A" w:rsidRPr="00C101CC" w14:paraId="364919F9" w14:textId="77777777" w:rsidTr="00265BEE">
        <w:trPr>
          <w:trHeight w:val="425"/>
          <w:jc w:val="right"/>
        </w:trPr>
        <w:tc>
          <w:tcPr>
            <w:tcW w:w="1680" w:type="dxa"/>
          </w:tcPr>
          <w:p w14:paraId="7009A93C" w14:textId="77777777" w:rsidR="0095652A" w:rsidRPr="00C101CC" w:rsidRDefault="0095652A" w:rsidP="00C101CC">
            <w:pPr>
              <w:pStyle w:val="TableText"/>
              <w:rPr>
                <w:sz w:val="22"/>
                <w:szCs w:val="22"/>
                <w:lang w:val="sk-SK"/>
              </w:rPr>
            </w:pPr>
            <w:r w:rsidRPr="00C101CC">
              <w:rPr>
                <w:sz w:val="22"/>
                <w:szCs w:val="22"/>
                <w:lang w:val="sk-SK"/>
              </w:rPr>
              <w:t>Celkové poruchy a reakcie v mieste podania</w:t>
            </w:r>
          </w:p>
        </w:tc>
        <w:tc>
          <w:tcPr>
            <w:tcW w:w="1440" w:type="dxa"/>
          </w:tcPr>
          <w:p w14:paraId="3DAE4A33" w14:textId="12676526" w:rsidR="0095652A" w:rsidRPr="00C101CC" w:rsidRDefault="00527B7F">
            <w:pPr>
              <w:pStyle w:val="TableText"/>
              <w:rPr>
                <w:sz w:val="22"/>
                <w:szCs w:val="22"/>
                <w:lang w:val="sk-SK"/>
              </w:rPr>
            </w:pPr>
            <w:r w:rsidRPr="00C101CC">
              <w:rPr>
                <w:sz w:val="22"/>
                <w:szCs w:val="22"/>
                <w:lang w:val="sk-SK"/>
              </w:rPr>
              <w:t>ú</w:t>
            </w:r>
            <w:r w:rsidR="0095652A" w:rsidRPr="00C101CC">
              <w:rPr>
                <w:sz w:val="22"/>
                <w:szCs w:val="22"/>
                <w:lang w:val="sk-SK"/>
              </w:rPr>
              <w:t>nava</w:t>
            </w:r>
          </w:p>
        </w:tc>
        <w:tc>
          <w:tcPr>
            <w:tcW w:w="1700" w:type="dxa"/>
          </w:tcPr>
          <w:p w14:paraId="6261537A" w14:textId="23A01B87" w:rsidR="0095652A" w:rsidRPr="00C101CC" w:rsidRDefault="00527B7F">
            <w:pPr>
              <w:pStyle w:val="TableText"/>
              <w:rPr>
                <w:sz w:val="22"/>
                <w:szCs w:val="22"/>
                <w:lang w:val="sk-SK"/>
              </w:rPr>
            </w:pPr>
            <w:r w:rsidRPr="00C101CC">
              <w:rPr>
                <w:sz w:val="22"/>
                <w:szCs w:val="22"/>
                <w:lang w:val="sk-SK"/>
              </w:rPr>
              <w:t>p</w:t>
            </w:r>
            <w:r w:rsidR="0095652A" w:rsidRPr="00C101CC">
              <w:rPr>
                <w:sz w:val="22"/>
                <w:szCs w:val="22"/>
                <w:lang w:val="sk-SK"/>
              </w:rPr>
              <w:t xml:space="preserve">yrexia,  asténia, podráždenosť, porucha chôdze, abnormálny  pocit, nevoľnosť </w:t>
            </w:r>
          </w:p>
        </w:tc>
        <w:tc>
          <w:tcPr>
            <w:tcW w:w="1800" w:type="dxa"/>
          </w:tcPr>
          <w:p w14:paraId="4ACC5E10" w14:textId="504CD0C6" w:rsidR="0095652A" w:rsidRPr="00C101CC" w:rsidRDefault="00527B7F">
            <w:pPr>
              <w:pStyle w:val="TableText"/>
              <w:rPr>
                <w:sz w:val="22"/>
                <w:szCs w:val="22"/>
                <w:lang w:val="sk-SK"/>
              </w:rPr>
            </w:pPr>
            <w:r w:rsidRPr="00C101CC">
              <w:rPr>
                <w:sz w:val="22"/>
                <w:szCs w:val="22"/>
                <w:lang w:val="sk-SK"/>
              </w:rPr>
              <w:t>h</w:t>
            </w:r>
            <w:r w:rsidR="0095652A" w:rsidRPr="00C101CC">
              <w:rPr>
                <w:sz w:val="22"/>
                <w:szCs w:val="22"/>
                <w:lang w:val="sk-SK"/>
              </w:rPr>
              <w:t xml:space="preserve">ypertermia, smäd, ochorenie podobné chrípke*, pomalosť, periférny chlad, pocit opitosti, pocit nervozity </w:t>
            </w:r>
          </w:p>
        </w:tc>
        <w:tc>
          <w:tcPr>
            <w:tcW w:w="1710" w:type="dxa"/>
          </w:tcPr>
          <w:p w14:paraId="1D41777D" w14:textId="3DEBD933" w:rsidR="0095652A" w:rsidRPr="00C101CC" w:rsidRDefault="00527B7F">
            <w:pPr>
              <w:pStyle w:val="TableText"/>
              <w:rPr>
                <w:sz w:val="22"/>
                <w:szCs w:val="22"/>
                <w:lang w:val="sk-SK"/>
              </w:rPr>
            </w:pPr>
            <w:r w:rsidRPr="00C101CC">
              <w:rPr>
                <w:sz w:val="22"/>
                <w:szCs w:val="22"/>
                <w:lang w:val="sk-SK"/>
              </w:rPr>
              <w:t>e</w:t>
            </w:r>
            <w:r w:rsidR="0095652A" w:rsidRPr="00C101CC">
              <w:rPr>
                <w:sz w:val="22"/>
                <w:szCs w:val="22"/>
                <w:lang w:val="sk-SK"/>
              </w:rPr>
              <w:t>dém tváre</w:t>
            </w:r>
          </w:p>
        </w:tc>
        <w:tc>
          <w:tcPr>
            <w:tcW w:w="1440" w:type="dxa"/>
          </w:tcPr>
          <w:p w14:paraId="7391AA8F" w14:textId="77777777" w:rsidR="0095652A" w:rsidRPr="00C101CC" w:rsidRDefault="0095652A">
            <w:pPr>
              <w:pStyle w:val="TableText"/>
              <w:rPr>
                <w:sz w:val="22"/>
                <w:szCs w:val="22"/>
                <w:lang w:val="sk-SK"/>
              </w:rPr>
            </w:pPr>
          </w:p>
        </w:tc>
      </w:tr>
      <w:tr w:rsidR="0095652A" w:rsidRPr="00C101CC" w14:paraId="6744D864" w14:textId="77777777" w:rsidTr="00265BEE">
        <w:trPr>
          <w:trHeight w:val="425"/>
          <w:jc w:val="right"/>
        </w:trPr>
        <w:tc>
          <w:tcPr>
            <w:tcW w:w="1680" w:type="dxa"/>
          </w:tcPr>
          <w:p w14:paraId="2D764032" w14:textId="77777777" w:rsidR="0095652A" w:rsidRPr="00C101CC" w:rsidRDefault="0095652A" w:rsidP="00C101CC">
            <w:pPr>
              <w:pStyle w:val="TableText"/>
              <w:rPr>
                <w:sz w:val="22"/>
                <w:szCs w:val="22"/>
                <w:lang w:val="sk-SK"/>
              </w:rPr>
            </w:pPr>
            <w:r w:rsidRPr="00C101CC">
              <w:rPr>
                <w:sz w:val="22"/>
                <w:szCs w:val="22"/>
                <w:lang w:val="sk-SK"/>
              </w:rPr>
              <w:t>Laboratórne a funkčné vyšetrenia</w:t>
            </w:r>
          </w:p>
        </w:tc>
        <w:tc>
          <w:tcPr>
            <w:tcW w:w="1440" w:type="dxa"/>
          </w:tcPr>
          <w:p w14:paraId="2C8996BB" w14:textId="1BF85B50" w:rsidR="0095652A" w:rsidRPr="00C101CC" w:rsidRDefault="00527B7F">
            <w:pPr>
              <w:pStyle w:val="TableText"/>
              <w:rPr>
                <w:sz w:val="22"/>
                <w:szCs w:val="22"/>
                <w:lang w:val="sk-SK"/>
              </w:rPr>
            </w:pPr>
            <w:r w:rsidRPr="00C101CC">
              <w:rPr>
                <w:sz w:val="22"/>
                <w:szCs w:val="22"/>
                <w:lang w:val="sk-SK"/>
              </w:rPr>
              <w:t>ú</w:t>
            </w:r>
            <w:r w:rsidR="0095652A" w:rsidRPr="00C101CC">
              <w:rPr>
                <w:sz w:val="22"/>
                <w:szCs w:val="22"/>
                <w:lang w:val="sk-SK"/>
              </w:rPr>
              <w:t>bytok hmotnosti</w:t>
            </w:r>
          </w:p>
        </w:tc>
        <w:tc>
          <w:tcPr>
            <w:tcW w:w="1700" w:type="dxa"/>
          </w:tcPr>
          <w:p w14:paraId="3568523C" w14:textId="21D3C11D" w:rsidR="0095652A" w:rsidRPr="00C101CC" w:rsidRDefault="00527B7F">
            <w:pPr>
              <w:pStyle w:val="TableText"/>
              <w:rPr>
                <w:sz w:val="22"/>
                <w:szCs w:val="22"/>
                <w:lang w:val="sk-SK"/>
              </w:rPr>
            </w:pPr>
            <w:r w:rsidRPr="00C101CC">
              <w:rPr>
                <w:sz w:val="22"/>
                <w:szCs w:val="22"/>
                <w:lang w:val="sk-SK"/>
              </w:rPr>
              <w:t>n</w:t>
            </w:r>
            <w:r w:rsidR="0095652A" w:rsidRPr="00C101CC">
              <w:rPr>
                <w:sz w:val="22"/>
                <w:szCs w:val="22"/>
                <w:lang w:val="sk-SK"/>
              </w:rPr>
              <w:t>árast hmotnosti*</w:t>
            </w:r>
          </w:p>
        </w:tc>
        <w:tc>
          <w:tcPr>
            <w:tcW w:w="1800" w:type="dxa"/>
          </w:tcPr>
          <w:p w14:paraId="7E279A84" w14:textId="53A44017" w:rsidR="0095652A" w:rsidRPr="00C101CC" w:rsidRDefault="00527B7F">
            <w:pPr>
              <w:pStyle w:val="TableText"/>
              <w:rPr>
                <w:sz w:val="22"/>
                <w:szCs w:val="22"/>
                <w:lang w:val="sk-SK"/>
              </w:rPr>
            </w:pPr>
            <w:r w:rsidRPr="00C101CC">
              <w:rPr>
                <w:sz w:val="22"/>
                <w:szCs w:val="22"/>
                <w:lang w:val="sk-SK"/>
              </w:rPr>
              <w:t>p</w:t>
            </w:r>
            <w:r w:rsidR="0095652A" w:rsidRPr="00C101CC">
              <w:rPr>
                <w:sz w:val="22"/>
                <w:szCs w:val="22"/>
                <w:lang w:val="sk-SK"/>
              </w:rPr>
              <w:t xml:space="preserve">rítomnosť kryštálov v moči, abnormálny test chôdze po čiare, pokles množstva bielych krviniek, </w:t>
            </w:r>
            <w:r w:rsidR="00192543" w:rsidRPr="00C101CC">
              <w:rPr>
                <w:sz w:val="22"/>
                <w:szCs w:val="22"/>
                <w:lang w:val="sk-SK"/>
              </w:rPr>
              <w:t>z</w:t>
            </w:r>
            <w:r w:rsidR="0095652A" w:rsidRPr="00C101CC">
              <w:rPr>
                <w:sz w:val="22"/>
                <w:szCs w:val="22"/>
                <w:lang w:val="sk-SK"/>
              </w:rPr>
              <w:t>výšenie hladiny pečeňových enzýmov</w:t>
            </w:r>
          </w:p>
        </w:tc>
        <w:tc>
          <w:tcPr>
            <w:tcW w:w="1710" w:type="dxa"/>
          </w:tcPr>
          <w:p w14:paraId="505FA82C" w14:textId="5F3B81EE" w:rsidR="0095652A" w:rsidRPr="00C101CC" w:rsidRDefault="00527B7F">
            <w:pPr>
              <w:pStyle w:val="TableText"/>
              <w:rPr>
                <w:sz w:val="22"/>
                <w:szCs w:val="22"/>
                <w:lang w:val="sk-SK"/>
              </w:rPr>
            </w:pPr>
            <w:r w:rsidRPr="00C101CC">
              <w:rPr>
                <w:sz w:val="22"/>
                <w:szCs w:val="22"/>
                <w:lang w:val="sk-SK"/>
              </w:rPr>
              <w:t>z</w:t>
            </w:r>
            <w:r w:rsidR="0095652A" w:rsidRPr="00C101CC">
              <w:rPr>
                <w:sz w:val="22"/>
                <w:szCs w:val="22"/>
                <w:lang w:val="sk-SK"/>
              </w:rPr>
              <w:t>níženie hladiny bikarbonátu v krvi</w:t>
            </w:r>
          </w:p>
        </w:tc>
        <w:tc>
          <w:tcPr>
            <w:tcW w:w="1440" w:type="dxa"/>
          </w:tcPr>
          <w:p w14:paraId="00C38152" w14:textId="77777777" w:rsidR="0095652A" w:rsidRPr="00C101CC" w:rsidRDefault="0095652A">
            <w:pPr>
              <w:pStyle w:val="TableText"/>
              <w:rPr>
                <w:sz w:val="22"/>
                <w:szCs w:val="22"/>
                <w:lang w:val="sk-SK"/>
              </w:rPr>
            </w:pPr>
          </w:p>
        </w:tc>
      </w:tr>
      <w:tr w:rsidR="0095652A" w:rsidRPr="00C101CC" w14:paraId="08872A98" w14:textId="77777777" w:rsidTr="00265BEE">
        <w:trPr>
          <w:jc w:val="right"/>
        </w:trPr>
        <w:tc>
          <w:tcPr>
            <w:tcW w:w="1680" w:type="dxa"/>
            <w:tcBorders>
              <w:bottom w:val="single" w:sz="4" w:space="0" w:color="auto"/>
            </w:tcBorders>
          </w:tcPr>
          <w:p w14:paraId="572E579C" w14:textId="77777777" w:rsidR="0095652A" w:rsidRPr="00C101CC" w:rsidRDefault="0095652A" w:rsidP="00C101CC">
            <w:pPr>
              <w:pStyle w:val="TableText"/>
              <w:rPr>
                <w:sz w:val="22"/>
                <w:szCs w:val="22"/>
                <w:lang w:val="sk-SK"/>
              </w:rPr>
            </w:pPr>
            <w:r w:rsidRPr="00C101CC">
              <w:rPr>
                <w:sz w:val="22"/>
                <w:szCs w:val="22"/>
                <w:lang w:val="sk-SK"/>
              </w:rPr>
              <w:t>Sociálne podmienky</w:t>
            </w:r>
          </w:p>
        </w:tc>
        <w:tc>
          <w:tcPr>
            <w:tcW w:w="1440" w:type="dxa"/>
            <w:tcBorders>
              <w:bottom w:val="single" w:sz="4" w:space="0" w:color="auto"/>
            </w:tcBorders>
          </w:tcPr>
          <w:p w14:paraId="27E3D477" w14:textId="77777777" w:rsidR="0095652A" w:rsidRPr="00C101CC" w:rsidRDefault="0095652A">
            <w:pPr>
              <w:pStyle w:val="TableText"/>
              <w:rPr>
                <w:sz w:val="22"/>
                <w:szCs w:val="22"/>
                <w:lang w:val="sk-SK"/>
              </w:rPr>
            </w:pPr>
          </w:p>
        </w:tc>
        <w:tc>
          <w:tcPr>
            <w:tcW w:w="1700" w:type="dxa"/>
            <w:tcBorders>
              <w:bottom w:val="single" w:sz="4" w:space="0" w:color="auto"/>
            </w:tcBorders>
          </w:tcPr>
          <w:p w14:paraId="6A5A9612" w14:textId="77777777" w:rsidR="0095652A" w:rsidRPr="00C101CC" w:rsidRDefault="0095652A">
            <w:pPr>
              <w:pStyle w:val="TableText"/>
              <w:rPr>
                <w:sz w:val="22"/>
                <w:szCs w:val="22"/>
                <w:lang w:val="sk-SK"/>
              </w:rPr>
            </w:pPr>
          </w:p>
        </w:tc>
        <w:tc>
          <w:tcPr>
            <w:tcW w:w="1800" w:type="dxa"/>
            <w:tcBorders>
              <w:bottom w:val="single" w:sz="4" w:space="0" w:color="auto"/>
            </w:tcBorders>
          </w:tcPr>
          <w:p w14:paraId="303C1D43" w14:textId="08F45D8F" w:rsidR="0095652A" w:rsidRPr="00C101CC" w:rsidRDefault="00527B7F">
            <w:pPr>
              <w:pStyle w:val="TableText"/>
              <w:rPr>
                <w:sz w:val="22"/>
                <w:szCs w:val="22"/>
                <w:lang w:val="sk-SK"/>
              </w:rPr>
            </w:pPr>
            <w:r w:rsidRPr="00C101CC">
              <w:rPr>
                <w:sz w:val="22"/>
                <w:szCs w:val="22"/>
                <w:lang w:val="sk-SK"/>
              </w:rPr>
              <w:t>n</w:t>
            </w:r>
            <w:r w:rsidR="0095652A" w:rsidRPr="00C101CC">
              <w:rPr>
                <w:sz w:val="22"/>
                <w:szCs w:val="22"/>
                <w:lang w:val="sk-SK"/>
              </w:rPr>
              <w:t>eschopnosť učiť sa</w:t>
            </w:r>
          </w:p>
        </w:tc>
        <w:tc>
          <w:tcPr>
            <w:tcW w:w="1710" w:type="dxa"/>
            <w:tcBorders>
              <w:bottom w:val="single" w:sz="4" w:space="0" w:color="auto"/>
            </w:tcBorders>
          </w:tcPr>
          <w:p w14:paraId="0D3B5C53" w14:textId="77777777" w:rsidR="0095652A" w:rsidRPr="00C101CC" w:rsidRDefault="0095652A">
            <w:pPr>
              <w:pStyle w:val="TableText"/>
              <w:rPr>
                <w:sz w:val="22"/>
                <w:szCs w:val="22"/>
                <w:lang w:val="sk-SK"/>
              </w:rPr>
            </w:pPr>
          </w:p>
        </w:tc>
        <w:tc>
          <w:tcPr>
            <w:tcW w:w="1440" w:type="dxa"/>
            <w:tcBorders>
              <w:bottom w:val="single" w:sz="4" w:space="0" w:color="auto"/>
            </w:tcBorders>
          </w:tcPr>
          <w:p w14:paraId="39518C7B" w14:textId="77777777" w:rsidR="0095652A" w:rsidRPr="00C101CC" w:rsidRDefault="0095652A">
            <w:pPr>
              <w:pStyle w:val="TableText"/>
              <w:rPr>
                <w:sz w:val="22"/>
                <w:szCs w:val="22"/>
                <w:lang w:val="sk-SK"/>
              </w:rPr>
            </w:pPr>
          </w:p>
        </w:tc>
      </w:tr>
      <w:tr w:rsidR="0095652A" w:rsidRPr="00C101CC" w14:paraId="1028A93B" w14:textId="77777777" w:rsidTr="00265BEE">
        <w:trPr>
          <w:jc w:val="right"/>
        </w:trPr>
        <w:tc>
          <w:tcPr>
            <w:tcW w:w="9770" w:type="dxa"/>
            <w:gridSpan w:val="6"/>
            <w:tcBorders>
              <w:left w:val="nil"/>
              <w:bottom w:val="nil"/>
              <w:right w:val="nil"/>
            </w:tcBorders>
          </w:tcPr>
          <w:p w14:paraId="4479CFE0" w14:textId="77777777" w:rsidR="0095652A" w:rsidRPr="0020165C" w:rsidRDefault="0095652A" w:rsidP="00C101CC">
            <w:pPr>
              <w:pStyle w:val="TableText"/>
              <w:rPr>
                <w:lang w:val="sk-SK"/>
              </w:rPr>
            </w:pPr>
            <w:r w:rsidRPr="0020165C">
              <w:rPr>
                <w:lang w:val="sk-SK"/>
              </w:rPr>
              <w:t xml:space="preserve">* identifikované ako nežiaduca reakcia zo spontánnych postmarketingových hlásení. Ich frekvencia bola vypočítaná na základe </w:t>
            </w:r>
            <w:r w:rsidR="009C7D06" w:rsidRPr="0020165C">
              <w:rPr>
                <w:lang w:val="sk-SK"/>
              </w:rPr>
              <w:t xml:space="preserve">incidencie v </w:t>
            </w:r>
            <w:r w:rsidRPr="0020165C">
              <w:rPr>
                <w:lang w:val="sk-SK"/>
              </w:rPr>
              <w:t xml:space="preserve">klinických </w:t>
            </w:r>
            <w:r w:rsidR="009C7D06" w:rsidRPr="0020165C">
              <w:rPr>
                <w:lang w:val="sk-SK"/>
              </w:rPr>
              <w:t xml:space="preserve">štúdiách alebo bola </w:t>
            </w:r>
            <w:r w:rsidR="001C6DF5" w:rsidRPr="0020165C">
              <w:rPr>
                <w:lang w:val="sk-SK"/>
              </w:rPr>
              <w:t>za</w:t>
            </w:r>
            <w:r w:rsidR="009C7D06" w:rsidRPr="0020165C">
              <w:rPr>
                <w:lang w:val="sk-SK"/>
              </w:rPr>
              <w:t>počítaná, ak sa udalosť nevyskytla v klinických štúdiách</w:t>
            </w:r>
            <w:r w:rsidRPr="0020165C">
              <w:rPr>
                <w:lang w:val="sk-SK"/>
              </w:rPr>
              <w:t>.</w:t>
            </w:r>
          </w:p>
        </w:tc>
      </w:tr>
    </w:tbl>
    <w:p w14:paraId="02F102A5" w14:textId="77777777" w:rsidR="009F40A9" w:rsidRPr="00C101CC" w:rsidRDefault="009F40A9" w:rsidP="00C101CC">
      <w:pPr>
        <w:autoSpaceDE w:val="0"/>
        <w:autoSpaceDN w:val="0"/>
        <w:adjustRightInd w:val="0"/>
        <w:spacing w:line="240" w:lineRule="auto"/>
        <w:rPr>
          <w:szCs w:val="22"/>
          <w:u w:val="single"/>
          <w:lang w:val="sk-SK"/>
        </w:rPr>
      </w:pPr>
    </w:p>
    <w:p w14:paraId="0877C007" w14:textId="77777777" w:rsidR="00BE55E2" w:rsidRPr="00C101CC" w:rsidRDefault="00BE55E2">
      <w:pPr>
        <w:spacing w:line="240" w:lineRule="auto"/>
        <w:rPr>
          <w:rFonts w:eastAsia="Verdana"/>
          <w:szCs w:val="22"/>
          <w:lang w:val="sk-SK"/>
        </w:rPr>
      </w:pPr>
      <w:r w:rsidRPr="00C101CC">
        <w:rPr>
          <w:rFonts w:eastAsia="Verdana"/>
          <w:szCs w:val="22"/>
          <w:lang w:val="sk-SK"/>
        </w:rPr>
        <w:t>Vrodené malformácie a obmedzenie rastu plodu (pozri časť 4.4 a časť 4.6).</w:t>
      </w:r>
    </w:p>
    <w:p w14:paraId="750E6F02" w14:textId="77777777" w:rsidR="00BE55E2" w:rsidRPr="00C101CC" w:rsidRDefault="00BE55E2">
      <w:pPr>
        <w:autoSpaceDE w:val="0"/>
        <w:autoSpaceDN w:val="0"/>
        <w:adjustRightInd w:val="0"/>
        <w:spacing w:line="240" w:lineRule="auto"/>
        <w:rPr>
          <w:szCs w:val="22"/>
          <w:u w:val="single"/>
          <w:lang w:val="sk-SK"/>
        </w:rPr>
      </w:pPr>
    </w:p>
    <w:p w14:paraId="72FF2EFB" w14:textId="77777777" w:rsidR="009F40A9" w:rsidRPr="00C101CC" w:rsidRDefault="00194216">
      <w:pPr>
        <w:autoSpaceDE w:val="0"/>
        <w:autoSpaceDN w:val="0"/>
        <w:adjustRightInd w:val="0"/>
        <w:spacing w:line="240" w:lineRule="auto"/>
        <w:rPr>
          <w:szCs w:val="22"/>
          <w:u w:val="single"/>
          <w:lang w:val="sk-SK"/>
        </w:rPr>
      </w:pPr>
      <w:r w:rsidRPr="00C101CC">
        <w:rPr>
          <w:szCs w:val="22"/>
          <w:u w:val="single"/>
          <w:lang w:val="sk-SK"/>
        </w:rPr>
        <w:t>Pediatrická populácia</w:t>
      </w:r>
    </w:p>
    <w:p w14:paraId="01E15CDA" w14:textId="77777777" w:rsidR="009F40A9" w:rsidRPr="00C101CC" w:rsidRDefault="00024534">
      <w:pPr>
        <w:spacing w:line="240" w:lineRule="auto"/>
        <w:rPr>
          <w:szCs w:val="22"/>
          <w:lang w:val="sk-SK"/>
        </w:rPr>
      </w:pPr>
      <w:r w:rsidRPr="00C101CC">
        <w:rPr>
          <w:szCs w:val="22"/>
          <w:lang w:val="sk-SK"/>
        </w:rPr>
        <w:t xml:space="preserve">Nežiaduce reakcie </w:t>
      </w:r>
      <w:r w:rsidR="008E255F" w:rsidRPr="00C101CC">
        <w:rPr>
          <w:szCs w:val="22"/>
          <w:lang w:val="sk-SK"/>
        </w:rPr>
        <w:t>zaznamenané častejšie</w:t>
      </w:r>
      <w:r w:rsidRPr="00C101CC">
        <w:rPr>
          <w:szCs w:val="22"/>
          <w:lang w:val="sk-SK"/>
        </w:rPr>
        <w:t xml:space="preserve"> (</w:t>
      </w:r>
      <w:r w:rsidRPr="00C101CC">
        <w:rPr>
          <w:szCs w:val="22"/>
          <w:lang w:val="sk-SK"/>
        </w:rPr>
        <w:sym w:font="Symbol" w:char="F0B3"/>
      </w:r>
      <w:r w:rsidR="001C441B" w:rsidRPr="00C101CC">
        <w:rPr>
          <w:szCs w:val="22"/>
          <w:lang w:val="sk-SK"/>
        </w:rPr>
        <w:t> </w:t>
      </w:r>
      <w:r w:rsidRPr="00C101CC">
        <w:rPr>
          <w:szCs w:val="22"/>
          <w:lang w:val="sk-SK"/>
        </w:rPr>
        <w:t>2-násobne) u detí ako u dospelých v dvojito zaslepených</w:t>
      </w:r>
      <w:r w:rsidR="008E255F" w:rsidRPr="00C101CC">
        <w:rPr>
          <w:szCs w:val="22"/>
          <w:lang w:val="sk-SK"/>
        </w:rPr>
        <w:t xml:space="preserve">, </w:t>
      </w:r>
      <w:r w:rsidRPr="00C101CC">
        <w:rPr>
          <w:szCs w:val="22"/>
          <w:lang w:val="sk-SK"/>
        </w:rPr>
        <w:t xml:space="preserve"> kontrolovaných štúdiách zahŕňajú:</w:t>
      </w:r>
    </w:p>
    <w:p w14:paraId="32457EC2" w14:textId="77777777" w:rsidR="009F40A9" w:rsidRPr="00C101CC" w:rsidRDefault="00024534"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Znížený apetít</w:t>
      </w:r>
    </w:p>
    <w:p w14:paraId="2F1CB1DE" w14:textId="77777777" w:rsidR="009F40A9" w:rsidRPr="00C101CC" w:rsidRDefault="00024534"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Zvýšený apetít</w:t>
      </w:r>
    </w:p>
    <w:p w14:paraId="7AE05FDF"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Hyperchloremickú acidózu</w:t>
      </w:r>
    </w:p>
    <w:p w14:paraId="0CCAE022" w14:textId="77777777" w:rsidR="009F40A9" w:rsidRPr="00C101CC" w:rsidRDefault="009F40A9"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Hypokal</w:t>
      </w:r>
      <w:r w:rsidR="008E255F" w:rsidRPr="00C101CC">
        <w:rPr>
          <w:szCs w:val="22"/>
          <w:lang w:val="sk-SK"/>
        </w:rPr>
        <w:t>iémiu</w:t>
      </w:r>
    </w:p>
    <w:p w14:paraId="5E051E0A"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Abnormálne správanie</w:t>
      </w:r>
    </w:p>
    <w:p w14:paraId="055E4D7D" w14:textId="77777777" w:rsidR="009F40A9" w:rsidRPr="00C101CC" w:rsidRDefault="009F40A9"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Agre</w:t>
      </w:r>
      <w:r w:rsidR="008E255F" w:rsidRPr="00C101CC">
        <w:rPr>
          <w:szCs w:val="22"/>
          <w:lang w:val="sk-SK"/>
        </w:rPr>
        <w:t>sivitu</w:t>
      </w:r>
    </w:p>
    <w:p w14:paraId="0DCF5E73"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Apatiu</w:t>
      </w:r>
    </w:p>
    <w:p w14:paraId="6767116E" w14:textId="77777777" w:rsidR="009F40A9" w:rsidRPr="00C101CC" w:rsidRDefault="009F40A9"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Ini</w:t>
      </w:r>
      <w:r w:rsidR="008E255F" w:rsidRPr="00C101CC">
        <w:rPr>
          <w:szCs w:val="22"/>
          <w:lang w:val="sk-SK"/>
        </w:rPr>
        <w:t xml:space="preserve">ciálnu </w:t>
      </w:r>
      <w:r w:rsidRPr="00C101CC">
        <w:rPr>
          <w:szCs w:val="22"/>
          <w:lang w:val="sk-SK"/>
        </w:rPr>
        <w:t>insomni</w:t>
      </w:r>
      <w:r w:rsidR="008E255F" w:rsidRPr="00C101CC">
        <w:rPr>
          <w:szCs w:val="22"/>
          <w:lang w:val="sk-SK"/>
        </w:rPr>
        <w:t>u</w:t>
      </w:r>
    </w:p>
    <w:p w14:paraId="781496E1"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Samovražedné myšlienky</w:t>
      </w:r>
    </w:p>
    <w:p w14:paraId="48ED217C"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Poruchy pozornosti</w:t>
      </w:r>
    </w:p>
    <w:p w14:paraId="4C2A73AE"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Letargiu</w:t>
      </w:r>
    </w:p>
    <w:p w14:paraId="13A4A7B1"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Cirkadiánne poruchy spánkového rytmu</w:t>
      </w:r>
    </w:p>
    <w:p w14:paraId="2EC1DDBC"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Zlú kvalitu spánku</w:t>
      </w:r>
    </w:p>
    <w:p w14:paraId="5E64441F"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Zvýšené slzenie</w:t>
      </w:r>
    </w:p>
    <w:p w14:paraId="47963666" w14:textId="77777777" w:rsidR="009F40A9" w:rsidRPr="00C101CC" w:rsidRDefault="009F40A9"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S</w:t>
      </w:r>
      <w:r w:rsidR="008E255F" w:rsidRPr="00C101CC">
        <w:rPr>
          <w:szCs w:val="22"/>
          <w:lang w:val="sk-SK"/>
        </w:rPr>
        <w:t>ínusovú bradykardiu</w:t>
      </w:r>
    </w:p>
    <w:p w14:paraId="68B1B86D" w14:textId="77777777" w:rsidR="009F40A9" w:rsidRPr="00C101CC" w:rsidRDefault="008E255F" w:rsidP="0029322E">
      <w:pPr>
        <w:numPr>
          <w:ilvl w:val="0"/>
          <w:numId w:val="44"/>
        </w:numPr>
        <w:tabs>
          <w:tab w:val="clear" w:pos="567"/>
          <w:tab w:val="clear" w:pos="720"/>
          <w:tab w:val="num" w:pos="284"/>
        </w:tabs>
        <w:spacing w:line="240" w:lineRule="auto"/>
        <w:ind w:left="284" w:hanging="284"/>
        <w:rPr>
          <w:szCs w:val="22"/>
          <w:lang w:val="sk-SK"/>
        </w:rPr>
      </w:pPr>
      <w:r w:rsidRPr="00C101CC">
        <w:rPr>
          <w:szCs w:val="22"/>
          <w:lang w:val="sk-SK"/>
        </w:rPr>
        <w:t>Abnormálne pocity</w:t>
      </w:r>
    </w:p>
    <w:p w14:paraId="04FD117B" w14:textId="77777777" w:rsidR="009F40A9" w:rsidRPr="00C101CC" w:rsidRDefault="008E255F" w:rsidP="0029322E">
      <w:pPr>
        <w:numPr>
          <w:ilvl w:val="0"/>
          <w:numId w:val="44"/>
        </w:numPr>
        <w:tabs>
          <w:tab w:val="clear" w:pos="567"/>
          <w:tab w:val="clear" w:pos="720"/>
          <w:tab w:val="left" w:pos="284"/>
        </w:tabs>
        <w:spacing w:line="240" w:lineRule="auto"/>
        <w:ind w:hanging="720"/>
        <w:rPr>
          <w:szCs w:val="22"/>
          <w:lang w:val="sk-SK"/>
        </w:rPr>
      </w:pPr>
      <w:r w:rsidRPr="00C101CC">
        <w:rPr>
          <w:szCs w:val="22"/>
          <w:lang w:val="sk-SK"/>
        </w:rPr>
        <w:t>Poruchy chôdze.</w:t>
      </w:r>
    </w:p>
    <w:p w14:paraId="7B945407" w14:textId="77777777" w:rsidR="009F40A9" w:rsidRPr="00C101CC" w:rsidRDefault="009F40A9">
      <w:pPr>
        <w:spacing w:line="240" w:lineRule="auto"/>
        <w:rPr>
          <w:szCs w:val="22"/>
          <w:lang w:val="sk-SK"/>
        </w:rPr>
      </w:pPr>
    </w:p>
    <w:p w14:paraId="0468812A" w14:textId="40C25145" w:rsidR="009F40A9" w:rsidRPr="00C101CC" w:rsidRDefault="008E255F">
      <w:pPr>
        <w:tabs>
          <w:tab w:val="clear" w:pos="567"/>
        </w:tabs>
        <w:spacing w:line="240" w:lineRule="auto"/>
        <w:rPr>
          <w:szCs w:val="22"/>
          <w:lang w:val="sk-SK"/>
        </w:rPr>
      </w:pPr>
      <w:r w:rsidRPr="00C101CC">
        <w:rPr>
          <w:szCs w:val="22"/>
          <w:lang w:val="sk-SK"/>
        </w:rPr>
        <w:t xml:space="preserve">Nežiaduce reakcie, ktoré boli zaznamenané u detí ale nie u dospelých v dvojito zaslepených, kontrolovaných štúdiách zahŕňajú: </w:t>
      </w:r>
    </w:p>
    <w:p w14:paraId="382FDC09"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Eo</w:t>
      </w:r>
      <w:r w:rsidR="008E255F" w:rsidRPr="00C101CC">
        <w:rPr>
          <w:szCs w:val="22"/>
          <w:lang w:val="sk-SK"/>
        </w:rPr>
        <w:t>z</w:t>
      </w:r>
      <w:r w:rsidRPr="00C101CC">
        <w:rPr>
          <w:szCs w:val="22"/>
          <w:lang w:val="sk-SK"/>
        </w:rPr>
        <w:t>ino</w:t>
      </w:r>
      <w:r w:rsidR="008E255F" w:rsidRPr="00C101CC">
        <w:rPr>
          <w:szCs w:val="22"/>
          <w:lang w:val="sk-SK"/>
        </w:rPr>
        <w:t>fíliu</w:t>
      </w:r>
    </w:p>
    <w:p w14:paraId="1F190C74"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Psychomotor</w:t>
      </w:r>
      <w:r w:rsidR="008E255F" w:rsidRPr="00C101CC">
        <w:rPr>
          <w:szCs w:val="22"/>
          <w:lang w:val="sk-SK"/>
        </w:rPr>
        <w:t>ickú</w:t>
      </w:r>
      <w:r w:rsidRPr="00C101CC">
        <w:rPr>
          <w:szCs w:val="22"/>
          <w:lang w:val="sk-SK"/>
        </w:rPr>
        <w:t xml:space="preserve"> hypera</w:t>
      </w:r>
      <w:r w:rsidR="008E255F" w:rsidRPr="00C101CC">
        <w:rPr>
          <w:szCs w:val="22"/>
          <w:lang w:val="sk-SK"/>
        </w:rPr>
        <w:t>k</w:t>
      </w:r>
      <w:r w:rsidRPr="00C101CC">
        <w:rPr>
          <w:szCs w:val="22"/>
          <w:lang w:val="sk-SK"/>
        </w:rPr>
        <w:t>tivit</w:t>
      </w:r>
      <w:r w:rsidR="008E255F" w:rsidRPr="00C101CC">
        <w:rPr>
          <w:szCs w:val="22"/>
          <w:lang w:val="sk-SK"/>
        </w:rPr>
        <w:t>u</w:t>
      </w:r>
    </w:p>
    <w:p w14:paraId="1EFF870C" w14:textId="77777777" w:rsidR="009F40A9" w:rsidRPr="00C101CC" w:rsidRDefault="008E255F"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Závrat</w:t>
      </w:r>
    </w:p>
    <w:p w14:paraId="4BECA715"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V</w:t>
      </w:r>
      <w:r w:rsidR="008E255F" w:rsidRPr="00C101CC">
        <w:rPr>
          <w:szCs w:val="22"/>
          <w:lang w:val="sk-SK"/>
        </w:rPr>
        <w:t>racanie</w:t>
      </w:r>
    </w:p>
    <w:p w14:paraId="50D2B4A8"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Hypertermi</w:t>
      </w:r>
      <w:r w:rsidR="008E255F" w:rsidRPr="00C101CC">
        <w:rPr>
          <w:szCs w:val="22"/>
          <w:lang w:val="sk-SK"/>
        </w:rPr>
        <w:t>u</w:t>
      </w:r>
    </w:p>
    <w:p w14:paraId="3E697DAD" w14:textId="77777777" w:rsidR="009F40A9" w:rsidRPr="00C101CC" w:rsidRDefault="009F40A9"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Pyre</w:t>
      </w:r>
      <w:r w:rsidR="008E255F" w:rsidRPr="00C101CC">
        <w:rPr>
          <w:szCs w:val="22"/>
          <w:lang w:val="sk-SK"/>
        </w:rPr>
        <w:t>xiu</w:t>
      </w:r>
    </w:p>
    <w:p w14:paraId="70073E38" w14:textId="77777777" w:rsidR="009F40A9" w:rsidRPr="00C101CC" w:rsidRDefault="00FE631C" w:rsidP="0029322E">
      <w:pPr>
        <w:numPr>
          <w:ilvl w:val="0"/>
          <w:numId w:val="45"/>
        </w:numPr>
        <w:tabs>
          <w:tab w:val="clear" w:pos="567"/>
          <w:tab w:val="clear" w:pos="720"/>
          <w:tab w:val="num" w:pos="284"/>
        </w:tabs>
        <w:spacing w:line="240" w:lineRule="auto"/>
        <w:ind w:left="284" w:hanging="284"/>
        <w:rPr>
          <w:szCs w:val="22"/>
          <w:lang w:val="sk-SK"/>
        </w:rPr>
      </w:pPr>
      <w:r w:rsidRPr="00C101CC">
        <w:rPr>
          <w:szCs w:val="22"/>
          <w:lang w:val="sk-SK"/>
        </w:rPr>
        <w:t>Poruchu</w:t>
      </w:r>
      <w:r w:rsidR="008E255F" w:rsidRPr="00C101CC">
        <w:rPr>
          <w:szCs w:val="22"/>
          <w:lang w:val="sk-SK"/>
        </w:rPr>
        <w:t xml:space="preserve"> učenia. </w:t>
      </w:r>
    </w:p>
    <w:p w14:paraId="60EAEB85" w14:textId="77777777" w:rsidR="00FF7468" w:rsidRPr="00C101CC" w:rsidRDefault="00FF7468">
      <w:pPr>
        <w:pStyle w:val="Default"/>
        <w:rPr>
          <w:sz w:val="22"/>
          <w:szCs w:val="22"/>
          <w:lang w:val="sk-SK"/>
        </w:rPr>
      </w:pPr>
    </w:p>
    <w:p w14:paraId="2F5A2CDA" w14:textId="77C8B349" w:rsidR="00C3119D" w:rsidRPr="00C101CC" w:rsidRDefault="00C3119D">
      <w:pPr>
        <w:suppressLineNumbers/>
        <w:autoSpaceDE w:val="0"/>
        <w:autoSpaceDN w:val="0"/>
        <w:adjustRightInd w:val="0"/>
        <w:spacing w:line="240" w:lineRule="auto"/>
        <w:rPr>
          <w:szCs w:val="22"/>
          <w:u w:val="single"/>
          <w:lang w:val="sk-SK"/>
        </w:rPr>
      </w:pPr>
      <w:r w:rsidRPr="00C101CC">
        <w:rPr>
          <w:szCs w:val="22"/>
          <w:u w:val="single"/>
          <w:lang w:val="sk-SK"/>
        </w:rPr>
        <w:t>Hlásenie podozrení na nežiaduce reakcie</w:t>
      </w:r>
    </w:p>
    <w:p w14:paraId="4E4542F8" w14:textId="21B5DF1D" w:rsidR="00C3119D" w:rsidRPr="00C101CC" w:rsidRDefault="00C3119D">
      <w:pPr>
        <w:suppressLineNumbers/>
        <w:autoSpaceDE w:val="0"/>
        <w:autoSpaceDN w:val="0"/>
        <w:adjustRightInd w:val="0"/>
        <w:spacing w:line="240" w:lineRule="auto"/>
        <w:rPr>
          <w:szCs w:val="22"/>
          <w:shd w:val="clear" w:color="auto" w:fill="FFFFFF"/>
          <w:lang w:val="sk-SK"/>
        </w:rPr>
      </w:pPr>
      <w:r w:rsidRPr="00C101CC">
        <w:rPr>
          <w:color w:val="000000"/>
          <w:szCs w:val="22"/>
          <w:lang w:val="sk-SK"/>
        </w:rPr>
        <w:t>Hlásenie podozrení na nežiaduce reakcie po registrácii lieku je dôležité. Umožňuje priebežné monitorovanie pomeru prínosu a rizika lieku. Od zdravotníckych pracovníkov sa vyžaduje, aby hlásili akékoľvek podozrenia na nežiaduce reakcie</w:t>
      </w:r>
      <w:r w:rsidR="00F110E7" w:rsidRPr="00C101CC">
        <w:rPr>
          <w:color w:val="000000"/>
          <w:szCs w:val="22"/>
          <w:lang w:val="sk-SK"/>
        </w:rPr>
        <w:t xml:space="preserve"> na</w:t>
      </w:r>
      <w:r w:rsidR="00810D8C" w:rsidRPr="00C101CC">
        <w:rPr>
          <w:color w:val="000000"/>
          <w:szCs w:val="22"/>
          <w:lang w:val="sk-SK"/>
        </w:rPr>
        <w:t> </w:t>
      </w:r>
      <w:r w:rsidR="00B563CE" w:rsidRPr="00C101CC">
        <w:rPr>
          <w:noProof/>
          <w:szCs w:val="22"/>
          <w:highlight w:val="lightGray"/>
        </w:rPr>
        <w:t>národné centrum hlásenia uvedené v </w:t>
      </w:r>
      <w:hyperlink r:id="rId11" w:history="1">
        <w:r w:rsidR="00B563CE" w:rsidRPr="00C101CC">
          <w:rPr>
            <w:rStyle w:val="Hypertextovprepojenie"/>
            <w:noProof/>
            <w:szCs w:val="22"/>
            <w:highlight w:val="lightGray"/>
          </w:rPr>
          <w:t>Prílohe</w:t>
        </w:r>
        <w:r w:rsidR="00714124" w:rsidRPr="00C101CC">
          <w:rPr>
            <w:rStyle w:val="Hypertextovprepojenie"/>
            <w:noProof/>
            <w:szCs w:val="22"/>
            <w:highlight w:val="lightGray"/>
          </w:rPr>
          <w:t> </w:t>
        </w:r>
        <w:r w:rsidR="00B563CE" w:rsidRPr="00C101CC">
          <w:rPr>
            <w:rStyle w:val="Hypertextovprepojenie"/>
            <w:noProof/>
            <w:szCs w:val="22"/>
            <w:highlight w:val="lightGray"/>
          </w:rPr>
          <w:t>V</w:t>
        </w:r>
      </w:hyperlink>
      <w:r w:rsidR="000D6AF3" w:rsidRPr="00C101CC">
        <w:rPr>
          <w:szCs w:val="22"/>
          <w:shd w:val="clear" w:color="auto" w:fill="FFFFFF"/>
          <w:lang w:val="sk-SK"/>
        </w:rPr>
        <w:t>.</w:t>
      </w:r>
    </w:p>
    <w:p w14:paraId="4E93DA2B" w14:textId="77777777" w:rsidR="000D6AF3" w:rsidRPr="00C101CC" w:rsidRDefault="000D6AF3">
      <w:pPr>
        <w:suppressLineNumbers/>
        <w:autoSpaceDE w:val="0"/>
        <w:autoSpaceDN w:val="0"/>
        <w:adjustRightInd w:val="0"/>
        <w:spacing w:line="240" w:lineRule="auto"/>
        <w:rPr>
          <w:szCs w:val="22"/>
          <w:lang w:val="sk-SK"/>
        </w:rPr>
      </w:pPr>
    </w:p>
    <w:bookmarkEnd w:id="3"/>
    <w:p w14:paraId="52270ECA" w14:textId="77777777" w:rsidR="00FF7468" w:rsidRPr="00C101CC" w:rsidRDefault="00FF7468">
      <w:pPr>
        <w:keepNext/>
        <w:spacing w:line="240" w:lineRule="auto"/>
        <w:jc w:val="both"/>
        <w:rPr>
          <w:szCs w:val="22"/>
          <w:lang w:val="sk-SK"/>
        </w:rPr>
      </w:pPr>
      <w:r w:rsidRPr="00C101CC">
        <w:rPr>
          <w:b/>
          <w:szCs w:val="22"/>
          <w:lang w:val="sk-SK"/>
        </w:rPr>
        <w:t>4.9</w:t>
      </w:r>
      <w:r w:rsidRPr="00C101CC">
        <w:rPr>
          <w:b/>
          <w:szCs w:val="22"/>
          <w:lang w:val="sk-SK"/>
        </w:rPr>
        <w:tab/>
        <w:t>Predávkovanie</w:t>
      </w:r>
    </w:p>
    <w:p w14:paraId="3F6F4E66" w14:textId="77777777" w:rsidR="00FF7468" w:rsidRPr="00C101CC" w:rsidRDefault="00FF7468">
      <w:pPr>
        <w:keepNext/>
        <w:spacing w:line="240" w:lineRule="auto"/>
        <w:jc w:val="both"/>
        <w:rPr>
          <w:szCs w:val="22"/>
          <w:lang w:val="sk-SK"/>
        </w:rPr>
      </w:pPr>
    </w:p>
    <w:p w14:paraId="2C1F71ED" w14:textId="77777777" w:rsidR="00FF7468" w:rsidRPr="00C101CC" w:rsidRDefault="00FF7468">
      <w:pPr>
        <w:pStyle w:val="Default"/>
        <w:keepNext/>
        <w:tabs>
          <w:tab w:val="left" w:pos="567"/>
        </w:tabs>
        <w:rPr>
          <w:sz w:val="22"/>
          <w:szCs w:val="22"/>
          <w:u w:val="single"/>
          <w:lang w:val="sk-SK"/>
        </w:rPr>
      </w:pPr>
      <w:r w:rsidRPr="00C101CC">
        <w:rPr>
          <w:sz w:val="22"/>
          <w:szCs w:val="22"/>
          <w:u w:val="single"/>
          <w:lang w:val="sk-SK"/>
        </w:rPr>
        <w:t xml:space="preserve">Príznaky </w:t>
      </w:r>
    </w:p>
    <w:p w14:paraId="531211D8" w14:textId="77777777" w:rsidR="00FF7468" w:rsidRPr="00C101CC" w:rsidRDefault="00FF7468">
      <w:pPr>
        <w:pStyle w:val="Oznaitext"/>
        <w:keepNext/>
        <w:ind w:left="0"/>
        <w:jc w:val="left"/>
        <w:rPr>
          <w:rFonts w:ascii="Times New Roman" w:hAnsi="Times New Roman"/>
          <w:strike w:val="0"/>
          <w:color w:val="000000"/>
          <w:sz w:val="22"/>
          <w:szCs w:val="22"/>
        </w:rPr>
      </w:pPr>
      <w:r w:rsidRPr="00C101CC">
        <w:rPr>
          <w:rFonts w:ascii="Times New Roman" w:hAnsi="Times New Roman"/>
          <w:strike w:val="0"/>
          <w:color w:val="000000"/>
          <w:sz w:val="22"/>
          <w:szCs w:val="22"/>
        </w:rPr>
        <w:t>Zaznamenali sa prípady predávkovania topiramátom. Príznaky zahŕňali kŕče, ospanlivosť, poruchy reči, rozmazané videnie, diplopiu, zhoršenie duševnej činnosti, letargiu, abnormálnu koordináciu, stupor, hypotenziu, abdominálnu bolesť, nepokoj, závraty a depresiu. Klinické následky vo väčšine prípadov neboli závažné, avšak po predávkovaní viacerými liekmi naraz, vrátane topiramátu, boli zaznamenané úmrtia.</w:t>
      </w:r>
    </w:p>
    <w:p w14:paraId="77435D36" w14:textId="77777777" w:rsidR="00FF7468" w:rsidRPr="00C101CC" w:rsidRDefault="00FF7468">
      <w:pPr>
        <w:pStyle w:val="Oznaitext"/>
        <w:ind w:left="0"/>
        <w:jc w:val="left"/>
        <w:rPr>
          <w:rFonts w:ascii="Times New Roman" w:hAnsi="Times New Roman"/>
          <w:strike w:val="0"/>
          <w:color w:val="000000"/>
          <w:sz w:val="22"/>
          <w:szCs w:val="22"/>
        </w:rPr>
      </w:pPr>
      <w:r w:rsidRPr="00C101CC">
        <w:rPr>
          <w:rFonts w:ascii="Times New Roman" w:hAnsi="Times New Roman"/>
          <w:strike w:val="0"/>
          <w:color w:val="000000"/>
          <w:sz w:val="22"/>
          <w:szCs w:val="22"/>
        </w:rPr>
        <w:t xml:space="preserve"> </w:t>
      </w:r>
    </w:p>
    <w:p w14:paraId="6E5BE756" w14:textId="77777777" w:rsidR="00FF7468" w:rsidRPr="00C101CC" w:rsidRDefault="00FF7468">
      <w:pPr>
        <w:pStyle w:val="Oznaitext"/>
        <w:ind w:left="0"/>
        <w:rPr>
          <w:rFonts w:ascii="Times New Roman" w:hAnsi="Times New Roman"/>
          <w:strike w:val="0"/>
          <w:color w:val="000000"/>
          <w:sz w:val="22"/>
          <w:szCs w:val="22"/>
        </w:rPr>
      </w:pPr>
      <w:r w:rsidRPr="00C101CC">
        <w:rPr>
          <w:rFonts w:ascii="Times New Roman" w:hAnsi="Times New Roman"/>
          <w:strike w:val="0"/>
          <w:color w:val="000000"/>
          <w:sz w:val="22"/>
          <w:szCs w:val="22"/>
        </w:rPr>
        <w:t>Predávkovanie topiramátom môže viesť k závažnej metabolickej acidóze (pozri časť 4.4).</w:t>
      </w:r>
    </w:p>
    <w:p w14:paraId="56C6BEDC" w14:textId="77777777" w:rsidR="00FF7468" w:rsidRPr="00C101CC" w:rsidRDefault="00FF7468">
      <w:pPr>
        <w:pStyle w:val="Default"/>
        <w:tabs>
          <w:tab w:val="left" w:pos="567"/>
        </w:tabs>
        <w:rPr>
          <w:sz w:val="22"/>
          <w:szCs w:val="22"/>
          <w:u w:val="single"/>
          <w:lang w:val="sk-SK"/>
        </w:rPr>
      </w:pPr>
    </w:p>
    <w:p w14:paraId="2194D810" w14:textId="77777777" w:rsidR="00FF7468" w:rsidRPr="00C101CC" w:rsidRDefault="00FF7468">
      <w:pPr>
        <w:pStyle w:val="Default"/>
        <w:keepNext/>
        <w:tabs>
          <w:tab w:val="left" w:pos="567"/>
        </w:tabs>
        <w:rPr>
          <w:sz w:val="22"/>
          <w:szCs w:val="22"/>
          <w:u w:val="single"/>
          <w:lang w:val="sk-SK"/>
        </w:rPr>
      </w:pPr>
      <w:r w:rsidRPr="00C101CC">
        <w:rPr>
          <w:sz w:val="22"/>
          <w:szCs w:val="22"/>
          <w:u w:val="single"/>
          <w:lang w:val="sk-SK"/>
        </w:rPr>
        <w:t>Liečba</w:t>
      </w:r>
    </w:p>
    <w:p w14:paraId="1993938B" w14:textId="173883EC" w:rsidR="00FF7468" w:rsidRPr="00C101CC" w:rsidRDefault="00D602AA">
      <w:pPr>
        <w:pStyle w:val="Default"/>
        <w:keepNext/>
        <w:tabs>
          <w:tab w:val="left" w:pos="567"/>
        </w:tabs>
        <w:rPr>
          <w:sz w:val="22"/>
          <w:szCs w:val="22"/>
          <w:lang w:val="sk-SK"/>
        </w:rPr>
      </w:pPr>
      <w:r w:rsidRPr="0029322E">
        <w:rPr>
          <w:sz w:val="22"/>
          <w:szCs w:val="22"/>
          <w:lang w:val="sk-SK"/>
        </w:rPr>
        <w:t>V prípade predávkovania sa má liečba topiramátom ukončiť a</w:t>
      </w:r>
      <w:r w:rsidRPr="00C101CC">
        <w:rPr>
          <w:sz w:val="22"/>
          <w:szCs w:val="22"/>
          <w:lang w:val="sk-SK"/>
        </w:rPr>
        <w:t> má sa podávať</w:t>
      </w:r>
      <w:r w:rsidRPr="0029322E">
        <w:rPr>
          <w:sz w:val="22"/>
          <w:szCs w:val="22"/>
          <w:lang w:val="sk-SK"/>
        </w:rPr>
        <w:t xml:space="preserve"> všeobecná podporná liečba, kým </w:t>
      </w:r>
      <w:r w:rsidRPr="00C101CC">
        <w:rPr>
          <w:sz w:val="22"/>
          <w:szCs w:val="22"/>
          <w:lang w:val="sk-SK"/>
        </w:rPr>
        <w:t xml:space="preserve">klinická toxicita </w:t>
      </w:r>
      <w:r w:rsidRPr="0029322E">
        <w:rPr>
          <w:sz w:val="22"/>
          <w:szCs w:val="22"/>
          <w:lang w:val="sk-SK"/>
        </w:rPr>
        <w:t>nezoslabne alebo nepominie.</w:t>
      </w:r>
      <w:r w:rsidRPr="00C101CC">
        <w:rPr>
          <w:sz w:val="22"/>
          <w:szCs w:val="22"/>
        </w:rPr>
        <w:t xml:space="preserve"> </w:t>
      </w:r>
      <w:r w:rsidR="006B7F2E" w:rsidRPr="00C101CC">
        <w:rPr>
          <w:color w:val="000000"/>
          <w:sz w:val="22"/>
          <w:szCs w:val="22"/>
          <w:lang w:val="sk-SK"/>
        </w:rPr>
        <w:t>P</w:t>
      </w:r>
      <w:r w:rsidR="00FF7468" w:rsidRPr="00C101CC">
        <w:rPr>
          <w:sz w:val="22"/>
          <w:szCs w:val="22"/>
          <w:lang w:val="sk-SK"/>
        </w:rPr>
        <w:t xml:space="preserve">acient má byť </w:t>
      </w:r>
      <w:r w:rsidR="003107D9" w:rsidRPr="00C101CC">
        <w:rPr>
          <w:sz w:val="22"/>
          <w:szCs w:val="22"/>
          <w:lang w:val="sk-SK"/>
        </w:rPr>
        <w:t xml:space="preserve">dostatočne </w:t>
      </w:r>
      <w:r w:rsidR="00FF7468" w:rsidRPr="00C101CC">
        <w:rPr>
          <w:sz w:val="22"/>
          <w:szCs w:val="22"/>
          <w:lang w:val="sk-SK"/>
        </w:rPr>
        <w:t>hydratovaný</w:t>
      </w:r>
      <w:r w:rsidR="00FF7468" w:rsidRPr="00C101CC">
        <w:rPr>
          <w:color w:val="000000"/>
          <w:sz w:val="22"/>
          <w:szCs w:val="22"/>
          <w:lang w:val="sk-SK"/>
        </w:rPr>
        <w:t>.</w:t>
      </w:r>
      <w:r w:rsidR="00FF7468" w:rsidRPr="00C101CC">
        <w:rPr>
          <w:sz w:val="22"/>
          <w:szCs w:val="22"/>
          <w:lang w:val="sk-SK"/>
        </w:rPr>
        <w:t xml:space="preserve"> Hemodialýza je efektívny prostriedok na odstránenie topiramátu z</w:t>
      </w:r>
      <w:r w:rsidR="006B7F2E" w:rsidRPr="00C101CC">
        <w:rPr>
          <w:sz w:val="22"/>
          <w:szCs w:val="22"/>
          <w:lang w:val="sk-SK"/>
        </w:rPr>
        <w:t> </w:t>
      </w:r>
      <w:r w:rsidR="00FF7468" w:rsidRPr="00C101CC">
        <w:rPr>
          <w:sz w:val="22"/>
          <w:szCs w:val="22"/>
          <w:lang w:val="sk-SK"/>
        </w:rPr>
        <w:t>organizmu.</w:t>
      </w:r>
      <w:r w:rsidR="006B7F2E" w:rsidRPr="00C101CC">
        <w:rPr>
          <w:sz w:val="22"/>
          <w:szCs w:val="22"/>
          <w:lang w:val="sk-SK"/>
        </w:rPr>
        <w:t xml:space="preserve"> </w:t>
      </w:r>
      <w:r w:rsidRPr="00C101CC">
        <w:rPr>
          <w:sz w:val="22"/>
          <w:szCs w:val="22"/>
          <w:lang w:val="sk-SK"/>
        </w:rPr>
        <w:t>Podľa zváženia lekára sa</w:t>
      </w:r>
      <w:r w:rsidR="00977E21" w:rsidRPr="00C101CC">
        <w:rPr>
          <w:sz w:val="22"/>
          <w:szCs w:val="22"/>
          <w:lang w:val="sk-SK"/>
        </w:rPr>
        <w:t xml:space="preserve"> tiež</w:t>
      </w:r>
      <w:r w:rsidRPr="00C101CC">
        <w:rPr>
          <w:sz w:val="22"/>
          <w:szCs w:val="22"/>
          <w:lang w:val="sk-SK"/>
        </w:rPr>
        <w:t xml:space="preserve"> môžu uskutočniť ďalšie opatrenia. </w:t>
      </w:r>
    </w:p>
    <w:p w14:paraId="4D900B38" w14:textId="77777777" w:rsidR="00FF7468" w:rsidRPr="00C101CC" w:rsidRDefault="00FF7468">
      <w:pPr>
        <w:pStyle w:val="Default"/>
        <w:jc w:val="both"/>
        <w:rPr>
          <w:sz w:val="22"/>
          <w:szCs w:val="22"/>
          <w:lang w:val="sk-SK"/>
        </w:rPr>
      </w:pPr>
    </w:p>
    <w:p w14:paraId="2A0B4760" w14:textId="77777777" w:rsidR="00FF7468" w:rsidRPr="00C101CC" w:rsidRDefault="00FF7468">
      <w:pPr>
        <w:pStyle w:val="Default"/>
        <w:jc w:val="both"/>
        <w:rPr>
          <w:sz w:val="22"/>
          <w:szCs w:val="22"/>
          <w:lang w:val="sk-SK"/>
        </w:rPr>
      </w:pPr>
    </w:p>
    <w:p w14:paraId="0DBDF429" w14:textId="77777777" w:rsidR="00FF7468" w:rsidRPr="00C101CC" w:rsidRDefault="00FF7468">
      <w:pPr>
        <w:keepNext/>
        <w:spacing w:line="240" w:lineRule="auto"/>
        <w:jc w:val="both"/>
        <w:rPr>
          <w:szCs w:val="22"/>
          <w:lang w:val="sk-SK"/>
        </w:rPr>
      </w:pPr>
      <w:r w:rsidRPr="00C101CC">
        <w:rPr>
          <w:b/>
          <w:szCs w:val="22"/>
          <w:lang w:val="sk-SK"/>
        </w:rPr>
        <w:t>5.</w:t>
      </w:r>
      <w:r w:rsidRPr="00C101CC">
        <w:rPr>
          <w:b/>
          <w:szCs w:val="22"/>
          <w:lang w:val="sk-SK"/>
        </w:rPr>
        <w:tab/>
        <w:t>FARMAKOLOGICKÉ VLASTNOSTI</w:t>
      </w:r>
    </w:p>
    <w:p w14:paraId="4B4C8AE8" w14:textId="77777777" w:rsidR="00FF7468" w:rsidRPr="00C101CC" w:rsidRDefault="00FF7468">
      <w:pPr>
        <w:keepNext/>
        <w:spacing w:line="240" w:lineRule="auto"/>
        <w:jc w:val="both"/>
        <w:rPr>
          <w:szCs w:val="22"/>
          <w:lang w:val="sk-SK"/>
        </w:rPr>
      </w:pPr>
    </w:p>
    <w:p w14:paraId="5279C118" w14:textId="77777777" w:rsidR="00FF7468" w:rsidRPr="00C101CC" w:rsidRDefault="00FF7468">
      <w:pPr>
        <w:keepNext/>
        <w:spacing w:line="240" w:lineRule="auto"/>
        <w:jc w:val="both"/>
        <w:rPr>
          <w:szCs w:val="22"/>
          <w:lang w:val="sk-SK"/>
        </w:rPr>
      </w:pPr>
      <w:r w:rsidRPr="00C101CC">
        <w:rPr>
          <w:b/>
          <w:szCs w:val="22"/>
          <w:lang w:val="sk-SK"/>
        </w:rPr>
        <w:t xml:space="preserve">5.1 </w:t>
      </w:r>
      <w:r w:rsidRPr="00C101CC">
        <w:rPr>
          <w:b/>
          <w:szCs w:val="22"/>
          <w:lang w:val="sk-SK"/>
        </w:rPr>
        <w:tab/>
        <w:t>Farmakodynamické vlastnosti</w:t>
      </w:r>
    </w:p>
    <w:p w14:paraId="23F19541" w14:textId="77777777" w:rsidR="00FF7468" w:rsidRPr="00C101CC" w:rsidRDefault="00FF7468">
      <w:pPr>
        <w:keepNext/>
        <w:spacing w:line="240" w:lineRule="auto"/>
        <w:jc w:val="both"/>
        <w:rPr>
          <w:szCs w:val="22"/>
          <w:lang w:val="sk-SK"/>
        </w:rPr>
      </w:pPr>
    </w:p>
    <w:p w14:paraId="05F7A8CC" w14:textId="50F654A6" w:rsidR="00FF7468" w:rsidRPr="00C101CC" w:rsidRDefault="00FF7468">
      <w:pPr>
        <w:keepNext/>
        <w:spacing w:line="240" w:lineRule="auto"/>
        <w:rPr>
          <w:szCs w:val="22"/>
          <w:lang w:val="sk-SK"/>
        </w:rPr>
      </w:pPr>
      <w:r w:rsidRPr="00C101CC">
        <w:rPr>
          <w:szCs w:val="22"/>
          <w:lang w:val="sk-SK"/>
        </w:rPr>
        <w:t xml:space="preserve">Farmakoterapeutická skupina: </w:t>
      </w:r>
      <w:r w:rsidR="00EF5E97" w:rsidRPr="00C101CC">
        <w:rPr>
          <w:szCs w:val="22"/>
          <w:lang w:val="sk-SK"/>
        </w:rPr>
        <w:t xml:space="preserve">antiepileptiká, </w:t>
      </w:r>
      <w:r w:rsidRPr="00C101CC">
        <w:rPr>
          <w:szCs w:val="22"/>
          <w:lang w:val="sk-SK"/>
        </w:rPr>
        <w:t>iné antiepileptiká, ATC kód: N03AX11</w:t>
      </w:r>
      <w:r w:rsidR="00B563CE" w:rsidRPr="00C101CC">
        <w:rPr>
          <w:szCs w:val="22"/>
          <w:lang w:val="sk-SK"/>
        </w:rPr>
        <w:t>.</w:t>
      </w:r>
    </w:p>
    <w:p w14:paraId="091346D8" w14:textId="77777777" w:rsidR="00FF7468" w:rsidRPr="00C101CC" w:rsidRDefault="00FF7468">
      <w:pPr>
        <w:suppressAutoHyphens/>
        <w:spacing w:line="240" w:lineRule="auto"/>
        <w:ind w:right="-369"/>
        <w:jc w:val="both"/>
        <w:rPr>
          <w:szCs w:val="22"/>
          <w:lang w:val="sk-SK"/>
        </w:rPr>
      </w:pPr>
    </w:p>
    <w:p w14:paraId="439190CE" w14:textId="77777777" w:rsidR="00FF7468" w:rsidRPr="00C101CC" w:rsidRDefault="00FF7468">
      <w:pPr>
        <w:suppressAutoHyphens/>
        <w:spacing w:line="240" w:lineRule="auto"/>
        <w:ind w:right="-369"/>
        <w:rPr>
          <w:szCs w:val="22"/>
          <w:lang w:val="sk-SK"/>
        </w:rPr>
      </w:pPr>
      <w:r w:rsidRPr="00C101CC">
        <w:rPr>
          <w:szCs w:val="22"/>
          <w:lang w:val="sk-SK"/>
        </w:rPr>
        <w:t xml:space="preserve">Topiramát je klasifikovaný ako monosacharid substituovaný sulfamátom. Presný </w:t>
      </w:r>
      <w:r w:rsidR="003064C1" w:rsidRPr="00C101CC">
        <w:rPr>
          <w:szCs w:val="22"/>
          <w:lang w:val="sk-SK"/>
        </w:rPr>
        <w:t>mechanizmus</w:t>
      </w:r>
      <w:r w:rsidRPr="00C101CC">
        <w:rPr>
          <w:szCs w:val="22"/>
          <w:lang w:val="sk-SK"/>
        </w:rPr>
        <w:t xml:space="preserve">, akým topiramát </w:t>
      </w:r>
      <w:r w:rsidR="009E0773" w:rsidRPr="00C101CC">
        <w:rPr>
          <w:szCs w:val="22"/>
          <w:lang w:val="sk-SK"/>
        </w:rPr>
        <w:t xml:space="preserve">uplatňuje </w:t>
      </w:r>
      <w:r w:rsidRPr="00C101CC">
        <w:rPr>
          <w:szCs w:val="22"/>
          <w:lang w:val="sk-SK"/>
        </w:rPr>
        <w:t xml:space="preserve">svoje účinky proti záchvatom a na profylaxiu migrény, nie je známy. Elektrofyziologickými a biochemickými štúdiami na tkanivových kultúrach neurónov sa zistili tri vlastnosti, ktoré prispievajú k antiepileptickému účinku topiramátu. </w:t>
      </w:r>
    </w:p>
    <w:p w14:paraId="426CFB7D" w14:textId="77777777" w:rsidR="00FF7468" w:rsidRPr="00C101CC" w:rsidRDefault="00FF7468">
      <w:pPr>
        <w:pStyle w:val="Default"/>
        <w:rPr>
          <w:sz w:val="22"/>
          <w:szCs w:val="22"/>
          <w:lang w:val="sk-SK"/>
        </w:rPr>
      </w:pPr>
    </w:p>
    <w:p w14:paraId="69F8BD47" w14:textId="77777777" w:rsidR="00FF7468" w:rsidRPr="00C101CC" w:rsidRDefault="000C2CAC">
      <w:pPr>
        <w:pStyle w:val="Default"/>
        <w:rPr>
          <w:sz w:val="22"/>
          <w:szCs w:val="22"/>
          <w:lang w:val="sk-SK"/>
        </w:rPr>
      </w:pPr>
      <w:r w:rsidRPr="00C101CC">
        <w:rPr>
          <w:sz w:val="22"/>
          <w:szCs w:val="22"/>
          <w:lang w:val="sk-SK"/>
        </w:rPr>
        <w:t xml:space="preserve">Akčné potenciály, ktoré opakovane vznikajú počas pretrvávajúcej depolarizácie neurónov, boli  </w:t>
      </w:r>
      <w:r w:rsidR="00E96B99" w:rsidRPr="00C101CC">
        <w:rPr>
          <w:sz w:val="22"/>
          <w:szCs w:val="22"/>
          <w:lang w:val="sk-SK"/>
        </w:rPr>
        <w:t>topiramátom blokované v závislosti od času, čo pripomína</w:t>
      </w:r>
      <w:r w:rsidR="00BD5097" w:rsidRPr="00C101CC">
        <w:rPr>
          <w:sz w:val="22"/>
          <w:szCs w:val="22"/>
          <w:lang w:val="sk-SK"/>
        </w:rPr>
        <w:t xml:space="preserve"> blokádu </w:t>
      </w:r>
      <w:r w:rsidR="00E13A9E" w:rsidRPr="00C101CC">
        <w:rPr>
          <w:sz w:val="22"/>
          <w:szCs w:val="22"/>
          <w:lang w:val="sk-SK"/>
        </w:rPr>
        <w:t xml:space="preserve">napäťovo závislých </w:t>
      </w:r>
      <w:r w:rsidR="00BD5097" w:rsidRPr="00C101CC">
        <w:rPr>
          <w:sz w:val="22"/>
          <w:szCs w:val="22"/>
          <w:lang w:val="sk-SK"/>
        </w:rPr>
        <w:t>sodíkových kanálov.</w:t>
      </w:r>
      <w:r w:rsidR="00FF7468" w:rsidRPr="00C101CC">
        <w:rPr>
          <w:sz w:val="22"/>
          <w:szCs w:val="22"/>
          <w:lang w:val="sk-SK"/>
        </w:rPr>
        <w:t xml:space="preserve"> Topiramát zvyšuje frekvenciu, ktorou</w:t>
      </w:r>
      <w:r w:rsidR="00E13A9E" w:rsidRPr="00C101CC">
        <w:rPr>
          <w:sz w:val="22"/>
          <w:szCs w:val="22"/>
          <w:lang w:val="sk-SK"/>
        </w:rPr>
        <w:t xml:space="preserve"> kyselina</w:t>
      </w:r>
      <w:r w:rsidR="00FF7468" w:rsidRPr="00C101CC">
        <w:rPr>
          <w:sz w:val="22"/>
          <w:szCs w:val="22"/>
          <w:lang w:val="sk-SK"/>
        </w:rPr>
        <w:t xml:space="preserve"> γ-aminomaslová (GABA) aktivuje GABA</w:t>
      </w:r>
      <w:r w:rsidR="00FF7468" w:rsidRPr="00C101CC">
        <w:rPr>
          <w:sz w:val="22"/>
          <w:szCs w:val="22"/>
          <w:vertAlign w:val="subscript"/>
          <w:lang w:val="sk-SK"/>
        </w:rPr>
        <w:t>A</w:t>
      </w:r>
      <w:r w:rsidR="00FF7468" w:rsidRPr="00C101CC">
        <w:rPr>
          <w:sz w:val="22"/>
          <w:szCs w:val="22"/>
          <w:lang w:val="sk-SK"/>
        </w:rPr>
        <w:t xml:space="preserve"> receptory a zvyšuje schopnosť GABA indukovať tok chloridových iónov do neurónov, čo naznačuje, že topiramát potencuje aktivitu tohto inhibičného neurotransmit</w:t>
      </w:r>
      <w:r w:rsidR="00BC5FDC" w:rsidRPr="00C101CC">
        <w:rPr>
          <w:sz w:val="22"/>
          <w:szCs w:val="22"/>
          <w:lang w:val="sk-SK"/>
        </w:rPr>
        <w:t>e</w:t>
      </w:r>
      <w:r w:rsidR="00FF7468" w:rsidRPr="00C101CC">
        <w:rPr>
          <w:sz w:val="22"/>
          <w:szCs w:val="22"/>
          <w:lang w:val="sk-SK"/>
        </w:rPr>
        <w:t>ra.</w:t>
      </w:r>
    </w:p>
    <w:p w14:paraId="068248F4" w14:textId="77777777" w:rsidR="00FF7468" w:rsidRPr="00C101CC" w:rsidRDefault="00FF7468">
      <w:pPr>
        <w:pStyle w:val="Default"/>
        <w:rPr>
          <w:sz w:val="22"/>
          <w:szCs w:val="22"/>
          <w:lang w:val="sk-SK"/>
        </w:rPr>
      </w:pPr>
    </w:p>
    <w:p w14:paraId="4F356B4B" w14:textId="77777777" w:rsidR="00FF7468" w:rsidRPr="00C101CC" w:rsidRDefault="00FF7468">
      <w:pPr>
        <w:pStyle w:val="Default"/>
        <w:rPr>
          <w:sz w:val="22"/>
          <w:szCs w:val="22"/>
          <w:lang w:val="sk-SK"/>
        </w:rPr>
      </w:pPr>
      <w:r w:rsidRPr="00C101CC">
        <w:rPr>
          <w:sz w:val="22"/>
          <w:szCs w:val="22"/>
          <w:lang w:val="sk-SK"/>
        </w:rPr>
        <w:t>Tento účinok nebol blokovaný flumazenilom, benzodiazepínovým antagonistom, a topiramát ani nepredlžoval čas otvorenia kanála, čo odlišuje topiramát od barbiturátov, ktoré modulujú GABA</w:t>
      </w:r>
      <w:r w:rsidRPr="00C101CC">
        <w:rPr>
          <w:sz w:val="22"/>
          <w:szCs w:val="22"/>
          <w:vertAlign w:val="subscript"/>
          <w:lang w:val="sk-SK"/>
        </w:rPr>
        <w:t xml:space="preserve">A </w:t>
      </w:r>
      <w:r w:rsidRPr="00C101CC">
        <w:rPr>
          <w:sz w:val="22"/>
          <w:szCs w:val="22"/>
          <w:lang w:val="sk-SK"/>
        </w:rPr>
        <w:t>receptory.</w:t>
      </w:r>
    </w:p>
    <w:p w14:paraId="4F61EDFE" w14:textId="77777777" w:rsidR="00FF7468" w:rsidRPr="00C101CC" w:rsidRDefault="00FF7468">
      <w:pPr>
        <w:pStyle w:val="Default"/>
        <w:rPr>
          <w:sz w:val="22"/>
          <w:szCs w:val="22"/>
          <w:lang w:val="sk-SK"/>
        </w:rPr>
      </w:pPr>
    </w:p>
    <w:p w14:paraId="7AF409A1" w14:textId="151A4FD4" w:rsidR="00FF7468" w:rsidRPr="00C101CC" w:rsidRDefault="00FF7468">
      <w:pPr>
        <w:pStyle w:val="Default"/>
        <w:rPr>
          <w:sz w:val="22"/>
          <w:szCs w:val="22"/>
          <w:lang w:val="sk-SK"/>
        </w:rPr>
      </w:pPr>
      <w:r w:rsidRPr="00C101CC">
        <w:rPr>
          <w:sz w:val="22"/>
          <w:szCs w:val="22"/>
          <w:lang w:val="sk-SK"/>
        </w:rPr>
        <w:t>Pretože sa antiepileptický účinok topiramátu výrazne odlišuje od účinku benzodiazepínov, predpokladá sa účinok pôsobením na podtyp GABA</w:t>
      </w:r>
      <w:r w:rsidRPr="00C101CC">
        <w:rPr>
          <w:sz w:val="22"/>
          <w:szCs w:val="22"/>
          <w:vertAlign w:val="subscript"/>
          <w:lang w:val="sk-SK"/>
        </w:rPr>
        <w:t>A</w:t>
      </w:r>
      <w:r w:rsidRPr="00C101CC">
        <w:rPr>
          <w:sz w:val="22"/>
          <w:szCs w:val="22"/>
          <w:lang w:val="sk-SK"/>
        </w:rPr>
        <w:t xml:space="preserve"> receptora, ktorý </w:t>
      </w:r>
      <w:r w:rsidR="004943CA" w:rsidRPr="00C101CC">
        <w:rPr>
          <w:sz w:val="22"/>
          <w:szCs w:val="22"/>
          <w:lang w:val="sk-SK"/>
        </w:rPr>
        <w:t xml:space="preserve">nie je citlivý </w:t>
      </w:r>
      <w:r w:rsidRPr="00C101CC">
        <w:rPr>
          <w:sz w:val="22"/>
          <w:szCs w:val="22"/>
          <w:lang w:val="sk-SK"/>
        </w:rPr>
        <w:t>na benzodiazepíny. Topiramát antagonizuje schopnosť kainátu aktivovať kainát/AMPA (</w:t>
      </w:r>
      <w:r w:rsidRPr="00C101CC">
        <w:rPr>
          <w:sz w:val="22"/>
          <w:szCs w:val="22"/>
          <w:lang w:val="sk-SK"/>
        </w:rPr>
        <w:sym w:font="Symbol" w:char="F061"/>
      </w:r>
      <w:r w:rsidRPr="00C101CC">
        <w:rPr>
          <w:sz w:val="22"/>
          <w:szCs w:val="22"/>
          <w:lang w:val="sk-SK"/>
        </w:rPr>
        <w:t xml:space="preserve">-amino-3-hydoxy-5-metylizoxazol-4-propionová kyselina) podtyp receptorov pre excitačné aminokyseliny (glutamát), ale nemá vplyv na aktivitu N-metyl-D-aspartátu (NMDA) na </w:t>
      </w:r>
      <w:r w:rsidR="009400EB" w:rsidRPr="00C101CC">
        <w:rPr>
          <w:sz w:val="22"/>
          <w:szCs w:val="22"/>
          <w:lang w:val="sk-SK"/>
        </w:rPr>
        <w:t xml:space="preserve">NMDA </w:t>
      </w:r>
      <w:r w:rsidRPr="00C101CC">
        <w:rPr>
          <w:sz w:val="22"/>
          <w:szCs w:val="22"/>
          <w:lang w:val="sk-SK"/>
        </w:rPr>
        <w:t>podtype receptor</w:t>
      </w:r>
      <w:r w:rsidR="000B0982" w:rsidRPr="00C101CC">
        <w:rPr>
          <w:sz w:val="22"/>
          <w:szCs w:val="22"/>
          <w:lang w:val="sk-SK"/>
        </w:rPr>
        <w:t>a</w:t>
      </w:r>
      <w:r w:rsidRPr="00C101CC">
        <w:rPr>
          <w:sz w:val="22"/>
          <w:szCs w:val="22"/>
          <w:lang w:val="sk-SK"/>
        </w:rPr>
        <w:t xml:space="preserve">. Tieto účinky topiramátu boli závislé </w:t>
      </w:r>
      <w:r w:rsidR="000B0982" w:rsidRPr="00C101CC">
        <w:rPr>
          <w:sz w:val="22"/>
          <w:szCs w:val="22"/>
          <w:lang w:val="sk-SK"/>
        </w:rPr>
        <w:t xml:space="preserve">od </w:t>
      </w:r>
      <w:r w:rsidRPr="00C101CC">
        <w:rPr>
          <w:sz w:val="22"/>
          <w:szCs w:val="22"/>
          <w:lang w:val="sk-SK"/>
        </w:rPr>
        <w:t>koncentráci</w:t>
      </w:r>
      <w:r w:rsidR="000B0982" w:rsidRPr="00C101CC">
        <w:rPr>
          <w:sz w:val="22"/>
          <w:szCs w:val="22"/>
          <w:lang w:val="sk-SK"/>
        </w:rPr>
        <w:t>e</w:t>
      </w:r>
      <w:r w:rsidRPr="00C101CC">
        <w:rPr>
          <w:sz w:val="22"/>
          <w:szCs w:val="22"/>
          <w:lang w:val="sk-SK"/>
        </w:rPr>
        <w:t xml:space="preserve"> v rozsahu od 1 do 200</w:t>
      </w:r>
      <w:r w:rsidR="00D33E57">
        <w:rPr>
          <w:sz w:val="22"/>
          <w:szCs w:val="22"/>
          <w:lang w:val="sk-SK"/>
        </w:rPr>
        <w:t> </w:t>
      </w:r>
      <w:r w:rsidRPr="00C101CC">
        <w:rPr>
          <w:sz w:val="22"/>
          <w:szCs w:val="22"/>
          <w:lang w:val="sk-SK"/>
        </w:rPr>
        <w:t xml:space="preserve">μmol, pri minimálnom účinku </w:t>
      </w:r>
      <w:r w:rsidR="000B0982" w:rsidRPr="00C101CC">
        <w:rPr>
          <w:sz w:val="22"/>
          <w:szCs w:val="22"/>
          <w:lang w:val="sk-SK"/>
        </w:rPr>
        <w:t xml:space="preserve">pozorovanom </w:t>
      </w:r>
      <w:r w:rsidRPr="00C101CC">
        <w:rPr>
          <w:sz w:val="22"/>
          <w:szCs w:val="22"/>
          <w:lang w:val="sk-SK"/>
        </w:rPr>
        <w:t>od 1 do 10</w:t>
      </w:r>
      <w:r w:rsidR="00215D65" w:rsidRPr="00C101CC">
        <w:rPr>
          <w:sz w:val="22"/>
          <w:szCs w:val="22"/>
          <w:lang w:val="sk-SK"/>
        </w:rPr>
        <w:t> </w:t>
      </w:r>
      <w:r w:rsidRPr="00C101CC">
        <w:rPr>
          <w:sz w:val="22"/>
          <w:szCs w:val="22"/>
          <w:lang w:val="sk-SK"/>
        </w:rPr>
        <w:t>μmol.</w:t>
      </w:r>
    </w:p>
    <w:p w14:paraId="7F2255F4" w14:textId="77777777" w:rsidR="00FF7468" w:rsidRPr="00C101CC" w:rsidRDefault="00FF7468">
      <w:pPr>
        <w:pStyle w:val="Default"/>
        <w:rPr>
          <w:sz w:val="22"/>
          <w:szCs w:val="22"/>
          <w:lang w:val="sk-SK"/>
        </w:rPr>
      </w:pPr>
    </w:p>
    <w:p w14:paraId="63486434" w14:textId="77777777" w:rsidR="00FF7468" w:rsidRPr="00C101CC" w:rsidRDefault="00FF7468">
      <w:pPr>
        <w:tabs>
          <w:tab w:val="clear" w:pos="567"/>
        </w:tabs>
        <w:suppressAutoHyphens/>
        <w:spacing w:line="240" w:lineRule="auto"/>
        <w:ind w:right="-369"/>
        <w:rPr>
          <w:szCs w:val="22"/>
          <w:lang w:val="sk-SK"/>
        </w:rPr>
      </w:pPr>
      <w:r w:rsidRPr="00C101CC">
        <w:rPr>
          <w:szCs w:val="22"/>
          <w:lang w:val="sk-SK"/>
        </w:rPr>
        <w:t xml:space="preserve">Topiramát navyše inhibuje niektoré izoenzýmy karboanhydrázy. Tento farmakokinetický účinok je oveľa slabší v porovnaní s acetazolamidom, </w:t>
      </w:r>
      <w:r w:rsidR="00F80E2A" w:rsidRPr="00C101CC">
        <w:rPr>
          <w:szCs w:val="22"/>
          <w:lang w:val="sk-SK"/>
        </w:rPr>
        <w:t xml:space="preserve">známym </w:t>
      </w:r>
      <w:r w:rsidRPr="00C101CC">
        <w:rPr>
          <w:szCs w:val="22"/>
          <w:lang w:val="sk-SK"/>
        </w:rPr>
        <w:t>inhibítorom karboanhydrázy, a nepovažuje sa za hlavn</w:t>
      </w:r>
      <w:r w:rsidR="00F80E2A" w:rsidRPr="00C101CC">
        <w:rPr>
          <w:szCs w:val="22"/>
          <w:lang w:val="sk-SK"/>
        </w:rPr>
        <w:t>ú</w:t>
      </w:r>
      <w:r w:rsidRPr="00C101CC">
        <w:rPr>
          <w:szCs w:val="22"/>
          <w:lang w:val="sk-SK"/>
        </w:rPr>
        <w:t xml:space="preserve"> </w:t>
      </w:r>
      <w:r w:rsidR="00F80E2A" w:rsidRPr="00C101CC">
        <w:rPr>
          <w:szCs w:val="22"/>
          <w:lang w:val="sk-SK"/>
        </w:rPr>
        <w:t xml:space="preserve">zložku </w:t>
      </w:r>
      <w:r w:rsidRPr="00C101CC">
        <w:rPr>
          <w:szCs w:val="22"/>
          <w:lang w:val="sk-SK"/>
        </w:rPr>
        <w:t>antiepileptick</w:t>
      </w:r>
      <w:r w:rsidR="00F80E2A" w:rsidRPr="00C101CC">
        <w:rPr>
          <w:szCs w:val="22"/>
          <w:lang w:val="sk-SK"/>
        </w:rPr>
        <w:t>ého</w:t>
      </w:r>
      <w:r w:rsidRPr="00C101CC">
        <w:rPr>
          <w:szCs w:val="22"/>
          <w:lang w:val="sk-SK"/>
        </w:rPr>
        <w:t xml:space="preserve"> účin</w:t>
      </w:r>
      <w:r w:rsidR="00F80E2A" w:rsidRPr="00C101CC">
        <w:rPr>
          <w:szCs w:val="22"/>
          <w:lang w:val="sk-SK"/>
        </w:rPr>
        <w:t>ku</w:t>
      </w:r>
      <w:r w:rsidRPr="00C101CC">
        <w:rPr>
          <w:szCs w:val="22"/>
          <w:lang w:val="sk-SK"/>
        </w:rPr>
        <w:t xml:space="preserve"> topiramátu.</w:t>
      </w:r>
    </w:p>
    <w:p w14:paraId="6B3914C0" w14:textId="77777777" w:rsidR="00FF7468" w:rsidRPr="00C101CC" w:rsidRDefault="00FF7468">
      <w:pPr>
        <w:tabs>
          <w:tab w:val="clear" w:pos="567"/>
        </w:tabs>
        <w:suppressAutoHyphens/>
        <w:spacing w:line="240" w:lineRule="auto"/>
        <w:ind w:right="-369"/>
        <w:rPr>
          <w:szCs w:val="22"/>
          <w:lang w:val="sk-SK"/>
        </w:rPr>
      </w:pPr>
    </w:p>
    <w:p w14:paraId="07DDFF3E" w14:textId="77777777" w:rsidR="00FF7468" w:rsidRPr="00C101CC" w:rsidRDefault="00FF7468">
      <w:pPr>
        <w:tabs>
          <w:tab w:val="clear" w:pos="567"/>
        </w:tabs>
        <w:suppressAutoHyphens/>
        <w:spacing w:line="240" w:lineRule="auto"/>
        <w:ind w:right="-369"/>
        <w:rPr>
          <w:szCs w:val="22"/>
          <w:lang w:val="sk-SK"/>
        </w:rPr>
      </w:pPr>
      <w:r w:rsidRPr="00C101CC">
        <w:rPr>
          <w:szCs w:val="22"/>
          <w:lang w:val="sk-SK"/>
        </w:rPr>
        <w:t xml:space="preserve">V štúdiách </w:t>
      </w:r>
      <w:r w:rsidR="00F80E2A" w:rsidRPr="00C101CC">
        <w:rPr>
          <w:szCs w:val="22"/>
          <w:lang w:val="sk-SK"/>
        </w:rPr>
        <w:t xml:space="preserve">na </w:t>
      </w:r>
      <w:r w:rsidRPr="00C101CC">
        <w:rPr>
          <w:szCs w:val="22"/>
          <w:lang w:val="sk-SK"/>
        </w:rPr>
        <w:t>zvierat</w:t>
      </w:r>
      <w:r w:rsidR="00F80E2A" w:rsidRPr="00C101CC">
        <w:rPr>
          <w:szCs w:val="22"/>
          <w:lang w:val="sk-SK"/>
        </w:rPr>
        <w:t>ách</w:t>
      </w:r>
      <w:r w:rsidRPr="00C101CC">
        <w:rPr>
          <w:szCs w:val="22"/>
          <w:lang w:val="sk-SK"/>
        </w:rPr>
        <w:t xml:space="preserve"> topiramát vykazoval antikonvulzívny účinok u potkanov a myší pri teste so záchvatmi vyvolanými maximálnym elektrošokom (MES</w:t>
      </w:r>
      <w:r w:rsidR="00216D39" w:rsidRPr="00C101CC">
        <w:rPr>
          <w:szCs w:val="22"/>
          <w:lang w:val="sk-SK"/>
        </w:rPr>
        <w:t xml:space="preserve"> – maximal electroshock seizure</w:t>
      </w:r>
      <w:r w:rsidR="00020C40" w:rsidRPr="00C101CC">
        <w:rPr>
          <w:szCs w:val="22"/>
          <w:lang w:val="sk-SK"/>
        </w:rPr>
        <w:t>) a je účinný u </w:t>
      </w:r>
      <w:r w:rsidRPr="00C101CC">
        <w:rPr>
          <w:szCs w:val="22"/>
          <w:lang w:val="sk-SK"/>
        </w:rPr>
        <w:t>hlodavcov s epilepsiou, ktorá zahŕňa tonické kŕče a záchvaty podobné absencii u potkanov so spontánnou epilepsiou (SER</w:t>
      </w:r>
      <w:r w:rsidR="00C1177E" w:rsidRPr="00C101CC">
        <w:rPr>
          <w:szCs w:val="22"/>
          <w:lang w:val="sk-SK"/>
        </w:rPr>
        <w:t xml:space="preserve"> – spontaneous epileptic rat</w:t>
      </w:r>
      <w:r w:rsidRPr="00C101CC">
        <w:rPr>
          <w:szCs w:val="22"/>
          <w:lang w:val="sk-SK"/>
        </w:rPr>
        <w:t>) a u potkanov s tonickými a klonickými kŕčmi vyvolanými dráždením amygdal</w:t>
      </w:r>
      <w:r w:rsidR="00A8464E" w:rsidRPr="00C101CC">
        <w:rPr>
          <w:szCs w:val="22"/>
          <w:lang w:val="sk-SK"/>
        </w:rPr>
        <w:t>y</w:t>
      </w:r>
      <w:r w:rsidRPr="00C101CC">
        <w:rPr>
          <w:szCs w:val="22"/>
          <w:lang w:val="sk-SK"/>
        </w:rPr>
        <w:t xml:space="preserve"> alebo celkovou ischémiou. Topiramát je len slabo účinný v blokovaní klonických kŕčov vyvolaných antagonistom GABA</w:t>
      </w:r>
      <w:r w:rsidRPr="00C101CC">
        <w:rPr>
          <w:szCs w:val="22"/>
          <w:vertAlign w:val="subscript"/>
          <w:lang w:val="sk-SK"/>
        </w:rPr>
        <w:t>A</w:t>
      </w:r>
      <w:r w:rsidRPr="00C101CC">
        <w:rPr>
          <w:szCs w:val="22"/>
          <w:lang w:val="sk-SK"/>
        </w:rPr>
        <w:t xml:space="preserve"> receptorov, pentetrazolom.</w:t>
      </w:r>
    </w:p>
    <w:p w14:paraId="6A9599CE" w14:textId="77777777" w:rsidR="00FF7468" w:rsidRPr="00C101CC" w:rsidRDefault="00FF7468">
      <w:pPr>
        <w:pStyle w:val="Default"/>
        <w:rPr>
          <w:sz w:val="22"/>
          <w:szCs w:val="22"/>
          <w:lang w:val="sk-SK"/>
        </w:rPr>
      </w:pPr>
    </w:p>
    <w:p w14:paraId="083A5B17" w14:textId="7D0F0232" w:rsidR="00FF7468" w:rsidRPr="00C101CC" w:rsidRDefault="00FF7468">
      <w:pPr>
        <w:pStyle w:val="Default"/>
        <w:rPr>
          <w:sz w:val="22"/>
          <w:szCs w:val="22"/>
          <w:lang w:val="sk-SK"/>
        </w:rPr>
      </w:pPr>
      <w:r w:rsidRPr="00C101CC">
        <w:rPr>
          <w:sz w:val="22"/>
          <w:szCs w:val="22"/>
          <w:lang w:val="sk-SK"/>
        </w:rPr>
        <w:t>Štúdie na myšiach, ktorým sa sú</w:t>
      </w:r>
      <w:r w:rsidR="008C445F" w:rsidRPr="00C101CC">
        <w:rPr>
          <w:sz w:val="22"/>
          <w:szCs w:val="22"/>
          <w:lang w:val="sk-SK"/>
        </w:rPr>
        <w:t>bež</w:t>
      </w:r>
      <w:r w:rsidRPr="00C101CC">
        <w:rPr>
          <w:sz w:val="22"/>
          <w:szCs w:val="22"/>
          <w:lang w:val="sk-SK"/>
        </w:rPr>
        <w:t xml:space="preserve">ne podával topiramát a karbamazepín alebo fenobarbital, vykazovali synergickú antikonvulzívnu aktivitu, zatiaľ čo kombinácia s fenytoínom vykázala aditívnu antikonvulzívnu aktivitu. V kontrolovaných štúdiách s prídavnou terapiou topiramátom sa nepreukázala žiadna korelácia medzi plazmatickými hladinami topiramátu </w:t>
      </w:r>
      <w:r w:rsidR="00013551" w:rsidRPr="00C101CC">
        <w:rPr>
          <w:sz w:val="22"/>
          <w:szCs w:val="22"/>
          <w:lang w:val="sk-SK"/>
        </w:rPr>
        <w:t xml:space="preserve">na konci dávkového intervalu </w:t>
      </w:r>
      <w:r w:rsidRPr="00C101CC">
        <w:rPr>
          <w:sz w:val="22"/>
          <w:szCs w:val="22"/>
          <w:lang w:val="sk-SK"/>
        </w:rPr>
        <w:t>a jeho klinickou účinnosťou. U ľudí sa nepreukázal žiadny vývoj tolerancie voči topiramátu.</w:t>
      </w:r>
    </w:p>
    <w:p w14:paraId="41C5405F" w14:textId="77777777" w:rsidR="00FF7468" w:rsidRPr="00C101CC" w:rsidRDefault="00FF7468">
      <w:pPr>
        <w:pStyle w:val="Default"/>
        <w:rPr>
          <w:sz w:val="22"/>
          <w:szCs w:val="22"/>
          <w:lang w:val="sk-SK"/>
        </w:rPr>
      </w:pPr>
    </w:p>
    <w:p w14:paraId="47434D22" w14:textId="77777777" w:rsidR="009F40A9" w:rsidRPr="00C101CC" w:rsidRDefault="00FE631C">
      <w:pPr>
        <w:keepNext/>
        <w:spacing w:line="240" w:lineRule="auto"/>
        <w:rPr>
          <w:szCs w:val="22"/>
          <w:u w:val="single"/>
          <w:lang w:val="sk-SK"/>
        </w:rPr>
      </w:pPr>
      <w:r w:rsidRPr="00C101CC">
        <w:rPr>
          <w:szCs w:val="22"/>
          <w:u w:val="single"/>
          <w:lang w:val="sk-SK"/>
        </w:rPr>
        <w:t>Epilepsia s absenciou</w:t>
      </w:r>
    </w:p>
    <w:p w14:paraId="33C4EAFD" w14:textId="2A6B83F8" w:rsidR="009F40A9" w:rsidRPr="00C101CC" w:rsidRDefault="00306857">
      <w:pPr>
        <w:keepNext/>
        <w:spacing w:line="240" w:lineRule="auto"/>
        <w:rPr>
          <w:color w:val="0000FF"/>
          <w:szCs w:val="22"/>
          <w:lang w:val="sk-SK"/>
        </w:rPr>
      </w:pPr>
      <w:r w:rsidRPr="00C101CC">
        <w:rPr>
          <w:color w:val="000000"/>
          <w:szCs w:val="22"/>
          <w:lang w:val="sk-SK"/>
        </w:rPr>
        <w:t>U detí vo veku 4 - 11</w:t>
      </w:r>
      <w:r w:rsidR="00215D65" w:rsidRPr="00C101CC">
        <w:rPr>
          <w:color w:val="000000"/>
          <w:szCs w:val="22"/>
          <w:lang w:val="sk-SK"/>
        </w:rPr>
        <w:t> </w:t>
      </w:r>
      <w:r w:rsidRPr="00C101CC">
        <w:rPr>
          <w:color w:val="000000"/>
          <w:szCs w:val="22"/>
          <w:lang w:val="sk-SK"/>
        </w:rPr>
        <w:t>rokov boli vykonané d</w:t>
      </w:r>
      <w:r w:rsidR="005871CF" w:rsidRPr="00C101CC">
        <w:rPr>
          <w:color w:val="000000"/>
          <w:szCs w:val="22"/>
          <w:lang w:val="sk-SK"/>
        </w:rPr>
        <w:t xml:space="preserve">ve malé štúdie s jedným ramenom </w:t>
      </w:r>
      <w:r w:rsidR="009F40A9" w:rsidRPr="00C101CC">
        <w:rPr>
          <w:color w:val="000000"/>
          <w:szCs w:val="22"/>
          <w:lang w:val="sk-SK"/>
        </w:rPr>
        <w:t xml:space="preserve">(CAPSS-326 a TOPAMAT-ABS-001). </w:t>
      </w:r>
      <w:r w:rsidR="005871CF" w:rsidRPr="00C101CC">
        <w:rPr>
          <w:color w:val="000000"/>
          <w:szCs w:val="22"/>
          <w:lang w:val="sk-SK"/>
        </w:rPr>
        <w:t xml:space="preserve">Jedna zahŕňala </w:t>
      </w:r>
      <w:r w:rsidR="009F40A9" w:rsidRPr="00C101CC">
        <w:rPr>
          <w:color w:val="000000"/>
          <w:szCs w:val="22"/>
          <w:lang w:val="sk-SK"/>
        </w:rPr>
        <w:t xml:space="preserve">5 </w:t>
      </w:r>
      <w:r w:rsidR="005871CF" w:rsidRPr="00C101CC">
        <w:rPr>
          <w:color w:val="000000"/>
          <w:szCs w:val="22"/>
          <w:lang w:val="sk-SK"/>
        </w:rPr>
        <w:t xml:space="preserve">detí a druhá zahŕňala </w:t>
      </w:r>
      <w:r w:rsidR="009F40A9" w:rsidRPr="00C101CC">
        <w:rPr>
          <w:color w:val="000000"/>
          <w:szCs w:val="22"/>
          <w:lang w:val="sk-SK"/>
        </w:rPr>
        <w:t xml:space="preserve">12 </w:t>
      </w:r>
      <w:r w:rsidR="005871CF" w:rsidRPr="00C101CC">
        <w:rPr>
          <w:color w:val="000000"/>
          <w:szCs w:val="22"/>
          <w:lang w:val="sk-SK"/>
        </w:rPr>
        <w:t xml:space="preserve">detí predtým, ako bola ukončená z dôvodu nedostatočnej terapeutickej odpovede. Dávky používané v týchto štúdiách boli približne </w:t>
      </w:r>
      <w:r w:rsidR="00205DC5" w:rsidRPr="00C101CC">
        <w:rPr>
          <w:color w:val="000000"/>
          <w:szCs w:val="22"/>
          <w:lang w:val="sk-SK"/>
        </w:rPr>
        <w:t xml:space="preserve">až do </w:t>
      </w:r>
      <w:r w:rsidR="005871CF" w:rsidRPr="00C101CC">
        <w:rPr>
          <w:szCs w:val="22"/>
          <w:lang w:val="sk-SK"/>
        </w:rPr>
        <w:t xml:space="preserve">12 mg/kg v štúdii </w:t>
      </w:r>
      <w:r w:rsidR="009F40A9" w:rsidRPr="00C101CC">
        <w:rPr>
          <w:color w:val="000000"/>
          <w:szCs w:val="22"/>
          <w:lang w:val="sk-SK"/>
        </w:rPr>
        <w:t xml:space="preserve">TOPAMAT-ABS-001 a maximum </w:t>
      </w:r>
      <w:r w:rsidR="00205DC5" w:rsidRPr="00C101CC">
        <w:rPr>
          <w:color w:val="000000"/>
          <w:szCs w:val="22"/>
          <w:lang w:val="sk-SK"/>
        </w:rPr>
        <w:t>toho, čo bolo menšie z</w:t>
      </w:r>
      <w:r w:rsidR="00215D65" w:rsidRPr="00C101CC">
        <w:rPr>
          <w:color w:val="000000"/>
          <w:szCs w:val="22"/>
          <w:lang w:val="sk-SK"/>
        </w:rPr>
        <w:t> </w:t>
      </w:r>
      <w:r w:rsidR="009F40A9" w:rsidRPr="00C101CC">
        <w:rPr>
          <w:color w:val="000000"/>
          <w:szCs w:val="22"/>
          <w:lang w:val="sk-SK"/>
        </w:rPr>
        <w:t>9</w:t>
      </w:r>
      <w:r w:rsidR="00215D65" w:rsidRPr="00C101CC">
        <w:rPr>
          <w:color w:val="000000"/>
          <w:szCs w:val="22"/>
          <w:lang w:val="sk-SK"/>
        </w:rPr>
        <w:t> </w:t>
      </w:r>
      <w:r w:rsidR="009F40A9" w:rsidRPr="00C101CC">
        <w:rPr>
          <w:color w:val="000000"/>
          <w:szCs w:val="22"/>
          <w:lang w:val="sk-SK"/>
        </w:rPr>
        <w:t>mg/kg/</w:t>
      </w:r>
      <w:r w:rsidR="005871CF" w:rsidRPr="00C101CC">
        <w:rPr>
          <w:color w:val="000000"/>
          <w:szCs w:val="22"/>
          <w:lang w:val="sk-SK"/>
        </w:rPr>
        <w:t>denne</w:t>
      </w:r>
      <w:r w:rsidR="009F40A9" w:rsidRPr="00C101CC">
        <w:rPr>
          <w:color w:val="000000"/>
          <w:szCs w:val="22"/>
          <w:lang w:val="sk-SK"/>
        </w:rPr>
        <w:t xml:space="preserve"> </w:t>
      </w:r>
      <w:r w:rsidR="005871CF" w:rsidRPr="00C101CC">
        <w:rPr>
          <w:color w:val="000000"/>
          <w:szCs w:val="22"/>
          <w:lang w:val="sk-SK"/>
        </w:rPr>
        <w:t>alebo 400 </w:t>
      </w:r>
      <w:r w:rsidR="009F40A9" w:rsidRPr="00C101CC">
        <w:rPr>
          <w:color w:val="000000"/>
          <w:szCs w:val="22"/>
          <w:lang w:val="sk-SK"/>
        </w:rPr>
        <w:t>mg/</w:t>
      </w:r>
      <w:r w:rsidR="005871CF" w:rsidRPr="00C101CC">
        <w:rPr>
          <w:color w:val="000000"/>
          <w:szCs w:val="22"/>
          <w:lang w:val="sk-SK"/>
        </w:rPr>
        <w:t xml:space="preserve">denne v štúdii </w:t>
      </w:r>
      <w:r w:rsidR="009F40A9" w:rsidRPr="00C101CC">
        <w:rPr>
          <w:color w:val="000000"/>
          <w:szCs w:val="22"/>
          <w:lang w:val="sk-SK"/>
        </w:rPr>
        <w:t xml:space="preserve">CAPSS-326. </w:t>
      </w:r>
      <w:r w:rsidR="005871CF" w:rsidRPr="00C101CC">
        <w:rPr>
          <w:color w:val="000000"/>
          <w:szCs w:val="22"/>
          <w:lang w:val="sk-SK"/>
        </w:rPr>
        <w:t xml:space="preserve">Tieto štúdie neposkytli dostatočný dôkaz na dosiahnutie záveru ohľadom účinnosti alebo bezpečnosti u detí alebo dospievajúcich. </w:t>
      </w:r>
    </w:p>
    <w:p w14:paraId="2477B292" w14:textId="77777777" w:rsidR="009F40A9" w:rsidRPr="00C101CC" w:rsidRDefault="009F40A9">
      <w:pPr>
        <w:pStyle w:val="Default"/>
        <w:rPr>
          <w:sz w:val="22"/>
          <w:szCs w:val="22"/>
          <w:lang w:val="sk-SK"/>
        </w:rPr>
      </w:pPr>
    </w:p>
    <w:p w14:paraId="1F0A4988" w14:textId="77777777" w:rsidR="00FF7468" w:rsidRPr="00C101CC" w:rsidRDefault="00FF7468">
      <w:pPr>
        <w:keepNext/>
        <w:spacing w:line="240" w:lineRule="auto"/>
        <w:jc w:val="both"/>
        <w:rPr>
          <w:szCs w:val="22"/>
          <w:lang w:val="sk-SK"/>
        </w:rPr>
      </w:pPr>
      <w:r w:rsidRPr="00C101CC">
        <w:rPr>
          <w:b/>
          <w:szCs w:val="22"/>
          <w:lang w:val="sk-SK"/>
        </w:rPr>
        <w:t>5.2</w:t>
      </w:r>
      <w:r w:rsidRPr="00C101CC">
        <w:rPr>
          <w:b/>
          <w:szCs w:val="22"/>
          <w:lang w:val="sk-SK"/>
        </w:rPr>
        <w:tab/>
        <w:t>Farmakokinetické vlastnosti</w:t>
      </w:r>
    </w:p>
    <w:p w14:paraId="68B3AC9D" w14:textId="77777777" w:rsidR="00FF7468" w:rsidRPr="00C101CC" w:rsidRDefault="00FF7468">
      <w:pPr>
        <w:keepNext/>
        <w:spacing w:line="240" w:lineRule="auto"/>
        <w:jc w:val="both"/>
        <w:rPr>
          <w:szCs w:val="22"/>
          <w:lang w:val="sk-SK"/>
        </w:rPr>
      </w:pPr>
    </w:p>
    <w:p w14:paraId="4FF1E471" w14:textId="77777777" w:rsidR="00FF7468" w:rsidRPr="00C101CC" w:rsidRDefault="00FF7468">
      <w:pPr>
        <w:pStyle w:val="EMEAEnBodyText"/>
        <w:keepNext/>
        <w:tabs>
          <w:tab w:val="left" w:pos="567"/>
        </w:tabs>
        <w:spacing w:before="0" w:after="0"/>
        <w:rPr>
          <w:b/>
          <w:szCs w:val="22"/>
          <w:lang w:val="sk-SK"/>
        </w:rPr>
      </w:pPr>
      <w:r w:rsidRPr="00C101CC">
        <w:rPr>
          <w:szCs w:val="22"/>
          <w:lang w:val="sk-SK"/>
        </w:rPr>
        <w:t>Filmom obalené tablety a tvrdé kapsuly sú bioekvivalentné.</w:t>
      </w:r>
    </w:p>
    <w:p w14:paraId="0DD5A1FD" w14:textId="77777777" w:rsidR="00FF7468" w:rsidRPr="00C101CC" w:rsidRDefault="00FF7468">
      <w:pPr>
        <w:pStyle w:val="Default"/>
        <w:rPr>
          <w:sz w:val="22"/>
          <w:szCs w:val="22"/>
          <w:lang w:val="sk-SK"/>
        </w:rPr>
      </w:pPr>
    </w:p>
    <w:p w14:paraId="57B41FB4" w14:textId="77777777" w:rsidR="00FF7468" w:rsidRPr="00C101CC" w:rsidRDefault="00FF7468">
      <w:pPr>
        <w:pStyle w:val="Default"/>
        <w:rPr>
          <w:strike/>
          <w:sz w:val="22"/>
          <w:szCs w:val="22"/>
          <w:lang w:val="sk-SK"/>
        </w:rPr>
      </w:pPr>
      <w:r w:rsidRPr="00C101CC">
        <w:rPr>
          <w:sz w:val="22"/>
          <w:szCs w:val="22"/>
          <w:lang w:val="sk-SK"/>
        </w:rPr>
        <w:t>Farmakokinetický profil topiramátu</w:t>
      </w:r>
      <w:r w:rsidR="00013551" w:rsidRPr="00C101CC">
        <w:rPr>
          <w:sz w:val="22"/>
          <w:szCs w:val="22"/>
          <w:lang w:val="sk-SK"/>
        </w:rPr>
        <w:t>,</w:t>
      </w:r>
      <w:r w:rsidRPr="00C101CC">
        <w:rPr>
          <w:sz w:val="22"/>
          <w:szCs w:val="22"/>
          <w:lang w:val="sk-SK"/>
        </w:rPr>
        <w:t xml:space="preserve"> v porovnaní s inými antiepileptikami</w:t>
      </w:r>
      <w:r w:rsidR="00013551" w:rsidRPr="00C101CC">
        <w:rPr>
          <w:sz w:val="22"/>
          <w:szCs w:val="22"/>
          <w:lang w:val="sk-SK"/>
        </w:rPr>
        <w:t>,</w:t>
      </w:r>
      <w:r w:rsidRPr="00C101CC">
        <w:rPr>
          <w:sz w:val="22"/>
          <w:szCs w:val="22"/>
          <w:lang w:val="sk-SK"/>
        </w:rPr>
        <w:t xml:space="preserve"> vykazuje dlhý plazmatický polčas, lineárnu farmakokinetiku, </w:t>
      </w:r>
      <w:r w:rsidR="00013551" w:rsidRPr="00C101CC">
        <w:rPr>
          <w:sz w:val="22"/>
          <w:szCs w:val="22"/>
          <w:lang w:val="sk-SK"/>
        </w:rPr>
        <w:t xml:space="preserve">prevažne </w:t>
      </w:r>
      <w:r w:rsidRPr="00C101CC">
        <w:rPr>
          <w:sz w:val="22"/>
          <w:szCs w:val="22"/>
          <w:lang w:val="sk-SK"/>
        </w:rPr>
        <w:t>renálny klírens, absenciu signifikantn</w:t>
      </w:r>
      <w:r w:rsidR="00013551" w:rsidRPr="00C101CC">
        <w:rPr>
          <w:sz w:val="22"/>
          <w:szCs w:val="22"/>
          <w:lang w:val="sk-SK"/>
        </w:rPr>
        <w:t>ej</w:t>
      </w:r>
      <w:r w:rsidRPr="00C101CC">
        <w:rPr>
          <w:sz w:val="22"/>
          <w:szCs w:val="22"/>
          <w:lang w:val="sk-SK"/>
        </w:rPr>
        <w:t xml:space="preserve"> </w:t>
      </w:r>
      <w:r w:rsidR="00013551" w:rsidRPr="00C101CC">
        <w:rPr>
          <w:sz w:val="22"/>
          <w:szCs w:val="22"/>
          <w:lang w:val="sk-SK"/>
        </w:rPr>
        <w:t>väzby na proteíny</w:t>
      </w:r>
      <w:r w:rsidRPr="00C101CC">
        <w:rPr>
          <w:sz w:val="22"/>
          <w:szCs w:val="22"/>
          <w:lang w:val="sk-SK"/>
        </w:rPr>
        <w:t xml:space="preserve"> a neprítomnosť klinicky relevantných aktívnych metabolitov.</w:t>
      </w:r>
    </w:p>
    <w:p w14:paraId="34313075" w14:textId="77777777" w:rsidR="00FF7468" w:rsidRPr="00C101CC" w:rsidRDefault="00FF7468">
      <w:pPr>
        <w:pStyle w:val="Default"/>
        <w:rPr>
          <w:sz w:val="22"/>
          <w:szCs w:val="22"/>
          <w:lang w:val="sk-SK"/>
        </w:rPr>
      </w:pPr>
    </w:p>
    <w:p w14:paraId="5E1CB9D7" w14:textId="77777777" w:rsidR="00FF7468" w:rsidRPr="00C101CC" w:rsidRDefault="00FF7468">
      <w:pPr>
        <w:pStyle w:val="Default"/>
        <w:rPr>
          <w:sz w:val="22"/>
          <w:szCs w:val="22"/>
          <w:lang w:val="sk-SK"/>
        </w:rPr>
      </w:pPr>
      <w:r w:rsidRPr="00C101CC">
        <w:rPr>
          <w:sz w:val="22"/>
          <w:szCs w:val="22"/>
          <w:lang w:val="sk-SK"/>
        </w:rPr>
        <w:t xml:space="preserve">Topiramát nie je silný induktor enzýmov metabolizujúcich lieky, môže sa podávať bez ohľadu na jedlo a monitorovanie plazmatických hladín topiramátu </w:t>
      </w:r>
      <w:r w:rsidR="00453DEA" w:rsidRPr="00C101CC">
        <w:rPr>
          <w:sz w:val="22"/>
          <w:szCs w:val="22"/>
          <w:lang w:val="sk-SK"/>
        </w:rPr>
        <w:t>nie je potrebné</w:t>
      </w:r>
      <w:r w:rsidRPr="00C101CC">
        <w:rPr>
          <w:sz w:val="22"/>
          <w:szCs w:val="22"/>
          <w:lang w:val="sk-SK"/>
        </w:rPr>
        <w:t xml:space="preserve">. V klinických štúdiách sa nepotvrdila žiadna </w:t>
      </w:r>
      <w:r w:rsidR="00453DEA" w:rsidRPr="00C101CC">
        <w:rPr>
          <w:sz w:val="22"/>
          <w:szCs w:val="22"/>
          <w:lang w:val="sk-SK"/>
        </w:rPr>
        <w:t xml:space="preserve">konzistentná </w:t>
      </w:r>
      <w:r w:rsidRPr="00C101CC">
        <w:rPr>
          <w:sz w:val="22"/>
          <w:szCs w:val="22"/>
          <w:lang w:val="sk-SK"/>
        </w:rPr>
        <w:t>súvislosť medzi plazmatickými hladinami a účinnosťou alebo nežiaducimi účinkami.</w:t>
      </w:r>
    </w:p>
    <w:p w14:paraId="0F1255EF" w14:textId="77777777" w:rsidR="00FF7468" w:rsidRPr="00C101CC" w:rsidRDefault="00FF7468">
      <w:pPr>
        <w:pStyle w:val="Default"/>
        <w:rPr>
          <w:sz w:val="22"/>
          <w:szCs w:val="22"/>
          <w:lang w:val="sk-SK"/>
        </w:rPr>
      </w:pPr>
    </w:p>
    <w:p w14:paraId="4D7769B8" w14:textId="77777777" w:rsidR="00FF7468" w:rsidRPr="00C101CC" w:rsidRDefault="00FF7468">
      <w:pPr>
        <w:pStyle w:val="Default"/>
        <w:keepNext/>
        <w:rPr>
          <w:sz w:val="22"/>
          <w:szCs w:val="22"/>
          <w:u w:val="single"/>
          <w:lang w:val="sk-SK"/>
        </w:rPr>
      </w:pPr>
      <w:r w:rsidRPr="00C101CC">
        <w:rPr>
          <w:sz w:val="22"/>
          <w:szCs w:val="22"/>
          <w:u w:val="single"/>
          <w:lang w:val="sk-SK"/>
        </w:rPr>
        <w:t>Absorpcia</w:t>
      </w:r>
    </w:p>
    <w:p w14:paraId="4E0A56E1" w14:textId="52732591" w:rsidR="00FF7468" w:rsidRPr="00C101CC" w:rsidRDefault="00FF7468">
      <w:pPr>
        <w:pStyle w:val="Zarkazkladnhotextu3"/>
        <w:tabs>
          <w:tab w:val="clear" w:pos="567"/>
          <w:tab w:val="clear" w:pos="1134"/>
          <w:tab w:val="left" w:pos="8222"/>
        </w:tabs>
        <w:spacing w:line="240" w:lineRule="auto"/>
        <w:ind w:left="0" w:right="-369"/>
        <w:jc w:val="left"/>
        <w:rPr>
          <w:szCs w:val="22"/>
          <w:lang w:val="sk-SK"/>
        </w:rPr>
      </w:pPr>
      <w:r w:rsidRPr="00C101CC">
        <w:rPr>
          <w:szCs w:val="22"/>
          <w:lang w:val="sk-SK"/>
        </w:rPr>
        <w:t>Topiramát sa rýchlo a dobre absorbuje. Po perorálnom podaní 100 mg topiramátu zdravým jedincom  priemerná</w:t>
      </w:r>
      <w:r w:rsidR="00303D7F" w:rsidRPr="00C101CC">
        <w:rPr>
          <w:szCs w:val="22"/>
          <w:lang w:val="sk-SK"/>
        </w:rPr>
        <w:t xml:space="preserve"> hodnota</w:t>
      </w:r>
      <w:r w:rsidRPr="00C101CC">
        <w:rPr>
          <w:szCs w:val="22"/>
          <w:lang w:val="sk-SK"/>
        </w:rPr>
        <w:t xml:space="preserve"> </w:t>
      </w:r>
      <w:r w:rsidR="00303D7F" w:rsidRPr="00C101CC">
        <w:rPr>
          <w:szCs w:val="22"/>
          <w:lang w:val="sk-SK"/>
        </w:rPr>
        <w:t>maximálnej</w:t>
      </w:r>
      <w:r w:rsidR="00D96263" w:rsidRPr="00C101CC">
        <w:rPr>
          <w:szCs w:val="22"/>
          <w:lang w:val="sk-SK"/>
        </w:rPr>
        <w:t xml:space="preserve"> </w:t>
      </w:r>
      <w:r w:rsidRPr="00C101CC">
        <w:rPr>
          <w:szCs w:val="22"/>
          <w:lang w:val="sk-SK"/>
        </w:rPr>
        <w:t>koncentráci</w:t>
      </w:r>
      <w:r w:rsidR="00303D7F" w:rsidRPr="00C101CC">
        <w:rPr>
          <w:szCs w:val="22"/>
          <w:lang w:val="sk-SK"/>
        </w:rPr>
        <w:t>e</w:t>
      </w:r>
      <w:r w:rsidRPr="00C101CC">
        <w:rPr>
          <w:szCs w:val="22"/>
          <w:lang w:val="sk-SK"/>
        </w:rPr>
        <w:t xml:space="preserve"> v plazme (C</w:t>
      </w:r>
      <w:r w:rsidRPr="00C101CC">
        <w:rPr>
          <w:szCs w:val="22"/>
          <w:vertAlign w:val="subscript"/>
          <w:lang w:val="sk-SK"/>
        </w:rPr>
        <w:t>max</w:t>
      </w:r>
      <w:r w:rsidRPr="00C101CC">
        <w:rPr>
          <w:szCs w:val="22"/>
          <w:lang w:val="sk-SK"/>
        </w:rPr>
        <w:t xml:space="preserve">) </w:t>
      </w:r>
      <w:r w:rsidR="00303D7F" w:rsidRPr="00C101CC">
        <w:rPr>
          <w:szCs w:val="22"/>
          <w:lang w:val="sk-SK"/>
        </w:rPr>
        <w:t xml:space="preserve">bola </w:t>
      </w:r>
      <w:r w:rsidRPr="00C101CC">
        <w:rPr>
          <w:szCs w:val="22"/>
          <w:lang w:val="sk-SK"/>
        </w:rPr>
        <w:t>1,5</w:t>
      </w:r>
      <w:r w:rsidR="00215D65" w:rsidRPr="00C101CC">
        <w:rPr>
          <w:szCs w:val="22"/>
          <w:lang w:val="sk-SK"/>
        </w:rPr>
        <w:t> </w:t>
      </w:r>
      <w:r w:rsidRPr="00C101CC">
        <w:rPr>
          <w:szCs w:val="22"/>
          <w:lang w:val="sk-SK"/>
        </w:rPr>
        <w:t xml:space="preserve">μg/ml </w:t>
      </w:r>
      <w:r w:rsidR="00303D7F" w:rsidRPr="00C101CC">
        <w:rPr>
          <w:szCs w:val="22"/>
          <w:lang w:val="sk-SK"/>
        </w:rPr>
        <w:t xml:space="preserve">a </w:t>
      </w:r>
      <w:r w:rsidRPr="00C101CC">
        <w:rPr>
          <w:szCs w:val="22"/>
          <w:lang w:val="sk-SK"/>
        </w:rPr>
        <w:t xml:space="preserve">dosiahla </w:t>
      </w:r>
      <w:r w:rsidR="00303D7F" w:rsidRPr="00C101CC">
        <w:rPr>
          <w:szCs w:val="22"/>
          <w:lang w:val="sk-SK"/>
        </w:rPr>
        <w:t xml:space="preserve">sa </w:t>
      </w:r>
      <w:r w:rsidRPr="00C101CC">
        <w:rPr>
          <w:szCs w:val="22"/>
          <w:lang w:val="sk-SK"/>
        </w:rPr>
        <w:t>za 2 až 3</w:t>
      </w:r>
      <w:r w:rsidR="00215D65" w:rsidRPr="00C101CC">
        <w:rPr>
          <w:szCs w:val="22"/>
          <w:lang w:val="sk-SK"/>
        </w:rPr>
        <w:t> </w:t>
      </w:r>
      <w:r w:rsidRPr="00C101CC">
        <w:rPr>
          <w:szCs w:val="22"/>
          <w:lang w:val="sk-SK"/>
        </w:rPr>
        <w:t>hodiny (T</w:t>
      </w:r>
      <w:r w:rsidRPr="00C101CC">
        <w:rPr>
          <w:szCs w:val="22"/>
          <w:vertAlign w:val="subscript"/>
          <w:lang w:val="sk-SK"/>
        </w:rPr>
        <w:t>max</w:t>
      </w:r>
      <w:r w:rsidRPr="00C101CC">
        <w:rPr>
          <w:szCs w:val="22"/>
          <w:lang w:val="sk-SK"/>
        </w:rPr>
        <w:t xml:space="preserve">). </w:t>
      </w:r>
    </w:p>
    <w:p w14:paraId="7DB3DA10" w14:textId="77777777" w:rsidR="00FF7468" w:rsidRPr="00C101CC" w:rsidRDefault="00FF7468">
      <w:pPr>
        <w:pStyle w:val="Zarkazkladnhotextu3"/>
        <w:tabs>
          <w:tab w:val="clear" w:pos="567"/>
          <w:tab w:val="clear" w:pos="1134"/>
          <w:tab w:val="left" w:pos="8222"/>
        </w:tabs>
        <w:spacing w:line="240" w:lineRule="auto"/>
        <w:ind w:left="0" w:right="-369"/>
        <w:rPr>
          <w:szCs w:val="22"/>
          <w:lang w:val="sk-SK"/>
        </w:rPr>
      </w:pPr>
    </w:p>
    <w:p w14:paraId="77C1A054" w14:textId="2D754498" w:rsidR="00FF7468" w:rsidRPr="00C101CC" w:rsidRDefault="00FF7468">
      <w:pPr>
        <w:pStyle w:val="Zarkazkladnhotextu3"/>
        <w:tabs>
          <w:tab w:val="clear" w:pos="567"/>
          <w:tab w:val="clear" w:pos="1134"/>
          <w:tab w:val="left" w:pos="8222"/>
        </w:tabs>
        <w:spacing w:line="240" w:lineRule="auto"/>
        <w:ind w:left="0" w:right="-369"/>
        <w:jc w:val="left"/>
        <w:rPr>
          <w:szCs w:val="22"/>
          <w:lang w:val="sk-SK"/>
        </w:rPr>
      </w:pPr>
      <w:r w:rsidRPr="00C101CC">
        <w:rPr>
          <w:szCs w:val="22"/>
          <w:lang w:val="sk-SK"/>
        </w:rPr>
        <w:t>Na základe merania rádioaktivity moču bol priemerný rozsah absorpcie 100</w:t>
      </w:r>
      <w:r w:rsidR="00D33E57">
        <w:rPr>
          <w:szCs w:val="22"/>
          <w:lang w:val="sk-SK"/>
        </w:rPr>
        <w:t> </w:t>
      </w:r>
      <w:r w:rsidRPr="00C101CC">
        <w:rPr>
          <w:szCs w:val="22"/>
          <w:lang w:val="sk-SK"/>
        </w:rPr>
        <w:t xml:space="preserve">mg perorálnej dávky </w:t>
      </w:r>
      <w:r w:rsidRPr="00C101CC">
        <w:rPr>
          <w:szCs w:val="22"/>
          <w:vertAlign w:val="superscript"/>
          <w:lang w:val="sk-SK"/>
        </w:rPr>
        <w:t>14</w:t>
      </w:r>
      <w:r w:rsidRPr="00C101CC">
        <w:rPr>
          <w:szCs w:val="22"/>
          <w:lang w:val="sk-SK"/>
        </w:rPr>
        <w:t>C-topiramátu najmenej 81</w:t>
      </w:r>
      <w:r w:rsidR="003C61AE" w:rsidRPr="00C101CC">
        <w:rPr>
          <w:szCs w:val="22"/>
          <w:lang w:val="sk-SK"/>
        </w:rPr>
        <w:t> </w:t>
      </w:r>
      <w:r w:rsidRPr="00C101CC">
        <w:rPr>
          <w:szCs w:val="22"/>
          <w:lang w:val="sk-SK"/>
        </w:rPr>
        <w:t xml:space="preserve">%. </w:t>
      </w:r>
      <w:r w:rsidR="0021622B" w:rsidRPr="00C101CC">
        <w:rPr>
          <w:szCs w:val="22"/>
          <w:lang w:val="sk-SK"/>
        </w:rPr>
        <w:t xml:space="preserve">Jedlo </w:t>
      </w:r>
      <w:r w:rsidRPr="00C101CC">
        <w:rPr>
          <w:szCs w:val="22"/>
          <w:lang w:val="sk-SK"/>
        </w:rPr>
        <w:t xml:space="preserve">nemá žiadny klinicky významný účinok na biodostupnosť topiramátu. </w:t>
      </w:r>
    </w:p>
    <w:p w14:paraId="5A30B4EB" w14:textId="77777777" w:rsidR="00FF7468" w:rsidRPr="00C101CC" w:rsidRDefault="00FF7468">
      <w:pPr>
        <w:pStyle w:val="Zarkazkladnhotextu3"/>
        <w:tabs>
          <w:tab w:val="clear" w:pos="567"/>
          <w:tab w:val="clear" w:pos="1134"/>
          <w:tab w:val="left" w:pos="8222"/>
        </w:tabs>
        <w:spacing w:line="240" w:lineRule="auto"/>
        <w:ind w:left="0" w:right="-369"/>
        <w:jc w:val="left"/>
        <w:rPr>
          <w:szCs w:val="22"/>
          <w:lang w:val="sk-SK"/>
        </w:rPr>
      </w:pPr>
    </w:p>
    <w:p w14:paraId="199985B2" w14:textId="77777777" w:rsidR="00FF7468" w:rsidRPr="00C101CC" w:rsidRDefault="00FF7468">
      <w:pPr>
        <w:pStyle w:val="Zarkazkladnhotextu3"/>
        <w:keepNext/>
        <w:tabs>
          <w:tab w:val="clear" w:pos="567"/>
          <w:tab w:val="clear" w:pos="1134"/>
          <w:tab w:val="left" w:pos="8222"/>
        </w:tabs>
        <w:spacing w:line="240" w:lineRule="auto"/>
        <w:ind w:left="0" w:right="-369"/>
        <w:jc w:val="left"/>
        <w:rPr>
          <w:szCs w:val="22"/>
          <w:u w:val="single"/>
          <w:lang w:val="sk-SK"/>
        </w:rPr>
      </w:pPr>
      <w:r w:rsidRPr="00C101CC">
        <w:rPr>
          <w:szCs w:val="22"/>
          <w:u w:val="single"/>
          <w:lang w:val="sk-SK"/>
        </w:rPr>
        <w:t>Distribúcia</w:t>
      </w:r>
    </w:p>
    <w:p w14:paraId="00A77239" w14:textId="26750C1C" w:rsidR="00FF7468" w:rsidRPr="00C101CC" w:rsidRDefault="00FF7468">
      <w:pPr>
        <w:pStyle w:val="Zarkazkladnhotextu3"/>
        <w:tabs>
          <w:tab w:val="clear" w:pos="567"/>
          <w:tab w:val="clear" w:pos="1134"/>
          <w:tab w:val="left" w:pos="8222"/>
        </w:tabs>
        <w:spacing w:line="240" w:lineRule="auto"/>
        <w:ind w:left="0" w:right="-369"/>
        <w:jc w:val="left"/>
        <w:rPr>
          <w:szCs w:val="22"/>
          <w:lang w:val="sk-SK"/>
        </w:rPr>
      </w:pPr>
      <w:r w:rsidRPr="00C101CC">
        <w:rPr>
          <w:szCs w:val="22"/>
          <w:lang w:val="sk-SK"/>
        </w:rPr>
        <w:t>Všeobecne sa 13</w:t>
      </w:r>
      <w:r w:rsidR="0074612F" w:rsidRPr="00C101CC">
        <w:rPr>
          <w:szCs w:val="22"/>
          <w:lang w:val="sk-SK"/>
        </w:rPr>
        <w:t> </w:t>
      </w:r>
      <w:r w:rsidR="003C61AE" w:rsidRPr="00C101CC">
        <w:rPr>
          <w:szCs w:val="22"/>
          <w:lang w:val="sk-SK"/>
        </w:rPr>
        <w:t>–</w:t>
      </w:r>
      <w:r w:rsidR="0074612F" w:rsidRPr="00C101CC">
        <w:rPr>
          <w:szCs w:val="22"/>
          <w:lang w:val="sk-SK"/>
        </w:rPr>
        <w:t> </w:t>
      </w:r>
      <w:r w:rsidRPr="00C101CC">
        <w:rPr>
          <w:szCs w:val="22"/>
          <w:lang w:val="sk-SK"/>
        </w:rPr>
        <w:t>17</w:t>
      </w:r>
      <w:r w:rsidR="003C61AE" w:rsidRPr="00C101CC">
        <w:rPr>
          <w:szCs w:val="22"/>
          <w:lang w:val="sk-SK"/>
        </w:rPr>
        <w:t> </w:t>
      </w:r>
      <w:r w:rsidRPr="00C101CC">
        <w:rPr>
          <w:szCs w:val="22"/>
          <w:lang w:val="sk-SK"/>
        </w:rPr>
        <w:t>% topiramátu viaže na plazmatické proteíny. Bola pozorovaná nízka väzbová kapacita erytrocytov pre topiramát, ktorá je saturovateľná pri plazmatický</w:t>
      </w:r>
      <w:r w:rsidR="00C8527F" w:rsidRPr="00C101CC">
        <w:rPr>
          <w:szCs w:val="22"/>
          <w:lang w:val="sk-SK"/>
        </w:rPr>
        <w:t>ch koncentráciách vyšších ako 4 </w:t>
      </w:r>
      <w:r w:rsidRPr="00C101CC">
        <w:rPr>
          <w:szCs w:val="22"/>
          <w:lang w:val="sk-SK"/>
        </w:rPr>
        <w:t>μg/ml. Distribučný objem sa</w:t>
      </w:r>
      <w:r w:rsidR="00D74A46" w:rsidRPr="00C101CC">
        <w:rPr>
          <w:szCs w:val="22"/>
          <w:lang w:val="sk-SK"/>
        </w:rPr>
        <w:t>, naopak, s dávkou</w:t>
      </w:r>
      <w:r w:rsidRPr="00C101CC">
        <w:rPr>
          <w:szCs w:val="22"/>
          <w:lang w:val="sk-SK"/>
        </w:rPr>
        <w:t xml:space="preserve"> menil. Priemerný </w:t>
      </w:r>
      <w:r w:rsidR="00D74A46" w:rsidRPr="00C101CC">
        <w:rPr>
          <w:szCs w:val="22"/>
          <w:lang w:val="sk-SK"/>
        </w:rPr>
        <w:t xml:space="preserve">zdanlivý </w:t>
      </w:r>
      <w:r w:rsidRPr="00C101CC">
        <w:rPr>
          <w:szCs w:val="22"/>
          <w:lang w:val="sk-SK"/>
        </w:rPr>
        <w:t xml:space="preserve">distribučný objem bol 0,80 až 0,55 l/kg pre jednorazovú dávku </w:t>
      </w:r>
      <w:r w:rsidR="00D74A46" w:rsidRPr="00C101CC">
        <w:rPr>
          <w:szCs w:val="22"/>
          <w:lang w:val="sk-SK"/>
        </w:rPr>
        <w:t xml:space="preserve">v rozmedzí </w:t>
      </w:r>
      <w:r w:rsidRPr="00C101CC">
        <w:rPr>
          <w:szCs w:val="22"/>
          <w:lang w:val="sk-SK"/>
        </w:rPr>
        <w:t>100 až 1</w:t>
      </w:r>
      <w:r w:rsidR="00D74A46" w:rsidRPr="00C101CC">
        <w:rPr>
          <w:szCs w:val="22"/>
          <w:lang w:val="sk-SK"/>
        </w:rPr>
        <w:t> </w:t>
      </w:r>
      <w:r w:rsidRPr="00C101CC">
        <w:rPr>
          <w:szCs w:val="22"/>
          <w:lang w:val="sk-SK"/>
        </w:rPr>
        <w:t>200 mg. Zaznamenal sa vplyv pohlavia na distribučný objem, pričom hodnoty pre ženy predstavovali približne 50</w:t>
      </w:r>
      <w:r w:rsidR="003C61AE" w:rsidRPr="00C101CC">
        <w:rPr>
          <w:szCs w:val="22"/>
          <w:lang w:val="sk-SK"/>
        </w:rPr>
        <w:t> </w:t>
      </w:r>
      <w:r w:rsidRPr="00C101CC">
        <w:rPr>
          <w:szCs w:val="22"/>
          <w:lang w:val="sk-SK"/>
        </w:rPr>
        <w:t>% hodnôt pre mužov. Prisudzovalo sa to vyššiemu percentu telesného tuku u pacient</w:t>
      </w:r>
      <w:r w:rsidR="004A7FE7" w:rsidRPr="00C101CC">
        <w:rPr>
          <w:szCs w:val="22"/>
          <w:lang w:val="sk-SK"/>
        </w:rPr>
        <w:t>ie</w:t>
      </w:r>
      <w:r w:rsidRPr="00C101CC">
        <w:rPr>
          <w:szCs w:val="22"/>
          <w:lang w:val="sk-SK"/>
        </w:rPr>
        <w:t>k, čo však nemá klinický význam.</w:t>
      </w:r>
    </w:p>
    <w:p w14:paraId="32D5A244" w14:textId="77777777" w:rsidR="00FF7468" w:rsidRPr="00C101CC" w:rsidRDefault="00FF7468">
      <w:pPr>
        <w:pStyle w:val="Default"/>
        <w:rPr>
          <w:sz w:val="22"/>
          <w:szCs w:val="22"/>
          <w:lang w:val="sk-SK"/>
        </w:rPr>
      </w:pPr>
    </w:p>
    <w:p w14:paraId="48BECEF7" w14:textId="77777777" w:rsidR="00FF7468" w:rsidRPr="00C101CC" w:rsidRDefault="00C3119D">
      <w:pPr>
        <w:pStyle w:val="Default"/>
        <w:keepNext/>
        <w:rPr>
          <w:sz w:val="22"/>
          <w:szCs w:val="22"/>
          <w:u w:val="single"/>
          <w:lang w:val="sk-SK"/>
        </w:rPr>
      </w:pPr>
      <w:r w:rsidRPr="00C101CC">
        <w:rPr>
          <w:sz w:val="22"/>
          <w:szCs w:val="22"/>
          <w:u w:val="single"/>
          <w:lang w:val="sk-SK"/>
        </w:rPr>
        <w:t xml:space="preserve">Biotransformácia </w:t>
      </w:r>
    </w:p>
    <w:p w14:paraId="0FA7B89D" w14:textId="43D42B2E" w:rsidR="00FF7468" w:rsidRPr="00C101CC" w:rsidRDefault="00FF7468">
      <w:pPr>
        <w:pStyle w:val="Default"/>
        <w:keepNext/>
        <w:rPr>
          <w:sz w:val="22"/>
          <w:szCs w:val="22"/>
          <w:lang w:val="sk-SK"/>
        </w:rPr>
      </w:pPr>
      <w:r w:rsidRPr="00C101CC">
        <w:rPr>
          <w:sz w:val="22"/>
          <w:szCs w:val="22"/>
          <w:lang w:val="sk-SK"/>
        </w:rPr>
        <w:t>Topiramát sa u zdravých dobrovoľníkov nemetabolizuje extenzívne (≈ 20</w:t>
      </w:r>
      <w:r w:rsidR="003C61AE" w:rsidRPr="00C101CC">
        <w:rPr>
          <w:sz w:val="22"/>
          <w:szCs w:val="22"/>
          <w:lang w:val="sk-SK"/>
        </w:rPr>
        <w:t> </w:t>
      </w:r>
      <w:r w:rsidRPr="00C101CC">
        <w:rPr>
          <w:sz w:val="22"/>
          <w:szCs w:val="22"/>
          <w:lang w:val="sk-SK"/>
        </w:rPr>
        <w:t>%). U pacientov liečených sú</w:t>
      </w:r>
      <w:r w:rsidR="008C445F" w:rsidRPr="00C101CC">
        <w:rPr>
          <w:sz w:val="22"/>
          <w:szCs w:val="22"/>
          <w:lang w:val="sk-SK"/>
        </w:rPr>
        <w:t>bež</w:t>
      </w:r>
      <w:r w:rsidRPr="00C101CC">
        <w:rPr>
          <w:sz w:val="22"/>
          <w:szCs w:val="22"/>
          <w:lang w:val="sk-SK"/>
        </w:rPr>
        <w:t>ne inými antiepileptikami</w:t>
      </w:r>
      <w:r w:rsidR="004C1F2E" w:rsidRPr="00C101CC">
        <w:rPr>
          <w:sz w:val="22"/>
          <w:szCs w:val="22"/>
          <w:lang w:val="sk-SK"/>
        </w:rPr>
        <w:t>, známymi induktormi enzýmov metabolizujúcich lieky,</w:t>
      </w:r>
      <w:r w:rsidRPr="00C101CC">
        <w:rPr>
          <w:sz w:val="22"/>
          <w:szCs w:val="22"/>
          <w:lang w:val="sk-SK"/>
        </w:rPr>
        <w:t xml:space="preserve"> sa </w:t>
      </w:r>
      <w:r w:rsidR="004C1F2E" w:rsidRPr="00C101CC">
        <w:rPr>
          <w:sz w:val="22"/>
          <w:szCs w:val="22"/>
          <w:lang w:val="sk-SK"/>
        </w:rPr>
        <w:t xml:space="preserve">metabolizoval </w:t>
      </w:r>
      <w:r w:rsidRPr="00C101CC">
        <w:rPr>
          <w:sz w:val="22"/>
          <w:szCs w:val="22"/>
          <w:lang w:val="sk-SK"/>
        </w:rPr>
        <w:t>až do 50</w:t>
      </w:r>
      <w:r w:rsidR="003C61AE" w:rsidRPr="00C101CC">
        <w:rPr>
          <w:sz w:val="22"/>
          <w:szCs w:val="22"/>
          <w:lang w:val="sk-SK"/>
        </w:rPr>
        <w:t> </w:t>
      </w:r>
      <w:r w:rsidRPr="00C101CC">
        <w:rPr>
          <w:sz w:val="22"/>
          <w:szCs w:val="22"/>
          <w:lang w:val="sk-SK"/>
        </w:rPr>
        <w:t>%. Šesť metabolitov, ktoré vznikajú hydroxyláciou, hydrolýzou a glukuronidáciou sa izolovalo, charakterizovalo a identifikovalo z ľudskej plazmy, moču a stolice. Každý metabolit predstavuje menej než 3</w:t>
      </w:r>
      <w:r w:rsidR="003C61AE" w:rsidRPr="00C101CC">
        <w:rPr>
          <w:sz w:val="22"/>
          <w:szCs w:val="22"/>
          <w:lang w:val="sk-SK"/>
        </w:rPr>
        <w:t> </w:t>
      </w:r>
      <w:r w:rsidRPr="00C101CC">
        <w:rPr>
          <w:sz w:val="22"/>
          <w:szCs w:val="22"/>
          <w:lang w:val="sk-SK"/>
        </w:rPr>
        <w:t xml:space="preserve">% celkovej rádioaktivity vylúčenej po podaní </w:t>
      </w:r>
      <w:r w:rsidRPr="00C101CC">
        <w:rPr>
          <w:sz w:val="22"/>
          <w:szCs w:val="22"/>
          <w:vertAlign w:val="superscript"/>
          <w:lang w:val="sk-SK"/>
        </w:rPr>
        <w:t>14</w:t>
      </w:r>
      <w:r w:rsidRPr="00C101CC">
        <w:rPr>
          <w:sz w:val="22"/>
          <w:szCs w:val="22"/>
          <w:lang w:val="sk-SK"/>
        </w:rPr>
        <w:t>C-topiramátu. Dva metabolity, ktoré si najviac zachovali štruktúru topiramátu, sa testovali a zistilo sa, že majú malú alebo nemajú žiadnu antikonvulzívnu aktivitu.</w:t>
      </w:r>
    </w:p>
    <w:p w14:paraId="30621E33" w14:textId="77777777" w:rsidR="00FF7468" w:rsidRPr="00C101CC" w:rsidRDefault="00FF7468">
      <w:pPr>
        <w:pStyle w:val="Default"/>
        <w:rPr>
          <w:sz w:val="22"/>
          <w:szCs w:val="22"/>
          <w:lang w:val="sk-SK"/>
        </w:rPr>
      </w:pPr>
    </w:p>
    <w:p w14:paraId="3F2D6916" w14:textId="77777777" w:rsidR="00FF7468" w:rsidRPr="00C101CC" w:rsidRDefault="00FF7468">
      <w:pPr>
        <w:pStyle w:val="Default"/>
        <w:keepNext/>
        <w:rPr>
          <w:sz w:val="22"/>
          <w:szCs w:val="22"/>
          <w:u w:val="single"/>
          <w:lang w:val="sk-SK"/>
        </w:rPr>
      </w:pPr>
      <w:r w:rsidRPr="00C101CC">
        <w:rPr>
          <w:sz w:val="22"/>
          <w:szCs w:val="22"/>
          <w:u w:val="single"/>
          <w:lang w:val="sk-SK"/>
        </w:rPr>
        <w:t>Eliminácia</w:t>
      </w:r>
    </w:p>
    <w:p w14:paraId="4F07CFCA" w14:textId="06D54720" w:rsidR="00FF7468" w:rsidRPr="00C101CC" w:rsidRDefault="00FF7468">
      <w:pPr>
        <w:pStyle w:val="Default"/>
        <w:keepNext/>
        <w:rPr>
          <w:sz w:val="22"/>
          <w:szCs w:val="22"/>
          <w:lang w:val="sk-SK"/>
        </w:rPr>
      </w:pPr>
      <w:r w:rsidRPr="00C101CC">
        <w:rPr>
          <w:sz w:val="22"/>
          <w:szCs w:val="22"/>
          <w:lang w:val="sk-SK"/>
        </w:rPr>
        <w:t>U ľudí predstavujú obličky hlavnú cestu eliminácie nezmeneného topiramátu a jeho metabolitov (najmenej 81</w:t>
      </w:r>
      <w:r w:rsidR="003C61AE" w:rsidRPr="00C101CC">
        <w:rPr>
          <w:sz w:val="22"/>
          <w:szCs w:val="22"/>
          <w:lang w:val="sk-SK"/>
        </w:rPr>
        <w:t> </w:t>
      </w:r>
      <w:r w:rsidRPr="00C101CC">
        <w:rPr>
          <w:sz w:val="22"/>
          <w:szCs w:val="22"/>
          <w:lang w:val="sk-SK"/>
        </w:rPr>
        <w:t>% dávky). Približne 66</w:t>
      </w:r>
      <w:r w:rsidR="003C61AE" w:rsidRPr="00C101CC">
        <w:rPr>
          <w:sz w:val="22"/>
          <w:szCs w:val="22"/>
          <w:lang w:val="sk-SK"/>
        </w:rPr>
        <w:t> </w:t>
      </w:r>
      <w:r w:rsidRPr="00C101CC">
        <w:rPr>
          <w:sz w:val="22"/>
          <w:szCs w:val="22"/>
          <w:lang w:val="sk-SK"/>
        </w:rPr>
        <w:t xml:space="preserve">% dávky </w:t>
      </w:r>
      <w:r w:rsidRPr="00C101CC">
        <w:rPr>
          <w:sz w:val="22"/>
          <w:szCs w:val="22"/>
          <w:vertAlign w:val="superscript"/>
          <w:lang w:val="sk-SK"/>
        </w:rPr>
        <w:t>14</w:t>
      </w:r>
      <w:r w:rsidRPr="00C101CC">
        <w:rPr>
          <w:sz w:val="22"/>
          <w:szCs w:val="22"/>
          <w:lang w:val="sk-SK"/>
        </w:rPr>
        <w:t xml:space="preserve">C-topiramátu sa vylúčilo </w:t>
      </w:r>
      <w:r w:rsidR="005B59EB" w:rsidRPr="00C101CC">
        <w:rPr>
          <w:sz w:val="22"/>
          <w:szCs w:val="22"/>
          <w:lang w:val="sk-SK"/>
        </w:rPr>
        <w:t>v nezmenenej forme</w:t>
      </w:r>
      <w:r w:rsidRPr="00C101CC">
        <w:rPr>
          <w:sz w:val="22"/>
          <w:szCs w:val="22"/>
          <w:lang w:val="sk-SK"/>
        </w:rPr>
        <w:t xml:space="preserve"> moč</w:t>
      </w:r>
      <w:r w:rsidR="005B59EB" w:rsidRPr="00C101CC">
        <w:rPr>
          <w:sz w:val="22"/>
          <w:szCs w:val="22"/>
          <w:lang w:val="sk-SK"/>
        </w:rPr>
        <w:t>om</w:t>
      </w:r>
      <w:r w:rsidRPr="00C101CC">
        <w:rPr>
          <w:sz w:val="22"/>
          <w:szCs w:val="22"/>
          <w:lang w:val="sk-SK"/>
        </w:rPr>
        <w:t xml:space="preserve"> počas štyroch dní. Po </w:t>
      </w:r>
      <w:r w:rsidR="00EA134D" w:rsidRPr="00C101CC">
        <w:rPr>
          <w:sz w:val="22"/>
          <w:szCs w:val="22"/>
          <w:lang w:val="sk-SK"/>
        </w:rPr>
        <w:t>dávke</w:t>
      </w:r>
      <w:r w:rsidRPr="00C101CC">
        <w:rPr>
          <w:sz w:val="22"/>
          <w:szCs w:val="22"/>
          <w:lang w:val="sk-SK"/>
        </w:rPr>
        <w:t xml:space="preserve"> 50 mg a 100 mg topiramátu </w:t>
      </w:r>
      <w:r w:rsidR="00EA134D" w:rsidRPr="00C101CC">
        <w:rPr>
          <w:sz w:val="22"/>
          <w:szCs w:val="22"/>
          <w:lang w:val="sk-SK"/>
        </w:rPr>
        <w:t xml:space="preserve">dvakrát denne </w:t>
      </w:r>
      <w:r w:rsidRPr="00C101CC">
        <w:rPr>
          <w:sz w:val="22"/>
          <w:szCs w:val="22"/>
          <w:lang w:val="sk-SK"/>
        </w:rPr>
        <w:t xml:space="preserve">bol priemerný renálny klírens približne 18 ml/min a 17 ml/min v tomto poradí. Existuje dôkaz </w:t>
      </w:r>
      <w:r w:rsidR="00EA134D" w:rsidRPr="00C101CC">
        <w:rPr>
          <w:sz w:val="22"/>
          <w:szCs w:val="22"/>
          <w:lang w:val="sk-SK"/>
        </w:rPr>
        <w:t xml:space="preserve">o </w:t>
      </w:r>
      <w:r w:rsidRPr="00C101CC">
        <w:rPr>
          <w:sz w:val="22"/>
          <w:szCs w:val="22"/>
          <w:lang w:val="sk-SK"/>
        </w:rPr>
        <w:t>renáln</w:t>
      </w:r>
      <w:r w:rsidR="00EA134D" w:rsidRPr="00C101CC">
        <w:rPr>
          <w:sz w:val="22"/>
          <w:szCs w:val="22"/>
          <w:lang w:val="sk-SK"/>
        </w:rPr>
        <w:t>ej</w:t>
      </w:r>
      <w:r w:rsidRPr="00C101CC">
        <w:rPr>
          <w:sz w:val="22"/>
          <w:szCs w:val="22"/>
          <w:lang w:val="sk-SK"/>
        </w:rPr>
        <w:t xml:space="preserve"> tubulárn</w:t>
      </w:r>
      <w:r w:rsidR="00EA134D" w:rsidRPr="00C101CC">
        <w:rPr>
          <w:sz w:val="22"/>
          <w:szCs w:val="22"/>
          <w:lang w:val="sk-SK"/>
        </w:rPr>
        <w:t>ej</w:t>
      </w:r>
      <w:r w:rsidRPr="00C101CC">
        <w:rPr>
          <w:sz w:val="22"/>
          <w:szCs w:val="22"/>
          <w:lang w:val="sk-SK"/>
        </w:rPr>
        <w:t xml:space="preserve"> reabsorbci</w:t>
      </w:r>
      <w:r w:rsidR="00EA134D" w:rsidRPr="00C101CC">
        <w:rPr>
          <w:sz w:val="22"/>
          <w:szCs w:val="22"/>
          <w:lang w:val="sk-SK"/>
        </w:rPr>
        <w:t>i</w:t>
      </w:r>
      <w:r w:rsidRPr="00C101CC">
        <w:rPr>
          <w:sz w:val="22"/>
          <w:szCs w:val="22"/>
          <w:lang w:val="sk-SK"/>
        </w:rPr>
        <w:t xml:space="preserve"> topiramátu. Je podporovaný štúdiami u potkanov, </w:t>
      </w:r>
      <w:r w:rsidR="00EA134D" w:rsidRPr="00C101CC">
        <w:rPr>
          <w:sz w:val="22"/>
          <w:szCs w:val="22"/>
          <w:lang w:val="sk-SK"/>
        </w:rPr>
        <w:t xml:space="preserve">ktorým </w:t>
      </w:r>
      <w:r w:rsidRPr="00C101CC">
        <w:rPr>
          <w:sz w:val="22"/>
          <w:szCs w:val="22"/>
          <w:lang w:val="sk-SK"/>
        </w:rPr>
        <w:t>sa topiramát podával spolu s probenecidom a zaznamenalo sa signifikantné zvýšenie renálneho klírensu topiramátu. Plazmatický klírens je u ľudí po perorálnom podaní približne 20</w:t>
      </w:r>
      <w:r w:rsidR="0074612F" w:rsidRPr="00C101CC">
        <w:rPr>
          <w:sz w:val="22"/>
          <w:szCs w:val="22"/>
          <w:lang w:val="sk-SK"/>
        </w:rPr>
        <w:t> </w:t>
      </w:r>
      <w:r w:rsidRPr="00C101CC">
        <w:rPr>
          <w:sz w:val="22"/>
          <w:szCs w:val="22"/>
          <w:lang w:val="sk-SK"/>
        </w:rPr>
        <w:t>-</w:t>
      </w:r>
      <w:r w:rsidR="0074612F" w:rsidRPr="00C101CC">
        <w:rPr>
          <w:sz w:val="22"/>
          <w:szCs w:val="22"/>
          <w:lang w:val="sk-SK"/>
        </w:rPr>
        <w:t> </w:t>
      </w:r>
      <w:r w:rsidRPr="00C101CC">
        <w:rPr>
          <w:sz w:val="22"/>
          <w:szCs w:val="22"/>
          <w:lang w:val="sk-SK"/>
        </w:rPr>
        <w:t>30</w:t>
      </w:r>
      <w:r w:rsidR="00D33E57">
        <w:rPr>
          <w:sz w:val="22"/>
          <w:szCs w:val="22"/>
          <w:lang w:val="sk-SK"/>
        </w:rPr>
        <w:t> </w:t>
      </w:r>
      <w:r w:rsidRPr="00C101CC">
        <w:rPr>
          <w:sz w:val="22"/>
          <w:szCs w:val="22"/>
          <w:lang w:val="sk-SK"/>
        </w:rPr>
        <w:t>ml/min.</w:t>
      </w:r>
    </w:p>
    <w:p w14:paraId="79BB5E35" w14:textId="77777777" w:rsidR="00FF7468" w:rsidRPr="00C101CC" w:rsidRDefault="00FF7468">
      <w:pPr>
        <w:pStyle w:val="Default"/>
        <w:rPr>
          <w:sz w:val="22"/>
          <w:szCs w:val="22"/>
          <w:lang w:val="sk-SK"/>
        </w:rPr>
      </w:pPr>
    </w:p>
    <w:p w14:paraId="241A11B0" w14:textId="77777777" w:rsidR="00C3119D" w:rsidRPr="00C101CC" w:rsidRDefault="00C3119D">
      <w:pPr>
        <w:pStyle w:val="Default"/>
        <w:keepNext/>
        <w:rPr>
          <w:sz w:val="22"/>
          <w:szCs w:val="22"/>
          <w:u w:val="single"/>
          <w:lang w:val="sk-SK"/>
        </w:rPr>
      </w:pPr>
      <w:r w:rsidRPr="00C101CC">
        <w:rPr>
          <w:sz w:val="22"/>
          <w:szCs w:val="22"/>
          <w:u w:val="single"/>
          <w:lang w:val="sk-SK"/>
        </w:rPr>
        <w:t>Linearita/nelinearita</w:t>
      </w:r>
    </w:p>
    <w:p w14:paraId="0FC53EE7" w14:textId="61BE2FEE" w:rsidR="00FF7468" w:rsidRPr="00C101CC" w:rsidRDefault="00FF7468">
      <w:pPr>
        <w:pStyle w:val="Default"/>
        <w:keepNext/>
        <w:rPr>
          <w:sz w:val="22"/>
          <w:szCs w:val="22"/>
          <w:lang w:val="sk-SK"/>
        </w:rPr>
      </w:pPr>
      <w:r w:rsidRPr="00C101CC">
        <w:rPr>
          <w:sz w:val="22"/>
          <w:szCs w:val="22"/>
          <w:lang w:val="sk-SK"/>
        </w:rPr>
        <w:t>Topiramát vykazuje nízku interindividuálnu variabilitu koncentrácií v plazme, a preto má predvídateľnú farmakokinetiku. Farmakokinetika topiramátu je lineárna</w:t>
      </w:r>
      <w:r w:rsidR="00884BFB" w:rsidRPr="00C101CC">
        <w:rPr>
          <w:sz w:val="22"/>
          <w:szCs w:val="22"/>
          <w:lang w:val="sk-SK"/>
        </w:rPr>
        <w:t>,</w:t>
      </w:r>
      <w:r w:rsidRPr="00C101CC">
        <w:rPr>
          <w:sz w:val="22"/>
          <w:szCs w:val="22"/>
          <w:lang w:val="sk-SK"/>
        </w:rPr>
        <w:t xml:space="preserve"> s plazmatickým klírensom, ktorý zostáva konštantný a AUC, ktorá sa zvyšuje proporcionálne vzhľadom na dávku v rozsahu 100 až 400</w:t>
      </w:r>
      <w:r w:rsidR="00241B05" w:rsidRPr="00C101CC">
        <w:rPr>
          <w:sz w:val="22"/>
          <w:szCs w:val="22"/>
          <w:lang w:val="sk-SK"/>
        </w:rPr>
        <w:t> </w:t>
      </w:r>
      <w:r w:rsidRPr="00C101CC">
        <w:rPr>
          <w:sz w:val="22"/>
          <w:szCs w:val="22"/>
          <w:lang w:val="sk-SK"/>
        </w:rPr>
        <w:t>mg v jednotlivej perorálnej dávke u zdravých jedincov. Pacientom s normálnou funkciou obličiek môže trvať 4</w:t>
      </w:r>
      <w:r w:rsidR="0074612F" w:rsidRPr="00C101CC">
        <w:rPr>
          <w:sz w:val="22"/>
          <w:szCs w:val="22"/>
          <w:lang w:val="sk-SK"/>
        </w:rPr>
        <w:t> </w:t>
      </w:r>
      <w:r w:rsidRPr="00C101CC">
        <w:rPr>
          <w:sz w:val="22"/>
          <w:szCs w:val="22"/>
          <w:lang w:val="sk-SK"/>
        </w:rPr>
        <w:t>-</w:t>
      </w:r>
      <w:r w:rsidR="0074612F" w:rsidRPr="00C101CC">
        <w:rPr>
          <w:sz w:val="22"/>
          <w:szCs w:val="22"/>
          <w:lang w:val="sk-SK"/>
        </w:rPr>
        <w:t> </w:t>
      </w:r>
      <w:r w:rsidRPr="00C101CC">
        <w:rPr>
          <w:sz w:val="22"/>
          <w:szCs w:val="22"/>
          <w:lang w:val="sk-SK"/>
        </w:rPr>
        <w:t>8</w:t>
      </w:r>
      <w:r w:rsidR="00241B05" w:rsidRPr="00C101CC">
        <w:rPr>
          <w:sz w:val="22"/>
          <w:szCs w:val="22"/>
          <w:lang w:val="sk-SK"/>
        </w:rPr>
        <w:t> </w:t>
      </w:r>
      <w:r w:rsidRPr="00C101CC">
        <w:rPr>
          <w:sz w:val="22"/>
          <w:szCs w:val="22"/>
          <w:lang w:val="sk-SK"/>
        </w:rPr>
        <w:t>dní, kým dosiahnu rovnovážne plazmatické koncentrácie. Priemerná hodnota maximálnej koncentrácie C</w:t>
      </w:r>
      <w:r w:rsidRPr="00C101CC">
        <w:rPr>
          <w:sz w:val="22"/>
          <w:szCs w:val="22"/>
          <w:vertAlign w:val="subscript"/>
          <w:lang w:val="sk-SK"/>
        </w:rPr>
        <w:t>max</w:t>
      </w:r>
      <w:r w:rsidRPr="00C101CC">
        <w:rPr>
          <w:sz w:val="22"/>
          <w:szCs w:val="22"/>
          <w:lang w:val="sk-SK"/>
        </w:rPr>
        <w:t xml:space="preserve"> po opakovaných perorálnych dávkach 100</w:t>
      </w:r>
      <w:r w:rsidR="00241B05" w:rsidRPr="00C101CC">
        <w:rPr>
          <w:sz w:val="22"/>
          <w:szCs w:val="22"/>
          <w:lang w:val="sk-SK"/>
        </w:rPr>
        <w:t> </w:t>
      </w:r>
      <w:r w:rsidRPr="00C101CC">
        <w:rPr>
          <w:sz w:val="22"/>
          <w:szCs w:val="22"/>
          <w:lang w:val="sk-SK"/>
        </w:rPr>
        <w:t>mg podávaných dvakrát denne zdravým jedincom bola 6,76</w:t>
      </w:r>
      <w:r w:rsidR="00241B05" w:rsidRPr="00C101CC">
        <w:rPr>
          <w:sz w:val="22"/>
          <w:szCs w:val="22"/>
          <w:lang w:val="sk-SK"/>
        </w:rPr>
        <w:t> </w:t>
      </w:r>
      <w:r w:rsidRPr="00C101CC">
        <w:rPr>
          <w:sz w:val="22"/>
          <w:szCs w:val="22"/>
          <w:lang w:val="sk-SK"/>
        </w:rPr>
        <w:t>μg/ml. Po podaní opakovaných dávok 50</w:t>
      </w:r>
      <w:r w:rsidR="00241B05" w:rsidRPr="00C101CC">
        <w:rPr>
          <w:sz w:val="22"/>
          <w:szCs w:val="22"/>
          <w:lang w:val="sk-SK"/>
        </w:rPr>
        <w:t> </w:t>
      </w:r>
      <w:r w:rsidRPr="00C101CC">
        <w:rPr>
          <w:sz w:val="22"/>
          <w:szCs w:val="22"/>
          <w:lang w:val="sk-SK"/>
        </w:rPr>
        <w:t>mg a 100</w:t>
      </w:r>
      <w:r w:rsidR="00241B05" w:rsidRPr="00C101CC">
        <w:rPr>
          <w:sz w:val="22"/>
          <w:szCs w:val="22"/>
          <w:lang w:val="sk-SK"/>
        </w:rPr>
        <w:t> </w:t>
      </w:r>
      <w:r w:rsidRPr="00C101CC">
        <w:rPr>
          <w:sz w:val="22"/>
          <w:szCs w:val="22"/>
          <w:lang w:val="sk-SK"/>
        </w:rPr>
        <w:t xml:space="preserve">mg topiramátu dvakrát denne </w:t>
      </w:r>
      <w:r w:rsidR="001656D8" w:rsidRPr="00C101CC">
        <w:rPr>
          <w:sz w:val="22"/>
          <w:szCs w:val="22"/>
          <w:lang w:val="sk-SK"/>
        </w:rPr>
        <w:t xml:space="preserve">bol </w:t>
      </w:r>
      <w:r w:rsidRPr="00C101CC">
        <w:rPr>
          <w:sz w:val="22"/>
          <w:szCs w:val="22"/>
          <w:lang w:val="sk-SK"/>
        </w:rPr>
        <w:t>priemerný</w:t>
      </w:r>
      <w:r w:rsidR="001656D8" w:rsidRPr="00C101CC">
        <w:rPr>
          <w:sz w:val="22"/>
          <w:szCs w:val="22"/>
          <w:lang w:val="sk-SK"/>
        </w:rPr>
        <w:t> plazmatický eliminačný polčas</w:t>
      </w:r>
      <w:r w:rsidRPr="00C101CC">
        <w:rPr>
          <w:sz w:val="22"/>
          <w:szCs w:val="22"/>
          <w:lang w:val="sk-SK"/>
        </w:rPr>
        <w:t xml:space="preserve"> približne 21 hodín.</w:t>
      </w:r>
    </w:p>
    <w:p w14:paraId="1D0ACD0E" w14:textId="77777777" w:rsidR="00FF7468" w:rsidRPr="00C101CC" w:rsidRDefault="00FF7468">
      <w:pPr>
        <w:pStyle w:val="Default"/>
        <w:rPr>
          <w:sz w:val="22"/>
          <w:szCs w:val="22"/>
          <w:lang w:val="sk-SK"/>
        </w:rPr>
      </w:pPr>
    </w:p>
    <w:p w14:paraId="42696136" w14:textId="77777777" w:rsidR="00C3119D" w:rsidRPr="00C101CC" w:rsidRDefault="00C3119D">
      <w:pPr>
        <w:pStyle w:val="Default"/>
        <w:keepNext/>
        <w:rPr>
          <w:sz w:val="22"/>
          <w:szCs w:val="22"/>
          <w:u w:val="single"/>
          <w:lang w:val="sk-SK"/>
        </w:rPr>
      </w:pPr>
      <w:r w:rsidRPr="00C101CC">
        <w:rPr>
          <w:sz w:val="22"/>
          <w:szCs w:val="22"/>
          <w:u w:val="single"/>
          <w:lang w:val="sk-SK"/>
        </w:rPr>
        <w:t>Používanie s inými antiepileptikami</w:t>
      </w:r>
    </w:p>
    <w:p w14:paraId="5CC61C97" w14:textId="3D8956A8" w:rsidR="00FF7468" w:rsidRPr="00C101CC" w:rsidRDefault="00FF7468">
      <w:pPr>
        <w:pStyle w:val="Default"/>
        <w:rPr>
          <w:sz w:val="22"/>
          <w:szCs w:val="22"/>
          <w:lang w:val="sk-SK"/>
        </w:rPr>
      </w:pPr>
      <w:r w:rsidRPr="00C101CC">
        <w:rPr>
          <w:sz w:val="22"/>
          <w:szCs w:val="22"/>
          <w:lang w:val="sk-SK"/>
        </w:rPr>
        <w:t>Sú</w:t>
      </w:r>
      <w:r w:rsidR="008C445F" w:rsidRPr="00C101CC">
        <w:rPr>
          <w:sz w:val="22"/>
          <w:szCs w:val="22"/>
          <w:lang w:val="sk-SK"/>
        </w:rPr>
        <w:t>bež</w:t>
      </w:r>
      <w:r w:rsidRPr="00C101CC">
        <w:rPr>
          <w:sz w:val="22"/>
          <w:szCs w:val="22"/>
          <w:lang w:val="sk-SK"/>
        </w:rPr>
        <w:t>né podávanie opakovaných dávok topiramátu 100 až 400</w:t>
      </w:r>
      <w:r w:rsidR="00241B05" w:rsidRPr="00C101CC">
        <w:rPr>
          <w:sz w:val="22"/>
          <w:szCs w:val="22"/>
          <w:lang w:val="sk-SK"/>
        </w:rPr>
        <w:t> </w:t>
      </w:r>
      <w:r w:rsidRPr="00C101CC">
        <w:rPr>
          <w:sz w:val="22"/>
          <w:szCs w:val="22"/>
          <w:lang w:val="sk-SK"/>
        </w:rPr>
        <w:t>mg dvakrát denne spolu s fenytoínom alebo karbamazepínom poukazuje na proporcionálne zvýšenie plazmatických koncentrácií topiramátu.</w:t>
      </w:r>
    </w:p>
    <w:p w14:paraId="3743B23C" w14:textId="77777777" w:rsidR="00FF7468" w:rsidRPr="00C101CC" w:rsidRDefault="00FF7468">
      <w:pPr>
        <w:pStyle w:val="Default"/>
        <w:rPr>
          <w:sz w:val="22"/>
          <w:szCs w:val="22"/>
          <w:lang w:val="sk-SK"/>
        </w:rPr>
      </w:pPr>
    </w:p>
    <w:p w14:paraId="3B19786C" w14:textId="77777777" w:rsidR="00C3119D" w:rsidRPr="00C101CC" w:rsidRDefault="00C3119D">
      <w:pPr>
        <w:pStyle w:val="Default"/>
        <w:keepNext/>
        <w:rPr>
          <w:sz w:val="22"/>
          <w:szCs w:val="22"/>
          <w:u w:val="single"/>
          <w:lang w:val="sk-SK"/>
        </w:rPr>
      </w:pPr>
      <w:r w:rsidRPr="00C101CC">
        <w:rPr>
          <w:sz w:val="22"/>
          <w:szCs w:val="22"/>
          <w:u w:val="single"/>
          <w:lang w:val="sk-SK"/>
        </w:rPr>
        <w:t>Porucha funkcie obličiek</w:t>
      </w:r>
    </w:p>
    <w:p w14:paraId="7D58CC4D" w14:textId="3F164A2D" w:rsidR="00EF5E97" w:rsidRPr="00C101CC" w:rsidRDefault="00FF7468">
      <w:pPr>
        <w:pStyle w:val="Zarkazkladnhotextu3"/>
        <w:keepNext/>
        <w:tabs>
          <w:tab w:val="left" w:pos="8222"/>
        </w:tabs>
        <w:spacing w:line="240" w:lineRule="auto"/>
        <w:ind w:left="0" w:right="-369"/>
        <w:jc w:val="left"/>
        <w:rPr>
          <w:szCs w:val="22"/>
          <w:lang w:val="sk-SK" w:eastAsia="zh-CN"/>
        </w:rPr>
      </w:pPr>
      <w:r w:rsidRPr="00C101CC">
        <w:rPr>
          <w:szCs w:val="22"/>
          <w:lang w:val="sk-SK"/>
        </w:rPr>
        <w:t>Plazmatický a renálny klírens topiramátu sa znižujú u pacientov s</w:t>
      </w:r>
      <w:r w:rsidR="003952CB" w:rsidRPr="00C101CC">
        <w:rPr>
          <w:szCs w:val="22"/>
          <w:lang w:val="sk-SK"/>
        </w:rPr>
        <w:t>o</w:t>
      </w:r>
      <w:r w:rsidR="00EF5E97" w:rsidRPr="00C101CC">
        <w:rPr>
          <w:szCs w:val="22"/>
          <w:lang w:val="sk-SK"/>
        </w:rPr>
        <w:t> </w:t>
      </w:r>
      <w:r w:rsidR="003952CB" w:rsidRPr="00C101CC">
        <w:rPr>
          <w:szCs w:val="22"/>
          <w:lang w:val="sk-SK"/>
        </w:rPr>
        <w:t>stredne ťažko</w:t>
      </w:r>
      <w:r w:rsidR="00602ACF" w:rsidRPr="00C101CC">
        <w:rPr>
          <w:szCs w:val="22"/>
          <w:lang w:val="sk-SK"/>
        </w:rPr>
        <w:t>u</w:t>
      </w:r>
      <w:r w:rsidR="003952CB" w:rsidRPr="00C101CC">
        <w:rPr>
          <w:szCs w:val="22"/>
          <w:lang w:val="sk-SK"/>
        </w:rPr>
        <w:t xml:space="preserve"> a</w:t>
      </w:r>
      <w:r w:rsidR="00602ACF" w:rsidRPr="00C101CC">
        <w:rPr>
          <w:szCs w:val="22"/>
          <w:lang w:val="sk-SK"/>
        </w:rPr>
        <w:t> </w:t>
      </w:r>
      <w:r w:rsidR="003952CB" w:rsidRPr="00C101CC">
        <w:rPr>
          <w:szCs w:val="22"/>
          <w:lang w:val="sk-SK"/>
        </w:rPr>
        <w:t>ťažko</w:t>
      </w:r>
      <w:r w:rsidR="00602ACF" w:rsidRPr="00C101CC">
        <w:rPr>
          <w:szCs w:val="22"/>
          <w:lang w:val="sk-SK"/>
        </w:rPr>
        <w:t>u</w:t>
      </w:r>
      <w:r w:rsidR="003952CB" w:rsidRPr="00C101CC">
        <w:rPr>
          <w:szCs w:val="22"/>
          <w:lang w:val="sk-SK"/>
        </w:rPr>
        <w:t xml:space="preserve"> </w:t>
      </w:r>
      <w:r w:rsidR="00602ACF" w:rsidRPr="00C101CC">
        <w:rPr>
          <w:szCs w:val="22"/>
          <w:lang w:val="sk-SK"/>
        </w:rPr>
        <w:t xml:space="preserve">poruchou </w:t>
      </w:r>
      <w:r w:rsidRPr="00C101CC">
        <w:rPr>
          <w:szCs w:val="22"/>
          <w:lang w:val="sk-SK"/>
        </w:rPr>
        <w:t>funkci</w:t>
      </w:r>
      <w:r w:rsidR="00602ACF" w:rsidRPr="00C101CC">
        <w:rPr>
          <w:szCs w:val="22"/>
          <w:lang w:val="sk-SK"/>
        </w:rPr>
        <w:t>e</w:t>
      </w:r>
      <w:r w:rsidRPr="00C101CC">
        <w:rPr>
          <w:szCs w:val="22"/>
          <w:lang w:val="sk-SK"/>
        </w:rPr>
        <w:t xml:space="preserve"> obličiek (CL</w:t>
      </w:r>
      <w:r w:rsidRPr="00C101CC">
        <w:rPr>
          <w:szCs w:val="22"/>
          <w:vertAlign w:val="subscript"/>
          <w:lang w:val="sk-SK"/>
        </w:rPr>
        <w:t>CR</w:t>
      </w:r>
      <w:r w:rsidRPr="00C101CC">
        <w:rPr>
          <w:szCs w:val="22"/>
          <w:lang w:val="sk-SK"/>
        </w:rPr>
        <w:t> </w:t>
      </w:r>
      <w:r w:rsidRPr="00C101CC">
        <w:rPr>
          <w:szCs w:val="22"/>
          <w:lang w:val="sk-SK"/>
        </w:rPr>
        <w:sym w:font="Symbol" w:char="F0A3"/>
      </w:r>
      <w:r w:rsidRPr="00C101CC">
        <w:rPr>
          <w:szCs w:val="22"/>
          <w:lang w:val="sk-SK"/>
        </w:rPr>
        <w:t> </w:t>
      </w:r>
      <w:r w:rsidR="00EF5E97" w:rsidRPr="00C101CC">
        <w:rPr>
          <w:szCs w:val="22"/>
          <w:lang w:val="sk-SK"/>
        </w:rPr>
        <w:t>70</w:t>
      </w:r>
      <w:r w:rsidR="00D33E57">
        <w:rPr>
          <w:szCs w:val="22"/>
          <w:lang w:val="sk-SK"/>
        </w:rPr>
        <w:t> </w:t>
      </w:r>
      <w:r w:rsidRPr="00C101CC">
        <w:rPr>
          <w:szCs w:val="22"/>
          <w:lang w:val="sk-SK"/>
        </w:rPr>
        <w:t xml:space="preserve">ml/min). U pacientov s </w:t>
      </w:r>
      <w:r w:rsidR="00602ACF" w:rsidRPr="00C101CC">
        <w:rPr>
          <w:szCs w:val="22"/>
          <w:lang w:val="sk-SK"/>
        </w:rPr>
        <w:t xml:space="preserve">poruchou </w:t>
      </w:r>
      <w:r w:rsidRPr="00C101CC">
        <w:rPr>
          <w:szCs w:val="22"/>
          <w:lang w:val="sk-SK"/>
        </w:rPr>
        <w:t>funkci</w:t>
      </w:r>
      <w:r w:rsidR="00602ACF" w:rsidRPr="00C101CC">
        <w:rPr>
          <w:szCs w:val="22"/>
          <w:lang w:val="sk-SK"/>
        </w:rPr>
        <w:t>e</w:t>
      </w:r>
      <w:r w:rsidRPr="00C101CC">
        <w:rPr>
          <w:szCs w:val="22"/>
          <w:lang w:val="sk-SK"/>
        </w:rPr>
        <w:t xml:space="preserve"> obličiek sa po podaní dávky očakávajú vyššie rovnovážne koncentrácie topiramátu v plazme v porovnaní s pacientmi s normálnou funkciou obličiek. </w:t>
      </w:r>
      <w:r w:rsidR="00AE3307" w:rsidRPr="00C101CC">
        <w:rPr>
          <w:szCs w:val="22"/>
          <w:lang w:val="sk-SK"/>
        </w:rPr>
        <w:t>Pacienti s </w:t>
      </w:r>
      <w:r w:rsidR="00602ACF" w:rsidRPr="00C101CC">
        <w:rPr>
          <w:szCs w:val="22"/>
          <w:lang w:val="sk-SK"/>
        </w:rPr>
        <w:t>poruchou</w:t>
      </w:r>
      <w:r w:rsidR="00AE3307" w:rsidRPr="00C101CC">
        <w:rPr>
          <w:szCs w:val="22"/>
          <w:lang w:val="sk-SK"/>
        </w:rPr>
        <w:t xml:space="preserve"> funkci</w:t>
      </w:r>
      <w:r w:rsidR="00602ACF" w:rsidRPr="00C101CC">
        <w:rPr>
          <w:szCs w:val="22"/>
          <w:lang w:val="sk-SK"/>
        </w:rPr>
        <w:t>e</w:t>
      </w:r>
      <w:r w:rsidR="00AE3307" w:rsidRPr="00C101CC">
        <w:rPr>
          <w:szCs w:val="22"/>
          <w:lang w:val="sk-SK"/>
        </w:rPr>
        <w:t xml:space="preserve"> obličiek budú navyše potrebovať dlhší čas na dosiahnutie ustáleného stavu pri každej dávke. U pacientov so stredne ťažko</w:t>
      </w:r>
      <w:r w:rsidR="00602ACF" w:rsidRPr="00C101CC">
        <w:rPr>
          <w:szCs w:val="22"/>
          <w:lang w:val="sk-SK"/>
        </w:rPr>
        <w:t>u</w:t>
      </w:r>
      <w:r w:rsidR="00AE3307" w:rsidRPr="00C101CC">
        <w:rPr>
          <w:szCs w:val="22"/>
          <w:lang w:val="sk-SK"/>
        </w:rPr>
        <w:t xml:space="preserve"> alebo ťažko</w:t>
      </w:r>
      <w:r w:rsidR="00602ACF" w:rsidRPr="00C101CC">
        <w:rPr>
          <w:szCs w:val="22"/>
          <w:lang w:val="sk-SK"/>
        </w:rPr>
        <w:t>u</w:t>
      </w:r>
      <w:r w:rsidR="00AE3307" w:rsidRPr="00C101CC">
        <w:rPr>
          <w:szCs w:val="22"/>
          <w:lang w:val="sk-SK"/>
        </w:rPr>
        <w:t xml:space="preserve"> </w:t>
      </w:r>
      <w:r w:rsidR="00602ACF" w:rsidRPr="00C101CC">
        <w:rPr>
          <w:szCs w:val="22"/>
          <w:lang w:val="sk-SK"/>
        </w:rPr>
        <w:t xml:space="preserve">poruchou </w:t>
      </w:r>
      <w:r w:rsidR="00AE3307" w:rsidRPr="00C101CC">
        <w:rPr>
          <w:szCs w:val="22"/>
          <w:lang w:val="sk-SK"/>
        </w:rPr>
        <w:t>funkci</w:t>
      </w:r>
      <w:r w:rsidR="00602ACF" w:rsidRPr="00C101CC">
        <w:rPr>
          <w:szCs w:val="22"/>
          <w:lang w:val="sk-SK"/>
        </w:rPr>
        <w:t>e</w:t>
      </w:r>
      <w:r w:rsidR="00AE3307" w:rsidRPr="00C101CC">
        <w:rPr>
          <w:szCs w:val="22"/>
          <w:lang w:val="sk-SK"/>
        </w:rPr>
        <w:t xml:space="preserve"> obličiek sa odporúča polovica zvyčajnej úvodnej a udržiavacej dávky. </w:t>
      </w:r>
    </w:p>
    <w:p w14:paraId="52A292D8" w14:textId="77777777" w:rsidR="00EF5E97" w:rsidRPr="00C101CC" w:rsidRDefault="00EF5E97">
      <w:pPr>
        <w:pStyle w:val="Zarkazkladnhotextu3"/>
        <w:tabs>
          <w:tab w:val="left" w:pos="8222"/>
        </w:tabs>
        <w:spacing w:line="240" w:lineRule="auto"/>
        <w:ind w:left="0" w:right="-369"/>
        <w:jc w:val="left"/>
        <w:rPr>
          <w:szCs w:val="22"/>
          <w:lang w:val="sk-SK" w:eastAsia="zh-CN"/>
        </w:rPr>
      </w:pPr>
    </w:p>
    <w:p w14:paraId="41E83F76" w14:textId="77777777" w:rsidR="00FF7468" w:rsidRPr="00C101CC" w:rsidRDefault="00FF7468">
      <w:pPr>
        <w:pStyle w:val="Zarkazkladnhotextu3"/>
        <w:tabs>
          <w:tab w:val="left" w:pos="8222"/>
        </w:tabs>
        <w:spacing w:line="240" w:lineRule="auto"/>
        <w:ind w:left="0" w:right="-369"/>
        <w:jc w:val="left"/>
        <w:rPr>
          <w:szCs w:val="22"/>
          <w:lang w:val="sk-SK"/>
        </w:rPr>
      </w:pPr>
      <w:r w:rsidRPr="00C101CC">
        <w:rPr>
          <w:szCs w:val="22"/>
          <w:lang w:val="sk-SK"/>
        </w:rPr>
        <w:t>Topiramát sa účinne odstraňuje z plazmy pomocou hemodialýzy.</w:t>
      </w:r>
      <w:r w:rsidR="00EF5E97" w:rsidRPr="00C101CC">
        <w:rPr>
          <w:szCs w:val="22"/>
          <w:lang w:val="sk-SK"/>
        </w:rPr>
        <w:t xml:space="preserve"> </w:t>
      </w:r>
      <w:r w:rsidR="00BB52B9" w:rsidRPr="00C101CC">
        <w:rPr>
          <w:szCs w:val="22"/>
          <w:lang w:val="sk-SK"/>
        </w:rPr>
        <w:t xml:space="preserve">Dlhšie trvajúca hemodialýza môže spôsobiť, že koncentrácie topiramátu klesnú pod hladiny potrebné na udržanie protizáchvatového účinku. </w:t>
      </w:r>
      <w:r w:rsidR="00EF5E97" w:rsidRPr="00C101CC">
        <w:rPr>
          <w:szCs w:val="22"/>
          <w:lang w:val="sk-SK"/>
        </w:rPr>
        <w:t xml:space="preserve"> </w:t>
      </w:r>
      <w:r w:rsidR="00BB52B9" w:rsidRPr="00C101CC">
        <w:rPr>
          <w:szCs w:val="22"/>
          <w:lang w:val="sk-SK"/>
        </w:rPr>
        <w:t>Na zabránenie rýchleho poklesu plazmatickej koncentrácie topiramátu počas hemodialýzy, môže byť potrebná prídavná dávka topiramátu.</w:t>
      </w:r>
      <w:r w:rsidR="00EF5E97" w:rsidRPr="00C101CC">
        <w:rPr>
          <w:szCs w:val="22"/>
          <w:lang w:val="sk-SK"/>
        </w:rPr>
        <w:t xml:space="preserve"> </w:t>
      </w:r>
      <w:r w:rsidR="006044B5" w:rsidRPr="00C101CC">
        <w:rPr>
          <w:szCs w:val="22"/>
          <w:lang w:val="sk-SK"/>
        </w:rPr>
        <w:t>Pri úprave dávky sa má zobrať do úvahy</w:t>
      </w:r>
      <w:r w:rsidR="00EF5E97" w:rsidRPr="00C101CC">
        <w:rPr>
          <w:szCs w:val="22"/>
          <w:lang w:val="sk-SK"/>
        </w:rPr>
        <w:t xml:space="preserve"> 1) </w:t>
      </w:r>
      <w:r w:rsidR="00BB52B9" w:rsidRPr="00C101CC">
        <w:rPr>
          <w:szCs w:val="22"/>
          <w:lang w:val="sk-SK"/>
        </w:rPr>
        <w:t xml:space="preserve">trvanie </w:t>
      </w:r>
      <w:r w:rsidR="00EF5E97" w:rsidRPr="00C101CC">
        <w:rPr>
          <w:szCs w:val="22"/>
          <w:lang w:val="sk-SK"/>
        </w:rPr>
        <w:t>dial</w:t>
      </w:r>
      <w:r w:rsidR="00BB52B9" w:rsidRPr="00C101CC">
        <w:rPr>
          <w:szCs w:val="22"/>
          <w:lang w:val="sk-SK"/>
        </w:rPr>
        <w:t>yzačnej liečby</w:t>
      </w:r>
      <w:r w:rsidR="00EF5E97" w:rsidRPr="00C101CC">
        <w:rPr>
          <w:szCs w:val="22"/>
          <w:lang w:val="sk-SK"/>
        </w:rPr>
        <w:t xml:space="preserve">, 2) </w:t>
      </w:r>
      <w:r w:rsidR="006044B5" w:rsidRPr="00C101CC">
        <w:rPr>
          <w:szCs w:val="22"/>
          <w:lang w:val="sk-SK"/>
        </w:rPr>
        <w:t>klírens použitého dialyzačného zariadenia a</w:t>
      </w:r>
      <w:r w:rsidR="00EF5E97" w:rsidRPr="00C101CC">
        <w:rPr>
          <w:szCs w:val="22"/>
          <w:lang w:val="sk-SK"/>
        </w:rPr>
        <w:t xml:space="preserve"> 3) </w:t>
      </w:r>
      <w:r w:rsidR="006044B5" w:rsidRPr="00C101CC">
        <w:rPr>
          <w:szCs w:val="22"/>
          <w:lang w:val="sk-SK"/>
        </w:rPr>
        <w:t>efektívnosť renálneho klírensu topiramátu u pacienta na dialýze</w:t>
      </w:r>
      <w:r w:rsidR="00EF5E97" w:rsidRPr="00C101CC">
        <w:rPr>
          <w:szCs w:val="22"/>
          <w:lang w:val="sk-SK"/>
        </w:rPr>
        <w:t>.</w:t>
      </w:r>
    </w:p>
    <w:p w14:paraId="5DB634AF" w14:textId="77777777" w:rsidR="00DC0878" w:rsidRPr="00C101CC" w:rsidRDefault="00DC0878">
      <w:pPr>
        <w:pStyle w:val="Default"/>
        <w:rPr>
          <w:sz w:val="22"/>
          <w:szCs w:val="22"/>
          <w:u w:val="single"/>
          <w:lang w:val="sk-SK"/>
        </w:rPr>
      </w:pPr>
    </w:p>
    <w:p w14:paraId="33A2380F" w14:textId="79A58397" w:rsidR="00C3119D" w:rsidRPr="00C101CC" w:rsidRDefault="00C3119D">
      <w:pPr>
        <w:pStyle w:val="Default"/>
        <w:keepNext/>
        <w:rPr>
          <w:sz w:val="22"/>
          <w:szCs w:val="22"/>
          <w:u w:val="single"/>
          <w:lang w:val="sk-SK"/>
        </w:rPr>
      </w:pPr>
      <w:r w:rsidRPr="00C101CC">
        <w:rPr>
          <w:sz w:val="22"/>
          <w:szCs w:val="22"/>
          <w:u w:val="single"/>
          <w:lang w:val="sk-SK"/>
        </w:rPr>
        <w:t>Porucha funkcie pečene</w:t>
      </w:r>
    </w:p>
    <w:p w14:paraId="3F20422C" w14:textId="670AE2D1" w:rsidR="00FF7468" w:rsidRPr="00C101CC" w:rsidRDefault="00FF7468">
      <w:pPr>
        <w:pStyle w:val="Default"/>
        <w:rPr>
          <w:sz w:val="22"/>
          <w:szCs w:val="22"/>
          <w:lang w:val="sk-SK"/>
        </w:rPr>
      </w:pPr>
      <w:r w:rsidRPr="00C101CC">
        <w:rPr>
          <w:sz w:val="22"/>
          <w:szCs w:val="22"/>
          <w:lang w:val="sk-SK"/>
        </w:rPr>
        <w:t xml:space="preserve">Plazmatický klírens topiramátu sa znižuje </w:t>
      </w:r>
      <w:r w:rsidR="00AE3307" w:rsidRPr="00C101CC">
        <w:rPr>
          <w:sz w:val="22"/>
          <w:szCs w:val="22"/>
          <w:lang w:val="sk-SK"/>
        </w:rPr>
        <w:t xml:space="preserve">priemerne o </w:t>
      </w:r>
      <w:r w:rsidR="00EF5E97" w:rsidRPr="00C101CC">
        <w:rPr>
          <w:sz w:val="22"/>
          <w:szCs w:val="22"/>
          <w:lang w:val="sk-SK"/>
        </w:rPr>
        <w:t xml:space="preserve">26 % </w:t>
      </w:r>
      <w:r w:rsidRPr="00C101CC">
        <w:rPr>
          <w:sz w:val="22"/>
          <w:szCs w:val="22"/>
          <w:lang w:val="sk-SK"/>
        </w:rPr>
        <w:t>u pacientov so stredne závažným a závažným hepatálnym poškodením.</w:t>
      </w:r>
      <w:r w:rsidR="00EF5E97" w:rsidRPr="00C101CC">
        <w:rPr>
          <w:sz w:val="22"/>
          <w:szCs w:val="22"/>
          <w:lang w:val="sk-SK"/>
        </w:rPr>
        <w:t xml:space="preserve"> </w:t>
      </w:r>
      <w:r w:rsidR="00AE3307" w:rsidRPr="00C101CC">
        <w:rPr>
          <w:sz w:val="22"/>
          <w:szCs w:val="22"/>
          <w:lang w:val="sk-SK"/>
        </w:rPr>
        <w:t>Z toho dôvodu sa má topiramát podávať opatrne pacientom s hepatálnym poškodením</w:t>
      </w:r>
      <w:r w:rsidR="00EF5E97" w:rsidRPr="00C101CC">
        <w:rPr>
          <w:sz w:val="22"/>
          <w:szCs w:val="22"/>
          <w:lang w:val="sk-SK"/>
        </w:rPr>
        <w:t>.</w:t>
      </w:r>
    </w:p>
    <w:p w14:paraId="53976DC5" w14:textId="77777777" w:rsidR="00FF7468" w:rsidRPr="00C101CC" w:rsidRDefault="00FF7468">
      <w:pPr>
        <w:pStyle w:val="Default"/>
        <w:rPr>
          <w:sz w:val="22"/>
          <w:szCs w:val="22"/>
          <w:lang w:val="sk-SK"/>
        </w:rPr>
      </w:pPr>
    </w:p>
    <w:p w14:paraId="735B0BF5" w14:textId="77777777" w:rsidR="00C3119D" w:rsidRPr="00C101CC" w:rsidRDefault="00C3119D">
      <w:pPr>
        <w:pStyle w:val="Default"/>
        <w:keepNext/>
        <w:rPr>
          <w:sz w:val="22"/>
          <w:szCs w:val="22"/>
          <w:u w:val="single"/>
          <w:lang w:val="sk-SK"/>
        </w:rPr>
      </w:pPr>
      <w:r w:rsidRPr="00C101CC">
        <w:rPr>
          <w:sz w:val="22"/>
          <w:szCs w:val="22"/>
          <w:u w:val="single"/>
          <w:lang w:val="sk-SK"/>
        </w:rPr>
        <w:t>Starší pacienti</w:t>
      </w:r>
    </w:p>
    <w:p w14:paraId="5D085411" w14:textId="77777777" w:rsidR="00FF7468" w:rsidRPr="00C101CC" w:rsidRDefault="00FF7468">
      <w:pPr>
        <w:pStyle w:val="Default"/>
        <w:keepNext/>
        <w:rPr>
          <w:sz w:val="22"/>
          <w:szCs w:val="22"/>
          <w:lang w:val="sk-SK"/>
        </w:rPr>
      </w:pPr>
      <w:r w:rsidRPr="00C101CC">
        <w:rPr>
          <w:sz w:val="22"/>
          <w:szCs w:val="22"/>
          <w:lang w:val="sk-SK"/>
        </w:rPr>
        <w:t>Plazmatický klírens topiramátu sa nemení u jedincov vo vyššom veku, ktorí nemajú obličkové ochorenie.</w:t>
      </w:r>
    </w:p>
    <w:p w14:paraId="238DFA6D" w14:textId="12D8FF18" w:rsidR="00FF7468" w:rsidRPr="00C101CC" w:rsidRDefault="00FF7468">
      <w:pPr>
        <w:pStyle w:val="Default"/>
        <w:rPr>
          <w:sz w:val="22"/>
          <w:szCs w:val="22"/>
          <w:lang w:val="sk-SK"/>
        </w:rPr>
      </w:pPr>
    </w:p>
    <w:p w14:paraId="18CCF0CE" w14:textId="7CA50BA3" w:rsidR="00FF7468" w:rsidRPr="00C101CC" w:rsidRDefault="00C3119D">
      <w:pPr>
        <w:pStyle w:val="Default"/>
        <w:rPr>
          <w:sz w:val="22"/>
          <w:szCs w:val="22"/>
          <w:u w:val="single"/>
          <w:lang w:val="sk-SK"/>
        </w:rPr>
      </w:pPr>
      <w:r w:rsidRPr="00C101CC">
        <w:rPr>
          <w:sz w:val="22"/>
          <w:szCs w:val="22"/>
          <w:u w:val="single"/>
          <w:lang w:val="sk-SK"/>
        </w:rPr>
        <w:t>Pediatrická populácia</w:t>
      </w:r>
      <w:r w:rsidR="00FF7468" w:rsidRPr="00C101CC">
        <w:rPr>
          <w:sz w:val="22"/>
          <w:szCs w:val="22"/>
          <w:u w:val="single"/>
          <w:lang w:val="sk-SK"/>
        </w:rPr>
        <w:t xml:space="preserve"> (farmakokinetika, do</w:t>
      </w:r>
      <w:r w:rsidR="008B27FA" w:rsidRPr="00C101CC">
        <w:rPr>
          <w:sz w:val="22"/>
          <w:szCs w:val="22"/>
          <w:u w:val="single"/>
          <w:lang w:val="sk-SK"/>
        </w:rPr>
        <w:t> </w:t>
      </w:r>
      <w:r w:rsidR="00FF7468" w:rsidRPr="00C101CC">
        <w:rPr>
          <w:sz w:val="22"/>
          <w:szCs w:val="22"/>
          <w:u w:val="single"/>
          <w:lang w:val="sk-SK"/>
        </w:rPr>
        <w:t>12</w:t>
      </w:r>
      <w:r w:rsidR="008B27FA" w:rsidRPr="00C101CC">
        <w:rPr>
          <w:sz w:val="22"/>
          <w:szCs w:val="22"/>
          <w:u w:val="single"/>
          <w:lang w:val="sk-SK"/>
        </w:rPr>
        <w:t> </w:t>
      </w:r>
      <w:r w:rsidR="00FF7468" w:rsidRPr="00C101CC">
        <w:rPr>
          <w:sz w:val="22"/>
          <w:szCs w:val="22"/>
          <w:u w:val="single"/>
          <w:lang w:val="sk-SK"/>
        </w:rPr>
        <w:t xml:space="preserve">rokov) </w:t>
      </w:r>
    </w:p>
    <w:p w14:paraId="4A5A8A15" w14:textId="69899D4B" w:rsidR="00FF7468" w:rsidRPr="00C101CC" w:rsidRDefault="00FF7468">
      <w:pPr>
        <w:pStyle w:val="Default"/>
        <w:rPr>
          <w:b/>
          <w:sz w:val="22"/>
          <w:szCs w:val="22"/>
          <w:lang w:val="sk-SK"/>
        </w:rPr>
      </w:pPr>
      <w:r w:rsidRPr="00C101CC">
        <w:rPr>
          <w:sz w:val="22"/>
          <w:szCs w:val="22"/>
          <w:lang w:val="sk-SK"/>
        </w:rPr>
        <w:t>Farmakokinetika topiramátu u detí, podobne ako u dospelých liečených prídavnou terapiou topiramátom, je lineárna</w:t>
      </w:r>
      <w:r w:rsidR="003F2AE3" w:rsidRPr="00C101CC">
        <w:rPr>
          <w:sz w:val="22"/>
          <w:szCs w:val="22"/>
          <w:lang w:val="sk-SK"/>
        </w:rPr>
        <w:t>,</w:t>
      </w:r>
      <w:r w:rsidRPr="00C101CC">
        <w:rPr>
          <w:sz w:val="22"/>
          <w:szCs w:val="22"/>
          <w:lang w:val="sk-SK"/>
        </w:rPr>
        <w:t xml:space="preserve"> s klírensom nezávislým od dávky a rovnovážnym</w:t>
      </w:r>
      <w:r w:rsidR="006C73C7" w:rsidRPr="00C101CC">
        <w:rPr>
          <w:sz w:val="22"/>
          <w:szCs w:val="22"/>
          <w:lang w:val="sk-SK"/>
        </w:rPr>
        <w:t>i</w:t>
      </w:r>
      <w:r w:rsidRPr="00C101CC">
        <w:rPr>
          <w:sz w:val="22"/>
          <w:szCs w:val="22"/>
          <w:lang w:val="sk-SK"/>
        </w:rPr>
        <w:t xml:space="preserve"> plazmatický</w:t>
      </w:r>
      <w:r w:rsidR="006C73C7" w:rsidRPr="00C101CC">
        <w:rPr>
          <w:sz w:val="22"/>
          <w:szCs w:val="22"/>
          <w:lang w:val="sk-SK"/>
        </w:rPr>
        <w:t>mi</w:t>
      </w:r>
      <w:r w:rsidRPr="00C101CC">
        <w:rPr>
          <w:sz w:val="22"/>
          <w:szCs w:val="22"/>
          <w:lang w:val="sk-SK"/>
        </w:rPr>
        <w:t xml:space="preserve"> koncentráci</w:t>
      </w:r>
      <w:r w:rsidR="006C73C7" w:rsidRPr="00C101CC">
        <w:rPr>
          <w:sz w:val="22"/>
          <w:szCs w:val="22"/>
          <w:lang w:val="sk-SK"/>
        </w:rPr>
        <w:t>ami</w:t>
      </w:r>
      <w:r w:rsidRPr="00C101CC">
        <w:rPr>
          <w:sz w:val="22"/>
          <w:szCs w:val="22"/>
          <w:lang w:val="sk-SK"/>
        </w:rPr>
        <w:t xml:space="preserve"> zvyšujúci</w:t>
      </w:r>
      <w:r w:rsidR="006C73C7" w:rsidRPr="00C101CC">
        <w:rPr>
          <w:sz w:val="22"/>
          <w:szCs w:val="22"/>
          <w:lang w:val="sk-SK"/>
        </w:rPr>
        <w:t>mi</w:t>
      </w:r>
      <w:r w:rsidRPr="00C101CC">
        <w:rPr>
          <w:sz w:val="22"/>
          <w:szCs w:val="22"/>
          <w:lang w:val="sk-SK"/>
        </w:rPr>
        <w:t xml:space="preserve"> sa proporcionálne vzhľadom na dávku. Deti však majú vyšší klírens a kratší </w:t>
      </w:r>
      <w:r w:rsidR="002D3F5B" w:rsidRPr="00C101CC">
        <w:rPr>
          <w:sz w:val="22"/>
          <w:szCs w:val="22"/>
          <w:lang w:val="sk-SK"/>
        </w:rPr>
        <w:t xml:space="preserve">eliminačný </w:t>
      </w:r>
      <w:r w:rsidRPr="00C101CC">
        <w:rPr>
          <w:sz w:val="22"/>
          <w:szCs w:val="22"/>
          <w:lang w:val="sk-SK"/>
        </w:rPr>
        <w:t>polčas. Preto plazmatické koncentrácie topiramátu po rovnakej dávke v</w:t>
      </w:r>
      <w:r w:rsidR="00241B05" w:rsidRPr="00C101CC">
        <w:rPr>
          <w:sz w:val="22"/>
          <w:szCs w:val="22"/>
          <w:lang w:val="sk-SK"/>
        </w:rPr>
        <w:t> </w:t>
      </w:r>
      <w:r w:rsidRPr="00C101CC">
        <w:rPr>
          <w:sz w:val="22"/>
          <w:szCs w:val="22"/>
          <w:lang w:val="sk-SK"/>
        </w:rPr>
        <w:t>mg/kg môžu byť nižšie u detí v porovnaní s dospelými. Tak, ako u dospelých, antiepileptiká indukujúce hepatálne enzýmy znižujú rovnovážn</w:t>
      </w:r>
      <w:r w:rsidR="006C73C7" w:rsidRPr="00C101CC">
        <w:rPr>
          <w:sz w:val="22"/>
          <w:szCs w:val="22"/>
          <w:lang w:val="sk-SK"/>
        </w:rPr>
        <w:t>e</w:t>
      </w:r>
      <w:r w:rsidRPr="00C101CC">
        <w:rPr>
          <w:sz w:val="22"/>
          <w:szCs w:val="22"/>
          <w:lang w:val="sk-SK"/>
        </w:rPr>
        <w:t xml:space="preserve"> plazmatick</w:t>
      </w:r>
      <w:r w:rsidR="006C73C7" w:rsidRPr="00C101CC">
        <w:rPr>
          <w:sz w:val="22"/>
          <w:szCs w:val="22"/>
          <w:lang w:val="sk-SK"/>
        </w:rPr>
        <w:t>é</w:t>
      </w:r>
      <w:r w:rsidRPr="00C101CC">
        <w:rPr>
          <w:sz w:val="22"/>
          <w:szCs w:val="22"/>
          <w:lang w:val="sk-SK"/>
        </w:rPr>
        <w:t xml:space="preserve"> koncentráci</w:t>
      </w:r>
      <w:r w:rsidR="006C73C7" w:rsidRPr="00C101CC">
        <w:rPr>
          <w:sz w:val="22"/>
          <w:szCs w:val="22"/>
          <w:lang w:val="sk-SK"/>
        </w:rPr>
        <w:t>e</w:t>
      </w:r>
      <w:r w:rsidRPr="00C101CC">
        <w:rPr>
          <w:sz w:val="22"/>
          <w:szCs w:val="22"/>
          <w:lang w:val="sk-SK"/>
        </w:rPr>
        <w:t>.</w:t>
      </w:r>
    </w:p>
    <w:p w14:paraId="0E7035C7" w14:textId="77777777" w:rsidR="00FF7468" w:rsidRPr="00C101CC" w:rsidRDefault="00FF7468">
      <w:pPr>
        <w:pStyle w:val="Default"/>
        <w:rPr>
          <w:sz w:val="22"/>
          <w:szCs w:val="22"/>
          <w:lang w:val="sk-SK"/>
        </w:rPr>
      </w:pPr>
    </w:p>
    <w:p w14:paraId="01CBC739" w14:textId="77777777" w:rsidR="00FF7468" w:rsidRPr="00C101CC" w:rsidRDefault="00FF7468">
      <w:pPr>
        <w:keepNext/>
        <w:spacing w:line="240" w:lineRule="auto"/>
        <w:jc w:val="both"/>
        <w:rPr>
          <w:szCs w:val="22"/>
          <w:lang w:val="sk-SK"/>
        </w:rPr>
      </w:pPr>
      <w:r w:rsidRPr="00C101CC">
        <w:rPr>
          <w:b/>
          <w:szCs w:val="22"/>
          <w:lang w:val="sk-SK"/>
        </w:rPr>
        <w:t>5.3</w:t>
      </w:r>
      <w:r w:rsidRPr="00C101CC">
        <w:rPr>
          <w:b/>
          <w:szCs w:val="22"/>
          <w:lang w:val="sk-SK"/>
        </w:rPr>
        <w:tab/>
        <w:t>Predklinické údaje o bezpečnosti</w:t>
      </w:r>
    </w:p>
    <w:p w14:paraId="01A68477" w14:textId="77777777" w:rsidR="00FF7468" w:rsidRPr="00C101CC" w:rsidRDefault="00FF7468">
      <w:pPr>
        <w:keepNext/>
        <w:spacing w:line="240" w:lineRule="auto"/>
        <w:jc w:val="both"/>
        <w:rPr>
          <w:szCs w:val="22"/>
          <w:lang w:val="sk-SK"/>
        </w:rPr>
      </w:pPr>
    </w:p>
    <w:p w14:paraId="6C3489E5" w14:textId="5F6443E6" w:rsidR="00FF7468" w:rsidRPr="00C101CC" w:rsidRDefault="00FF7468">
      <w:pPr>
        <w:keepNext/>
        <w:spacing w:line="240" w:lineRule="auto"/>
        <w:rPr>
          <w:szCs w:val="22"/>
          <w:highlight w:val="yellow"/>
          <w:lang w:val="sk-SK"/>
        </w:rPr>
      </w:pPr>
      <w:bookmarkStart w:id="4" w:name="OLE_LINK11"/>
      <w:r w:rsidRPr="00C101CC">
        <w:rPr>
          <w:szCs w:val="22"/>
          <w:lang w:val="sk-SK"/>
        </w:rPr>
        <w:t>V neklinických štúdiách fertility sa, napriek maternálnej a paternálnej toxicite už pri nízkej dávke 8 mg/kg/deň, nezaznamenali žiadne účinky na fertilitu samičiek alebo samčekov potkanov po dávkach až do 100</w:t>
      </w:r>
      <w:r w:rsidR="00241B05" w:rsidRPr="00C101CC">
        <w:rPr>
          <w:szCs w:val="22"/>
          <w:lang w:val="sk-SK"/>
        </w:rPr>
        <w:t> </w:t>
      </w:r>
      <w:r w:rsidRPr="00C101CC">
        <w:rPr>
          <w:szCs w:val="22"/>
          <w:lang w:val="sk-SK"/>
        </w:rPr>
        <w:t xml:space="preserve">mg/kg/deň. </w:t>
      </w:r>
    </w:p>
    <w:p w14:paraId="369AFDAA" w14:textId="77777777" w:rsidR="00FF7468" w:rsidRPr="00C101CC" w:rsidRDefault="00FF7468">
      <w:pPr>
        <w:spacing w:line="240" w:lineRule="auto"/>
        <w:rPr>
          <w:szCs w:val="22"/>
          <w:highlight w:val="yellow"/>
          <w:lang w:val="sk-SK"/>
        </w:rPr>
      </w:pPr>
    </w:p>
    <w:p w14:paraId="73022391" w14:textId="62BC64B3" w:rsidR="00FF7468" w:rsidRPr="00C101CC" w:rsidRDefault="00FF7468">
      <w:pPr>
        <w:spacing w:line="240" w:lineRule="auto"/>
        <w:rPr>
          <w:szCs w:val="22"/>
          <w:highlight w:val="yellow"/>
          <w:lang w:val="sk-SK"/>
        </w:rPr>
      </w:pPr>
      <w:r w:rsidRPr="00C101CC">
        <w:rPr>
          <w:szCs w:val="22"/>
          <w:lang w:val="sk-SK"/>
        </w:rPr>
        <w:t>V predklinických štúdiách bol topiramát u skúmaných druhov (myši, potkany a králiky) teratogénny. U myší bolo zaznamenané zníženie hmotnosti plodu a osifikácie skeletu po dávkach 500</w:t>
      </w:r>
      <w:r w:rsidR="00241B05" w:rsidRPr="00C101CC">
        <w:rPr>
          <w:szCs w:val="22"/>
          <w:lang w:val="sk-SK"/>
        </w:rPr>
        <w:t> </w:t>
      </w:r>
      <w:r w:rsidRPr="00C101CC">
        <w:rPr>
          <w:szCs w:val="22"/>
          <w:lang w:val="sk-SK"/>
        </w:rPr>
        <w:t>mg/kg/deň</w:t>
      </w:r>
      <w:r w:rsidR="00696B7C" w:rsidRPr="00C101CC">
        <w:rPr>
          <w:szCs w:val="22"/>
          <w:lang w:val="sk-SK"/>
        </w:rPr>
        <w:t>,</w:t>
      </w:r>
      <w:r w:rsidRPr="00C101CC">
        <w:rPr>
          <w:szCs w:val="22"/>
          <w:lang w:val="sk-SK"/>
        </w:rPr>
        <w:t xml:space="preserve"> sú</w:t>
      </w:r>
      <w:r w:rsidR="008C445F" w:rsidRPr="00C101CC">
        <w:rPr>
          <w:szCs w:val="22"/>
          <w:lang w:val="sk-SK"/>
        </w:rPr>
        <w:t>bež</w:t>
      </w:r>
      <w:r w:rsidRPr="00C101CC">
        <w:rPr>
          <w:szCs w:val="22"/>
          <w:lang w:val="sk-SK"/>
        </w:rPr>
        <w:t xml:space="preserve">ne s toxicitou </w:t>
      </w:r>
      <w:r w:rsidR="00696B7C" w:rsidRPr="00C101CC">
        <w:rPr>
          <w:szCs w:val="22"/>
          <w:lang w:val="sk-SK"/>
        </w:rPr>
        <w:t>pre </w:t>
      </w:r>
      <w:r w:rsidRPr="00C101CC">
        <w:rPr>
          <w:szCs w:val="22"/>
          <w:lang w:val="sk-SK"/>
        </w:rPr>
        <w:t>matky. Celkový počet malformácií plodu u myší sa zvýšil vo všetkých liečených skupinách (20, 100 a 500 mg/kg/deň).</w:t>
      </w:r>
    </w:p>
    <w:p w14:paraId="341B7673" w14:textId="77777777" w:rsidR="00FF7468" w:rsidRPr="00C101CC" w:rsidRDefault="00FF7468">
      <w:pPr>
        <w:spacing w:line="240" w:lineRule="auto"/>
        <w:rPr>
          <w:szCs w:val="22"/>
          <w:highlight w:val="yellow"/>
          <w:lang w:val="sk-SK"/>
        </w:rPr>
      </w:pPr>
    </w:p>
    <w:p w14:paraId="1C9BEE86" w14:textId="3765A802" w:rsidR="00FF7468" w:rsidRPr="00C101CC" w:rsidRDefault="00FF7468">
      <w:pPr>
        <w:spacing w:line="240" w:lineRule="auto"/>
        <w:rPr>
          <w:szCs w:val="22"/>
          <w:lang w:val="sk-SK"/>
        </w:rPr>
      </w:pPr>
      <w:r w:rsidRPr="00C101CC">
        <w:rPr>
          <w:szCs w:val="22"/>
          <w:lang w:val="sk-SK"/>
        </w:rPr>
        <w:t xml:space="preserve">U potkanov sa od dávky závislá toxicita </w:t>
      </w:r>
      <w:r w:rsidR="00696B7C" w:rsidRPr="00C101CC">
        <w:rPr>
          <w:szCs w:val="22"/>
          <w:lang w:val="sk-SK"/>
        </w:rPr>
        <w:t xml:space="preserve">pre </w:t>
      </w:r>
      <w:r w:rsidRPr="00C101CC">
        <w:rPr>
          <w:szCs w:val="22"/>
          <w:lang w:val="sk-SK"/>
        </w:rPr>
        <w:t>mat</w:t>
      </w:r>
      <w:r w:rsidR="00696B7C" w:rsidRPr="00C101CC">
        <w:rPr>
          <w:szCs w:val="22"/>
          <w:lang w:val="sk-SK"/>
        </w:rPr>
        <w:t>ku</w:t>
      </w:r>
      <w:r w:rsidRPr="00C101CC">
        <w:rPr>
          <w:szCs w:val="22"/>
          <w:lang w:val="sk-SK"/>
        </w:rPr>
        <w:t xml:space="preserve"> a embryo/</w:t>
      </w:r>
      <w:r w:rsidR="00696B7C" w:rsidRPr="00C101CC">
        <w:rPr>
          <w:szCs w:val="22"/>
          <w:lang w:val="sk-SK"/>
        </w:rPr>
        <w:t>plod</w:t>
      </w:r>
      <w:r w:rsidRPr="00C101CC">
        <w:rPr>
          <w:szCs w:val="22"/>
          <w:lang w:val="sk-SK"/>
        </w:rPr>
        <w:t xml:space="preserve"> (znížená hmotnosť plodu a/alebo osifikácia skeletu) zaznamenal</w:t>
      </w:r>
      <w:r w:rsidR="00696B7C" w:rsidRPr="00C101CC">
        <w:rPr>
          <w:szCs w:val="22"/>
          <w:lang w:val="sk-SK"/>
        </w:rPr>
        <w:t>a</w:t>
      </w:r>
      <w:r w:rsidRPr="00C101CC">
        <w:rPr>
          <w:szCs w:val="22"/>
          <w:lang w:val="sk-SK"/>
        </w:rPr>
        <w:t xml:space="preserve"> pri dávkach vyšších ako 20</w:t>
      </w:r>
      <w:r w:rsidR="00241B05" w:rsidRPr="00C101CC">
        <w:rPr>
          <w:szCs w:val="22"/>
          <w:lang w:val="sk-SK"/>
        </w:rPr>
        <w:t> </w:t>
      </w:r>
      <w:r w:rsidRPr="00C101CC">
        <w:rPr>
          <w:szCs w:val="22"/>
          <w:lang w:val="sk-SK"/>
        </w:rPr>
        <w:t>mg/kg/deň a teratogénne účinky (defekty končatín a prstov) pri dávkach 400</w:t>
      </w:r>
      <w:r w:rsidR="00241B05" w:rsidRPr="00C101CC">
        <w:rPr>
          <w:szCs w:val="22"/>
          <w:lang w:val="sk-SK"/>
        </w:rPr>
        <w:t> </w:t>
      </w:r>
      <w:r w:rsidRPr="00C101CC">
        <w:rPr>
          <w:szCs w:val="22"/>
          <w:lang w:val="sk-SK"/>
        </w:rPr>
        <w:t xml:space="preserve">mg/kg/deň a vyšších. U králikov sa od dávky závislá toxicita </w:t>
      </w:r>
      <w:r w:rsidR="00064C01" w:rsidRPr="00C101CC">
        <w:rPr>
          <w:szCs w:val="22"/>
          <w:lang w:val="sk-SK"/>
        </w:rPr>
        <w:t xml:space="preserve">pre </w:t>
      </w:r>
      <w:r w:rsidRPr="00C101CC">
        <w:rPr>
          <w:szCs w:val="22"/>
          <w:lang w:val="sk-SK"/>
        </w:rPr>
        <w:t>mat</w:t>
      </w:r>
      <w:r w:rsidR="00064C01" w:rsidRPr="00C101CC">
        <w:rPr>
          <w:szCs w:val="22"/>
          <w:lang w:val="sk-SK"/>
        </w:rPr>
        <w:t>ku</w:t>
      </w:r>
      <w:r w:rsidRPr="00C101CC">
        <w:rPr>
          <w:szCs w:val="22"/>
          <w:lang w:val="sk-SK"/>
        </w:rPr>
        <w:t xml:space="preserve"> zaznamenala pri dávkach vyšších ako 10</w:t>
      </w:r>
      <w:r w:rsidR="00241B05" w:rsidRPr="00C101CC">
        <w:rPr>
          <w:szCs w:val="22"/>
          <w:lang w:val="sk-SK"/>
        </w:rPr>
        <w:t> </w:t>
      </w:r>
      <w:r w:rsidRPr="00C101CC">
        <w:rPr>
          <w:szCs w:val="22"/>
          <w:lang w:val="sk-SK"/>
        </w:rPr>
        <w:t>mg/kg/deň s</w:t>
      </w:r>
      <w:r w:rsidR="00064C01" w:rsidRPr="00C101CC">
        <w:rPr>
          <w:szCs w:val="22"/>
          <w:lang w:val="sk-SK"/>
        </w:rPr>
        <w:t xml:space="preserve"> toxicitou pre </w:t>
      </w:r>
      <w:r w:rsidRPr="00C101CC">
        <w:rPr>
          <w:szCs w:val="22"/>
          <w:lang w:val="sk-SK"/>
        </w:rPr>
        <w:t>embryo/</w:t>
      </w:r>
      <w:r w:rsidR="00064C01" w:rsidRPr="00C101CC">
        <w:rPr>
          <w:szCs w:val="22"/>
          <w:lang w:val="sk-SK"/>
        </w:rPr>
        <w:t>plod</w:t>
      </w:r>
      <w:r w:rsidRPr="00C101CC">
        <w:rPr>
          <w:szCs w:val="22"/>
          <w:lang w:val="sk-SK"/>
        </w:rPr>
        <w:t xml:space="preserve"> (zvýšená letalita) pri dávkach 35</w:t>
      </w:r>
      <w:r w:rsidR="00241B05" w:rsidRPr="00C101CC">
        <w:rPr>
          <w:szCs w:val="22"/>
          <w:lang w:val="sk-SK"/>
        </w:rPr>
        <w:t> </w:t>
      </w:r>
      <w:r w:rsidRPr="00C101CC">
        <w:rPr>
          <w:szCs w:val="22"/>
          <w:lang w:val="sk-SK"/>
        </w:rPr>
        <w:t>mg/kg/deň a teratogénne účinky (malformácie rebier a chrbtice) pri dávkach 120</w:t>
      </w:r>
      <w:r w:rsidR="00241B05" w:rsidRPr="00C101CC">
        <w:rPr>
          <w:szCs w:val="22"/>
          <w:lang w:val="sk-SK"/>
        </w:rPr>
        <w:t> </w:t>
      </w:r>
      <w:r w:rsidRPr="00C101CC">
        <w:rPr>
          <w:szCs w:val="22"/>
          <w:lang w:val="sk-SK"/>
        </w:rPr>
        <w:t>mg/kg/deň.</w:t>
      </w:r>
    </w:p>
    <w:p w14:paraId="251A4EDE" w14:textId="77777777" w:rsidR="00FF7468" w:rsidRPr="00C101CC" w:rsidRDefault="00FF7468">
      <w:pPr>
        <w:spacing w:line="240" w:lineRule="auto"/>
        <w:rPr>
          <w:strike/>
          <w:szCs w:val="22"/>
          <w:lang w:val="sk-SK"/>
        </w:rPr>
      </w:pPr>
    </w:p>
    <w:p w14:paraId="7D50595C" w14:textId="51EB1ADC" w:rsidR="00FF7468" w:rsidRPr="00C101CC" w:rsidRDefault="00FF7468">
      <w:pPr>
        <w:spacing w:line="240" w:lineRule="auto"/>
        <w:rPr>
          <w:szCs w:val="22"/>
          <w:highlight w:val="yellow"/>
          <w:lang w:val="sk-SK"/>
        </w:rPr>
      </w:pPr>
      <w:r w:rsidRPr="00C101CC">
        <w:rPr>
          <w:szCs w:val="22"/>
          <w:lang w:val="sk-SK"/>
        </w:rPr>
        <w:t>Teratogénne účinky, ktoré boli pozorované u potkanov a králikov, boli podobné ako pri inhibítoroch karboanhydrázy</w:t>
      </w:r>
      <w:r w:rsidR="008B352F" w:rsidRPr="00C101CC">
        <w:rPr>
          <w:szCs w:val="22"/>
          <w:lang w:val="sk-SK"/>
        </w:rPr>
        <w:t>, ktoré</w:t>
      </w:r>
      <w:r w:rsidRPr="00C101CC">
        <w:rPr>
          <w:szCs w:val="22"/>
          <w:lang w:val="sk-SK"/>
        </w:rPr>
        <w:t xml:space="preserve"> </w:t>
      </w:r>
      <w:r w:rsidR="008B352F" w:rsidRPr="00C101CC">
        <w:rPr>
          <w:szCs w:val="22"/>
          <w:lang w:val="sk-SK"/>
        </w:rPr>
        <w:t>s</w:t>
      </w:r>
      <w:r w:rsidRPr="00C101CC">
        <w:rPr>
          <w:szCs w:val="22"/>
          <w:lang w:val="sk-SK"/>
        </w:rPr>
        <w:t>a nedávajú do súvislosti s malformáciami u ľudí. Účinky na rast boli naznačené tiež nižšou pôrodnou hmotnosťou a hmotnosťou počas laktácie u mláďat samíc potkanov, ktorým sa podávali počas gestačného obdobia a obdobia laktácie dávky 20 alebo 100</w:t>
      </w:r>
      <w:r w:rsidR="00241B05" w:rsidRPr="00C101CC">
        <w:rPr>
          <w:szCs w:val="22"/>
          <w:lang w:val="sk-SK"/>
        </w:rPr>
        <w:t> </w:t>
      </w:r>
      <w:r w:rsidRPr="00C101CC">
        <w:rPr>
          <w:szCs w:val="22"/>
          <w:lang w:val="sk-SK"/>
        </w:rPr>
        <w:t>mg/kg/deň.</w:t>
      </w:r>
      <w:r w:rsidR="0009056C" w:rsidRPr="00C101CC">
        <w:rPr>
          <w:szCs w:val="22"/>
          <w:lang w:val="sk-SK"/>
        </w:rPr>
        <w:t xml:space="preserve"> U </w:t>
      </w:r>
      <w:r w:rsidRPr="00C101CC">
        <w:rPr>
          <w:szCs w:val="22"/>
          <w:lang w:val="sk-SK"/>
        </w:rPr>
        <w:t>potkanov topiramát prechádza placentárnou bariérou.</w:t>
      </w:r>
    </w:p>
    <w:p w14:paraId="0E811FE7" w14:textId="77777777" w:rsidR="00FF7468" w:rsidRPr="00C101CC" w:rsidRDefault="00FF7468">
      <w:pPr>
        <w:spacing w:line="240" w:lineRule="auto"/>
        <w:rPr>
          <w:szCs w:val="22"/>
          <w:highlight w:val="yellow"/>
          <w:lang w:val="sk-SK"/>
        </w:rPr>
      </w:pPr>
    </w:p>
    <w:p w14:paraId="0AB18F9A" w14:textId="4372445C" w:rsidR="00FF7468" w:rsidRPr="00C101CC" w:rsidRDefault="00FF7468">
      <w:pPr>
        <w:spacing w:line="240" w:lineRule="auto"/>
        <w:rPr>
          <w:szCs w:val="22"/>
          <w:highlight w:val="yellow"/>
          <w:lang w:val="sk-SK"/>
        </w:rPr>
      </w:pPr>
      <w:r w:rsidRPr="00C101CC">
        <w:rPr>
          <w:szCs w:val="22"/>
          <w:lang w:val="sk-SK"/>
        </w:rPr>
        <w:t>U juvenilných potkanov mala denná dávka topiramátu do 300</w:t>
      </w:r>
      <w:r w:rsidR="00241B05" w:rsidRPr="00C101CC">
        <w:rPr>
          <w:szCs w:val="22"/>
          <w:lang w:val="sk-SK"/>
        </w:rPr>
        <w:t> </w:t>
      </w:r>
      <w:r w:rsidRPr="00C101CC">
        <w:rPr>
          <w:szCs w:val="22"/>
          <w:lang w:val="sk-SK"/>
        </w:rPr>
        <w:t>mg/kg/deň počas vývojového obdobia zodpovedajúceho detstvu a adolescencii za následok toxicitu ako u dospelých zvierat (pokles v požívaní potravy s poklesom hmotnostného prírastku, centrilobulárna hepatocelulárna hypertrofia). Nezaznamenal sa žiadny vplyv na rast dlhej kosti (tibia) alebo na minerálnu denzitu kosti (femur), obdobie pred odstavením a reprodukčný vývoj, neurologický vývoj (vrátane posúdenia pamäte a učenia), párenie a fertilitu alebo hysterotomické parametre.</w:t>
      </w:r>
    </w:p>
    <w:p w14:paraId="58DEC0A4" w14:textId="77777777" w:rsidR="00FF7468" w:rsidRPr="00C101CC" w:rsidRDefault="00FF7468">
      <w:pPr>
        <w:spacing w:line="240" w:lineRule="auto"/>
        <w:rPr>
          <w:szCs w:val="22"/>
          <w:highlight w:val="yellow"/>
          <w:lang w:val="sk-SK"/>
        </w:rPr>
      </w:pPr>
    </w:p>
    <w:p w14:paraId="7491282B" w14:textId="77777777" w:rsidR="00FF7468" w:rsidRPr="00C101CC" w:rsidRDefault="00FF7468">
      <w:pPr>
        <w:tabs>
          <w:tab w:val="clear" w:pos="567"/>
        </w:tabs>
        <w:autoSpaceDE w:val="0"/>
        <w:autoSpaceDN w:val="0"/>
        <w:adjustRightInd w:val="0"/>
        <w:spacing w:line="240" w:lineRule="auto"/>
        <w:rPr>
          <w:szCs w:val="22"/>
          <w:lang w:val="sk-SK"/>
        </w:rPr>
      </w:pPr>
      <w:r w:rsidRPr="00C101CC">
        <w:rPr>
          <w:szCs w:val="22"/>
          <w:lang w:val="sk-SK"/>
        </w:rPr>
        <w:t>Pri skúškach na</w:t>
      </w:r>
      <w:r w:rsidRPr="00C101CC">
        <w:rPr>
          <w:i/>
          <w:szCs w:val="22"/>
          <w:lang w:val="sk-SK"/>
        </w:rPr>
        <w:t xml:space="preserve"> </w:t>
      </w:r>
      <w:r w:rsidRPr="00C101CC">
        <w:rPr>
          <w:szCs w:val="22"/>
          <w:lang w:val="sk-SK"/>
        </w:rPr>
        <w:t xml:space="preserve">mutagenitu </w:t>
      </w:r>
      <w:r w:rsidRPr="00C101CC">
        <w:rPr>
          <w:i/>
          <w:szCs w:val="22"/>
          <w:lang w:val="sk-SK"/>
        </w:rPr>
        <w:t xml:space="preserve">in vitro </w:t>
      </w:r>
      <w:r w:rsidRPr="00C101CC">
        <w:rPr>
          <w:szCs w:val="22"/>
          <w:lang w:val="sk-SK"/>
        </w:rPr>
        <w:t xml:space="preserve">a </w:t>
      </w:r>
      <w:r w:rsidRPr="00C101CC">
        <w:rPr>
          <w:i/>
          <w:szCs w:val="22"/>
          <w:lang w:val="sk-SK"/>
        </w:rPr>
        <w:t xml:space="preserve">in vivo </w:t>
      </w:r>
      <w:r w:rsidRPr="00C101CC">
        <w:rPr>
          <w:szCs w:val="22"/>
          <w:lang w:val="sk-SK"/>
        </w:rPr>
        <w:t>topiramát nevykazoval genotoxické účinky.</w:t>
      </w:r>
    </w:p>
    <w:bookmarkEnd w:id="4"/>
    <w:p w14:paraId="65C5CD32" w14:textId="77777777" w:rsidR="00DC0878" w:rsidRPr="00C101CC" w:rsidRDefault="00DC0878">
      <w:pPr>
        <w:pStyle w:val="Default"/>
        <w:jc w:val="both"/>
        <w:rPr>
          <w:sz w:val="22"/>
          <w:szCs w:val="22"/>
          <w:lang w:val="sk-SK"/>
        </w:rPr>
      </w:pPr>
    </w:p>
    <w:p w14:paraId="5CED408A" w14:textId="77777777" w:rsidR="00FF7468" w:rsidRPr="00C101CC" w:rsidRDefault="00FF7468">
      <w:pPr>
        <w:pStyle w:val="Default"/>
        <w:jc w:val="both"/>
        <w:rPr>
          <w:sz w:val="22"/>
          <w:szCs w:val="22"/>
          <w:lang w:val="sk-SK"/>
        </w:rPr>
      </w:pPr>
    </w:p>
    <w:p w14:paraId="14D1C893" w14:textId="77777777" w:rsidR="00FF7468" w:rsidRPr="00C101CC" w:rsidRDefault="00FF7468">
      <w:pPr>
        <w:keepNext/>
        <w:spacing w:line="240" w:lineRule="auto"/>
        <w:jc w:val="both"/>
        <w:rPr>
          <w:b/>
          <w:szCs w:val="22"/>
          <w:lang w:val="sk-SK"/>
        </w:rPr>
      </w:pPr>
      <w:r w:rsidRPr="00C101CC">
        <w:rPr>
          <w:b/>
          <w:szCs w:val="22"/>
          <w:lang w:val="sk-SK"/>
        </w:rPr>
        <w:t>6.</w:t>
      </w:r>
      <w:r w:rsidRPr="00C101CC">
        <w:rPr>
          <w:b/>
          <w:szCs w:val="22"/>
          <w:lang w:val="sk-SK"/>
        </w:rPr>
        <w:tab/>
        <w:t>FARMACEUTICKÉ INFORMÁCIE</w:t>
      </w:r>
    </w:p>
    <w:p w14:paraId="4F086C18" w14:textId="77777777" w:rsidR="00FF7468" w:rsidRPr="00C101CC" w:rsidRDefault="00FF7468">
      <w:pPr>
        <w:keepNext/>
        <w:spacing w:line="240" w:lineRule="auto"/>
        <w:jc w:val="both"/>
        <w:rPr>
          <w:szCs w:val="22"/>
          <w:lang w:val="sk-SK"/>
        </w:rPr>
      </w:pPr>
    </w:p>
    <w:p w14:paraId="1127B382" w14:textId="77777777" w:rsidR="00FF7468" w:rsidRPr="00C101CC" w:rsidRDefault="00FF7468">
      <w:pPr>
        <w:keepNext/>
        <w:spacing w:line="240" w:lineRule="auto"/>
        <w:jc w:val="both"/>
        <w:rPr>
          <w:b/>
          <w:szCs w:val="22"/>
          <w:lang w:val="sk-SK"/>
        </w:rPr>
      </w:pPr>
      <w:r w:rsidRPr="00C101CC">
        <w:rPr>
          <w:b/>
          <w:szCs w:val="22"/>
          <w:lang w:val="sk-SK"/>
        </w:rPr>
        <w:t>6.1</w:t>
      </w:r>
      <w:r w:rsidRPr="00C101CC">
        <w:rPr>
          <w:b/>
          <w:szCs w:val="22"/>
          <w:lang w:val="sk-SK"/>
        </w:rPr>
        <w:tab/>
        <w:t>Zoznam pomocných látok</w:t>
      </w:r>
    </w:p>
    <w:p w14:paraId="3B1E2D16" w14:textId="77777777" w:rsidR="00FF7468" w:rsidRPr="00C101CC" w:rsidRDefault="00FF7468">
      <w:pPr>
        <w:keepNext/>
        <w:spacing w:line="240" w:lineRule="auto"/>
        <w:jc w:val="both"/>
        <w:rPr>
          <w:szCs w:val="22"/>
          <w:lang w:val="sk-SK"/>
        </w:rPr>
      </w:pPr>
    </w:p>
    <w:p w14:paraId="0FB47AF0" w14:textId="77777777" w:rsidR="0019601F" w:rsidRPr="00C101CC" w:rsidRDefault="0019601F">
      <w:pPr>
        <w:pStyle w:val="Bodytext"/>
        <w:keepNext/>
        <w:tabs>
          <w:tab w:val="left" w:pos="8222"/>
        </w:tabs>
        <w:spacing w:after="0" w:line="240" w:lineRule="auto"/>
        <w:ind w:left="0" w:right="-43"/>
        <w:rPr>
          <w:rFonts w:ascii="Times New Roman" w:hAnsi="Times New Roman"/>
          <w:strike w:val="0"/>
          <w:spacing w:val="0"/>
          <w:sz w:val="22"/>
          <w:szCs w:val="22"/>
          <w:u w:val="single"/>
        </w:rPr>
      </w:pPr>
      <w:r w:rsidRPr="00C101CC">
        <w:rPr>
          <w:rFonts w:ascii="Times New Roman" w:hAnsi="Times New Roman"/>
          <w:strike w:val="0"/>
          <w:spacing w:val="0"/>
          <w:sz w:val="22"/>
          <w:szCs w:val="22"/>
          <w:u w:val="single"/>
        </w:rPr>
        <w:t>Jadro tablety:</w:t>
      </w:r>
    </w:p>
    <w:p w14:paraId="4FCCE0CC" w14:textId="0CB6572F" w:rsidR="00FF7468" w:rsidRPr="00C101CC" w:rsidRDefault="00712040">
      <w:pPr>
        <w:keepNext/>
        <w:spacing w:line="240" w:lineRule="auto"/>
        <w:jc w:val="both"/>
        <w:rPr>
          <w:szCs w:val="22"/>
          <w:lang w:val="sk-SK"/>
        </w:rPr>
      </w:pPr>
      <w:r>
        <w:rPr>
          <w:szCs w:val="22"/>
          <w:lang w:val="sk-SK"/>
        </w:rPr>
        <w:t>Laktóza, m</w:t>
      </w:r>
      <w:r w:rsidR="00D01C32" w:rsidRPr="00C101CC">
        <w:rPr>
          <w:szCs w:val="22"/>
          <w:lang w:val="sk-SK"/>
        </w:rPr>
        <w:t>onohydrát</w:t>
      </w:r>
    </w:p>
    <w:p w14:paraId="01D8D338" w14:textId="637BE9FB" w:rsidR="00D01C32" w:rsidRPr="00C101CC" w:rsidRDefault="007A2A50">
      <w:pPr>
        <w:spacing w:line="240" w:lineRule="auto"/>
        <w:rPr>
          <w:szCs w:val="22"/>
          <w:lang w:val="sk-SK"/>
        </w:rPr>
      </w:pPr>
      <w:r>
        <w:rPr>
          <w:szCs w:val="22"/>
          <w:lang w:val="sk-SK"/>
        </w:rPr>
        <w:t>K</w:t>
      </w:r>
      <w:r w:rsidRPr="00C101CC">
        <w:rPr>
          <w:szCs w:val="22"/>
          <w:lang w:val="sk-SK"/>
        </w:rPr>
        <w:t>ukuričný škrob</w:t>
      </w:r>
      <w:r>
        <w:rPr>
          <w:szCs w:val="22"/>
          <w:lang w:val="sk-SK"/>
        </w:rPr>
        <w:t>,</w:t>
      </w:r>
      <w:r w:rsidRPr="00C101CC">
        <w:rPr>
          <w:szCs w:val="22"/>
          <w:lang w:val="sk-SK"/>
        </w:rPr>
        <w:t xml:space="preserve"> </w:t>
      </w:r>
      <w:r>
        <w:rPr>
          <w:szCs w:val="22"/>
          <w:lang w:val="sk-SK"/>
        </w:rPr>
        <w:t>p</w:t>
      </w:r>
      <w:r w:rsidR="0019601F" w:rsidRPr="00C101CC">
        <w:rPr>
          <w:szCs w:val="22"/>
          <w:lang w:val="sk-SK"/>
        </w:rPr>
        <w:t>red</w:t>
      </w:r>
      <w:r w:rsidR="003B3273" w:rsidRPr="00C101CC">
        <w:rPr>
          <w:szCs w:val="22"/>
          <w:lang w:val="sk-SK"/>
        </w:rPr>
        <w:t>želatino</w:t>
      </w:r>
      <w:r w:rsidR="00B940AE" w:rsidRPr="00C101CC">
        <w:rPr>
          <w:szCs w:val="22"/>
          <w:lang w:val="sk-SK"/>
        </w:rPr>
        <w:t>van</w:t>
      </w:r>
      <w:r w:rsidR="003B3273" w:rsidRPr="00C101CC">
        <w:rPr>
          <w:szCs w:val="22"/>
          <w:lang w:val="sk-SK"/>
        </w:rPr>
        <w:t>ý</w:t>
      </w:r>
      <w:r w:rsidR="00113088" w:rsidRPr="00C101CC">
        <w:rPr>
          <w:szCs w:val="22"/>
          <w:lang w:val="sk-SK"/>
        </w:rPr>
        <w:t xml:space="preserve"> </w:t>
      </w:r>
    </w:p>
    <w:p w14:paraId="762BCE67" w14:textId="69B1F476" w:rsidR="00D01C32" w:rsidRPr="00C101CC" w:rsidRDefault="007A2A50">
      <w:pPr>
        <w:spacing w:line="240" w:lineRule="auto"/>
        <w:rPr>
          <w:szCs w:val="22"/>
          <w:lang w:val="sk-SK"/>
        </w:rPr>
      </w:pPr>
      <w:r>
        <w:rPr>
          <w:szCs w:val="22"/>
          <w:lang w:val="sk-SK"/>
        </w:rPr>
        <w:t>Celulóza, m</w:t>
      </w:r>
      <w:r w:rsidR="00E366FE" w:rsidRPr="00C101CC">
        <w:rPr>
          <w:szCs w:val="22"/>
          <w:lang w:val="sk-SK"/>
        </w:rPr>
        <w:t>ikrokryštalická</w:t>
      </w:r>
    </w:p>
    <w:p w14:paraId="099A3511" w14:textId="1F86484C" w:rsidR="00D01C32" w:rsidRPr="00C101CC" w:rsidRDefault="007A2A50">
      <w:pPr>
        <w:spacing w:line="240" w:lineRule="auto"/>
        <w:rPr>
          <w:szCs w:val="22"/>
          <w:lang w:val="sk-SK"/>
        </w:rPr>
      </w:pPr>
      <w:r>
        <w:rPr>
          <w:szCs w:val="22"/>
          <w:lang w:val="sk-SK"/>
        </w:rPr>
        <w:t>K</w:t>
      </w:r>
      <w:r w:rsidR="00113088" w:rsidRPr="00C101CC">
        <w:rPr>
          <w:szCs w:val="22"/>
          <w:lang w:val="sk-SK"/>
        </w:rPr>
        <w:t xml:space="preserve">arboxymetylškrob </w:t>
      </w:r>
      <w:r w:rsidR="00D01C32" w:rsidRPr="00C101CC">
        <w:rPr>
          <w:szCs w:val="22"/>
          <w:lang w:val="sk-SK"/>
        </w:rPr>
        <w:t>A</w:t>
      </w:r>
      <w:r>
        <w:rPr>
          <w:szCs w:val="22"/>
          <w:lang w:val="sk-SK"/>
        </w:rPr>
        <w:t>, sodná soľ</w:t>
      </w:r>
    </w:p>
    <w:p w14:paraId="59D3ECE4" w14:textId="6151456E" w:rsidR="004A7FE7" w:rsidRPr="00C101CC" w:rsidRDefault="0020165C">
      <w:pPr>
        <w:spacing w:line="240" w:lineRule="auto"/>
        <w:rPr>
          <w:szCs w:val="22"/>
          <w:lang w:val="sk-SK"/>
        </w:rPr>
      </w:pPr>
      <w:r>
        <w:rPr>
          <w:szCs w:val="22"/>
        </w:rPr>
        <w:t>Stearát</w:t>
      </w:r>
      <w:r w:rsidR="00073340" w:rsidRPr="00C101CC">
        <w:rPr>
          <w:szCs w:val="22"/>
        </w:rPr>
        <w:t xml:space="preserve"> horečnatý</w:t>
      </w:r>
    </w:p>
    <w:p w14:paraId="7A9FAE51" w14:textId="77777777" w:rsidR="004C166D" w:rsidRPr="00C101CC" w:rsidRDefault="004C166D">
      <w:pPr>
        <w:spacing w:line="240" w:lineRule="auto"/>
        <w:rPr>
          <w:szCs w:val="22"/>
          <w:u w:val="single"/>
          <w:lang w:val="sk-SK"/>
        </w:rPr>
      </w:pPr>
    </w:p>
    <w:p w14:paraId="3677F938" w14:textId="3AFEBE36" w:rsidR="00D01C32" w:rsidRPr="00C101CC" w:rsidRDefault="00E366FE">
      <w:pPr>
        <w:spacing w:line="240" w:lineRule="auto"/>
        <w:rPr>
          <w:szCs w:val="22"/>
          <w:u w:val="single"/>
          <w:lang w:val="sk-SK"/>
        </w:rPr>
      </w:pPr>
      <w:r w:rsidRPr="00C101CC">
        <w:rPr>
          <w:szCs w:val="22"/>
          <w:u w:val="single"/>
          <w:lang w:val="sk-SK"/>
        </w:rPr>
        <w:t>Filmotvorný obal</w:t>
      </w:r>
      <w:r w:rsidR="00D01C32" w:rsidRPr="00C101CC">
        <w:rPr>
          <w:szCs w:val="22"/>
          <w:u w:val="single"/>
          <w:lang w:val="sk-SK"/>
        </w:rPr>
        <w:t>:</w:t>
      </w:r>
    </w:p>
    <w:p w14:paraId="369C8888" w14:textId="7D906119" w:rsidR="00D01C32" w:rsidRPr="00C101CC" w:rsidRDefault="00113088">
      <w:pPr>
        <w:spacing w:line="240" w:lineRule="auto"/>
        <w:rPr>
          <w:szCs w:val="22"/>
          <w:lang w:val="sk-SK"/>
        </w:rPr>
      </w:pPr>
      <w:r w:rsidRPr="00C101CC">
        <w:rPr>
          <w:szCs w:val="22"/>
          <w:lang w:val="sk-SK"/>
        </w:rPr>
        <w:t xml:space="preserve">Poťahová sústava </w:t>
      </w:r>
      <w:r w:rsidR="00D01C32" w:rsidRPr="00C101CC">
        <w:rPr>
          <w:szCs w:val="22"/>
          <w:lang w:val="sk-SK"/>
        </w:rPr>
        <w:t xml:space="preserve">OPADRY </w:t>
      </w:r>
      <w:r w:rsidR="00192543" w:rsidRPr="00C101CC">
        <w:rPr>
          <w:szCs w:val="22"/>
          <w:lang w:val="sk-SK"/>
        </w:rPr>
        <w:t>b</w:t>
      </w:r>
      <w:r w:rsidR="00E366FE" w:rsidRPr="00C101CC">
        <w:rPr>
          <w:szCs w:val="22"/>
          <w:lang w:val="sk-SK"/>
        </w:rPr>
        <w:t>iel</w:t>
      </w:r>
      <w:r w:rsidRPr="00C101CC">
        <w:rPr>
          <w:szCs w:val="22"/>
          <w:lang w:val="sk-SK"/>
        </w:rPr>
        <w:t>a</w:t>
      </w:r>
      <w:r w:rsidR="00D01C32" w:rsidRPr="00C101CC">
        <w:rPr>
          <w:szCs w:val="22"/>
          <w:lang w:val="sk-SK"/>
        </w:rPr>
        <w:t xml:space="preserve">, </w:t>
      </w:r>
      <w:r w:rsidR="00192543" w:rsidRPr="00C101CC">
        <w:rPr>
          <w:szCs w:val="22"/>
          <w:lang w:val="sk-SK"/>
        </w:rPr>
        <w:t>ž</w:t>
      </w:r>
      <w:r w:rsidR="00E366FE" w:rsidRPr="00C101CC">
        <w:rPr>
          <w:szCs w:val="22"/>
          <w:lang w:val="sk-SK"/>
        </w:rPr>
        <w:t>lt</w:t>
      </w:r>
      <w:r w:rsidRPr="00C101CC">
        <w:rPr>
          <w:szCs w:val="22"/>
          <w:lang w:val="sk-SK"/>
        </w:rPr>
        <w:t>á</w:t>
      </w:r>
      <w:r w:rsidR="00D01C32" w:rsidRPr="00C101CC">
        <w:rPr>
          <w:szCs w:val="22"/>
          <w:lang w:val="sk-SK"/>
        </w:rPr>
        <w:t xml:space="preserve">, </w:t>
      </w:r>
      <w:r w:rsidR="00192543" w:rsidRPr="00C101CC">
        <w:rPr>
          <w:szCs w:val="22"/>
          <w:lang w:val="sk-SK"/>
        </w:rPr>
        <w:t>r</w:t>
      </w:r>
      <w:r w:rsidR="00E366FE" w:rsidRPr="00C101CC">
        <w:rPr>
          <w:szCs w:val="22"/>
          <w:lang w:val="sk-SK"/>
        </w:rPr>
        <w:t>užov</w:t>
      </w:r>
      <w:r w:rsidRPr="00C101CC">
        <w:rPr>
          <w:szCs w:val="22"/>
          <w:lang w:val="sk-SK"/>
        </w:rPr>
        <w:t>á</w:t>
      </w:r>
      <w:r w:rsidR="00D01C32" w:rsidRPr="00C101CC">
        <w:rPr>
          <w:szCs w:val="22"/>
          <w:vertAlign w:val="superscript"/>
          <w:lang w:val="sk-SK"/>
        </w:rPr>
        <w:t>1</w:t>
      </w:r>
      <w:r w:rsidR="00D01C32" w:rsidRPr="00C101CC">
        <w:rPr>
          <w:szCs w:val="22"/>
          <w:lang w:val="sk-SK"/>
        </w:rPr>
        <w:t xml:space="preserve">, </w:t>
      </w:r>
      <w:r w:rsidR="00E366FE" w:rsidRPr="00C101CC">
        <w:rPr>
          <w:szCs w:val="22"/>
          <w:lang w:val="sk-SK"/>
        </w:rPr>
        <w:t>vosk</w:t>
      </w:r>
      <w:r w:rsidR="007A2A50">
        <w:rPr>
          <w:szCs w:val="22"/>
          <w:lang w:val="sk-SK"/>
        </w:rPr>
        <w:t>, karnaubský</w:t>
      </w:r>
    </w:p>
    <w:p w14:paraId="2E2EA1D3" w14:textId="77777777" w:rsidR="00D01C32" w:rsidRPr="00C101CC" w:rsidRDefault="00D01C32">
      <w:pPr>
        <w:spacing w:line="240" w:lineRule="auto"/>
        <w:rPr>
          <w:szCs w:val="22"/>
          <w:lang w:val="sk-SK"/>
        </w:rPr>
      </w:pPr>
    </w:p>
    <w:p w14:paraId="4E02DC04" w14:textId="77777777" w:rsidR="00D01C32" w:rsidRPr="00C101CC" w:rsidRDefault="00D01C32">
      <w:pPr>
        <w:spacing w:line="240" w:lineRule="auto"/>
        <w:rPr>
          <w:szCs w:val="22"/>
          <w:lang w:val="sk-SK"/>
        </w:rPr>
      </w:pPr>
      <w:r w:rsidRPr="00C101CC">
        <w:rPr>
          <w:szCs w:val="22"/>
          <w:vertAlign w:val="superscript"/>
          <w:lang w:val="sk-SK"/>
        </w:rPr>
        <w:t>1</w:t>
      </w:r>
      <w:r w:rsidRPr="00C101CC">
        <w:rPr>
          <w:szCs w:val="22"/>
          <w:lang w:val="sk-SK"/>
        </w:rPr>
        <w:t xml:space="preserve">OPADRY </w:t>
      </w:r>
      <w:r w:rsidR="00E366FE" w:rsidRPr="00C101CC">
        <w:rPr>
          <w:szCs w:val="22"/>
          <w:lang w:val="sk-SK"/>
        </w:rPr>
        <w:t>obsahuje</w:t>
      </w:r>
      <w:r w:rsidRPr="00C101CC">
        <w:rPr>
          <w:szCs w:val="22"/>
          <w:lang w:val="sk-SK"/>
        </w:rPr>
        <w:t xml:space="preserve">: </w:t>
      </w:r>
    </w:p>
    <w:p w14:paraId="5EBF606A" w14:textId="77777777" w:rsidR="00D01C32" w:rsidRPr="00C101CC" w:rsidRDefault="00D01C32">
      <w:pPr>
        <w:spacing w:line="240" w:lineRule="auto"/>
        <w:rPr>
          <w:szCs w:val="22"/>
          <w:lang w:val="sk-SK"/>
        </w:rPr>
      </w:pPr>
      <w:r w:rsidRPr="00C101CC">
        <w:rPr>
          <w:szCs w:val="22"/>
          <w:lang w:val="sk-SK"/>
        </w:rPr>
        <w:t>Hypromel</w:t>
      </w:r>
      <w:r w:rsidR="00E366FE" w:rsidRPr="00C101CC">
        <w:rPr>
          <w:szCs w:val="22"/>
          <w:lang w:val="sk-SK"/>
        </w:rPr>
        <w:t>ózu</w:t>
      </w:r>
    </w:p>
    <w:p w14:paraId="6EE2AFFA" w14:textId="77777777" w:rsidR="00D01C32" w:rsidRPr="00C101CC" w:rsidRDefault="00D01C32">
      <w:pPr>
        <w:spacing w:line="240" w:lineRule="auto"/>
        <w:rPr>
          <w:szCs w:val="22"/>
          <w:lang w:val="sk-SK"/>
        </w:rPr>
      </w:pPr>
      <w:r w:rsidRPr="00C101CC">
        <w:rPr>
          <w:szCs w:val="22"/>
          <w:lang w:val="sk-SK"/>
        </w:rPr>
        <w:t>Ma</w:t>
      </w:r>
      <w:r w:rsidR="00E366FE" w:rsidRPr="00C101CC">
        <w:rPr>
          <w:szCs w:val="22"/>
          <w:lang w:val="sk-SK"/>
        </w:rPr>
        <w:t>k</w:t>
      </w:r>
      <w:r w:rsidRPr="00C101CC">
        <w:rPr>
          <w:szCs w:val="22"/>
          <w:lang w:val="sk-SK"/>
        </w:rPr>
        <w:t xml:space="preserve">rogol </w:t>
      </w:r>
    </w:p>
    <w:p w14:paraId="0985F220" w14:textId="77777777" w:rsidR="00D01C32" w:rsidRPr="00C101CC" w:rsidRDefault="00E366FE">
      <w:pPr>
        <w:spacing w:line="240" w:lineRule="auto"/>
        <w:rPr>
          <w:szCs w:val="22"/>
          <w:lang w:val="sk-SK"/>
        </w:rPr>
      </w:pPr>
      <w:r w:rsidRPr="00C101CC">
        <w:rPr>
          <w:szCs w:val="22"/>
          <w:lang w:val="sk-SK"/>
        </w:rPr>
        <w:t>Polysorbá</w:t>
      </w:r>
      <w:r w:rsidR="00D01C32" w:rsidRPr="00C101CC">
        <w:rPr>
          <w:szCs w:val="22"/>
          <w:lang w:val="sk-SK"/>
        </w:rPr>
        <w:t xml:space="preserve">t 80 </w:t>
      </w:r>
    </w:p>
    <w:p w14:paraId="72A6631B" w14:textId="00C7D0DA" w:rsidR="00D01C32" w:rsidRPr="00C101CC" w:rsidRDefault="004076EF">
      <w:pPr>
        <w:spacing w:line="240" w:lineRule="auto"/>
        <w:jc w:val="both"/>
        <w:rPr>
          <w:szCs w:val="22"/>
          <w:lang w:val="sk-SK"/>
        </w:rPr>
      </w:pPr>
      <w:r w:rsidRPr="00C101CC">
        <w:rPr>
          <w:szCs w:val="22"/>
          <w:lang w:val="sk-SK"/>
        </w:rPr>
        <w:t>a</w:t>
      </w:r>
      <w:r w:rsidR="00E366FE" w:rsidRPr="00C101CC">
        <w:rPr>
          <w:szCs w:val="22"/>
          <w:lang w:val="sk-SK"/>
        </w:rPr>
        <w:t xml:space="preserve"> farbivá oxid titaničitý</w:t>
      </w:r>
      <w:r w:rsidR="00D01C32" w:rsidRPr="00C101CC">
        <w:rPr>
          <w:szCs w:val="22"/>
          <w:lang w:val="sk-SK"/>
        </w:rPr>
        <w:t xml:space="preserve"> </w:t>
      </w:r>
      <w:r w:rsidR="005431C9" w:rsidRPr="00C101CC">
        <w:rPr>
          <w:szCs w:val="22"/>
          <w:lang w:val="sk-SK"/>
        </w:rPr>
        <w:t>(</w:t>
      </w:r>
      <w:r w:rsidR="00D01C32" w:rsidRPr="00C101CC">
        <w:rPr>
          <w:szCs w:val="22"/>
          <w:lang w:val="sk-SK"/>
        </w:rPr>
        <w:t>E171</w:t>
      </w:r>
      <w:r w:rsidR="005431C9" w:rsidRPr="00C101CC">
        <w:rPr>
          <w:szCs w:val="22"/>
          <w:lang w:val="sk-SK"/>
        </w:rPr>
        <w:t>)</w:t>
      </w:r>
      <w:r w:rsidR="00D01C32" w:rsidRPr="00C101CC">
        <w:rPr>
          <w:szCs w:val="22"/>
          <w:lang w:val="sk-SK"/>
        </w:rPr>
        <w:t xml:space="preserve"> (</w:t>
      </w:r>
      <w:r w:rsidR="006C6D3C" w:rsidRPr="00C101CC">
        <w:rPr>
          <w:szCs w:val="22"/>
          <w:lang w:val="sk-SK"/>
        </w:rPr>
        <w:t>všetky sily</w:t>
      </w:r>
      <w:r w:rsidR="00D01C32" w:rsidRPr="00C101CC">
        <w:rPr>
          <w:szCs w:val="22"/>
          <w:lang w:val="sk-SK"/>
        </w:rPr>
        <w:t>) a</w:t>
      </w:r>
      <w:r w:rsidR="00EF5E97" w:rsidRPr="00C101CC">
        <w:rPr>
          <w:szCs w:val="22"/>
          <w:lang w:val="sk-SK"/>
        </w:rPr>
        <w:t xml:space="preserve"> žltý </w:t>
      </w:r>
      <w:r w:rsidR="006C6D3C" w:rsidRPr="00C101CC">
        <w:rPr>
          <w:szCs w:val="22"/>
          <w:lang w:val="sk-SK"/>
        </w:rPr>
        <w:t>oxid železitý</w:t>
      </w:r>
      <w:r w:rsidR="00D01C32" w:rsidRPr="00C101CC">
        <w:rPr>
          <w:szCs w:val="22"/>
          <w:lang w:val="sk-SK"/>
        </w:rPr>
        <w:t xml:space="preserve"> </w:t>
      </w:r>
      <w:r w:rsidR="005431C9" w:rsidRPr="00C101CC">
        <w:rPr>
          <w:szCs w:val="22"/>
          <w:lang w:val="sk-SK"/>
        </w:rPr>
        <w:t>(</w:t>
      </w:r>
      <w:r w:rsidR="00D01C32" w:rsidRPr="00C101CC">
        <w:rPr>
          <w:szCs w:val="22"/>
          <w:lang w:val="sk-SK"/>
        </w:rPr>
        <w:t>E172</w:t>
      </w:r>
      <w:r w:rsidR="005431C9" w:rsidRPr="00C101CC">
        <w:rPr>
          <w:szCs w:val="22"/>
          <w:lang w:val="sk-SK"/>
        </w:rPr>
        <w:t>)</w:t>
      </w:r>
      <w:r w:rsidR="00D01C32" w:rsidRPr="00C101CC">
        <w:rPr>
          <w:szCs w:val="22"/>
          <w:lang w:val="sk-SK"/>
        </w:rPr>
        <w:t xml:space="preserve"> (</w:t>
      </w:r>
      <w:smartTag w:uri="urn:schemas-microsoft-com:office:smarttags" w:element="metricconverter">
        <w:smartTagPr>
          <w:attr w:name="ProductID" w:val="50 a"/>
        </w:smartTagPr>
        <w:r w:rsidR="00D01C32" w:rsidRPr="00C101CC">
          <w:rPr>
            <w:szCs w:val="22"/>
            <w:lang w:val="sk-SK"/>
          </w:rPr>
          <w:t>50</w:t>
        </w:r>
        <w:r w:rsidR="00EF5E97" w:rsidRPr="00C101CC">
          <w:rPr>
            <w:szCs w:val="22"/>
            <w:lang w:val="sk-SK"/>
          </w:rPr>
          <w:t xml:space="preserve"> a</w:t>
        </w:r>
      </w:smartTag>
      <w:r w:rsidR="00D01C32" w:rsidRPr="00C101CC">
        <w:rPr>
          <w:szCs w:val="22"/>
          <w:lang w:val="sk-SK"/>
        </w:rPr>
        <w:t xml:space="preserve"> 100</w:t>
      </w:r>
      <w:r w:rsidR="00241B05" w:rsidRPr="00C101CC">
        <w:rPr>
          <w:szCs w:val="22"/>
          <w:lang w:val="sk-SK"/>
        </w:rPr>
        <w:t> </w:t>
      </w:r>
      <w:r w:rsidR="00D01C32" w:rsidRPr="00C101CC">
        <w:rPr>
          <w:szCs w:val="22"/>
          <w:lang w:val="sk-SK"/>
        </w:rPr>
        <w:t>mg)</w:t>
      </w:r>
    </w:p>
    <w:p w14:paraId="7434E676" w14:textId="77777777" w:rsidR="00D01C32" w:rsidRPr="00C101CC" w:rsidRDefault="00D01C32">
      <w:pPr>
        <w:spacing w:line="240" w:lineRule="auto"/>
        <w:jc w:val="both"/>
        <w:rPr>
          <w:szCs w:val="22"/>
          <w:lang w:val="sk-SK"/>
        </w:rPr>
      </w:pPr>
    </w:p>
    <w:p w14:paraId="2C7A2D30" w14:textId="77777777" w:rsidR="00FF7468" w:rsidRPr="00C101CC" w:rsidRDefault="00FF7468">
      <w:pPr>
        <w:keepNext/>
        <w:spacing w:line="240" w:lineRule="auto"/>
        <w:jc w:val="both"/>
        <w:rPr>
          <w:szCs w:val="22"/>
          <w:lang w:val="sk-SK"/>
        </w:rPr>
      </w:pPr>
      <w:r w:rsidRPr="00C101CC">
        <w:rPr>
          <w:b/>
          <w:szCs w:val="22"/>
          <w:lang w:val="sk-SK"/>
        </w:rPr>
        <w:t>6.2</w:t>
      </w:r>
      <w:r w:rsidRPr="00C101CC">
        <w:rPr>
          <w:b/>
          <w:szCs w:val="22"/>
          <w:lang w:val="sk-SK"/>
        </w:rPr>
        <w:tab/>
        <w:t>Inkompatibility</w:t>
      </w:r>
    </w:p>
    <w:p w14:paraId="662448B3" w14:textId="77777777" w:rsidR="00FF7468" w:rsidRPr="00C101CC" w:rsidRDefault="00FF7468">
      <w:pPr>
        <w:keepNext/>
        <w:spacing w:line="240" w:lineRule="auto"/>
        <w:jc w:val="both"/>
        <w:rPr>
          <w:szCs w:val="22"/>
          <w:lang w:val="sk-SK"/>
        </w:rPr>
      </w:pPr>
    </w:p>
    <w:p w14:paraId="1905F90F" w14:textId="77777777" w:rsidR="00FF7468" w:rsidRPr="00C101CC" w:rsidRDefault="00C3119D">
      <w:pPr>
        <w:keepNext/>
        <w:spacing w:line="240" w:lineRule="auto"/>
        <w:jc w:val="both"/>
        <w:rPr>
          <w:szCs w:val="22"/>
          <w:lang w:val="sk-SK"/>
        </w:rPr>
      </w:pPr>
      <w:r w:rsidRPr="00C101CC">
        <w:rPr>
          <w:szCs w:val="22"/>
          <w:lang w:val="sk-SK"/>
        </w:rPr>
        <w:t>Neaplikovateľné</w:t>
      </w:r>
      <w:r w:rsidR="0073285D" w:rsidRPr="00C101CC">
        <w:rPr>
          <w:szCs w:val="22"/>
          <w:lang w:val="sk-SK"/>
        </w:rPr>
        <w:t>.</w:t>
      </w:r>
    </w:p>
    <w:p w14:paraId="15307BDC" w14:textId="77777777" w:rsidR="0073285D" w:rsidRPr="00C101CC" w:rsidRDefault="0073285D">
      <w:pPr>
        <w:spacing w:line="240" w:lineRule="auto"/>
        <w:jc w:val="both"/>
        <w:rPr>
          <w:szCs w:val="22"/>
          <w:lang w:val="sk-SK"/>
        </w:rPr>
      </w:pPr>
    </w:p>
    <w:p w14:paraId="000C5E5F" w14:textId="77777777" w:rsidR="00FF7468" w:rsidRPr="00C101CC" w:rsidRDefault="00FF7468">
      <w:pPr>
        <w:keepNext/>
        <w:spacing w:line="240" w:lineRule="auto"/>
        <w:jc w:val="both"/>
        <w:rPr>
          <w:szCs w:val="22"/>
          <w:lang w:val="sk-SK"/>
        </w:rPr>
      </w:pPr>
      <w:r w:rsidRPr="00C101CC">
        <w:rPr>
          <w:b/>
          <w:szCs w:val="22"/>
          <w:lang w:val="sk-SK"/>
        </w:rPr>
        <w:t>6.3</w:t>
      </w:r>
      <w:r w:rsidRPr="00C101CC">
        <w:rPr>
          <w:b/>
          <w:szCs w:val="22"/>
          <w:lang w:val="sk-SK"/>
        </w:rPr>
        <w:tab/>
        <w:t>Čas použiteľnosti</w:t>
      </w:r>
    </w:p>
    <w:p w14:paraId="758D25DF" w14:textId="77777777" w:rsidR="00FF7468" w:rsidRPr="00C101CC" w:rsidRDefault="00FF7468">
      <w:pPr>
        <w:keepNext/>
        <w:spacing w:line="240" w:lineRule="auto"/>
        <w:jc w:val="both"/>
        <w:rPr>
          <w:szCs w:val="22"/>
          <w:lang w:val="sk-SK"/>
        </w:rPr>
      </w:pPr>
    </w:p>
    <w:p w14:paraId="42F2C12B" w14:textId="0CA3FBC9" w:rsidR="00FF7468" w:rsidRPr="00C101CC" w:rsidRDefault="0073285D">
      <w:pPr>
        <w:keepNext/>
        <w:spacing w:line="240" w:lineRule="auto"/>
        <w:jc w:val="both"/>
        <w:rPr>
          <w:szCs w:val="22"/>
          <w:lang w:val="sk-SK"/>
        </w:rPr>
      </w:pPr>
      <w:r w:rsidRPr="00C101CC">
        <w:rPr>
          <w:szCs w:val="22"/>
          <w:lang w:val="sk-SK"/>
        </w:rPr>
        <w:t>3</w:t>
      </w:r>
      <w:r w:rsidR="00241B05" w:rsidRPr="00C101CC">
        <w:rPr>
          <w:szCs w:val="22"/>
          <w:lang w:val="sk-SK"/>
        </w:rPr>
        <w:t> </w:t>
      </w:r>
      <w:r w:rsidRPr="00C101CC">
        <w:rPr>
          <w:szCs w:val="22"/>
          <w:lang w:val="sk-SK"/>
        </w:rPr>
        <w:t>roky</w:t>
      </w:r>
    </w:p>
    <w:p w14:paraId="75E9581F" w14:textId="77777777" w:rsidR="00FF7468" w:rsidRPr="00C101CC" w:rsidRDefault="00FF7468">
      <w:pPr>
        <w:spacing w:line="240" w:lineRule="auto"/>
        <w:jc w:val="both"/>
        <w:rPr>
          <w:szCs w:val="22"/>
          <w:lang w:val="sk-SK"/>
        </w:rPr>
      </w:pPr>
    </w:p>
    <w:p w14:paraId="13E6A4BC" w14:textId="77777777" w:rsidR="00FF7468" w:rsidRPr="00C101CC" w:rsidRDefault="00FF7468">
      <w:pPr>
        <w:spacing w:line="240" w:lineRule="auto"/>
        <w:jc w:val="both"/>
        <w:rPr>
          <w:b/>
          <w:szCs w:val="22"/>
          <w:lang w:val="sk-SK"/>
        </w:rPr>
      </w:pPr>
      <w:r w:rsidRPr="00C101CC">
        <w:rPr>
          <w:b/>
          <w:szCs w:val="22"/>
          <w:lang w:val="sk-SK"/>
        </w:rPr>
        <w:t>6.4</w:t>
      </w:r>
      <w:r w:rsidRPr="00C101CC">
        <w:rPr>
          <w:b/>
          <w:szCs w:val="22"/>
          <w:lang w:val="sk-SK"/>
        </w:rPr>
        <w:tab/>
        <w:t>Špeciálne upozornenia na uchovávanie</w:t>
      </w:r>
    </w:p>
    <w:p w14:paraId="124A835C" w14:textId="77777777" w:rsidR="00FF7468" w:rsidRPr="00C101CC" w:rsidRDefault="00FF7468">
      <w:pPr>
        <w:spacing w:line="240" w:lineRule="auto"/>
        <w:jc w:val="both"/>
        <w:rPr>
          <w:szCs w:val="22"/>
          <w:lang w:val="sk-SK"/>
        </w:rPr>
      </w:pPr>
    </w:p>
    <w:p w14:paraId="1F155AA3" w14:textId="09FF1787" w:rsidR="00AC274D" w:rsidRPr="00C101CC" w:rsidRDefault="00CD22AC">
      <w:pPr>
        <w:spacing w:line="240" w:lineRule="auto"/>
        <w:rPr>
          <w:szCs w:val="22"/>
          <w:lang w:val="sk-SK"/>
        </w:rPr>
      </w:pPr>
      <w:r w:rsidRPr="00C101CC">
        <w:rPr>
          <w:szCs w:val="22"/>
          <w:lang w:val="sk-SK"/>
        </w:rPr>
        <w:t>Uchováva</w:t>
      </w:r>
      <w:r w:rsidR="0030735A" w:rsidRPr="00C101CC">
        <w:rPr>
          <w:szCs w:val="22"/>
          <w:lang w:val="sk-SK"/>
        </w:rPr>
        <w:t>jte</w:t>
      </w:r>
      <w:r w:rsidRPr="00C101CC">
        <w:rPr>
          <w:szCs w:val="22"/>
          <w:lang w:val="sk-SK"/>
        </w:rPr>
        <w:t xml:space="preserve"> pri teplote do 25</w:t>
      </w:r>
      <w:r w:rsidR="00241B05" w:rsidRPr="00C101CC">
        <w:rPr>
          <w:szCs w:val="22"/>
          <w:lang w:val="sk-SK"/>
        </w:rPr>
        <w:t> </w:t>
      </w:r>
      <w:r w:rsidRPr="00C101CC">
        <w:rPr>
          <w:szCs w:val="22"/>
          <w:lang w:val="sk-SK"/>
        </w:rPr>
        <w:t>°C</w:t>
      </w:r>
      <w:r w:rsidR="0030735A" w:rsidRPr="00C101CC">
        <w:rPr>
          <w:szCs w:val="22"/>
          <w:lang w:val="sk-SK"/>
        </w:rPr>
        <w:t>.</w:t>
      </w:r>
      <w:r w:rsidRPr="00C101CC">
        <w:rPr>
          <w:szCs w:val="22"/>
          <w:lang w:val="sk-SK"/>
        </w:rPr>
        <w:t xml:space="preserve"> </w:t>
      </w:r>
    </w:p>
    <w:p w14:paraId="19A470E8" w14:textId="59DD14E9" w:rsidR="003D55E6" w:rsidRPr="00C101CC" w:rsidRDefault="00686D03">
      <w:pPr>
        <w:spacing w:line="240" w:lineRule="auto"/>
        <w:rPr>
          <w:szCs w:val="22"/>
          <w:lang w:val="sk-SK"/>
        </w:rPr>
      </w:pPr>
      <w:r w:rsidRPr="00C101CC">
        <w:rPr>
          <w:szCs w:val="22"/>
          <w:lang w:val="sk-SK"/>
        </w:rPr>
        <w:t xml:space="preserve">Blistre: Uchovávajte </w:t>
      </w:r>
      <w:r w:rsidR="0030735A" w:rsidRPr="00C101CC">
        <w:rPr>
          <w:szCs w:val="22"/>
          <w:lang w:val="sk-SK"/>
        </w:rPr>
        <w:t>v pôvodom obale</w:t>
      </w:r>
      <w:r w:rsidR="00EF5E97" w:rsidRPr="00C101CC">
        <w:rPr>
          <w:szCs w:val="22"/>
          <w:lang w:val="sk-SK"/>
        </w:rPr>
        <w:t xml:space="preserve"> na ochranu </w:t>
      </w:r>
      <w:r w:rsidR="004A38E0" w:rsidRPr="00C101CC">
        <w:rPr>
          <w:szCs w:val="22"/>
          <w:lang w:val="sk-SK"/>
        </w:rPr>
        <w:t xml:space="preserve">tabliet </w:t>
      </w:r>
      <w:r w:rsidR="00EF5E97" w:rsidRPr="00C101CC">
        <w:rPr>
          <w:szCs w:val="22"/>
          <w:lang w:val="sk-SK"/>
        </w:rPr>
        <w:t>pred vlhkosťou</w:t>
      </w:r>
      <w:r w:rsidR="00D01C32" w:rsidRPr="00C101CC">
        <w:rPr>
          <w:szCs w:val="22"/>
          <w:lang w:val="sk-SK"/>
        </w:rPr>
        <w:t xml:space="preserve">. </w:t>
      </w:r>
    </w:p>
    <w:p w14:paraId="4F9E29B3" w14:textId="45BD9540" w:rsidR="00CD22AC" w:rsidRPr="00C101CC" w:rsidRDefault="003D55E6">
      <w:pPr>
        <w:spacing w:line="240" w:lineRule="auto"/>
        <w:rPr>
          <w:szCs w:val="22"/>
          <w:lang w:val="sk-SK"/>
        </w:rPr>
      </w:pPr>
      <w:r w:rsidRPr="00C101CC">
        <w:rPr>
          <w:szCs w:val="22"/>
          <w:lang w:val="sk-SK"/>
        </w:rPr>
        <w:t xml:space="preserve">Fľaše: </w:t>
      </w:r>
      <w:r w:rsidR="00C2137B" w:rsidRPr="00C101CC">
        <w:rPr>
          <w:szCs w:val="22"/>
          <w:lang w:val="sk-SK"/>
        </w:rPr>
        <w:t>Uchovávajte v pôvodnom obale a</w:t>
      </w:r>
      <w:r w:rsidR="00C04458" w:rsidRPr="00C101CC">
        <w:rPr>
          <w:szCs w:val="22"/>
          <w:lang w:val="sk-SK"/>
        </w:rPr>
        <w:t xml:space="preserve"> fľašu </w:t>
      </w:r>
      <w:r w:rsidR="00D01C32" w:rsidRPr="00C101CC">
        <w:rPr>
          <w:szCs w:val="22"/>
          <w:lang w:val="sk-SK"/>
        </w:rPr>
        <w:t>udržiavajte dôkladne uzatvoren</w:t>
      </w:r>
      <w:r w:rsidR="00D332BC" w:rsidRPr="00C101CC">
        <w:rPr>
          <w:szCs w:val="22"/>
          <w:lang w:val="sk-SK"/>
        </w:rPr>
        <w:t>ú</w:t>
      </w:r>
      <w:r w:rsidR="0030735A" w:rsidRPr="00C101CC">
        <w:rPr>
          <w:szCs w:val="22"/>
          <w:lang w:val="sk-SK"/>
        </w:rPr>
        <w:t xml:space="preserve"> na o</w:t>
      </w:r>
      <w:r w:rsidR="00CD22AC" w:rsidRPr="00C101CC">
        <w:rPr>
          <w:szCs w:val="22"/>
          <w:lang w:val="sk-SK"/>
        </w:rPr>
        <w:t>chr</w:t>
      </w:r>
      <w:r w:rsidR="0030735A" w:rsidRPr="00C101CC">
        <w:rPr>
          <w:szCs w:val="22"/>
          <w:lang w:val="sk-SK"/>
        </w:rPr>
        <w:t>a</w:t>
      </w:r>
      <w:r w:rsidR="00CD22AC" w:rsidRPr="00C101CC">
        <w:rPr>
          <w:szCs w:val="22"/>
          <w:lang w:val="sk-SK"/>
        </w:rPr>
        <w:t>n</w:t>
      </w:r>
      <w:r w:rsidR="0030735A" w:rsidRPr="00C101CC">
        <w:rPr>
          <w:szCs w:val="22"/>
          <w:lang w:val="sk-SK"/>
        </w:rPr>
        <w:t>u</w:t>
      </w:r>
      <w:r w:rsidR="00CD22AC" w:rsidRPr="00C101CC">
        <w:rPr>
          <w:szCs w:val="22"/>
          <w:lang w:val="sk-SK"/>
        </w:rPr>
        <w:t xml:space="preserve"> </w:t>
      </w:r>
      <w:r w:rsidR="00EF5E97" w:rsidRPr="00C101CC">
        <w:rPr>
          <w:szCs w:val="22"/>
          <w:lang w:val="sk-SK"/>
        </w:rPr>
        <w:t xml:space="preserve">tabliet </w:t>
      </w:r>
      <w:r w:rsidR="00CD22AC" w:rsidRPr="00C101CC">
        <w:rPr>
          <w:szCs w:val="22"/>
          <w:lang w:val="sk-SK"/>
        </w:rPr>
        <w:t xml:space="preserve">pred vlhkosťou. </w:t>
      </w:r>
    </w:p>
    <w:p w14:paraId="01B2AA99" w14:textId="77777777" w:rsidR="00FF7468" w:rsidRPr="00C101CC" w:rsidRDefault="00FF7468">
      <w:pPr>
        <w:spacing w:line="240" w:lineRule="auto"/>
        <w:jc w:val="both"/>
        <w:rPr>
          <w:szCs w:val="22"/>
          <w:lang w:val="sk-SK"/>
        </w:rPr>
      </w:pPr>
    </w:p>
    <w:p w14:paraId="3E4758A5" w14:textId="77777777" w:rsidR="00FF7468" w:rsidRPr="00C101CC" w:rsidRDefault="00FF7468" w:rsidP="0029322E">
      <w:pPr>
        <w:keepNext/>
        <w:numPr>
          <w:ilvl w:val="1"/>
          <w:numId w:val="3"/>
        </w:numPr>
        <w:spacing w:line="240" w:lineRule="auto"/>
        <w:ind w:left="0" w:firstLine="0"/>
        <w:jc w:val="both"/>
        <w:rPr>
          <w:b/>
          <w:szCs w:val="22"/>
          <w:lang w:val="sk-SK"/>
        </w:rPr>
      </w:pPr>
      <w:r w:rsidRPr="00C101CC">
        <w:rPr>
          <w:b/>
          <w:szCs w:val="22"/>
          <w:lang w:val="sk-SK"/>
        </w:rPr>
        <w:t>Druh obalu a obsah balenia</w:t>
      </w:r>
    </w:p>
    <w:p w14:paraId="52207A19" w14:textId="77777777" w:rsidR="00FF7468" w:rsidRPr="00C101CC" w:rsidRDefault="00FF7468">
      <w:pPr>
        <w:keepNext/>
        <w:spacing w:line="240" w:lineRule="auto"/>
        <w:jc w:val="both"/>
        <w:rPr>
          <w:szCs w:val="22"/>
          <w:lang w:val="sk-SK"/>
        </w:rPr>
      </w:pPr>
    </w:p>
    <w:p w14:paraId="42F8FEDA" w14:textId="2A26347B" w:rsidR="00CD22AC" w:rsidRPr="00C101CC" w:rsidRDefault="006C6D3C">
      <w:pPr>
        <w:keepNext/>
        <w:spacing w:line="240" w:lineRule="auto"/>
        <w:jc w:val="both"/>
        <w:rPr>
          <w:szCs w:val="22"/>
          <w:lang w:val="sk-SK"/>
        </w:rPr>
      </w:pPr>
      <w:r w:rsidRPr="00C101CC">
        <w:rPr>
          <w:szCs w:val="22"/>
          <w:lang w:val="sk-SK"/>
        </w:rPr>
        <w:t xml:space="preserve">Nepriehľadná plastová </w:t>
      </w:r>
      <w:r w:rsidR="00CD22AC" w:rsidRPr="00C101CC">
        <w:rPr>
          <w:szCs w:val="22"/>
          <w:lang w:val="sk-SK"/>
        </w:rPr>
        <w:t xml:space="preserve">fľaša s bezpečnostným uzáverom </w:t>
      </w:r>
      <w:r w:rsidRPr="00C101CC">
        <w:rPr>
          <w:szCs w:val="22"/>
          <w:lang w:val="sk-SK"/>
        </w:rPr>
        <w:t xml:space="preserve"> obsahujúca 20, 28, 30, 50, 56, 60 alebo 100</w:t>
      </w:r>
      <w:r w:rsidR="00BB1026" w:rsidRPr="00C101CC">
        <w:rPr>
          <w:szCs w:val="22"/>
          <w:lang w:val="sk-SK"/>
        </w:rPr>
        <w:t xml:space="preserve"> tabliet; zložené balenie s obsahom 200 (2</w:t>
      </w:r>
      <w:r w:rsidR="00241B05" w:rsidRPr="00C101CC">
        <w:rPr>
          <w:szCs w:val="22"/>
          <w:lang w:val="sk-SK"/>
        </w:rPr>
        <w:t> </w:t>
      </w:r>
      <w:r w:rsidR="00BB1026" w:rsidRPr="00C101CC">
        <w:rPr>
          <w:szCs w:val="22"/>
          <w:lang w:val="sk-SK"/>
        </w:rPr>
        <w:t>x</w:t>
      </w:r>
      <w:r w:rsidR="00241B05" w:rsidRPr="00C101CC">
        <w:rPr>
          <w:szCs w:val="22"/>
          <w:lang w:val="sk-SK"/>
        </w:rPr>
        <w:t> </w:t>
      </w:r>
      <w:r w:rsidR="00BB1026" w:rsidRPr="00C101CC">
        <w:rPr>
          <w:szCs w:val="22"/>
          <w:lang w:val="sk-SK"/>
        </w:rPr>
        <w:t>100)</w:t>
      </w:r>
      <w:r w:rsidRPr="00C101CC">
        <w:rPr>
          <w:szCs w:val="22"/>
          <w:lang w:val="sk-SK"/>
        </w:rPr>
        <w:t xml:space="preserve"> tabliet.</w:t>
      </w:r>
      <w:r w:rsidR="00CD22AC" w:rsidRPr="00C101CC">
        <w:rPr>
          <w:szCs w:val="22"/>
          <w:lang w:val="sk-SK"/>
        </w:rPr>
        <w:t xml:space="preserve"> </w:t>
      </w:r>
      <w:r w:rsidRPr="00C101CC">
        <w:rPr>
          <w:szCs w:val="22"/>
          <w:lang w:val="sk-SK"/>
        </w:rPr>
        <w:t xml:space="preserve">Každá </w:t>
      </w:r>
      <w:r w:rsidR="00D332BC" w:rsidRPr="00C101CC">
        <w:rPr>
          <w:szCs w:val="22"/>
          <w:lang w:val="sk-SK"/>
        </w:rPr>
        <w:t xml:space="preserve">fľaša </w:t>
      </w:r>
      <w:r w:rsidRPr="00C101CC">
        <w:rPr>
          <w:szCs w:val="22"/>
          <w:lang w:val="sk-SK"/>
        </w:rPr>
        <w:t>obsahuje vysušo</w:t>
      </w:r>
      <w:r w:rsidR="004C166D" w:rsidRPr="00C101CC">
        <w:rPr>
          <w:szCs w:val="22"/>
          <w:lang w:val="sk-SK"/>
        </w:rPr>
        <w:t>vadlo, ktoré sa nemá prehltnúť.</w:t>
      </w:r>
    </w:p>
    <w:p w14:paraId="6555CF01" w14:textId="77777777" w:rsidR="00CD22AC" w:rsidRPr="00C101CC" w:rsidRDefault="00CD22AC">
      <w:pPr>
        <w:pStyle w:val="Bodytext"/>
        <w:tabs>
          <w:tab w:val="left" w:pos="8222"/>
        </w:tabs>
        <w:spacing w:after="0" w:line="240" w:lineRule="auto"/>
        <w:ind w:left="0" w:right="-43" w:hanging="204"/>
        <w:jc w:val="both"/>
        <w:rPr>
          <w:rFonts w:ascii="Times New Roman" w:hAnsi="Times New Roman"/>
          <w:strike w:val="0"/>
          <w:sz w:val="22"/>
          <w:szCs w:val="22"/>
        </w:rPr>
      </w:pPr>
    </w:p>
    <w:p w14:paraId="27F34317" w14:textId="3CAB811C" w:rsidR="00CD22AC" w:rsidRPr="00C101CC" w:rsidRDefault="006C6D3C">
      <w:pPr>
        <w:pStyle w:val="Bodytext"/>
        <w:tabs>
          <w:tab w:val="left" w:pos="8222"/>
        </w:tabs>
        <w:spacing w:after="0" w:line="240" w:lineRule="auto"/>
        <w:ind w:left="0" w:right="-43"/>
        <w:jc w:val="both"/>
        <w:rPr>
          <w:rFonts w:ascii="Times New Roman" w:hAnsi="Times New Roman"/>
          <w:strike w:val="0"/>
          <w:sz w:val="22"/>
          <w:szCs w:val="22"/>
        </w:rPr>
      </w:pPr>
      <w:r w:rsidRPr="00C101CC">
        <w:rPr>
          <w:rFonts w:ascii="Times New Roman" w:hAnsi="Times New Roman"/>
          <w:strike w:val="0"/>
          <w:sz w:val="22"/>
          <w:szCs w:val="22"/>
        </w:rPr>
        <w:t>Blister s aluminium/</w:t>
      </w:r>
      <w:r w:rsidR="00E84868" w:rsidRPr="00C101CC">
        <w:rPr>
          <w:rFonts w:ascii="Times New Roman" w:hAnsi="Times New Roman"/>
          <w:strike w:val="0"/>
          <w:sz w:val="22"/>
          <w:szCs w:val="22"/>
        </w:rPr>
        <w:t>aluminium fó</w:t>
      </w:r>
      <w:r w:rsidRPr="00C101CC">
        <w:rPr>
          <w:rFonts w:ascii="Times New Roman" w:hAnsi="Times New Roman"/>
          <w:strike w:val="0"/>
          <w:sz w:val="22"/>
          <w:szCs w:val="22"/>
        </w:rPr>
        <w:t xml:space="preserve">liou v stripoch. Veľkosti balenia 10, 20, 28, 30, 50, 56, 60 alebo 100 </w:t>
      </w:r>
      <w:r w:rsidR="00BB1026" w:rsidRPr="00C101CC">
        <w:rPr>
          <w:rFonts w:ascii="Times New Roman" w:hAnsi="Times New Roman"/>
          <w:strike w:val="0"/>
          <w:sz w:val="22"/>
          <w:szCs w:val="22"/>
        </w:rPr>
        <w:t>tabliet; zložené balenie s obsahom 200 (2</w:t>
      </w:r>
      <w:r w:rsidR="00241B05" w:rsidRPr="00C101CC">
        <w:rPr>
          <w:rFonts w:ascii="Times New Roman" w:hAnsi="Times New Roman"/>
          <w:strike w:val="0"/>
          <w:sz w:val="22"/>
          <w:szCs w:val="22"/>
        </w:rPr>
        <w:t> </w:t>
      </w:r>
      <w:r w:rsidR="00BB1026" w:rsidRPr="00C101CC">
        <w:rPr>
          <w:rFonts w:ascii="Times New Roman" w:hAnsi="Times New Roman"/>
          <w:strike w:val="0"/>
          <w:sz w:val="22"/>
          <w:szCs w:val="22"/>
        </w:rPr>
        <w:t>x</w:t>
      </w:r>
      <w:r w:rsidR="00241B05" w:rsidRPr="00C101CC">
        <w:rPr>
          <w:rFonts w:ascii="Times New Roman" w:hAnsi="Times New Roman"/>
          <w:strike w:val="0"/>
          <w:sz w:val="22"/>
          <w:szCs w:val="22"/>
        </w:rPr>
        <w:t> </w:t>
      </w:r>
      <w:r w:rsidR="00BB1026" w:rsidRPr="00C101CC">
        <w:rPr>
          <w:rFonts w:ascii="Times New Roman" w:hAnsi="Times New Roman"/>
          <w:strike w:val="0"/>
          <w:sz w:val="22"/>
          <w:szCs w:val="22"/>
        </w:rPr>
        <w:t xml:space="preserve">100) </w:t>
      </w:r>
      <w:r w:rsidRPr="00C101CC">
        <w:rPr>
          <w:rFonts w:ascii="Times New Roman" w:hAnsi="Times New Roman"/>
          <w:strike w:val="0"/>
          <w:sz w:val="22"/>
          <w:szCs w:val="22"/>
        </w:rPr>
        <w:t xml:space="preserve">tabliet. Jednotlivé (alu/alu) blistre sú zabalené v škatuli. </w:t>
      </w:r>
    </w:p>
    <w:p w14:paraId="3A618825" w14:textId="77777777" w:rsidR="00CD22AC" w:rsidRPr="00C101CC" w:rsidRDefault="00CD22AC">
      <w:pPr>
        <w:pStyle w:val="Bodytext"/>
        <w:tabs>
          <w:tab w:val="left" w:pos="8222"/>
        </w:tabs>
        <w:spacing w:after="0" w:line="240" w:lineRule="auto"/>
        <w:ind w:left="0" w:right="-43"/>
        <w:jc w:val="both"/>
        <w:rPr>
          <w:rFonts w:ascii="Times New Roman" w:hAnsi="Times New Roman"/>
          <w:strike w:val="0"/>
          <w:sz w:val="22"/>
          <w:szCs w:val="22"/>
        </w:rPr>
      </w:pPr>
    </w:p>
    <w:p w14:paraId="4AB0D586" w14:textId="77777777" w:rsidR="006C6D3C" w:rsidRPr="00C101CC" w:rsidRDefault="00C3119D">
      <w:pPr>
        <w:spacing w:line="240" w:lineRule="auto"/>
        <w:jc w:val="both"/>
        <w:rPr>
          <w:szCs w:val="22"/>
          <w:lang w:val="sk-SK"/>
        </w:rPr>
      </w:pPr>
      <w:r w:rsidRPr="00C101CC">
        <w:rPr>
          <w:szCs w:val="22"/>
          <w:lang w:val="sk-SK"/>
        </w:rPr>
        <w:t>Na trh nemusia byť uvedené všetky veľkosti balenia</w:t>
      </w:r>
      <w:r w:rsidR="006C6D3C" w:rsidRPr="00C101CC">
        <w:rPr>
          <w:szCs w:val="22"/>
          <w:lang w:val="sk-SK"/>
        </w:rPr>
        <w:t>.</w:t>
      </w:r>
    </w:p>
    <w:p w14:paraId="7CFC4699" w14:textId="77777777" w:rsidR="006C6D3C" w:rsidRPr="00C101CC" w:rsidRDefault="006C6D3C">
      <w:pPr>
        <w:spacing w:line="240" w:lineRule="auto"/>
        <w:jc w:val="both"/>
        <w:rPr>
          <w:szCs w:val="22"/>
          <w:lang w:val="sk-SK"/>
        </w:rPr>
      </w:pPr>
    </w:p>
    <w:p w14:paraId="752D6260" w14:textId="77777777" w:rsidR="00FF7468" w:rsidRPr="00C101CC" w:rsidRDefault="00FF7468">
      <w:pPr>
        <w:keepNext/>
        <w:spacing w:line="240" w:lineRule="auto"/>
        <w:jc w:val="both"/>
        <w:outlineLvl w:val="0"/>
        <w:rPr>
          <w:szCs w:val="22"/>
          <w:lang w:val="sk-SK"/>
        </w:rPr>
      </w:pPr>
      <w:r w:rsidRPr="00C101CC">
        <w:rPr>
          <w:b/>
          <w:szCs w:val="22"/>
          <w:lang w:val="sk-SK"/>
        </w:rPr>
        <w:t>6.6</w:t>
      </w:r>
      <w:r w:rsidRPr="00C101CC">
        <w:rPr>
          <w:b/>
          <w:szCs w:val="22"/>
          <w:lang w:val="sk-SK"/>
        </w:rPr>
        <w:tab/>
        <w:t>Špeciálne opatrenia na likvidáciu</w:t>
      </w:r>
      <w:r w:rsidR="00347B27" w:rsidRPr="00C101CC">
        <w:rPr>
          <w:b/>
          <w:szCs w:val="22"/>
          <w:lang w:val="sk-SK"/>
        </w:rPr>
        <w:t xml:space="preserve"> a iné zaobchádzanie s liekom</w:t>
      </w:r>
    </w:p>
    <w:p w14:paraId="6923F462" w14:textId="77777777" w:rsidR="00FF7468" w:rsidRPr="00C101CC" w:rsidRDefault="00FF7468">
      <w:pPr>
        <w:keepNext/>
        <w:spacing w:line="240" w:lineRule="auto"/>
        <w:jc w:val="both"/>
        <w:rPr>
          <w:szCs w:val="22"/>
          <w:lang w:val="sk-SK"/>
        </w:rPr>
      </w:pPr>
    </w:p>
    <w:p w14:paraId="23634904" w14:textId="77777777" w:rsidR="00FF7468" w:rsidRPr="00C101CC" w:rsidRDefault="00FF7468">
      <w:pPr>
        <w:keepNext/>
        <w:spacing w:line="240" w:lineRule="auto"/>
        <w:jc w:val="both"/>
        <w:rPr>
          <w:szCs w:val="22"/>
          <w:lang w:val="sk-SK"/>
        </w:rPr>
      </w:pPr>
      <w:r w:rsidRPr="00C101CC">
        <w:rPr>
          <w:szCs w:val="22"/>
          <w:lang w:val="sk-SK"/>
        </w:rPr>
        <w:t>Žiadne zvláštne požiadavky.</w:t>
      </w:r>
    </w:p>
    <w:p w14:paraId="32F4EA22" w14:textId="77777777" w:rsidR="00FF7468" w:rsidRPr="00C101CC" w:rsidRDefault="00FF7468">
      <w:pPr>
        <w:pStyle w:val="EMEAEnBodyText"/>
        <w:tabs>
          <w:tab w:val="left" w:pos="567"/>
        </w:tabs>
        <w:spacing w:before="0" w:after="0"/>
        <w:rPr>
          <w:szCs w:val="22"/>
          <w:lang w:val="sk-SK"/>
        </w:rPr>
      </w:pPr>
    </w:p>
    <w:p w14:paraId="78C6DF5B" w14:textId="77777777" w:rsidR="00FF7468" w:rsidRPr="00C101CC" w:rsidRDefault="00FF7468">
      <w:pPr>
        <w:spacing w:line="240" w:lineRule="auto"/>
        <w:jc w:val="both"/>
        <w:rPr>
          <w:szCs w:val="22"/>
          <w:lang w:val="sk-SK"/>
        </w:rPr>
      </w:pPr>
    </w:p>
    <w:p w14:paraId="0073B16E" w14:textId="77777777" w:rsidR="00FF7468" w:rsidRPr="00C101CC" w:rsidRDefault="00FF7468">
      <w:pPr>
        <w:keepNext/>
        <w:spacing w:line="240" w:lineRule="auto"/>
        <w:jc w:val="both"/>
        <w:rPr>
          <w:szCs w:val="22"/>
          <w:lang w:val="sk-SK"/>
        </w:rPr>
      </w:pPr>
      <w:r w:rsidRPr="00C101CC">
        <w:rPr>
          <w:b/>
          <w:szCs w:val="22"/>
          <w:lang w:val="sk-SK"/>
        </w:rPr>
        <w:t>7.</w:t>
      </w:r>
      <w:r w:rsidRPr="00C101CC">
        <w:rPr>
          <w:b/>
          <w:szCs w:val="22"/>
          <w:lang w:val="sk-SK"/>
        </w:rPr>
        <w:tab/>
        <w:t>DRŽITEĽ ROZHODNUTIA O REGISTRÁCII</w:t>
      </w:r>
    </w:p>
    <w:p w14:paraId="716A76BD" w14:textId="77777777" w:rsidR="00FF7468" w:rsidRPr="00C101CC" w:rsidRDefault="00FF7468">
      <w:pPr>
        <w:keepNext/>
        <w:spacing w:line="240" w:lineRule="auto"/>
        <w:jc w:val="both"/>
        <w:rPr>
          <w:szCs w:val="22"/>
          <w:lang w:val="sk-SK"/>
        </w:rPr>
      </w:pPr>
    </w:p>
    <w:p w14:paraId="1C5A3031" w14:textId="77777777" w:rsidR="00CD22AC" w:rsidRPr="00C101CC" w:rsidRDefault="00CD22AC">
      <w:pPr>
        <w:pStyle w:val="Zarkazkladnhotextu"/>
        <w:keepNext/>
        <w:ind w:left="0"/>
        <w:rPr>
          <w:lang w:val="sk-SK"/>
        </w:rPr>
      </w:pPr>
      <w:r w:rsidRPr="00C101CC">
        <w:rPr>
          <w:lang w:val="sk-SK"/>
        </w:rPr>
        <w:t>Johnson &amp; Johnson, s. r. o.</w:t>
      </w:r>
    </w:p>
    <w:p w14:paraId="4AF78CA9" w14:textId="77777777" w:rsidR="00CD22AC" w:rsidRPr="00C101CC" w:rsidRDefault="00801A50">
      <w:pPr>
        <w:pStyle w:val="Zarkazkladnhotextu"/>
        <w:keepNext/>
        <w:ind w:left="0"/>
        <w:rPr>
          <w:lang w:val="sk-SK"/>
        </w:rPr>
      </w:pPr>
      <w:r w:rsidRPr="00C101CC">
        <w:rPr>
          <w:lang w:val="sk-SK"/>
        </w:rPr>
        <w:t xml:space="preserve">Karadžičova 12, 821 08 </w:t>
      </w:r>
      <w:r w:rsidR="00CD22AC" w:rsidRPr="00C101CC">
        <w:rPr>
          <w:lang w:val="sk-SK"/>
        </w:rPr>
        <w:t>Bratislava</w:t>
      </w:r>
    </w:p>
    <w:p w14:paraId="15DC0677" w14:textId="77777777" w:rsidR="00CD22AC" w:rsidRPr="00C101CC" w:rsidRDefault="00CD22AC">
      <w:pPr>
        <w:pStyle w:val="Zarkazkladnhotextu"/>
        <w:keepNext/>
        <w:ind w:left="0"/>
        <w:rPr>
          <w:lang w:val="sk-SK"/>
        </w:rPr>
      </w:pPr>
      <w:r w:rsidRPr="00C101CC">
        <w:rPr>
          <w:lang w:val="sk-SK"/>
        </w:rPr>
        <w:t>Slovenská republika</w:t>
      </w:r>
    </w:p>
    <w:p w14:paraId="34F0B941" w14:textId="77777777" w:rsidR="00FF7468" w:rsidRPr="00C101CC" w:rsidRDefault="00FF7468">
      <w:pPr>
        <w:spacing w:line="240" w:lineRule="auto"/>
        <w:jc w:val="both"/>
        <w:rPr>
          <w:szCs w:val="22"/>
          <w:lang w:val="sk-SK"/>
        </w:rPr>
      </w:pPr>
    </w:p>
    <w:p w14:paraId="11FFCB08" w14:textId="77777777" w:rsidR="00FF7468" w:rsidRPr="00C101CC" w:rsidRDefault="00FF7468">
      <w:pPr>
        <w:spacing w:line="240" w:lineRule="auto"/>
        <w:jc w:val="both"/>
        <w:rPr>
          <w:szCs w:val="22"/>
          <w:lang w:val="sk-SK"/>
        </w:rPr>
      </w:pPr>
    </w:p>
    <w:p w14:paraId="1D1CB246" w14:textId="77777777" w:rsidR="00FF7468" w:rsidRPr="00C101CC" w:rsidRDefault="00FF7468">
      <w:pPr>
        <w:spacing w:line="240" w:lineRule="auto"/>
        <w:jc w:val="both"/>
        <w:rPr>
          <w:b/>
          <w:szCs w:val="22"/>
          <w:lang w:val="sk-SK"/>
        </w:rPr>
      </w:pPr>
      <w:r w:rsidRPr="00C101CC">
        <w:rPr>
          <w:b/>
          <w:szCs w:val="22"/>
          <w:lang w:val="sk-SK"/>
        </w:rPr>
        <w:t>8.</w:t>
      </w:r>
      <w:r w:rsidRPr="00C101CC">
        <w:rPr>
          <w:b/>
          <w:szCs w:val="22"/>
          <w:lang w:val="sk-SK"/>
        </w:rPr>
        <w:tab/>
        <w:t>REGISTRAČNÉ ČÍSLA</w:t>
      </w:r>
    </w:p>
    <w:p w14:paraId="70EFDC07" w14:textId="77777777" w:rsidR="00FF7468" w:rsidRPr="00C101CC" w:rsidRDefault="00FF7468">
      <w:pPr>
        <w:spacing w:line="240" w:lineRule="auto"/>
        <w:jc w:val="both"/>
        <w:rPr>
          <w:i/>
          <w:szCs w:val="22"/>
          <w:lang w:val="sk-SK"/>
        </w:rPr>
      </w:pPr>
    </w:p>
    <w:p w14:paraId="3CD8E604" w14:textId="1A84E92A" w:rsidR="00CD22AC" w:rsidRPr="00C101CC" w:rsidRDefault="00CD22AC">
      <w:pPr>
        <w:pStyle w:val="Bodytext"/>
        <w:keepNext/>
        <w:spacing w:after="0" w:line="240" w:lineRule="auto"/>
        <w:ind w:left="0" w:right="-43"/>
        <w:rPr>
          <w:rFonts w:ascii="Times New Roman" w:hAnsi="Times New Roman"/>
          <w:strike w:val="0"/>
          <w:sz w:val="22"/>
          <w:szCs w:val="22"/>
        </w:rPr>
      </w:pPr>
      <w:r w:rsidRPr="00C101CC">
        <w:rPr>
          <w:rFonts w:ascii="Times New Roman" w:hAnsi="Times New Roman"/>
          <w:strike w:val="0"/>
          <w:sz w:val="22"/>
          <w:szCs w:val="22"/>
        </w:rPr>
        <w:t>Topamax 25</w:t>
      </w:r>
      <w:r w:rsidR="00241B05" w:rsidRPr="00C101CC">
        <w:rPr>
          <w:rFonts w:ascii="Times New Roman" w:hAnsi="Times New Roman"/>
          <w:strike w:val="0"/>
          <w:sz w:val="22"/>
          <w:szCs w:val="22"/>
        </w:rPr>
        <w:t> </w:t>
      </w:r>
      <w:r w:rsidRPr="00C101CC">
        <w:rPr>
          <w:rFonts w:ascii="Times New Roman" w:hAnsi="Times New Roman"/>
          <w:strike w:val="0"/>
          <w:sz w:val="22"/>
          <w:szCs w:val="22"/>
        </w:rPr>
        <w:t>mg, filmom obalené tablety: 21/0108/98-S</w:t>
      </w:r>
    </w:p>
    <w:p w14:paraId="67FCE976" w14:textId="77F1A980" w:rsidR="00547352" w:rsidRPr="00C101CC" w:rsidRDefault="00547352">
      <w:pPr>
        <w:pStyle w:val="Bodytext"/>
        <w:keepNext/>
        <w:spacing w:after="0" w:line="240" w:lineRule="auto"/>
        <w:ind w:left="0" w:right="-43"/>
        <w:rPr>
          <w:rFonts w:ascii="Times New Roman" w:hAnsi="Times New Roman"/>
          <w:strike w:val="0"/>
          <w:sz w:val="22"/>
          <w:szCs w:val="22"/>
        </w:rPr>
      </w:pPr>
      <w:r w:rsidRPr="00C101CC">
        <w:rPr>
          <w:rFonts w:ascii="Times New Roman" w:hAnsi="Times New Roman"/>
          <w:strike w:val="0"/>
          <w:sz w:val="22"/>
          <w:szCs w:val="22"/>
        </w:rPr>
        <w:t>Topamax 50</w:t>
      </w:r>
      <w:r w:rsidR="00241B05" w:rsidRPr="00C101CC">
        <w:rPr>
          <w:rFonts w:ascii="Times New Roman" w:hAnsi="Times New Roman"/>
          <w:strike w:val="0"/>
          <w:sz w:val="22"/>
          <w:szCs w:val="22"/>
        </w:rPr>
        <w:t> </w:t>
      </w:r>
      <w:r w:rsidRPr="00C101CC">
        <w:rPr>
          <w:rFonts w:ascii="Times New Roman" w:hAnsi="Times New Roman"/>
          <w:strike w:val="0"/>
          <w:sz w:val="22"/>
          <w:szCs w:val="22"/>
        </w:rPr>
        <w:t>mg filmom obalené tablety: 21/0120/11-S</w:t>
      </w:r>
    </w:p>
    <w:p w14:paraId="6C95550B" w14:textId="0D008B04" w:rsidR="00547352" w:rsidRPr="00C101CC" w:rsidRDefault="00547352">
      <w:pPr>
        <w:pStyle w:val="Bodytext"/>
        <w:keepNext/>
        <w:spacing w:after="0" w:line="240" w:lineRule="auto"/>
        <w:ind w:left="0" w:right="-43"/>
        <w:rPr>
          <w:rFonts w:ascii="Times New Roman" w:hAnsi="Times New Roman"/>
          <w:strike w:val="0"/>
          <w:sz w:val="22"/>
          <w:szCs w:val="22"/>
        </w:rPr>
      </w:pPr>
      <w:r w:rsidRPr="00C101CC">
        <w:rPr>
          <w:rFonts w:ascii="Times New Roman" w:hAnsi="Times New Roman"/>
          <w:strike w:val="0"/>
          <w:sz w:val="22"/>
          <w:szCs w:val="22"/>
        </w:rPr>
        <w:t>Topamax 100</w:t>
      </w:r>
      <w:r w:rsidR="00241B05" w:rsidRPr="00C101CC">
        <w:rPr>
          <w:rFonts w:ascii="Times New Roman" w:hAnsi="Times New Roman"/>
          <w:strike w:val="0"/>
          <w:sz w:val="22"/>
          <w:szCs w:val="22"/>
        </w:rPr>
        <w:t> </w:t>
      </w:r>
      <w:r w:rsidRPr="00C101CC">
        <w:rPr>
          <w:rFonts w:ascii="Times New Roman" w:hAnsi="Times New Roman"/>
          <w:strike w:val="0"/>
          <w:sz w:val="22"/>
          <w:szCs w:val="22"/>
        </w:rPr>
        <w:t>mg filmom obalené tablety: 21/0121/11-S</w:t>
      </w:r>
    </w:p>
    <w:p w14:paraId="37EC6688" w14:textId="77777777" w:rsidR="00FF7468" w:rsidRPr="00C101CC" w:rsidRDefault="00FF7468">
      <w:pPr>
        <w:pStyle w:val="EMEAEnBodyText"/>
        <w:tabs>
          <w:tab w:val="left" w:pos="567"/>
        </w:tabs>
        <w:spacing w:before="0" w:after="0"/>
        <w:rPr>
          <w:szCs w:val="22"/>
          <w:lang w:val="sk-SK"/>
        </w:rPr>
      </w:pPr>
    </w:p>
    <w:p w14:paraId="032639AA" w14:textId="77777777" w:rsidR="00FF7468" w:rsidRPr="00C101CC" w:rsidRDefault="00FF7468">
      <w:pPr>
        <w:spacing w:line="240" w:lineRule="auto"/>
        <w:jc w:val="both"/>
        <w:rPr>
          <w:szCs w:val="22"/>
          <w:lang w:val="sk-SK"/>
        </w:rPr>
      </w:pPr>
    </w:p>
    <w:p w14:paraId="6C7EE275" w14:textId="77777777" w:rsidR="00FF7468" w:rsidRPr="00C101CC" w:rsidRDefault="00FF7468">
      <w:pPr>
        <w:keepNext/>
        <w:spacing w:line="240" w:lineRule="auto"/>
        <w:jc w:val="both"/>
        <w:rPr>
          <w:szCs w:val="22"/>
          <w:lang w:val="sk-SK"/>
        </w:rPr>
      </w:pPr>
      <w:r w:rsidRPr="00C101CC">
        <w:rPr>
          <w:b/>
          <w:szCs w:val="22"/>
          <w:lang w:val="sk-SK"/>
        </w:rPr>
        <w:t>9.</w:t>
      </w:r>
      <w:r w:rsidRPr="00C101CC">
        <w:rPr>
          <w:b/>
          <w:szCs w:val="22"/>
          <w:lang w:val="sk-SK"/>
        </w:rPr>
        <w:tab/>
        <w:t>DÁTUM PRVEJ REGISTRÁCIE/PREDĹŽENIA REGISTRÁCIE</w:t>
      </w:r>
    </w:p>
    <w:p w14:paraId="5AC28915" w14:textId="77777777" w:rsidR="00FF7468" w:rsidRPr="00C101CC" w:rsidRDefault="00FF7468">
      <w:pPr>
        <w:keepNext/>
        <w:spacing w:line="240" w:lineRule="auto"/>
        <w:jc w:val="both"/>
        <w:rPr>
          <w:i/>
          <w:szCs w:val="22"/>
          <w:lang w:val="sk-SK"/>
        </w:rPr>
      </w:pPr>
    </w:p>
    <w:p w14:paraId="7411CEA8" w14:textId="77777777" w:rsidR="00FF7468" w:rsidRPr="00C101CC" w:rsidRDefault="00EF5E97">
      <w:pPr>
        <w:pStyle w:val="EMEAEnBodyText"/>
        <w:keepNext/>
        <w:tabs>
          <w:tab w:val="left" w:pos="567"/>
        </w:tabs>
        <w:spacing w:before="0" w:after="0"/>
        <w:rPr>
          <w:szCs w:val="22"/>
          <w:lang w:val="sk-SK"/>
        </w:rPr>
      </w:pPr>
      <w:r w:rsidRPr="00C101CC">
        <w:rPr>
          <w:szCs w:val="22"/>
          <w:lang w:val="sk-SK"/>
        </w:rPr>
        <w:t xml:space="preserve">Dátum prvej registrácie: </w:t>
      </w:r>
      <w:r w:rsidR="00F9267F" w:rsidRPr="00C101CC">
        <w:rPr>
          <w:szCs w:val="22"/>
          <w:lang w:val="sk-SK"/>
        </w:rPr>
        <w:t>5. mar</w:t>
      </w:r>
      <w:r w:rsidR="001C6DF5" w:rsidRPr="00C101CC">
        <w:rPr>
          <w:szCs w:val="22"/>
          <w:lang w:val="sk-SK"/>
        </w:rPr>
        <w:t>ca</w:t>
      </w:r>
      <w:r w:rsidR="00F9267F" w:rsidRPr="00C101CC">
        <w:rPr>
          <w:szCs w:val="22"/>
          <w:lang w:val="sk-SK"/>
        </w:rPr>
        <w:t xml:space="preserve"> 1998</w:t>
      </w:r>
    </w:p>
    <w:p w14:paraId="6A31EFAD" w14:textId="77777777" w:rsidR="00EF5E97" w:rsidRPr="00C101CC" w:rsidRDefault="00EF5E97">
      <w:pPr>
        <w:pStyle w:val="EMEAEnBodyText"/>
        <w:keepNext/>
        <w:tabs>
          <w:tab w:val="left" w:pos="567"/>
        </w:tabs>
        <w:spacing w:before="0" w:after="0"/>
        <w:rPr>
          <w:szCs w:val="22"/>
          <w:lang w:val="sk-SK"/>
        </w:rPr>
      </w:pPr>
      <w:r w:rsidRPr="00C101CC">
        <w:rPr>
          <w:szCs w:val="22"/>
          <w:lang w:val="sk-SK"/>
        </w:rPr>
        <w:t xml:space="preserve">Dátum </w:t>
      </w:r>
      <w:r w:rsidR="00602ACF" w:rsidRPr="00C101CC">
        <w:rPr>
          <w:szCs w:val="22"/>
          <w:lang w:val="sk-SK"/>
        </w:rPr>
        <w:t xml:space="preserve">posledného </w:t>
      </w:r>
      <w:r w:rsidRPr="00C101CC">
        <w:rPr>
          <w:szCs w:val="22"/>
          <w:lang w:val="sk-SK"/>
        </w:rPr>
        <w:t xml:space="preserve">predĺženia registrácie: </w:t>
      </w:r>
      <w:r w:rsidR="002E42EE" w:rsidRPr="00C101CC">
        <w:rPr>
          <w:szCs w:val="22"/>
          <w:lang w:val="sk-SK"/>
        </w:rPr>
        <w:t>27. august</w:t>
      </w:r>
      <w:r w:rsidR="001C6DF5" w:rsidRPr="00C101CC">
        <w:rPr>
          <w:szCs w:val="22"/>
          <w:lang w:val="sk-SK"/>
        </w:rPr>
        <w:t>a</w:t>
      </w:r>
      <w:r w:rsidR="002E42EE" w:rsidRPr="00C101CC">
        <w:rPr>
          <w:szCs w:val="22"/>
          <w:lang w:val="sk-SK"/>
        </w:rPr>
        <w:t xml:space="preserve"> 2012</w:t>
      </w:r>
    </w:p>
    <w:p w14:paraId="18C4A860" w14:textId="77777777" w:rsidR="00FF7468" w:rsidRPr="00C101CC" w:rsidRDefault="00FF7468">
      <w:pPr>
        <w:spacing w:line="240" w:lineRule="auto"/>
        <w:jc w:val="both"/>
        <w:rPr>
          <w:szCs w:val="22"/>
          <w:lang w:val="sk-SK"/>
        </w:rPr>
      </w:pPr>
    </w:p>
    <w:p w14:paraId="4B7C2D43" w14:textId="77777777" w:rsidR="00FF7468" w:rsidRPr="00C101CC" w:rsidRDefault="00FF7468">
      <w:pPr>
        <w:pStyle w:val="EMEAEnBodyText"/>
        <w:tabs>
          <w:tab w:val="left" w:pos="567"/>
        </w:tabs>
        <w:spacing w:before="0" w:after="0"/>
        <w:rPr>
          <w:szCs w:val="22"/>
          <w:lang w:val="sk-SK"/>
        </w:rPr>
      </w:pPr>
    </w:p>
    <w:p w14:paraId="75E13AA1" w14:textId="77777777" w:rsidR="00FF7468" w:rsidRPr="00C101CC" w:rsidRDefault="00FF7468">
      <w:pPr>
        <w:keepNext/>
        <w:spacing w:line="240" w:lineRule="auto"/>
        <w:jc w:val="both"/>
        <w:rPr>
          <w:b/>
          <w:szCs w:val="22"/>
          <w:lang w:val="sk-SK"/>
        </w:rPr>
      </w:pPr>
      <w:r w:rsidRPr="00C101CC">
        <w:rPr>
          <w:b/>
          <w:szCs w:val="22"/>
          <w:lang w:val="sk-SK"/>
        </w:rPr>
        <w:t>10.</w:t>
      </w:r>
      <w:r w:rsidRPr="00C101CC">
        <w:rPr>
          <w:b/>
          <w:szCs w:val="22"/>
          <w:lang w:val="sk-SK"/>
        </w:rPr>
        <w:tab/>
        <w:t>DÁTUM REVÍZIE TEXTU</w:t>
      </w:r>
    </w:p>
    <w:p w14:paraId="5C9323C7" w14:textId="77777777" w:rsidR="00FF7468" w:rsidRPr="00C101CC" w:rsidRDefault="00FF7468">
      <w:pPr>
        <w:keepNext/>
        <w:spacing w:line="240" w:lineRule="auto"/>
        <w:jc w:val="both"/>
        <w:rPr>
          <w:szCs w:val="22"/>
          <w:lang w:val="sk-SK"/>
        </w:rPr>
      </w:pPr>
    </w:p>
    <w:p w14:paraId="13D07BB6" w14:textId="7AF31D81" w:rsidR="00321843" w:rsidRPr="00C101CC" w:rsidRDefault="00F208C0">
      <w:pPr>
        <w:keepNext/>
        <w:numPr>
          <w:ilvl w:val="12"/>
          <w:numId w:val="0"/>
        </w:numPr>
        <w:tabs>
          <w:tab w:val="clear" w:pos="567"/>
        </w:tabs>
        <w:spacing w:line="240" w:lineRule="auto"/>
        <w:ind w:right="-2"/>
        <w:outlineLvl w:val="0"/>
        <w:rPr>
          <w:szCs w:val="22"/>
          <w:lang w:val="sk-SK"/>
        </w:rPr>
      </w:pPr>
      <w:r>
        <w:rPr>
          <w:szCs w:val="22"/>
          <w:lang w:val="sk-SK"/>
        </w:rPr>
        <w:t>11/2020</w:t>
      </w:r>
    </w:p>
    <w:sectPr w:rsidR="00321843" w:rsidRPr="00C101CC" w:rsidSect="00E2432E">
      <w:headerReference w:type="default" r:id="rId12"/>
      <w:footerReference w:type="default" r:id="rId13"/>
      <w:footerReference w:type="first" r:id="rId14"/>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75292" w14:textId="77777777" w:rsidR="00705738" w:rsidRDefault="00705738">
      <w:r>
        <w:separator/>
      </w:r>
    </w:p>
  </w:endnote>
  <w:endnote w:type="continuationSeparator" w:id="0">
    <w:p w14:paraId="73E5974D" w14:textId="77777777" w:rsidR="00705738" w:rsidRDefault="00705738">
      <w:r>
        <w:continuationSeparator/>
      </w:r>
    </w:p>
  </w:endnote>
  <w:endnote w:type="continuationNotice" w:id="1">
    <w:p w14:paraId="3E87A499" w14:textId="77777777" w:rsidR="00705738" w:rsidRDefault="007057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6B69B" w14:textId="2E770786" w:rsidR="00C07684" w:rsidRPr="004C166D" w:rsidRDefault="00C07684">
    <w:pPr>
      <w:pStyle w:val="Pta"/>
      <w:tabs>
        <w:tab w:val="clear" w:pos="8930"/>
        <w:tab w:val="right" w:pos="8931"/>
      </w:tabs>
      <w:ind w:right="96"/>
      <w:jc w:val="center"/>
      <w:rPr>
        <w:rFonts w:ascii="Times New Roman" w:hAnsi="Times New Roman"/>
        <w:sz w:val="18"/>
        <w:szCs w:val="18"/>
      </w:rPr>
    </w:pPr>
    <w:r>
      <w:fldChar w:fldCharType="begin"/>
    </w:r>
    <w:r>
      <w:instrText xml:space="preserve"> EQ </w:instrText>
    </w:r>
    <w:r>
      <w:fldChar w:fldCharType="end"/>
    </w:r>
    <w:r w:rsidRPr="004C166D">
      <w:rPr>
        <w:rStyle w:val="slostrany"/>
        <w:rFonts w:ascii="Times New Roman" w:hAnsi="Times New Roman"/>
        <w:sz w:val="18"/>
        <w:szCs w:val="18"/>
      </w:rPr>
      <w:fldChar w:fldCharType="begin"/>
    </w:r>
    <w:r w:rsidRPr="004C166D">
      <w:rPr>
        <w:rStyle w:val="slostrany"/>
        <w:rFonts w:ascii="Times New Roman" w:hAnsi="Times New Roman"/>
        <w:sz w:val="18"/>
        <w:szCs w:val="18"/>
      </w:rPr>
      <w:instrText xml:space="preserve">PAGE  </w:instrText>
    </w:r>
    <w:r w:rsidRPr="004C166D">
      <w:rPr>
        <w:rStyle w:val="slostrany"/>
        <w:rFonts w:ascii="Times New Roman" w:hAnsi="Times New Roman"/>
        <w:sz w:val="18"/>
        <w:szCs w:val="18"/>
      </w:rPr>
      <w:fldChar w:fldCharType="separate"/>
    </w:r>
    <w:r w:rsidR="00075451">
      <w:rPr>
        <w:rStyle w:val="slostrany"/>
        <w:rFonts w:ascii="Times New Roman" w:hAnsi="Times New Roman"/>
        <w:noProof/>
        <w:sz w:val="18"/>
        <w:szCs w:val="18"/>
      </w:rPr>
      <w:t>14</w:t>
    </w:r>
    <w:r w:rsidRPr="004C166D">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E7DC6" w14:textId="77777777" w:rsidR="00C07684" w:rsidRDefault="00C07684">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rPr>
      <w:fldChar w:fldCharType="begin"/>
    </w:r>
    <w:r>
      <w:rPr>
        <w:rStyle w:val="slostrany"/>
        <w:rFonts w:ascii="Arial" w:hAnsi="Arial"/>
      </w:rPr>
      <w:instrText xml:space="preserve">PAGE  </w:instrText>
    </w:r>
    <w:r>
      <w:rPr>
        <w:rStyle w:val="slostrany"/>
        <w:rFonts w:ascii="Arial" w:hAnsi="Arial"/>
      </w:rPr>
      <w:fldChar w:fldCharType="separate"/>
    </w:r>
    <w:r>
      <w:rPr>
        <w:rStyle w:val="slostrany"/>
        <w:rFonts w:ascii="Arial" w:hAnsi="Arial"/>
        <w:noProof/>
      </w:rPr>
      <w:t>1</w:t>
    </w:r>
    <w:r>
      <w:rPr>
        <w:rStyle w:val="slostrany"/>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EED4E" w14:textId="77777777" w:rsidR="00705738" w:rsidRDefault="00705738">
      <w:r>
        <w:separator/>
      </w:r>
    </w:p>
  </w:footnote>
  <w:footnote w:type="continuationSeparator" w:id="0">
    <w:p w14:paraId="0FD888E4" w14:textId="77777777" w:rsidR="00705738" w:rsidRDefault="00705738">
      <w:r>
        <w:continuationSeparator/>
      </w:r>
    </w:p>
  </w:footnote>
  <w:footnote w:type="continuationNotice" w:id="1">
    <w:p w14:paraId="35447298" w14:textId="77777777" w:rsidR="00705738" w:rsidRDefault="0070573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E78BF" w14:textId="6B779B55" w:rsidR="00C07684" w:rsidRPr="00810D8C" w:rsidRDefault="009B4E23">
    <w:pPr>
      <w:pStyle w:val="Hlavika"/>
      <w:rPr>
        <w:rFonts w:ascii="Times New Roman" w:hAnsi="Times New Roman"/>
        <w:sz w:val="18"/>
        <w:szCs w:val="18"/>
        <w:lang w:val="sk-SK"/>
      </w:rPr>
    </w:pPr>
    <w:r>
      <w:rPr>
        <w:rFonts w:ascii="Times New Roman" w:hAnsi="Times New Roman"/>
        <w:sz w:val="18"/>
        <w:szCs w:val="18"/>
        <w:lang w:val="sk-SK"/>
      </w:rPr>
      <w:t xml:space="preserve">Schválený text k rozhodnutiu o zmene, ev. č.: </w:t>
    </w:r>
    <w:r w:rsidR="00C07684">
      <w:rPr>
        <w:rFonts w:ascii="Times New Roman" w:hAnsi="Times New Roman"/>
        <w:sz w:val="18"/>
        <w:szCs w:val="18"/>
        <w:lang w:val="sk-SK"/>
      </w:rPr>
      <w:t>2020/</w:t>
    </w:r>
    <w:r w:rsidR="006D5B50">
      <w:rPr>
        <w:rFonts w:ascii="Times New Roman" w:hAnsi="Times New Roman"/>
        <w:sz w:val="18"/>
        <w:szCs w:val="18"/>
        <w:lang w:val="sk-SK"/>
      </w:rPr>
      <w:t>01135-ZME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D44BD"/>
    <w:multiLevelType w:val="hybridMultilevel"/>
    <w:tmpl w:val="5BA42128"/>
    <w:lvl w:ilvl="0" w:tplc="80A81934">
      <w:start w:val="1"/>
      <w:numFmt w:val="bullet"/>
      <w:lvlText w:val=""/>
      <w:lvlJc w:val="left"/>
      <w:pPr>
        <w:tabs>
          <w:tab w:val="num" w:pos="567"/>
        </w:tabs>
        <w:ind w:left="567" w:hanging="567"/>
      </w:pPr>
      <w:rPr>
        <w:rFonts w:ascii="Symbol" w:hAnsi="Symbol" w:hint="default"/>
      </w:rPr>
    </w:lvl>
    <w:lvl w:ilvl="1" w:tplc="4404BA52">
      <w:start w:val="1"/>
      <w:numFmt w:val="lowerLetter"/>
      <w:lvlText w:val="%2."/>
      <w:lvlJc w:val="left"/>
      <w:pPr>
        <w:tabs>
          <w:tab w:val="num" w:pos="1080"/>
        </w:tabs>
        <w:ind w:left="1080" w:hanging="360"/>
      </w:pPr>
    </w:lvl>
    <w:lvl w:ilvl="2" w:tplc="5844C2B8" w:tentative="1">
      <w:start w:val="1"/>
      <w:numFmt w:val="lowerRoman"/>
      <w:lvlText w:val="%3."/>
      <w:lvlJc w:val="right"/>
      <w:pPr>
        <w:tabs>
          <w:tab w:val="num" w:pos="1800"/>
        </w:tabs>
        <w:ind w:left="1800" w:hanging="180"/>
      </w:pPr>
    </w:lvl>
    <w:lvl w:ilvl="3" w:tplc="C73A8916" w:tentative="1">
      <w:start w:val="1"/>
      <w:numFmt w:val="decimal"/>
      <w:lvlText w:val="%4."/>
      <w:lvlJc w:val="left"/>
      <w:pPr>
        <w:tabs>
          <w:tab w:val="num" w:pos="2520"/>
        </w:tabs>
        <w:ind w:left="2520" w:hanging="360"/>
      </w:pPr>
    </w:lvl>
    <w:lvl w:ilvl="4" w:tplc="9244CEB0" w:tentative="1">
      <w:start w:val="1"/>
      <w:numFmt w:val="lowerLetter"/>
      <w:lvlText w:val="%5."/>
      <w:lvlJc w:val="left"/>
      <w:pPr>
        <w:tabs>
          <w:tab w:val="num" w:pos="3240"/>
        </w:tabs>
        <w:ind w:left="3240" w:hanging="360"/>
      </w:pPr>
    </w:lvl>
    <w:lvl w:ilvl="5" w:tplc="E6B2D5DC" w:tentative="1">
      <w:start w:val="1"/>
      <w:numFmt w:val="lowerRoman"/>
      <w:lvlText w:val="%6."/>
      <w:lvlJc w:val="right"/>
      <w:pPr>
        <w:tabs>
          <w:tab w:val="num" w:pos="3960"/>
        </w:tabs>
        <w:ind w:left="3960" w:hanging="180"/>
      </w:pPr>
    </w:lvl>
    <w:lvl w:ilvl="6" w:tplc="08C86310" w:tentative="1">
      <w:start w:val="1"/>
      <w:numFmt w:val="decimal"/>
      <w:lvlText w:val="%7."/>
      <w:lvlJc w:val="left"/>
      <w:pPr>
        <w:tabs>
          <w:tab w:val="num" w:pos="4680"/>
        </w:tabs>
        <w:ind w:left="4680" w:hanging="360"/>
      </w:pPr>
    </w:lvl>
    <w:lvl w:ilvl="7" w:tplc="F38A82EA" w:tentative="1">
      <w:start w:val="1"/>
      <w:numFmt w:val="lowerLetter"/>
      <w:lvlText w:val="%8."/>
      <w:lvlJc w:val="left"/>
      <w:pPr>
        <w:tabs>
          <w:tab w:val="num" w:pos="5400"/>
        </w:tabs>
        <w:ind w:left="5400" w:hanging="360"/>
      </w:pPr>
    </w:lvl>
    <w:lvl w:ilvl="8" w:tplc="B36230BA" w:tentative="1">
      <w:start w:val="1"/>
      <w:numFmt w:val="lowerRoman"/>
      <w:lvlText w:val="%9."/>
      <w:lvlJc w:val="right"/>
      <w:pPr>
        <w:tabs>
          <w:tab w:val="num" w:pos="6120"/>
        </w:tabs>
        <w:ind w:left="6120" w:hanging="180"/>
      </w:pPr>
    </w:lvl>
  </w:abstractNum>
  <w:abstractNum w:abstractNumId="2" w15:restartNumberingAfterBreak="0">
    <w:nsid w:val="00463B19"/>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48062A"/>
    <w:multiLevelType w:val="hybridMultilevel"/>
    <w:tmpl w:val="070CB09C"/>
    <w:lvl w:ilvl="0" w:tplc="193677B4">
      <w:start w:val="1"/>
      <w:numFmt w:val="bullet"/>
      <w:lvlText w:val=""/>
      <w:lvlJc w:val="left"/>
      <w:pPr>
        <w:tabs>
          <w:tab w:val="num" w:pos="567"/>
        </w:tabs>
        <w:ind w:left="567" w:hanging="567"/>
      </w:pPr>
      <w:rPr>
        <w:rFonts w:ascii="Symbol" w:hAnsi="Symbol" w:hint="default"/>
      </w:rPr>
    </w:lvl>
    <w:lvl w:ilvl="1" w:tplc="A2228F12" w:tentative="1">
      <w:start w:val="1"/>
      <w:numFmt w:val="lowerLetter"/>
      <w:lvlText w:val="%2."/>
      <w:lvlJc w:val="left"/>
      <w:pPr>
        <w:tabs>
          <w:tab w:val="num" w:pos="1440"/>
        </w:tabs>
        <w:ind w:left="1440" w:hanging="360"/>
      </w:pPr>
    </w:lvl>
    <w:lvl w:ilvl="2" w:tplc="4654886E" w:tentative="1">
      <w:start w:val="1"/>
      <w:numFmt w:val="lowerRoman"/>
      <w:lvlText w:val="%3."/>
      <w:lvlJc w:val="right"/>
      <w:pPr>
        <w:tabs>
          <w:tab w:val="num" w:pos="2160"/>
        </w:tabs>
        <w:ind w:left="2160" w:hanging="180"/>
      </w:pPr>
    </w:lvl>
    <w:lvl w:ilvl="3" w:tplc="6A40BA68" w:tentative="1">
      <w:start w:val="1"/>
      <w:numFmt w:val="decimal"/>
      <w:lvlText w:val="%4."/>
      <w:lvlJc w:val="left"/>
      <w:pPr>
        <w:tabs>
          <w:tab w:val="num" w:pos="2880"/>
        </w:tabs>
        <w:ind w:left="2880" w:hanging="360"/>
      </w:pPr>
    </w:lvl>
    <w:lvl w:ilvl="4" w:tplc="E1565076" w:tentative="1">
      <w:start w:val="1"/>
      <w:numFmt w:val="lowerLetter"/>
      <w:lvlText w:val="%5."/>
      <w:lvlJc w:val="left"/>
      <w:pPr>
        <w:tabs>
          <w:tab w:val="num" w:pos="3600"/>
        </w:tabs>
        <w:ind w:left="3600" w:hanging="360"/>
      </w:pPr>
    </w:lvl>
    <w:lvl w:ilvl="5" w:tplc="4CB2AD52" w:tentative="1">
      <w:start w:val="1"/>
      <w:numFmt w:val="lowerRoman"/>
      <w:lvlText w:val="%6."/>
      <w:lvlJc w:val="right"/>
      <w:pPr>
        <w:tabs>
          <w:tab w:val="num" w:pos="4320"/>
        </w:tabs>
        <w:ind w:left="4320" w:hanging="180"/>
      </w:pPr>
    </w:lvl>
    <w:lvl w:ilvl="6" w:tplc="9B2EB9A2" w:tentative="1">
      <w:start w:val="1"/>
      <w:numFmt w:val="decimal"/>
      <w:lvlText w:val="%7."/>
      <w:lvlJc w:val="left"/>
      <w:pPr>
        <w:tabs>
          <w:tab w:val="num" w:pos="5040"/>
        </w:tabs>
        <w:ind w:left="5040" w:hanging="360"/>
      </w:pPr>
    </w:lvl>
    <w:lvl w:ilvl="7" w:tplc="FE6E59BE" w:tentative="1">
      <w:start w:val="1"/>
      <w:numFmt w:val="lowerLetter"/>
      <w:lvlText w:val="%8."/>
      <w:lvlJc w:val="left"/>
      <w:pPr>
        <w:tabs>
          <w:tab w:val="num" w:pos="5760"/>
        </w:tabs>
        <w:ind w:left="5760" w:hanging="360"/>
      </w:pPr>
    </w:lvl>
    <w:lvl w:ilvl="8" w:tplc="35C8BC9E" w:tentative="1">
      <w:start w:val="1"/>
      <w:numFmt w:val="lowerRoman"/>
      <w:lvlText w:val="%9."/>
      <w:lvlJc w:val="right"/>
      <w:pPr>
        <w:tabs>
          <w:tab w:val="num" w:pos="6480"/>
        </w:tabs>
        <w:ind w:left="6480" w:hanging="180"/>
      </w:pPr>
    </w:lvl>
  </w:abstractNum>
  <w:abstractNum w:abstractNumId="4" w15:restartNumberingAfterBreak="0">
    <w:nsid w:val="01F548BF"/>
    <w:multiLevelType w:val="hybridMultilevel"/>
    <w:tmpl w:val="070CB09C"/>
    <w:lvl w:ilvl="0" w:tplc="9E26B230">
      <w:start w:val="1"/>
      <w:numFmt w:val="bullet"/>
      <w:lvlText w:val=""/>
      <w:lvlJc w:val="left"/>
      <w:pPr>
        <w:tabs>
          <w:tab w:val="num" w:pos="360"/>
        </w:tabs>
        <w:ind w:left="36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6CB3C34"/>
    <w:multiLevelType w:val="hybridMultilevel"/>
    <w:tmpl w:val="9AF8BA44"/>
    <w:lvl w:ilvl="0" w:tplc="D836511A">
      <w:start w:val="1"/>
      <w:numFmt w:val="bullet"/>
      <w:lvlText w:val=""/>
      <w:lvlJc w:val="left"/>
      <w:pPr>
        <w:tabs>
          <w:tab w:val="num" w:pos="567"/>
        </w:tabs>
        <w:ind w:left="567" w:hanging="567"/>
      </w:pPr>
      <w:rPr>
        <w:rFonts w:ascii="Symbol" w:hAnsi="Symbol" w:hint="default"/>
      </w:rPr>
    </w:lvl>
    <w:lvl w:ilvl="1" w:tplc="B89825DC" w:tentative="1">
      <w:start w:val="1"/>
      <w:numFmt w:val="bullet"/>
      <w:lvlText w:val="o"/>
      <w:lvlJc w:val="left"/>
      <w:pPr>
        <w:tabs>
          <w:tab w:val="num" w:pos="1440"/>
        </w:tabs>
        <w:ind w:left="1440" w:hanging="360"/>
      </w:pPr>
      <w:rPr>
        <w:rFonts w:ascii="Courier New" w:hAnsi="Courier New" w:hint="default"/>
      </w:rPr>
    </w:lvl>
    <w:lvl w:ilvl="2" w:tplc="BFFE2C98" w:tentative="1">
      <w:start w:val="1"/>
      <w:numFmt w:val="bullet"/>
      <w:lvlText w:val=""/>
      <w:lvlJc w:val="left"/>
      <w:pPr>
        <w:tabs>
          <w:tab w:val="num" w:pos="2160"/>
        </w:tabs>
        <w:ind w:left="2160" w:hanging="360"/>
      </w:pPr>
      <w:rPr>
        <w:rFonts w:ascii="Wingdings" w:hAnsi="Wingdings" w:hint="default"/>
      </w:rPr>
    </w:lvl>
    <w:lvl w:ilvl="3" w:tplc="097E7466" w:tentative="1">
      <w:start w:val="1"/>
      <w:numFmt w:val="bullet"/>
      <w:lvlText w:val=""/>
      <w:lvlJc w:val="left"/>
      <w:pPr>
        <w:tabs>
          <w:tab w:val="num" w:pos="2880"/>
        </w:tabs>
        <w:ind w:left="2880" w:hanging="360"/>
      </w:pPr>
      <w:rPr>
        <w:rFonts w:ascii="Symbol" w:hAnsi="Symbol" w:hint="default"/>
      </w:rPr>
    </w:lvl>
    <w:lvl w:ilvl="4" w:tplc="04D80DD2" w:tentative="1">
      <w:start w:val="1"/>
      <w:numFmt w:val="bullet"/>
      <w:lvlText w:val="o"/>
      <w:lvlJc w:val="left"/>
      <w:pPr>
        <w:tabs>
          <w:tab w:val="num" w:pos="3600"/>
        </w:tabs>
        <w:ind w:left="3600" w:hanging="360"/>
      </w:pPr>
      <w:rPr>
        <w:rFonts w:ascii="Courier New" w:hAnsi="Courier New" w:hint="default"/>
      </w:rPr>
    </w:lvl>
    <w:lvl w:ilvl="5" w:tplc="8604EB40" w:tentative="1">
      <w:start w:val="1"/>
      <w:numFmt w:val="bullet"/>
      <w:lvlText w:val=""/>
      <w:lvlJc w:val="left"/>
      <w:pPr>
        <w:tabs>
          <w:tab w:val="num" w:pos="4320"/>
        </w:tabs>
        <w:ind w:left="4320" w:hanging="360"/>
      </w:pPr>
      <w:rPr>
        <w:rFonts w:ascii="Wingdings" w:hAnsi="Wingdings" w:hint="default"/>
      </w:rPr>
    </w:lvl>
    <w:lvl w:ilvl="6" w:tplc="B8FE75C6" w:tentative="1">
      <w:start w:val="1"/>
      <w:numFmt w:val="bullet"/>
      <w:lvlText w:val=""/>
      <w:lvlJc w:val="left"/>
      <w:pPr>
        <w:tabs>
          <w:tab w:val="num" w:pos="5040"/>
        </w:tabs>
        <w:ind w:left="5040" w:hanging="360"/>
      </w:pPr>
      <w:rPr>
        <w:rFonts w:ascii="Symbol" w:hAnsi="Symbol" w:hint="default"/>
      </w:rPr>
    </w:lvl>
    <w:lvl w:ilvl="7" w:tplc="BB90FF58" w:tentative="1">
      <w:start w:val="1"/>
      <w:numFmt w:val="bullet"/>
      <w:lvlText w:val="o"/>
      <w:lvlJc w:val="left"/>
      <w:pPr>
        <w:tabs>
          <w:tab w:val="num" w:pos="5760"/>
        </w:tabs>
        <w:ind w:left="5760" w:hanging="360"/>
      </w:pPr>
      <w:rPr>
        <w:rFonts w:ascii="Courier New" w:hAnsi="Courier New" w:hint="default"/>
      </w:rPr>
    </w:lvl>
    <w:lvl w:ilvl="8" w:tplc="8A64A6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485D1B"/>
    <w:multiLevelType w:val="hybridMultilevel"/>
    <w:tmpl w:val="F4340EA2"/>
    <w:lvl w:ilvl="0" w:tplc="78FC01CA">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CE2D56"/>
    <w:multiLevelType w:val="singleLevel"/>
    <w:tmpl w:val="5CB059B6"/>
    <w:lvl w:ilvl="0">
      <w:start w:val="1"/>
      <w:numFmt w:val="decimal"/>
      <w:lvlText w:val="%1."/>
      <w:legacy w:legacy="1" w:legacySpace="0" w:legacyIndent="360"/>
      <w:lvlJc w:val="left"/>
      <w:pPr>
        <w:ind w:left="360" w:hanging="360"/>
      </w:pPr>
    </w:lvl>
  </w:abstractNum>
  <w:abstractNum w:abstractNumId="8" w15:restartNumberingAfterBreak="0">
    <w:nsid w:val="0F4B7174"/>
    <w:multiLevelType w:val="multilevel"/>
    <w:tmpl w:val="070CB09C"/>
    <w:lvl w:ilvl="0">
      <w:start w:val="1"/>
      <w:numFmt w:val="bullet"/>
      <w:lvlText w:val=""/>
      <w:lvlJc w:val="left"/>
      <w:pPr>
        <w:tabs>
          <w:tab w:val="num" w:pos="567"/>
        </w:tabs>
        <w:ind w:left="567" w:hanging="567"/>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02809E2"/>
    <w:multiLevelType w:val="hybridMultilevel"/>
    <w:tmpl w:val="3F4A49F8"/>
    <w:lvl w:ilvl="0" w:tplc="04130001">
      <w:start w:val="1"/>
      <w:numFmt w:val="bullet"/>
      <w:lvlText w:val=""/>
      <w:lvlJc w:val="left"/>
      <w:pPr>
        <w:tabs>
          <w:tab w:val="num" w:pos="706"/>
        </w:tabs>
        <w:ind w:left="706" w:hanging="360"/>
      </w:pPr>
      <w:rPr>
        <w:rFonts w:ascii="Symbol" w:hAnsi="Symbol" w:hint="default"/>
      </w:rPr>
    </w:lvl>
    <w:lvl w:ilvl="1" w:tplc="04130003" w:tentative="1">
      <w:start w:val="1"/>
      <w:numFmt w:val="bullet"/>
      <w:lvlText w:val="o"/>
      <w:lvlJc w:val="left"/>
      <w:pPr>
        <w:tabs>
          <w:tab w:val="num" w:pos="1426"/>
        </w:tabs>
        <w:ind w:left="1426" w:hanging="360"/>
      </w:pPr>
      <w:rPr>
        <w:rFonts w:ascii="Courier New" w:hAnsi="Courier New" w:cs="Courier New" w:hint="default"/>
      </w:rPr>
    </w:lvl>
    <w:lvl w:ilvl="2" w:tplc="04130005" w:tentative="1">
      <w:start w:val="1"/>
      <w:numFmt w:val="bullet"/>
      <w:lvlText w:val=""/>
      <w:lvlJc w:val="left"/>
      <w:pPr>
        <w:tabs>
          <w:tab w:val="num" w:pos="2146"/>
        </w:tabs>
        <w:ind w:left="2146" w:hanging="360"/>
      </w:pPr>
      <w:rPr>
        <w:rFonts w:ascii="Wingdings" w:hAnsi="Wingdings" w:hint="default"/>
      </w:rPr>
    </w:lvl>
    <w:lvl w:ilvl="3" w:tplc="04130001" w:tentative="1">
      <w:start w:val="1"/>
      <w:numFmt w:val="bullet"/>
      <w:lvlText w:val=""/>
      <w:lvlJc w:val="left"/>
      <w:pPr>
        <w:tabs>
          <w:tab w:val="num" w:pos="2866"/>
        </w:tabs>
        <w:ind w:left="2866" w:hanging="360"/>
      </w:pPr>
      <w:rPr>
        <w:rFonts w:ascii="Symbol" w:hAnsi="Symbol" w:hint="default"/>
      </w:rPr>
    </w:lvl>
    <w:lvl w:ilvl="4" w:tplc="04130003" w:tentative="1">
      <w:start w:val="1"/>
      <w:numFmt w:val="bullet"/>
      <w:lvlText w:val="o"/>
      <w:lvlJc w:val="left"/>
      <w:pPr>
        <w:tabs>
          <w:tab w:val="num" w:pos="3586"/>
        </w:tabs>
        <w:ind w:left="3586" w:hanging="360"/>
      </w:pPr>
      <w:rPr>
        <w:rFonts w:ascii="Courier New" w:hAnsi="Courier New" w:cs="Courier New" w:hint="default"/>
      </w:rPr>
    </w:lvl>
    <w:lvl w:ilvl="5" w:tplc="04130005" w:tentative="1">
      <w:start w:val="1"/>
      <w:numFmt w:val="bullet"/>
      <w:lvlText w:val=""/>
      <w:lvlJc w:val="left"/>
      <w:pPr>
        <w:tabs>
          <w:tab w:val="num" w:pos="4306"/>
        </w:tabs>
        <w:ind w:left="4306" w:hanging="360"/>
      </w:pPr>
      <w:rPr>
        <w:rFonts w:ascii="Wingdings" w:hAnsi="Wingdings" w:hint="default"/>
      </w:rPr>
    </w:lvl>
    <w:lvl w:ilvl="6" w:tplc="04130001" w:tentative="1">
      <w:start w:val="1"/>
      <w:numFmt w:val="bullet"/>
      <w:lvlText w:val=""/>
      <w:lvlJc w:val="left"/>
      <w:pPr>
        <w:tabs>
          <w:tab w:val="num" w:pos="5026"/>
        </w:tabs>
        <w:ind w:left="5026" w:hanging="360"/>
      </w:pPr>
      <w:rPr>
        <w:rFonts w:ascii="Symbol" w:hAnsi="Symbol" w:hint="default"/>
      </w:rPr>
    </w:lvl>
    <w:lvl w:ilvl="7" w:tplc="04130003" w:tentative="1">
      <w:start w:val="1"/>
      <w:numFmt w:val="bullet"/>
      <w:lvlText w:val="o"/>
      <w:lvlJc w:val="left"/>
      <w:pPr>
        <w:tabs>
          <w:tab w:val="num" w:pos="5746"/>
        </w:tabs>
        <w:ind w:left="5746" w:hanging="360"/>
      </w:pPr>
      <w:rPr>
        <w:rFonts w:ascii="Courier New" w:hAnsi="Courier New" w:cs="Courier New" w:hint="default"/>
      </w:rPr>
    </w:lvl>
    <w:lvl w:ilvl="8" w:tplc="04130005" w:tentative="1">
      <w:start w:val="1"/>
      <w:numFmt w:val="bullet"/>
      <w:lvlText w:val=""/>
      <w:lvlJc w:val="left"/>
      <w:pPr>
        <w:tabs>
          <w:tab w:val="num" w:pos="6466"/>
        </w:tabs>
        <w:ind w:left="6466" w:hanging="360"/>
      </w:pPr>
      <w:rPr>
        <w:rFonts w:ascii="Wingdings" w:hAnsi="Wingdings" w:hint="default"/>
      </w:rPr>
    </w:lvl>
  </w:abstractNum>
  <w:abstractNum w:abstractNumId="10" w15:restartNumberingAfterBreak="0">
    <w:nsid w:val="157A17A4"/>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CC38AE"/>
    <w:multiLevelType w:val="hybridMultilevel"/>
    <w:tmpl w:val="5576E17E"/>
    <w:lvl w:ilvl="0" w:tplc="F1D66742">
      <w:start w:val="1"/>
      <w:numFmt w:val="bullet"/>
      <w:lvlText w:val=""/>
      <w:lvlJc w:val="left"/>
      <w:pPr>
        <w:tabs>
          <w:tab w:val="num" w:pos="567"/>
        </w:tabs>
        <w:ind w:left="567" w:hanging="567"/>
      </w:pPr>
      <w:rPr>
        <w:rFonts w:ascii="Symbol" w:hAnsi="Symbol" w:hint="default"/>
      </w:rPr>
    </w:lvl>
    <w:lvl w:ilvl="1" w:tplc="AE0C6D3C">
      <w:start w:val="1"/>
      <w:numFmt w:val="bullet"/>
      <w:lvlText w:val=""/>
      <w:lvlJc w:val="left"/>
      <w:pPr>
        <w:tabs>
          <w:tab w:val="num" w:pos="1440"/>
        </w:tabs>
        <w:ind w:left="1440" w:hanging="360"/>
      </w:pPr>
      <w:rPr>
        <w:rFonts w:ascii="Symbol" w:hAnsi="Symbol" w:hint="default"/>
      </w:rPr>
    </w:lvl>
    <w:lvl w:ilvl="2" w:tplc="311A2C78" w:tentative="1">
      <w:start w:val="1"/>
      <w:numFmt w:val="bullet"/>
      <w:lvlText w:val=""/>
      <w:lvlJc w:val="left"/>
      <w:pPr>
        <w:tabs>
          <w:tab w:val="num" w:pos="2160"/>
        </w:tabs>
        <w:ind w:left="2160" w:hanging="360"/>
      </w:pPr>
      <w:rPr>
        <w:rFonts w:ascii="Wingdings" w:hAnsi="Wingdings" w:hint="default"/>
      </w:rPr>
    </w:lvl>
    <w:lvl w:ilvl="3" w:tplc="3E7EDBC0" w:tentative="1">
      <w:start w:val="1"/>
      <w:numFmt w:val="bullet"/>
      <w:lvlText w:val=""/>
      <w:lvlJc w:val="left"/>
      <w:pPr>
        <w:tabs>
          <w:tab w:val="num" w:pos="2880"/>
        </w:tabs>
        <w:ind w:left="2880" w:hanging="360"/>
      </w:pPr>
      <w:rPr>
        <w:rFonts w:ascii="Symbol" w:hAnsi="Symbol" w:hint="default"/>
      </w:rPr>
    </w:lvl>
    <w:lvl w:ilvl="4" w:tplc="1750C37E" w:tentative="1">
      <w:start w:val="1"/>
      <w:numFmt w:val="bullet"/>
      <w:lvlText w:val="o"/>
      <w:lvlJc w:val="left"/>
      <w:pPr>
        <w:tabs>
          <w:tab w:val="num" w:pos="3600"/>
        </w:tabs>
        <w:ind w:left="3600" w:hanging="360"/>
      </w:pPr>
      <w:rPr>
        <w:rFonts w:ascii="Courier New" w:hAnsi="Courier New" w:hint="default"/>
      </w:rPr>
    </w:lvl>
    <w:lvl w:ilvl="5" w:tplc="3B1AD790" w:tentative="1">
      <w:start w:val="1"/>
      <w:numFmt w:val="bullet"/>
      <w:lvlText w:val=""/>
      <w:lvlJc w:val="left"/>
      <w:pPr>
        <w:tabs>
          <w:tab w:val="num" w:pos="4320"/>
        </w:tabs>
        <w:ind w:left="4320" w:hanging="360"/>
      </w:pPr>
      <w:rPr>
        <w:rFonts w:ascii="Wingdings" w:hAnsi="Wingdings" w:hint="default"/>
      </w:rPr>
    </w:lvl>
    <w:lvl w:ilvl="6" w:tplc="694887CC" w:tentative="1">
      <w:start w:val="1"/>
      <w:numFmt w:val="bullet"/>
      <w:lvlText w:val=""/>
      <w:lvlJc w:val="left"/>
      <w:pPr>
        <w:tabs>
          <w:tab w:val="num" w:pos="5040"/>
        </w:tabs>
        <w:ind w:left="5040" w:hanging="360"/>
      </w:pPr>
      <w:rPr>
        <w:rFonts w:ascii="Symbol" w:hAnsi="Symbol" w:hint="default"/>
      </w:rPr>
    </w:lvl>
    <w:lvl w:ilvl="7" w:tplc="42320582" w:tentative="1">
      <w:start w:val="1"/>
      <w:numFmt w:val="bullet"/>
      <w:lvlText w:val="o"/>
      <w:lvlJc w:val="left"/>
      <w:pPr>
        <w:tabs>
          <w:tab w:val="num" w:pos="5760"/>
        </w:tabs>
        <w:ind w:left="5760" w:hanging="360"/>
      </w:pPr>
      <w:rPr>
        <w:rFonts w:ascii="Courier New" w:hAnsi="Courier New" w:hint="default"/>
      </w:rPr>
    </w:lvl>
    <w:lvl w:ilvl="8" w:tplc="BE9CDB7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1E0BBE"/>
    <w:multiLevelType w:val="hybridMultilevel"/>
    <w:tmpl w:val="F4340EA2"/>
    <w:lvl w:ilvl="0" w:tplc="E864C65E">
      <w:start w:val="1"/>
      <w:numFmt w:val="bullet"/>
      <w:lvlText w:val=""/>
      <w:lvlJc w:val="left"/>
      <w:pPr>
        <w:tabs>
          <w:tab w:val="num" w:pos="567"/>
        </w:tabs>
        <w:ind w:left="567" w:hanging="567"/>
      </w:pPr>
      <w:rPr>
        <w:rFonts w:ascii="Symbol" w:hAnsi="Symbol" w:hint="default"/>
      </w:rPr>
    </w:lvl>
    <w:lvl w:ilvl="1" w:tplc="B96CED04">
      <w:start w:val="1"/>
      <w:numFmt w:val="bullet"/>
      <w:lvlText w:val="o"/>
      <w:lvlJc w:val="left"/>
      <w:pPr>
        <w:tabs>
          <w:tab w:val="num" w:pos="1440"/>
        </w:tabs>
        <w:ind w:left="1440" w:hanging="360"/>
      </w:pPr>
      <w:rPr>
        <w:rFonts w:ascii="Courier New" w:hAnsi="Courier New" w:hint="default"/>
      </w:rPr>
    </w:lvl>
    <w:lvl w:ilvl="2" w:tplc="5BB6D33E" w:tentative="1">
      <w:start w:val="1"/>
      <w:numFmt w:val="bullet"/>
      <w:lvlText w:val=""/>
      <w:lvlJc w:val="left"/>
      <w:pPr>
        <w:tabs>
          <w:tab w:val="num" w:pos="2160"/>
        </w:tabs>
        <w:ind w:left="2160" w:hanging="360"/>
      </w:pPr>
      <w:rPr>
        <w:rFonts w:ascii="Wingdings" w:hAnsi="Wingdings" w:hint="default"/>
      </w:rPr>
    </w:lvl>
    <w:lvl w:ilvl="3" w:tplc="79DC4E24" w:tentative="1">
      <w:start w:val="1"/>
      <w:numFmt w:val="bullet"/>
      <w:lvlText w:val=""/>
      <w:lvlJc w:val="left"/>
      <w:pPr>
        <w:tabs>
          <w:tab w:val="num" w:pos="2880"/>
        </w:tabs>
        <w:ind w:left="2880" w:hanging="360"/>
      </w:pPr>
      <w:rPr>
        <w:rFonts w:ascii="Symbol" w:hAnsi="Symbol" w:hint="default"/>
      </w:rPr>
    </w:lvl>
    <w:lvl w:ilvl="4" w:tplc="4C8E7C94" w:tentative="1">
      <w:start w:val="1"/>
      <w:numFmt w:val="bullet"/>
      <w:lvlText w:val="o"/>
      <w:lvlJc w:val="left"/>
      <w:pPr>
        <w:tabs>
          <w:tab w:val="num" w:pos="3600"/>
        </w:tabs>
        <w:ind w:left="3600" w:hanging="360"/>
      </w:pPr>
      <w:rPr>
        <w:rFonts w:ascii="Courier New" w:hAnsi="Courier New" w:hint="default"/>
      </w:rPr>
    </w:lvl>
    <w:lvl w:ilvl="5" w:tplc="D17286B0" w:tentative="1">
      <w:start w:val="1"/>
      <w:numFmt w:val="bullet"/>
      <w:lvlText w:val=""/>
      <w:lvlJc w:val="left"/>
      <w:pPr>
        <w:tabs>
          <w:tab w:val="num" w:pos="4320"/>
        </w:tabs>
        <w:ind w:left="4320" w:hanging="360"/>
      </w:pPr>
      <w:rPr>
        <w:rFonts w:ascii="Wingdings" w:hAnsi="Wingdings" w:hint="default"/>
      </w:rPr>
    </w:lvl>
    <w:lvl w:ilvl="6" w:tplc="946A4F58" w:tentative="1">
      <w:start w:val="1"/>
      <w:numFmt w:val="bullet"/>
      <w:lvlText w:val=""/>
      <w:lvlJc w:val="left"/>
      <w:pPr>
        <w:tabs>
          <w:tab w:val="num" w:pos="5040"/>
        </w:tabs>
        <w:ind w:left="5040" w:hanging="360"/>
      </w:pPr>
      <w:rPr>
        <w:rFonts w:ascii="Symbol" w:hAnsi="Symbol" w:hint="default"/>
      </w:rPr>
    </w:lvl>
    <w:lvl w:ilvl="7" w:tplc="48680D42" w:tentative="1">
      <w:start w:val="1"/>
      <w:numFmt w:val="bullet"/>
      <w:lvlText w:val="o"/>
      <w:lvlJc w:val="left"/>
      <w:pPr>
        <w:tabs>
          <w:tab w:val="num" w:pos="5760"/>
        </w:tabs>
        <w:ind w:left="5760" w:hanging="360"/>
      </w:pPr>
      <w:rPr>
        <w:rFonts w:ascii="Courier New" w:hAnsi="Courier New" w:hint="default"/>
      </w:rPr>
    </w:lvl>
    <w:lvl w:ilvl="8" w:tplc="01FC588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B31AF"/>
    <w:multiLevelType w:val="hybridMultilevel"/>
    <w:tmpl w:val="AA7275F8"/>
    <w:lvl w:ilvl="0" w:tplc="00783BA6">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4" w15:restartNumberingAfterBreak="0">
    <w:nsid w:val="1D2D7154"/>
    <w:multiLevelType w:val="hybridMultilevel"/>
    <w:tmpl w:val="D512A0EA"/>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350761"/>
    <w:multiLevelType w:val="hybridMultilevel"/>
    <w:tmpl w:val="9CFE62B0"/>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1A529E"/>
    <w:multiLevelType w:val="hybridMultilevel"/>
    <w:tmpl w:val="54D03C08"/>
    <w:lvl w:ilvl="0" w:tplc="68AC1B1A">
      <w:start w:val="1"/>
      <w:numFmt w:val="decimal"/>
      <w:pStyle w:val="head3"/>
      <w:lvlText w:val="%1."/>
      <w:lvlJc w:val="left"/>
      <w:pPr>
        <w:tabs>
          <w:tab w:val="num" w:pos="720"/>
        </w:tabs>
        <w:ind w:left="720" w:hanging="360"/>
      </w:pPr>
    </w:lvl>
    <w:lvl w:ilvl="1" w:tplc="FD309EE4">
      <w:start w:val="1"/>
      <w:numFmt w:val="decimal"/>
      <w:lvlText w:val="%2."/>
      <w:lvlJc w:val="left"/>
      <w:pPr>
        <w:tabs>
          <w:tab w:val="num" w:pos="1440"/>
        </w:tabs>
        <w:ind w:left="1440" w:hanging="360"/>
      </w:pPr>
    </w:lvl>
    <w:lvl w:ilvl="2" w:tplc="00808FA2">
      <w:start w:val="1"/>
      <w:numFmt w:val="decimal"/>
      <w:lvlText w:val="%3."/>
      <w:lvlJc w:val="left"/>
      <w:pPr>
        <w:tabs>
          <w:tab w:val="num" w:pos="2160"/>
        </w:tabs>
        <w:ind w:left="2160" w:hanging="360"/>
      </w:pPr>
    </w:lvl>
    <w:lvl w:ilvl="3" w:tplc="E5BABE0E">
      <w:start w:val="1"/>
      <w:numFmt w:val="decimal"/>
      <w:lvlText w:val="%4."/>
      <w:lvlJc w:val="left"/>
      <w:pPr>
        <w:tabs>
          <w:tab w:val="num" w:pos="2880"/>
        </w:tabs>
        <w:ind w:left="2880" w:hanging="360"/>
      </w:pPr>
    </w:lvl>
    <w:lvl w:ilvl="4" w:tplc="A9E2BE24">
      <w:start w:val="1"/>
      <w:numFmt w:val="decimal"/>
      <w:lvlText w:val="%5."/>
      <w:lvlJc w:val="left"/>
      <w:pPr>
        <w:tabs>
          <w:tab w:val="num" w:pos="3600"/>
        </w:tabs>
        <w:ind w:left="3600" w:hanging="360"/>
      </w:pPr>
    </w:lvl>
    <w:lvl w:ilvl="5" w:tplc="17D80D2A">
      <w:start w:val="1"/>
      <w:numFmt w:val="decimal"/>
      <w:lvlText w:val="%6."/>
      <w:lvlJc w:val="left"/>
      <w:pPr>
        <w:tabs>
          <w:tab w:val="num" w:pos="4320"/>
        </w:tabs>
        <w:ind w:left="4320" w:hanging="360"/>
      </w:pPr>
    </w:lvl>
    <w:lvl w:ilvl="6" w:tplc="64E06536">
      <w:start w:val="1"/>
      <w:numFmt w:val="decimal"/>
      <w:lvlText w:val="%7."/>
      <w:lvlJc w:val="left"/>
      <w:pPr>
        <w:tabs>
          <w:tab w:val="num" w:pos="5040"/>
        </w:tabs>
        <w:ind w:left="5040" w:hanging="360"/>
      </w:pPr>
    </w:lvl>
    <w:lvl w:ilvl="7" w:tplc="2BCCA30A">
      <w:start w:val="1"/>
      <w:numFmt w:val="decimal"/>
      <w:lvlText w:val="%8."/>
      <w:lvlJc w:val="left"/>
      <w:pPr>
        <w:tabs>
          <w:tab w:val="num" w:pos="5760"/>
        </w:tabs>
        <w:ind w:left="5760" w:hanging="360"/>
      </w:pPr>
    </w:lvl>
    <w:lvl w:ilvl="8" w:tplc="61A461A6">
      <w:start w:val="1"/>
      <w:numFmt w:val="decimal"/>
      <w:lvlText w:val="%9."/>
      <w:lvlJc w:val="left"/>
      <w:pPr>
        <w:tabs>
          <w:tab w:val="num" w:pos="6480"/>
        </w:tabs>
        <w:ind w:left="6480" w:hanging="360"/>
      </w:pPr>
    </w:lvl>
  </w:abstractNum>
  <w:abstractNum w:abstractNumId="17" w15:restartNumberingAfterBreak="0">
    <w:nsid w:val="1F59501A"/>
    <w:multiLevelType w:val="hybridMultilevel"/>
    <w:tmpl w:val="BD04CAD4"/>
    <w:lvl w:ilvl="0" w:tplc="BBA439A0">
      <w:start w:val="1"/>
      <w:numFmt w:val="bullet"/>
      <w:lvlText w:val=""/>
      <w:lvlJc w:val="left"/>
      <w:pPr>
        <w:tabs>
          <w:tab w:val="num" w:pos="567"/>
        </w:tabs>
        <w:ind w:left="567" w:hanging="567"/>
      </w:pPr>
      <w:rPr>
        <w:rFonts w:ascii="Symbol" w:hAnsi="Symbol" w:hint="default"/>
      </w:rPr>
    </w:lvl>
    <w:lvl w:ilvl="1" w:tplc="02CCAA18">
      <w:start w:val="1"/>
      <w:numFmt w:val="bullet"/>
      <w:lvlText w:val="o"/>
      <w:lvlJc w:val="left"/>
      <w:pPr>
        <w:tabs>
          <w:tab w:val="num" w:pos="1440"/>
        </w:tabs>
        <w:ind w:left="1440" w:hanging="360"/>
      </w:pPr>
      <w:rPr>
        <w:rFonts w:ascii="Courier New" w:hAnsi="Courier New" w:hint="default"/>
      </w:rPr>
    </w:lvl>
    <w:lvl w:ilvl="2" w:tplc="E328194C" w:tentative="1">
      <w:start w:val="1"/>
      <w:numFmt w:val="bullet"/>
      <w:lvlText w:val=""/>
      <w:lvlJc w:val="left"/>
      <w:pPr>
        <w:tabs>
          <w:tab w:val="num" w:pos="2160"/>
        </w:tabs>
        <w:ind w:left="2160" w:hanging="360"/>
      </w:pPr>
      <w:rPr>
        <w:rFonts w:ascii="Wingdings" w:hAnsi="Wingdings" w:hint="default"/>
      </w:rPr>
    </w:lvl>
    <w:lvl w:ilvl="3" w:tplc="F5BE33FE" w:tentative="1">
      <w:start w:val="1"/>
      <w:numFmt w:val="bullet"/>
      <w:lvlText w:val=""/>
      <w:lvlJc w:val="left"/>
      <w:pPr>
        <w:tabs>
          <w:tab w:val="num" w:pos="2880"/>
        </w:tabs>
        <w:ind w:left="2880" w:hanging="360"/>
      </w:pPr>
      <w:rPr>
        <w:rFonts w:ascii="Symbol" w:hAnsi="Symbol" w:hint="default"/>
      </w:rPr>
    </w:lvl>
    <w:lvl w:ilvl="4" w:tplc="123020C2" w:tentative="1">
      <w:start w:val="1"/>
      <w:numFmt w:val="bullet"/>
      <w:lvlText w:val="o"/>
      <w:lvlJc w:val="left"/>
      <w:pPr>
        <w:tabs>
          <w:tab w:val="num" w:pos="3600"/>
        </w:tabs>
        <w:ind w:left="3600" w:hanging="360"/>
      </w:pPr>
      <w:rPr>
        <w:rFonts w:ascii="Courier New" w:hAnsi="Courier New" w:hint="default"/>
      </w:rPr>
    </w:lvl>
    <w:lvl w:ilvl="5" w:tplc="0DB2E77E" w:tentative="1">
      <w:start w:val="1"/>
      <w:numFmt w:val="bullet"/>
      <w:lvlText w:val=""/>
      <w:lvlJc w:val="left"/>
      <w:pPr>
        <w:tabs>
          <w:tab w:val="num" w:pos="4320"/>
        </w:tabs>
        <w:ind w:left="4320" w:hanging="360"/>
      </w:pPr>
      <w:rPr>
        <w:rFonts w:ascii="Wingdings" w:hAnsi="Wingdings" w:hint="default"/>
      </w:rPr>
    </w:lvl>
    <w:lvl w:ilvl="6" w:tplc="4C2EF196" w:tentative="1">
      <w:start w:val="1"/>
      <w:numFmt w:val="bullet"/>
      <w:lvlText w:val=""/>
      <w:lvlJc w:val="left"/>
      <w:pPr>
        <w:tabs>
          <w:tab w:val="num" w:pos="5040"/>
        </w:tabs>
        <w:ind w:left="5040" w:hanging="360"/>
      </w:pPr>
      <w:rPr>
        <w:rFonts w:ascii="Symbol" w:hAnsi="Symbol" w:hint="default"/>
      </w:rPr>
    </w:lvl>
    <w:lvl w:ilvl="7" w:tplc="9F8C5396" w:tentative="1">
      <w:start w:val="1"/>
      <w:numFmt w:val="bullet"/>
      <w:lvlText w:val="o"/>
      <w:lvlJc w:val="left"/>
      <w:pPr>
        <w:tabs>
          <w:tab w:val="num" w:pos="5760"/>
        </w:tabs>
        <w:ind w:left="5760" w:hanging="360"/>
      </w:pPr>
      <w:rPr>
        <w:rFonts w:ascii="Courier New" w:hAnsi="Courier New" w:hint="default"/>
      </w:rPr>
    </w:lvl>
    <w:lvl w:ilvl="8" w:tplc="28C2FEE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052A4A"/>
    <w:multiLevelType w:val="hybridMultilevel"/>
    <w:tmpl w:val="035EA4F8"/>
    <w:lvl w:ilvl="0" w:tplc="4A3075BA">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0" w15:restartNumberingAfterBreak="0">
    <w:nsid w:val="23121ECD"/>
    <w:multiLevelType w:val="hybridMultilevel"/>
    <w:tmpl w:val="D512A0EA"/>
    <w:lvl w:ilvl="0" w:tplc="3AC879C0">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541609"/>
    <w:multiLevelType w:val="hybridMultilevel"/>
    <w:tmpl w:val="1E5AABE8"/>
    <w:lvl w:ilvl="0" w:tplc="D146EE56">
      <w:start w:val="1"/>
      <w:numFmt w:val="decimal"/>
      <w:lvlText w:val="%1."/>
      <w:lvlJc w:val="left"/>
      <w:pPr>
        <w:tabs>
          <w:tab w:val="num" w:pos="570"/>
        </w:tabs>
        <w:ind w:left="570" w:hanging="570"/>
      </w:pPr>
      <w:rPr>
        <w:rFonts w:hint="default"/>
      </w:rPr>
    </w:lvl>
    <w:lvl w:ilvl="1" w:tplc="086C832C" w:tentative="1">
      <w:start w:val="1"/>
      <w:numFmt w:val="lowerLetter"/>
      <w:lvlText w:val="%2."/>
      <w:lvlJc w:val="left"/>
      <w:pPr>
        <w:tabs>
          <w:tab w:val="num" w:pos="1080"/>
        </w:tabs>
        <w:ind w:left="1080" w:hanging="360"/>
      </w:pPr>
    </w:lvl>
    <w:lvl w:ilvl="2" w:tplc="8F6CBE1C" w:tentative="1">
      <w:start w:val="1"/>
      <w:numFmt w:val="lowerRoman"/>
      <w:lvlText w:val="%3."/>
      <w:lvlJc w:val="right"/>
      <w:pPr>
        <w:tabs>
          <w:tab w:val="num" w:pos="1800"/>
        </w:tabs>
        <w:ind w:left="1800" w:hanging="180"/>
      </w:pPr>
    </w:lvl>
    <w:lvl w:ilvl="3" w:tplc="D07230EE" w:tentative="1">
      <w:start w:val="1"/>
      <w:numFmt w:val="decimal"/>
      <w:lvlText w:val="%4."/>
      <w:lvlJc w:val="left"/>
      <w:pPr>
        <w:tabs>
          <w:tab w:val="num" w:pos="2520"/>
        </w:tabs>
        <w:ind w:left="2520" w:hanging="360"/>
      </w:pPr>
    </w:lvl>
    <w:lvl w:ilvl="4" w:tplc="86F86136" w:tentative="1">
      <w:start w:val="1"/>
      <w:numFmt w:val="lowerLetter"/>
      <w:lvlText w:val="%5."/>
      <w:lvlJc w:val="left"/>
      <w:pPr>
        <w:tabs>
          <w:tab w:val="num" w:pos="3240"/>
        </w:tabs>
        <w:ind w:left="3240" w:hanging="360"/>
      </w:pPr>
    </w:lvl>
    <w:lvl w:ilvl="5" w:tplc="B4104D20" w:tentative="1">
      <w:start w:val="1"/>
      <w:numFmt w:val="lowerRoman"/>
      <w:lvlText w:val="%6."/>
      <w:lvlJc w:val="right"/>
      <w:pPr>
        <w:tabs>
          <w:tab w:val="num" w:pos="3960"/>
        </w:tabs>
        <w:ind w:left="3960" w:hanging="180"/>
      </w:pPr>
    </w:lvl>
    <w:lvl w:ilvl="6" w:tplc="5D340DF2" w:tentative="1">
      <w:start w:val="1"/>
      <w:numFmt w:val="decimal"/>
      <w:lvlText w:val="%7."/>
      <w:lvlJc w:val="left"/>
      <w:pPr>
        <w:tabs>
          <w:tab w:val="num" w:pos="4680"/>
        </w:tabs>
        <w:ind w:left="4680" w:hanging="360"/>
      </w:pPr>
    </w:lvl>
    <w:lvl w:ilvl="7" w:tplc="82A805C6" w:tentative="1">
      <w:start w:val="1"/>
      <w:numFmt w:val="lowerLetter"/>
      <w:lvlText w:val="%8."/>
      <w:lvlJc w:val="left"/>
      <w:pPr>
        <w:tabs>
          <w:tab w:val="num" w:pos="5400"/>
        </w:tabs>
        <w:ind w:left="5400" w:hanging="360"/>
      </w:pPr>
    </w:lvl>
    <w:lvl w:ilvl="8" w:tplc="CCEE4D08" w:tentative="1">
      <w:start w:val="1"/>
      <w:numFmt w:val="lowerRoman"/>
      <w:lvlText w:val="%9."/>
      <w:lvlJc w:val="right"/>
      <w:pPr>
        <w:tabs>
          <w:tab w:val="num" w:pos="6120"/>
        </w:tabs>
        <w:ind w:left="6120" w:hanging="180"/>
      </w:pPr>
    </w:lvl>
  </w:abstractNum>
  <w:abstractNum w:abstractNumId="22" w15:restartNumberingAfterBreak="0">
    <w:nsid w:val="33381ACB"/>
    <w:multiLevelType w:val="multilevel"/>
    <w:tmpl w:val="06880832"/>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AA50EE8"/>
    <w:multiLevelType w:val="hybridMultilevel"/>
    <w:tmpl w:val="070CB09C"/>
    <w:lvl w:ilvl="0" w:tplc="F7F645EE">
      <w:start w:val="1"/>
      <w:numFmt w:val="bullet"/>
      <w:lvlText w:val=""/>
      <w:lvlJc w:val="left"/>
      <w:pPr>
        <w:tabs>
          <w:tab w:val="num" w:pos="567"/>
        </w:tabs>
        <w:ind w:left="567" w:hanging="567"/>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AE7679D"/>
    <w:multiLevelType w:val="singleLevel"/>
    <w:tmpl w:val="5CB059B6"/>
    <w:lvl w:ilvl="0">
      <w:start w:val="1"/>
      <w:numFmt w:val="decimal"/>
      <w:lvlText w:val="%1."/>
      <w:legacy w:legacy="1" w:legacySpace="0" w:legacyIndent="360"/>
      <w:lvlJc w:val="left"/>
      <w:pPr>
        <w:ind w:left="360" w:hanging="360"/>
      </w:pPr>
    </w:lvl>
  </w:abstractNum>
  <w:abstractNum w:abstractNumId="26" w15:restartNumberingAfterBreak="0">
    <w:nsid w:val="3B3B1886"/>
    <w:multiLevelType w:val="hybridMultilevel"/>
    <w:tmpl w:val="5576E17E"/>
    <w:lvl w:ilvl="0" w:tplc="9C42343E">
      <w:start w:val="1"/>
      <w:numFmt w:val="bullet"/>
      <w:lvlText w:val=""/>
      <w:lvlJc w:val="left"/>
      <w:pPr>
        <w:tabs>
          <w:tab w:val="num" w:pos="567"/>
        </w:tabs>
        <w:ind w:left="567" w:hanging="567"/>
      </w:pPr>
      <w:rPr>
        <w:rFonts w:ascii="Symbol" w:hAnsi="Symbol" w:hint="default"/>
      </w:rPr>
    </w:lvl>
    <w:lvl w:ilvl="1" w:tplc="ACF4A0C6">
      <w:start w:val="1"/>
      <w:numFmt w:val="bullet"/>
      <w:lvlText w:val=""/>
      <w:lvlJc w:val="left"/>
      <w:pPr>
        <w:tabs>
          <w:tab w:val="num" w:pos="1440"/>
        </w:tabs>
        <w:ind w:left="1440" w:hanging="360"/>
      </w:pPr>
      <w:rPr>
        <w:rFonts w:ascii="Symbol" w:hAnsi="Symbol" w:hint="default"/>
      </w:rPr>
    </w:lvl>
    <w:lvl w:ilvl="2" w:tplc="6A34A4BA" w:tentative="1">
      <w:start w:val="1"/>
      <w:numFmt w:val="bullet"/>
      <w:lvlText w:val=""/>
      <w:lvlJc w:val="left"/>
      <w:pPr>
        <w:tabs>
          <w:tab w:val="num" w:pos="2160"/>
        </w:tabs>
        <w:ind w:left="2160" w:hanging="360"/>
      </w:pPr>
      <w:rPr>
        <w:rFonts w:ascii="Wingdings" w:hAnsi="Wingdings" w:hint="default"/>
      </w:rPr>
    </w:lvl>
    <w:lvl w:ilvl="3" w:tplc="0DF8403A" w:tentative="1">
      <w:start w:val="1"/>
      <w:numFmt w:val="bullet"/>
      <w:lvlText w:val=""/>
      <w:lvlJc w:val="left"/>
      <w:pPr>
        <w:tabs>
          <w:tab w:val="num" w:pos="2880"/>
        </w:tabs>
        <w:ind w:left="2880" w:hanging="360"/>
      </w:pPr>
      <w:rPr>
        <w:rFonts w:ascii="Symbol" w:hAnsi="Symbol" w:hint="default"/>
      </w:rPr>
    </w:lvl>
    <w:lvl w:ilvl="4" w:tplc="76561E6C" w:tentative="1">
      <w:start w:val="1"/>
      <w:numFmt w:val="bullet"/>
      <w:lvlText w:val="o"/>
      <w:lvlJc w:val="left"/>
      <w:pPr>
        <w:tabs>
          <w:tab w:val="num" w:pos="3600"/>
        </w:tabs>
        <w:ind w:left="3600" w:hanging="360"/>
      </w:pPr>
      <w:rPr>
        <w:rFonts w:ascii="Courier New" w:hAnsi="Courier New" w:hint="default"/>
      </w:rPr>
    </w:lvl>
    <w:lvl w:ilvl="5" w:tplc="793A0E30" w:tentative="1">
      <w:start w:val="1"/>
      <w:numFmt w:val="bullet"/>
      <w:lvlText w:val=""/>
      <w:lvlJc w:val="left"/>
      <w:pPr>
        <w:tabs>
          <w:tab w:val="num" w:pos="4320"/>
        </w:tabs>
        <w:ind w:left="4320" w:hanging="360"/>
      </w:pPr>
      <w:rPr>
        <w:rFonts w:ascii="Wingdings" w:hAnsi="Wingdings" w:hint="default"/>
      </w:rPr>
    </w:lvl>
    <w:lvl w:ilvl="6" w:tplc="867486B4" w:tentative="1">
      <w:start w:val="1"/>
      <w:numFmt w:val="bullet"/>
      <w:lvlText w:val=""/>
      <w:lvlJc w:val="left"/>
      <w:pPr>
        <w:tabs>
          <w:tab w:val="num" w:pos="5040"/>
        </w:tabs>
        <w:ind w:left="5040" w:hanging="360"/>
      </w:pPr>
      <w:rPr>
        <w:rFonts w:ascii="Symbol" w:hAnsi="Symbol" w:hint="default"/>
      </w:rPr>
    </w:lvl>
    <w:lvl w:ilvl="7" w:tplc="11703F80" w:tentative="1">
      <w:start w:val="1"/>
      <w:numFmt w:val="bullet"/>
      <w:lvlText w:val="o"/>
      <w:lvlJc w:val="left"/>
      <w:pPr>
        <w:tabs>
          <w:tab w:val="num" w:pos="5760"/>
        </w:tabs>
        <w:ind w:left="5760" w:hanging="360"/>
      </w:pPr>
      <w:rPr>
        <w:rFonts w:ascii="Courier New" w:hAnsi="Courier New" w:hint="default"/>
      </w:rPr>
    </w:lvl>
    <w:lvl w:ilvl="8" w:tplc="7996CFF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1B7C8A"/>
    <w:multiLevelType w:val="hybridMultilevel"/>
    <w:tmpl w:val="5BA42128"/>
    <w:lvl w:ilvl="0" w:tplc="A5042602">
      <w:start w:val="1"/>
      <w:numFmt w:val="bullet"/>
      <w:lvlText w:val=""/>
      <w:lvlJc w:val="left"/>
      <w:pPr>
        <w:tabs>
          <w:tab w:val="num" w:pos="567"/>
        </w:tabs>
        <w:ind w:left="567" w:hanging="567"/>
      </w:pPr>
      <w:rPr>
        <w:rFonts w:ascii="Symbol" w:hAnsi="Symbol" w:hint="default"/>
      </w:rPr>
    </w:lvl>
    <w:lvl w:ilvl="1" w:tplc="A1A24832">
      <w:start w:val="1"/>
      <w:numFmt w:val="lowerLetter"/>
      <w:lvlText w:val="%2."/>
      <w:lvlJc w:val="left"/>
      <w:pPr>
        <w:tabs>
          <w:tab w:val="num" w:pos="1080"/>
        </w:tabs>
        <w:ind w:left="1080" w:hanging="360"/>
      </w:pPr>
    </w:lvl>
    <w:lvl w:ilvl="2" w:tplc="034015AA" w:tentative="1">
      <w:start w:val="1"/>
      <w:numFmt w:val="lowerRoman"/>
      <w:lvlText w:val="%3."/>
      <w:lvlJc w:val="right"/>
      <w:pPr>
        <w:tabs>
          <w:tab w:val="num" w:pos="1800"/>
        </w:tabs>
        <w:ind w:left="1800" w:hanging="180"/>
      </w:pPr>
    </w:lvl>
    <w:lvl w:ilvl="3" w:tplc="5D46E42C" w:tentative="1">
      <w:start w:val="1"/>
      <w:numFmt w:val="decimal"/>
      <w:lvlText w:val="%4."/>
      <w:lvlJc w:val="left"/>
      <w:pPr>
        <w:tabs>
          <w:tab w:val="num" w:pos="2520"/>
        </w:tabs>
        <w:ind w:left="2520" w:hanging="360"/>
      </w:pPr>
    </w:lvl>
    <w:lvl w:ilvl="4" w:tplc="2F9AA500" w:tentative="1">
      <w:start w:val="1"/>
      <w:numFmt w:val="lowerLetter"/>
      <w:lvlText w:val="%5."/>
      <w:lvlJc w:val="left"/>
      <w:pPr>
        <w:tabs>
          <w:tab w:val="num" w:pos="3240"/>
        </w:tabs>
        <w:ind w:left="3240" w:hanging="360"/>
      </w:pPr>
    </w:lvl>
    <w:lvl w:ilvl="5" w:tplc="873221CA" w:tentative="1">
      <w:start w:val="1"/>
      <w:numFmt w:val="lowerRoman"/>
      <w:lvlText w:val="%6."/>
      <w:lvlJc w:val="right"/>
      <w:pPr>
        <w:tabs>
          <w:tab w:val="num" w:pos="3960"/>
        </w:tabs>
        <w:ind w:left="3960" w:hanging="180"/>
      </w:pPr>
    </w:lvl>
    <w:lvl w:ilvl="6" w:tplc="A112BF9C" w:tentative="1">
      <w:start w:val="1"/>
      <w:numFmt w:val="decimal"/>
      <w:lvlText w:val="%7."/>
      <w:lvlJc w:val="left"/>
      <w:pPr>
        <w:tabs>
          <w:tab w:val="num" w:pos="4680"/>
        </w:tabs>
        <w:ind w:left="4680" w:hanging="360"/>
      </w:pPr>
    </w:lvl>
    <w:lvl w:ilvl="7" w:tplc="79C03792" w:tentative="1">
      <w:start w:val="1"/>
      <w:numFmt w:val="lowerLetter"/>
      <w:lvlText w:val="%8."/>
      <w:lvlJc w:val="left"/>
      <w:pPr>
        <w:tabs>
          <w:tab w:val="num" w:pos="5400"/>
        </w:tabs>
        <w:ind w:left="5400" w:hanging="360"/>
      </w:pPr>
    </w:lvl>
    <w:lvl w:ilvl="8" w:tplc="54B4F8FA" w:tentative="1">
      <w:start w:val="1"/>
      <w:numFmt w:val="lowerRoman"/>
      <w:lvlText w:val="%9."/>
      <w:lvlJc w:val="right"/>
      <w:pPr>
        <w:tabs>
          <w:tab w:val="num" w:pos="6120"/>
        </w:tabs>
        <w:ind w:left="6120" w:hanging="180"/>
      </w:pPr>
    </w:lvl>
  </w:abstractNum>
  <w:abstractNum w:abstractNumId="28" w15:restartNumberingAfterBreak="0">
    <w:nsid w:val="4ABA025F"/>
    <w:multiLevelType w:val="hybridMultilevel"/>
    <w:tmpl w:val="7B84DC48"/>
    <w:lvl w:ilvl="0" w:tplc="B3368C98">
      <w:start w:val="1"/>
      <w:numFmt w:val="bullet"/>
      <w:lvlText w:val=""/>
      <w:lvlJc w:val="left"/>
      <w:pPr>
        <w:tabs>
          <w:tab w:val="num" w:pos="567"/>
        </w:tabs>
        <w:ind w:left="567" w:hanging="567"/>
      </w:pPr>
      <w:rPr>
        <w:rFonts w:ascii="Symbol" w:hAnsi="Symbol" w:hint="default"/>
      </w:rPr>
    </w:lvl>
    <w:lvl w:ilvl="1" w:tplc="1C4E3BAC" w:tentative="1">
      <w:start w:val="1"/>
      <w:numFmt w:val="bullet"/>
      <w:lvlText w:val="o"/>
      <w:lvlJc w:val="left"/>
      <w:pPr>
        <w:tabs>
          <w:tab w:val="num" w:pos="1440"/>
        </w:tabs>
        <w:ind w:left="1440" w:hanging="360"/>
      </w:pPr>
      <w:rPr>
        <w:rFonts w:ascii="Courier New" w:hAnsi="Courier New" w:hint="default"/>
      </w:rPr>
    </w:lvl>
    <w:lvl w:ilvl="2" w:tplc="88767F98" w:tentative="1">
      <w:start w:val="1"/>
      <w:numFmt w:val="bullet"/>
      <w:lvlText w:val=""/>
      <w:lvlJc w:val="left"/>
      <w:pPr>
        <w:tabs>
          <w:tab w:val="num" w:pos="2160"/>
        </w:tabs>
        <w:ind w:left="2160" w:hanging="360"/>
      </w:pPr>
      <w:rPr>
        <w:rFonts w:ascii="Wingdings" w:hAnsi="Wingdings" w:hint="default"/>
      </w:rPr>
    </w:lvl>
    <w:lvl w:ilvl="3" w:tplc="859AF218" w:tentative="1">
      <w:start w:val="1"/>
      <w:numFmt w:val="bullet"/>
      <w:lvlText w:val=""/>
      <w:lvlJc w:val="left"/>
      <w:pPr>
        <w:tabs>
          <w:tab w:val="num" w:pos="2880"/>
        </w:tabs>
        <w:ind w:left="2880" w:hanging="360"/>
      </w:pPr>
      <w:rPr>
        <w:rFonts w:ascii="Symbol" w:hAnsi="Symbol" w:hint="default"/>
      </w:rPr>
    </w:lvl>
    <w:lvl w:ilvl="4" w:tplc="3D4270A0" w:tentative="1">
      <w:start w:val="1"/>
      <w:numFmt w:val="bullet"/>
      <w:lvlText w:val="o"/>
      <w:lvlJc w:val="left"/>
      <w:pPr>
        <w:tabs>
          <w:tab w:val="num" w:pos="3600"/>
        </w:tabs>
        <w:ind w:left="3600" w:hanging="360"/>
      </w:pPr>
      <w:rPr>
        <w:rFonts w:ascii="Courier New" w:hAnsi="Courier New" w:hint="default"/>
      </w:rPr>
    </w:lvl>
    <w:lvl w:ilvl="5" w:tplc="37C60A5A" w:tentative="1">
      <w:start w:val="1"/>
      <w:numFmt w:val="bullet"/>
      <w:lvlText w:val=""/>
      <w:lvlJc w:val="left"/>
      <w:pPr>
        <w:tabs>
          <w:tab w:val="num" w:pos="4320"/>
        </w:tabs>
        <w:ind w:left="4320" w:hanging="360"/>
      </w:pPr>
      <w:rPr>
        <w:rFonts w:ascii="Wingdings" w:hAnsi="Wingdings" w:hint="default"/>
      </w:rPr>
    </w:lvl>
    <w:lvl w:ilvl="6" w:tplc="6546B0BA" w:tentative="1">
      <w:start w:val="1"/>
      <w:numFmt w:val="bullet"/>
      <w:lvlText w:val=""/>
      <w:lvlJc w:val="left"/>
      <w:pPr>
        <w:tabs>
          <w:tab w:val="num" w:pos="5040"/>
        </w:tabs>
        <w:ind w:left="5040" w:hanging="360"/>
      </w:pPr>
      <w:rPr>
        <w:rFonts w:ascii="Symbol" w:hAnsi="Symbol" w:hint="default"/>
      </w:rPr>
    </w:lvl>
    <w:lvl w:ilvl="7" w:tplc="8438E56A" w:tentative="1">
      <w:start w:val="1"/>
      <w:numFmt w:val="bullet"/>
      <w:lvlText w:val="o"/>
      <w:lvlJc w:val="left"/>
      <w:pPr>
        <w:tabs>
          <w:tab w:val="num" w:pos="5760"/>
        </w:tabs>
        <w:ind w:left="5760" w:hanging="360"/>
      </w:pPr>
      <w:rPr>
        <w:rFonts w:ascii="Courier New" w:hAnsi="Courier New" w:hint="default"/>
      </w:rPr>
    </w:lvl>
    <w:lvl w:ilvl="8" w:tplc="C5106AB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6078B2"/>
    <w:multiLevelType w:val="hybridMultilevel"/>
    <w:tmpl w:val="0F021BA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DA7345"/>
    <w:multiLevelType w:val="hybridMultilevel"/>
    <w:tmpl w:val="5C1AEEFE"/>
    <w:lvl w:ilvl="0" w:tplc="ABDA39E2">
      <w:numFmt w:val="bullet"/>
      <w:lvlText w:val="-"/>
      <w:lvlJc w:val="left"/>
      <w:pPr>
        <w:tabs>
          <w:tab w:val="num" w:pos="720"/>
        </w:tabs>
        <w:ind w:left="720" w:hanging="360"/>
      </w:pPr>
      <w:rPr>
        <w:rFonts w:ascii="Times New Roman" w:eastAsia="Times New Roman" w:hAnsi="Times New Roman" w:cs="Times New Roman" w:hint="default"/>
      </w:rPr>
    </w:lvl>
    <w:lvl w:ilvl="1" w:tplc="4A3075B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B31505"/>
    <w:multiLevelType w:val="hybridMultilevel"/>
    <w:tmpl w:val="26641D2E"/>
    <w:lvl w:ilvl="0" w:tplc="3B3AA2A4">
      <w:start w:val="1"/>
      <w:numFmt w:val="decimal"/>
      <w:pStyle w:val="Referencenumbered"/>
      <w:lvlText w:val="%1."/>
      <w:lvlJc w:val="left"/>
      <w:pPr>
        <w:tabs>
          <w:tab w:val="num" w:pos="1210"/>
        </w:tabs>
        <w:ind w:left="1210" w:hanging="360"/>
      </w:pPr>
      <w:rPr>
        <w:rFonts w:hint="default"/>
      </w:rPr>
    </w:lvl>
    <w:lvl w:ilvl="1" w:tplc="F62A462A" w:tentative="1">
      <w:start w:val="1"/>
      <w:numFmt w:val="lowerLetter"/>
      <w:lvlText w:val="%2."/>
      <w:lvlJc w:val="left"/>
      <w:pPr>
        <w:tabs>
          <w:tab w:val="num" w:pos="1440"/>
        </w:tabs>
        <w:ind w:left="1440" w:hanging="360"/>
      </w:pPr>
    </w:lvl>
    <w:lvl w:ilvl="2" w:tplc="3B6E666E" w:tentative="1">
      <w:start w:val="1"/>
      <w:numFmt w:val="lowerRoman"/>
      <w:lvlText w:val="%3."/>
      <w:lvlJc w:val="right"/>
      <w:pPr>
        <w:tabs>
          <w:tab w:val="num" w:pos="2160"/>
        </w:tabs>
        <w:ind w:left="2160" w:hanging="180"/>
      </w:pPr>
    </w:lvl>
    <w:lvl w:ilvl="3" w:tplc="E92CF58A" w:tentative="1">
      <w:start w:val="1"/>
      <w:numFmt w:val="decimal"/>
      <w:lvlText w:val="%4."/>
      <w:lvlJc w:val="left"/>
      <w:pPr>
        <w:tabs>
          <w:tab w:val="num" w:pos="2880"/>
        </w:tabs>
        <w:ind w:left="2880" w:hanging="360"/>
      </w:pPr>
    </w:lvl>
    <w:lvl w:ilvl="4" w:tplc="6AC8EF30" w:tentative="1">
      <w:start w:val="1"/>
      <w:numFmt w:val="lowerLetter"/>
      <w:lvlText w:val="%5."/>
      <w:lvlJc w:val="left"/>
      <w:pPr>
        <w:tabs>
          <w:tab w:val="num" w:pos="3600"/>
        </w:tabs>
        <w:ind w:left="3600" w:hanging="360"/>
      </w:pPr>
    </w:lvl>
    <w:lvl w:ilvl="5" w:tplc="8AB0FBA4" w:tentative="1">
      <w:start w:val="1"/>
      <w:numFmt w:val="lowerRoman"/>
      <w:lvlText w:val="%6."/>
      <w:lvlJc w:val="right"/>
      <w:pPr>
        <w:tabs>
          <w:tab w:val="num" w:pos="4320"/>
        </w:tabs>
        <w:ind w:left="4320" w:hanging="180"/>
      </w:pPr>
    </w:lvl>
    <w:lvl w:ilvl="6" w:tplc="572C8B96" w:tentative="1">
      <w:start w:val="1"/>
      <w:numFmt w:val="decimal"/>
      <w:lvlText w:val="%7."/>
      <w:lvlJc w:val="left"/>
      <w:pPr>
        <w:tabs>
          <w:tab w:val="num" w:pos="5040"/>
        </w:tabs>
        <w:ind w:left="5040" w:hanging="360"/>
      </w:pPr>
    </w:lvl>
    <w:lvl w:ilvl="7" w:tplc="59B4DE42" w:tentative="1">
      <w:start w:val="1"/>
      <w:numFmt w:val="lowerLetter"/>
      <w:lvlText w:val="%8."/>
      <w:lvlJc w:val="left"/>
      <w:pPr>
        <w:tabs>
          <w:tab w:val="num" w:pos="5760"/>
        </w:tabs>
        <w:ind w:left="5760" w:hanging="360"/>
      </w:pPr>
    </w:lvl>
    <w:lvl w:ilvl="8" w:tplc="3B1CF6A4" w:tentative="1">
      <w:start w:val="1"/>
      <w:numFmt w:val="lowerRoman"/>
      <w:lvlText w:val="%9."/>
      <w:lvlJc w:val="right"/>
      <w:pPr>
        <w:tabs>
          <w:tab w:val="num" w:pos="6480"/>
        </w:tabs>
        <w:ind w:left="6480" w:hanging="180"/>
      </w:pPr>
    </w:lvl>
  </w:abstractNum>
  <w:abstractNum w:abstractNumId="32" w15:restartNumberingAfterBreak="0">
    <w:nsid w:val="545450A8"/>
    <w:multiLevelType w:val="hybridMultilevel"/>
    <w:tmpl w:val="1D7C8D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57C4A08"/>
    <w:multiLevelType w:val="hybridMultilevel"/>
    <w:tmpl w:val="1C0C76D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57F40544"/>
    <w:multiLevelType w:val="hybridMultilevel"/>
    <w:tmpl w:val="45542A8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8B56C73"/>
    <w:multiLevelType w:val="hybridMultilevel"/>
    <w:tmpl w:val="5BA42128"/>
    <w:lvl w:ilvl="0" w:tplc="47CCAABE">
      <w:start w:val="2"/>
      <w:numFmt w:val="decimal"/>
      <w:lvlText w:val="%1."/>
      <w:lvlJc w:val="left"/>
      <w:pPr>
        <w:tabs>
          <w:tab w:val="num" w:pos="570"/>
        </w:tabs>
        <w:ind w:left="570" w:hanging="570"/>
      </w:pPr>
      <w:rPr>
        <w:rFonts w:hint="default"/>
      </w:rPr>
    </w:lvl>
    <w:lvl w:ilvl="1" w:tplc="B4465CE8">
      <w:start w:val="1"/>
      <w:numFmt w:val="lowerLetter"/>
      <w:lvlText w:val="%2."/>
      <w:lvlJc w:val="left"/>
      <w:pPr>
        <w:tabs>
          <w:tab w:val="num" w:pos="1080"/>
        </w:tabs>
        <w:ind w:left="1080" w:hanging="360"/>
      </w:pPr>
    </w:lvl>
    <w:lvl w:ilvl="2" w:tplc="C614663C" w:tentative="1">
      <w:start w:val="1"/>
      <w:numFmt w:val="lowerRoman"/>
      <w:lvlText w:val="%3."/>
      <w:lvlJc w:val="right"/>
      <w:pPr>
        <w:tabs>
          <w:tab w:val="num" w:pos="1800"/>
        </w:tabs>
        <w:ind w:left="1800" w:hanging="180"/>
      </w:pPr>
    </w:lvl>
    <w:lvl w:ilvl="3" w:tplc="A3163656" w:tentative="1">
      <w:start w:val="1"/>
      <w:numFmt w:val="decimal"/>
      <w:lvlText w:val="%4."/>
      <w:lvlJc w:val="left"/>
      <w:pPr>
        <w:tabs>
          <w:tab w:val="num" w:pos="2520"/>
        </w:tabs>
        <w:ind w:left="2520" w:hanging="360"/>
      </w:pPr>
    </w:lvl>
    <w:lvl w:ilvl="4" w:tplc="0708FEB0" w:tentative="1">
      <w:start w:val="1"/>
      <w:numFmt w:val="lowerLetter"/>
      <w:lvlText w:val="%5."/>
      <w:lvlJc w:val="left"/>
      <w:pPr>
        <w:tabs>
          <w:tab w:val="num" w:pos="3240"/>
        </w:tabs>
        <w:ind w:left="3240" w:hanging="360"/>
      </w:pPr>
    </w:lvl>
    <w:lvl w:ilvl="5" w:tplc="566CEA3A" w:tentative="1">
      <w:start w:val="1"/>
      <w:numFmt w:val="lowerRoman"/>
      <w:lvlText w:val="%6."/>
      <w:lvlJc w:val="right"/>
      <w:pPr>
        <w:tabs>
          <w:tab w:val="num" w:pos="3960"/>
        </w:tabs>
        <w:ind w:left="3960" w:hanging="180"/>
      </w:pPr>
    </w:lvl>
    <w:lvl w:ilvl="6" w:tplc="56A6785A" w:tentative="1">
      <w:start w:val="1"/>
      <w:numFmt w:val="decimal"/>
      <w:lvlText w:val="%7."/>
      <w:lvlJc w:val="left"/>
      <w:pPr>
        <w:tabs>
          <w:tab w:val="num" w:pos="4680"/>
        </w:tabs>
        <w:ind w:left="4680" w:hanging="360"/>
      </w:pPr>
    </w:lvl>
    <w:lvl w:ilvl="7" w:tplc="9BEAE190" w:tentative="1">
      <w:start w:val="1"/>
      <w:numFmt w:val="lowerLetter"/>
      <w:lvlText w:val="%8."/>
      <w:lvlJc w:val="left"/>
      <w:pPr>
        <w:tabs>
          <w:tab w:val="num" w:pos="5400"/>
        </w:tabs>
        <w:ind w:left="5400" w:hanging="360"/>
      </w:pPr>
    </w:lvl>
    <w:lvl w:ilvl="8" w:tplc="D682DC52" w:tentative="1">
      <w:start w:val="1"/>
      <w:numFmt w:val="lowerRoman"/>
      <w:lvlText w:val="%9."/>
      <w:lvlJc w:val="right"/>
      <w:pPr>
        <w:tabs>
          <w:tab w:val="num" w:pos="6120"/>
        </w:tabs>
        <w:ind w:left="6120" w:hanging="180"/>
      </w:pPr>
    </w:lvl>
  </w:abstractNum>
  <w:abstractNum w:abstractNumId="36" w15:restartNumberingAfterBreak="0">
    <w:nsid w:val="5F3543FE"/>
    <w:multiLevelType w:val="hybridMultilevel"/>
    <w:tmpl w:val="0AD61010"/>
    <w:lvl w:ilvl="0" w:tplc="D1008C62">
      <w:start w:val="1"/>
      <w:numFmt w:val="bullet"/>
      <w:lvlText w:val=""/>
      <w:lvlJc w:val="left"/>
      <w:pPr>
        <w:tabs>
          <w:tab w:val="num" w:pos="567"/>
        </w:tabs>
        <w:ind w:left="567" w:hanging="567"/>
      </w:pPr>
      <w:rPr>
        <w:rFonts w:ascii="Symbol" w:hAnsi="Symbol" w:hint="default"/>
      </w:rPr>
    </w:lvl>
    <w:lvl w:ilvl="1" w:tplc="F326B434">
      <w:start w:val="1"/>
      <w:numFmt w:val="bullet"/>
      <w:lvlText w:val="o"/>
      <w:lvlJc w:val="left"/>
      <w:pPr>
        <w:tabs>
          <w:tab w:val="num" w:pos="600"/>
        </w:tabs>
        <w:ind w:left="600" w:hanging="360"/>
      </w:pPr>
      <w:rPr>
        <w:rFonts w:ascii="Courier New" w:hAnsi="Courier New" w:hint="default"/>
      </w:rPr>
    </w:lvl>
    <w:lvl w:ilvl="2" w:tplc="BE5A129E" w:tentative="1">
      <w:start w:val="1"/>
      <w:numFmt w:val="bullet"/>
      <w:lvlText w:val=""/>
      <w:lvlJc w:val="left"/>
      <w:pPr>
        <w:tabs>
          <w:tab w:val="num" w:pos="1320"/>
        </w:tabs>
        <w:ind w:left="1320" w:hanging="360"/>
      </w:pPr>
      <w:rPr>
        <w:rFonts w:ascii="Wingdings" w:hAnsi="Wingdings" w:hint="default"/>
      </w:rPr>
    </w:lvl>
    <w:lvl w:ilvl="3" w:tplc="9FF63CD8" w:tentative="1">
      <w:start w:val="1"/>
      <w:numFmt w:val="bullet"/>
      <w:lvlText w:val=""/>
      <w:lvlJc w:val="left"/>
      <w:pPr>
        <w:tabs>
          <w:tab w:val="num" w:pos="2040"/>
        </w:tabs>
        <w:ind w:left="2040" w:hanging="360"/>
      </w:pPr>
      <w:rPr>
        <w:rFonts w:ascii="Symbol" w:hAnsi="Symbol" w:hint="default"/>
      </w:rPr>
    </w:lvl>
    <w:lvl w:ilvl="4" w:tplc="A23EAC8A" w:tentative="1">
      <w:start w:val="1"/>
      <w:numFmt w:val="bullet"/>
      <w:lvlText w:val="o"/>
      <w:lvlJc w:val="left"/>
      <w:pPr>
        <w:tabs>
          <w:tab w:val="num" w:pos="2760"/>
        </w:tabs>
        <w:ind w:left="2760" w:hanging="360"/>
      </w:pPr>
      <w:rPr>
        <w:rFonts w:ascii="Courier New" w:hAnsi="Courier New" w:hint="default"/>
      </w:rPr>
    </w:lvl>
    <w:lvl w:ilvl="5" w:tplc="D768334C" w:tentative="1">
      <w:start w:val="1"/>
      <w:numFmt w:val="bullet"/>
      <w:lvlText w:val=""/>
      <w:lvlJc w:val="left"/>
      <w:pPr>
        <w:tabs>
          <w:tab w:val="num" w:pos="3480"/>
        </w:tabs>
        <w:ind w:left="3480" w:hanging="360"/>
      </w:pPr>
      <w:rPr>
        <w:rFonts w:ascii="Wingdings" w:hAnsi="Wingdings" w:hint="default"/>
      </w:rPr>
    </w:lvl>
    <w:lvl w:ilvl="6" w:tplc="5EF2F684" w:tentative="1">
      <w:start w:val="1"/>
      <w:numFmt w:val="bullet"/>
      <w:lvlText w:val=""/>
      <w:lvlJc w:val="left"/>
      <w:pPr>
        <w:tabs>
          <w:tab w:val="num" w:pos="4200"/>
        </w:tabs>
        <w:ind w:left="4200" w:hanging="360"/>
      </w:pPr>
      <w:rPr>
        <w:rFonts w:ascii="Symbol" w:hAnsi="Symbol" w:hint="default"/>
      </w:rPr>
    </w:lvl>
    <w:lvl w:ilvl="7" w:tplc="C68C9B64" w:tentative="1">
      <w:start w:val="1"/>
      <w:numFmt w:val="bullet"/>
      <w:lvlText w:val="o"/>
      <w:lvlJc w:val="left"/>
      <w:pPr>
        <w:tabs>
          <w:tab w:val="num" w:pos="4920"/>
        </w:tabs>
        <w:ind w:left="4920" w:hanging="360"/>
      </w:pPr>
      <w:rPr>
        <w:rFonts w:ascii="Courier New" w:hAnsi="Courier New" w:hint="default"/>
      </w:rPr>
    </w:lvl>
    <w:lvl w:ilvl="8" w:tplc="F62C9086" w:tentative="1">
      <w:start w:val="1"/>
      <w:numFmt w:val="bullet"/>
      <w:lvlText w:val=""/>
      <w:lvlJc w:val="left"/>
      <w:pPr>
        <w:tabs>
          <w:tab w:val="num" w:pos="5640"/>
        </w:tabs>
        <w:ind w:left="5640" w:hanging="360"/>
      </w:pPr>
      <w:rPr>
        <w:rFonts w:ascii="Wingdings" w:hAnsi="Wingdings" w:hint="default"/>
      </w:rPr>
    </w:lvl>
  </w:abstractNum>
  <w:abstractNum w:abstractNumId="37" w15:restartNumberingAfterBreak="0">
    <w:nsid w:val="5FBB6047"/>
    <w:multiLevelType w:val="hybridMultilevel"/>
    <w:tmpl w:val="BC243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D118E1"/>
    <w:multiLevelType w:val="hybridMultilevel"/>
    <w:tmpl w:val="F4340EA2"/>
    <w:lvl w:ilvl="0" w:tplc="0910E622">
      <w:start w:val="1"/>
      <w:numFmt w:val="bullet"/>
      <w:lvlText w:val=""/>
      <w:lvlJc w:val="left"/>
      <w:pPr>
        <w:tabs>
          <w:tab w:val="num" w:pos="567"/>
        </w:tabs>
        <w:ind w:left="567" w:hanging="567"/>
      </w:pPr>
      <w:rPr>
        <w:rFonts w:ascii="Symbol" w:hAnsi="Symbol" w:hint="default"/>
      </w:rPr>
    </w:lvl>
    <w:lvl w:ilvl="1" w:tplc="2BDE656E">
      <w:numFmt w:val="bullet"/>
      <w:lvlText w:val=""/>
      <w:lvlJc w:val="left"/>
      <w:pPr>
        <w:tabs>
          <w:tab w:val="num" w:pos="1440"/>
        </w:tabs>
        <w:ind w:left="1080" w:firstLine="0"/>
      </w:pPr>
      <w:rPr>
        <w:rFonts w:ascii="Symbol" w:hAnsi="Symbol" w:hint="default"/>
        <w:sz w:val="24"/>
      </w:rPr>
    </w:lvl>
    <w:lvl w:ilvl="2" w:tplc="8326C5D0" w:tentative="1">
      <w:start w:val="1"/>
      <w:numFmt w:val="bullet"/>
      <w:lvlText w:val=""/>
      <w:lvlJc w:val="left"/>
      <w:pPr>
        <w:tabs>
          <w:tab w:val="num" w:pos="2160"/>
        </w:tabs>
        <w:ind w:left="2160" w:hanging="360"/>
      </w:pPr>
      <w:rPr>
        <w:rFonts w:ascii="Wingdings" w:hAnsi="Wingdings" w:hint="default"/>
      </w:rPr>
    </w:lvl>
    <w:lvl w:ilvl="3" w:tplc="7760203A" w:tentative="1">
      <w:start w:val="1"/>
      <w:numFmt w:val="bullet"/>
      <w:lvlText w:val=""/>
      <w:lvlJc w:val="left"/>
      <w:pPr>
        <w:tabs>
          <w:tab w:val="num" w:pos="2880"/>
        </w:tabs>
        <w:ind w:left="2880" w:hanging="360"/>
      </w:pPr>
      <w:rPr>
        <w:rFonts w:ascii="Symbol" w:hAnsi="Symbol" w:hint="default"/>
      </w:rPr>
    </w:lvl>
    <w:lvl w:ilvl="4" w:tplc="B09A975E" w:tentative="1">
      <w:start w:val="1"/>
      <w:numFmt w:val="bullet"/>
      <w:lvlText w:val="o"/>
      <w:lvlJc w:val="left"/>
      <w:pPr>
        <w:tabs>
          <w:tab w:val="num" w:pos="3600"/>
        </w:tabs>
        <w:ind w:left="3600" w:hanging="360"/>
      </w:pPr>
      <w:rPr>
        <w:rFonts w:ascii="Courier New" w:hAnsi="Courier New" w:hint="default"/>
      </w:rPr>
    </w:lvl>
    <w:lvl w:ilvl="5" w:tplc="955C7694" w:tentative="1">
      <w:start w:val="1"/>
      <w:numFmt w:val="bullet"/>
      <w:lvlText w:val=""/>
      <w:lvlJc w:val="left"/>
      <w:pPr>
        <w:tabs>
          <w:tab w:val="num" w:pos="4320"/>
        </w:tabs>
        <w:ind w:left="4320" w:hanging="360"/>
      </w:pPr>
      <w:rPr>
        <w:rFonts w:ascii="Wingdings" w:hAnsi="Wingdings" w:hint="default"/>
      </w:rPr>
    </w:lvl>
    <w:lvl w:ilvl="6" w:tplc="981633AC" w:tentative="1">
      <w:start w:val="1"/>
      <w:numFmt w:val="bullet"/>
      <w:lvlText w:val=""/>
      <w:lvlJc w:val="left"/>
      <w:pPr>
        <w:tabs>
          <w:tab w:val="num" w:pos="5040"/>
        </w:tabs>
        <w:ind w:left="5040" w:hanging="360"/>
      </w:pPr>
      <w:rPr>
        <w:rFonts w:ascii="Symbol" w:hAnsi="Symbol" w:hint="default"/>
      </w:rPr>
    </w:lvl>
    <w:lvl w:ilvl="7" w:tplc="DD3A88F2" w:tentative="1">
      <w:start w:val="1"/>
      <w:numFmt w:val="bullet"/>
      <w:lvlText w:val="o"/>
      <w:lvlJc w:val="left"/>
      <w:pPr>
        <w:tabs>
          <w:tab w:val="num" w:pos="5760"/>
        </w:tabs>
        <w:ind w:left="5760" w:hanging="360"/>
      </w:pPr>
      <w:rPr>
        <w:rFonts w:ascii="Courier New" w:hAnsi="Courier New" w:hint="default"/>
      </w:rPr>
    </w:lvl>
    <w:lvl w:ilvl="8" w:tplc="157696E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1803F6D"/>
    <w:multiLevelType w:val="multilevel"/>
    <w:tmpl w:val="BC243F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51478C"/>
    <w:multiLevelType w:val="hybridMultilevel"/>
    <w:tmpl w:val="F036FF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5E37EC3"/>
    <w:multiLevelType w:val="hybridMultilevel"/>
    <w:tmpl w:val="BE2E68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15:restartNumberingAfterBreak="0">
    <w:nsid w:val="69C57058"/>
    <w:multiLevelType w:val="hybridMultilevel"/>
    <w:tmpl w:val="FC807DA2"/>
    <w:lvl w:ilvl="0" w:tplc="F7F645E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854"/>
        </w:tabs>
        <w:ind w:left="854"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FDF16A9"/>
    <w:multiLevelType w:val="multilevel"/>
    <w:tmpl w:val="4AEEEB88"/>
    <w:lvl w:ilvl="0">
      <w:start w:val="1"/>
      <w:numFmt w:val="bullet"/>
      <w:lvlText w:val=""/>
      <w:lvlJc w:val="left"/>
      <w:pPr>
        <w:tabs>
          <w:tab w:val="num" w:pos="567"/>
        </w:tabs>
        <w:ind w:left="567" w:hanging="20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AB4E93"/>
    <w:multiLevelType w:val="hybridMultilevel"/>
    <w:tmpl w:val="4AEEEB88"/>
    <w:lvl w:ilvl="0" w:tplc="0616C422">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44"/>
  </w:num>
  <w:num w:numId="3">
    <w:abstractNumId w:val="23"/>
  </w:num>
  <w:num w:numId="4">
    <w:abstractNumId w:val="35"/>
  </w:num>
  <w:num w:numId="5">
    <w:abstractNumId w:val="21"/>
  </w:num>
  <w:num w:numId="6">
    <w:abstractNumId w:val="19"/>
  </w:num>
  <w:num w:numId="7">
    <w:abstractNumId w:val="3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36"/>
  </w:num>
  <w:num w:numId="11">
    <w:abstractNumId w:val="17"/>
  </w:num>
  <w:num w:numId="12">
    <w:abstractNumId w:val="27"/>
  </w:num>
  <w:num w:numId="13">
    <w:abstractNumId w:val="1"/>
  </w:num>
  <w:num w:numId="14">
    <w:abstractNumId w:val="28"/>
  </w:num>
  <w:num w:numId="15">
    <w:abstractNumId w:val="12"/>
  </w:num>
  <w:num w:numId="16">
    <w:abstractNumId w:val="11"/>
  </w:num>
  <w:num w:numId="17">
    <w:abstractNumId w:val="26"/>
  </w:num>
  <w:num w:numId="18">
    <w:abstractNumId w:val="3"/>
  </w:num>
  <w:num w:numId="19">
    <w:abstractNumId w:val="5"/>
  </w:num>
  <w:num w:numId="20">
    <w:abstractNumId w:val="38"/>
  </w:num>
  <w:num w:numId="21">
    <w:abstractNumId w:val="15"/>
  </w:num>
  <w:num w:numId="22">
    <w:abstractNumId w:val="4"/>
  </w:num>
  <w:num w:numId="23">
    <w:abstractNumId w:val="20"/>
  </w:num>
  <w:num w:numId="24">
    <w:abstractNumId w:val="10"/>
  </w:num>
  <w:num w:numId="25">
    <w:abstractNumId w:val="24"/>
  </w:num>
  <w:num w:numId="26">
    <w:abstractNumId w:val="43"/>
  </w:num>
  <w:num w:numId="27">
    <w:abstractNumId w:val="14"/>
  </w:num>
  <w:num w:numId="28">
    <w:abstractNumId w:val="2"/>
  </w:num>
  <w:num w:numId="29">
    <w:abstractNumId w:val="6"/>
  </w:num>
  <w:num w:numId="30">
    <w:abstractNumId w:val="37"/>
  </w:num>
  <w:num w:numId="31">
    <w:abstractNumId w:val="8"/>
  </w:num>
  <w:num w:numId="32">
    <w:abstractNumId w:val="39"/>
  </w:num>
  <w:num w:numId="33">
    <w:abstractNumId w:val="46"/>
  </w:num>
  <w:num w:numId="34">
    <w:abstractNumId w:val="45"/>
  </w:num>
  <w:num w:numId="35">
    <w:abstractNumId w:val="9"/>
  </w:num>
  <w:num w:numId="36">
    <w:abstractNumId w:val="0"/>
    <w:lvlOverride w:ilvl="0">
      <w:lvl w:ilvl="0">
        <w:numFmt w:val="bullet"/>
        <w:lvlText w:val="-"/>
        <w:legacy w:legacy="1" w:legacySpace="0" w:legacyIndent="570"/>
        <w:lvlJc w:val="left"/>
        <w:pPr>
          <w:ind w:left="570" w:hanging="570"/>
        </w:pPr>
      </w:lvl>
    </w:lvlOverride>
  </w:num>
  <w:num w:numId="37">
    <w:abstractNumId w:val="25"/>
  </w:num>
  <w:num w:numId="38">
    <w:abstractNumId w:val="7"/>
  </w:num>
  <w:num w:numId="39">
    <w:abstractNumId w:val="40"/>
  </w:num>
  <w:num w:numId="40">
    <w:abstractNumId w:val="41"/>
  </w:num>
  <w:num w:numId="41">
    <w:abstractNumId w:val="18"/>
  </w:num>
  <w:num w:numId="42">
    <w:abstractNumId w:val="30"/>
  </w:num>
  <w:num w:numId="43">
    <w:abstractNumId w:val="13"/>
  </w:num>
  <w:num w:numId="44">
    <w:abstractNumId w:val="33"/>
  </w:num>
  <w:num w:numId="4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proofState w:grammar="clean"/>
  <w:defaultTabStop w:val="562"/>
  <w:hyphenationZone w:val="425"/>
  <w:doNotHyphenateCap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114491"/>
    <w:rsid w:val="000035B4"/>
    <w:rsid w:val="000039E9"/>
    <w:rsid w:val="00006DB7"/>
    <w:rsid w:val="00013551"/>
    <w:rsid w:val="00017A74"/>
    <w:rsid w:val="00020C40"/>
    <w:rsid w:val="00020D16"/>
    <w:rsid w:val="00021EED"/>
    <w:rsid w:val="00022E1F"/>
    <w:rsid w:val="00024534"/>
    <w:rsid w:val="00031831"/>
    <w:rsid w:val="00033344"/>
    <w:rsid w:val="00034748"/>
    <w:rsid w:val="0004459F"/>
    <w:rsid w:val="00046F4E"/>
    <w:rsid w:val="00051F94"/>
    <w:rsid w:val="00060248"/>
    <w:rsid w:val="00064C01"/>
    <w:rsid w:val="00070B3E"/>
    <w:rsid w:val="00071686"/>
    <w:rsid w:val="00072CA1"/>
    <w:rsid w:val="00073340"/>
    <w:rsid w:val="000742AE"/>
    <w:rsid w:val="00075451"/>
    <w:rsid w:val="000773DA"/>
    <w:rsid w:val="0008747B"/>
    <w:rsid w:val="000879B3"/>
    <w:rsid w:val="0009056C"/>
    <w:rsid w:val="000A1EA4"/>
    <w:rsid w:val="000B0982"/>
    <w:rsid w:val="000B480C"/>
    <w:rsid w:val="000C2CAC"/>
    <w:rsid w:val="000D25D8"/>
    <w:rsid w:val="000D37DF"/>
    <w:rsid w:val="000D4164"/>
    <w:rsid w:val="000D6AF3"/>
    <w:rsid w:val="000E0446"/>
    <w:rsid w:val="000E21E2"/>
    <w:rsid w:val="000E5C08"/>
    <w:rsid w:val="000F620D"/>
    <w:rsid w:val="000F691F"/>
    <w:rsid w:val="000F7190"/>
    <w:rsid w:val="0010735A"/>
    <w:rsid w:val="00113088"/>
    <w:rsid w:val="00113F13"/>
    <w:rsid w:val="00114491"/>
    <w:rsid w:val="00153775"/>
    <w:rsid w:val="001578F1"/>
    <w:rsid w:val="001656D8"/>
    <w:rsid w:val="00166103"/>
    <w:rsid w:val="00170CA8"/>
    <w:rsid w:val="001736D6"/>
    <w:rsid w:val="001765C2"/>
    <w:rsid w:val="00181FFE"/>
    <w:rsid w:val="00191BC6"/>
    <w:rsid w:val="00192543"/>
    <w:rsid w:val="00193E25"/>
    <w:rsid w:val="00194216"/>
    <w:rsid w:val="0019601F"/>
    <w:rsid w:val="001B279D"/>
    <w:rsid w:val="001B6D3A"/>
    <w:rsid w:val="001C3F42"/>
    <w:rsid w:val="001C441B"/>
    <w:rsid w:val="001C6DF5"/>
    <w:rsid w:val="001C77EA"/>
    <w:rsid w:val="001E44F0"/>
    <w:rsid w:val="001E6423"/>
    <w:rsid w:val="0020165C"/>
    <w:rsid w:val="002056D0"/>
    <w:rsid w:val="00205DC5"/>
    <w:rsid w:val="00207813"/>
    <w:rsid w:val="00212625"/>
    <w:rsid w:val="00215D65"/>
    <w:rsid w:val="0021622B"/>
    <w:rsid w:val="00216D39"/>
    <w:rsid w:val="00225FB2"/>
    <w:rsid w:val="00241B05"/>
    <w:rsid w:val="0024640F"/>
    <w:rsid w:val="002506F8"/>
    <w:rsid w:val="00253F22"/>
    <w:rsid w:val="00254D17"/>
    <w:rsid w:val="00260451"/>
    <w:rsid w:val="00265BEE"/>
    <w:rsid w:val="00267510"/>
    <w:rsid w:val="0027022F"/>
    <w:rsid w:val="0027298E"/>
    <w:rsid w:val="002735AB"/>
    <w:rsid w:val="00276673"/>
    <w:rsid w:val="00281CA7"/>
    <w:rsid w:val="002820B0"/>
    <w:rsid w:val="0029322E"/>
    <w:rsid w:val="002A4D38"/>
    <w:rsid w:val="002A6464"/>
    <w:rsid w:val="002B20C1"/>
    <w:rsid w:val="002C0E82"/>
    <w:rsid w:val="002C5993"/>
    <w:rsid w:val="002D3F5B"/>
    <w:rsid w:val="002D49D2"/>
    <w:rsid w:val="002D6107"/>
    <w:rsid w:val="002D75ED"/>
    <w:rsid w:val="002E42EE"/>
    <w:rsid w:val="002F18D6"/>
    <w:rsid w:val="002F639E"/>
    <w:rsid w:val="003004D6"/>
    <w:rsid w:val="00303D7F"/>
    <w:rsid w:val="003064C1"/>
    <w:rsid w:val="00306857"/>
    <w:rsid w:val="0030735A"/>
    <w:rsid w:val="003107D9"/>
    <w:rsid w:val="00321843"/>
    <w:rsid w:val="00336A27"/>
    <w:rsid w:val="00345628"/>
    <w:rsid w:val="00347B27"/>
    <w:rsid w:val="00353B04"/>
    <w:rsid w:val="00367903"/>
    <w:rsid w:val="00372B62"/>
    <w:rsid w:val="00377C13"/>
    <w:rsid w:val="00385007"/>
    <w:rsid w:val="00394046"/>
    <w:rsid w:val="003952CB"/>
    <w:rsid w:val="003A1E1B"/>
    <w:rsid w:val="003A3974"/>
    <w:rsid w:val="003A776B"/>
    <w:rsid w:val="003B2D8C"/>
    <w:rsid w:val="003B3273"/>
    <w:rsid w:val="003B74F4"/>
    <w:rsid w:val="003C220F"/>
    <w:rsid w:val="003C2914"/>
    <w:rsid w:val="003C61AE"/>
    <w:rsid w:val="003D55E6"/>
    <w:rsid w:val="003D6804"/>
    <w:rsid w:val="003E34B5"/>
    <w:rsid w:val="003F2AE3"/>
    <w:rsid w:val="003F6F7A"/>
    <w:rsid w:val="003F7128"/>
    <w:rsid w:val="003F77A0"/>
    <w:rsid w:val="00401E60"/>
    <w:rsid w:val="004031B6"/>
    <w:rsid w:val="00404316"/>
    <w:rsid w:val="00405360"/>
    <w:rsid w:val="004076EF"/>
    <w:rsid w:val="004140B0"/>
    <w:rsid w:val="004157E0"/>
    <w:rsid w:val="00416D93"/>
    <w:rsid w:val="00431011"/>
    <w:rsid w:val="004373B1"/>
    <w:rsid w:val="00445220"/>
    <w:rsid w:val="0045080F"/>
    <w:rsid w:val="00450E24"/>
    <w:rsid w:val="00453DEA"/>
    <w:rsid w:val="00456927"/>
    <w:rsid w:val="0047292E"/>
    <w:rsid w:val="00473A06"/>
    <w:rsid w:val="00473FFB"/>
    <w:rsid w:val="004806C0"/>
    <w:rsid w:val="00483154"/>
    <w:rsid w:val="00486D5E"/>
    <w:rsid w:val="00493364"/>
    <w:rsid w:val="004943CA"/>
    <w:rsid w:val="00495DA7"/>
    <w:rsid w:val="004A38E0"/>
    <w:rsid w:val="004A436A"/>
    <w:rsid w:val="004A66E9"/>
    <w:rsid w:val="004A7FE7"/>
    <w:rsid w:val="004B04D6"/>
    <w:rsid w:val="004B0E89"/>
    <w:rsid w:val="004B1BDC"/>
    <w:rsid w:val="004B40F5"/>
    <w:rsid w:val="004B6DE7"/>
    <w:rsid w:val="004C166D"/>
    <w:rsid w:val="004C1F2E"/>
    <w:rsid w:val="004C518E"/>
    <w:rsid w:val="004C77E3"/>
    <w:rsid w:val="004E05BF"/>
    <w:rsid w:val="004E2F31"/>
    <w:rsid w:val="004E7FFC"/>
    <w:rsid w:val="004F56AC"/>
    <w:rsid w:val="004F75B7"/>
    <w:rsid w:val="0050593C"/>
    <w:rsid w:val="00515562"/>
    <w:rsid w:val="00523C38"/>
    <w:rsid w:val="00527B7F"/>
    <w:rsid w:val="005431C9"/>
    <w:rsid w:val="0054697F"/>
    <w:rsid w:val="00547352"/>
    <w:rsid w:val="00555384"/>
    <w:rsid w:val="005634FC"/>
    <w:rsid w:val="00563871"/>
    <w:rsid w:val="00566A0D"/>
    <w:rsid w:val="005703B3"/>
    <w:rsid w:val="00571675"/>
    <w:rsid w:val="00577DFA"/>
    <w:rsid w:val="0058038B"/>
    <w:rsid w:val="005821E2"/>
    <w:rsid w:val="00585B84"/>
    <w:rsid w:val="005871CF"/>
    <w:rsid w:val="00591D52"/>
    <w:rsid w:val="00593333"/>
    <w:rsid w:val="00594D05"/>
    <w:rsid w:val="00595638"/>
    <w:rsid w:val="005A1945"/>
    <w:rsid w:val="005B59EB"/>
    <w:rsid w:val="005C1B23"/>
    <w:rsid w:val="005C2398"/>
    <w:rsid w:val="005E0A2E"/>
    <w:rsid w:val="005F6A08"/>
    <w:rsid w:val="00600194"/>
    <w:rsid w:val="00602ACF"/>
    <w:rsid w:val="00603F72"/>
    <w:rsid w:val="006044B5"/>
    <w:rsid w:val="00604A92"/>
    <w:rsid w:val="00606BD6"/>
    <w:rsid w:val="00612D1C"/>
    <w:rsid w:val="00613C88"/>
    <w:rsid w:val="00624DF5"/>
    <w:rsid w:val="0062721E"/>
    <w:rsid w:val="006361F7"/>
    <w:rsid w:val="00640510"/>
    <w:rsid w:val="00646D6B"/>
    <w:rsid w:val="00650431"/>
    <w:rsid w:val="00650BED"/>
    <w:rsid w:val="00652EE3"/>
    <w:rsid w:val="00653985"/>
    <w:rsid w:val="006657E4"/>
    <w:rsid w:val="0066725B"/>
    <w:rsid w:val="00677418"/>
    <w:rsid w:val="00681394"/>
    <w:rsid w:val="00686D03"/>
    <w:rsid w:val="00696B7C"/>
    <w:rsid w:val="006B7A2A"/>
    <w:rsid w:val="006B7F2E"/>
    <w:rsid w:val="006C3009"/>
    <w:rsid w:val="006C422F"/>
    <w:rsid w:val="006C6D3C"/>
    <w:rsid w:val="006C73C7"/>
    <w:rsid w:val="006D5B50"/>
    <w:rsid w:val="006E1720"/>
    <w:rsid w:val="006E1C42"/>
    <w:rsid w:val="006E6258"/>
    <w:rsid w:val="006F4357"/>
    <w:rsid w:val="006F441C"/>
    <w:rsid w:val="00701C25"/>
    <w:rsid w:val="00702661"/>
    <w:rsid w:val="00705738"/>
    <w:rsid w:val="00710176"/>
    <w:rsid w:val="00710359"/>
    <w:rsid w:val="00712040"/>
    <w:rsid w:val="00713604"/>
    <w:rsid w:val="00714124"/>
    <w:rsid w:val="00717117"/>
    <w:rsid w:val="00721B83"/>
    <w:rsid w:val="00723E4B"/>
    <w:rsid w:val="00725FEB"/>
    <w:rsid w:val="00726A4B"/>
    <w:rsid w:val="0073040C"/>
    <w:rsid w:val="00730EC9"/>
    <w:rsid w:val="0073285D"/>
    <w:rsid w:val="00741853"/>
    <w:rsid w:val="0074187D"/>
    <w:rsid w:val="007436E8"/>
    <w:rsid w:val="0074612F"/>
    <w:rsid w:val="0076445C"/>
    <w:rsid w:val="0077496D"/>
    <w:rsid w:val="00774981"/>
    <w:rsid w:val="007A2A50"/>
    <w:rsid w:val="007A2C1D"/>
    <w:rsid w:val="007B0707"/>
    <w:rsid w:val="007D1B83"/>
    <w:rsid w:val="007D254D"/>
    <w:rsid w:val="007D3035"/>
    <w:rsid w:val="007D7082"/>
    <w:rsid w:val="007F7B22"/>
    <w:rsid w:val="00800188"/>
    <w:rsid w:val="00801A50"/>
    <w:rsid w:val="00802EB0"/>
    <w:rsid w:val="00803762"/>
    <w:rsid w:val="00810D8C"/>
    <w:rsid w:val="00811D5E"/>
    <w:rsid w:val="0083168F"/>
    <w:rsid w:val="00834010"/>
    <w:rsid w:val="008349A2"/>
    <w:rsid w:val="00834E1F"/>
    <w:rsid w:val="008353FF"/>
    <w:rsid w:val="00836E67"/>
    <w:rsid w:val="008435A9"/>
    <w:rsid w:val="008450EC"/>
    <w:rsid w:val="00846D9C"/>
    <w:rsid w:val="008503D7"/>
    <w:rsid w:val="0085234F"/>
    <w:rsid w:val="008544FA"/>
    <w:rsid w:val="0086228C"/>
    <w:rsid w:val="008643C1"/>
    <w:rsid w:val="00866464"/>
    <w:rsid w:val="008667C1"/>
    <w:rsid w:val="0087377C"/>
    <w:rsid w:val="00876E0C"/>
    <w:rsid w:val="00880719"/>
    <w:rsid w:val="00884BFB"/>
    <w:rsid w:val="00886448"/>
    <w:rsid w:val="008A3B07"/>
    <w:rsid w:val="008A3DC2"/>
    <w:rsid w:val="008B1E9B"/>
    <w:rsid w:val="008B258F"/>
    <w:rsid w:val="008B27FA"/>
    <w:rsid w:val="008B27FC"/>
    <w:rsid w:val="008B352F"/>
    <w:rsid w:val="008B6D5E"/>
    <w:rsid w:val="008C0309"/>
    <w:rsid w:val="008C445F"/>
    <w:rsid w:val="008C4F14"/>
    <w:rsid w:val="008D397A"/>
    <w:rsid w:val="008D6B41"/>
    <w:rsid w:val="008E255F"/>
    <w:rsid w:val="008E5D42"/>
    <w:rsid w:val="008E70A0"/>
    <w:rsid w:val="008E7303"/>
    <w:rsid w:val="008F32B5"/>
    <w:rsid w:val="00900309"/>
    <w:rsid w:val="00901F78"/>
    <w:rsid w:val="00906D2D"/>
    <w:rsid w:val="00907CB8"/>
    <w:rsid w:val="009140EA"/>
    <w:rsid w:val="009158AE"/>
    <w:rsid w:val="00915F00"/>
    <w:rsid w:val="0092401B"/>
    <w:rsid w:val="00924223"/>
    <w:rsid w:val="00925C14"/>
    <w:rsid w:val="00930CC6"/>
    <w:rsid w:val="00932155"/>
    <w:rsid w:val="0093290A"/>
    <w:rsid w:val="009400EB"/>
    <w:rsid w:val="00940F47"/>
    <w:rsid w:val="00944EFA"/>
    <w:rsid w:val="00950939"/>
    <w:rsid w:val="009554F1"/>
    <w:rsid w:val="0095652A"/>
    <w:rsid w:val="00960561"/>
    <w:rsid w:val="009748D2"/>
    <w:rsid w:val="00977E21"/>
    <w:rsid w:val="00983752"/>
    <w:rsid w:val="009864CB"/>
    <w:rsid w:val="00987C65"/>
    <w:rsid w:val="009A0421"/>
    <w:rsid w:val="009B0D85"/>
    <w:rsid w:val="009B37E4"/>
    <w:rsid w:val="009B49B1"/>
    <w:rsid w:val="009B4E23"/>
    <w:rsid w:val="009B6F81"/>
    <w:rsid w:val="009C1BF7"/>
    <w:rsid w:val="009C22FD"/>
    <w:rsid w:val="009C3382"/>
    <w:rsid w:val="009C5956"/>
    <w:rsid w:val="009C6450"/>
    <w:rsid w:val="009C7D06"/>
    <w:rsid w:val="009D03FE"/>
    <w:rsid w:val="009D4654"/>
    <w:rsid w:val="009D64AB"/>
    <w:rsid w:val="009E0773"/>
    <w:rsid w:val="009E1493"/>
    <w:rsid w:val="009E15B3"/>
    <w:rsid w:val="009F40A9"/>
    <w:rsid w:val="009F6944"/>
    <w:rsid w:val="00A04DBE"/>
    <w:rsid w:val="00A074C0"/>
    <w:rsid w:val="00A13E93"/>
    <w:rsid w:val="00A144D4"/>
    <w:rsid w:val="00A252EC"/>
    <w:rsid w:val="00A25831"/>
    <w:rsid w:val="00A25BFB"/>
    <w:rsid w:val="00A26102"/>
    <w:rsid w:val="00A356BB"/>
    <w:rsid w:val="00A37FF8"/>
    <w:rsid w:val="00A44A13"/>
    <w:rsid w:val="00A5590E"/>
    <w:rsid w:val="00A70BDA"/>
    <w:rsid w:val="00A70F91"/>
    <w:rsid w:val="00A746A4"/>
    <w:rsid w:val="00A770FF"/>
    <w:rsid w:val="00A8283D"/>
    <w:rsid w:val="00A8464E"/>
    <w:rsid w:val="00A85B23"/>
    <w:rsid w:val="00A85EB0"/>
    <w:rsid w:val="00A9160E"/>
    <w:rsid w:val="00A95C9F"/>
    <w:rsid w:val="00AA77FA"/>
    <w:rsid w:val="00AB00B5"/>
    <w:rsid w:val="00AB0B30"/>
    <w:rsid w:val="00AC1FFF"/>
    <w:rsid w:val="00AC2254"/>
    <w:rsid w:val="00AC274D"/>
    <w:rsid w:val="00AC370D"/>
    <w:rsid w:val="00AD18CD"/>
    <w:rsid w:val="00AD7030"/>
    <w:rsid w:val="00AE1E6A"/>
    <w:rsid w:val="00AE3307"/>
    <w:rsid w:val="00AE4D30"/>
    <w:rsid w:val="00AF0DA3"/>
    <w:rsid w:val="00AF43A6"/>
    <w:rsid w:val="00AF795B"/>
    <w:rsid w:val="00B03608"/>
    <w:rsid w:val="00B0439F"/>
    <w:rsid w:val="00B04BE0"/>
    <w:rsid w:val="00B1094C"/>
    <w:rsid w:val="00B11957"/>
    <w:rsid w:val="00B173B2"/>
    <w:rsid w:val="00B21FC9"/>
    <w:rsid w:val="00B24EB4"/>
    <w:rsid w:val="00B3661D"/>
    <w:rsid w:val="00B378D9"/>
    <w:rsid w:val="00B43519"/>
    <w:rsid w:val="00B543A6"/>
    <w:rsid w:val="00B563CE"/>
    <w:rsid w:val="00B602EC"/>
    <w:rsid w:val="00B67BA9"/>
    <w:rsid w:val="00B745A1"/>
    <w:rsid w:val="00B7658B"/>
    <w:rsid w:val="00B82679"/>
    <w:rsid w:val="00B9055F"/>
    <w:rsid w:val="00B9099B"/>
    <w:rsid w:val="00B940AE"/>
    <w:rsid w:val="00BA1703"/>
    <w:rsid w:val="00BA2787"/>
    <w:rsid w:val="00BA2F80"/>
    <w:rsid w:val="00BB1026"/>
    <w:rsid w:val="00BB158D"/>
    <w:rsid w:val="00BB2093"/>
    <w:rsid w:val="00BB52B9"/>
    <w:rsid w:val="00BB6B11"/>
    <w:rsid w:val="00BC5FDC"/>
    <w:rsid w:val="00BC6781"/>
    <w:rsid w:val="00BD5097"/>
    <w:rsid w:val="00BE13C8"/>
    <w:rsid w:val="00BE1FC8"/>
    <w:rsid w:val="00BE55E2"/>
    <w:rsid w:val="00BE62E6"/>
    <w:rsid w:val="00BE664D"/>
    <w:rsid w:val="00BF2859"/>
    <w:rsid w:val="00BF3EE3"/>
    <w:rsid w:val="00BF444B"/>
    <w:rsid w:val="00BF4820"/>
    <w:rsid w:val="00BF48C0"/>
    <w:rsid w:val="00C009E1"/>
    <w:rsid w:val="00C0378E"/>
    <w:rsid w:val="00C04458"/>
    <w:rsid w:val="00C07684"/>
    <w:rsid w:val="00C101CC"/>
    <w:rsid w:val="00C10A0F"/>
    <w:rsid w:val="00C1177E"/>
    <w:rsid w:val="00C2137B"/>
    <w:rsid w:val="00C214FF"/>
    <w:rsid w:val="00C24D44"/>
    <w:rsid w:val="00C3119D"/>
    <w:rsid w:val="00C371B7"/>
    <w:rsid w:val="00C44E5F"/>
    <w:rsid w:val="00C5311A"/>
    <w:rsid w:val="00C623D8"/>
    <w:rsid w:val="00C67F52"/>
    <w:rsid w:val="00C70261"/>
    <w:rsid w:val="00C73F87"/>
    <w:rsid w:val="00C83B91"/>
    <w:rsid w:val="00C8527F"/>
    <w:rsid w:val="00CA5717"/>
    <w:rsid w:val="00CB0782"/>
    <w:rsid w:val="00CB0D78"/>
    <w:rsid w:val="00CB714D"/>
    <w:rsid w:val="00CC253F"/>
    <w:rsid w:val="00CD22AC"/>
    <w:rsid w:val="00CD2C01"/>
    <w:rsid w:val="00CD5EAC"/>
    <w:rsid w:val="00CD7A0A"/>
    <w:rsid w:val="00CE43DB"/>
    <w:rsid w:val="00CE7D05"/>
    <w:rsid w:val="00CF457D"/>
    <w:rsid w:val="00D01C32"/>
    <w:rsid w:val="00D052B6"/>
    <w:rsid w:val="00D067E0"/>
    <w:rsid w:val="00D116AF"/>
    <w:rsid w:val="00D12222"/>
    <w:rsid w:val="00D14E0C"/>
    <w:rsid w:val="00D1549B"/>
    <w:rsid w:val="00D1754F"/>
    <w:rsid w:val="00D2079A"/>
    <w:rsid w:val="00D24736"/>
    <w:rsid w:val="00D332BC"/>
    <w:rsid w:val="00D337A5"/>
    <w:rsid w:val="00D33E57"/>
    <w:rsid w:val="00D35DE8"/>
    <w:rsid w:val="00D406B3"/>
    <w:rsid w:val="00D4380B"/>
    <w:rsid w:val="00D50638"/>
    <w:rsid w:val="00D560EF"/>
    <w:rsid w:val="00D564BD"/>
    <w:rsid w:val="00D602AA"/>
    <w:rsid w:val="00D6558D"/>
    <w:rsid w:val="00D656F0"/>
    <w:rsid w:val="00D6591B"/>
    <w:rsid w:val="00D65FD4"/>
    <w:rsid w:val="00D726E2"/>
    <w:rsid w:val="00D74A46"/>
    <w:rsid w:val="00D764F9"/>
    <w:rsid w:val="00D7690E"/>
    <w:rsid w:val="00D96263"/>
    <w:rsid w:val="00D96D75"/>
    <w:rsid w:val="00DA1511"/>
    <w:rsid w:val="00DA1CBD"/>
    <w:rsid w:val="00DA2B85"/>
    <w:rsid w:val="00DA6793"/>
    <w:rsid w:val="00DB05C0"/>
    <w:rsid w:val="00DB3CE4"/>
    <w:rsid w:val="00DB55B9"/>
    <w:rsid w:val="00DB62E9"/>
    <w:rsid w:val="00DB74B2"/>
    <w:rsid w:val="00DC0878"/>
    <w:rsid w:val="00DC15E5"/>
    <w:rsid w:val="00DC7C6A"/>
    <w:rsid w:val="00DD4F81"/>
    <w:rsid w:val="00DE090F"/>
    <w:rsid w:val="00DE3C81"/>
    <w:rsid w:val="00DE590F"/>
    <w:rsid w:val="00DF478D"/>
    <w:rsid w:val="00DF5ED3"/>
    <w:rsid w:val="00E00546"/>
    <w:rsid w:val="00E0204D"/>
    <w:rsid w:val="00E06E0D"/>
    <w:rsid w:val="00E06E73"/>
    <w:rsid w:val="00E12A15"/>
    <w:rsid w:val="00E13A9E"/>
    <w:rsid w:val="00E206B0"/>
    <w:rsid w:val="00E2166F"/>
    <w:rsid w:val="00E23B95"/>
    <w:rsid w:val="00E2432E"/>
    <w:rsid w:val="00E24BD4"/>
    <w:rsid w:val="00E316AD"/>
    <w:rsid w:val="00E332A8"/>
    <w:rsid w:val="00E348F1"/>
    <w:rsid w:val="00E366FE"/>
    <w:rsid w:val="00E46869"/>
    <w:rsid w:val="00E4755B"/>
    <w:rsid w:val="00E666D1"/>
    <w:rsid w:val="00E67346"/>
    <w:rsid w:val="00E7060B"/>
    <w:rsid w:val="00E72665"/>
    <w:rsid w:val="00E82141"/>
    <w:rsid w:val="00E84868"/>
    <w:rsid w:val="00E85B73"/>
    <w:rsid w:val="00E864FE"/>
    <w:rsid w:val="00E95963"/>
    <w:rsid w:val="00E96074"/>
    <w:rsid w:val="00E96B99"/>
    <w:rsid w:val="00EA134D"/>
    <w:rsid w:val="00EA4D32"/>
    <w:rsid w:val="00EA7BAE"/>
    <w:rsid w:val="00EB0EA9"/>
    <w:rsid w:val="00EB304D"/>
    <w:rsid w:val="00EC0ACE"/>
    <w:rsid w:val="00EC2A77"/>
    <w:rsid w:val="00EC42F4"/>
    <w:rsid w:val="00ED09D1"/>
    <w:rsid w:val="00ED203E"/>
    <w:rsid w:val="00ED4AF5"/>
    <w:rsid w:val="00EE2D9D"/>
    <w:rsid w:val="00EE5FA8"/>
    <w:rsid w:val="00EE6A37"/>
    <w:rsid w:val="00EF0102"/>
    <w:rsid w:val="00EF5E97"/>
    <w:rsid w:val="00F004C7"/>
    <w:rsid w:val="00F110E7"/>
    <w:rsid w:val="00F208C0"/>
    <w:rsid w:val="00F26A87"/>
    <w:rsid w:val="00F372F6"/>
    <w:rsid w:val="00F37F28"/>
    <w:rsid w:val="00F400C6"/>
    <w:rsid w:val="00F41E0D"/>
    <w:rsid w:val="00F45E0B"/>
    <w:rsid w:val="00F4618F"/>
    <w:rsid w:val="00F47382"/>
    <w:rsid w:val="00F500EF"/>
    <w:rsid w:val="00F5064E"/>
    <w:rsid w:val="00F536CA"/>
    <w:rsid w:val="00F547B6"/>
    <w:rsid w:val="00F55844"/>
    <w:rsid w:val="00F57EBA"/>
    <w:rsid w:val="00F662F5"/>
    <w:rsid w:val="00F732FF"/>
    <w:rsid w:val="00F74529"/>
    <w:rsid w:val="00F80E2A"/>
    <w:rsid w:val="00F84850"/>
    <w:rsid w:val="00F84AA8"/>
    <w:rsid w:val="00F8524C"/>
    <w:rsid w:val="00F877DD"/>
    <w:rsid w:val="00F9267F"/>
    <w:rsid w:val="00F96ADB"/>
    <w:rsid w:val="00FA0AC8"/>
    <w:rsid w:val="00FA16FC"/>
    <w:rsid w:val="00FA2F99"/>
    <w:rsid w:val="00FC098C"/>
    <w:rsid w:val="00FD1199"/>
    <w:rsid w:val="00FD3A85"/>
    <w:rsid w:val="00FD4CFE"/>
    <w:rsid w:val="00FD6DB6"/>
    <w:rsid w:val="00FE4FB7"/>
    <w:rsid w:val="00FE631C"/>
    <w:rsid w:val="00FF35D3"/>
    <w:rsid w:val="00FF7468"/>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31165157"/>
  <w15:docId w15:val="{8CEF0215-4CA8-43CD-ACA1-238DCC7D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tabs>
        <w:tab w:val="left" w:pos="567"/>
      </w:tabs>
      <w:spacing w:line="260" w:lineRule="exact"/>
    </w:pPr>
    <w:rPr>
      <w:sz w:val="22"/>
      <w:lang w:val="en-GB" w:eastAsia="en-US"/>
    </w:rPr>
  </w:style>
  <w:style w:type="paragraph" w:styleId="Nadpis1">
    <w:name w:val="heading 1"/>
    <w:basedOn w:val="Normlny"/>
    <w:next w:val="Normlny"/>
    <w:qFormat/>
    <w:pPr>
      <w:spacing w:before="240" w:after="120"/>
      <w:ind w:left="357" w:hanging="357"/>
      <w:outlineLvl w:val="0"/>
    </w:pPr>
    <w:rPr>
      <w:b/>
      <w:caps/>
      <w:sz w:val="26"/>
      <w:lang w:val="en-US"/>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lang w:val="en-US"/>
    </w:rPr>
  </w:style>
  <w:style w:type="paragraph" w:styleId="Nadpis4">
    <w:name w:val="heading 4"/>
    <w:basedOn w:val="Normlny"/>
    <w:next w:val="Normlny"/>
    <w:qFormat/>
    <w:pPr>
      <w:keepNext/>
      <w:jc w:val="both"/>
      <w:outlineLvl w:val="3"/>
    </w:pPr>
    <w:rPr>
      <w:b/>
      <w:noProof/>
    </w:rPr>
  </w:style>
  <w:style w:type="paragraph" w:styleId="Nadpis5">
    <w:name w:val="heading 5"/>
    <w:basedOn w:val="Normlny"/>
    <w:next w:val="Normlny"/>
    <w:qFormat/>
    <w:pPr>
      <w:keepNext/>
      <w:jc w:val="both"/>
      <w:outlineLvl w:val="4"/>
    </w:pPr>
    <w:rPr>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ind w:left="567" w:hanging="567"/>
      <w:jc w:val="both"/>
      <w:outlineLvl w:val="7"/>
    </w:pPr>
    <w:rPr>
      <w:b/>
      <w:i/>
    </w:rPr>
  </w:style>
  <w:style w:type="paragraph" w:styleId="Nadpis9">
    <w:name w:val="heading 9"/>
    <w:basedOn w:val="Normlny"/>
    <w:next w:val="Normlny"/>
    <w:qFormat/>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semiHidden/>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pPr>
      <w:tabs>
        <w:tab w:val="center" w:pos="4536"/>
        <w:tab w:val="center" w:pos="8930"/>
      </w:tabs>
      <w:spacing w:line="240" w:lineRule="auto"/>
    </w:pPr>
    <w:rPr>
      <w:rFonts w:ascii="Helvetica" w:hAnsi="Helvetica"/>
      <w:sz w:val="16"/>
    </w:rPr>
  </w:style>
  <w:style w:type="character" w:styleId="slostrany">
    <w:name w:val="page number"/>
    <w:basedOn w:val="Predvolenpsmoodseku"/>
    <w:semiHidden/>
  </w:style>
  <w:style w:type="paragraph" w:styleId="Zarkazkladnhotextu">
    <w:name w:val="Body Text Indent"/>
    <w:basedOn w:val="Normlny"/>
    <w:semiHidden/>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semiHidden/>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semiHidden/>
    <w:pPr>
      <w:tabs>
        <w:tab w:val="clear" w:pos="567"/>
      </w:tabs>
      <w:spacing w:line="240" w:lineRule="auto"/>
    </w:pPr>
    <w:rPr>
      <w:i/>
      <w:color w:val="008000"/>
    </w:rPr>
  </w:style>
  <w:style w:type="paragraph" w:styleId="Zkladntext2">
    <w:name w:val="Body Text 2"/>
    <w:basedOn w:val="Normlny"/>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rPr>
  </w:style>
  <w:style w:type="paragraph" w:customStyle="1" w:styleId="EMEAEnBodyText">
    <w:name w:val="EMEA En Body Text"/>
    <w:basedOn w:val="Normlny"/>
    <w:pPr>
      <w:tabs>
        <w:tab w:val="clear" w:pos="567"/>
      </w:tabs>
      <w:spacing w:before="120" w:after="120" w:line="240" w:lineRule="auto"/>
      <w:jc w:val="both"/>
    </w:pPr>
    <w:rPr>
      <w:lang w:val="en-US"/>
    </w:rPr>
  </w:style>
  <w:style w:type="paragraph" w:styleId="truktradokumentu">
    <w:name w:val="Document Map"/>
    <w:basedOn w:val="Normlny"/>
    <w:semiHidden/>
    <w:pPr>
      <w:shd w:val="clear" w:color="auto" w:fill="000080"/>
    </w:pPr>
    <w:rPr>
      <w:rFonts w:ascii="Tahoma" w:hAnsi="Tahoma" w:cs="Tahoma"/>
    </w:rPr>
  </w:style>
  <w:style w:type="character" w:styleId="Hypertextovprepojenie">
    <w:name w:val="Hyperlink"/>
    <w:uiPriority w:val="99"/>
    <w:rPr>
      <w:color w:val="0000FF"/>
      <w:u w:val="single"/>
    </w:rPr>
  </w:style>
  <w:style w:type="paragraph" w:customStyle="1" w:styleId="AHeader1">
    <w:name w:val="AHeader 1"/>
    <w:basedOn w:val="Normlny"/>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Zarkazkladnhotextu3">
    <w:name w:val="Body Text Indent 3"/>
    <w:basedOn w:val="Normlny"/>
    <w:semiHidden/>
    <w:pPr>
      <w:tabs>
        <w:tab w:val="left" w:pos="1134"/>
      </w:tabs>
      <w:autoSpaceDE w:val="0"/>
      <w:autoSpaceDN w:val="0"/>
      <w:adjustRightInd w:val="0"/>
      <w:ind w:left="633"/>
      <w:jc w:val="both"/>
    </w:pPr>
    <w:rPr>
      <w:szCs w:val="21"/>
    </w:rPr>
  </w:style>
  <w:style w:type="character" w:styleId="PouitHypertextovPrepojenie">
    <w:name w:val="FollowedHyperlink"/>
    <w:semiHidden/>
    <w:rPr>
      <w:color w:val="800080"/>
      <w:u w:val="single"/>
    </w:rPr>
  </w:style>
  <w:style w:type="paragraph" w:customStyle="1" w:styleId="Default">
    <w:name w:val="Default"/>
    <w:pPr>
      <w:autoSpaceDE w:val="0"/>
      <w:autoSpaceDN w:val="0"/>
      <w:adjustRightInd w:val="0"/>
    </w:pPr>
    <w:rPr>
      <w:lang w:val="en-US" w:eastAsia="en-US"/>
    </w:rPr>
  </w:style>
  <w:style w:type="paragraph" w:styleId="Textbubliny">
    <w:name w:val="Balloon Text"/>
    <w:basedOn w:val="Normlny"/>
    <w:semiHidden/>
    <w:rPr>
      <w:rFonts w:ascii="Tahoma" w:hAnsi="Tahoma" w:cs="Tahoma"/>
      <w:sz w:val="16"/>
      <w:szCs w:val="16"/>
    </w:rPr>
  </w:style>
  <w:style w:type="paragraph" w:customStyle="1" w:styleId="BodyText12">
    <w:name w:val="BodyText12"/>
    <w:pPr>
      <w:spacing w:after="200" w:line="300" w:lineRule="auto"/>
      <w:ind w:left="850"/>
      <w:jc w:val="both"/>
    </w:pPr>
    <w:rPr>
      <w:sz w:val="24"/>
      <w:lang w:val="en-US" w:eastAsia="en-US"/>
    </w:rPr>
  </w:style>
  <w:style w:type="paragraph" w:customStyle="1" w:styleId="Referencenumbered">
    <w:name w:val="Reference (numbered)"/>
    <w:pPr>
      <w:keepLines/>
      <w:numPr>
        <w:numId w:val="7"/>
      </w:numPr>
      <w:tabs>
        <w:tab w:val="clear" w:pos="1210"/>
        <w:tab w:val="num" w:pos="930"/>
      </w:tabs>
      <w:spacing w:after="100"/>
      <w:ind w:left="930" w:hanging="570"/>
      <w:jc w:val="both"/>
    </w:pPr>
    <w:rPr>
      <w:lang w:val="en-US" w:eastAsia="en-US"/>
    </w:rPr>
  </w:style>
  <w:style w:type="paragraph" w:customStyle="1" w:styleId="BodyText10">
    <w:name w:val="BodyText10"/>
    <w:pPr>
      <w:suppressAutoHyphens/>
      <w:spacing w:after="200"/>
      <w:jc w:val="both"/>
    </w:pPr>
    <w:rPr>
      <w:lang w:val="en-US" w:eastAsia="en-US"/>
    </w:rPr>
  </w:style>
  <w:style w:type="paragraph" w:customStyle="1" w:styleId="TableText">
    <w:name w:val="TableText"/>
    <w:pPr>
      <w:keepNext/>
    </w:pPr>
    <w:rPr>
      <w:lang w:val="en-US" w:eastAsia="en-US"/>
    </w:rPr>
  </w:style>
  <w:style w:type="paragraph" w:customStyle="1" w:styleId="MarkTable">
    <w:name w:val="Mark Table"/>
    <w:next w:val="TableText"/>
    <w:pPr>
      <w:keepNext/>
      <w:jc w:val="center"/>
    </w:pPr>
    <w:rPr>
      <w:lang w:val="en-US" w:eastAsia="en-US"/>
    </w:rPr>
  </w:style>
  <w:style w:type="paragraph" w:customStyle="1" w:styleId="head3">
    <w:name w:val="head 3"/>
    <w:basedOn w:val="Nadpis3"/>
    <w:autoRedefine/>
    <w:pPr>
      <w:keepLines w:val="0"/>
      <w:numPr>
        <w:numId w:val="8"/>
      </w:numPr>
      <w:tabs>
        <w:tab w:val="clear" w:pos="567"/>
        <w:tab w:val="clear" w:pos="720"/>
        <w:tab w:val="num" w:pos="284"/>
      </w:tabs>
      <w:spacing w:before="240" w:after="60" w:line="240" w:lineRule="auto"/>
      <w:ind w:left="284" w:hanging="284"/>
    </w:pPr>
    <w:rPr>
      <w:rFonts w:ascii="Arial" w:hAnsi="Arial" w:cs="Arial"/>
      <w:bCs/>
      <w:kern w:val="0"/>
      <w:sz w:val="26"/>
      <w:szCs w:val="26"/>
    </w:rPr>
  </w:style>
  <w:style w:type="paragraph" w:customStyle="1" w:styleId="Bodytext">
    <w:name w:val="Bodytext"/>
    <w:basedOn w:val="Normlny"/>
    <w:pPr>
      <w:tabs>
        <w:tab w:val="clear" w:pos="567"/>
      </w:tabs>
      <w:spacing w:after="200" w:line="360" w:lineRule="exact"/>
      <w:ind w:left="851"/>
    </w:pPr>
    <w:rPr>
      <w:rFonts w:ascii="Arial" w:hAnsi="Arial"/>
      <w:strike/>
      <w:spacing w:val="-2"/>
      <w:sz w:val="24"/>
      <w:lang w:val="sk-SK"/>
    </w:rPr>
  </w:style>
  <w:style w:type="paragraph" w:styleId="Oznaitext">
    <w:name w:val="Block Text"/>
    <w:basedOn w:val="Normlny"/>
    <w:semiHidden/>
    <w:pPr>
      <w:tabs>
        <w:tab w:val="clear" w:pos="567"/>
        <w:tab w:val="left" w:pos="8222"/>
      </w:tabs>
      <w:spacing w:line="240" w:lineRule="auto"/>
      <w:ind w:left="284" w:right="-369"/>
      <w:jc w:val="both"/>
    </w:pPr>
    <w:rPr>
      <w:rFonts w:ascii="Arial" w:hAnsi="Arial"/>
      <w:strike/>
      <w:spacing w:val="-2"/>
      <w:sz w:val="24"/>
      <w:lang w:val="sk-SK"/>
    </w:rPr>
  </w:style>
  <w:style w:type="character" w:customStyle="1" w:styleId="PredformtovanHTMLChar">
    <w:name w:val="Predformátované HTML Char"/>
    <w:link w:val="PredformtovanHTML"/>
    <w:semiHidden/>
    <w:rsid w:val="008E70A0"/>
    <w:rPr>
      <w:rFonts w:ascii="Arial Unicode MS" w:eastAsia="Arial Unicode MS" w:hAnsi="Arial Unicode MS" w:cs="Arial Unicode MS"/>
      <w:lang w:val="en-US" w:eastAsia="en-US"/>
    </w:rPr>
  </w:style>
  <w:style w:type="paragraph" w:styleId="PredformtovanHTML">
    <w:name w:val="HTML Preformatted"/>
    <w:basedOn w:val="Normlny"/>
    <w:link w:val="PredformtovanHTMLChar"/>
    <w:semiHidden/>
    <w:rsid w:val="008E70A0"/>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lang w:val="en-US"/>
    </w:rPr>
  </w:style>
  <w:style w:type="paragraph" w:customStyle="1" w:styleId="Pages">
    <w:name w:val="Pages"/>
    <w:basedOn w:val="Zkladntext"/>
    <w:rsid w:val="008E70A0"/>
    <w:rPr>
      <w:rFonts w:ascii="Arial" w:hAnsi="Arial"/>
      <w:b/>
      <w:i w:val="0"/>
      <w:color w:val="auto"/>
      <w:sz w:val="20"/>
      <w:lang w:val="en-US"/>
    </w:rPr>
  </w:style>
  <w:style w:type="paragraph" w:customStyle="1" w:styleId="MessageHeaderFirst">
    <w:name w:val="Message Header First"/>
    <w:basedOn w:val="Hlavikasprvy"/>
    <w:next w:val="Hlavikasprvy"/>
    <w:rsid w:val="008E70A0"/>
    <w:pPr>
      <w:spacing w:before="120"/>
    </w:pPr>
  </w:style>
  <w:style w:type="paragraph" w:styleId="Hlavikasprvy">
    <w:name w:val="Message Header"/>
    <w:basedOn w:val="Zkladntext"/>
    <w:link w:val="HlavikasprvyChar"/>
    <w:semiHidden/>
    <w:rsid w:val="008E70A0"/>
    <w:pPr>
      <w:keepLines/>
      <w:tabs>
        <w:tab w:val="left" w:pos="3600"/>
        <w:tab w:val="left" w:pos="4680"/>
      </w:tabs>
      <w:spacing w:after="240"/>
      <w:ind w:left="1080" w:hanging="1080"/>
    </w:pPr>
    <w:rPr>
      <w:rFonts w:ascii="Arial" w:hAnsi="Arial"/>
      <w:i w:val="0"/>
      <w:color w:val="auto"/>
      <w:sz w:val="20"/>
      <w:lang w:val="en-US"/>
    </w:rPr>
  </w:style>
  <w:style w:type="character" w:customStyle="1" w:styleId="HlavikasprvyChar">
    <w:name w:val="Hlavička správy Char"/>
    <w:link w:val="Hlavikasprvy"/>
    <w:semiHidden/>
    <w:rsid w:val="008E70A0"/>
    <w:rPr>
      <w:rFonts w:ascii="Arial" w:hAnsi="Arial"/>
      <w:lang w:val="en-US" w:eastAsia="en-US"/>
    </w:rPr>
  </w:style>
  <w:style w:type="character" w:customStyle="1" w:styleId="MessageHeaderLabel">
    <w:name w:val="Message Header Label"/>
    <w:rsid w:val="008E70A0"/>
    <w:rPr>
      <w:rFonts w:ascii="Arial" w:hAnsi="Arial"/>
      <w:b/>
      <w:caps/>
      <w:sz w:val="18"/>
    </w:rPr>
  </w:style>
  <w:style w:type="paragraph" w:customStyle="1" w:styleId="MessageHeaderLast">
    <w:name w:val="Message Header Last"/>
    <w:basedOn w:val="Hlavikasprvy"/>
    <w:next w:val="Zkladntext"/>
    <w:rsid w:val="008E70A0"/>
    <w:pPr>
      <w:spacing w:after="360"/>
    </w:pPr>
  </w:style>
  <w:style w:type="paragraph" w:styleId="Nzov">
    <w:name w:val="Title"/>
    <w:basedOn w:val="Normlny"/>
    <w:link w:val="NzovChar"/>
    <w:qFormat/>
    <w:rsid w:val="008E70A0"/>
    <w:pPr>
      <w:tabs>
        <w:tab w:val="clear" w:pos="567"/>
      </w:tabs>
      <w:spacing w:line="240" w:lineRule="auto"/>
      <w:jc w:val="center"/>
    </w:pPr>
    <w:rPr>
      <w:b/>
    </w:rPr>
  </w:style>
  <w:style w:type="character" w:customStyle="1" w:styleId="NzovChar">
    <w:name w:val="Názov Char"/>
    <w:link w:val="Nzov"/>
    <w:rsid w:val="008E70A0"/>
    <w:rPr>
      <w:b/>
      <w:sz w:val="22"/>
      <w:lang w:val="en-GB" w:eastAsia="en-US"/>
    </w:rPr>
  </w:style>
  <w:style w:type="paragraph" w:customStyle="1" w:styleId="copy">
    <w:name w:val="*copy"/>
    <w:rsid w:val="008E70A0"/>
    <w:rPr>
      <w:sz w:val="22"/>
      <w:lang w:val="en-GB" w:eastAsia="en-US"/>
    </w:rPr>
  </w:style>
  <w:style w:type="character" w:customStyle="1" w:styleId="PtaChar">
    <w:name w:val="Päta Char"/>
    <w:link w:val="Pta"/>
    <w:uiPriority w:val="99"/>
    <w:rsid w:val="00D726E2"/>
    <w:rPr>
      <w:rFonts w:ascii="Helvetica" w:hAnsi="Helvetica"/>
      <w:sz w:val="16"/>
      <w:lang w:eastAsia="en-US"/>
    </w:rPr>
  </w:style>
  <w:style w:type="character" w:styleId="sloriadka">
    <w:name w:val="line number"/>
    <w:basedOn w:val="Predvolenpsmoodseku"/>
    <w:uiPriority w:val="99"/>
    <w:semiHidden/>
    <w:unhideWhenUsed/>
    <w:rsid w:val="00D726E2"/>
  </w:style>
  <w:style w:type="paragraph" w:styleId="Predmetkomentra">
    <w:name w:val="annotation subject"/>
    <w:basedOn w:val="Textkomentra"/>
    <w:next w:val="Textkomentra"/>
    <w:link w:val="PredmetkomentraChar"/>
    <w:uiPriority w:val="99"/>
    <w:semiHidden/>
    <w:unhideWhenUsed/>
    <w:rsid w:val="00D2079A"/>
    <w:rPr>
      <w:b/>
      <w:bCs/>
    </w:rPr>
  </w:style>
  <w:style w:type="character" w:customStyle="1" w:styleId="TextkomentraChar">
    <w:name w:val="Text komentára Char"/>
    <w:link w:val="Textkomentra"/>
    <w:semiHidden/>
    <w:rsid w:val="00D2079A"/>
    <w:rPr>
      <w:lang w:val="en-GB" w:eastAsia="en-US"/>
    </w:rPr>
  </w:style>
  <w:style w:type="character" w:customStyle="1" w:styleId="PredmetkomentraChar">
    <w:name w:val="Predmet komentára Char"/>
    <w:basedOn w:val="TextkomentraChar"/>
    <w:link w:val="Predmetkomentra"/>
    <w:rsid w:val="00D2079A"/>
    <w:rPr>
      <w:lang w:val="en-GB" w:eastAsia="en-US"/>
    </w:rPr>
  </w:style>
  <w:style w:type="paragraph" w:styleId="Revzia">
    <w:name w:val="Revision"/>
    <w:hidden/>
    <w:uiPriority w:val="99"/>
    <w:semiHidden/>
    <w:rsid w:val="00591D52"/>
    <w:rPr>
      <w:sz w:val="22"/>
      <w:lang w:val="en-GB" w:eastAsia="en-US"/>
    </w:rPr>
  </w:style>
  <w:style w:type="character" w:customStyle="1" w:styleId="apple-converted-space">
    <w:name w:val="apple-converted-space"/>
    <w:rsid w:val="00E4755B"/>
  </w:style>
  <w:style w:type="character" w:customStyle="1" w:styleId="UnresolvedMention1">
    <w:name w:val="Unresolved Mention1"/>
    <w:basedOn w:val="Predvolenpsmoodseku"/>
    <w:uiPriority w:val="99"/>
    <w:semiHidden/>
    <w:unhideWhenUsed/>
    <w:rsid w:val="000D6A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23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ocessed xmlns="87a12c2e-30ca-4884-a8f3-aaf1cec579a2">true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7D130A5A58B8439ABFAABEC7E6D768" ma:contentTypeVersion="17" ma:contentTypeDescription="Create a new document." ma:contentTypeScope="" ma:versionID="e459bfbaf988e35ea7804652ee1dbbab">
  <xsd:schema xmlns:xsd="http://www.w3.org/2001/XMLSchema" xmlns:xs="http://www.w3.org/2001/XMLSchema" xmlns:p="http://schemas.microsoft.com/office/2006/metadata/properties" xmlns:ns1="http://schemas.microsoft.com/sharepoint/v3" xmlns:ns2="2741efd5-241a-4470-b225-a786206d9aef" xmlns:ns3="81dedaec-7d70-49d0-a98b-66894347430a" xmlns:ns4="87a12c2e-30ca-4884-a8f3-aaf1cec579a2" targetNamespace="http://schemas.microsoft.com/office/2006/metadata/properties" ma:root="true" ma:fieldsID="ace1aaa0f8dc916c17527fc3b562b669" ns1:_="" ns2:_="" ns3:_="" ns4:_="">
    <xsd:import namespace="http://schemas.microsoft.com/sharepoint/v3"/>
    <xsd:import namespace="2741efd5-241a-4470-b225-a786206d9aef"/>
    <xsd:import namespace="81dedaec-7d70-49d0-a98b-66894347430a"/>
    <xsd:import namespace="87a12c2e-30ca-4884-a8f3-aaf1cec579a2"/>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41efd5-241a-4470-b225-a786206d9a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dedaec-7d70-49d0-a98b-66894347430a"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a12c2e-30ca-4884-a8f3-aaf1cec579a2"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Processed" ma:index="24" nillable="true" ma:displayName="Processed" ma:default="1" ma:format="Dropdown"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016DD-95D1-457F-835E-5C4AFE2358A5}">
  <ds:schemaRefs>
    <ds:schemaRef ds:uri="http://purl.org/dc/dcmitype/"/>
    <ds:schemaRef ds:uri="http://schemas.microsoft.com/office/infopath/2007/PartnerControls"/>
    <ds:schemaRef ds:uri="http://purl.org/dc/elements/1.1/"/>
    <ds:schemaRef ds:uri="http://schemas.microsoft.com/office/2006/metadata/properties"/>
    <ds:schemaRef ds:uri="81dedaec-7d70-49d0-a98b-66894347430a"/>
    <ds:schemaRef ds:uri="http://schemas.microsoft.com/sharepoint/v3"/>
    <ds:schemaRef ds:uri="http://purl.org/dc/terms/"/>
    <ds:schemaRef ds:uri="http://schemas.openxmlformats.org/package/2006/metadata/core-properties"/>
    <ds:schemaRef ds:uri="http://schemas.microsoft.com/office/2006/documentManagement/types"/>
    <ds:schemaRef ds:uri="87a12c2e-30ca-4884-a8f3-aaf1cec579a2"/>
    <ds:schemaRef ds:uri="2741efd5-241a-4470-b225-a786206d9aef"/>
    <ds:schemaRef ds:uri="http://www.w3.org/XML/1998/namespace"/>
  </ds:schemaRefs>
</ds:datastoreItem>
</file>

<file path=customXml/itemProps2.xml><?xml version="1.0" encoding="utf-8"?>
<ds:datastoreItem xmlns:ds="http://schemas.openxmlformats.org/officeDocument/2006/customXml" ds:itemID="{07C17494-BDEC-43CF-A73B-97BF3D9F08F2}">
  <ds:schemaRefs>
    <ds:schemaRef ds:uri="http://schemas.microsoft.com/sharepoint/v3/contenttype/forms"/>
  </ds:schemaRefs>
</ds:datastoreItem>
</file>

<file path=customXml/itemProps3.xml><?xml version="1.0" encoding="utf-8"?>
<ds:datastoreItem xmlns:ds="http://schemas.openxmlformats.org/officeDocument/2006/customXml" ds:itemID="{2A9EE01F-7C6B-4ACF-BD90-B8756CC43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41efd5-241a-4470-b225-a786206d9aef"/>
    <ds:schemaRef ds:uri="81dedaec-7d70-49d0-a98b-66894347430a"/>
    <ds:schemaRef ds:uri="87a12c2e-30ca-4884-a8f3-aaf1cec57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E52E27-ED1B-4C8B-A6B0-F229B22F1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7667</Words>
  <Characters>49992</Characters>
  <Application>Microsoft Office Word</Application>
  <DocSecurity>0</DocSecurity>
  <Lines>416</Lines>
  <Paragraphs>115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Version 1</vt:lpstr>
      <vt:lpstr>Version 1</vt:lpstr>
      <vt:lpstr>Version 1</vt:lpstr>
    </vt:vector>
  </TitlesOfParts>
  <Company>EMEA</Company>
  <LinksUpToDate>false</LinksUpToDate>
  <CharactersWithSpaces>57544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dc:title>
  <dc:subject>General-EMEA/279390/2007</dc:subject>
  <dc:creator>Malychová, Daniela</dc:creator>
  <cp:lastModifiedBy>Skladaná, Judita</cp:lastModifiedBy>
  <cp:revision>3</cp:revision>
  <cp:lastPrinted>2020-11-26T13:29:00Z</cp:lastPrinted>
  <dcterms:created xsi:type="dcterms:W3CDTF">2020-11-24T10:01:00Z</dcterms:created>
  <dcterms:modified xsi:type="dcterms:W3CDTF">2020-11-26T13:29:00Z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General-EMEA/279390/2007</vt:lpwstr>
  </property>
  <property fmtid="{D5CDD505-2E9C-101B-9397-08002B2CF9AE}" pid="6" name="DM_Title">
    <vt:lpwstr/>
  </property>
  <property fmtid="{D5CDD505-2E9C-101B-9397-08002B2CF9AE}" pid="7" name="DM_Language">
    <vt:lpwstr/>
  </property>
  <property fmtid="{D5CDD505-2E9C-101B-9397-08002B2CF9AE}" pid="8" name="DM_Name">
    <vt:lpwstr>Hreferralspcen</vt:lpwstr>
  </property>
  <property fmtid="{D5CDD505-2E9C-101B-9397-08002B2CF9AE}" pid="9" name="DM_Owner">
    <vt:lpwstr>Le Visage Genevieve</vt:lpwstr>
  </property>
  <property fmtid="{D5CDD505-2E9C-101B-9397-08002B2CF9AE}" pid="10" name="DM_Creation_Date">
    <vt:lpwstr>21/06/2007 14:03:21</vt:lpwstr>
  </property>
  <property fmtid="{D5CDD505-2E9C-101B-9397-08002B2CF9AE}" pid="11" name="DM_Creator_Name">
    <vt:lpwstr>Le Visage Genevieve</vt:lpwstr>
  </property>
  <property fmtid="{D5CDD505-2E9C-101B-9397-08002B2CF9AE}" pid="12" name="DM_Modifer_Name">
    <vt:lpwstr>Le Visage Genevieve</vt:lpwstr>
  </property>
  <property fmtid="{D5CDD505-2E9C-101B-9397-08002B2CF9AE}" pid="13" name="DM_Modified_Date">
    <vt:lpwstr>21/06/2007 14:03:40</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EMEA/279390/2007</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279390</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2007</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ContentTypeId">
    <vt:lpwstr>0x010100DE7D130A5A58B8439ABFAABEC7E6D768</vt:lpwstr>
  </property>
</Properties>
</file>