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230AA" w14:textId="77777777" w:rsidR="0031083D" w:rsidRPr="003016F7" w:rsidRDefault="0031083D" w:rsidP="003016F7">
      <w:pPr>
        <w:pStyle w:val="Nzov"/>
        <w:spacing w:line="240" w:lineRule="auto"/>
        <w:rPr>
          <w:b w:val="0"/>
        </w:rPr>
      </w:pPr>
      <w:bookmarkStart w:id="0" w:name="_GoBack"/>
      <w:bookmarkEnd w:id="0"/>
    </w:p>
    <w:p w14:paraId="2F1230AB" w14:textId="77777777" w:rsidR="00AE5C79" w:rsidRDefault="00727BFA" w:rsidP="003016F7">
      <w:pPr>
        <w:pStyle w:val="Nzov"/>
        <w:spacing w:line="240" w:lineRule="auto"/>
      </w:pPr>
      <w:r>
        <w:t>SÚHRN CHARAKTERISTICKÝCH VLASTNOSTÍ LIEKU</w:t>
      </w:r>
    </w:p>
    <w:p w14:paraId="2F1230AC" w14:textId="77777777" w:rsidR="00AE5C79" w:rsidRPr="003016F7" w:rsidRDefault="00AE5C79" w:rsidP="003016F7">
      <w:pPr>
        <w:widowControl w:val="0"/>
        <w:autoSpaceDE w:val="0"/>
        <w:autoSpaceDN w:val="0"/>
        <w:adjustRightInd w:val="0"/>
        <w:jc w:val="both"/>
        <w:rPr>
          <w:bCs/>
          <w:sz w:val="22"/>
          <w:szCs w:val="22"/>
        </w:rPr>
      </w:pPr>
    </w:p>
    <w:p w14:paraId="2F1230AD" w14:textId="77777777" w:rsidR="00AE5C79" w:rsidRPr="003016F7" w:rsidRDefault="00AE5C79" w:rsidP="003016F7">
      <w:pPr>
        <w:widowControl w:val="0"/>
        <w:autoSpaceDE w:val="0"/>
        <w:autoSpaceDN w:val="0"/>
        <w:adjustRightInd w:val="0"/>
        <w:jc w:val="both"/>
        <w:rPr>
          <w:bCs/>
          <w:sz w:val="22"/>
          <w:szCs w:val="22"/>
        </w:rPr>
      </w:pPr>
    </w:p>
    <w:p w14:paraId="2F1230AE" w14:textId="77777777" w:rsidR="00AE5C79" w:rsidRDefault="00AE5C79" w:rsidP="003016F7">
      <w:pPr>
        <w:widowControl w:val="0"/>
        <w:autoSpaceDE w:val="0"/>
        <w:autoSpaceDN w:val="0"/>
        <w:adjustRightInd w:val="0"/>
        <w:jc w:val="both"/>
        <w:rPr>
          <w:b/>
          <w:bCs/>
          <w:sz w:val="22"/>
          <w:szCs w:val="22"/>
        </w:rPr>
      </w:pPr>
      <w:r>
        <w:rPr>
          <w:b/>
          <w:bCs/>
          <w:sz w:val="22"/>
          <w:szCs w:val="22"/>
        </w:rPr>
        <w:t>1.</w:t>
      </w:r>
      <w:r>
        <w:rPr>
          <w:b/>
          <w:bCs/>
          <w:sz w:val="22"/>
          <w:szCs w:val="22"/>
        </w:rPr>
        <w:tab/>
        <w:t>NÁZOV LIEKU</w:t>
      </w:r>
    </w:p>
    <w:p w14:paraId="2F1230AF" w14:textId="77777777" w:rsidR="00AE5C79" w:rsidRDefault="00AE5C79" w:rsidP="003016F7">
      <w:pPr>
        <w:widowControl w:val="0"/>
        <w:autoSpaceDE w:val="0"/>
        <w:autoSpaceDN w:val="0"/>
        <w:adjustRightInd w:val="0"/>
        <w:jc w:val="both"/>
        <w:rPr>
          <w:sz w:val="22"/>
          <w:szCs w:val="22"/>
        </w:rPr>
      </w:pPr>
    </w:p>
    <w:p w14:paraId="2F1230B0" w14:textId="77777777" w:rsidR="00AE5C79" w:rsidRDefault="00AE5C79" w:rsidP="003016F7">
      <w:pPr>
        <w:rPr>
          <w:sz w:val="22"/>
        </w:rPr>
      </w:pPr>
      <w:r>
        <w:rPr>
          <w:sz w:val="22"/>
        </w:rPr>
        <w:t>CALTRATE PLUS</w:t>
      </w:r>
    </w:p>
    <w:p w14:paraId="2F1230B1" w14:textId="77777777" w:rsidR="00E45324" w:rsidRPr="00F335F0" w:rsidRDefault="00E45324" w:rsidP="003016F7">
      <w:pPr>
        <w:rPr>
          <w:sz w:val="22"/>
        </w:rPr>
      </w:pPr>
      <w:r w:rsidRPr="00F335F0">
        <w:rPr>
          <w:bCs/>
          <w:sz w:val="22"/>
        </w:rPr>
        <w:t>filmom obalené tablety</w:t>
      </w:r>
    </w:p>
    <w:p w14:paraId="2F1230B2" w14:textId="77777777" w:rsidR="00AE5C79" w:rsidRDefault="00AE5C79" w:rsidP="003016F7">
      <w:pPr>
        <w:widowControl w:val="0"/>
        <w:autoSpaceDE w:val="0"/>
        <w:autoSpaceDN w:val="0"/>
        <w:adjustRightInd w:val="0"/>
        <w:jc w:val="both"/>
        <w:rPr>
          <w:sz w:val="22"/>
          <w:szCs w:val="22"/>
        </w:rPr>
      </w:pPr>
    </w:p>
    <w:p w14:paraId="2F1230B3" w14:textId="77777777" w:rsidR="00AE5C79" w:rsidRDefault="00AE5C79" w:rsidP="003016F7">
      <w:pPr>
        <w:pStyle w:val="EMEAEnBodyText"/>
        <w:widowControl w:val="0"/>
        <w:autoSpaceDE w:val="0"/>
        <w:autoSpaceDN w:val="0"/>
        <w:adjustRightInd w:val="0"/>
        <w:spacing w:before="0" w:after="0"/>
        <w:rPr>
          <w:lang w:val="sk-SK" w:eastAsia="sk-SK"/>
        </w:rPr>
      </w:pPr>
    </w:p>
    <w:p w14:paraId="2F1230B4" w14:textId="77777777" w:rsidR="00AE5C79" w:rsidRDefault="00AE5C79" w:rsidP="003016F7">
      <w:pPr>
        <w:widowControl w:val="0"/>
        <w:autoSpaceDE w:val="0"/>
        <w:autoSpaceDN w:val="0"/>
        <w:adjustRightInd w:val="0"/>
        <w:jc w:val="both"/>
        <w:rPr>
          <w:b/>
          <w:bCs/>
          <w:sz w:val="22"/>
          <w:szCs w:val="22"/>
        </w:rPr>
      </w:pPr>
      <w:r>
        <w:rPr>
          <w:b/>
          <w:bCs/>
          <w:sz w:val="22"/>
          <w:szCs w:val="22"/>
        </w:rPr>
        <w:t>2.</w:t>
      </w:r>
      <w:r>
        <w:rPr>
          <w:b/>
          <w:bCs/>
          <w:sz w:val="22"/>
          <w:szCs w:val="22"/>
        </w:rPr>
        <w:tab/>
        <w:t>KVALITATÍVNE A KVANTITATÍVNE ZLOŽENIE</w:t>
      </w:r>
    </w:p>
    <w:p w14:paraId="2F1230B5" w14:textId="77777777" w:rsidR="00AE5C79" w:rsidRDefault="00AE5C79" w:rsidP="003016F7">
      <w:pPr>
        <w:widowControl w:val="0"/>
        <w:autoSpaceDE w:val="0"/>
        <w:autoSpaceDN w:val="0"/>
        <w:adjustRightInd w:val="0"/>
        <w:jc w:val="both"/>
        <w:rPr>
          <w:sz w:val="22"/>
          <w:szCs w:val="22"/>
        </w:rPr>
      </w:pPr>
    </w:p>
    <w:p w14:paraId="2F1230B6" w14:textId="77777777" w:rsidR="00AE5C79" w:rsidRDefault="00674C50" w:rsidP="003016F7">
      <w:pPr>
        <w:pStyle w:val="EMEAEnBodyText"/>
        <w:widowControl w:val="0"/>
        <w:autoSpaceDE w:val="0"/>
        <w:autoSpaceDN w:val="0"/>
        <w:adjustRightInd w:val="0"/>
        <w:spacing w:before="0" w:after="0"/>
        <w:rPr>
          <w:lang w:val="sk-SK" w:eastAsia="sk-SK"/>
        </w:rPr>
      </w:pPr>
      <w:r>
        <w:rPr>
          <w:lang w:val="sk-SK" w:eastAsia="sk-SK"/>
        </w:rPr>
        <w:t xml:space="preserve">Jedna </w:t>
      </w:r>
      <w:r w:rsidR="00AE5C79">
        <w:rPr>
          <w:lang w:val="sk-SK" w:eastAsia="sk-SK"/>
        </w:rPr>
        <w:t>tableta obsahuje:</w:t>
      </w:r>
    </w:p>
    <w:p w14:paraId="2F1230B7" w14:textId="77777777" w:rsidR="00AE5C79" w:rsidRDefault="00AE5C79" w:rsidP="003016F7">
      <w:pPr>
        <w:widowControl w:val="0"/>
        <w:autoSpaceDE w:val="0"/>
        <w:autoSpaceDN w:val="0"/>
        <w:adjustRightInd w:val="0"/>
        <w:jc w:val="both"/>
        <w:rPr>
          <w:sz w:val="22"/>
          <w:szCs w:val="22"/>
        </w:rPr>
      </w:pPr>
    </w:p>
    <w:tbl>
      <w:tblPr>
        <w:tblW w:w="9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2"/>
        <w:gridCol w:w="2976"/>
        <w:gridCol w:w="2976"/>
      </w:tblGrid>
      <w:tr w:rsidR="001B12EA" w:rsidRPr="00D56E4E" w14:paraId="2F1230BB" w14:textId="77777777" w:rsidTr="001B12EA">
        <w:trPr>
          <w:trHeight w:val="240"/>
        </w:trPr>
        <w:tc>
          <w:tcPr>
            <w:tcW w:w="3072" w:type="dxa"/>
            <w:vAlign w:val="center"/>
          </w:tcPr>
          <w:p w14:paraId="2F1230B8" w14:textId="77777777" w:rsidR="001B12EA" w:rsidRPr="00C81B18" w:rsidRDefault="001B12EA" w:rsidP="003016F7">
            <w:pPr>
              <w:widowControl w:val="0"/>
              <w:autoSpaceDE w:val="0"/>
              <w:autoSpaceDN w:val="0"/>
              <w:adjustRightInd w:val="0"/>
              <w:rPr>
                <w:sz w:val="22"/>
                <w:szCs w:val="22"/>
              </w:rPr>
            </w:pPr>
            <w:r w:rsidRPr="00C81B18">
              <w:rPr>
                <w:sz w:val="22"/>
                <w:szCs w:val="22"/>
              </w:rPr>
              <w:t>Liečivo</w:t>
            </w:r>
          </w:p>
        </w:tc>
        <w:tc>
          <w:tcPr>
            <w:tcW w:w="2976" w:type="dxa"/>
            <w:vAlign w:val="center"/>
          </w:tcPr>
          <w:p w14:paraId="2F1230B9" w14:textId="77777777" w:rsidR="001B12EA" w:rsidRPr="00C81B18" w:rsidRDefault="001B12EA" w:rsidP="003016F7">
            <w:pPr>
              <w:widowControl w:val="0"/>
              <w:autoSpaceDE w:val="0"/>
              <w:autoSpaceDN w:val="0"/>
              <w:adjustRightInd w:val="0"/>
              <w:rPr>
                <w:sz w:val="22"/>
                <w:szCs w:val="22"/>
              </w:rPr>
            </w:pPr>
            <w:r w:rsidRPr="00C81B18">
              <w:rPr>
                <w:sz w:val="22"/>
                <w:szCs w:val="22"/>
              </w:rPr>
              <w:t>mg/ tableta</w:t>
            </w:r>
          </w:p>
        </w:tc>
        <w:tc>
          <w:tcPr>
            <w:tcW w:w="2976" w:type="dxa"/>
            <w:vAlign w:val="center"/>
          </w:tcPr>
          <w:p w14:paraId="2F1230BA" w14:textId="77777777" w:rsidR="001B12EA" w:rsidRPr="00C81B18" w:rsidRDefault="001B12EA" w:rsidP="003016F7">
            <w:pPr>
              <w:widowControl w:val="0"/>
              <w:autoSpaceDE w:val="0"/>
              <w:autoSpaceDN w:val="0"/>
              <w:adjustRightInd w:val="0"/>
              <w:rPr>
                <w:sz w:val="22"/>
                <w:szCs w:val="22"/>
              </w:rPr>
            </w:pPr>
            <w:r w:rsidRPr="00C81B18">
              <w:rPr>
                <w:sz w:val="22"/>
                <w:szCs w:val="22"/>
              </w:rPr>
              <w:t>zodpovedá</w:t>
            </w:r>
          </w:p>
        </w:tc>
      </w:tr>
      <w:tr w:rsidR="001B12EA" w14:paraId="2F1230BF" w14:textId="77777777" w:rsidTr="001B12EA">
        <w:trPr>
          <w:trHeight w:val="268"/>
        </w:trPr>
        <w:tc>
          <w:tcPr>
            <w:tcW w:w="3072" w:type="dxa"/>
            <w:vAlign w:val="center"/>
          </w:tcPr>
          <w:p w14:paraId="2F1230BC" w14:textId="77777777" w:rsidR="001B12EA" w:rsidRDefault="001B12EA" w:rsidP="003016F7">
            <w:pPr>
              <w:widowControl w:val="0"/>
              <w:autoSpaceDE w:val="0"/>
              <w:autoSpaceDN w:val="0"/>
              <w:adjustRightInd w:val="0"/>
              <w:rPr>
                <w:sz w:val="22"/>
                <w:szCs w:val="22"/>
              </w:rPr>
            </w:pPr>
            <w:r>
              <w:rPr>
                <w:sz w:val="22"/>
                <w:szCs w:val="22"/>
              </w:rPr>
              <w:t>Cholekalciferol</w:t>
            </w:r>
          </w:p>
        </w:tc>
        <w:tc>
          <w:tcPr>
            <w:tcW w:w="2976" w:type="dxa"/>
            <w:vAlign w:val="center"/>
          </w:tcPr>
          <w:p w14:paraId="2F1230BD" w14:textId="77777777" w:rsidR="001B12EA" w:rsidRDefault="001B12EA" w:rsidP="003016F7">
            <w:pPr>
              <w:widowControl w:val="0"/>
              <w:autoSpaceDE w:val="0"/>
              <w:autoSpaceDN w:val="0"/>
              <w:adjustRightInd w:val="0"/>
              <w:rPr>
                <w:sz w:val="22"/>
                <w:szCs w:val="22"/>
              </w:rPr>
            </w:pPr>
            <w:r>
              <w:rPr>
                <w:sz w:val="22"/>
                <w:szCs w:val="22"/>
              </w:rPr>
              <w:t>2,8</w:t>
            </w:r>
          </w:p>
        </w:tc>
        <w:tc>
          <w:tcPr>
            <w:tcW w:w="2976" w:type="dxa"/>
            <w:vAlign w:val="center"/>
          </w:tcPr>
          <w:p w14:paraId="2F1230BE" w14:textId="77777777" w:rsidR="001B12EA" w:rsidRDefault="001B12EA" w:rsidP="003016F7">
            <w:pPr>
              <w:widowControl w:val="0"/>
              <w:autoSpaceDE w:val="0"/>
              <w:autoSpaceDN w:val="0"/>
              <w:adjustRightInd w:val="0"/>
              <w:rPr>
                <w:sz w:val="22"/>
                <w:szCs w:val="22"/>
              </w:rPr>
            </w:pPr>
            <w:r>
              <w:rPr>
                <w:sz w:val="22"/>
                <w:szCs w:val="22"/>
              </w:rPr>
              <w:t>200 IU vitamínu D</w:t>
            </w:r>
          </w:p>
        </w:tc>
      </w:tr>
      <w:tr w:rsidR="001B12EA" w14:paraId="2F1230C3" w14:textId="77777777" w:rsidTr="001B12EA">
        <w:trPr>
          <w:trHeight w:val="268"/>
        </w:trPr>
        <w:tc>
          <w:tcPr>
            <w:tcW w:w="3072" w:type="dxa"/>
            <w:vAlign w:val="center"/>
          </w:tcPr>
          <w:p w14:paraId="2F1230C0" w14:textId="77777777" w:rsidR="001B12EA" w:rsidRDefault="001B12EA" w:rsidP="003016F7">
            <w:pPr>
              <w:widowControl w:val="0"/>
              <w:autoSpaceDE w:val="0"/>
              <w:autoSpaceDN w:val="0"/>
              <w:adjustRightInd w:val="0"/>
              <w:rPr>
                <w:sz w:val="22"/>
                <w:szCs w:val="22"/>
              </w:rPr>
            </w:pPr>
            <w:r>
              <w:rPr>
                <w:sz w:val="22"/>
                <w:szCs w:val="22"/>
              </w:rPr>
              <w:t>Uhličitan vápenatý</w:t>
            </w:r>
          </w:p>
        </w:tc>
        <w:tc>
          <w:tcPr>
            <w:tcW w:w="2976" w:type="dxa"/>
            <w:vAlign w:val="center"/>
          </w:tcPr>
          <w:p w14:paraId="2F1230C1" w14:textId="77777777" w:rsidR="001B12EA" w:rsidRDefault="001B12EA" w:rsidP="003016F7">
            <w:pPr>
              <w:widowControl w:val="0"/>
              <w:autoSpaceDE w:val="0"/>
              <w:autoSpaceDN w:val="0"/>
              <w:adjustRightInd w:val="0"/>
              <w:rPr>
                <w:sz w:val="22"/>
                <w:szCs w:val="22"/>
              </w:rPr>
            </w:pPr>
            <w:r>
              <w:rPr>
                <w:sz w:val="22"/>
                <w:szCs w:val="22"/>
              </w:rPr>
              <w:t>1512,82</w:t>
            </w:r>
          </w:p>
        </w:tc>
        <w:tc>
          <w:tcPr>
            <w:tcW w:w="2976" w:type="dxa"/>
            <w:vAlign w:val="center"/>
          </w:tcPr>
          <w:p w14:paraId="2F1230C2" w14:textId="77777777" w:rsidR="001B12EA" w:rsidRDefault="001B12EA" w:rsidP="003016F7">
            <w:pPr>
              <w:widowControl w:val="0"/>
              <w:autoSpaceDE w:val="0"/>
              <w:autoSpaceDN w:val="0"/>
              <w:adjustRightInd w:val="0"/>
              <w:rPr>
                <w:sz w:val="22"/>
                <w:szCs w:val="22"/>
              </w:rPr>
            </w:pPr>
            <w:r>
              <w:rPr>
                <w:sz w:val="22"/>
                <w:szCs w:val="22"/>
              </w:rPr>
              <w:t>600 mg vápnika</w:t>
            </w:r>
          </w:p>
        </w:tc>
      </w:tr>
      <w:tr w:rsidR="001B12EA" w14:paraId="2F1230C7" w14:textId="77777777" w:rsidTr="001B12EA">
        <w:trPr>
          <w:trHeight w:val="249"/>
        </w:trPr>
        <w:tc>
          <w:tcPr>
            <w:tcW w:w="3072" w:type="dxa"/>
            <w:vAlign w:val="center"/>
          </w:tcPr>
          <w:p w14:paraId="2F1230C4" w14:textId="77777777" w:rsidR="001B12EA" w:rsidRDefault="001B12EA" w:rsidP="003016F7">
            <w:pPr>
              <w:widowControl w:val="0"/>
              <w:autoSpaceDE w:val="0"/>
              <w:autoSpaceDN w:val="0"/>
              <w:adjustRightInd w:val="0"/>
              <w:rPr>
                <w:sz w:val="22"/>
                <w:szCs w:val="22"/>
              </w:rPr>
            </w:pPr>
            <w:r>
              <w:rPr>
                <w:sz w:val="22"/>
                <w:szCs w:val="22"/>
              </w:rPr>
              <w:t>Oxid horečnatý</w:t>
            </w:r>
          </w:p>
        </w:tc>
        <w:tc>
          <w:tcPr>
            <w:tcW w:w="2976" w:type="dxa"/>
            <w:vAlign w:val="center"/>
          </w:tcPr>
          <w:p w14:paraId="2F1230C5" w14:textId="77777777" w:rsidR="001B12EA" w:rsidRDefault="001B12EA" w:rsidP="003016F7">
            <w:pPr>
              <w:widowControl w:val="0"/>
              <w:autoSpaceDE w:val="0"/>
              <w:autoSpaceDN w:val="0"/>
              <w:adjustRightInd w:val="0"/>
              <w:rPr>
                <w:sz w:val="22"/>
                <w:szCs w:val="22"/>
              </w:rPr>
            </w:pPr>
            <w:r>
              <w:rPr>
                <w:sz w:val="22"/>
                <w:szCs w:val="22"/>
              </w:rPr>
              <w:t>66,31</w:t>
            </w:r>
          </w:p>
        </w:tc>
        <w:tc>
          <w:tcPr>
            <w:tcW w:w="2976" w:type="dxa"/>
            <w:vAlign w:val="center"/>
          </w:tcPr>
          <w:p w14:paraId="2F1230C6" w14:textId="77777777" w:rsidR="001B12EA" w:rsidRDefault="001B12EA" w:rsidP="003016F7">
            <w:pPr>
              <w:widowControl w:val="0"/>
              <w:autoSpaceDE w:val="0"/>
              <w:autoSpaceDN w:val="0"/>
              <w:adjustRightInd w:val="0"/>
              <w:rPr>
                <w:sz w:val="22"/>
                <w:szCs w:val="22"/>
              </w:rPr>
            </w:pPr>
            <w:r>
              <w:rPr>
                <w:sz w:val="22"/>
                <w:szCs w:val="22"/>
              </w:rPr>
              <w:t>40 mg horčíka</w:t>
            </w:r>
          </w:p>
        </w:tc>
      </w:tr>
      <w:tr w:rsidR="001B12EA" w14:paraId="2F1230CB" w14:textId="77777777" w:rsidTr="001B12EA">
        <w:trPr>
          <w:trHeight w:val="268"/>
        </w:trPr>
        <w:tc>
          <w:tcPr>
            <w:tcW w:w="3072" w:type="dxa"/>
            <w:vAlign w:val="center"/>
          </w:tcPr>
          <w:p w14:paraId="2F1230C8" w14:textId="77777777" w:rsidR="001B12EA" w:rsidRDefault="001B12EA" w:rsidP="003016F7">
            <w:pPr>
              <w:widowControl w:val="0"/>
              <w:autoSpaceDE w:val="0"/>
              <w:autoSpaceDN w:val="0"/>
              <w:adjustRightInd w:val="0"/>
              <w:rPr>
                <w:sz w:val="22"/>
                <w:szCs w:val="22"/>
              </w:rPr>
            </w:pPr>
            <w:r>
              <w:rPr>
                <w:sz w:val="22"/>
                <w:szCs w:val="22"/>
              </w:rPr>
              <w:t>Oxid zinočnatý</w:t>
            </w:r>
          </w:p>
        </w:tc>
        <w:tc>
          <w:tcPr>
            <w:tcW w:w="2976" w:type="dxa"/>
            <w:vAlign w:val="center"/>
          </w:tcPr>
          <w:p w14:paraId="2F1230C9" w14:textId="77777777" w:rsidR="001B12EA" w:rsidRDefault="001B12EA" w:rsidP="003016F7">
            <w:pPr>
              <w:widowControl w:val="0"/>
              <w:autoSpaceDE w:val="0"/>
              <w:autoSpaceDN w:val="0"/>
              <w:adjustRightInd w:val="0"/>
              <w:rPr>
                <w:sz w:val="22"/>
                <w:szCs w:val="22"/>
              </w:rPr>
            </w:pPr>
            <w:r>
              <w:rPr>
                <w:sz w:val="22"/>
                <w:szCs w:val="22"/>
              </w:rPr>
              <w:t>9,33</w:t>
            </w:r>
          </w:p>
        </w:tc>
        <w:tc>
          <w:tcPr>
            <w:tcW w:w="2976" w:type="dxa"/>
            <w:vAlign w:val="center"/>
          </w:tcPr>
          <w:p w14:paraId="2F1230CA" w14:textId="77777777" w:rsidR="001B12EA" w:rsidRDefault="001B12EA" w:rsidP="003016F7">
            <w:pPr>
              <w:widowControl w:val="0"/>
              <w:autoSpaceDE w:val="0"/>
              <w:autoSpaceDN w:val="0"/>
              <w:adjustRightInd w:val="0"/>
              <w:rPr>
                <w:sz w:val="22"/>
                <w:szCs w:val="22"/>
              </w:rPr>
            </w:pPr>
            <w:r>
              <w:rPr>
                <w:sz w:val="22"/>
                <w:szCs w:val="22"/>
              </w:rPr>
              <w:t>7,5 mg zinku</w:t>
            </w:r>
          </w:p>
        </w:tc>
      </w:tr>
      <w:tr w:rsidR="001B12EA" w14:paraId="2F1230CF" w14:textId="77777777" w:rsidTr="001B12EA">
        <w:trPr>
          <w:trHeight w:val="268"/>
        </w:trPr>
        <w:tc>
          <w:tcPr>
            <w:tcW w:w="3072" w:type="dxa"/>
            <w:vAlign w:val="center"/>
          </w:tcPr>
          <w:p w14:paraId="2F1230CC" w14:textId="77777777" w:rsidR="001B12EA" w:rsidRDefault="001B12EA" w:rsidP="003016F7">
            <w:pPr>
              <w:widowControl w:val="0"/>
              <w:autoSpaceDE w:val="0"/>
              <w:autoSpaceDN w:val="0"/>
              <w:adjustRightInd w:val="0"/>
              <w:rPr>
                <w:sz w:val="22"/>
                <w:szCs w:val="22"/>
              </w:rPr>
            </w:pPr>
            <w:r>
              <w:rPr>
                <w:sz w:val="22"/>
                <w:szCs w:val="22"/>
              </w:rPr>
              <w:t>Oxid meďnatý</w:t>
            </w:r>
          </w:p>
        </w:tc>
        <w:tc>
          <w:tcPr>
            <w:tcW w:w="2976" w:type="dxa"/>
            <w:vAlign w:val="center"/>
          </w:tcPr>
          <w:p w14:paraId="2F1230CD" w14:textId="77777777" w:rsidR="001B12EA" w:rsidRDefault="001B12EA" w:rsidP="003016F7">
            <w:pPr>
              <w:widowControl w:val="0"/>
              <w:autoSpaceDE w:val="0"/>
              <w:autoSpaceDN w:val="0"/>
              <w:adjustRightInd w:val="0"/>
              <w:rPr>
                <w:sz w:val="22"/>
                <w:szCs w:val="22"/>
              </w:rPr>
            </w:pPr>
            <w:r>
              <w:rPr>
                <w:sz w:val="22"/>
                <w:szCs w:val="22"/>
              </w:rPr>
              <w:t>1,25</w:t>
            </w:r>
          </w:p>
        </w:tc>
        <w:tc>
          <w:tcPr>
            <w:tcW w:w="2976" w:type="dxa"/>
            <w:vAlign w:val="center"/>
          </w:tcPr>
          <w:p w14:paraId="2F1230CE" w14:textId="77777777" w:rsidR="001B12EA" w:rsidRDefault="001B12EA" w:rsidP="003016F7">
            <w:pPr>
              <w:widowControl w:val="0"/>
              <w:autoSpaceDE w:val="0"/>
              <w:autoSpaceDN w:val="0"/>
              <w:adjustRightInd w:val="0"/>
              <w:rPr>
                <w:sz w:val="22"/>
                <w:szCs w:val="22"/>
              </w:rPr>
            </w:pPr>
            <w:r>
              <w:rPr>
                <w:sz w:val="22"/>
                <w:szCs w:val="22"/>
              </w:rPr>
              <w:t>1 mg medi</w:t>
            </w:r>
          </w:p>
        </w:tc>
      </w:tr>
      <w:tr w:rsidR="001B12EA" w14:paraId="2F1230D3" w14:textId="77777777" w:rsidTr="001B12EA">
        <w:trPr>
          <w:trHeight w:val="264"/>
        </w:trPr>
        <w:tc>
          <w:tcPr>
            <w:tcW w:w="3072" w:type="dxa"/>
            <w:vAlign w:val="center"/>
          </w:tcPr>
          <w:p w14:paraId="2F1230D0" w14:textId="77777777" w:rsidR="001B12EA" w:rsidRDefault="001B12EA" w:rsidP="003016F7">
            <w:pPr>
              <w:widowControl w:val="0"/>
              <w:autoSpaceDE w:val="0"/>
              <w:autoSpaceDN w:val="0"/>
              <w:adjustRightInd w:val="0"/>
              <w:rPr>
                <w:sz w:val="22"/>
                <w:szCs w:val="22"/>
              </w:rPr>
            </w:pPr>
            <w:r>
              <w:rPr>
                <w:sz w:val="22"/>
                <w:szCs w:val="22"/>
              </w:rPr>
              <w:t>Síran manganatý</w:t>
            </w:r>
          </w:p>
        </w:tc>
        <w:tc>
          <w:tcPr>
            <w:tcW w:w="2976" w:type="dxa"/>
            <w:vAlign w:val="center"/>
          </w:tcPr>
          <w:p w14:paraId="2F1230D1" w14:textId="77777777" w:rsidR="001B12EA" w:rsidRDefault="001B12EA" w:rsidP="003016F7">
            <w:pPr>
              <w:widowControl w:val="0"/>
              <w:autoSpaceDE w:val="0"/>
              <w:autoSpaceDN w:val="0"/>
              <w:adjustRightInd w:val="0"/>
              <w:rPr>
                <w:sz w:val="22"/>
                <w:szCs w:val="22"/>
              </w:rPr>
            </w:pPr>
            <w:r>
              <w:rPr>
                <w:sz w:val="22"/>
                <w:szCs w:val="22"/>
              </w:rPr>
              <w:t>5,54</w:t>
            </w:r>
          </w:p>
        </w:tc>
        <w:tc>
          <w:tcPr>
            <w:tcW w:w="2976" w:type="dxa"/>
            <w:vAlign w:val="center"/>
          </w:tcPr>
          <w:p w14:paraId="2F1230D2" w14:textId="77777777" w:rsidR="001B12EA" w:rsidRDefault="001B12EA" w:rsidP="003016F7">
            <w:pPr>
              <w:widowControl w:val="0"/>
              <w:autoSpaceDE w:val="0"/>
              <w:autoSpaceDN w:val="0"/>
              <w:adjustRightInd w:val="0"/>
              <w:rPr>
                <w:sz w:val="22"/>
                <w:szCs w:val="22"/>
              </w:rPr>
            </w:pPr>
            <w:r>
              <w:rPr>
                <w:sz w:val="22"/>
                <w:szCs w:val="22"/>
              </w:rPr>
              <w:t>1,8 mg mangánu</w:t>
            </w:r>
          </w:p>
        </w:tc>
      </w:tr>
      <w:tr w:rsidR="001B12EA" w14:paraId="2F1230D7" w14:textId="77777777" w:rsidTr="001B12EA">
        <w:trPr>
          <w:trHeight w:val="249"/>
        </w:trPr>
        <w:tc>
          <w:tcPr>
            <w:tcW w:w="3072" w:type="dxa"/>
            <w:vAlign w:val="center"/>
          </w:tcPr>
          <w:p w14:paraId="2F1230D4" w14:textId="77777777" w:rsidR="001B12EA" w:rsidRDefault="001B12EA" w:rsidP="003016F7">
            <w:pPr>
              <w:widowControl w:val="0"/>
              <w:autoSpaceDE w:val="0"/>
              <w:autoSpaceDN w:val="0"/>
              <w:adjustRightInd w:val="0"/>
              <w:rPr>
                <w:sz w:val="22"/>
                <w:szCs w:val="22"/>
              </w:rPr>
            </w:pPr>
            <w:r>
              <w:rPr>
                <w:sz w:val="22"/>
                <w:szCs w:val="22"/>
              </w:rPr>
              <w:t>Bórax</w:t>
            </w:r>
          </w:p>
        </w:tc>
        <w:tc>
          <w:tcPr>
            <w:tcW w:w="2976" w:type="dxa"/>
            <w:vAlign w:val="center"/>
          </w:tcPr>
          <w:p w14:paraId="2F1230D5" w14:textId="77777777" w:rsidR="001B12EA" w:rsidRDefault="001B12EA" w:rsidP="003016F7">
            <w:pPr>
              <w:widowControl w:val="0"/>
              <w:autoSpaceDE w:val="0"/>
              <w:autoSpaceDN w:val="0"/>
              <w:adjustRightInd w:val="0"/>
              <w:rPr>
                <w:sz w:val="22"/>
                <w:szCs w:val="22"/>
              </w:rPr>
            </w:pPr>
            <w:r>
              <w:rPr>
                <w:sz w:val="22"/>
                <w:szCs w:val="22"/>
              </w:rPr>
              <w:t>2,23</w:t>
            </w:r>
          </w:p>
        </w:tc>
        <w:tc>
          <w:tcPr>
            <w:tcW w:w="2976" w:type="dxa"/>
            <w:vAlign w:val="center"/>
          </w:tcPr>
          <w:p w14:paraId="2F1230D6" w14:textId="77777777" w:rsidR="001B12EA" w:rsidRDefault="001B12EA" w:rsidP="003016F7">
            <w:pPr>
              <w:widowControl w:val="0"/>
              <w:autoSpaceDE w:val="0"/>
              <w:autoSpaceDN w:val="0"/>
              <w:adjustRightInd w:val="0"/>
              <w:rPr>
                <w:sz w:val="22"/>
                <w:szCs w:val="22"/>
              </w:rPr>
            </w:pPr>
            <w:r>
              <w:rPr>
                <w:sz w:val="22"/>
                <w:szCs w:val="22"/>
              </w:rPr>
              <w:t>0,25 mg bóru</w:t>
            </w:r>
          </w:p>
        </w:tc>
      </w:tr>
    </w:tbl>
    <w:p w14:paraId="2F1230D8" w14:textId="77777777" w:rsidR="00AE5C79" w:rsidRDefault="00AE5C79" w:rsidP="003016F7">
      <w:pPr>
        <w:widowControl w:val="0"/>
        <w:autoSpaceDE w:val="0"/>
        <w:autoSpaceDN w:val="0"/>
        <w:adjustRightInd w:val="0"/>
        <w:rPr>
          <w:sz w:val="22"/>
          <w:szCs w:val="22"/>
        </w:rPr>
      </w:pPr>
    </w:p>
    <w:p w14:paraId="2F1230D9" w14:textId="77777777" w:rsidR="00AE5C79" w:rsidRDefault="00AE5C79" w:rsidP="003016F7">
      <w:pPr>
        <w:pStyle w:val="Zkladntext"/>
        <w:spacing w:line="240" w:lineRule="auto"/>
      </w:pPr>
      <w:bookmarkStart w:id="1" w:name="OLE_LINK1"/>
      <w:r w:rsidRPr="0065099F">
        <w:rPr>
          <w:u w:val="single"/>
        </w:rPr>
        <w:t>Pomocné látky</w:t>
      </w:r>
      <w:r w:rsidR="0065099F" w:rsidRPr="0065099F">
        <w:rPr>
          <w:u w:val="single"/>
        </w:rPr>
        <w:t xml:space="preserve"> so známym účinkom</w:t>
      </w:r>
      <w:r w:rsidRPr="0065099F">
        <w:rPr>
          <w:u w:val="single"/>
        </w:rPr>
        <w:t>:</w:t>
      </w:r>
      <w:r>
        <w:t xml:space="preserve"> </w:t>
      </w:r>
      <w:r w:rsidR="001B12EA">
        <w:t xml:space="preserve">sacharóza, čiastočne hydrogenovaný sójový olej, </w:t>
      </w:r>
      <w:r>
        <w:t>hlinitý lak červene allura AC</w:t>
      </w:r>
      <w:r w:rsidR="00674C50">
        <w:t xml:space="preserve"> (E129)</w:t>
      </w:r>
      <w:r>
        <w:t xml:space="preserve">, hlinitý lak oranžovej </w:t>
      </w:r>
      <w:r w:rsidRPr="00D2218F">
        <w:t>žlt</w:t>
      </w:r>
      <w:r w:rsidR="009B7C7F">
        <w:t>i</w:t>
      </w:r>
      <w:r w:rsidR="00674C50" w:rsidRPr="00D2218F">
        <w:t xml:space="preserve"> (</w:t>
      </w:r>
      <w:r w:rsidR="00674C50">
        <w:t>E110)</w:t>
      </w:r>
      <w:r>
        <w:t>.</w:t>
      </w:r>
    </w:p>
    <w:p w14:paraId="2F1230DA" w14:textId="77777777" w:rsidR="00AE5C79" w:rsidRDefault="00AE5C79" w:rsidP="003016F7">
      <w:pPr>
        <w:pStyle w:val="Zkladntext"/>
        <w:spacing w:line="240" w:lineRule="auto"/>
      </w:pPr>
    </w:p>
    <w:p w14:paraId="2F1230DB" w14:textId="77777777" w:rsidR="00AE5C79" w:rsidRDefault="00AE5C79" w:rsidP="003016F7">
      <w:pPr>
        <w:pStyle w:val="Zkladntext"/>
        <w:spacing w:line="240" w:lineRule="auto"/>
      </w:pPr>
      <w:r>
        <w:t>Úplný zoznam pomocných látok, pozri časť 6.1.</w:t>
      </w:r>
      <w:bookmarkEnd w:id="1"/>
    </w:p>
    <w:p w14:paraId="2F1230DC" w14:textId="77777777" w:rsidR="00AE5C79" w:rsidRDefault="00AE5C79" w:rsidP="003016F7">
      <w:pPr>
        <w:widowControl w:val="0"/>
        <w:autoSpaceDE w:val="0"/>
        <w:autoSpaceDN w:val="0"/>
        <w:adjustRightInd w:val="0"/>
        <w:rPr>
          <w:sz w:val="22"/>
          <w:szCs w:val="22"/>
        </w:rPr>
      </w:pPr>
    </w:p>
    <w:p w14:paraId="2F1230DD" w14:textId="77777777" w:rsidR="00AE5C79" w:rsidRDefault="00AE5C79" w:rsidP="003016F7">
      <w:pPr>
        <w:widowControl w:val="0"/>
        <w:autoSpaceDE w:val="0"/>
        <w:autoSpaceDN w:val="0"/>
        <w:adjustRightInd w:val="0"/>
        <w:rPr>
          <w:sz w:val="22"/>
          <w:szCs w:val="22"/>
        </w:rPr>
      </w:pPr>
    </w:p>
    <w:p w14:paraId="2F1230DE" w14:textId="77777777" w:rsidR="00AE5C79" w:rsidRDefault="00AE5C79" w:rsidP="003016F7">
      <w:pPr>
        <w:widowControl w:val="0"/>
        <w:autoSpaceDE w:val="0"/>
        <w:autoSpaceDN w:val="0"/>
        <w:adjustRightInd w:val="0"/>
        <w:rPr>
          <w:b/>
          <w:bCs/>
          <w:sz w:val="22"/>
          <w:szCs w:val="22"/>
        </w:rPr>
      </w:pPr>
      <w:r>
        <w:rPr>
          <w:b/>
          <w:bCs/>
          <w:sz w:val="22"/>
          <w:szCs w:val="22"/>
        </w:rPr>
        <w:t>3.</w:t>
      </w:r>
      <w:r>
        <w:rPr>
          <w:b/>
          <w:bCs/>
          <w:sz w:val="22"/>
          <w:szCs w:val="22"/>
        </w:rPr>
        <w:tab/>
        <w:t>LIEKOVÁ FORMA</w:t>
      </w:r>
    </w:p>
    <w:p w14:paraId="2F1230DF" w14:textId="77777777" w:rsidR="00AE5C79" w:rsidRDefault="00AE5C79" w:rsidP="003016F7">
      <w:pPr>
        <w:widowControl w:val="0"/>
        <w:autoSpaceDE w:val="0"/>
        <w:autoSpaceDN w:val="0"/>
        <w:adjustRightInd w:val="0"/>
        <w:rPr>
          <w:sz w:val="22"/>
          <w:szCs w:val="22"/>
        </w:rPr>
      </w:pPr>
    </w:p>
    <w:p w14:paraId="2F1230E0" w14:textId="77777777" w:rsidR="00AE5C79" w:rsidRDefault="00AE5C79" w:rsidP="003016F7">
      <w:pPr>
        <w:widowControl w:val="0"/>
        <w:autoSpaceDE w:val="0"/>
        <w:autoSpaceDN w:val="0"/>
        <w:adjustRightInd w:val="0"/>
        <w:rPr>
          <w:sz w:val="22"/>
          <w:szCs w:val="22"/>
        </w:rPr>
      </w:pPr>
      <w:r>
        <w:rPr>
          <w:sz w:val="22"/>
          <w:szCs w:val="22"/>
        </w:rPr>
        <w:t>Filmom obalená tableta.</w:t>
      </w:r>
    </w:p>
    <w:p w14:paraId="2F1230E1" w14:textId="77777777" w:rsidR="00AE5C79" w:rsidRDefault="00AE5C79" w:rsidP="003016F7">
      <w:pPr>
        <w:widowControl w:val="0"/>
        <w:autoSpaceDE w:val="0"/>
        <w:autoSpaceDN w:val="0"/>
        <w:adjustRightInd w:val="0"/>
        <w:rPr>
          <w:sz w:val="22"/>
          <w:szCs w:val="22"/>
        </w:rPr>
      </w:pPr>
      <w:r>
        <w:rPr>
          <w:sz w:val="22"/>
          <w:szCs w:val="22"/>
        </w:rPr>
        <w:t>Špinavoružové kapsulovité filmom obalené tablety. Na jednej strane je deliaca ryha a vytlačené „M“ naľavo a „600“ napravo od deliacej ryhy. Na druhej strane je vytlačené "CALTRATE".</w:t>
      </w:r>
    </w:p>
    <w:p w14:paraId="2F1230E2" w14:textId="77777777" w:rsidR="00AE5C79" w:rsidRDefault="00AE5C79" w:rsidP="003016F7">
      <w:pPr>
        <w:pStyle w:val="EMEAEnBodyText"/>
        <w:widowControl w:val="0"/>
        <w:autoSpaceDE w:val="0"/>
        <w:autoSpaceDN w:val="0"/>
        <w:adjustRightInd w:val="0"/>
        <w:spacing w:before="0" w:after="0"/>
        <w:rPr>
          <w:lang w:val="sk-SK" w:eastAsia="sk-SK"/>
        </w:rPr>
      </w:pPr>
    </w:p>
    <w:p w14:paraId="2F1230E3" w14:textId="77777777" w:rsidR="00AE5C79" w:rsidRDefault="00AE5C79" w:rsidP="003016F7">
      <w:pPr>
        <w:pStyle w:val="EMEAEnBodyText"/>
        <w:widowControl w:val="0"/>
        <w:autoSpaceDE w:val="0"/>
        <w:autoSpaceDN w:val="0"/>
        <w:adjustRightInd w:val="0"/>
        <w:spacing w:before="0" w:after="0"/>
        <w:rPr>
          <w:lang w:val="sk-SK" w:eastAsia="sk-SK"/>
        </w:rPr>
      </w:pPr>
      <w:r>
        <w:rPr>
          <w:lang w:val="sk-SK"/>
        </w:rPr>
        <w:t>Deliaca ryha iba pomáha rozlomiť tabletu</w:t>
      </w:r>
      <w:r w:rsidR="00F65840">
        <w:rPr>
          <w:lang w:val="sk-SK"/>
        </w:rPr>
        <w:t>,</w:t>
      </w:r>
      <w:r>
        <w:rPr>
          <w:lang w:val="sk-SK"/>
        </w:rPr>
        <w:t xml:space="preserve"> </w:t>
      </w:r>
      <w:r w:rsidR="0065099F" w:rsidRPr="003021DE">
        <w:rPr>
          <w:noProof/>
        </w:rPr>
        <w:t>aby sa dala ľahšie prehltnúť</w:t>
      </w:r>
      <w:r>
        <w:rPr>
          <w:lang w:val="sk-SK"/>
        </w:rPr>
        <w:t xml:space="preserve"> a neslúži na rozdelenie na rovnaké dávky.</w:t>
      </w:r>
    </w:p>
    <w:p w14:paraId="2F1230E4" w14:textId="77777777" w:rsidR="00AE5C79" w:rsidRDefault="00AE5C79" w:rsidP="003016F7">
      <w:pPr>
        <w:widowControl w:val="0"/>
        <w:autoSpaceDE w:val="0"/>
        <w:autoSpaceDN w:val="0"/>
        <w:adjustRightInd w:val="0"/>
        <w:jc w:val="both"/>
        <w:rPr>
          <w:sz w:val="22"/>
          <w:szCs w:val="22"/>
        </w:rPr>
      </w:pPr>
    </w:p>
    <w:p w14:paraId="2F1230E5" w14:textId="77777777" w:rsidR="00AE5C79" w:rsidRDefault="00AE5C79" w:rsidP="003016F7">
      <w:pPr>
        <w:widowControl w:val="0"/>
        <w:autoSpaceDE w:val="0"/>
        <w:autoSpaceDN w:val="0"/>
        <w:adjustRightInd w:val="0"/>
        <w:jc w:val="both"/>
        <w:rPr>
          <w:sz w:val="22"/>
          <w:szCs w:val="22"/>
        </w:rPr>
      </w:pPr>
    </w:p>
    <w:p w14:paraId="2F1230E6" w14:textId="77777777" w:rsidR="00AE5C79" w:rsidRDefault="00AE5C79" w:rsidP="003016F7">
      <w:pPr>
        <w:widowControl w:val="0"/>
        <w:autoSpaceDE w:val="0"/>
        <w:autoSpaceDN w:val="0"/>
        <w:adjustRightInd w:val="0"/>
        <w:jc w:val="both"/>
        <w:rPr>
          <w:b/>
          <w:bCs/>
          <w:sz w:val="22"/>
          <w:szCs w:val="22"/>
        </w:rPr>
      </w:pPr>
      <w:r>
        <w:rPr>
          <w:b/>
          <w:bCs/>
          <w:sz w:val="22"/>
          <w:szCs w:val="22"/>
        </w:rPr>
        <w:t>4.</w:t>
      </w:r>
      <w:r>
        <w:rPr>
          <w:b/>
          <w:bCs/>
          <w:sz w:val="22"/>
          <w:szCs w:val="22"/>
        </w:rPr>
        <w:tab/>
        <w:t>KLINICKÉ ÚDAJE</w:t>
      </w:r>
    </w:p>
    <w:p w14:paraId="2F1230E7" w14:textId="77777777" w:rsidR="00AE5C79" w:rsidRDefault="00AE5C79" w:rsidP="003016F7">
      <w:pPr>
        <w:widowControl w:val="0"/>
        <w:autoSpaceDE w:val="0"/>
        <w:autoSpaceDN w:val="0"/>
        <w:adjustRightInd w:val="0"/>
        <w:jc w:val="both"/>
        <w:rPr>
          <w:sz w:val="22"/>
          <w:szCs w:val="22"/>
        </w:rPr>
      </w:pPr>
    </w:p>
    <w:p w14:paraId="2F1230E8" w14:textId="77777777" w:rsidR="00AE5C79" w:rsidRDefault="00AE5C79" w:rsidP="003016F7">
      <w:pPr>
        <w:widowControl w:val="0"/>
        <w:autoSpaceDE w:val="0"/>
        <w:autoSpaceDN w:val="0"/>
        <w:adjustRightInd w:val="0"/>
        <w:rPr>
          <w:sz w:val="22"/>
          <w:szCs w:val="22"/>
          <w:u w:val="single"/>
        </w:rPr>
      </w:pPr>
      <w:r>
        <w:rPr>
          <w:b/>
          <w:sz w:val="22"/>
          <w:szCs w:val="22"/>
        </w:rPr>
        <w:t>4.1</w:t>
      </w:r>
      <w:r>
        <w:rPr>
          <w:b/>
          <w:sz w:val="22"/>
          <w:szCs w:val="22"/>
        </w:rPr>
        <w:tab/>
        <w:t>Terapeutické indikácie</w:t>
      </w:r>
    </w:p>
    <w:p w14:paraId="2F1230E9" w14:textId="77777777" w:rsidR="00AE5C79" w:rsidRDefault="00AE5C79" w:rsidP="003016F7">
      <w:pPr>
        <w:widowControl w:val="0"/>
        <w:autoSpaceDE w:val="0"/>
        <w:autoSpaceDN w:val="0"/>
        <w:adjustRightInd w:val="0"/>
        <w:rPr>
          <w:sz w:val="22"/>
          <w:szCs w:val="22"/>
        </w:rPr>
      </w:pPr>
    </w:p>
    <w:p w14:paraId="2F1230EA" w14:textId="3A3EBAEC" w:rsidR="00AE5C79" w:rsidRDefault="00204457" w:rsidP="003016F7">
      <w:pPr>
        <w:widowControl w:val="0"/>
        <w:autoSpaceDE w:val="0"/>
        <w:autoSpaceDN w:val="0"/>
        <w:adjustRightInd w:val="0"/>
        <w:rPr>
          <w:sz w:val="22"/>
          <w:szCs w:val="22"/>
        </w:rPr>
      </w:pPr>
      <w:proofErr w:type="spellStart"/>
      <w:r>
        <w:rPr>
          <w:sz w:val="22"/>
          <w:szCs w:val="22"/>
        </w:rPr>
        <w:t>Caltrate</w:t>
      </w:r>
      <w:proofErr w:type="spellEnd"/>
      <w:r>
        <w:rPr>
          <w:sz w:val="22"/>
          <w:szCs w:val="22"/>
        </w:rPr>
        <w:t xml:space="preserve"> Plus</w:t>
      </w:r>
      <w:r w:rsidR="00FC2C05">
        <w:rPr>
          <w:sz w:val="22"/>
          <w:szCs w:val="22"/>
        </w:rPr>
        <w:t xml:space="preserve"> </w:t>
      </w:r>
      <w:r w:rsidR="001B12EA">
        <w:rPr>
          <w:sz w:val="22"/>
          <w:szCs w:val="22"/>
        </w:rPr>
        <w:t>je k</w:t>
      </w:r>
      <w:r w:rsidR="00AE5C79">
        <w:rPr>
          <w:sz w:val="22"/>
          <w:szCs w:val="22"/>
        </w:rPr>
        <w:t>ombinovaný liek s vápnikom, vitamínom D a ďalšími dôležitými minerálmi, určený na úpravu nedostatku vápnika, zvýšenie kostnej denzity a na prevenciu úbytku kostnej hmoty. Používa sa na prevenciu osteoporózy a na suplementáciu vápnika a vitamínu D počas liečby osteoporózy. Je vhodný ako doplnok pri hormonálnej substitučnej liečbe v klimaktériu.</w:t>
      </w:r>
    </w:p>
    <w:p w14:paraId="2F1230EB" w14:textId="77777777" w:rsidR="00AE5C79" w:rsidRDefault="00AE5C79" w:rsidP="003016F7">
      <w:pPr>
        <w:widowControl w:val="0"/>
        <w:autoSpaceDE w:val="0"/>
        <w:autoSpaceDN w:val="0"/>
        <w:adjustRightInd w:val="0"/>
        <w:rPr>
          <w:sz w:val="22"/>
          <w:szCs w:val="22"/>
        </w:rPr>
      </w:pPr>
    </w:p>
    <w:p w14:paraId="2F1230EC" w14:textId="77777777" w:rsidR="00AE5C79" w:rsidRDefault="00AE5C79" w:rsidP="003016F7">
      <w:pPr>
        <w:keepNext/>
        <w:widowControl w:val="0"/>
        <w:autoSpaceDE w:val="0"/>
        <w:autoSpaceDN w:val="0"/>
        <w:adjustRightInd w:val="0"/>
        <w:rPr>
          <w:sz w:val="22"/>
          <w:szCs w:val="22"/>
          <w:u w:val="single"/>
        </w:rPr>
      </w:pPr>
      <w:r>
        <w:rPr>
          <w:b/>
          <w:sz w:val="22"/>
          <w:szCs w:val="22"/>
        </w:rPr>
        <w:t>4.2</w:t>
      </w:r>
      <w:r>
        <w:rPr>
          <w:b/>
          <w:sz w:val="22"/>
          <w:szCs w:val="22"/>
        </w:rPr>
        <w:tab/>
        <w:t>Dávkovanie a spôsob podávania</w:t>
      </w:r>
    </w:p>
    <w:p w14:paraId="2F1230ED" w14:textId="77777777" w:rsidR="00AE5C79" w:rsidRDefault="00AE5C79" w:rsidP="003016F7">
      <w:pPr>
        <w:pStyle w:val="Zkladntext"/>
        <w:keepNext/>
        <w:spacing w:line="240" w:lineRule="auto"/>
      </w:pPr>
    </w:p>
    <w:p w14:paraId="2F1230EE" w14:textId="77777777" w:rsidR="0065099F" w:rsidRPr="0065099F" w:rsidRDefault="0065099F" w:rsidP="003016F7">
      <w:pPr>
        <w:rPr>
          <w:sz w:val="22"/>
          <w:szCs w:val="22"/>
          <w:u w:val="single"/>
        </w:rPr>
      </w:pPr>
      <w:r w:rsidRPr="0065099F">
        <w:rPr>
          <w:sz w:val="22"/>
          <w:szCs w:val="22"/>
          <w:u w:val="single"/>
        </w:rPr>
        <w:t>Dávkovanie</w:t>
      </w:r>
    </w:p>
    <w:p w14:paraId="2F1230EF" w14:textId="77777777" w:rsidR="00AE5C79" w:rsidRDefault="00AE5C79" w:rsidP="003016F7">
      <w:pPr>
        <w:rPr>
          <w:sz w:val="22"/>
          <w:szCs w:val="22"/>
        </w:rPr>
      </w:pPr>
      <w:r>
        <w:rPr>
          <w:sz w:val="22"/>
          <w:szCs w:val="22"/>
        </w:rPr>
        <w:t>Dospelí a</w:t>
      </w:r>
      <w:r w:rsidR="001B12EA">
        <w:rPr>
          <w:sz w:val="22"/>
          <w:szCs w:val="22"/>
        </w:rPr>
        <w:t xml:space="preserve"> </w:t>
      </w:r>
      <w:r w:rsidR="001B12EA" w:rsidRPr="00BF674B">
        <w:rPr>
          <w:sz w:val="22"/>
          <w:szCs w:val="22"/>
        </w:rPr>
        <w:t>dospievajúci</w:t>
      </w:r>
      <w:r>
        <w:rPr>
          <w:sz w:val="22"/>
          <w:szCs w:val="22"/>
        </w:rPr>
        <w:t xml:space="preserve"> od 12 rokov: 1-2 tablety denne (600 – 1200 mg elementárneho kalcia denne).</w:t>
      </w:r>
    </w:p>
    <w:p w14:paraId="2F1230F0" w14:textId="77777777" w:rsidR="004C6B2B" w:rsidRDefault="004C6B2B" w:rsidP="003016F7">
      <w:pPr>
        <w:rPr>
          <w:sz w:val="22"/>
          <w:szCs w:val="22"/>
        </w:rPr>
      </w:pPr>
    </w:p>
    <w:p w14:paraId="2F1230F1" w14:textId="77777777" w:rsidR="001B12EA" w:rsidRDefault="001B12EA" w:rsidP="003016F7">
      <w:pPr>
        <w:rPr>
          <w:sz w:val="22"/>
          <w:szCs w:val="22"/>
        </w:rPr>
      </w:pPr>
      <w:r>
        <w:rPr>
          <w:sz w:val="22"/>
          <w:szCs w:val="22"/>
        </w:rPr>
        <w:t>Neprekračujte odporúčanú dávku.</w:t>
      </w:r>
    </w:p>
    <w:p w14:paraId="2F1230F2" w14:textId="77777777" w:rsidR="001B12EA" w:rsidRDefault="001B12EA" w:rsidP="003016F7">
      <w:pPr>
        <w:rPr>
          <w:sz w:val="22"/>
          <w:szCs w:val="22"/>
        </w:rPr>
      </w:pPr>
    </w:p>
    <w:p w14:paraId="2F1230F3" w14:textId="77777777" w:rsidR="001B12EA" w:rsidRDefault="001B12EA" w:rsidP="003016F7">
      <w:pPr>
        <w:rPr>
          <w:i/>
          <w:sz w:val="22"/>
          <w:szCs w:val="22"/>
        </w:rPr>
      </w:pPr>
      <w:r>
        <w:rPr>
          <w:i/>
          <w:sz w:val="22"/>
          <w:szCs w:val="22"/>
        </w:rPr>
        <w:t>Pediatrická populácia</w:t>
      </w:r>
    </w:p>
    <w:p w14:paraId="2F1230F4" w14:textId="1395C23C" w:rsidR="001B12EA" w:rsidRPr="001B12EA" w:rsidRDefault="00204457" w:rsidP="003016F7">
      <w:pPr>
        <w:rPr>
          <w:sz w:val="22"/>
          <w:szCs w:val="22"/>
        </w:rPr>
      </w:pPr>
      <w:proofErr w:type="spellStart"/>
      <w:r>
        <w:rPr>
          <w:sz w:val="22"/>
          <w:szCs w:val="22"/>
        </w:rPr>
        <w:t>Caltrate</w:t>
      </w:r>
      <w:proofErr w:type="spellEnd"/>
      <w:r>
        <w:rPr>
          <w:sz w:val="22"/>
          <w:szCs w:val="22"/>
        </w:rPr>
        <w:t xml:space="preserve"> Plus</w:t>
      </w:r>
      <w:r w:rsidR="00FC2C05">
        <w:rPr>
          <w:sz w:val="22"/>
          <w:szCs w:val="22"/>
        </w:rPr>
        <w:t xml:space="preserve"> </w:t>
      </w:r>
      <w:r w:rsidR="009B7C7F">
        <w:rPr>
          <w:sz w:val="22"/>
          <w:szCs w:val="22"/>
        </w:rPr>
        <w:t xml:space="preserve">sa nemá používať </w:t>
      </w:r>
      <w:r w:rsidR="001B12EA" w:rsidRPr="00D2218F">
        <w:rPr>
          <w:sz w:val="22"/>
          <w:szCs w:val="22"/>
        </w:rPr>
        <w:t>u</w:t>
      </w:r>
      <w:r w:rsidR="001B12EA">
        <w:rPr>
          <w:sz w:val="22"/>
          <w:szCs w:val="22"/>
        </w:rPr>
        <w:t xml:space="preserve"> detí </w:t>
      </w:r>
      <w:r w:rsidR="00F65840">
        <w:rPr>
          <w:sz w:val="22"/>
          <w:szCs w:val="22"/>
        </w:rPr>
        <w:t xml:space="preserve">vo veku </w:t>
      </w:r>
      <w:r w:rsidR="001B12EA">
        <w:rPr>
          <w:sz w:val="22"/>
          <w:szCs w:val="22"/>
        </w:rPr>
        <w:t>do 12 rokov.</w:t>
      </w:r>
    </w:p>
    <w:p w14:paraId="2F1230F5" w14:textId="77777777" w:rsidR="00AE5C79" w:rsidRDefault="00AE5C79" w:rsidP="003016F7">
      <w:pPr>
        <w:rPr>
          <w:sz w:val="22"/>
          <w:szCs w:val="22"/>
        </w:rPr>
      </w:pPr>
    </w:p>
    <w:p w14:paraId="2F1230F6" w14:textId="77777777" w:rsidR="0065099F" w:rsidRPr="0065099F" w:rsidRDefault="0065099F" w:rsidP="003016F7">
      <w:pPr>
        <w:rPr>
          <w:sz w:val="22"/>
          <w:szCs w:val="22"/>
          <w:u w:val="single"/>
        </w:rPr>
      </w:pPr>
      <w:r w:rsidRPr="0065099F">
        <w:rPr>
          <w:sz w:val="22"/>
          <w:szCs w:val="22"/>
          <w:u w:val="single"/>
        </w:rPr>
        <w:t>Spôsob</w:t>
      </w:r>
      <w:r w:rsidRPr="0065099F">
        <w:rPr>
          <w:noProof/>
          <w:sz w:val="22"/>
          <w:szCs w:val="22"/>
          <w:u w:val="single"/>
        </w:rPr>
        <w:t xml:space="preserve"> podávania</w:t>
      </w:r>
    </w:p>
    <w:p w14:paraId="2F1230F7" w14:textId="77777777" w:rsidR="00AE5C79" w:rsidRDefault="00AE5C79" w:rsidP="003016F7">
      <w:pPr>
        <w:rPr>
          <w:sz w:val="22"/>
          <w:szCs w:val="22"/>
        </w:rPr>
      </w:pPr>
      <w:r>
        <w:rPr>
          <w:sz w:val="22"/>
          <w:szCs w:val="22"/>
        </w:rPr>
        <w:t>Tablety sa majú užívať perorálne a zapiť vodou.</w:t>
      </w:r>
    </w:p>
    <w:p w14:paraId="2F1230F8" w14:textId="77777777" w:rsidR="00AE5C79" w:rsidRDefault="00AE5C79" w:rsidP="003016F7">
      <w:pPr>
        <w:widowControl w:val="0"/>
        <w:autoSpaceDE w:val="0"/>
        <w:autoSpaceDN w:val="0"/>
        <w:adjustRightInd w:val="0"/>
        <w:rPr>
          <w:sz w:val="22"/>
          <w:szCs w:val="22"/>
        </w:rPr>
      </w:pPr>
    </w:p>
    <w:p w14:paraId="2F1230F9" w14:textId="77777777" w:rsidR="00AE5C79" w:rsidRDefault="00AE5C79" w:rsidP="003016F7">
      <w:pPr>
        <w:widowControl w:val="0"/>
        <w:autoSpaceDE w:val="0"/>
        <w:autoSpaceDN w:val="0"/>
        <w:adjustRightInd w:val="0"/>
        <w:rPr>
          <w:sz w:val="22"/>
          <w:szCs w:val="22"/>
          <w:u w:val="single"/>
        </w:rPr>
      </w:pPr>
      <w:r>
        <w:rPr>
          <w:b/>
          <w:sz w:val="22"/>
          <w:szCs w:val="22"/>
        </w:rPr>
        <w:t>4.3</w:t>
      </w:r>
      <w:r>
        <w:rPr>
          <w:b/>
          <w:sz w:val="22"/>
          <w:szCs w:val="22"/>
        </w:rPr>
        <w:tab/>
        <w:t>Kontraindikácie</w:t>
      </w:r>
    </w:p>
    <w:p w14:paraId="2F1230FA" w14:textId="77777777" w:rsidR="00AE5C79" w:rsidRDefault="00AE5C79" w:rsidP="003016F7">
      <w:pPr>
        <w:widowControl w:val="0"/>
        <w:autoSpaceDE w:val="0"/>
        <w:autoSpaceDN w:val="0"/>
        <w:adjustRightInd w:val="0"/>
        <w:rPr>
          <w:sz w:val="22"/>
          <w:szCs w:val="22"/>
        </w:rPr>
      </w:pPr>
    </w:p>
    <w:p w14:paraId="2F1230FB" w14:textId="77777777" w:rsidR="00AE5C79" w:rsidRDefault="00AE5C79" w:rsidP="003016F7">
      <w:pPr>
        <w:numPr>
          <w:ilvl w:val="0"/>
          <w:numId w:val="3"/>
        </w:numPr>
        <w:rPr>
          <w:sz w:val="22"/>
          <w:szCs w:val="22"/>
        </w:rPr>
      </w:pPr>
      <w:r>
        <w:rPr>
          <w:sz w:val="22"/>
          <w:szCs w:val="22"/>
        </w:rPr>
        <w:t>Precitlivenosť na liečivá alebo na ktorúkoľvek z pomocných látok</w:t>
      </w:r>
      <w:r w:rsidR="0065099F">
        <w:rPr>
          <w:sz w:val="22"/>
          <w:szCs w:val="22"/>
        </w:rPr>
        <w:t xml:space="preserve"> </w:t>
      </w:r>
      <w:r w:rsidR="0065099F" w:rsidRPr="0065099F">
        <w:rPr>
          <w:noProof/>
          <w:sz w:val="22"/>
          <w:szCs w:val="22"/>
        </w:rPr>
        <w:t>uvedených v časti 6.1.</w:t>
      </w:r>
    </w:p>
    <w:p w14:paraId="2F1230FC" w14:textId="77777777" w:rsidR="00AE5C79" w:rsidRDefault="00AE5C79" w:rsidP="003016F7">
      <w:pPr>
        <w:numPr>
          <w:ilvl w:val="0"/>
          <w:numId w:val="3"/>
        </w:numPr>
        <w:rPr>
          <w:sz w:val="22"/>
          <w:szCs w:val="22"/>
        </w:rPr>
      </w:pPr>
      <w:r>
        <w:rPr>
          <w:sz w:val="22"/>
          <w:szCs w:val="22"/>
        </w:rPr>
        <w:t>Insuficiencia obličiek.</w:t>
      </w:r>
    </w:p>
    <w:p w14:paraId="2F1230FD" w14:textId="77777777" w:rsidR="00AE5C79" w:rsidRDefault="00AE5C79" w:rsidP="003016F7">
      <w:pPr>
        <w:numPr>
          <w:ilvl w:val="0"/>
          <w:numId w:val="3"/>
        </w:numPr>
        <w:rPr>
          <w:sz w:val="22"/>
          <w:szCs w:val="22"/>
        </w:rPr>
      </w:pPr>
      <w:r>
        <w:rPr>
          <w:sz w:val="22"/>
          <w:szCs w:val="22"/>
        </w:rPr>
        <w:t>Obličkové kamene (nefrolitiáza, nefrokalcinóza).</w:t>
      </w:r>
    </w:p>
    <w:p w14:paraId="2F1230FE" w14:textId="77777777" w:rsidR="00AE5C79" w:rsidRDefault="00AE5C79" w:rsidP="003016F7">
      <w:pPr>
        <w:numPr>
          <w:ilvl w:val="0"/>
          <w:numId w:val="3"/>
        </w:numPr>
        <w:rPr>
          <w:sz w:val="22"/>
          <w:szCs w:val="22"/>
        </w:rPr>
      </w:pPr>
      <w:r>
        <w:rPr>
          <w:bCs/>
          <w:iCs/>
          <w:sz w:val="22"/>
          <w:szCs w:val="22"/>
        </w:rPr>
        <w:t>Hyperkalciémia a hyperkalcinúria</w:t>
      </w:r>
    </w:p>
    <w:p w14:paraId="2F1230FF" w14:textId="77777777" w:rsidR="00AE5C79" w:rsidRDefault="00AE5C79" w:rsidP="003016F7">
      <w:pPr>
        <w:numPr>
          <w:ilvl w:val="0"/>
          <w:numId w:val="3"/>
        </w:numPr>
        <w:rPr>
          <w:sz w:val="22"/>
          <w:szCs w:val="22"/>
        </w:rPr>
      </w:pPr>
      <w:r>
        <w:rPr>
          <w:bCs/>
          <w:iCs/>
          <w:sz w:val="22"/>
          <w:szCs w:val="22"/>
        </w:rPr>
        <w:t>Osteolytick</w:t>
      </w:r>
      <w:r w:rsidR="00ED3289">
        <w:rPr>
          <w:bCs/>
          <w:iCs/>
          <w:sz w:val="22"/>
          <w:szCs w:val="22"/>
        </w:rPr>
        <w:t>é procesy nádorového charakteru</w:t>
      </w:r>
    </w:p>
    <w:p w14:paraId="2F123100" w14:textId="77777777" w:rsidR="00AE5C79" w:rsidRDefault="00AE5C79" w:rsidP="003016F7">
      <w:pPr>
        <w:numPr>
          <w:ilvl w:val="0"/>
          <w:numId w:val="3"/>
        </w:numPr>
        <w:rPr>
          <w:sz w:val="22"/>
          <w:szCs w:val="22"/>
        </w:rPr>
      </w:pPr>
      <w:r>
        <w:rPr>
          <w:bCs/>
          <w:iCs/>
          <w:sz w:val="22"/>
          <w:szCs w:val="22"/>
        </w:rPr>
        <w:t>Hyperparatyreóza</w:t>
      </w:r>
    </w:p>
    <w:p w14:paraId="2F123101" w14:textId="77777777" w:rsidR="00AE5C79" w:rsidRDefault="00AE5C79" w:rsidP="003016F7">
      <w:pPr>
        <w:numPr>
          <w:ilvl w:val="0"/>
          <w:numId w:val="3"/>
        </w:numPr>
        <w:rPr>
          <w:sz w:val="22"/>
          <w:szCs w:val="22"/>
        </w:rPr>
      </w:pPr>
      <w:r>
        <w:rPr>
          <w:bCs/>
          <w:iCs/>
          <w:sz w:val="22"/>
          <w:szCs w:val="22"/>
        </w:rPr>
        <w:t>Sarkoidóza</w:t>
      </w:r>
    </w:p>
    <w:p w14:paraId="2F123102" w14:textId="77777777" w:rsidR="00AE5C79" w:rsidRDefault="00AE5C79" w:rsidP="003016F7">
      <w:pPr>
        <w:widowControl w:val="0"/>
        <w:numPr>
          <w:ilvl w:val="0"/>
          <w:numId w:val="3"/>
        </w:numPr>
        <w:autoSpaceDE w:val="0"/>
        <w:autoSpaceDN w:val="0"/>
        <w:adjustRightInd w:val="0"/>
        <w:rPr>
          <w:sz w:val="22"/>
          <w:szCs w:val="22"/>
        </w:rPr>
      </w:pPr>
      <w:r>
        <w:rPr>
          <w:sz w:val="22"/>
          <w:szCs w:val="22"/>
        </w:rPr>
        <w:t>Hypervitaminóza D</w:t>
      </w:r>
    </w:p>
    <w:p w14:paraId="2F123103" w14:textId="77777777" w:rsidR="001B12EA" w:rsidRPr="003016F7" w:rsidRDefault="001B12EA" w:rsidP="003016F7">
      <w:pPr>
        <w:widowControl w:val="0"/>
        <w:numPr>
          <w:ilvl w:val="0"/>
          <w:numId w:val="3"/>
        </w:numPr>
        <w:autoSpaceDE w:val="0"/>
        <w:autoSpaceDN w:val="0"/>
        <w:adjustRightInd w:val="0"/>
        <w:rPr>
          <w:sz w:val="22"/>
          <w:szCs w:val="22"/>
        </w:rPr>
      </w:pPr>
      <w:r w:rsidRPr="00873B2E">
        <w:rPr>
          <w:sz w:val="22"/>
          <w:szCs w:val="22"/>
        </w:rPr>
        <w:t xml:space="preserve">Liek obsahuje čiastočne hydrogenovaný sójový olej a je </w:t>
      </w:r>
      <w:r w:rsidRPr="007604E6">
        <w:rPr>
          <w:sz w:val="22"/>
          <w:szCs w:val="22"/>
        </w:rPr>
        <w:t>kontraindikovaný</w:t>
      </w:r>
      <w:r w:rsidRPr="00873B2E">
        <w:rPr>
          <w:sz w:val="22"/>
          <w:szCs w:val="22"/>
        </w:rPr>
        <w:t xml:space="preserve"> u pacientov s </w:t>
      </w:r>
      <w:r w:rsidRPr="00DE3B6B">
        <w:rPr>
          <w:sz w:val="22"/>
          <w:szCs w:val="22"/>
        </w:rPr>
        <w:t>precitlivenosťou</w:t>
      </w:r>
      <w:r w:rsidRPr="00873B2E">
        <w:rPr>
          <w:sz w:val="22"/>
          <w:szCs w:val="22"/>
        </w:rPr>
        <w:t xml:space="preserve"> na arašidy alebo sóju</w:t>
      </w:r>
      <w:r w:rsidRPr="003016F7">
        <w:rPr>
          <w:sz w:val="22"/>
          <w:szCs w:val="22"/>
        </w:rPr>
        <w:t>.</w:t>
      </w:r>
    </w:p>
    <w:p w14:paraId="2F123104" w14:textId="77777777" w:rsidR="00AE5C79" w:rsidRDefault="00AE5C79" w:rsidP="003016F7">
      <w:pPr>
        <w:widowControl w:val="0"/>
        <w:autoSpaceDE w:val="0"/>
        <w:autoSpaceDN w:val="0"/>
        <w:adjustRightInd w:val="0"/>
        <w:rPr>
          <w:sz w:val="22"/>
          <w:szCs w:val="22"/>
        </w:rPr>
      </w:pPr>
    </w:p>
    <w:p w14:paraId="2F123105" w14:textId="77777777" w:rsidR="00AE5C79" w:rsidRDefault="00AE5C79" w:rsidP="003016F7">
      <w:pPr>
        <w:widowControl w:val="0"/>
        <w:autoSpaceDE w:val="0"/>
        <w:autoSpaceDN w:val="0"/>
        <w:adjustRightInd w:val="0"/>
        <w:rPr>
          <w:sz w:val="22"/>
          <w:szCs w:val="22"/>
          <w:u w:val="single"/>
        </w:rPr>
      </w:pPr>
      <w:r>
        <w:rPr>
          <w:b/>
          <w:sz w:val="22"/>
          <w:szCs w:val="22"/>
        </w:rPr>
        <w:t>4.4</w:t>
      </w:r>
      <w:r>
        <w:rPr>
          <w:b/>
          <w:sz w:val="22"/>
          <w:szCs w:val="22"/>
        </w:rPr>
        <w:tab/>
        <w:t>Osobitné upozornenia a opatrenia pri používaní</w:t>
      </w:r>
    </w:p>
    <w:p w14:paraId="2F123106" w14:textId="77777777" w:rsidR="00AE5C79" w:rsidRDefault="00AE5C79" w:rsidP="003016F7">
      <w:pPr>
        <w:widowControl w:val="0"/>
        <w:autoSpaceDE w:val="0"/>
        <w:autoSpaceDN w:val="0"/>
        <w:adjustRightInd w:val="0"/>
        <w:rPr>
          <w:sz w:val="22"/>
          <w:szCs w:val="22"/>
        </w:rPr>
      </w:pPr>
    </w:p>
    <w:p w14:paraId="2F123107" w14:textId="77777777" w:rsidR="00AE5C79" w:rsidRDefault="00AE5C79" w:rsidP="003016F7">
      <w:pPr>
        <w:widowControl w:val="0"/>
        <w:autoSpaceDE w:val="0"/>
        <w:autoSpaceDN w:val="0"/>
        <w:adjustRightInd w:val="0"/>
        <w:rPr>
          <w:sz w:val="22"/>
          <w:szCs w:val="22"/>
        </w:rPr>
      </w:pPr>
      <w:r>
        <w:rPr>
          <w:sz w:val="22"/>
          <w:szCs w:val="22"/>
        </w:rPr>
        <w:t>V prípade dlhodobej liečby sa odporúča kontrola kalciémie a renálnej funkcie stanovovaním obsahu sérového kreatinínu. Takéto monitorovanie je dôležité predovšetkým u starších pacientov, v prípadoch kombinovanej liečby so srdcovými glykozidmi alebo diuretikami (pozri časť 4.5) a u pacientov, u ktorých sa často tvoria obličkové kamene. Po zistení hyperkalciémie alebo znakov ťažkostí s funkciou obličiek sa musí znížiť dávka alebo prerušiť liečba.</w:t>
      </w:r>
    </w:p>
    <w:p w14:paraId="2F123108" w14:textId="77777777" w:rsidR="00AE5C79" w:rsidRDefault="00AE5C79" w:rsidP="003016F7">
      <w:pPr>
        <w:widowControl w:val="0"/>
        <w:autoSpaceDE w:val="0"/>
        <w:autoSpaceDN w:val="0"/>
        <w:adjustRightInd w:val="0"/>
        <w:rPr>
          <w:sz w:val="22"/>
          <w:szCs w:val="22"/>
        </w:rPr>
      </w:pPr>
    </w:p>
    <w:p w14:paraId="2F123109" w14:textId="73492ABF" w:rsidR="00AE5C79" w:rsidRDefault="00AE5C79" w:rsidP="003016F7">
      <w:pPr>
        <w:rPr>
          <w:sz w:val="22"/>
          <w:szCs w:val="22"/>
        </w:rPr>
      </w:pPr>
      <w:r>
        <w:rPr>
          <w:sz w:val="22"/>
          <w:szCs w:val="22"/>
        </w:rPr>
        <w:t xml:space="preserve">U pacientov so zníženou renálnou funkciou sa </w:t>
      </w:r>
      <w:proofErr w:type="spellStart"/>
      <w:r w:rsidR="00204457">
        <w:rPr>
          <w:sz w:val="22"/>
          <w:szCs w:val="22"/>
        </w:rPr>
        <w:t>Caltrate</w:t>
      </w:r>
      <w:proofErr w:type="spellEnd"/>
      <w:r w:rsidR="00204457">
        <w:rPr>
          <w:sz w:val="22"/>
          <w:szCs w:val="22"/>
        </w:rPr>
        <w:t xml:space="preserve"> Plus</w:t>
      </w:r>
      <w:r w:rsidR="00FC2C05">
        <w:rPr>
          <w:sz w:val="22"/>
          <w:szCs w:val="22"/>
        </w:rPr>
        <w:t xml:space="preserve"> </w:t>
      </w:r>
      <w:r>
        <w:rPr>
          <w:sz w:val="22"/>
          <w:szCs w:val="22"/>
        </w:rPr>
        <w:t>musí používať s opatrnosťou a hladiny fosforečnanov a vápnika sa musia sledovať. Musí sa zohľadniť riziko vzniku kalcifikácie mäkkých tkanív. U pacientov so závažnou renálnou insuficienciou nie je vitamín D</w:t>
      </w:r>
      <w:r>
        <w:rPr>
          <w:sz w:val="22"/>
          <w:szCs w:val="22"/>
          <w:vertAlign w:val="subscript"/>
        </w:rPr>
        <w:t>3</w:t>
      </w:r>
      <w:r>
        <w:rPr>
          <w:sz w:val="22"/>
          <w:szCs w:val="22"/>
        </w:rPr>
        <w:t> vo forme cholekalciferolu metabolizovaný normálnym spôsobom a musia sa použiť iné formy vitamínu D</w:t>
      </w:r>
      <w:r>
        <w:rPr>
          <w:sz w:val="22"/>
          <w:szCs w:val="22"/>
          <w:vertAlign w:val="subscript"/>
        </w:rPr>
        <w:t>3</w:t>
      </w:r>
      <w:r>
        <w:rPr>
          <w:sz w:val="22"/>
          <w:szCs w:val="22"/>
        </w:rPr>
        <w:t> (pozri časť 4.3).</w:t>
      </w:r>
    </w:p>
    <w:p w14:paraId="2F12310A" w14:textId="77777777" w:rsidR="00AE5C79" w:rsidRDefault="00AE5C79" w:rsidP="003016F7">
      <w:pPr>
        <w:rPr>
          <w:sz w:val="22"/>
          <w:szCs w:val="22"/>
        </w:rPr>
      </w:pPr>
    </w:p>
    <w:p w14:paraId="2F12310B" w14:textId="58F9CF01" w:rsidR="00AE5C79" w:rsidRDefault="00204457" w:rsidP="003016F7">
      <w:pPr>
        <w:rPr>
          <w:sz w:val="22"/>
          <w:szCs w:val="22"/>
        </w:rPr>
      </w:pPr>
      <w:proofErr w:type="spellStart"/>
      <w:r>
        <w:rPr>
          <w:sz w:val="22"/>
          <w:szCs w:val="22"/>
        </w:rPr>
        <w:t>Caltrate</w:t>
      </w:r>
      <w:proofErr w:type="spellEnd"/>
      <w:r>
        <w:rPr>
          <w:sz w:val="22"/>
          <w:szCs w:val="22"/>
        </w:rPr>
        <w:t xml:space="preserve"> Plus</w:t>
      </w:r>
      <w:r w:rsidR="00FC2C05">
        <w:rPr>
          <w:sz w:val="22"/>
          <w:szCs w:val="22"/>
        </w:rPr>
        <w:t xml:space="preserve"> </w:t>
      </w:r>
      <w:r w:rsidR="00AE5C79">
        <w:rPr>
          <w:sz w:val="22"/>
          <w:szCs w:val="22"/>
        </w:rPr>
        <w:t>sa musí používať s opatrnosťou u imobilných pacientov, ktorí majú osteoporózu, pretože sa zvyšuje riziko hyperkalciémie.</w:t>
      </w:r>
    </w:p>
    <w:p w14:paraId="2F12310C" w14:textId="77777777" w:rsidR="00AE5C79" w:rsidRDefault="00AE5C79" w:rsidP="003016F7">
      <w:pPr>
        <w:rPr>
          <w:sz w:val="22"/>
          <w:szCs w:val="22"/>
        </w:rPr>
      </w:pPr>
    </w:p>
    <w:p w14:paraId="2F12310D" w14:textId="02874FAE" w:rsidR="00AE5C79" w:rsidRDefault="00AE5C79" w:rsidP="003016F7">
      <w:pPr>
        <w:widowControl w:val="0"/>
        <w:autoSpaceDE w:val="0"/>
        <w:autoSpaceDN w:val="0"/>
        <w:adjustRightInd w:val="0"/>
        <w:rPr>
          <w:color w:val="FF0000"/>
          <w:sz w:val="22"/>
        </w:rPr>
      </w:pPr>
      <w:r>
        <w:rPr>
          <w:sz w:val="22"/>
          <w:szCs w:val="22"/>
        </w:rPr>
        <w:t xml:space="preserve">Pred predpisovaním </w:t>
      </w:r>
      <w:proofErr w:type="spellStart"/>
      <w:r w:rsidR="00204457">
        <w:rPr>
          <w:sz w:val="22"/>
          <w:szCs w:val="22"/>
        </w:rPr>
        <w:t>Caltrate</w:t>
      </w:r>
      <w:proofErr w:type="spellEnd"/>
      <w:r w:rsidR="00204457">
        <w:rPr>
          <w:sz w:val="22"/>
          <w:szCs w:val="22"/>
        </w:rPr>
        <w:t xml:space="preserve"> Plus</w:t>
      </w:r>
      <w:r w:rsidR="00FC2C05">
        <w:rPr>
          <w:sz w:val="22"/>
          <w:szCs w:val="22"/>
        </w:rPr>
        <w:t xml:space="preserve"> </w:t>
      </w:r>
      <w:r>
        <w:rPr>
          <w:sz w:val="22"/>
          <w:szCs w:val="22"/>
        </w:rPr>
        <w:t>zohľadnite príjem vitamínu D a vápnika zo všetkých ostatných zdrojov. Podávanie ďalšieho vápnika alebo vitamínu D sa musí vykonať pod prísnym lekárskym dohľadom s pravidelným sledovaním hladín vápnika v krvi a v moči.</w:t>
      </w:r>
      <w:r w:rsidR="001673DA">
        <w:rPr>
          <w:sz w:val="22"/>
          <w:szCs w:val="22"/>
        </w:rPr>
        <w:t xml:space="preserve"> </w:t>
      </w:r>
    </w:p>
    <w:p w14:paraId="2F12310E" w14:textId="77777777" w:rsidR="00AE5C79" w:rsidRPr="003016F7" w:rsidRDefault="00AE5C79" w:rsidP="003016F7">
      <w:pPr>
        <w:widowControl w:val="0"/>
        <w:autoSpaceDE w:val="0"/>
        <w:autoSpaceDN w:val="0"/>
        <w:adjustRightInd w:val="0"/>
        <w:rPr>
          <w:sz w:val="22"/>
        </w:rPr>
      </w:pPr>
    </w:p>
    <w:p w14:paraId="2F12310F" w14:textId="77777777" w:rsidR="00AE5C79" w:rsidRDefault="00AE5C79" w:rsidP="003016F7">
      <w:pPr>
        <w:pStyle w:val="Zkladntext"/>
        <w:spacing w:line="240" w:lineRule="auto"/>
        <w:rPr>
          <w:szCs w:val="24"/>
        </w:rPr>
      </w:pPr>
      <w:r>
        <w:rPr>
          <w:szCs w:val="24"/>
        </w:rPr>
        <w:t>Dve farbivá obsiahnuté v lieku - hlinitý lak červene allura AC (E129) a hlinitý lak oranžovej žlt</w:t>
      </w:r>
      <w:r w:rsidR="009B7C7F">
        <w:rPr>
          <w:szCs w:val="24"/>
        </w:rPr>
        <w:t>i</w:t>
      </w:r>
      <w:r>
        <w:rPr>
          <w:szCs w:val="24"/>
        </w:rPr>
        <w:t xml:space="preserve"> (E110) môžu vyvolať alergické reakcie.</w:t>
      </w:r>
    </w:p>
    <w:p w14:paraId="2F123110" w14:textId="77777777" w:rsidR="001B12EA" w:rsidRDefault="001B12EA" w:rsidP="003016F7">
      <w:pPr>
        <w:pStyle w:val="Zkladntext"/>
        <w:spacing w:line="240" w:lineRule="auto"/>
        <w:rPr>
          <w:szCs w:val="24"/>
        </w:rPr>
      </w:pPr>
    </w:p>
    <w:p w14:paraId="2F123111" w14:textId="77777777" w:rsidR="001B12EA" w:rsidRPr="00873B2E" w:rsidRDefault="001B12EA" w:rsidP="003016F7">
      <w:pPr>
        <w:pStyle w:val="Zkladntext"/>
        <w:spacing w:line="240" w:lineRule="auto"/>
      </w:pPr>
      <w:r w:rsidRPr="00873B2E">
        <w:rPr>
          <w:lang w:eastAsia="en-US"/>
        </w:rPr>
        <w:t xml:space="preserve">Tento liek obsahuje sacharózu. </w:t>
      </w:r>
      <w:r w:rsidRPr="00873B2E">
        <w:t>Pacienti so zriedkavými dedičnými problémami intolerancie fruktózy, glukózo-galaktózovej malabsorpcie alebo deficitu sacharázy a izomaltázy nesmú užívať tento liek.</w:t>
      </w:r>
    </w:p>
    <w:p w14:paraId="2F123112" w14:textId="4BEA0CA9" w:rsidR="00AE5C79" w:rsidRDefault="00AE5C79" w:rsidP="003016F7">
      <w:pPr>
        <w:widowControl w:val="0"/>
        <w:autoSpaceDE w:val="0"/>
        <w:autoSpaceDN w:val="0"/>
        <w:adjustRightInd w:val="0"/>
        <w:rPr>
          <w:sz w:val="22"/>
          <w:szCs w:val="22"/>
        </w:rPr>
      </w:pPr>
    </w:p>
    <w:p w14:paraId="6CF48765" w14:textId="2D4FF8AB" w:rsidR="00EC63D0" w:rsidRPr="00C81B18" w:rsidRDefault="005D41F3" w:rsidP="003016F7">
      <w:pPr>
        <w:widowControl w:val="0"/>
        <w:autoSpaceDE w:val="0"/>
        <w:autoSpaceDN w:val="0"/>
        <w:adjustRightInd w:val="0"/>
        <w:rPr>
          <w:w w:val="105"/>
          <w:sz w:val="22"/>
          <w:szCs w:val="22"/>
        </w:rPr>
      </w:pPr>
      <w:bookmarkStart w:id="2" w:name="_Hlk51664359"/>
      <w:r w:rsidRPr="00331773">
        <w:rPr>
          <w:sz w:val="22"/>
          <w:szCs w:val="22"/>
          <w:lang w:val="cs-CZ"/>
        </w:rPr>
        <w:t>Jedna tableta obsahuje 0,</w:t>
      </w:r>
      <w:r>
        <w:rPr>
          <w:sz w:val="22"/>
          <w:szCs w:val="22"/>
          <w:lang w:val="cs-CZ"/>
        </w:rPr>
        <w:t>49</w:t>
      </w:r>
      <w:r w:rsidRPr="00331773">
        <w:rPr>
          <w:sz w:val="22"/>
          <w:szCs w:val="22"/>
          <w:lang w:val="cs-CZ"/>
        </w:rPr>
        <w:t> mg</w:t>
      </w:r>
      <w:r>
        <w:rPr>
          <w:sz w:val="22"/>
          <w:szCs w:val="22"/>
          <w:lang w:val="cs-CZ"/>
        </w:rPr>
        <w:t xml:space="preserve"> (0,021 mmol)</w:t>
      </w:r>
      <w:r w:rsidRPr="00331773">
        <w:rPr>
          <w:sz w:val="22"/>
          <w:szCs w:val="22"/>
          <w:lang w:val="cs-CZ"/>
        </w:rPr>
        <w:t xml:space="preserve"> sodík</w:t>
      </w:r>
      <w:r>
        <w:rPr>
          <w:sz w:val="22"/>
          <w:szCs w:val="22"/>
          <w:lang w:val="cs-CZ"/>
        </w:rPr>
        <w:t>a čo znamená, že tento liek</w:t>
      </w:r>
      <w:r w:rsidR="00EC63D0" w:rsidRPr="00C81B18">
        <w:rPr>
          <w:w w:val="105"/>
          <w:sz w:val="22"/>
          <w:szCs w:val="22"/>
        </w:rPr>
        <w:t xml:space="preserve"> obsahuje menej ako 1 mmol sodíka (23 mg) v</w:t>
      </w:r>
      <w:r w:rsidR="00EC63D0">
        <w:rPr>
          <w:w w:val="105"/>
          <w:sz w:val="22"/>
          <w:szCs w:val="22"/>
        </w:rPr>
        <w:t> jednej tablete</w:t>
      </w:r>
      <w:r w:rsidR="00EC63D0" w:rsidRPr="00C81B18">
        <w:rPr>
          <w:w w:val="105"/>
          <w:sz w:val="22"/>
          <w:szCs w:val="22"/>
        </w:rPr>
        <w:t>,</w:t>
      </w:r>
      <w:r w:rsidR="00EC63D0" w:rsidRPr="00C81B18">
        <w:rPr>
          <w:spacing w:val="-21"/>
          <w:w w:val="105"/>
          <w:sz w:val="22"/>
          <w:szCs w:val="22"/>
        </w:rPr>
        <w:t xml:space="preserve"> </w:t>
      </w:r>
      <w:r w:rsidR="00EC63D0" w:rsidRPr="00C81B18">
        <w:rPr>
          <w:w w:val="105"/>
          <w:sz w:val="22"/>
          <w:szCs w:val="22"/>
        </w:rPr>
        <w:t>t.j.</w:t>
      </w:r>
      <w:r w:rsidR="00EC63D0" w:rsidRPr="00C81B18">
        <w:rPr>
          <w:spacing w:val="-20"/>
          <w:w w:val="105"/>
          <w:sz w:val="22"/>
          <w:szCs w:val="22"/>
        </w:rPr>
        <w:t xml:space="preserve"> </w:t>
      </w:r>
      <w:r w:rsidR="00EC63D0" w:rsidRPr="00C81B18">
        <w:rPr>
          <w:w w:val="105"/>
          <w:sz w:val="22"/>
          <w:szCs w:val="22"/>
        </w:rPr>
        <w:t>v</w:t>
      </w:r>
      <w:r w:rsidR="00EC63D0" w:rsidRPr="00C81B18">
        <w:rPr>
          <w:spacing w:val="-21"/>
          <w:w w:val="105"/>
          <w:sz w:val="22"/>
          <w:szCs w:val="22"/>
        </w:rPr>
        <w:t xml:space="preserve"> </w:t>
      </w:r>
      <w:r w:rsidR="00EC63D0" w:rsidRPr="00C81B18">
        <w:rPr>
          <w:w w:val="105"/>
          <w:sz w:val="22"/>
          <w:szCs w:val="22"/>
        </w:rPr>
        <w:t>podstate</w:t>
      </w:r>
      <w:r w:rsidR="00EC63D0" w:rsidRPr="00C81B18">
        <w:rPr>
          <w:spacing w:val="-20"/>
          <w:w w:val="105"/>
          <w:sz w:val="22"/>
          <w:szCs w:val="22"/>
        </w:rPr>
        <w:t xml:space="preserve"> </w:t>
      </w:r>
      <w:r w:rsidR="00EC63D0" w:rsidRPr="00C81B18">
        <w:rPr>
          <w:w w:val="105"/>
          <w:sz w:val="22"/>
          <w:szCs w:val="22"/>
        </w:rPr>
        <w:t>zanedbateľné</w:t>
      </w:r>
      <w:r w:rsidR="00EC63D0" w:rsidRPr="00C81B18">
        <w:rPr>
          <w:spacing w:val="-20"/>
          <w:w w:val="105"/>
          <w:sz w:val="22"/>
          <w:szCs w:val="22"/>
        </w:rPr>
        <w:t xml:space="preserve"> </w:t>
      </w:r>
      <w:r w:rsidR="00EC63D0" w:rsidRPr="00C81B18">
        <w:rPr>
          <w:w w:val="105"/>
          <w:sz w:val="22"/>
          <w:szCs w:val="22"/>
        </w:rPr>
        <w:t>množstvo sodíka.</w:t>
      </w:r>
    </w:p>
    <w:bookmarkEnd w:id="2"/>
    <w:p w14:paraId="571F5FCA" w14:textId="77777777" w:rsidR="00EC63D0" w:rsidRPr="00EC63D0" w:rsidRDefault="00EC63D0" w:rsidP="003016F7">
      <w:pPr>
        <w:widowControl w:val="0"/>
        <w:autoSpaceDE w:val="0"/>
        <w:autoSpaceDN w:val="0"/>
        <w:adjustRightInd w:val="0"/>
        <w:rPr>
          <w:sz w:val="22"/>
          <w:szCs w:val="22"/>
        </w:rPr>
      </w:pPr>
    </w:p>
    <w:p w14:paraId="2F123113" w14:textId="77777777" w:rsidR="00AE5C79" w:rsidRDefault="00AE5C79" w:rsidP="003016F7">
      <w:pPr>
        <w:widowControl w:val="0"/>
        <w:autoSpaceDE w:val="0"/>
        <w:autoSpaceDN w:val="0"/>
        <w:adjustRightInd w:val="0"/>
        <w:rPr>
          <w:sz w:val="22"/>
          <w:szCs w:val="22"/>
          <w:u w:val="single"/>
        </w:rPr>
      </w:pPr>
      <w:r>
        <w:rPr>
          <w:b/>
          <w:sz w:val="22"/>
          <w:szCs w:val="22"/>
        </w:rPr>
        <w:t>4.5</w:t>
      </w:r>
      <w:r>
        <w:rPr>
          <w:b/>
          <w:sz w:val="22"/>
          <w:szCs w:val="22"/>
        </w:rPr>
        <w:tab/>
        <w:t>Liekové a iné interakcie</w:t>
      </w:r>
    </w:p>
    <w:p w14:paraId="2F123114" w14:textId="77777777" w:rsidR="00AE5C79" w:rsidRDefault="00AE5C79" w:rsidP="003016F7">
      <w:pPr>
        <w:widowControl w:val="0"/>
        <w:autoSpaceDE w:val="0"/>
        <w:autoSpaceDN w:val="0"/>
        <w:adjustRightInd w:val="0"/>
        <w:rPr>
          <w:sz w:val="22"/>
          <w:szCs w:val="22"/>
        </w:rPr>
      </w:pPr>
    </w:p>
    <w:p w14:paraId="2F123115" w14:textId="77777777" w:rsidR="00AE5C79" w:rsidRDefault="00AE5C79" w:rsidP="003016F7">
      <w:pPr>
        <w:rPr>
          <w:sz w:val="22"/>
          <w:szCs w:val="22"/>
        </w:rPr>
      </w:pPr>
      <w:r>
        <w:rPr>
          <w:sz w:val="22"/>
          <w:szCs w:val="22"/>
        </w:rPr>
        <w:t>Tiazidové diuretiká znižujú exkréciu vápnika do moču. V prípadoch, kde sa súčasne podávajú tiazidové diuretiká, sa odporúča sledovanie vápnika vzhľadom na zvýšené riziko hyperkalciémie.</w:t>
      </w:r>
    </w:p>
    <w:p w14:paraId="2F123116" w14:textId="77777777" w:rsidR="00AE5C79" w:rsidRDefault="00AE5C79" w:rsidP="003016F7">
      <w:pPr>
        <w:rPr>
          <w:sz w:val="22"/>
          <w:szCs w:val="22"/>
        </w:rPr>
      </w:pPr>
    </w:p>
    <w:p w14:paraId="2F123117" w14:textId="77777777" w:rsidR="00AE5C79" w:rsidRDefault="00AE5C79" w:rsidP="003016F7">
      <w:pPr>
        <w:rPr>
          <w:sz w:val="22"/>
          <w:szCs w:val="22"/>
        </w:rPr>
      </w:pPr>
      <w:r>
        <w:rPr>
          <w:sz w:val="22"/>
          <w:szCs w:val="22"/>
        </w:rPr>
        <w:t>Uhličitan vápenatý môže zmeniť absorpciu tetracyklínu, ak je podávaný súbežne. Odporúča sa načasovať podávanie tetracyklínu tak, aby k nemu dochádzalo najmenej 2 hodiny pred alebo 4 až 6 hodín po perorálnom užití vápnika.</w:t>
      </w:r>
    </w:p>
    <w:p w14:paraId="2F123118" w14:textId="77777777" w:rsidR="00AE5C79" w:rsidRDefault="00AE5C79" w:rsidP="003016F7">
      <w:pPr>
        <w:rPr>
          <w:sz w:val="22"/>
          <w:szCs w:val="22"/>
        </w:rPr>
      </w:pPr>
    </w:p>
    <w:p w14:paraId="2F123119" w14:textId="0BF4FFAC" w:rsidR="00AE5C79" w:rsidRDefault="00AE5C79" w:rsidP="003016F7">
      <w:pPr>
        <w:rPr>
          <w:sz w:val="22"/>
          <w:szCs w:val="22"/>
        </w:rPr>
      </w:pPr>
      <w:r>
        <w:rPr>
          <w:sz w:val="22"/>
          <w:szCs w:val="22"/>
        </w:rPr>
        <w:t xml:space="preserve">V prípade súbežného podávania bisfosfonátu, fluoridu sodného, antacíd </w:t>
      </w:r>
      <w:r>
        <w:rPr>
          <w:bCs/>
          <w:iCs/>
          <w:sz w:val="22"/>
          <w:szCs w:val="22"/>
        </w:rPr>
        <w:t xml:space="preserve">alebo fluorochinolónu </w:t>
      </w:r>
      <w:r>
        <w:rPr>
          <w:sz w:val="22"/>
          <w:szCs w:val="22"/>
        </w:rPr>
        <w:t xml:space="preserve">sa odporúča užívať </w:t>
      </w:r>
      <w:proofErr w:type="spellStart"/>
      <w:r w:rsidR="00204457">
        <w:rPr>
          <w:sz w:val="22"/>
          <w:szCs w:val="22"/>
        </w:rPr>
        <w:t>Caltrate</w:t>
      </w:r>
      <w:proofErr w:type="spellEnd"/>
      <w:r w:rsidR="00204457">
        <w:rPr>
          <w:sz w:val="22"/>
          <w:szCs w:val="22"/>
        </w:rPr>
        <w:t xml:space="preserve"> Plus</w:t>
      </w:r>
      <w:r w:rsidR="00FC2C05">
        <w:rPr>
          <w:sz w:val="22"/>
          <w:szCs w:val="22"/>
        </w:rPr>
        <w:t xml:space="preserve"> </w:t>
      </w:r>
      <w:r>
        <w:rPr>
          <w:sz w:val="22"/>
          <w:szCs w:val="22"/>
        </w:rPr>
        <w:t>s odstupom najmenej 3 hodín, pretože sa môže znížiť ich absorpcia počas trávenia.</w:t>
      </w:r>
    </w:p>
    <w:p w14:paraId="2F12311A" w14:textId="77777777" w:rsidR="00AE5C79" w:rsidRDefault="00AE5C79" w:rsidP="003016F7">
      <w:pPr>
        <w:rPr>
          <w:sz w:val="22"/>
          <w:szCs w:val="22"/>
        </w:rPr>
      </w:pPr>
    </w:p>
    <w:p w14:paraId="2F12311B" w14:textId="77777777" w:rsidR="00AE5C79" w:rsidRDefault="00AE5C79" w:rsidP="003016F7">
      <w:pPr>
        <w:rPr>
          <w:sz w:val="22"/>
          <w:szCs w:val="22"/>
        </w:rPr>
      </w:pPr>
      <w:r>
        <w:rPr>
          <w:sz w:val="22"/>
          <w:szCs w:val="22"/>
        </w:rPr>
        <w:t>Fenytoín alebo barbituráty môžu znižovať aktivitu vitamínu D</w:t>
      </w:r>
      <w:r>
        <w:rPr>
          <w:sz w:val="22"/>
          <w:szCs w:val="22"/>
          <w:vertAlign w:val="subscript"/>
        </w:rPr>
        <w:t>3</w:t>
      </w:r>
      <w:r>
        <w:rPr>
          <w:sz w:val="22"/>
          <w:szCs w:val="22"/>
        </w:rPr>
        <w:t>, pretože urýchľujú jeho metabolizmus.</w:t>
      </w:r>
    </w:p>
    <w:p w14:paraId="2F12311C" w14:textId="77777777" w:rsidR="00AE5C79" w:rsidRDefault="00AE5C79" w:rsidP="003016F7">
      <w:pPr>
        <w:rPr>
          <w:sz w:val="22"/>
          <w:szCs w:val="22"/>
        </w:rPr>
      </w:pPr>
    </w:p>
    <w:p w14:paraId="2F12311D" w14:textId="77777777" w:rsidR="00AE5C79" w:rsidRDefault="00AE5C79" w:rsidP="003016F7">
      <w:pPr>
        <w:rPr>
          <w:sz w:val="22"/>
          <w:szCs w:val="22"/>
        </w:rPr>
      </w:pPr>
      <w:r>
        <w:rPr>
          <w:sz w:val="22"/>
          <w:szCs w:val="22"/>
        </w:rPr>
        <w:t>Vápenaté soli môžu znižovať absorpciu železa, zinku alebo stroncia. Preto sa majú prípravky s obsahom železa, zinku alebo stroncia užívať s odstupom minimálne dvoch hodín od užitia lieku s obsahom vápnika.</w:t>
      </w:r>
    </w:p>
    <w:p w14:paraId="2F12311E" w14:textId="77777777" w:rsidR="00AE5C79" w:rsidRDefault="00AE5C79" w:rsidP="003016F7">
      <w:pPr>
        <w:rPr>
          <w:sz w:val="22"/>
          <w:szCs w:val="22"/>
        </w:rPr>
      </w:pPr>
    </w:p>
    <w:p w14:paraId="2F12311F" w14:textId="510130AA" w:rsidR="00AE5C79" w:rsidRDefault="00AE5C79" w:rsidP="003016F7">
      <w:pPr>
        <w:rPr>
          <w:sz w:val="22"/>
          <w:szCs w:val="22"/>
        </w:rPr>
      </w:pPr>
      <w:r>
        <w:rPr>
          <w:sz w:val="22"/>
          <w:szCs w:val="22"/>
        </w:rPr>
        <w:t xml:space="preserve">Vápenaté soli môžu znižovať absorpciu estramustínu alebo hormónov štítnej žľazy. Odporúča sa užívať </w:t>
      </w:r>
      <w:proofErr w:type="spellStart"/>
      <w:r w:rsidR="00204457">
        <w:rPr>
          <w:sz w:val="22"/>
          <w:szCs w:val="22"/>
        </w:rPr>
        <w:t>Caltrate</w:t>
      </w:r>
      <w:proofErr w:type="spellEnd"/>
      <w:r w:rsidR="00204457">
        <w:rPr>
          <w:sz w:val="22"/>
          <w:szCs w:val="22"/>
        </w:rPr>
        <w:t xml:space="preserve"> Plus</w:t>
      </w:r>
      <w:r w:rsidR="00FC2C05">
        <w:rPr>
          <w:sz w:val="22"/>
          <w:szCs w:val="22"/>
        </w:rPr>
        <w:t> </w:t>
      </w:r>
      <w:r>
        <w:rPr>
          <w:sz w:val="22"/>
          <w:szCs w:val="22"/>
        </w:rPr>
        <w:t>s odstupom najmenej 2 hodiny od užitia týchto liekov.</w:t>
      </w:r>
    </w:p>
    <w:p w14:paraId="2F123120" w14:textId="77777777" w:rsidR="00AE5C79" w:rsidRDefault="00AE5C79" w:rsidP="003016F7">
      <w:pPr>
        <w:rPr>
          <w:sz w:val="22"/>
          <w:szCs w:val="22"/>
        </w:rPr>
      </w:pPr>
    </w:p>
    <w:p w14:paraId="2F123121" w14:textId="35B4D907" w:rsidR="00AE5C79" w:rsidRDefault="00AE5C79" w:rsidP="003016F7">
      <w:pPr>
        <w:rPr>
          <w:sz w:val="22"/>
          <w:szCs w:val="22"/>
        </w:rPr>
      </w:pPr>
      <w:r>
        <w:rPr>
          <w:sz w:val="22"/>
          <w:szCs w:val="22"/>
        </w:rPr>
        <w:t xml:space="preserve">V prípade, že pacienti užívajú v tom istom čase alebo užívali nedávno levotyroxín (liek na štítnu žľazu), musí sa o súbežnom podávaní </w:t>
      </w:r>
      <w:proofErr w:type="spellStart"/>
      <w:r w:rsidR="00204457">
        <w:rPr>
          <w:sz w:val="22"/>
          <w:szCs w:val="22"/>
        </w:rPr>
        <w:t>Caltrate</w:t>
      </w:r>
      <w:proofErr w:type="spellEnd"/>
      <w:r w:rsidR="00204457">
        <w:rPr>
          <w:sz w:val="22"/>
          <w:szCs w:val="22"/>
        </w:rPr>
        <w:t xml:space="preserve"> Plus</w:t>
      </w:r>
      <w:r w:rsidR="00FC2C05">
        <w:rPr>
          <w:sz w:val="22"/>
          <w:szCs w:val="22"/>
        </w:rPr>
        <w:t xml:space="preserve"> </w:t>
      </w:r>
      <w:r>
        <w:rPr>
          <w:sz w:val="22"/>
          <w:szCs w:val="22"/>
        </w:rPr>
        <w:t>rozhodnúť individuálne.</w:t>
      </w:r>
      <w:r w:rsidR="001673DA" w:rsidRPr="001673DA">
        <w:rPr>
          <w:sz w:val="22"/>
          <w:szCs w:val="22"/>
        </w:rPr>
        <w:t xml:space="preserve"> </w:t>
      </w:r>
    </w:p>
    <w:p w14:paraId="2F123122" w14:textId="77777777" w:rsidR="001A7732" w:rsidRDefault="001A7732" w:rsidP="003016F7">
      <w:pPr>
        <w:rPr>
          <w:sz w:val="22"/>
          <w:szCs w:val="22"/>
        </w:rPr>
      </w:pPr>
    </w:p>
    <w:p w14:paraId="2F123123" w14:textId="77777777" w:rsidR="00AE5C79" w:rsidRDefault="00AE5C79" w:rsidP="003016F7">
      <w:pPr>
        <w:rPr>
          <w:sz w:val="22"/>
          <w:szCs w:val="22"/>
        </w:rPr>
      </w:pPr>
      <w:r>
        <w:rPr>
          <w:sz w:val="22"/>
          <w:szCs w:val="22"/>
        </w:rPr>
        <w:t>Systémové kortikosteroidy znižujú absorpciu vápnika. V prípade súbežného podávania kortikosteroidov môže byť potrebné zvýšenie dávky Caltrate Plus.</w:t>
      </w:r>
    </w:p>
    <w:p w14:paraId="2F123124" w14:textId="77777777" w:rsidR="00AE5C79" w:rsidRDefault="00AE5C79" w:rsidP="003016F7">
      <w:pPr>
        <w:rPr>
          <w:sz w:val="22"/>
          <w:szCs w:val="22"/>
        </w:rPr>
      </w:pPr>
    </w:p>
    <w:p w14:paraId="2F123125" w14:textId="77777777" w:rsidR="00AE5C79" w:rsidRDefault="00AE5C79" w:rsidP="003016F7">
      <w:pPr>
        <w:rPr>
          <w:sz w:val="22"/>
          <w:szCs w:val="22"/>
        </w:rPr>
      </w:pPr>
      <w:r>
        <w:rPr>
          <w:sz w:val="22"/>
          <w:szCs w:val="22"/>
        </w:rPr>
        <w:t>Orlistat, kombinovaná liečba so živicou s výmenou iónov, ako je cholestyramín alebo laxatívami, ako je parafínový olej, môže znižovať gastrointestinálnu absorpciu vitamínu D</w:t>
      </w:r>
      <w:r>
        <w:rPr>
          <w:sz w:val="22"/>
          <w:szCs w:val="22"/>
          <w:vertAlign w:val="subscript"/>
        </w:rPr>
        <w:t>3</w:t>
      </w:r>
      <w:r>
        <w:rPr>
          <w:sz w:val="22"/>
          <w:szCs w:val="22"/>
        </w:rPr>
        <w:t>.</w:t>
      </w:r>
    </w:p>
    <w:p w14:paraId="2F123126" w14:textId="77777777" w:rsidR="00AE5C79" w:rsidRDefault="00AE5C79" w:rsidP="003016F7">
      <w:pPr>
        <w:rPr>
          <w:sz w:val="22"/>
          <w:szCs w:val="22"/>
        </w:rPr>
      </w:pPr>
    </w:p>
    <w:p w14:paraId="2F123127" w14:textId="77777777" w:rsidR="00AE5C79" w:rsidRDefault="00AE5C79" w:rsidP="003016F7">
      <w:pPr>
        <w:rPr>
          <w:sz w:val="22"/>
          <w:szCs w:val="22"/>
        </w:rPr>
      </w:pPr>
      <w:r>
        <w:rPr>
          <w:sz w:val="22"/>
          <w:szCs w:val="22"/>
        </w:rPr>
        <w:t>Hyperkalciémia môže zvyšovať toxicitu srdcových glykozidov, v prípade súčasného podávania s vápnikom a vitamínom D. Následne musia byť pacienti pravidelne sledovaní (kontrola EKG a kalciémie).</w:t>
      </w:r>
    </w:p>
    <w:p w14:paraId="2F123128" w14:textId="77777777" w:rsidR="00AE5C79" w:rsidRDefault="00AE5C79" w:rsidP="003016F7">
      <w:pPr>
        <w:rPr>
          <w:sz w:val="22"/>
          <w:szCs w:val="22"/>
        </w:rPr>
      </w:pPr>
    </w:p>
    <w:p w14:paraId="2F123129" w14:textId="77777777" w:rsidR="00AE5C79" w:rsidRDefault="00AE5C79" w:rsidP="003016F7">
      <w:pPr>
        <w:rPr>
          <w:sz w:val="22"/>
          <w:szCs w:val="22"/>
        </w:rPr>
      </w:pPr>
      <w:r>
        <w:rPr>
          <w:sz w:val="22"/>
          <w:szCs w:val="22"/>
        </w:rPr>
        <w:t>Absorpciu vápnika môže inhibovať kyselina šťavelová (nachádzajúca sa v špenáte a rebarbore) a kyselina fytová (nachádzajúca sa v celozrných cereáliách) tvorbou nerozpustných zlúčenín s iónmi vápnika. Pacienti nesmú užívať lieky s obsahom vápnika dve hodiny po požití potravín bohatých na kyselinu šťavelovú a kyselinu fytovú.</w:t>
      </w:r>
    </w:p>
    <w:p w14:paraId="2F12312A" w14:textId="77777777" w:rsidR="00AE5C79" w:rsidRDefault="00AE5C79" w:rsidP="003016F7">
      <w:pPr>
        <w:widowControl w:val="0"/>
        <w:autoSpaceDE w:val="0"/>
        <w:autoSpaceDN w:val="0"/>
        <w:adjustRightInd w:val="0"/>
        <w:rPr>
          <w:sz w:val="22"/>
          <w:szCs w:val="22"/>
        </w:rPr>
      </w:pPr>
    </w:p>
    <w:p w14:paraId="2F12312B" w14:textId="77777777" w:rsidR="00AE5C79" w:rsidRDefault="00AE5C79" w:rsidP="003016F7">
      <w:pPr>
        <w:widowControl w:val="0"/>
        <w:autoSpaceDE w:val="0"/>
        <w:autoSpaceDN w:val="0"/>
        <w:adjustRightInd w:val="0"/>
        <w:rPr>
          <w:sz w:val="22"/>
          <w:szCs w:val="22"/>
          <w:u w:val="single"/>
        </w:rPr>
      </w:pPr>
      <w:r>
        <w:rPr>
          <w:b/>
          <w:sz w:val="22"/>
          <w:szCs w:val="22"/>
        </w:rPr>
        <w:t>4.6</w:t>
      </w:r>
      <w:r>
        <w:rPr>
          <w:b/>
          <w:sz w:val="22"/>
          <w:szCs w:val="22"/>
        </w:rPr>
        <w:tab/>
      </w:r>
      <w:r w:rsidR="00007421">
        <w:rPr>
          <w:b/>
          <w:sz w:val="22"/>
          <w:szCs w:val="22"/>
        </w:rPr>
        <w:t>Fertilita, g</w:t>
      </w:r>
      <w:r>
        <w:rPr>
          <w:b/>
          <w:sz w:val="22"/>
          <w:szCs w:val="22"/>
        </w:rPr>
        <w:t>ravidita a laktácia</w:t>
      </w:r>
    </w:p>
    <w:p w14:paraId="2F12312C" w14:textId="77777777" w:rsidR="00AE5C79" w:rsidRDefault="00AE5C79" w:rsidP="003016F7">
      <w:pPr>
        <w:pStyle w:val="Zkladntext"/>
        <w:spacing w:line="240" w:lineRule="auto"/>
      </w:pPr>
    </w:p>
    <w:p w14:paraId="2F12312D" w14:textId="77777777" w:rsidR="00007421" w:rsidRDefault="00007421" w:rsidP="003016F7">
      <w:pPr>
        <w:rPr>
          <w:i/>
          <w:sz w:val="22"/>
          <w:szCs w:val="22"/>
        </w:rPr>
      </w:pPr>
      <w:r>
        <w:rPr>
          <w:i/>
          <w:sz w:val="22"/>
          <w:szCs w:val="22"/>
        </w:rPr>
        <w:t>Fertilita</w:t>
      </w:r>
    </w:p>
    <w:p w14:paraId="2F12312E" w14:textId="77777777" w:rsidR="00007421" w:rsidRPr="00007421" w:rsidRDefault="00007421" w:rsidP="003016F7">
      <w:pPr>
        <w:rPr>
          <w:sz w:val="22"/>
          <w:szCs w:val="22"/>
        </w:rPr>
      </w:pPr>
      <w:r w:rsidRPr="00502AAE">
        <w:rPr>
          <w:sz w:val="22"/>
          <w:szCs w:val="22"/>
        </w:rPr>
        <w:t>Nie sú dostupné žiadne údaje.</w:t>
      </w:r>
    </w:p>
    <w:p w14:paraId="2F12312F" w14:textId="77777777" w:rsidR="00007421" w:rsidRDefault="00007421" w:rsidP="003016F7">
      <w:pPr>
        <w:rPr>
          <w:sz w:val="22"/>
          <w:szCs w:val="22"/>
        </w:rPr>
      </w:pPr>
    </w:p>
    <w:p w14:paraId="2F123130" w14:textId="77777777" w:rsidR="00007421" w:rsidRPr="00007421" w:rsidRDefault="00007421" w:rsidP="003016F7">
      <w:pPr>
        <w:rPr>
          <w:i/>
          <w:sz w:val="22"/>
          <w:szCs w:val="22"/>
        </w:rPr>
      </w:pPr>
      <w:r>
        <w:rPr>
          <w:i/>
          <w:sz w:val="22"/>
          <w:szCs w:val="22"/>
        </w:rPr>
        <w:t>Gravidita</w:t>
      </w:r>
    </w:p>
    <w:p w14:paraId="2F123131" w14:textId="75F6B144" w:rsidR="00AE5C79" w:rsidRDefault="00204457" w:rsidP="003016F7">
      <w:pPr>
        <w:rPr>
          <w:sz w:val="22"/>
          <w:szCs w:val="22"/>
        </w:rPr>
      </w:pPr>
      <w:proofErr w:type="spellStart"/>
      <w:r>
        <w:rPr>
          <w:sz w:val="22"/>
          <w:szCs w:val="22"/>
        </w:rPr>
        <w:t>Caltrate</w:t>
      </w:r>
      <w:proofErr w:type="spellEnd"/>
      <w:r>
        <w:rPr>
          <w:sz w:val="22"/>
          <w:szCs w:val="22"/>
        </w:rPr>
        <w:t xml:space="preserve"> Plus</w:t>
      </w:r>
      <w:r w:rsidR="00FC2C05">
        <w:rPr>
          <w:sz w:val="22"/>
          <w:szCs w:val="22"/>
        </w:rPr>
        <w:t xml:space="preserve"> </w:t>
      </w:r>
      <w:r w:rsidR="00AE5C79">
        <w:rPr>
          <w:sz w:val="22"/>
          <w:szCs w:val="22"/>
        </w:rPr>
        <w:t>sa môže používať počas gravidity.</w:t>
      </w:r>
    </w:p>
    <w:p w14:paraId="2F123132" w14:textId="77777777" w:rsidR="00AE5C79" w:rsidRDefault="00AE5C79" w:rsidP="003016F7">
      <w:pPr>
        <w:rPr>
          <w:sz w:val="22"/>
          <w:szCs w:val="22"/>
        </w:rPr>
      </w:pPr>
    </w:p>
    <w:p w14:paraId="2F123133" w14:textId="77777777" w:rsidR="00AE5C79" w:rsidRDefault="00AE5C79" w:rsidP="003016F7">
      <w:pPr>
        <w:rPr>
          <w:sz w:val="22"/>
          <w:szCs w:val="22"/>
        </w:rPr>
      </w:pPr>
      <w:r>
        <w:rPr>
          <w:sz w:val="22"/>
          <w:szCs w:val="22"/>
        </w:rPr>
        <w:t xml:space="preserve">Denná dávka počas gravidity nemá prekročiť 1500 mg vápnika a 600 IU vitamínu </w:t>
      </w:r>
      <w:r w:rsidRPr="001673DA">
        <w:rPr>
          <w:sz w:val="22"/>
          <w:szCs w:val="22"/>
        </w:rPr>
        <w:t>D</w:t>
      </w:r>
      <w:r w:rsidR="001673DA" w:rsidRPr="001673DA">
        <w:rPr>
          <w:sz w:val="22"/>
          <w:szCs w:val="22"/>
        </w:rPr>
        <w:t xml:space="preserve"> </w:t>
      </w:r>
      <w:r w:rsidR="001673DA" w:rsidRPr="00F96068">
        <w:rPr>
          <w:sz w:val="22"/>
          <w:szCs w:val="22"/>
        </w:rPr>
        <w:t>(zodpovedá 2 tabletám Caltrate Plus).</w:t>
      </w:r>
      <w:r>
        <w:rPr>
          <w:sz w:val="22"/>
          <w:szCs w:val="22"/>
        </w:rPr>
        <w:t xml:space="preserve"> Štúdie na zvieratách potvrdili toxické účinky na reprodukciu pri vysokých dávkach vitamínu D. U gravidných žien sa musí vyhnúť akémukoľvek predávkovaniu vápnikom alebo vitamínom D, pretože dlhodobá hyperkalciémia v gravidite môže viesť k retardácii fyzického i duševného vývoja, supravalvulárnej aortálnej stenóze a retinopatii u dieťaťa. Pri terapeutických dávkach sa nezaznamenali žiadne známky teratogenity vitamínu D</w:t>
      </w:r>
      <w:r>
        <w:rPr>
          <w:sz w:val="22"/>
          <w:szCs w:val="22"/>
          <w:vertAlign w:val="subscript"/>
        </w:rPr>
        <w:t>3</w:t>
      </w:r>
      <w:r>
        <w:rPr>
          <w:sz w:val="22"/>
          <w:szCs w:val="22"/>
        </w:rPr>
        <w:t> u ľudí.</w:t>
      </w:r>
    </w:p>
    <w:p w14:paraId="2F123134" w14:textId="77777777" w:rsidR="00AE5C79" w:rsidRDefault="00AE5C79" w:rsidP="003016F7">
      <w:pPr>
        <w:rPr>
          <w:sz w:val="22"/>
          <w:szCs w:val="22"/>
        </w:rPr>
      </w:pPr>
    </w:p>
    <w:p w14:paraId="2F123135" w14:textId="13FB61BC" w:rsidR="00007421" w:rsidRPr="00007421" w:rsidRDefault="00393444" w:rsidP="003016F7">
      <w:pPr>
        <w:keepNext/>
        <w:rPr>
          <w:i/>
          <w:sz w:val="22"/>
          <w:szCs w:val="22"/>
        </w:rPr>
      </w:pPr>
      <w:r>
        <w:rPr>
          <w:i/>
          <w:sz w:val="22"/>
          <w:szCs w:val="22"/>
        </w:rPr>
        <w:t>Dojčenie</w:t>
      </w:r>
    </w:p>
    <w:p w14:paraId="2F123136" w14:textId="2DE12FA8" w:rsidR="00AE5C79" w:rsidRDefault="00204457" w:rsidP="003016F7">
      <w:pPr>
        <w:rPr>
          <w:sz w:val="22"/>
          <w:szCs w:val="22"/>
        </w:rPr>
      </w:pPr>
      <w:proofErr w:type="spellStart"/>
      <w:r>
        <w:rPr>
          <w:sz w:val="22"/>
          <w:szCs w:val="22"/>
        </w:rPr>
        <w:t>Caltrate</w:t>
      </w:r>
      <w:proofErr w:type="spellEnd"/>
      <w:r>
        <w:rPr>
          <w:sz w:val="22"/>
          <w:szCs w:val="22"/>
        </w:rPr>
        <w:t xml:space="preserve"> Plus</w:t>
      </w:r>
      <w:r w:rsidR="00FC2C05">
        <w:rPr>
          <w:sz w:val="22"/>
          <w:szCs w:val="22"/>
        </w:rPr>
        <w:t xml:space="preserve"> </w:t>
      </w:r>
      <w:r w:rsidR="00007421">
        <w:rPr>
          <w:sz w:val="22"/>
          <w:szCs w:val="22"/>
        </w:rPr>
        <w:t xml:space="preserve">možno užívať počas dojčenia. </w:t>
      </w:r>
      <w:r w:rsidR="00AE5C79">
        <w:rPr>
          <w:sz w:val="22"/>
          <w:szCs w:val="22"/>
        </w:rPr>
        <w:t>Vápnik a vitamín D</w:t>
      </w:r>
      <w:r w:rsidR="00AE5C79">
        <w:rPr>
          <w:sz w:val="22"/>
          <w:szCs w:val="22"/>
          <w:vertAlign w:val="subscript"/>
        </w:rPr>
        <w:t>3</w:t>
      </w:r>
      <w:r w:rsidR="00AE5C79">
        <w:rPr>
          <w:sz w:val="22"/>
          <w:szCs w:val="22"/>
        </w:rPr>
        <w:t> prestupujú do materského mlieka. Toto sa musí zohľadniť pri súčasnom podávaní vitamínu D</w:t>
      </w:r>
      <w:r w:rsidR="00AE5C79">
        <w:rPr>
          <w:sz w:val="22"/>
          <w:szCs w:val="22"/>
          <w:vertAlign w:val="subscript"/>
        </w:rPr>
        <w:t>3</w:t>
      </w:r>
      <w:r w:rsidR="00AE5C79">
        <w:rPr>
          <w:sz w:val="22"/>
          <w:szCs w:val="22"/>
        </w:rPr>
        <w:t> dieťaťu.</w:t>
      </w:r>
    </w:p>
    <w:p w14:paraId="2F123137" w14:textId="77777777" w:rsidR="00AE5C79" w:rsidRDefault="00AE5C79" w:rsidP="003016F7">
      <w:pPr>
        <w:widowControl w:val="0"/>
        <w:autoSpaceDE w:val="0"/>
        <w:autoSpaceDN w:val="0"/>
        <w:adjustRightInd w:val="0"/>
        <w:rPr>
          <w:sz w:val="22"/>
          <w:szCs w:val="22"/>
        </w:rPr>
      </w:pPr>
    </w:p>
    <w:p w14:paraId="2F123138" w14:textId="77777777" w:rsidR="00AE5C79" w:rsidRDefault="00AE5C79" w:rsidP="003016F7">
      <w:pPr>
        <w:widowControl w:val="0"/>
        <w:autoSpaceDE w:val="0"/>
        <w:autoSpaceDN w:val="0"/>
        <w:adjustRightInd w:val="0"/>
        <w:rPr>
          <w:sz w:val="22"/>
          <w:szCs w:val="22"/>
          <w:u w:val="single"/>
        </w:rPr>
      </w:pPr>
      <w:r>
        <w:rPr>
          <w:b/>
          <w:sz w:val="22"/>
          <w:szCs w:val="22"/>
        </w:rPr>
        <w:t>4.7</w:t>
      </w:r>
      <w:r>
        <w:rPr>
          <w:b/>
          <w:sz w:val="22"/>
          <w:szCs w:val="22"/>
        </w:rPr>
        <w:tab/>
        <w:t>Ovplyvnenie schopnosti viesť vozidlá a obsluhovať stroje</w:t>
      </w:r>
    </w:p>
    <w:p w14:paraId="2F123139" w14:textId="77777777" w:rsidR="00AE5C79" w:rsidRDefault="00AE5C79" w:rsidP="003016F7">
      <w:pPr>
        <w:widowControl w:val="0"/>
        <w:autoSpaceDE w:val="0"/>
        <w:autoSpaceDN w:val="0"/>
        <w:adjustRightInd w:val="0"/>
        <w:rPr>
          <w:sz w:val="22"/>
          <w:szCs w:val="22"/>
        </w:rPr>
      </w:pPr>
    </w:p>
    <w:p w14:paraId="2F12313A" w14:textId="32EE0903" w:rsidR="00AE5C79" w:rsidRDefault="00204457" w:rsidP="003016F7">
      <w:pPr>
        <w:pStyle w:val="Zkladntext"/>
        <w:spacing w:line="240" w:lineRule="auto"/>
      </w:pPr>
      <w:proofErr w:type="spellStart"/>
      <w:r>
        <w:t>Caltrate</w:t>
      </w:r>
      <w:proofErr w:type="spellEnd"/>
      <w:r>
        <w:t xml:space="preserve"> Plus</w:t>
      </w:r>
      <w:r w:rsidR="00FC2C05">
        <w:t xml:space="preserve"> </w:t>
      </w:r>
      <w:r w:rsidR="00AE5C79">
        <w:t xml:space="preserve">nemá </w:t>
      </w:r>
      <w:r w:rsidR="00007421">
        <w:t xml:space="preserve">žiadny alebo má zanedbateľný </w:t>
      </w:r>
      <w:r w:rsidR="00AE5C79">
        <w:t>vplyv na schopnosť viesť vozidlá a obsluhovať stroje.</w:t>
      </w:r>
    </w:p>
    <w:p w14:paraId="2F12313B" w14:textId="77777777" w:rsidR="00AE5C79" w:rsidRDefault="00AE5C79" w:rsidP="003016F7">
      <w:pPr>
        <w:widowControl w:val="0"/>
        <w:autoSpaceDE w:val="0"/>
        <w:autoSpaceDN w:val="0"/>
        <w:adjustRightInd w:val="0"/>
        <w:rPr>
          <w:sz w:val="22"/>
          <w:szCs w:val="22"/>
        </w:rPr>
      </w:pPr>
    </w:p>
    <w:p w14:paraId="2F12313C" w14:textId="77777777" w:rsidR="00AE5C79" w:rsidRDefault="00AE5C79" w:rsidP="003016F7">
      <w:pPr>
        <w:widowControl w:val="0"/>
        <w:autoSpaceDE w:val="0"/>
        <w:autoSpaceDN w:val="0"/>
        <w:adjustRightInd w:val="0"/>
        <w:rPr>
          <w:sz w:val="22"/>
          <w:szCs w:val="22"/>
          <w:u w:val="single"/>
        </w:rPr>
      </w:pPr>
      <w:r>
        <w:rPr>
          <w:b/>
          <w:sz w:val="22"/>
          <w:szCs w:val="22"/>
        </w:rPr>
        <w:t>4.8</w:t>
      </w:r>
      <w:r>
        <w:rPr>
          <w:b/>
          <w:sz w:val="22"/>
          <w:szCs w:val="22"/>
        </w:rPr>
        <w:tab/>
        <w:t>Nežiaduce účinky</w:t>
      </w:r>
    </w:p>
    <w:p w14:paraId="2F12313D" w14:textId="77777777" w:rsidR="00AE5C79" w:rsidRDefault="00AE5C79" w:rsidP="003016F7">
      <w:pPr>
        <w:widowControl w:val="0"/>
        <w:autoSpaceDE w:val="0"/>
        <w:autoSpaceDN w:val="0"/>
        <w:adjustRightInd w:val="0"/>
        <w:rPr>
          <w:sz w:val="22"/>
          <w:szCs w:val="22"/>
        </w:rPr>
      </w:pPr>
    </w:p>
    <w:p w14:paraId="2F12313E" w14:textId="77777777" w:rsidR="00AE5C79" w:rsidRDefault="00AE5C79" w:rsidP="003016F7">
      <w:pPr>
        <w:rPr>
          <w:sz w:val="22"/>
          <w:szCs w:val="22"/>
        </w:rPr>
      </w:pPr>
      <w:r>
        <w:rPr>
          <w:sz w:val="22"/>
          <w:szCs w:val="22"/>
        </w:rPr>
        <w:t xml:space="preserve">Nižšie uvádzame nežiaduce účinky zoradené podľa triedy orgánových systémov a frekvencie. Frekvencie sú definované </w:t>
      </w:r>
      <w:r w:rsidRPr="00613D46">
        <w:rPr>
          <w:sz w:val="22"/>
          <w:szCs w:val="22"/>
        </w:rPr>
        <w:t>nasledovne:</w:t>
      </w:r>
      <w:r>
        <w:rPr>
          <w:sz w:val="22"/>
          <w:szCs w:val="22"/>
        </w:rPr>
        <w:t xml:space="preserve"> menej časté (≥ 1/1 000 až &lt; 1/100) alebo zriedkavé (≥ 1/10 000 až &lt; 1/1000).</w:t>
      </w:r>
    </w:p>
    <w:p w14:paraId="2F12313F" w14:textId="77777777" w:rsidR="00AE5C79" w:rsidRDefault="00AE5C79" w:rsidP="003016F7">
      <w:pPr>
        <w:rPr>
          <w:sz w:val="22"/>
          <w:szCs w:val="22"/>
        </w:rPr>
      </w:pPr>
    </w:p>
    <w:p w14:paraId="2F123140" w14:textId="77777777" w:rsidR="00AE5C79" w:rsidRPr="0065099F" w:rsidRDefault="00AE5C79" w:rsidP="003016F7">
      <w:pPr>
        <w:rPr>
          <w:bCs/>
          <w:sz w:val="22"/>
          <w:szCs w:val="22"/>
          <w:u w:val="single"/>
        </w:rPr>
      </w:pPr>
      <w:r w:rsidRPr="0065099F">
        <w:rPr>
          <w:bCs/>
          <w:sz w:val="22"/>
          <w:szCs w:val="22"/>
          <w:u w:val="single"/>
        </w:rPr>
        <w:t>Poruchy metabolizmu a výživy</w:t>
      </w:r>
    </w:p>
    <w:p w14:paraId="2F123141" w14:textId="77777777" w:rsidR="00AE5C79" w:rsidRDefault="00AE5C79" w:rsidP="003016F7">
      <w:pPr>
        <w:rPr>
          <w:sz w:val="22"/>
          <w:szCs w:val="22"/>
        </w:rPr>
      </w:pPr>
      <w:r>
        <w:rPr>
          <w:sz w:val="22"/>
          <w:szCs w:val="22"/>
        </w:rPr>
        <w:t>Menej časté: hyperkalciémia a hyperkalcinúria.</w:t>
      </w:r>
    </w:p>
    <w:p w14:paraId="2F123142" w14:textId="77777777" w:rsidR="00AE5C79" w:rsidRDefault="00AE5C79" w:rsidP="003016F7">
      <w:pPr>
        <w:rPr>
          <w:sz w:val="22"/>
          <w:szCs w:val="22"/>
        </w:rPr>
      </w:pPr>
    </w:p>
    <w:p w14:paraId="2F123143" w14:textId="77777777" w:rsidR="00AE5C79" w:rsidRPr="0065099F" w:rsidRDefault="00AE5C79" w:rsidP="003016F7">
      <w:pPr>
        <w:rPr>
          <w:bCs/>
          <w:sz w:val="22"/>
          <w:szCs w:val="22"/>
          <w:u w:val="single"/>
        </w:rPr>
      </w:pPr>
      <w:r w:rsidRPr="0065099F">
        <w:rPr>
          <w:bCs/>
          <w:sz w:val="22"/>
          <w:szCs w:val="22"/>
          <w:u w:val="single"/>
        </w:rPr>
        <w:t>Poruchy gastrointestinálneho traktu</w:t>
      </w:r>
    </w:p>
    <w:p w14:paraId="2F123144" w14:textId="77777777" w:rsidR="00AE5C79" w:rsidRDefault="00AE5C79" w:rsidP="003016F7">
      <w:pPr>
        <w:rPr>
          <w:sz w:val="22"/>
          <w:szCs w:val="22"/>
        </w:rPr>
      </w:pPr>
      <w:r>
        <w:rPr>
          <w:sz w:val="22"/>
          <w:szCs w:val="22"/>
        </w:rPr>
        <w:t>Zriedkavé: zápcha, plynatosť, nevoľnosť, bolesti brucha a hnačka.</w:t>
      </w:r>
    </w:p>
    <w:p w14:paraId="2F123145" w14:textId="77777777" w:rsidR="00AE5C79" w:rsidRDefault="00AE5C79" w:rsidP="003016F7">
      <w:pPr>
        <w:rPr>
          <w:sz w:val="22"/>
          <w:szCs w:val="22"/>
        </w:rPr>
      </w:pPr>
    </w:p>
    <w:p w14:paraId="2F123146" w14:textId="77777777" w:rsidR="00AE5C79" w:rsidRPr="0065099F" w:rsidRDefault="00AE5C79" w:rsidP="003016F7">
      <w:pPr>
        <w:rPr>
          <w:bCs/>
          <w:sz w:val="22"/>
          <w:szCs w:val="22"/>
          <w:u w:val="single"/>
        </w:rPr>
      </w:pPr>
      <w:r w:rsidRPr="0065099F">
        <w:rPr>
          <w:bCs/>
          <w:sz w:val="22"/>
          <w:szCs w:val="22"/>
          <w:u w:val="single"/>
        </w:rPr>
        <w:t>Poruchy kože a podkožného tkaniva</w:t>
      </w:r>
    </w:p>
    <w:p w14:paraId="2F123147" w14:textId="77777777" w:rsidR="00AE5C79" w:rsidRDefault="00AE5C79" w:rsidP="003016F7">
      <w:pPr>
        <w:widowControl w:val="0"/>
        <w:autoSpaceDE w:val="0"/>
        <w:autoSpaceDN w:val="0"/>
        <w:adjustRightInd w:val="0"/>
        <w:rPr>
          <w:sz w:val="22"/>
          <w:szCs w:val="22"/>
        </w:rPr>
      </w:pPr>
      <w:r>
        <w:rPr>
          <w:sz w:val="22"/>
          <w:szCs w:val="22"/>
        </w:rPr>
        <w:t>Zriedkavé: svrbenie, vyrážka a žihľavka.</w:t>
      </w:r>
    </w:p>
    <w:p w14:paraId="2F123148" w14:textId="77777777" w:rsidR="00AE5C79" w:rsidRPr="00ED3289" w:rsidRDefault="00AE5C79" w:rsidP="003016F7">
      <w:pPr>
        <w:widowControl w:val="0"/>
        <w:autoSpaceDE w:val="0"/>
        <w:autoSpaceDN w:val="0"/>
        <w:adjustRightInd w:val="0"/>
        <w:rPr>
          <w:sz w:val="22"/>
          <w:szCs w:val="22"/>
        </w:rPr>
      </w:pPr>
    </w:p>
    <w:p w14:paraId="2F123149" w14:textId="77777777" w:rsidR="00ED3289" w:rsidRPr="00ED3289" w:rsidRDefault="00ED3289" w:rsidP="00301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u w:val="single"/>
        </w:rPr>
      </w:pPr>
      <w:r w:rsidRPr="00ED3289">
        <w:rPr>
          <w:sz w:val="22"/>
          <w:u w:val="single"/>
        </w:rPr>
        <w:t>Hlásenie podozrení na nežiaduce reakcie</w:t>
      </w:r>
    </w:p>
    <w:p w14:paraId="2F12314A" w14:textId="006EBB42" w:rsidR="00ED3289" w:rsidRPr="007A5C5C" w:rsidRDefault="00ED3289" w:rsidP="00301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r w:rsidRPr="00ED3289">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31083D" w:rsidRPr="009B7C7F">
        <w:rPr>
          <w:sz w:val="22"/>
          <w:szCs w:val="22"/>
          <w:highlight w:val="lightGray"/>
        </w:rPr>
        <w:t xml:space="preserve">národné </w:t>
      </w:r>
      <w:r w:rsidR="0031083D">
        <w:rPr>
          <w:sz w:val="22"/>
          <w:szCs w:val="22"/>
          <w:highlight w:val="lightGray"/>
        </w:rPr>
        <w:t>centrum</w:t>
      </w:r>
      <w:r w:rsidR="0031083D" w:rsidRPr="009B7C7F">
        <w:rPr>
          <w:sz w:val="22"/>
          <w:szCs w:val="22"/>
          <w:highlight w:val="lightGray"/>
        </w:rPr>
        <w:t xml:space="preserve"> hlásenia uvedené v</w:t>
      </w:r>
      <w:r w:rsidR="0031083D" w:rsidRPr="009B7C7F">
        <w:rPr>
          <w:sz w:val="22"/>
          <w:szCs w:val="22"/>
          <w:highlight w:val="lightGray"/>
          <w:u w:val="single"/>
        </w:rPr>
        <w:t> </w:t>
      </w:r>
      <w:hyperlink r:id="rId7" w:history="1">
        <w:r w:rsidR="0031083D" w:rsidRPr="00480F59">
          <w:rPr>
            <w:rStyle w:val="Hypertextovprepojenie"/>
            <w:noProof/>
            <w:sz w:val="22"/>
            <w:szCs w:val="22"/>
            <w:highlight w:val="lightGray"/>
          </w:rPr>
          <w:t>P</w:t>
        </w:r>
        <w:r w:rsidR="0031083D" w:rsidRPr="00480F59">
          <w:rPr>
            <w:rStyle w:val="Hypertextovprepojenie"/>
            <w:sz w:val="22"/>
            <w:szCs w:val="22"/>
            <w:highlight w:val="lightGray"/>
          </w:rPr>
          <w:t xml:space="preserve">rílohe </w:t>
        </w:r>
        <w:r w:rsidR="0031083D" w:rsidRPr="00480F59">
          <w:rPr>
            <w:rStyle w:val="Hypertextovprepojenie"/>
            <w:noProof/>
            <w:sz w:val="22"/>
            <w:szCs w:val="22"/>
            <w:highlight w:val="lightGray"/>
          </w:rPr>
          <w:t>V</w:t>
        </w:r>
      </w:hyperlink>
      <w:r w:rsidR="0031083D" w:rsidRPr="0031083D">
        <w:rPr>
          <w:noProof/>
          <w:sz w:val="22"/>
          <w:szCs w:val="22"/>
        </w:rPr>
        <w:t>.</w:t>
      </w:r>
    </w:p>
    <w:p w14:paraId="2F12314B" w14:textId="77777777" w:rsidR="00727BFA" w:rsidRPr="00ED3289" w:rsidRDefault="00727BFA" w:rsidP="003016F7">
      <w:pPr>
        <w:widowControl w:val="0"/>
        <w:autoSpaceDE w:val="0"/>
        <w:autoSpaceDN w:val="0"/>
        <w:adjustRightInd w:val="0"/>
        <w:rPr>
          <w:sz w:val="22"/>
          <w:szCs w:val="22"/>
        </w:rPr>
      </w:pPr>
    </w:p>
    <w:p w14:paraId="2F12314C" w14:textId="77777777" w:rsidR="00AE5C79" w:rsidRPr="00ED3289" w:rsidRDefault="00AE5C79" w:rsidP="003016F7">
      <w:pPr>
        <w:widowControl w:val="0"/>
        <w:autoSpaceDE w:val="0"/>
        <w:autoSpaceDN w:val="0"/>
        <w:adjustRightInd w:val="0"/>
        <w:rPr>
          <w:sz w:val="22"/>
          <w:szCs w:val="22"/>
          <w:u w:val="single"/>
        </w:rPr>
      </w:pPr>
      <w:r w:rsidRPr="00ED3289">
        <w:rPr>
          <w:b/>
          <w:sz w:val="22"/>
          <w:szCs w:val="22"/>
        </w:rPr>
        <w:t>4.9</w:t>
      </w:r>
      <w:r w:rsidRPr="00ED3289">
        <w:rPr>
          <w:b/>
          <w:sz w:val="22"/>
          <w:szCs w:val="22"/>
        </w:rPr>
        <w:tab/>
        <w:t>Predávkovanie</w:t>
      </w:r>
    </w:p>
    <w:p w14:paraId="2F12314D" w14:textId="77777777" w:rsidR="00AE5C79" w:rsidRDefault="00AE5C79" w:rsidP="003016F7">
      <w:pPr>
        <w:widowControl w:val="0"/>
        <w:autoSpaceDE w:val="0"/>
        <w:autoSpaceDN w:val="0"/>
        <w:adjustRightInd w:val="0"/>
        <w:rPr>
          <w:sz w:val="22"/>
          <w:szCs w:val="22"/>
        </w:rPr>
      </w:pPr>
    </w:p>
    <w:p w14:paraId="2F12314E" w14:textId="77777777" w:rsidR="00AE5C79" w:rsidRDefault="00AE5C79" w:rsidP="003016F7">
      <w:pPr>
        <w:rPr>
          <w:sz w:val="22"/>
          <w:szCs w:val="22"/>
        </w:rPr>
      </w:pPr>
      <w:r>
        <w:rPr>
          <w:sz w:val="22"/>
          <w:szCs w:val="22"/>
        </w:rPr>
        <w:t xml:space="preserve">S predávkovaním Caltratom Plus sa môžu spájať nasledovné znaky a príznaky: </w:t>
      </w:r>
    </w:p>
    <w:p w14:paraId="2F12314F" w14:textId="77777777" w:rsidR="00AE5C79" w:rsidRDefault="00AE5C79" w:rsidP="003016F7">
      <w:pPr>
        <w:rPr>
          <w:sz w:val="22"/>
          <w:szCs w:val="22"/>
        </w:rPr>
      </w:pPr>
    </w:p>
    <w:p w14:paraId="2F123150" w14:textId="77777777" w:rsidR="00AE5C79" w:rsidRDefault="00AE5C79" w:rsidP="003016F7">
      <w:pPr>
        <w:rPr>
          <w:bCs/>
          <w:sz w:val="22"/>
          <w:szCs w:val="22"/>
          <w:u w:val="single"/>
        </w:rPr>
      </w:pPr>
      <w:r>
        <w:rPr>
          <w:bCs/>
          <w:sz w:val="22"/>
          <w:szCs w:val="22"/>
          <w:u w:val="single"/>
        </w:rPr>
        <w:t>Poruchy gastrointestinálneho traktu:</w:t>
      </w:r>
    </w:p>
    <w:p w14:paraId="2F123151" w14:textId="77777777" w:rsidR="00AE5C79" w:rsidRDefault="00AE5C79" w:rsidP="003016F7">
      <w:pPr>
        <w:rPr>
          <w:sz w:val="22"/>
          <w:szCs w:val="22"/>
        </w:rPr>
      </w:pPr>
      <w:r>
        <w:rPr>
          <w:sz w:val="22"/>
          <w:szCs w:val="22"/>
        </w:rPr>
        <w:t>Zápcha, nevoľnosť, vracanie.</w:t>
      </w:r>
    </w:p>
    <w:p w14:paraId="2F123152" w14:textId="77777777" w:rsidR="00AE5C79" w:rsidRDefault="00AE5C79" w:rsidP="003016F7">
      <w:pPr>
        <w:rPr>
          <w:sz w:val="22"/>
          <w:szCs w:val="22"/>
        </w:rPr>
      </w:pPr>
    </w:p>
    <w:p w14:paraId="2F123153" w14:textId="77777777" w:rsidR="00AE5C79" w:rsidRDefault="00AE5C79" w:rsidP="003016F7">
      <w:pPr>
        <w:rPr>
          <w:bCs/>
          <w:sz w:val="22"/>
          <w:szCs w:val="22"/>
          <w:u w:val="single"/>
        </w:rPr>
      </w:pPr>
      <w:r>
        <w:rPr>
          <w:bCs/>
          <w:sz w:val="22"/>
          <w:szCs w:val="22"/>
          <w:u w:val="single"/>
        </w:rPr>
        <w:t>Poruchy metabolizmu a výživy:</w:t>
      </w:r>
    </w:p>
    <w:p w14:paraId="2F123154" w14:textId="77777777" w:rsidR="00AE5C79" w:rsidRPr="009B7C7F" w:rsidRDefault="00AE5C79" w:rsidP="003016F7">
      <w:pPr>
        <w:rPr>
          <w:sz w:val="22"/>
          <w:szCs w:val="22"/>
        </w:rPr>
      </w:pPr>
      <w:r w:rsidRPr="009B7C7F">
        <w:rPr>
          <w:sz w:val="22"/>
          <w:szCs w:val="22"/>
        </w:rPr>
        <w:t>Alkalóza, anorexia, hyperkalciémia, hypofosfatiémia, Burnettov syndróm.</w:t>
      </w:r>
    </w:p>
    <w:p w14:paraId="2F123155" w14:textId="77777777" w:rsidR="00AE5C79" w:rsidRPr="009B7C7F" w:rsidRDefault="00AE5C79" w:rsidP="003016F7">
      <w:pPr>
        <w:rPr>
          <w:sz w:val="22"/>
          <w:szCs w:val="22"/>
        </w:rPr>
      </w:pPr>
    </w:p>
    <w:p w14:paraId="2F123156" w14:textId="77777777" w:rsidR="00AE5C79" w:rsidRPr="009B7C7F" w:rsidRDefault="00AE5C79" w:rsidP="003016F7">
      <w:pPr>
        <w:rPr>
          <w:sz w:val="22"/>
          <w:szCs w:val="22"/>
          <w:u w:val="single"/>
        </w:rPr>
      </w:pPr>
      <w:r w:rsidRPr="009B7C7F">
        <w:rPr>
          <w:sz w:val="22"/>
          <w:szCs w:val="22"/>
          <w:u w:val="single"/>
        </w:rPr>
        <w:t>Poruchy obličiek a močových ciest:</w:t>
      </w:r>
    </w:p>
    <w:p w14:paraId="2F123157" w14:textId="77777777" w:rsidR="00AE5C79" w:rsidRPr="009B7C7F" w:rsidRDefault="00AE5C79" w:rsidP="003016F7">
      <w:pPr>
        <w:widowControl w:val="0"/>
        <w:autoSpaceDE w:val="0"/>
        <w:autoSpaceDN w:val="0"/>
        <w:adjustRightInd w:val="0"/>
        <w:rPr>
          <w:sz w:val="22"/>
          <w:szCs w:val="22"/>
        </w:rPr>
      </w:pPr>
      <w:r w:rsidRPr="009B7C7F">
        <w:rPr>
          <w:sz w:val="22"/>
          <w:szCs w:val="22"/>
        </w:rPr>
        <w:t>Nefrolitiáza.</w:t>
      </w:r>
    </w:p>
    <w:p w14:paraId="2F123158" w14:textId="77777777" w:rsidR="00AE5C79" w:rsidRPr="009B7C7F" w:rsidRDefault="00AE5C79" w:rsidP="003016F7">
      <w:pPr>
        <w:widowControl w:val="0"/>
        <w:autoSpaceDE w:val="0"/>
        <w:autoSpaceDN w:val="0"/>
        <w:adjustRightInd w:val="0"/>
        <w:rPr>
          <w:sz w:val="22"/>
          <w:szCs w:val="22"/>
        </w:rPr>
      </w:pPr>
    </w:p>
    <w:p w14:paraId="2F123159" w14:textId="77777777" w:rsidR="00AE5C79" w:rsidRDefault="00AE5C79" w:rsidP="003016F7">
      <w:pPr>
        <w:widowControl w:val="0"/>
        <w:autoSpaceDE w:val="0"/>
        <w:autoSpaceDN w:val="0"/>
        <w:adjustRightInd w:val="0"/>
        <w:rPr>
          <w:sz w:val="22"/>
          <w:szCs w:val="22"/>
        </w:rPr>
      </w:pPr>
      <w:r w:rsidRPr="009B7C7F">
        <w:rPr>
          <w:sz w:val="22"/>
          <w:szCs w:val="22"/>
        </w:rPr>
        <w:t>Ak sa však diagnostikuje predávkovanie do dvoch alebo troch hodín a zdá sa, že si vyžaduje lekársku pomoc, možno vykonať výplach žalúdka.</w:t>
      </w:r>
    </w:p>
    <w:p w14:paraId="2F12315A" w14:textId="77777777" w:rsidR="00AE5C79" w:rsidRDefault="00AE5C79" w:rsidP="003016F7">
      <w:pPr>
        <w:rPr>
          <w:sz w:val="22"/>
          <w:szCs w:val="22"/>
        </w:rPr>
      </w:pPr>
    </w:p>
    <w:p w14:paraId="2F12315B" w14:textId="77777777" w:rsidR="0031083D" w:rsidRDefault="0031083D" w:rsidP="003016F7">
      <w:pPr>
        <w:rPr>
          <w:sz w:val="22"/>
          <w:szCs w:val="22"/>
        </w:rPr>
      </w:pPr>
    </w:p>
    <w:p w14:paraId="2F12315C" w14:textId="77777777" w:rsidR="00AE5C79" w:rsidRDefault="00AE5C79" w:rsidP="003016F7">
      <w:pPr>
        <w:keepNext/>
        <w:rPr>
          <w:sz w:val="22"/>
          <w:szCs w:val="22"/>
        </w:rPr>
      </w:pPr>
      <w:r>
        <w:rPr>
          <w:b/>
          <w:sz w:val="22"/>
          <w:szCs w:val="22"/>
        </w:rPr>
        <w:t>5.</w:t>
      </w:r>
      <w:r>
        <w:rPr>
          <w:b/>
          <w:sz w:val="22"/>
          <w:szCs w:val="22"/>
        </w:rPr>
        <w:tab/>
        <w:t>FARMAKOLOGICKÉ VLASTNOSTI</w:t>
      </w:r>
    </w:p>
    <w:p w14:paraId="2F12315D" w14:textId="77777777" w:rsidR="00AE5C79" w:rsidRDefault="00AE5C79" w:rsidP="003016F7">
      <w:pPr>
        <w:keepNext/>
        <w:rPr>
          <w:bCs/>
          <w:sz w:val="22"/>
          <w:szCs w:val="22"/>
        </w:rPr>
      </w:pPr>
    </w:p>
    <w:p w14:paraId="2F12315E" w14:textId="77777777" w:rsidR="00AE5C79" w:rsidRDefault="00AE5C79" w:rsidP="003016F7">
      <w:pPr>
        <w:keepNext/>
        <w:widowControl w:val="0"/>
        <w:numPr>
          <w:ilvl w:val="1"/>
          <w:numId w:val="2"/>
        </w:numPr>
        <w:autoSpaceDE w:val="0"/>
        <w:autoSpaceDN w:val="0"/>
        <w:adjustRightInd w:val="0"/>
        <w:rPr>
          <w:b/>
          <w:sz w:val="22"/>
          <w:szCs w:val="22"/>
        </w:rPr>
      </w:pPr>
      <w:r>
        <w:rPr>
          <w:b/>
          <w:sz w:val="22"/>
          <w:szCs w:val="22"/>
        </w:rPr>
        <w:t>Farmakodynamické vlastnosti</w:t>
      </w:r>
    </w:p>
    <w:p w14:paraId="2F12315F" w14:textId="77777777" w:rsidR="00AE5C79" w:rsidRDefault="00AE5C79" w:rsidP="003016F7">
      <w:pPr>
        <w:keepNext/>
        <w:widowControl w:val="0"/>
        <w:autoSpaceDE w:val="0"/>
        <w:autoSpaceDN w:val="0"/>
        <w:adjustRightInd w:val="0"/>
        <w:rPr>
          <w:sz w:val="22"/>
          <w:szCs w:val="22"/>
        </w:rPr>
      </w:pPr>
    </w:p>
    <w:p w14:paraId="2F123160" w14:textId="77777777" w:rsidR="00AE5C79" w:rsidRDefault="00AE5C79" w:rsidP="003016F7">
      <w:pPr>
        <w:widowControl w:val="0"/>
        <w:autoSpaceDE w:val="0"/>
        <w:autoSpaceDN w:val="0"/>
        <w:adjustRightInd w:val="0"/>
        <w:rPr>
          <w:sz w:val="22"/>
          <w:szCs w:val="22"/>
        </w:rPr>
      </w:pPr>
      <w:r>
        <w:rPr>
          <w:sz w:val="22"/>
          <w:szCs w:val="22"/>
        </w:rPr>
        <w:t xml:space="preserve">Farmakoterapeutická skupina: </w:t>
      </w:r>
      <w:r w:rsidR="0065099F">
        <w:rPr>
          <w:sz w:val="22"/>
          <w:szCs w:val="22"/>
        </w:rPr>
        <w:t>Minerálne doplnky, v</w:t>
      </w:r>
      <w:r>
        <w:rPr>
          <w:sz w:val="22"/>
          <w:szCs w:val="22"/>
        </w:rPr>
        <w:t>ápnik, kombináci</w:t>
      </w:r>
      <w:r w:rsidR="0065099F">
        <w:rPr>
          <w:sz w:val="22"/>
          <w:szCs w:val="22"/>
        </w:rPr>
        <w:t>e s vitamínom D a/alebo</w:t>
      </w:r>
      <w:r w:rsidR="00ED3289">
        <w:rPr>
          <w:sz w:val="22"/>
          <w:szCs w:val="22"/>
        </w:rPr>
        <w:t xml:space="preserve"> </w:t>
      </w:r>
      <w:r>
        <w:rPr>
          <w:sz w:val="22"/>
          <w:szCs w:val="22"/>
        </w:rPr>
        <w:t>inými liečivami</w:t>
      </w:r>
      <w:r w:rsidR="00674C50">
        <w:rPr>
          <w:sz w:val="22"/>
          <w:szCs w:val="22"/>
        </w:rPr>
        <w:t xml:space="preserve">, </w:t>
      </w:r>
      <w:r>
        <w:rPr>
          <w:sz w:val="22"/>
          <w:szCs w:val="22"/>
        </w:rPr>
        <w:t>ATC</w:t>
      </w:r>
      <w:r w:rsidR="00007421">
        <w:rPr>
          <w:sz w:val="22"/>
          <w:szCs w:val="22"/>
        </w:rPr>
        <w:t xml:space="preserve"> </w:t>
      </w:r>
      <w:r>
        <w:rPr>
          <w:sz w:val="22"/>
          <w:szCs w:val="22"/>
        </w:rPr>
        <w:t>kód: A12AX</w:t>
      </w:r>
    </w:p>
    <w:p w14:paraId="2F123161" w14:textId="77777777" w:rsidR="00AE5C79" w:rsidRDefault="00AE5C79" w:rsidP="003016F7">
      <w:pPr>
        <w:widowControl w:val="0"/>
        <w:autoSpaceDE w:val="0"/>
        <w:autoSpaceDN w:val="0"/>
        <w:adjustRightInd w:val="0"/>
        <w:rPr>
          <w:sz w:val="22"/>
          <w:szCs w:val="22"/>
        </w:rPr>
      </w:pPr>
    </w:p>
    <w:p w14:paraId="2F123162" w14:textId="77777777" w:rsidR="00AE5C79" w:rsidRDefault="00AE5C79" w:rsidP="003016F7">
      <w:pPr>
        <w:widowControl w:val="0"/>
        <w:autoSpaceDE w:val="0"/>
        <w:autoSpaceDN w:val="0"/>
        <w:adjustRightInd w:val="0"/>
        <w:rPr>
          <w:sz w:val="22"/>
          <w:szCs w:val="22"/>
          <w:u w:val="single"/>
        </w:rPr>
      </w:pPr>
      <w:r>
        <w:rPr>
          <w:sz w:val="22"/>
          <w:szCs w:val="22"/>
          <w:u w:val="single"/>
        </w:rPr>
        <w:lastRenderedPageBreak/>
        <w:t>Vitamín D:</w:t>
      </w:r>
    </w:p>
    <w:p w14:paraId="2F123163" w14:textId="77777777" w:rsidR="00AE5C79" w:rsidRDefault="00AE5C79" w:rsidP="003016F7">
      <w:pPr>
        <w:widowControl w:val="0"/>
        <w:autoSpaceDE w:val="0"/>
        <w:autoSpaceDN w:val="0"/>
        <w:adjustRightInd w:val="0"/>
        <w:rPr>
          <w:sz w:val="22"/>
          <w:szCs w:val="22"/>
        </w:rPr>
      </w:pPr>
      <w:r>
        <w:rPr>
          <w:sz w:val="22"/>
          <w:szCs w:val="22"/>
        </w:rPr>
        <w:t>Udržiava homeostázu vápnika a normálny metabolizmus kostí.</w:t>
      </w:r>
    </w:p>
    <w:p w14:paraId="2F123164" w14:textId="77777777" w:rsidR="00AE5C79" w:rsidRDefault="00AE5C79" w:rsidP="003016F7">
      <w:pPr>
        <w:widowControl w:val="0"/>
        <w:autoSpaceDE w:val="0"/>
        <w:autoSpaceDN w:val="0"/>
        <w:adjustRightInd w:val="0"/>
        <w:rPr>
          <w:sz w:val="22"/>
          <w:szCs w:val="22"/>
        </w:rPr>
      </w:pPr>
    </w:p>
    <w:p w14:paraId="2F123165" w14:textId="77777777" w:rsidR="00AE5C79" w:rsidRDefault="00AE5C79" w:rsidP="003016F7">
      <w:pPr>
        <w:widowControl w:val="0"/>
        <w:autoSpaceDE w:val="0"/>
        <w:autoSpaceDN w:val="0"/>
        <w:adjustRightInd w:val="0"/>
        <w:rPr>
          <w:sz w:val="22"/>
          <w:szCs w:val="22"/>
          <w:u w:val="single"/>
        </w:rPr>
      </w:pPr>
      <w:r>
        <w:rPr>
          <w:sz w:val="22"/>
          <w:szCs w:val="22"/>
          <w:u w:val="single"/>
        </w:rPr>
        <w:t>Vápnik:</w:t>
      </w:r>
    </w:p>
    <w:p w14:paraId="2F123166" w14:textId="77777777" w:rsidR="00AE5C79" w:rsidRDefault="00AE5C79" w:rsidP="003016F7">
      <w:pPr>
        <w:widowControl w:val="0"/>
        <w:autoSpaceDE w:val="0"/>
        <w:autoSpaceDN w:val="0"/>
        <w:adjustRightInd w:val="0"/>
        <w:jc w:val="both"/>
        <w:rPr>
          <w:sz w:val="22"/>
          <w:szCs w:val="22"/>
        </w:rPr>
      </w:pPr>
      <w:r>
        <w:rPr>
          <w:sz w:val="22"/>
          <w:szCs w:val="22"/>
        </w:rPr>
        <w:t>Okrem toho, že vápnik tvorí veľkú časť kostnej hmoty je nevyhnutný pre viaceré dôležité procesy, vrátane dráždivosti neurónov, uvoľnenia neurotransmiterov, kontrakcie svalov, udržiava integritu bunkových membrán a pre zrážanie krvi. Slúži aj ako druhý posol pri sprostredkovaní účinku viacerých hormónov.</w:t>
      </w:r>
    </w:p>
    <w:p w14:paraId="2F123167" w14:textId="77777777" w:rsidR="00AE5C79" w:rsidRDefault="00AE5C79" w:rsidP="003016F7">
      <w:pPr>
        <w:widowControl w:val="0"/>
        <w:autoSpaceDE w:val="0"/>
        <w:autoSpaceDN w:val="0"/>
        <w:adjustRightInd w:val="0"/>
        <w:jc w:val="both"/>
        <w:rPr>
          <w:sz w:val="22"/>
          <w:szCs w:val="22"/>
        </w:rPr>
      </w:pPr>
    </w:p>
    <w:p w14:paraId="2F123168" w14:textId="77777777" w:rsidR="00AE5C79" w:rsidRDefault="00AE5C79" w:rsidP="003016F7">
      <w:pPr>
        <w:widowControl w:val="0"/>
        <w:autoSpaceDE w:val="0"/>
        <w:autoSpaceDN w:val="0"/>
        <w:adjustRightInd w:val="0"/>
        <w:rPr>
          <w:sz w:val="22"/>
          <w:szCs w:val="22"/>
          <w:u w:val="single"/>
        </w:rPr>
      </w:pPr>
      <w:r>
        <w:rPr>
          <w:sz w:val="22"/>
          <w:szCs w:val="22"/>
          <w:u w:val="single"/>
        </w:rPr>
        <w:t>Horčík:</w:t>
      </w:r>
    </w:p>
    <w:p w14:paraId="2F123169" w14:textId="77777777" w:rsidR="00AE5C79" w:rsidRDefault="00AE5C79" w:rsidP="003016F7">
      <w:pPr>
        <w:widowControl w:val="0"/>
        <w:autoSpaceDE w:val="0"/>
        <w:autoSpaceDN w:val="0"/>
        <w:adjustRightInd w:val="0"/>
        <w:rPr>
          <w:sz w:val="22"/>
          <w:szCs w:val="22"/>
        </w:rPr>
      </w:pPr>
      <w:r>
        <w:rPr>
          <w:sz w:val="22"/>
          <w:szCs w:val="22"/>
        </w:rPr>
        <w:t xml:space="preserve">Je dôležitý pre metabolizmus vitamínu D a funkciu kostných tkanív. Ovplyvňuje sekréciu a účinok parathormónu. Účinkom na iónové kanály horčík ovplyvňuje prenos nervových vzruchov, svalovú kontrakciu a normálny rytmus srdca. ATP, molekula, ktorá dodáva energiu pre takmer všetky metabolické procesy, existuje primárne vo forme komplexu s horčíkom. </w:t>
      </w:r>
    </w:p>
    <w:p w14:paraId="2F12316A" w14:textId="77777777" w:rsidR="00AE5C79" w:rsidRDefault="00AE5C79" w:rsidP="003016F7">
      <w:pPr>
        <w:widowControl w:val="0"/>
        <w:autoSpaceDE w:val="0"/>
        <w:autoSpaceDN w:val="0"/>
        <w:adjustRightInd w:val="0"/>
        <w:rPr>
          <w:sz w:val="22"/>
          <w:szCs w:val="22"/>
        </w:rPr>
      </w:pPr>
    </w:p>
    <w:p w14:paraId="2F12316B" w14:textId="77777777" w:rsidR="00AE5C79" w:rsidRDefault="00AE5C79" w:rsidP="003016F7">
      <w:pPr>
        <w:widowControl w:val="0"/>
        <w:autoSpaceDE w:val="0"/>
        <w:autoSpaceDN w:val="0"/>
        <w:adjustRightInd w:val="0"/>
        <w:rPr>
          <w:sz w:val="22"/>
          <w:szCs w:val="22"/>
          <w:u w:val="single"/>
        </w:rPr>
      </w:pPr>
      <w:r>
        <w:rPr>
          <w:sz w:val="22"/>
          <w:szCs w:val="22"/>
          <w:u w:val="single"/>
        </w:rPr>
        <w:t>Mangán:</w:t>
      </w:r>
    </w:p>
    <w:p w14:paraId="2F12316C" w14:textId="77777777" w:rsidR="00AE5C79" w:rsidRDefault="00AE5C79" w:rsidP="003016F7">
      <w:pPr>
        <w:widowControl w:val="0"/>
        <w:autoSpaceDE w:val="0"/>
        <w:autoSpaceDN w:val="0"/>
        <w:adjustRightInd w:val="0"/>
        <w:rPr>
          <w:sz w:val="22"/>
          <w:szCs w:val="22"/>
        </w:rPr>
      </w:pPr>
      <w:r>
        <w:rPr>
          <w:sz w:val="22"/>
          <w:szCs w:val="22"/>
        </w:rPr>
        <w:t>Je základnou zložkou niektorých metaloenzýmov a podieľa sa na aktivácii enzýmov. Nedostatok mangánu je spojený s výrazným znížením obsahu chondroitínsulfátu v chrupavkách.</w:t>
      </w:r>
    </w:p>
    <w:p w14:paraId="2F12316D" w14:textId="77777777" w:rsidR="00AE5C79" w:rsidRDefault="00AE5C79" w:rsidP="003016F7">
      <w:pPr>
        <w:widowControl w:val="0"/>
        <w:autoSpaceDE w:val="0"/>
        <w:autoSpaceDN w:val="0"/>
        <w:adjustRightInd w:val="0"/>
        <w:rPr>
          <w:sz w:val="22"/>
          <w:szCs w:val="22"/>
        </w:rPr>
      </w:pPr>
    </w:p>
    <w:p w14:paraId="2F12316E" w14:textId="77777777" w:rsidR="00AE5C79" w:rsidRDefault="00AE5C79" w:rsidP="003016F7">
      <w:pPr>
        <w:widowControl w:val="0"/>
        <w:autoSpaceDE w:val="0"/>
        <w:autoSpaceDN w:val="0"/>
        <w:adjustRightInd w:val="0"/>
        <w:rPr>
          <w:sz w:val="22"/>
          <w:szCs w:val="22"/>
          <w:u w:val="single"/>
        </w:rPr>
      </w:pPr>
      <w:r>
        <w:rPr>
          <w:sz w:val="22"/>
          <w:szCs w:val="22"/>
          <w:u w:val="single"/>
        </w:rPr>
        <w:t>Meď:</w:t>
      </w:r>
    </w:p>
    <w:p w14:paraId="2F12316F" w14:textId="77777777" w:rsidR="00AE5C79" w:rsidRDefault="00AE5C79" w:rsidP="003016F7">
      <w:pPr>
        <w:widowControl w:val="0"/>
        <w:autoSpaceDE w:val="0"/>
        <w:autoSpaceDN w:val="0"/>
        <w:adjustRightInd w:val="0"/>
        <w:rPr>
          <w:sz w:val="22"/>
          <w:szCs w:val="22"/>
        </w:rPr>
      </w:pPr>
      <w:r>
        <w:rPr>
          <w:sz w:val="22"/>
          <w:szCs w:val="22"/>
        </w:rPr>
        <w:t>Meď sa podieľa na syntéze základných zlúčenín ako sú komplexné proteíny spojivového tkaniva v kostiach a krvných cievach a ďalších neuroaktívnych látok ovplyvňujúcich činnosť nervového tkaniva.</w:t>
      </w:r>
    </w:p>
    <w:p w14:paraId="2F123170" w14:textId="77777777" w:rsidR="00AE5C79" w:rsidRDefault="00AE5C79" w:rsidP="003016F7">
      <w:pPr>
        <w:widowControl w:val="0"/>
        <w:autoSpaceDE w:val="0"/>
        <w:autoSpaceDN w:val="0"/>
        <w:adjustRightInd w:val="0"/>
        <w:rPr>
          <w:sz w:val="22"/>
          <w:szCs w:val="22"/>
        </w:rPr>
      </w:pPr>
    </w:p>
    <w:p w14:paraId="2F123171" w14:textId="77777777" w:rsidR="00AE5C79" w:rsidRDefault="00AE5C79" w:rsidP="003016F7">
      <w:pPr>
        <w:widowControl w:val="0"/>
        <w:autoSpaceDE w:val="0"/>
        <w:autoSpaceDN w:val="0"/>
        <w:adjustRightInd w:val="0"/>
        <w:rPr>
          <w:sz w:val="22"/>
          <w:szCs w:val="22"/>
          <w:u w:val="single"/>
        </w:rPr>
      </w:pPr>
      <w:r>
        <w:rPr>
          <w:sz w:val="22"/>
          <w:szCs w:val="22"/>
          <w:u w:val="single"/>
        </w:rPr>
        <w:t>Zinok:</w:t>
      </w:r>
    </w:p>
    <w:p w14:paraId="2F123172" w14:textId="77777777" w:rsidR="00AE5C79" w:rsidRDefault="00AE5C79" w:rsidP="003016F7">
      <w:pPr>
        <w:widowControl w:val="0"/>
        <w:autoSpaceDE w:val="0"/>
        <w:autoSpaceDN w:val="0"/>
        <w:adjustRightInd w:val="0"/>
        <w:rPr>
          <w:sz w:val="22"/>
          <w:szCs w:val="22"/>
        </w:rPr>
      </w:pPr>
      <w:r>
        <w:rPr>
          <w:sz w:val="22"/>
          <w:szCs w:val="22"/>
        </w:rPr>
        <w:t>Je nevyhnutnou zložkou v procese transkripcie a translácie polynukleotidov a je preto nevyhnutný na obnovu tkanív a ich rast.</w:t>
      </w:r>
    </w:p>
    <w:p w14:paraId="2F123173" w14:textId="77777777" w:rsidR="00AE5C79" w:rsidRDefault="00AE5C79" w:rsidP="003016F7">
      <w:pPr>
        <w:widowControl w:val="0"/>
        <w:autoSpaceDE w:val="0"/>
        <w:autoSpaceDN w:val="0"/>
        <w:adjustRightInd w:val="0"/>
        <w:rPr>
          <w:sz w:val="22"/>
          <w:szCs w:val="22"/>
        </w:rPr>
      </w:pPr>
    </w:p>
    <w:p w14:paraId="2F123174" w14:textId="77777777" w:rsidR="00AE5C79" w:rsidRDefault="00AE5C79" w:rsidP="003016F7">
      <w:pPr>
        <w:widowControl w:val="0"/>
        <w:autoSpaceDE w:val="0"/>
        <w:autoSpaceDN w:val="0"/>
        <w:adjustRightInd w:val="0"/>
        <w:rPr>
          <w:sz w:val="22"/>
          <w:szCs w:val="22"/>
          <w:u w:val="single"/>
        </w:rPr>
      </w:pPr>
      <w:r>
        <w:rPr>
          <w:sz w:val="22"/>
          <w:szCs w:val="22"/>
          <w:u w:val="single"/>
        </w:rPr>
        <w:t>Bór:</w:t>
      </w:r>
    </w:p>
    <w:p w14:paraId="2F123175" w14:textId="77777777" w:rsidR="00AE5C79" w:rsidRDefault="00AE5C79" w:rsidP="003016F7">
      <w:pPr>
        <w:widowControl w:val="0"/>
        <w:autoSpaceDE w:val="0"/>
        <w:autoSpaceDN w:val="0"/>
        <w:adjustRightInd w:val="0"/>
        <w:rPr>
          <w:sz w:val="22"/>
          <w:szCs w:val="22"/>
        </w:rPr>
      </w:pPr>
      <w:r>
        <w:rPr>
          <w:sz w:val="22"/>
          <w:szCs w:val="22"/>
        </w:rPr>
        <w:t>Bór môže zohrávať úlohu v udržiavaní rovnováhy vápnika a pri tvorbe steroidných hormónov alebo hydroxylácii 25-OH-vitamínu D.</w:t>
      </w:r>
    </w:p>
    <w:p w14:paraId="2F123176" w14:textId="77777777" w:rsidR="00AE5C79" w:rsidRDefault="00AE5C79" w:rsidP="003016F7">
      <w:pPr>
        <w:widowControl w:val="0"/>
        <w:autoSpaceDE w:val="0"/>
        <w:autoSpaceDN w:val="0"/>
        <w:adjustRightInd w:val="0"/>
        <w:rPr>
          <w:sz w:val="22"/>
          <w:szCs w:val="22"/>
        </w:rPr>
      </w:pPr>
    </w:p>
    <w:p w14:paraId="2F123177" w14:textId="77777777" w:rsidR="00AE5C79" w:rsidRDefault="00AE5C79" w:rsidP="003016F7">
      <w:pPr>
        <w:widowControl w:val="0"/>
        <w:autoSpaceDE w:val="0"/>
        <w:autoSpaceDN w:val="0"/>
        <w:adjustRightInd w:val="0"/>
        <w:jc w:val="both"/>
        <w:rPr>
          <w:sz w:val="22"/>
          <w:szCs w:val="22"/>
          <w:u w:val="single"/>
        </w:rPr>
      </w:pPr>
      <w:r>
        <w:rPr>
          <w:b/>
          <w:sz w:val="22"/>
          <w:szCs w:val="22"/>
        </w:rPr>
        <w:t>5.2</w:t>
      </w:r>
      <w:r>
        <w:rPr>
          <w:b/>
          <w:sz w:val="22"/>
          <w:szCs w:val="22"/>
        </w:rPr>
        <w:tab/>
        <w:t>Farmakokinetické vlastnosti</w:t>
      </w:r>
    </w:p>
    <w:p w14:paraId="2F123178" w14:textId="77777777" w:rsidR="00AE5C79" w:rsidRDefault="00AE5C79" w:rsidP="003016F7">
      <w:pPr>
        <w:widowControl w:val="0"/>
        <w:autoSpaceDE w:val="0"/>
        <w:autoSpaceDN w:val="0"/>
        <w:adjustRightInd w:val="0"/>
        <w:jc w:val="both"/>
        <w:rPr>
          <w:sz w:val="22"/>
          <w:szCs w:val="22"/>
        </w:rPr>
      </w:pPr>
    </w:p>
    <w:p w14:paraId="2F123179" w14:textId="77777777" w:rsidR="00AE5C79" w:rsidRDefault="00AE5C79" w:rsidP="003016F7">
      <w:pPr>
        <w:widowControl w:val="0"/>
        <w:autoSpaceDE w:val="0"/>
        <w:autoSpaceDN w:val="0"/>
        <w:adjustRightInd w:val="0"/>
        <w:rPr>
          <w:sz w:val="22"/>
          <w:szCs w:val="22"/>
          <w:u w:val="single"/>
        </w:rPr>
      </w:pPr>
      <w:r>
        <w:rPr>
          <w:sz w:val="22"/>
          <w:szCs w:val="22"/>
          <w:u w:val="single"/>
        </w:rPr>
        <w:t>Vitamín D:</w:t>
      </w:r>
    </w:p>
    <w:p w14:paraId="2F12317A" w14:textId="77777777" w:rsidR="00AE5C79" w:rsidRDefault="00AE5C79" w:rsidP="003016F7">
      <w:pPr>
        <w:widowControl w:val="0"/>
        <w:autoSpaceDE w:val="0"/>
        <w:autoSpaceDN w:val="0"/>
        <w:adjustRightInd w:val="0"/>
        <w:rPr>
          <w:sz w:val="22"/>
          <w:szCs w:val="22"/>
        </w:rPr>
      </w:pPr>
      <w:r>
        <w:rPr>
          <w:sz w:val="22"/>
          <w:szCs w:val="22"/>
        </w:rPr>
        <w:t xml:space="preserve">Vitamín D sa absorbuje aktívnym transportom v tenkom čreve a vylučuje sa obličkami. </w:t>
      </w:r>
    </w:p>
    <w:p w14:paraId="2F12317B" w14:textId="77777777" w:rsidR="00AE5C79" w:rsidRDefault="00AE5C79" w:rsidP="003016F7">
      <w:pPr>
        <w:widowControl w:val="0"/>
        <w:autoSpaceDE w:val="0"/>
        <w:autoSpaceDN w:val="0"/>
        <w:adjustRightInd w:val="0"/>
        <w:rPr>
          <w:sz w:val="22"/>
          <w:szCs w:val="22"/>
          <w:u w:val="single"/>
        </w:rPr>
      </w:pPr>
    </w:p>
    <w:p w14:paraId="2F12317C" w14:textId="77777777" w:rsidR="00AE5C79" w:rsidRDefault="00AE5C79" w:rsidP="003016F7">
      <w:pPr>
        <w:widowControl w:val="0"/>
        <w:autoSpaceDE w:val="0"/>
        <w:autoSpaceDN w:val="0"/>
        <w:adjustRightInd w:val="0"/>
        <w:rPr>
          <w:sz w:val="22"/>
          <w:szCs w:val="22"/>
          <w:u w:val="single"/>
        </w:rPr>
      </w:pPr>
      <w:r>
        <w:rPr>
          <w:sz w:val="22"/>
          <w:szCs w:val="22"/>
          <w:u w:val="single"/>
        </w:rPr>
        <w:t>Vápnik:</w:t>
      </w:r>
    </w:p>
    <w:p w14:paraId="2F12317D" w14:textId="77777777" w:rsidR="00AE5C79" w:rsidRDefault="00AE5C79" w:rsidP="003016F7">
      <w:pPr>
        <w:pStyle w:val="Zkladntext"/>
        <w:spacing w:line="240" w:lineRule="auto"/>
      </w:pPr>
      <w:r>
        <w:t>Vápnik sa absorbuje aktívnym transportom a pasívnou difúziou cez sliznicu čreva. K aktívnemu transportu vápnika závislému od vitamínu D dochádza v proximálnej časti duodéna. Účinnosť absorpcie vápnika z čreva je nepriamo úmerná príjmu vápnika, teda nízky diétny príjem vápnika vedie ku kompenzačnému zvýšeniu absorpcie, čo je čiastočne spôsobené aktiváciou vitamínu D. Účinnosť tohoto procesu sa podstatne znižuje vekom. Niektoré lieky ako sú glukokortikoidy a fenytoín znižujú vstrebávanie vápnika z čreva. Niektoré zložky výživy, napríklad fytáty a oxaláty, zoslabujú absorpciu vápnika tým, že podporujú tvorbu neabsorbovateľných komplexov. Stratu vápnika stolicou podporujú aj chorobné stavy, ako je steatorea, hnačka alebo chronická črevná malabsorpcia.</w:t>
      </w:r>
    </w:p>
    <w:p w14:paraId="2F12317E" w14:textId="77777777" w:rsidR="00AE5C79" w:rsidRDefault="00AE5C79" w:rsidP="003016F7">
      <w:pPr>
        <w:widowControl w:val="0"/>
        <w:autoSpaceDE w:val="0"/>
        <w:autoSpaceDN w:val="0"/>
        <w:adjustRightInd w:val="0"/>
        <w:rPr>
          <w:sz w:val="22"/>
          <w:szCs w:val="22"/>
          <w:u w:val="single"/>
        </w:rPr>
      </w:pPr>
    </w:p>
    <w:p w14:paraId="2F12317F" w14:textId="77777777" w:rsidR="00AE5C79" w:rsidRDefault="00AE5C79" w:rsidP="003016F7">
      <w:pPr>
        <w:widowControl w:val="0"/>
        <w:autoSpaceDE w:val="0"/>
        <w:autoSpaceDN w:val="0"/>
        <w:adjustRightInd w:val="0"/>
        <w:rPr>
          <w:sz w:val="22"/>
          <w:szCs w:val="22"/>
          <w:u w:val="single"/>
        </w:rPr>
      </w:pPr>
      <w:r>
        <w:rPr>
          <w:sz w:val="22"/>
          <w:szCs w:val="22"/>
          <w:u w:val="single"/>
        </w:rPr>
        <w:t>Horčík:</w:t>
      </w:r>
    </w:p>
    <w:p w14:paraId="2F123180" w14:textId="77777777" w:rsidR="00AE5C79" w:rsidRDefault="00AE5C79" w:rsidP="003016F7">
      <w:pPr>
        <w:widowControl w:val="0"/>
        <w:autoSpaceDE w:val="0"/>
        <w:autoSpaceDN w:val="0"/>
        <w:adjustRightInd w:val="0"/>
        <w:rPr>
          <w:sz w:val="22"/>
          <w:szCs w:val="22"/>
        </w:rPr>
      </w:pPr>
      <w:r>
        <w:rPr>
          <w:sz w:val="22"/>
          <w:szCs w:val="22"/>
        </w:rPr>
        <w:t>Horčík sa vstrebáva v celom črevnom trakte, no miestom maximálnej absorpcie horčíka je pravdepodobne distálne jejunum a ileum. Nesaturovateľné pasívne a saturovateľné aktívne transportné systémy absorpcie horčíka sa môžu podieľať na vyššej frakčnej absorpcii pri nižšom príjme horčíka potravou. Hlavným orgánom homeostázy horčíka sú obličky.</w:t>
      </w:r>
    </w:p>
    <w:p w14:paraId="2F123181" w14:textId="77777777" w:rsidR="00AE5C79" w:rsidRDefault="00AE5C79" w:rsidP="003016F7">
      <w:pPr>
        <w:widowControl w:val="0"/>
        <w:autoSpaceDE w:val="0"/>
        <w:autoSpaceDN w:val="0"/>
        <w:adjustRightInd w:val="0"/>
        <w:rPr>
          <w:sz w:val="22"/>
          <w:szCs w:val="22"/>
        </w:rPr>
      </w:pPr>
    </w:p>
    <w:p w14:paraId="2F123182" w14:textId="77777777" w:rsidR="00AE5C79" w:rsidRDefault="00AE5C79" w:rsidP="003016F7">
      <w:pPr>
        <w:keepNext/>
        <w:widowControl w:val="0"/>
        <w:autoSpaceDE w:val="0"/>
        <w:autoSpaceDN w:val="0"/>
        <w:adjustRightInd w:val="0"/>
        <w:rPr>
          <w:sz w:val="22"/>
          <w:szCs w:val="22"/>
          <w:u w:val="single"/>
        </w:rPr>
      </w:pPr>
      <w:r>
        <w:rPr>
          <w:sz w:val="22"/>
          <w:szCs w:val="22"/>
          <w:u w:val="single"/>
        </w:rPr>
        <w:lastRenderedPageBreak/>
        <w:t>Mangán:</w:t>
      </w:r>
    </w:p>
    <w:p w14:paraId="2F123183" w14:textId="77777777" w:rsidR="00AE5C79" w:rsidRDefault="00AE5C79" w:rsidP="003016F7">
      <w:pPr>
        <w:widowControl w:val="0"/>
        <w:autoSpaceDE w:val="0"/>
        <w:autoSpaceDN w:val="0"/>
        <w:adjustRightInd w:val="0"/>
        <w:rPr>
          <w:sz w:val="22"/>
          <w:szCs w:val="22"/>
        </w:rPr>
      </w:pPr>
      <w:r>
        <w:rPr>
          <w:sz w:val="22"/>
          <w:szCs w:val="22"/>
        </w:rPr>
        <w:t>Absorpcia mangánu prebieha rovnomerne v celom tenkom čreve. Takmer úplne sa vylučuje stolicou, v moči sa zistili len stopové množstvá.</w:t>
      </w:r>
    </w:p>
    <w:p w14:paraId="2F123184" w14:textId="77777777" w:rsidR="00AE5C79" w:rsidRDefault="00AE5C79" w:rsidP="003016F7">
      <w:pPr>
        <w:widowControl w:val="0"/>
        <w:autoSpaceDE w:val="0"/>
        <w:autoSpaceDN w:val="0"/>
        <w:adjustRightInd w:val="0"/>
        <w:rPr>
          <w:sz w:val="22"/>
          <w:szCs w:val="22"/>
        </w:rPr>
      </w:pPr>
    </w:p>
    <w:p w14:paraId="2F123185" w14:textId="77777777" w:rsidR="00AE5C79" w:rsidRDefault="00AE5C79" w:rsidP="003016F7">
      <w:pPr>
        <w:rPr>
          <w:sz w:val="22"/>
          <w:szCs w:val="22"/>
          <w:u w:val="single"/>
        </w:rPr>
      </w:pPr>
      <w:r>
        <w:rPr>
          <w:sz w:val="22"/>
          <w:szCs w:val="22"/>
          <w:u w:val="single"/>
        </w:rPr>
        <w:t>Meď a zinok:</w:t>
      </w:r>
    </w:p>
    <w:p w14:paraId="2F123186" w14:textId="77777777" w:rsidR="00AE5C79" w:rsidRDefault="00AE5C79" w:rsidP="003016F7">
      <w:pPr>
        <w:widowControl w:val="0"/>
        <w:autoSpaceDE w:val="0"/>
        <w:autoSpaceDN w:val="0"/>
        <w:adjustRightInd w:val="0"/>
        <w:rPr>
          <w:sz w:val="22"/>
          <w:szCs w:val="22"/>
        </w:rPr>
      </w:pPr>
      <w:r>
        <w:rPr>
          <w:sz w:val="22"/>
          <w:szCs w:val="22"/>
        </w:rPr>
        <w:t>Deficit zinku v dôsledku liečby niektorými liekmi je často sprevádzaný deficitom medi, pretože meď reaguje pri tvorbe komplexných zlúčenín s rovnakými látkami ako zinok. V týchto zlúčeninách nie sú meď ani zinok biologicky dostupné pre organizmus. Preto sa pri deficitu zinku má súčasne podávať aj meď.</w:t>
      </w:r>
    </w:p>
    <w:p w14:paraId="2F123187" w14:textId="77777777" w:rsidR="00AE5C79" w:rsidRDefault="00AE5C79" w:rsidP="003016F7">
      <w:pPr>
        <w:widowControl w:val="0"/>
        <w:autoSpaceDE w:val="0"/>
        <w:autoSpaceDN w:val="0"/>
        <w:adjustRightInd w:val="0"/>
        <w:rPr>
          <w:sz w:val="22"/>
          <w:szCs w:val="22"/>
        </w:rPr>
      </w:pPr>
    </w:p>
    <w:p w14:paraId="2F123188" w14:textId="77777777" w:rsidR="00AE5C79" w:rsidRDefault="00AE5C79" w:rsidP="003016F7">
      <w:pPr>
        <w:widowControl w:val="0"/>
        <w:autoSpaceDE w:val="0"/>
        <w:autoSpaceDN w:val="0"/>
        <w:adjustRightInd w:val="0"/>
        <w:jc w:val="both"/>
        <w:rPr>
          <w:sz w:val="22"/>
          <w:szCs w:val="22"/>
          <w:u w:val="single"/>
        </w:rPr>
      </w:pPr>
      <w:r>
        <w:rPr>
          <w:b/>
          <w:sz w:val="22"/>
          <w:szCs w:val="22"/>
        </w:rPr>
        <w:t>5.3</w:t>
      </w:r>
      <w:r>
        <w:rPr>
          <w:b/>
          <w:sz w:val="22"/>
          <w:szCs w:val="22"/>
        </w:rPr>
        <w:tab/>
        <w:t>Predklinické údaje o bezpečnosti</w:t>
      </w:r>
    </w:p>
    <w:p w14:paraId="2F123189" w14:textId="77777777" w:rsidR="00AE5C79" w:rsidRDefault="00AE5C79" w:rsidP="003016F7">
      <w:pPr>
        <w:pStyle w:val="EMEAEnBodyText"/>
        <w:widowControl w:val="0"/>
        <w:autoSpaceDE w:val="0"/>
        <w:autoSpaceDN w:val="0"/>
        <w:adjustRightInd w:val="0"/>
        <w:spacing w:before="0" w:after="0"/>
        <w:rPr>
          <w:szCs w:val="24"/>
          <w:lang w:val="sk-SK" w:eastAsia="sk-SK"/>
        </w:rPr>
      </w:pPr>
    </w:p>
    <w:p w14:paraId="2F12318A" w14:textId="77777777" w:rsidR="001673DA" w:rsidRPr="001673DA" w:rsidRDefault="00AE5C79" w:rsidP="003016F7">
      <w:pPr>
        <w:pStyle w:val="EMEAEnBodyText"/>
        <w:widowControl w:val="0"/>
        <w:autoSpaceDE w:val="0"/>
        <w:autoSpaceDN w:val="0"/>
        <w:adjustRightInd w:val="0"/>
        <w:spacing w:before="0" w:after="0"/>
        <w:rPr>
          <w:szCs w:val="24"/>
          <w:lang w:val="sk-SK" w:eastAsia="sk-SK"/>
        </w:rPr>
      </w:pPr>
      <w:r>
        <w:rPr>
          <w:lang w:val="sk-SK"/>
        </w:rPr>
        <w:t>Nie sú dostupné.</w:t>
      </w:r>
    </w:p>
    <w:p w14:paraId="2F12318B" w14:textId="77777777" w:rsidR="00AE5C79" w:rsidRDefault="00AE5C79" w:rsidP="003016F7">
      <w:pPr>
        <w:widowControl w:val="0"/>
        <w:autoSpaceDE w:val="0"/>
        <w:autoSpaceDN w:val="0"/>
        <w:adjustRightInd w:val="0"/>
        <w:jc w:val="both"/>
        <w:rPr>
          <w:sz w:val="22"/>
          <w:szCs w:val="22"/>
        </w:rPr>
      </w:pPr>
    </w:p>
    <w:p w14:paraId="2F12318C" w14:textId="77777777" w:rsidR="00AE5C79" w:rsidRDefault="00AE5C79" w:rsidP="003016F7">
      <w:pPr>
        <w:widowControl w:val="0"/>
        <w:autoSpaceDE w:val="0"/>
        <w:autoSpaceDN w:val="0"/>
        <w:adjustRightInd w:val="0"/>
        <w:jc w:val="both"/>
        <w:rPr>
          <w:sz w:val="22"/>
          <w:szCs w:val="22"/>
        </w:rPr>
      </w:pPr>
    </w:p>
    <w:p w14:paraId="2F12318D" w14:textId="77777777" w:rsidR="00AE5C79" w:rsidRDefault="00AE5C79" w:rsidP="003016F7">
      <w:pPr>
        <w:widowControl w:val="0"/>
        <w:autoSpaceDE w:val="0"/>
        <w:autoSpaceDN w:val="0"/>
        <w:adjustRightInd w:val="0"/>
        <w:jc w:val="both"/>
        <w:rPr>
          <w:b/>
          <w:bCs/>
          <w:sz w:val="22"/>
          <w:szCs w:val="22"/>
        </w:rPr>
      </w:pPr>
      <w:r>
        <w:rPr>
          <w:b/>
          <w:bCs/>
          <w:sz w:val="22"/>
          <w:szCs w:val="22"/>
        </w:rPr>
        <w:t>6.</w:t>
      </w:r>
      <w:r>
        <w:rPr>
          <w:b/>
          <w:bCs/>
          <w:sz w:val="22"/>
          <w:szCs w:val="22"/>
        </w:rPr>
        <w:tab/>
        <w:t>FARMACEUTICKÉ INFORMÁCIE</w:t>
      </w:r>
    </w:p>
    <w:p w14:paraId="2F12318E" w14:textId="77777777" w:rsidR="00AE5C79" w:rsidRDefault="00AE5C79" w:rsidP="003016F7">
      <w:pPr>
        <w:widowControl w:val="0"/>
        <w:autoSpaceDE w:val="0"/>
        <w:autoSpaceDN w:val="0"/>
        <w:adjustRightInd w:val="0"/>
        <w:jc w:val="both"/>
        <w:rPr>
          <w:sz w:val="22"/>
          <w:szCs w:val="22"/>
        </w:rPr>
      </w:pPr>
    </w:p>
    <w:p w14:paraId="2F12318F" w14:textId="77777777" w:rsidR="00AE5C79" w:rsidRDefault="00AE5C79" w:rsidP="003016F7">
      <w:pPr>
        <w:rPr>
          <w:sz w:val="22"/>
          <w:szCs w:val="22"/>
        </w:rPr>
      </w:pPr>
      <w:r>
        <w:rPr>
          <w:b/>
          <w:sz w:val="22"/>
          <w:szCs w:val="22"/>
        </w:rPr>
        <w:t>6.1</w:t>
      </w:r>
      <w:r>
        <w:rPr>
          <w:b/>
          <w:sz w:val="22"/>
          <w:szCs w:val="22"/>
        </w:rPr>
        <w:tab/>
        <w:t>Zoznam pomocných látok</w:t>
      </w:r>
    </w:p>
    <w:p w14:paraId="2F123190" w14:textId="77777777" w:rsidR="00AE5C79" w:rsidRDefault="00AE5C79" w:rsidP="003016F7">
      <w:pPr>
        <w:rPr>
          <w:sz w:val="22"/>
          <w:szCs w:val="22"/>
        </w:rPr>
      </w:pPr>
    </w:p>
    <w:p w14:paraId="2F123191" w14:textId="77777777" w:rsidR="00AE5C79" w:rsidRPr="00007421" w:rsidRDefault="00AE5C79" w:rsidP="003016F7">
      <w:pPr>
        <w:rPr>
          <w:sz w:val="22"/>
          <w:szCs w:val="22"/>
          <w:u w:val="single"/>
        </w:rPr>
      </w:pPr>
      <w:r w:rsidRPr="00007421">
        <w:rPr>
          <w:sz w:val="22"/>
          <w:szCs w:val="22"/>
          <w:u w:val="single"/>
        </w:rPr>
        <w:t>Jadro tablety:</w:t>
      </w:r>
    </w:p>
    <w:p w14:paraId="2F123192" w14:textId="70DC8EC7" w:rsidR="00AE5C79" w:rsidRDefault="004B5B18" w:rsidP="003016F7">
      <w:pPr>
        <w:pStyle w:val="Zkladntext"/>
        <w:spacing w:line="240" w:lineRule="auto"/>
      </w:pPr>
      <w:r>
        <w:t>m</w:t>
      </w:r>
      <w:r w:rsidR="00AE5C79">
        <w:t>ikrokryštalická celulóza</w:t>
      </w:r>
    </w:p>
    <w:p w14:paraId="2F123193" w14:textId="77777777" w:rsidR="00AE5C79" w:rsidRDefault="00AE5C79" w:rsidP="003016F7">
      <w:pPr>
        <w:pStyle w:val="Zkladntext"/>
        <w:spacing w:line="240" w:lineRule="auto"/>
      </w:pPr>
      <w:r>
        <w:t>nátriumlaurylsulfát</w:t>
      </w:r>
    </w:p>
    <w:p w14:paraId="2F123194" w14:textId="77777777" w:rsidR="00AE5C79" w:rsidRDefault="00AE5C79" w:rsidP="003016F7">
      <w:pPr>
        <w:pStyle w:val="Zkladntext"/>
        <w:spacing w:line="240" w:lineRule="auto"/>
      </w:pPr>
      <w:r>
        <w:t>povidón K30</w:t>
      </w:r>
    </w:p>
    <w:p w14:paraId="2F123195" w14:textId="77777777" w:rsidR="00AE5C79" w:rsidRDefault="00AE5C79" w:rsidP="003016F7">
      <w:pPr>
        <w:pStyle w:val="Zkladntext"/>
        <w:spacing w:line="240" w:lineRule="auto"/>
      </w:pPr>
      <w:r>
        <w:t>magnéziumstearát</w:t>
      </w:r>
    </w:p>
    <w:p w14:paraId="2F123196" w14:textId="77777777" w:rsidR="00AE5C79" w:rsidRDefault="00AE5C79" w:rsidP="003016F7">
      <w:pPr>
        <w:pStyle w:val="Zkladntext"/>
        <w:spacing w:line="240" w:lineRule="auto"/>
      </w:pPr>
      <w:r>
        <w:t>krospovidón typ A</w:t>
      </w:r>
    </w:p>
    <w:p w14:paraId="2F123197" w14:textId="77777777" w:rsidR="00007421" w:rsidRPr="00873B2E" w:rsidRDefault="00007421" w:rsidP="003016F7">
      <w:pPr>
        <w:pStyle w:val="Zkladntext"/>
        <w:spacing w:line="240" w:lineRule="auto"/>
        <w:rPr>
          <w:lang w:eastAsia="en-US"/>
        </w:rPr>
      </w:pPr>
      <w:r w:rsidRPr="00873B2E">
        <w:rPr>
          <w:lang w:eastAsia="en-US"/>
        </w:rPr>
        <w:t>DL-alfa-tokoferol</w:t>
      </w:r>
    </w:p>
    <w:p w14:paraId="2F123198" w14:textId="77777777" w:rsidR="00007421" w:rsidRPr="00873B2E" w:rsidRDefault="00007421" w:rsidP="003016F7">
      <w:pPr>
        <w:pStyle w:val="Zkladntext"/>
        <w:spacing w:line="240" w:lineRule="auto"/>
        <w:rPr>
          <w:lang w:eastAsia="en-US"/>
        </w:rPr>
      </w:pPr>
      <w:r w:rsidRPr="00873B2E">
        <w:rPr>
          <w:lang w:eastAsia="en-US"/>
        </w:rPr>
        <w:t>čiastočne hydrogenovaný sójový olej</w:t>
      </w:r>
    </w:p>
    <w:p w14:paraId="2F123199" w14:textId="77777777" w:rsidR="00007421" w:rsidRPr="00873B2E" w:rsidRDefault="00007421" w:rsidP="003016F7">
      <w:pPr>
        <w:pStyle w:val="Zkladntext"/>
        <w:spacing w:line="240" w:lineRule="auto"/>
        <w:rPr>
          <w:lang w:eastAsia="en-US"/>
        </w:rPr>
      </w:pPr>
      <w:r w:rsidRPr="00873B2E">
        <w:rPr>
          <w:lang w:eastAsia="en-US"/>
        </w:rPr>
        <w:t>sacharóza</w:t>
      </w:r>
    </w:p>
    <w:p w14:paraId="2F12319A" w14:textId="77777777" w:rsidR="00007421" w:rsidRPr="00873B2E" w:rsidRDefault="00007421" w:rsidP="003016F7">
      <w:pPr>
        <w:pStyle w:val="Zkladntext"/>
        <w:spacing w:line="240" w:lineRule="auto"/>
        <w:rPr>
          <w:lang w:eastAsia="en-US"/>
        </w:rPr>
      </w:pPr>
      <w:r w:rsidRPr="00873B2E">
        <w:rPr>
          <w:lang w:eastAsia="en-US"/>
        </w:rPr>
        <w:t>hovädzia hydrolyzovaná želatína</w:t>
      </w:r>
    </w:p>
    <w:p w14:paraId="2F12319B" w14:textId="77777777" w:rsidR="00007421" w:rsidRPr="00873B2E" w:rsidRDefault="00007421" w:rsidP="003016F7">
      <w:pPr>
        <w:pStyle w:val="Zkladntext"/>
        <w:spacing w:line="240" w:lineRule="auto"/>
        <w:rPr>
          <w:lang w:eastAsia="en-US"/>
        </w:rPr>
      </w:pPr>
      <w:r w:rsidRPr="00873B2E">
        <w:rPr>
          <w:lang w:eastAsia="en-US"/>
        </w:rPr>
        <w:t>kukuričný škrob</w:t>
      </w:r>
    </w:p>
    <w:p w14:paraId="2F12319C" w14:textId="77777777" w:rsidR="00007421" w:rsidRPr="00873B2E" w:rsidRDefault="00007421" w:rsidP="003016F7">
      <w:pPr>
        <w:pStyle w:val="Zkladntext"/>
        <w:spacing w:line="240" w:lineRule="auto"/>
        <w:rPr>
          <w:lang w:eastAsia="en-US"/>
        </w:rPr>
      </w:pPr>
      <w:r w:rsidRPr="00873B2E">
        <w:rPr>
          <w:lang w:eastAsia="en-US"/>
        </w:rPr>
        <w:t>oxid kremičitý</w:t>
      </w:r>
    </w:p>
    <w:p w14:paraId="2F12319D" w14:textId="77777777" w:rsidR="00AE5C79" w:rsidRDefault="00AE5C79" w:rsidP="003016F7">
      <w:pPr>
        <w:pStyle w:val="Zkladntext"/>
        <w:spacing w:line="240" w:lineRule="auto"/>
      </w:pPr>
    </w:p>
    <w:p w14:paraId="2F12319E" w14:textId="77777777" w:rsidR="00AE5C79" w:rsidRPr="00007421" w:rsidRDefault="00AE5C79" w:rsidP="003016F7">
      <w:pPr>
        <w:pStyle w:val="Zkladntext"/>
        <w:spacing w:line="240" w:lineRule="auto"/>
        <w:rPr>
          <w:u w:val="single"/>
        </w:rPr>
      </w:pPr>
      <w:r w:rsidRPr="00007421">
        <w:rPr>
          <w:u w:val="single"/>
        </w:rPr>
        <w:t>Obal tablety:</w:t>
      </w:r>
    </w:p>
    <w:p w14:paraId="2F12319F" w14:textId="77777777" w:rsidR="00AE5C79" w:rsidRDefault="00AE5C79" w:rsidP="003016F7">
      <w:pPr>
        <w:pStyle w:val="Zkladntext"/>
        <w:spacing w:line="240" w:lineRule="auto"/>
      </w:pPr>
      <w:r>
        <w:t>hypromelóza</w:t>
      </w:r>
    </w:p>
    <w:p w14:paraId="2F1231A0" w14:textId="77777777" w:rsidR="00AE5C79" w:rsidRDefault="00AE5C79" w:rsidP="003016F7">
      <w:pPr>
        <w:pStyle w:val="Zkladntext"/>
        <w:spacing w:line="240" w:lineRule="auto"/>
      </w:pPr>
      <w:r>
        <w:t>oxid titaničitý</w:t>
      </w:r>
    </w:p>
    <w:p w14:paraId="2F1231A1" w14:textId="77777777" w:rsidR="00AE5C79" w:rsidRDefault="00AE5C79" w:rsidP="003016F7">
      <w:pPr>
        <w:pStyle w:val="Zkladntext"/>
        <w:spacing w:line="240" w:lineRule="auto"/>
      </w:pPr>
      <w:r>
        <w:t>ľahký tekutý parafín</w:t>
      </w:r>
    </w:p>
    <w:p w14:paraId="2F1231A2" w14:textId="77777777" w:rsidR="00AE5C79" w:rsidRDefault="00AE5C79" w:rsidP="003016F7">
      <w:pPr>
        <w:pStyle w:val="Zkladntext"/>
        <w:spacing w:line="240" w:lineRule="auto"/>
      </w:pPr>
      <w:r>
        <w:t>mastenec</w:t>
      </w:r>
    </w:p>
    <w:p w14:paraId="2F1231A3" w14:textId="77777777" w:rsidR="00AE5C79" w:rsidRDefault="00AE5C79" w:rsidP="003016F7">
      <w:pPr>
        <w:pStyle w:val="Zkladntext"/>
        <w:spacing w:line="240" w:lineRule="auto"/>
      </w:pPr>
      <w:r>
        <w:t>nátriumlaurylsulfát</w:t>
      </w:r>
    </w:p>
    <w:p w14:paraId="2F1231A4" w14:textId="77777777" w:rsidR="00AE5C79" w:rsidRDefault="00AE5C79" w:rsidP="003016F7">
      <w:pPr>
        <w:pStyle w:val="Zkladntext"/>
        <w:spacing w:line="240" w:lineRule="auto"/>
      </w:pPr>
      <w:r>
        <w:t>hlinitý lak červene allura AC</w:t>
      </w:r>
    </w:p>
    <w:p w14:paraId="2F1231A5" w14:textId="77777777" w:rsidR="00007421" w:rsidRDefault="00007421" w:rsidP="003016F7">
      <w:pPr>
        <w:pStyle w:val="Zkladntext"/>
        <w:spacing w:line="240" w:lineRule="auto"/>
      </w:pPr>
      <w:r>
        <w:t>hlinitý lak oranžovej žlt</w:t>
      </w:r>
      <w:r w:rsidR="009B7C7F">
        <w:t>i</w:t>
      </w:r>
    </w:p>
    <w:p w14:paraId="2F1231A6" w14:textId="77777777" w:rsidR="00AE5C79" w:rsidRDefault="00AE5C79" w:rsidP="003016F7">
      <w:pPr>
        <w:pStyle w:val="Zkladntext"/>
        <w:spacing w:line="240" w:lineRule="auto"/>
      </w:pPr>
      <w:r>
        <w:t>hlinitý lak brilantnej modrej FCF</w:t>
      </w:r>
    </w:p>
    <w:p w14:paraId="2F1231A7" w14:textId="77777777" w:rsidR="00AE5C79" w:rsidRPr="003016F7" w:rsidRDefault="00AE5C79" w:rsidP="003016F7">
      <w:pPr>
        <w:widowControl w:val="0"/>
        <w:autoSpaceDE w:val="0"/>
        <w:autoSpaceDN w:val="0"/>
        <w:adjustRightInd w:val="0"/>
        <w:rPr>
          <w:sz w:val="22"/>
          <w:szCs w:val="22"/>
        </w:rPr>
      </w:pPr>
    </w:p>
    <w:p w14:paraId="2F1231A8" w14:textId="77777777" w:rsidR="00AE5C79" w:rsidRDefault="00AE5C79" w:rsidP="003016F7">
      <w:pPr>
        <w:widowControl w:val="0"/>
        <w:autoSpaceDE w:val="0"/>
        <w:autoSpaceDN w:val="0"/>
        <w:adjustRightInd w:val="0"/>
        <w:rPr>
          <w:sz w:val="22"/>
          <w:szCs w:val="22"/>
          <w:u w:val="single"/>
        </w:rPr>
      </w:pPr>
      <w:r>
        <w:rPr>
          <w:b/>
          <w:sz w:val="22"/>
          <w:szCs w:val="22"/>
        </w:rPr>
        <w:t>6.2</w:t>
      </w:r>
      <w:r>
        <w:rPr>
          <w:b/>
          <w:sz w:val="22"/>
          <w:szCs w:val="22"/>
        </w:rPr>
        <w:tab/>
        <w:t>Inkompatibility</w:t>
      </w:r>
    </w:p>
    <w:p w14:paraId="2F1231A9" w14:textId="77777777" w:rsidR="00AE5C79" w:rsidRDefault="00AE5C79" w:rsidP="003016F7">
      <w:pPr>
        <w:pStyle w:val="Zkladntext"/>
        <w:spacing w:line="240" w:lineRule="auto"/>
      </w:pPr>
    </w:p>
    <w:p w14:paraId="2F1231AA" w14:textId="77777777" w:rsidR="00AE5C79" w:rsidRDefault="00AE5C79" w:rsidP="003016F7">
      <w:pPr>
        <w:pStyle w:val="Zkladntext"/>
        <w:spacing w:line="240" w:lineRule="auto"/>
      </w:pPr>
      <w:r>
        <w:t>Neaplikovateľné.</w:t>
      </w:r>
    </w:p>
    <w:p w14:paraId="2F1231AB" w14:textId="77777777" w:rsidR="00AE5C79" w:rsidRDefault="00AE5C79" w:rsidP="003016F7">
      <w:pPr>
        <w:widowControl w:val="0"/>
        <w:autoSpaceDE w:val="0"/>
        <w:autoSpaceDN w:val="0"/>
        <w:adjustRightInd w:val="0"/>
        <w:rPr>
          <w:sz w:val="22"/>
          <w:szCs w:val="22"/>
        </w:rPr>
      </w:pPr>
    </w:p>
    <w:p w14:paraId="2F1231AC" w14:textId="77777777" w:rsidR="00AE5C79" w:rsidRDefault="00AE5C79" w:rsidP="003016F7">
      <w:pPr>
        <w:widowControl w:val="0"/>
        <w:autoSpaceDE w:val="0"/>
        <w:autoSpaceDN w:val="0"/>
        <w:adjustRightInd w:val="0"/>
        <w:jc w:val="both"/>
        <w:rPr>
          <w:sz w:val="22"/>
          <w:szCs w:val="22"/>
          <w:u w:val="single"/>
        </w:rPr>
      </w:pPr>
      <w:r>
        <w:rPr>
          <w:b/>
          <w:sz w:val="22"/>
          <w:szCs w:val="22"/>
        </w:rPr>
        <w:t>6.3</w:t>
      </w:r>
      <w:r>
        <w:rPr>
          <w:b/>
          <w:sz w:val="22"/>
          <w:szCs w:val="22"/>
        </w:rPr>
        <w:tab/>
        <w:t>Čas použiteľnosti</w:t>
      </w:r>
    </w:p>
    <w:p w14:paraId="2F1231AD" w14:textId="77777777" w:rsidR="00AE5C79" w:rsidRDefault="00AE5C79" w:rsidP="003016F7">
      <w:pPr>
        <w:widowControl w:val="0"/>
        <w:autoSpaceDE w:val="0"/>
        <w:autoSpaceDN w:val="0"/>
        <w:adjustRightInd w:val="0"/>
        <w:jc w:val="both"/>
        <w:rPr>
          <w:sz w:val="22"/>
          <w:szCs w:val="22"/>
        </w:rPr>
      </w:pPr>
    </w:p>
    <w:p w14:paraId="2F1231AE" w14:textId="77777777" w:rsidR="00AE5C79" w:rsidRDefault="00AE5C79" w:rsidP="003016F7">
      <w:pPr>
        <w:widowControl w:val="0"/>
        <w:autoSpaceDE w:val="0"/>
        <w:autoSpaceDN w:val="0"/>
        <w:adjustRightInd w:val="0"/>
        <w:jc w:val="both"/>
        <w:rPr>
          <w:sz w:val="22"/>
          <w:szCs w:val="22"/>
        </w:rPr>
      </w:pPr>
      <w:r>
        <w:rPr>
          <w:sz w:val="22"/>
          <w:szCs w:val="22"/>
        </w:rPr>
        <w:t>2 roky</w:t>
      </w:r>
    </w:p>
    <w:p w14:paraId="2F1231AF" w14:textId="77777777" w:rsidR="00AE5C79" w:rsidRDefault="00AE5C79" w:rsidP="003016F7">
      <w:pPr>
        <w:widowControl w:val="0"/>
        <w:autoSpaceDE w:val="0"/>
        <w:autoSpaceDN w:val="0"/>
        <w:adjustRightInd w:val="0"/>
        <w:jc w:val="both"/>
        <w:rPr>
          <w:sz w:val="22"/>
          <w:szCs w:val="22"/>
        </w:rPr>
      </w:pPr>
    </w:p>
    <w:p w14:paraId="2F1231B0" w14:textId="77777777" w:rsidR="00AE5C79" w:rsidRDefault="00AE5C79" w:rsidP="003016F7">
      <w:pPr>
        <w:keepNext/>
        <w:widowControl w:val="0"/>
        <w:autoSpaceDE w:val="0"/>
        <w:autoSpaceDN w:val="0"/>
        <w:adjustRightInd w:val="0"/>
        <w:jc w:val="both"/>
        <w:rPr>
          <w:sz w:val="22"/>
          <w:szCs w:val="22"/>
        </w:rPr>
      </w:pPr>
      <w:r>
        <w:rPr>
          <w:b/>
          <w:sz w:val="22"/>
          <w:szCs w:val="22"/>
        </w:rPr>
        <w:lastRenderedPageBreak/>
        <w:t>6.4</w:t>
      </w:r>
      <w:r>
        <w:rPr>
          <w:b/>
          <w:sz w:val="22"/>
          <w:szCs w:val="22"/>
        </w:rPr>
        <w:tab/>
        <w:t>Špeciálne upozornenia na uchovávanie</w:t>
      </w:r>
    </w:p>
    <w:p w14:paraId="2F1231B1" w14:textId="77777777" w:rsidR="00AE5C79" w:rsidRDefault="00AE5C79" w:rsidP="003016F7">
      <w:pPr>
        <w:keepNext/>
        <w:widowControl w:val="0"/>
        <w:autoSpaceDE w:val="0"/>
        <w:autoSpaceDN w:val="0"/>
        <w:adjustRightInd w:val="0"/>
        <w:jc w:val="both"/>
        <w:rPr>
          <w:sz w:val="22"/>
          <w:szCs w:val="22"/>
        </w:rPr>
      </w:pPr>
    </w:p>
    <w:p w14:paraId="2F1231B2" w14:textId="77777777" w:rsidR="00AE5C79" w:rsidRDefault="00AE5C79" w:rsidP="003016F7">
      <w:pPr>
        <w:rPr>
          <w:sz w:val="22"/>
          <w:szCs w:val="22"/>
        </w:rPr>
      </w:pPr>
      <w:r>
        <w:rPr>
          <w:sz w:val="22"/>
          <w:szCs w:val="22"/>
        </w:rPr>
        <w:t>Uchovávajte pri teplote do 25 °C na suchom mieste.</w:t>
      </w:r>
    </w:p>
    <w:p w14:paraId="2F1231B3" w14:textId="77777777" w:rsidR="00AE5C79" w:rsidRDefault="00AE5C79" w:rsidP="003016F7">
      <w:pPr>
        <w:rPr>
          <w:sz w:val="22"/>
          <w:szCs w:val="22"/>
        </w:rPr>
      </w:pPr>
      <w:r>
        <w:rPr>
          <w:sz w:val="22"/>
          <w:szCs w:val="22"/>
        </w:rPr>
        <w:t>Fľašu udržiavajte dôkladne uzatvorenú na ochranu pred vlhkosťou.</w:t>
      </w:r>
    </w:p>
    <w:p w14:paraId="2F1231B4" w14:textId="77777777" w:rsidR="00AE5C79" w:rsidRDefault="00AE5C79" w:rsidP="003016F7">
      <w:pPr>
        <w:widowControl w:val="0"/>
        <w:autoSpaceDE w:val="0"/>
        <w:autoSpaceDN w:val="0"/>
        <w:adjustRightInd w:val="0"/>
        <w:jc w:val="both"/>
        <w:rPr>
          <w:sz w:val="22"/>
          <w:szCs w:val="22"/>
        </w:rPr>
      </w:pPr>
    </w:p>
    <w:p w14:paraId="2F1231B5" w14:textId="77777777" w:rsidR="00AE5C79" w:rsidRDefault="00AE5C79" w:rsidP="003016F7">
      <w:pPr>
        <w:widowControl w:val="0"/>
        <w:autoSpaceDE w:val="0"/>
        <w:autoSpaceDN w:val="0"/>
        <w:adjustRightInd w:val="0"/>
        <w:rPr>
          <w:sz w:val="22"/>
          <w:szCs w:val="22"/>
          <w:u w:val="single"/>
        </w:rPr>
      </w:pPr>
      <w:r>
        <w:rPr>
          <w:b/>
          <w:sz w:val="22"/>
          <w:szCs w:val="22"/>
        </w:rPr>
        <w:t>6.5</w:t>
      </w:r>
      <w:r>
        <w:rPr>
          <w:b/>
          <w:sz w:val="22"/>
          <w:szCs w:val="22"/>
        </w:rPr>
        <w:tab/>
        <w:t>Druh obalu a obsah balenia</w:t>
      </w:r>
    </w:p>
    <w:p w14:paraId="2F1231B6" w14:textId="77777777" w:rsidR="00AE5C79" w:rsidRDefault="00AE5C79" w:rsidP="003016F7">
      <w:pPr>
        <w:pStyle w:val="Zkladntext"/>
        <w:spacing w:line="240" w:lineRule="auto"/>
      </w:pPr>
    </w:p>
    <w:p w14:paraId="2F1231B7" w14:textId="77777777" w:rsidR="00AE5C79" w:rsidRDefault="00AE5C79" w:rsidP="003016F7">
      <w:pPr>
        <w:pStyle w:val="Zkladntext"/>
        <w:spacing w:line="240" w:lineRule="auto"/>
      </w:pPr>
      <w:r>
        <w:t>Biela fľaša z HDPE, ALU fóli</w:t>
      </w:r>
      <w:r w:rsidR="00007421">
        <w:t>a</w:t>
      </w:r>
      <w:r>
        <w:t xml:space="preserve"> s polypropylénovým uzáverom</w:t>
      </w:r>
      <w:r w:rsidR="00007421">
        <w:t xml:space="preserve"> a papierová škatuľka</w:t>
      </w:r>
      <w:r>
        <w:t>.</w:t>
      </w:r>
    </w:p>
    <w:p w14:paraId="2F1231B8" w14:textId="7A8B0FF7" w:rsidR="00AE5C79" w:rsidRDefault="00AE5C79" w:rsidP="003016F7">
      <w:pPr>
        <w:pStyle w:val="Zkladntext"/>
        <w:spacing w:line="240" w:lineRule="auto"/>
      </w:pPr>
      <w:r>
        <w:t>Fľaša obsahuje 15, 30, 60</w:t>
      </w:r>
      <w:r w:rsidR="00727BFA">
        <w:t>, 90</w:t>
      </w:r>
      <w:r>
        <w:t xml:space="preserve"> alebo 2</w:t>
      </w:r>
      <w:r w:rsidR="00DD73F7">
        <w:t xml:space="preserve"> </w:t>
      </w:r>
      <w:r>
        <w:t>x</w:t>
      </w:r>
      <w:r w:rsidR="00DD73F7">
        <w:t xml:space="preserve"> </w:t>
      </w:r>
      <w:r>
        <w:t xml:space="preserve">30 filmom </w:t>
      </w:r>
      <w:r w:rsidRPr="00007421">
        <w:t>obalených</w:t>
      </w:r>
      <w:r>
        <w:t xml:space="preserve"> tabliet.</w:t>
      </w:r>
    </w:p>
    <w:p w14:paraId="2F1231B9" w14:textId="77777777" w:rsidR="00007421" w:rsidRDefault="00007421" w:rsidP="003016F7">
      <w:pPr>
        <w:pStyle w:val="Zkladntext"/>
        <w:spacing w:line="240" w:lineRule="auto"/>
      </w:pPr>
    </w:p>
    <w:p w14:paraId="2F1231BA" w14:textId="77777777" w:rsidR="00E45324" w:rsidRDefault="00E45324" w:rsidP="003016F7">
      <w:pPr>
        <w:pStyle w:val="Zkladntext"/>
        <w:spacing w:line="240" w:lineRule="auto"/>
      </w:pPr>
      <w:r w:rsidRPr="003021DE">
        <w:t>Na trh nemusia byť uvedené</w:t>
      </w:r>
      <w:r w:rsidRPr="003021DE">
        <w:rPr>
          <w:noProof/>
        </w:rPr>
        <w:t xml:space="preserve"> </w:t>
      </w:r>
      <w:r w:rsidRPr="003021DE">
        <w:t>všetky veľkosti balenia.</w:t>
      </w:r>
    </w:p>
    <w:p w14:paraId="2F1231BB" w14:textId="77777777" w:rsidR="00AE5C79" w:rsidRDefault="00AE5C79" w:rsidP="003016F7">
      <w:pPr>
        <w:widowControl w:val="0"/>
        <w:autoSpaceDE w:val="0"/>
        <w:autoSpaceDN w:val="0"/>
        <w:adjustRightInd w:val="0"/>
        <w:rPr>
          <w:sz w:val="22"/>
          <w:szCs w:val="22"/>
        </w:rPr>
      </w:pPr>
    </w:p>
    <w:p w14:paraId="2F1231BC" w14:textId="77777777" w:rsidR="00AE5C79" w:rsidRDefault="00E45324" w:rsidP="003016F7">
      <w:pPr>
        <w:widowControl w:val="0"/>
        <w:autoSpaceDE w:val="0"/>
        <w:autoSpaceDN w:val="0"/>
        <w:adjustRightInd w:val="0"/>
        <w:rPr>
          <w:b/>
          <w:bCs/>
          <w:noProof/>
          <w:sz w:val="22"/>
          <w:szCs w:val="22"/>
        </w:rPr>
      </w:pPr>
      <w:r w:rsidRPr="00E45324">
        <w:rPr>
          <w:b/>
          <w:sz w:val="22"/>
          <w:szCs w:val="22"/>
        </w:rPr>
        <w:t>6.6</w:t>
      </w:r>
      <w:r w:rsidRPr="00E45324">
        <w:rPr>
          <w:b/>
          <w:sz w:val="22"/>
          <w:szCs w:val="22"/>
        </w:rPr>
        <w:tab/>
      </w:r>
      <w:r w:rsidRPr="00E45324">
        <w:rPr>
          <w:b/>
          <w:bCs/>
          <w:noProof/>
          <w:sz w:val="22"/>
          <w:szCs w:val="22"/>
        </w:rPr>
        <w:t>Špeciálne opatrenia na likvidáciu</w:t>
      </w:r>
    </w:p>
    <w:p w14:paraId="2F1231BD" w14:textId="77777777" w:rsidR="00E45324" w:rsidRPr="003016F7" w:rsidRDefault="00E45324" w:rsidP="003016F7">
      <w:pPr>
        <w:widowControl w:val="0"/>
        <w:autoSpaceDE w:val="0"/>
        <w:autoSpaceDN w:val="0"/>
        <w:adjustRightInd w:val="0"/>
        <w:rPr>
          <w:bCs/>
          <w:noProof/>
          <w:sz w:val="22"/>
          <w:szCs w:val="22"/>
        </w:rPr>
      </w:pPr>
    </w:p>
    <w:p w14:paraId="2F1231BE" w14:textId="77777777" w:rsidR="00E45324" w:rsidRDefault="00E45324" w:rsidP="003016F7">
      <w:pPr>
        <w:widowControl w:val="0"/>
        <w:autoSpaceDE w:val="0"/>
        <w:autoSpaceDN w:val="0"/>
        <w:adjustRightInd w:val="0"/>
        <w:rPr>
          <w:sz w:val="22"/>
          <w:szCs w:val="22"/>
        </w:rPr>
      </w:pPr>
      <w:r w:rsidRPr="00E45324">
        <w:rPr>
          <w:sz w:val="22"/>
          <w:szCs w:val="22"/>
        </w:rPr>
        <w:t>Žiadne zvláštne požiadavky</w:t>
      </w:r>
      <w:r w:rsidR="00007421">
        <w:rPr>
          <w:sz w:val="22"/>
          <w:szCs w:val="22"/>
        </w:rPr>
        <w:t>.</w:t>
      </w:r>
    </w:p>
    <w:p w14:paraId="2F1231BF" w14:textId="77777777" w:rsidR="00007421" w:rsidRDefault="00007421" w:rsidP="003016F7">
      <w:pPr>
        <w:widowControl w:val="0"/>
        <w:autoSpaceDE w:val="0"/>
        <w:autoSpaceDN w:val="0"/>
        <w:adjustRightInd w:val="0"/>
        <w:rPr>
          <w:sz w:val="22"/>
          <w:szCs w:val="22"/>
        </w:rPr>
      </w:pPr>
      <w:r>
        <w:rPr>
          <w:sz w:val="22"/>
          <w:szCs w:val="22"/>
        </w:rPr>
        <w:t>Nepoužitý liek alebo odpad vzniknutý z lieku treba vrátiť do lekárne.</w:t>
      </w:r>
    </w:p>
    <w:p w14:paraId="2F1231C0" w14:textId="77777777" w:rsidR="00E45324" w:rsidRPr="003016F7" w:rsidRDefault="00E45324" w:rsidP="003016F7">
      <w:pPr>
        <w:widowControl w:val="0"/>
        <w:autoSpaceDE w:val="0"/>
        <w:autoSpaceDN w:val="0"/>
        <w:adjustRightInd w:val="0"/>
        <w:rPr>
          <w:bCs/>
          <w:noProof/>
          <w:sz w:val="22"/>
          <w:szCs w:val="22"/>
        </w:rPr>
      </w:pPr>
    </w:p>
    <w:p w14:paraId="2F1231C1" w14:textId="77777777" w:rsidR="00E45324" w:rsidRDefault="00E45324" w:rsidP="003016F7">
      <w:pPr>
        <w:widowControl w:val="0"/>
        <w:autoSpaceDE w:val="0"/>
        <w:autoSpaceDN w:val="0"/>
        <w:adjustRightInd w:val="0"/>
        <w:rPr>
          <w:sz w:val="22"/>
          <w:szCs w:val="22"/>
        </w:rPr>
      </w:pPr>
    </w:p>
    <w:p w14:paraId="2F1231C2" w14:textId="77777777" w:rsidR="00AE5C79" w:rsidRDefault="00AE5C79" w:rsidP="003016F7">
      <w:pPr>
        <w:rPr>
          <w:sz w:val="22"/>
          <w:szCs w:val="22"/>
        </w:rPr>
      </w:pPr>
      <w:r>
        <w:rPr>
          <w:b/>
          <w:sz w:val="22"/>
          <w:szCs w:val="22"/>
        </w:rPr>
        <w:t>7.</w:t>
      </w:r>
      <w:r>
        <w:rPr>
          <w:b/>
          <w:sz w:val="22"/>
          <w:szCs w:val="22"/>
        </w:rPr>
        <w:tab/>
        <w:t>DRŽITEĽ ROZHODNUTIA O REGISTRÁCII</w:t>
      </w:r>
    </w:p>
    <w:p w14:paraId="2F1231C3" w14:textId="77777777" w:rsidR="00AE5C79" w:rsidRDefault="00AE5C79" w:rsidP="003016F7">
      <w:pPr>
        <w:rPr>
          <w:sz w:val="22"/>
          <w:szCs w:val="22"/>
        </w:rPr>
      </w:pPr>
    </w:p>
    <w:p w14:paraId="2F1231C4" w14:textId="77777777" w:rsidR="00ED3289" w:rsidRPr="003016F7" w:rsidRDefault="00ED3289" w:rsidP="003016F7">
      <w:pPr>
        <w:pStyle w:val="yiv7953334852msonormal"/>
        <w:shd w:val="clear" w:color="auto" w:fill="FFFFFF"/>
        <w:spacing w:before="0" w:beforeAutospacing="0" w:after="0" w:afterAutospacing="0"/>
        <w:rPr>
          <w:sz w:val="22"/>
          <w:szCs w:val="22"/>
        </w:rPr>
      </w:pPr>
      <w:r w:rsidRPr="003016F7">
        <w:rPr>
          <w:sz w:val="22"/>
          <w:szCs w:val="22"/>
        </w:rPr>
        <w:t>GlaxoSmithKline Consumer Healthcare Czech Republic s.r.o.</w:t>
      </w:r>
    </w:p>
    <w:p w14:paraId="2F1231C5" w14:textId="77777777" w:rsidR="00ED3289" w:rsidRPr="003016F7" w:rsidRDefault="00ED3289" w:rsidP="003016F7">
      <w:pPr>
        <w:pStyle w:val="yiv7953334852msonormal"/>
        <w:shd w:val="clear" w:color="auto" w:fill="FFFFFF"/>
        <w:spacing w:before="0" w:beforeAutospacing="0" w:after="0" w:afterAutospacing="0"/>
        <w:rPr>
          <w:sz w:val="22"/>
          <w:szCs w:val="22"/>
        </w:rPr>
      </w:pPr>
      <w:r w:rsidRPr="003016F7">
        <w:rPr>
          <w:sz w:val="22"/>
          <w:szCs w:val="22"/>
        </w:rPr>
        <w:t>Hvězdova 1734/2c</w:t>
      </w:r>
    </w:p>
    <w:p w14:paraId="2F1231C6" w14:textId="77777777" w:rsidR="00ED3289" w:rsidRPr="003016F7" w:rsidRDefault="00ED3289" w:rsidP="003016F7">
      <w:pPr>
        <w:pStyle w:val="yiv7953334852msonormal"/>
        <w:shd w:val="clear" w:color="auto" w:fill="FFFFFF"/>
        <w:spacing w:before="0" w:beforeAutospacing="0" w:after="0" w:afterAutospacing="0"/>
        <w:rPr>
          <w:sz w:val="22"/>
          <w:szCs w:val="22"/>
        </w:rPr>
      </w:pPr>
      <w:r w:rsidRPr="003016F7">
        <w:rPr>
          <w:sz w:val="22"/>
          <w:szCs w:val="22"/>
        </w:rPr>
        <w:t>140 00 Praha 4 – Nusle</w:t>
      </w:r>
    </w:p>
    <w:p w14:paraId="2F1231C7" w14:textId="77777777" w:rsidR="00ED3289" w:rsidRPr="003016F7" w:rsidRDefault="00ED3289" w:rsidP="003016F7">
      <w:pPr>
        <w:pStyle w:val="yiv7953334852msonormal"/>
        <w:shd w:val="clear" w:color="auto" w:fill="FFFFFF"/>
        <w:spacing w:before="0" w:beforeAutospacing="0" w:after="0" w:afterAutospacing="0"/>
        <w:rPr>
          <w:sz w:val="22"/>
          <w:szCs w:val="22"/>
        </w:rPr>
      </w:pPr>
      <w:r w:rsidRPr="003016F7">
        <w:rPr>
          <w:sz w:val="22"/>
          <w:szCs w:val="22"/>
        </w:rPr>
        <w:t>Česká republika</w:t>
      </w:r>
    </w:p>
    <w:p w14:paraId="2F1231C8" w14:textId="77777777" w:rsidR="00AE5C79" w:rsidRDefault="00AE5C79" w:rsidP="003016F7">
      <w:pPr>
        <w:rPr>
          <w:sz w:val="22"/>
          <w:szCs w:val="22"/>
        </w:rPr>
      </w:pPr>
    </w:p>
    <w:p w14:paraId="2F1231C9" w14:textId="77777777" w:rsidR="00AE5C79" w:rsidRDefault="00AE5C79" w:rsidP="003016F7">
      <w:pPr>
        <w:rPr>
          <w:sz w:val="22"/>
          <w:szCs w:val="22"/>
        </w:rPr>
      </w:pPr>
    </w:p>
    <w:p w14:paraId="2F1231CA" w14:textId="77777777" w:rsidR="00AE5C79" w:rsidRDefault="00AE5C79" w:rsidP="003016F7">
      <w:pPr>
        <w:rPr>
          <w:b/>
          <w:sz w:val="22"/>
          <w:szCs w:val="22"/>
        </w:rPr>
      </w:pPr>
      <w:r>
        <w:rPr>
          <w:b/>
          <w:sz w:val="22"/>
          <w:szCs w:val="22"/>
        </w:rPr>
        <w:t>8.</w:t>
      </w:r>
      <w:r>
        <w:rPr>
          <w:b/>
          <w:sz w:val="22"/>
          <w:szCs w:val="22"/>
        </w:rPr>
        <w:tab/>
        <w:t>REGISTRAČNÉ ČÍSLO</w:t>
      </w:r>
    </w:p>
    <w:p w14:paraId="2F1231CB" w14:textId="77777777" w:rsidR="00AE5C79" w:rsidRDefault="00AE5C79" w:rsidP="003016F7">
      <w:pPr>
        <w:rPr>
          <w:sz w:val="22"/>
          <w:szCs w:val="22"/>
        </w:rPr>
      </w:pPr>
    </w:p>
    <w:p w14:paraId="2F1231CC" w14:textId="77777777" w:rsidR="00AE5C79" w:rsidRDefault="00AE5C79" w:rsidP="003016F7">
      <w:pPr>
        <w:rPr>
          <w:sz w:val="22"/>
          <w:szCs w:val="22"/>
        </w:rPr>
      </w:pPr>
      <w:r>
        <w:rPr>
          <w:sz w:val="22"/>
          <w:szCs w:val="22"/>
        </w:rPr>
        <w:t>39/0270/00-S</w:t>
      </w:r>
    </w:p>
    <w:p w14:paraId="2F1231CD" w14:textId="77777777" w:rsidR="00AE5C79" w:rsidRDefault="00AE5C79" w:rsidP="003016F7">
      <w:pPr>
        <w:rPr>
          <w:sz w:val="22"/>
          <w:szCs w:val="22"/>
        </w:rPr>
      </w:pPr>
    </w:p>
    <w:p w14:paraId="2F1231CE" w14:textId="77777777" w:rsidR="00AE5C79" w:rsidRDefault="00AE5C79" w:rsidP="003016F7">
      <w:pPr>
        <w:rPr>
          <w:sz w:val="22"/>
          <w:szCs w:val="22"/>
        </w:rPr>
      </w:pPr>
    </w:p>
    <w:p w14:paraId="2F1231CF" w14:textId="77777777" w:rsidR="00AE5C79" w:rsidRDefault="00AE5C79" w:rsidP="003016F7">
      <w:pPr>
        <w:rPr>
          <w:sz w:val="22"/>
          <w:szCs w:val="22"/>
        </w:rPr>
      </w:pPr>
      <w:r>
        <w:rPr>
          <w:b/>
          <w:sz w:val="22"/>
          <w:szCs w:val="22"/>
        </w:rPr>
        <w:t>9.</w:t>
      </w:r>
      <w:r>
        <w:rPr>
          <w:b/>
          <w:sz w:val="22"/>
          <w:szCs w:val="22"/>
        </w:rPr>
        <w:tab/>
        <w:t>DÁTUM PRVEJ REGISTRÁCIE/PREDĹŽENIA REGISTRÁCIE</w:t>
      </w:r>
    </w:p>
    <w:p w14:paraId="2F1231D0" w14:textId="77777777" w:rsidR="00AE5C79" w:rsidRDefault="00AE5C79" w:rsidP="003016F7">
      <w:pPr>
        <w:rPr>
          <w:sz w:val="22"/>
        </w:rPr>
      </w:pPr>
    </w:p>
    <w:p w14:paraId="2F1231D1" w14:textId="77777777" w:rsidR="00727BFA" w:rsidRDefault="00727BFA" w:rsidP="003016F7">
      <w:pPr>
        <w:rPr>
          <w:sz w:val="22"/>
        </w:rPr>
      </w:pPr>
      <w:r>
        <w:rPr>
          <w:sz w:val="22"/>
        </w:rPr>
        <w:t xml:space="preserve">Dátum prvej registrácie: </w:t>
      </w:r>
      <w:r w:rsidR="00AE5C79">
        <w:rPr>
          <w:sz w:val="22"/>
        </w:rPr>
        <w:t>28.</w:t>
      </w:r>
      <w:r>
        <w:rPr>
          <w:sz w:val="22"/>
        </w:rPr>
        <w:t xml:space="preserve"> júla </w:t>
      </w:r>
      <w:r w:rsidR="00AE5C79">
        <w:rPr>
          <w:sz w:val="22"/>
        </w:rPr>
        <w:t xml:space="preserve">2000 </w:t>
      </w:r>
    </w:p>
    <w:p w14:paraId="2F1231D2" w14:textId="77777777" w:rsidR="00AE5C79" w:rsidRDefault="00727BFA" w:rsidP="003016F7">
      <w:pPr>
        <w:rPr>
          <w:sz w:val="22"/>
        </w:rPr>
      </w:pPr>
      <w:r>
        <w:rPr>
          <w:sz w:val="22"/>
        </w:rPr>
        <w:t xml:space="preserve">Dátum posledného predĺženia registrácie: </w:t>
      </w:r>
      <w:r w:rsidR="00AE5C79">
        <w:rPr>
          <w:sz w:val="22"/>
        </w:rPr>
        <w:t>24.</w:t>
      </w:r>
      <w:r>
        <w:rPr>
          <w:sz w:val="22"/>
        </w:rPr>
        <w:t xml:space="preserve"> marca </w:t>
      </w:r>
      <w:r w:rsidR="00AE5C79">
        <w:rPr>
          <w:sz w:val="22"/>
        </w:rPr>
        <w:t>2009</w:t>
      </w:r>
    </w:p>
    <w:p w14:paraId="2F1231D3" w14:textId="77777777" w:rsidR="00AE5C79" w:rsidRDefault="00AE5C79" w:rsidP="003016F7">
      <w:pPr>
        <w:rPr>
          <w:sz w:val="22"/>
        </w:rPr>
      </w:pPr>
    </w:p>
    <w:p w14:paraId="2F1231D4" w14:textId="77777777" w:rsidR="00AE5C79" w:rsidRDefault="00AE5C79" w:rsidP="003016F7">
      <w:pPr>
        <w:rPr>
          <w:sz w:val="22"/>
          <w:szCs w:val="22"/>
        </w:rPr>
      </w:pPr>
    </w:p>
    <w:p w14:paraId="2F1231D5" w14:textId="77777777" w:rsidR="00AE5C79" w:rsidRDefault="00AE5C79" w:rsidP="003016F7">
      <w:pPr>
        <w:rPr>
          <w:b/>
          <w:sz w:val="22"/>
          <w:szCs w:val="22"/>
        </w:rPr>
      </w:pPr>
      <w:r>
        <w:rPr>
          <w:b/>
          <w:sz w:val="22"/>
          <w:szCs w:val="22"/>
        </w:rPr>
        <w:t>10.</w:t>
      </w:r>
      <w:r>
        <w:rPr>
          <w:b/>
          <w:sz w:val="22"/>
          <w:szCs w:val="22"/>
        </w:rPr>
        <w:tab/>
        <w:t>DÁTUM REVÍZIE TEXTU</w:t>
      </w:r>
    </w:p>
    <w:p w14:paraId="53AFDCBF" w14:textId="1CB47FE7" w:rsidR="004B5B18" w:rsidRDefault="004B5B18" w:rsidP="003016F7">
      <w:pPr>
        <w:rPr>
          <w:sz w:val="22"/>
          <w:szCs w:val="22"/>
        </w:rPr>
      </w:pPr>
    </w:p>
    <w:p w14:paraId="539B85B4" w14:textId="585E6E90" w:rsidR="004B5B18" w:rsidRDefault="004B5B18" w:rsidP="003016F7">
      <w:pPr>
        <w:rPr>
          <w:sz w:val="22"/>
          <w:szCs w:val="22"/>
        </w:rPr>
      </w:pPr>
      <w:r>
        <w:rPr>
          <w:sz w:val="22"/>
          <w:szCs w:val="22"/>
        </w:rPr>
        <w:t>1</w:t>
      </w:r>
      <w:r w:rsidR="00513916">
        <w:rPr>
          <w:sz w:val="22"/>
          <w:szCs w:val="22"/>
        </w:rPr>
        <w:t>1</w:t>
      </w:r>
      <w:r>
        <w:rPr>
          <w:sz w:val="22"/>
          <w:szCs w:val="22"/>
        </w:rPr>
        <w:t>/2020</w:t>
      </w:r>
    </w:p>
    <w:p w14:paraId="2F1231D7" w14:textId="4122DCBC" w:rsidR="00AE5C79" w:rsidRDefault="00AE5C79" w:rsidP="003016F7">
      <w:pPr>
        <w:widowControl w:val="0"/>
        <w:autoSpaceDE w:val="0"/>
        <w:autoSpaceDN w:val="0"/>
        <w:adjustRightInd w:val="0"/>
        <w:rPr>
          <w:sz w:val="22"/>
        </w:rPr>
      </w:pPr>
    </w:p>
    <w:sectPr w:rsidR="00AE5C79" w:rsidSect="003016F7">
      <w:headerReference w:type="default" r:id="rId8"/>
      <w:footerReference w:type="default" r:id="rId9"/>
      <w:headerReference w:type="first" r:id="rId10"/>
      <w:footerReference w:type="first" r:id="rId11"/>
      <w:pgSz w:w="12240" w:h="15840"/>
      <w:pgMar w:top="1384" w:right="1418" w:bottom="1134" w:left="1418"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0F06C" w14:textId="77777777" w:rsidR="000E3759" w:rsidRDefault="000E3759" w:rsidP="00727BFA">
      <w:r>
        <w:separator/>
      </w:r>
    </w:p>
  </w:endnote>
  <w:endnote w:type="continuationSeparator" w:id="0">
    <w:p w14:paraId="2198939C" w14:textId="77777777" w:rsidR="000E3759" w:rsidRDefault="000E3759" w:rsidP="0072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31DD" w14:textId="77777777" w:rsidR="00E96F70" w:rsidRPr="003016F7" w:rsidRDefault="00E96F70" w:rsidP="003016F7">
    <w:pPr>
      <w:pStyle w:val="Pta"/>
      <w:jc w:val="center"/>
      <w:rPr>
        <w:sz w:val="18"/>
        <w:szCs w:val="18"/>
      </w:rPr>
    </w:pPr>
    <w:r w:rsidRPr="0031083D">
      <w:rPr>
        <w:sz w:val="18"/>
        <w:szCs w:val="18"/>
      </w:rPr>
      <w:fldChar w:fldCharType="begin"/>
    </w:r>
    <w:r w:rsidRPr="0031083D">
      <w:rPr>
        <w:sz w:val="18"/>
        <w:szCs w:val="18"/>
      </w:rPr>
      <w:instrText>PAGE   \* MERGEFORMAT</w:instrText>
    </w:r>
    <w:r w:rsidRPr="0031083D">
      <w:rPr>
        <w:sz w:val="18"/>
        <w:szCs w:val="18"/>
      </w:rPr>
      <w:fldChar w:fldCharType="separate"/>
    </w:r>
    <w:r w:rsidR="00C81B18" w:rsidRPr="00C81B18">
      <w:rPr>
        <w:noProof/>
        <w:sz w:val="18"/>
        <w:szCs w:val="18"/>
        <w:lang w:val="sk-SK"/>
      </w:rPr>
      <w:t>7</w:t>
    </w:r>
    <w:r w:rsidRPr="0031083D">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31E2" w14:textId="77777777" w:rsidR="00E37FE2" w:rsidRPr="00E37FE2" w:rsidRDefault="00E37FE2" w:rsidP="00E37FE2">
    <w:pPr>
      <w:pStyle w:val="Pta"/>
      <w:jc w:val="center"/>
      <w:rPr>
        <w:sz w:val="18"/>
        <w:szCs w:val="18"/>
      </w:rPr>
    </w:pPr>
    <w:r w:rsidRPr="00E37FE2">
      <w:rPr>
        <w:rStyle w:val="slostrany"/>
        <w:sz w:val="18"/>
        <w:szCs w:val="18"/>
      </w:rPr>
      <w:fldChar w:fldCharType="begin"/>
    </w:r>
    <w:r w:rsidRPr="00E37FE2">
      <w:rPr>
        <w:rStyle w:val="slostrany"/>
        <w:sz w:val="18"/>
        <w:szCs w:val="18"/>
      </w:rPr>
      <w:instrText xml:space="preserve"> PAGE </w:instrText>
    </w:r>
    <w:r w:rsidRPr="00E37FE2">
      <w:rPr>
        <w:rStyle w:val="slostrany"/>
        <w:sz w:val="18"/>
        <w:szCs w:val="18"/>
      </w:rPr>
      <w:fldChar w:fldCharType="separate"/>
    </w:r>
    <w:r w:rsidR="00ED3289">
      <w:rPr>
        <w:rStyle w:val="slostrany"/>
        <w:noProof/>
        <w:sz w:val="18"/>
        <w:szCs w:val="18"/>
      </w:rPr>
      <w:t>1</w:t>
    </w:r>
    <w:r w:rsidRPr="00E37FE2">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8FF7E" w14:textId="77777777" w:rsidR="000E3759" w:rsidRDefault="000E3759" w:rsidP="00727BFA">
      <w:r>
        <w:separator/>
      </w:r>
    </w:p>
  </w:footnote>
  <w:footnote w:type="continuationSeparator" w:id="0">
    <w:p w14:paraId="3F07AF55" w14:textId="77777777" w:rsidR="000E3759" w:rsidRDefault="000E3759" w:rsidP="00727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31DC" w14:textId="717E3928" w:rsidR="00ED3289" w:rsidRPr="003016F7" w:rsidRDefault="00D56E4E">
    <w:pPr>
      <w:pStyle w:val="Hlavika"/>
      <w:rPr>
        <w:sz w:val="18"/>
        <w:szCs w:val="18"/>
      </w:rPr>
    </w:pPr>
    <w:r w:rsidRPr="00D56E4E">
      <w:rPr>
        <w:sz w:val="18"/>
        <w:szCs w:val="18"/>
      </w:rPr>
      <w:t xml:space="preserve">Príloha č. </w:t>
    </w:r>
    <w:r>
      <w:rPr>
        <w:sz w:val="18"/>
        <w:szCs w:val="18"/>
      </w:rPr>
      <w:t>1</w:t>
    </w:r>
    <w:r w:rsidRPr="00D56E4E">
      <w:rPr>
        <w:sz w:val="18"/>
        <w:szCs w:val="18"/>
      </w:rPr>
      <w:t xml:space="preserve"> k notifikácii o zmene, ev. č.:</w:t>
    </w:r>
    <w:r w:rsidR="004B5B18">
      <w:rPr>
        <w:sz w:val="18"/>
        <w:szCs w:val="18"/>
      </w:rPr>
      <w:t xml:space="preserve"> </w:t>
    </w:r>
    <w:r w:rsidR="004B5B18" w:rsidRPr="004B5B18">
      <w:rPr>
        <w:sz w:val="18"/>
        <w:szCs w:val="18"/>
      </w:rPr>
      <w:t>2020/05460-Z1B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31DE" w14:textId="77777777" w:rsidR="00E96F70" w:rsidRDefault="00E96F70" w:rsidP="00674C50">
    <w:pPr>
      <w:pStyle w:val="Nzov"/>
      <w:spacing w:line="240" w:lineRule="auto"/>
      <w:jc w:val="left"/>
      <w:rPr>
        <w:b w:val="0"/>
        <w:sz w:val="18"/>
        <w:szCs w:val="18"/>
      </w:rPr>
    </w:pPr>
    <w:r>
      <w:rPr>
        <w:b w:val="0"/>
        <w:sz w:val="18"/>
        <w:szCs w:val="18"/>
      </w:rPr>
      <w:t>Schválený text k rozhodnutiu o zmene, ev. č.: 2015/02086-ZME</w:t>
    </w:r>
  </w:p>
  <w:p w14:paraId="2F1231DF" w14:textId="77777777" w:rsidR="00E96F70" w:rsidRDefault="00E96F70" w:rsidP="001B12EA">
    <w:pPr>
      <w:pStyle w:val="Nzov"/>
      <w:spacing w:line="240" w:lineRule="auto"/>
      <w:jc w:val="left"/>
      <w:rPr>
        <w:b w:val="0"/>
        <w:sz w:val="18"/>
        <w:szCs w:val="18"/>
      </w:rPr>
    </w:pPr>
    <w:r w:rsidRPr="00873B2E">
      <w:rPr>
        <w:b w:val="0"/>
        <w:sz w:val="18"/>
        <w:szCs w:val="18"/>
      </w:rPr>
      <w:t>Príloha č. 1 k notifikácii o zmene, ev. č.: 2014/0</w:t>
    </w:r>
    <w:r>
      <w:rPr>
        <w:b w:val="0"/>
        <w:sz w:val="18"/>
        <w:szCs w:val="18"/>
      </w:rPr>
      <w:t>7121-ZIB</w:t>
    </w:r>
  </w:p>
  <w:p w14:paraId="2F1231E0" w14:textId="77777777" w:rsidR="00E96F70" w:rsidRPr="00873B2E" w:rsidRDefault="00E96F70" w:rsidP="001B12EA">
    <w:pPr>
      <w:pStyle w:val="Nzov"/>
      <w:spacing w:line="240" w:lineRule="auto"/>
      <w:jc w:val="left"/>
      <w:rPr>
        <w:b w:val="0"/>
        <w:sz w:val="18"/>
        <w:szCs w:val="18"/>
      </w:rPr>
    </w:pPr>
  </w:p>
  <w:p w14:paraId="2F1231E1" w14:textId="77777777" w:rsidR="00E96F70" w:rsidRDefault="00E96F7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02ABE"/>
    <w:multiLevelType w:val="hybridMultilevel"/>
    <w:tmpl w:val="D464A4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
    <w:nsid w:val="2E011414"/>
    <w:multiLevelType w:val="hybridMultilevel"/>
    <w:tmpl w:val="F594DFD8"/>
    <w:lvl w:ilvl="0" w:tplc="041B0001">
      <w:start w:val="1"/>
      <w:numFmt w:val="bullet"/>
      <w:lvlText w:val=""/>
      <w:lvlJc w:val="left"/>
      <w:pPr>
        <w:tabs>
          <w:tab w:val="num" w:pos="720"/>
        </w:tabs>
        <w:ind w:left="72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
    <w:nsid w:val="3F990156"/>
    <w:multiLevelType w:val="multilevel"/>
    <w:tmpl w:val="DD1290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8F"/>
    <w:rsid w:val="00007421"/>
    <w:rsid w:val="00052B9B"/>
    <w:rsid w:val="000919DB"/>
    <w:rsid w:val="000C6210"/>
    <w:rsid w:val="000D6FCA"/>
    <w:rsid w:val="000E3759"/>
    <w:rsid w:val="001673DA"/>
    <w:rsid w:val="001A7732"/>
    <w:rsid w:val="001B12EA"/>
    <w:rsid w:val="001C3A3B"/>
    <w:rsid w:val="00204457"/>
    <w:rsid w:val="0024442A"/>
    <w:rsid w:val="002A41E9"/>
    <w:rsid w:val="003016F7"/>
    <w:rsid w:val="0031083D"/>
    <w:rsid w:val="0035603C"/>
    <w:rsid w:val="00393444"/>
    <w:rsid w:val="003D05AE"/>
    <w:rsid w:val="003D7806"/>
    <w:rsid w:val="004153F5"/>
    <w:rsid w:val="004A08E9"/>
    <w:rsid w:val="004B5B18"/>
    <w:rsid w:val="004C6B2B"/>
    <w:rsid w:val="004D26C0"/>
    <w:rsid w:val="004E6C8F"/>
    <w:rsid w:val="004F4FDD"/>
    <w:rsid w:val="00502AAE"/>
    <w:rsid w:val="00513916"/>
    <w:rsid w:val="005664D9"/>
    <w:rsid w:val="00572F52"/>
    <w:rsid w:val="005A1311"/>
    <w:rsid w:val="005D41F3"/>
    <w:rsid w:val="005E3D8E"/>
    <w:rsid w:val="00613D46"/>
    <w:rsid w:val="00626EB9"/>
    <w:rsid w:val="0065099F"/>
    <w:rsid w:val="00653357"/>
    <w:rsid w:val="00674BA8"/>
    <w:rsid w:val="00674C50"/>
    <w:rsid w:val="0070680B"/>
    <w:rsid w:val="00727BFA"/>
    <w:rsid w:val="00746BDE"/>
    <w:rsid w:val="007604E6"/>
    <w:rsid w:val="007A5C5C"/>
    <w:rsid w:val="007C1EAA"/>
    <w:rsid w:val="007F1654"/>
    <w:rsid w:val="00812030"/>
    <w:rsid w:val="009251F9"/>
    <w:rsid w:val="0095124B"/>
    <w:rsid w:val="009B7C7F"/>
    <w:rsid w:val="009D7F3E"/>
    <w:rsid w:val="00A01EA2"/>
    <w:rsid w:val="00A130A1"/>
    <w:rsid w:val="00A761B6"/>
    <w:rsid w:val="00AD5ABC"/>
    <w:rsid w:val="00AE5C79"/>
    <w:rsid w:val="00B24B9B"/>
    <w:rsid w:val="00B54313"/>
    <w:rsid w:val="00BC4AF5"/>
    <w:rsid w:val="00BC5253"/>
    <w:rsid w:val="00BF674B"/>
    <w:rsid w:val="00C10BE5"/>
    <w:rsid w:val="00C81B18"/>
    <w:rsid w:val="00CC621A"/>
    <w:rsid w:val="00CF4D48"/>
    <w:rsid w:val="00D2218F"/>
    <w:rsid w:val="00D56E4E"/>
    <w:rsid w:val="00D75892"/>
    <w:rsid w:val="00D93CD9"/>
    <w:rsid w:val="00DD73F7"/>
    <w:rsid w:val="00DE3B6B"/>
    <w:rsid w:val="00E37FE2"/>
    <w:rsid w:val="00E45324"/>
    <w:rsid w:val="00E629A3"/>
    <w:rsid w:val="00E73F94"/>
    <w:rsid w:val="00E932EB"/>
    <w:rsid w:val="00E96F70"/>
    <w:rsid w:val="00EB5692"/>
    <w:rsid w:val="00EC353F"/>
    <w:rsid w:val="00EC63D0"/>
    <w:rsid w:val="00ED3289"/>
    <w:rsid w:val="00F31F6D"/>
    <w:rsid w:val="00F335F0"/>
    <w:rsid w:val="00F636EA"/>
    <w:rsid w:val="00F65840"/>
    <w:rsid w:val="00F96068"/>
    <w:rsid w:val="00FA67E3"/>
    <w:rsid w:val="00FB4A9F"/>
    <w:rsid w:val="00FC0444"/>
    <w:rsid w:val="00FC2C05"/>
    <w:rsid w:val="00FE5D30"/>
    <w:rsid w:val="00FF44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230AA"/>
  <w15:docId w15:val="{7ADF4403-9FE7-47A3-9719-F4133E6E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widowControl w:val="0"/>
      <w:autoSpaceDE w:val="0"/>
      <w:autoSpaceDN w:val="0"/>
      <w:adjustRightInd w:val="0"/>
      <w:spacing w:line="268" w:lineRule="atLeast"/>
      <w:jc w:val="both"/>
      <w:outlineLvl w:val="0"/>
    </w:pPr>
    <w:rPr>
      <w:b/>
      <w:bCs/>
      <w:i/>
      <w:i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widowControl w:val="0"/>
      <w:autoSpaceDE w:val="0"/>
      <w:autoSpaceDN w:val="0"/>
      <w:adjustRightInd w:val="0"/>
      <w:spacing w:line="268" w:lineRule="atLeast"/>
      <w:jc w:val="center"/>
    </w:pPr>
    <w:rPr>
      <w:b/>
      <w:bCs/>
      <w:sz w:val="22"/>
      <w:szCs w:val="22"/>
    </w:rPr>
  </w:style>
  <w:style w:type="paragraph" w:styleId="Zkladntext">
    <w:name w:val="Body Text"/>
    <w:basedOn w:val="Normlny"/>
    <w:pPr>
      <w:widowControl w:val="0"/>
      <w:autoSpaceDE w:val="0"/>
      <w:autoSpaceDN w:val="0"/>
      <w:adjustRightInd w:val="0"/>
      <w:spacing w:line="254" w:lineRule="atLeast"/>
    </w:pPr>
    <w:rPr>
      <w:sz w:val="22"/>
      <w:szCs w:val="22"/>
    </w:rPr>
  </w:style>
  <w:style w:type="paragraph" w:customStyle="1" w:styleId="EMEAEnBodyText">
    <w:name w:val="EMEA En Body Text"/>
    <w:basedOn w:val="Normlny"/>
    <w:pPr>
      <w:spacing w:before="120" w:after="120"/>
      <w:jc w:val="both"/>
    </w:pPr>
    <w:rPr>
      <w:sz w:val="22"/>
      <w:szCs w:val="22"/>
      <w:lang w:val="en-US" w:eastAsia="en-US"/>
    </w:rPr>
  </w:style>
  <w:style w:type="paragraph" w:customStyle="1" w:styleId="Tabelle">
    <w:name w:val="Tabelle"/>
    <w:basedOn w:val="Normlny"/>
    <w:pPr>
      <w:spacing w:before="60" w:after="60"/>
    </w:pPr>
    <w:rPr>
      <w:rFonts w:ascii="Helvetica" w:hAnsi="Helvetica" w:cs="Helvetica"/>
      <w:color w:val="000000"/>
      <w:lang w:val="en-US" w:eastAsia="en-US"/>
    </w:rPr>
  </w:style>
  <w:style w:type="paragraph" w:customStyle="1" w:styleId="Text">
    <w:name w:val="Text"/>
    <w:basedOn w:val="Normlny"/>
    <w:link w:val="TextChar1"/>
    <w:pPr>
      <w:spacing w:after="120"/>
    </w:pPr>
    <w:rPr>
      <w:rFonts w:ascii="Helvetica" w:hAnsi="Helvetica" w:cs="Helvetica"/>
      <w:color w:val="000000"/>
      <w:lang w:val="de-DE" w:eastAsia="en-US"/>
    </w:rPr>
  </w:style>
  <w:style w:type="paragraph" w:styleId="Zarkazkladnhotextu">
    <w:name w:val="Body Text Indent"/>
    <w:basedOn w:val="Normlny"/>
    <w:pPr>
      <w:ind w:right="216"/>
    </w:pPr>
    <w:rPr>
      <w:color w:val="000000"/>
      <w:sz w:val="22"/>
      <w:szCs w:val="22"/>
      <w:lang w:val="en-US" w:eastAsia="en-US"/>
    </w:rPr>
  </w:style>
  <w:style w:type="paragraph" w:styleId="Normlnywebov">
    <w:name w:val="Normal (Web)"/>
    <w:basedOn w:val="Normlny"/>
    <w:pPr>
      <w:spacing w:before="96" w:after="96"/>
    </w:pPr>
  </w:style>
  <w:style w:type="paragraph" w:styleId="Pta">
    <w:name w:val="footer"/>
    <w:basedOn w:val="Normlny"/>
    <w:link w:val="PtaChar"/>
    <w:uiPriority w:val="99"/>
    <w:pPr>
      <w:tabs>
        <w:tab w:val="center" w:pos="4536"/>
        <w:tab w:val="right" w:pos="9072"/>
      </w:tabs>
    </w:pPr>
    <w:rPr>
      <w:sz w:val="20"/>
      <w:szCs w:val="20"/>
      <w:lang w:val="de-DE" w:eastAsia="en-US"/>
    </w:rPr>
  </w:style>
  <w:style w:type="paragraph" w:styleId="Textbubliny">
    <w:name w:val="Balloon Text"/>
    <w:basedOn w:val="Normlny"/>
    <w:semiHidden/>
    <w:rsid w:val="004E6C8F"/>
    <w:rPr>
      <w:rFonts w:ascii="Tahoma" w:hAnsi="Tahoma" w:cs="Tahoma"/>
      <w:sz w:val="16"/>
      <w:szCs w:val="16"/>
    </w:rPr>
  </w:style>
  <w:style w:type="paragraph" w:styleId="Hlavika">
    <w:name w:val="header"/>
    <w:basedOn w:val="Normlny"/>
    <w:link w:val="HlavikaChar"/>
    <w:uiPriority w:val="99"/>
    <w:rsid w:val="00727BFA"/>
    <w:pPr>
      <w:tabs>
        <w:tab w:val="center" w:pos="4536"/>
        <w:tab w:val="right" w:pos="9072"/>
      </w:tabs>
    </w:pPr>
  </w:style>
  <w:style w:type="character" w:customStyle="1" w:styleId="HlavikaChar">
    <w:name w:val="Hlavička Char"/>
    <w:link w:val="Hlavika"/>
    <w:uiPriority w:val="99"/>
    <w:rsid w:val="00727BFA"/>
    <w:rPr>
      <w:sz w:val="24"/>
      <w:szCs w:val="24"/>
    </w:rPr>
  </w:style>
  <w:style w:type="character" w:customStyle="1" w:styleId="PtaChar">
    <w:name w:val="Päta Char"/>
    <w:link w:val="Pta"/>
    <w:uiPriority w:val="99"/>
    <w:rsid w:val="00727BFA"/>
    <w:rPr>
      <w:lang w:val="de-DE" w:eastAsia="en-US"/>
    </w:rPr>
  </w:style>
  <w:style w:type="paragraph" w:styleId="PredformtovanHTML">
    <w:name w:val="HTML Preformatted"/>
    <w:basedOn w:val="Normlny"/>
    <w:link w:val="PredformtovanHTMLChar"/>
    <w:uiPriority w:val="99"/>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link w:val="PredformtovanHTML"/>
    <w:uiPriority w:val="99"/>
    <w:rsid w:val="001673DA"/>
    <w:rPr>
      <w:rFonts w:ascii="Courier New" w:hAnsi="Courier New" w:cs="Courier New"/>
    </w:rPr>
  </w:style>
  <w:style w:type="character" w:styleId="Odkaznakomentr">
    <w:name w:val="annotation reference"/>
    <w:semiHidden/>
    <w:rsid w:val="009251F9"/>
    <w:rPr>
      <w:sz w:val="16"/>
      <w:szCs w:val="16"/>
    </w:rPr>
  </w:style>
  <w:style w:type="paragraph" w:styleId="Textkomentra">
    <w:name w:val="annotation text"/>
    <w:basedOn w:val="Normlny"/>
    <w:semiHidden/>
    <w:rsid w:val="009251F9"/>
    <w:rPr>
      <w:sz w:val="20"/>
      <w:szCs w:val="20"/>
    </w:rPr>
  </w:style>
  <w:style w:type="paragraph" w:styleId="Predmetkomentra">
    <w:name w:val="annotation subject"/>
    <w:basedOn w:val="Textkomentra"/>
    <w:next w:val="Textkomentra"/>
    <w:semiHidden/>
    <w:rsid w:val="009251F9"/>
    <w:rPr>
      <w:b/>
      <w:bCs/>
    </w:rPr>
  </w:style>
  <w:style w:type="character" w:styleId="Hypertextovprepojenie">
    <w:name w:val="Hyperlink"/>
    <w:rsid w:val="009B7C7F"/>
    <w:rPr>
      <w:color w:val="0000FF"/>
      <w:u w:val="single"/>
    </w:rPr>
  </w:style>
  <w:style w:type="character" w:styleId="PouitHypertextovPrepojenie">
    <w:name w:val="FollowedHyperlink"/>
    <w:rsid w:val="009B7C7F"/>
    <w:rPr>
      <w:color w:val="800080"/>
      <w:u w:val="single"/>
    </w:rPr>
  </w:style>
  <w:style w:type="character" w:styleId="slostrany">
    <w:name w:val="page number"/>
    <w:basedOn w:val="Predvolenpsmoodseku"/>
    <w:rsid w:val="00E37FE2"/>
  </w:style>
  <w:style w:type="character" w:customStyle="1" w:styleId="TextChar1">
    <w:name w:val="Text Char1"/>
    <w:link w:val="Text"/>
    <w:locked/>
    <w:rsid w:val="00ED3289"/>
    <w:rPr>
      <w:rFonts w:ascii="Helvetica" w:hAnsi="Helvetica" w:cs="Helvetica"/>
      <w:color w:val="000000"/>
      <w:sz w:val="24"/>
      <w:szCs w:val="24"/>
      <w:lang w:val="de-DE" w:eastAsia="en-US"/>
    </w:rPr>
  </w:style>
  <w:style w:type="paragraph" w:customStyle="1" w:styleId="yiv7953334852msonormal">
    <w:name w:val="yiv7953334852msonormal"/>
    <w:basedOn w:val="Normlny"/>
    <w:rsid w:val="00ED32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2921">
      <w:bodyDiv w:val="1"/>
      <w:marLeft w:val="0"/>
      <w:marRight w:val="0"/>
      <w:marTop w:val="0"/>
      <w:marBottom w:val="0"/>
      <w:divBdr>
        <w:top w:val="none" w:sz="0" w:space="0" w:color="auto"/>
        <w:left w:val="none" w:sz="0" w:space="0" w:color="auto"/>
        <w:bottom w:val="none" w:sz="0" w:space="0" w:color="auto"/>
        <w:right w:val="none" w:sz="0" w:space="0" w:color="auto"/>
      </w:divBdr>
    </w:div>
    <w:div w:id="272323535">
      <w:bodyDiv w:val="1"/>
      <w:marLeft w:val="0"/>
      <w:marRight w:val="0"/>
      <w:marTop w:val="0"/>
      <w:marBottom w:val="0"/>
      <w:divBdr>
        <w:top w:val="none" w:sz="0" w:space="0" w:color="auto"/>
        <w:left w:val="none" w:sz="0" w:space="0" w:color="auto"/>
        <w:bottom w:val="none" w:sz="0" w:space="0" w:color="auto"/>
        <w:right w:val="none" w:sz="0" w:space="0" w:color="auto"/>
      </w:divBdr>
    </w:div>
    <w:div w:id="20446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1982</Words>
  <Characters>11298</Characters>
  <Application>Microsoft Office Word</Application>
  <DocSecurity>0</DocSecurity>
  <Lines>94</Lines>
  <Paragraphs>26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OCR Document</vt:lpstr>
      <vt:lpstr>OCR Document</vt:lpstr>
      <vt:lpstr>OCR Document</vt:lpstr>
    </vt:vector>
  </TitlesOfParts>
  <Company>I.R.I.S.</Company>
  <LinksUpToDate>false</LinksUpToDate>
  <CharactersWithSpaces>13254</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R-Pharmaservices</dc:creator>
  <cp:lastModifiedBy>Malychová, Daniela</cp:lastModifiedBy>
  <cp:revision>3</cp:revision>
  <cp:lastPrinted>2014-11-28T16:29:00Z</cp:lastPrinted>
  <dcterms:created xsi:type="dcterms:W3CDTF">2020-11-24T10:27:00Z</dcterms:created>
  <dcterms:modified xsi:type="dcterms:W3CDTF">2020-11-26T13:47:00Z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