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A2A05" w14:textId="355D668E" w:rsidR="00024DDF" w:rsidRDefault="00AF522D" w:rsidP="00CB5537">
      <w:pPr>
        <w:jc w:val="center"/>
        <w:rPr>
          <w:b/>
          <w:bCs/>
          <w:sz w:val="22"/>
          <w:szCs w:val="22"/>
        </w:rPr>
      </w:pPr>
      <w:bookmarkStart w:id="0" w:name="PRODUCTINFO"/>
      <w:r w:rsidRPr="00024DDF">
        <w:rPr>
          <w:b/>
          <w:bCs/>
          <w:sz w:val="22"/>
          <w:szCs w:val="22"/>
        </w:rPr>
        <w:t>SÚHRN CHARAKTERISTICKÝCH VLASTNOSTÍ LIEKU</w:t>
      </w:r>
    </w:p>
    <w:p w14:paraId="4D0322E1" w14:textId="77777777" w:rsidR="00B0196B" w:rsidRDefault="00B0196B" w:rsidP="00024DDF">
      <w:pPr>
        <w:jc w:val="center"/>
        <w:rPr>
          <w:b/>
          <w:bCs/>
          <w:sz w:val="22"/>
          <w:szCs w:val="22"/>
        </w:rPr>
      </w:pPr>
    </w:p>
    <w:p w14:paraId="45426C5F" w14:textId="6E4853FA" w:rsidR="002F0FC5" w:rsidRPr="00B0196B" w:rsidRDefault="00FD14EC" w:rsidP="00B0196B">
      <w:pPr>
        <w:pStyle w:val="Odsekzoznamu"/>
        <w:numPr>
          <w:ilvl w:val="0"/>
          <w:numId w:val="38"/>
        </w:numPr>
        <w:tabs>
          <w:tab w:val="left" w:pos="3420"/>
        </w:tabs>
        <w:spacing w:after="0"/>
        <w:ind w:hanging="720"/>
        <w:jc w:val="left"/>
        <w:rPr>
          <w:b/>
          <w:bCs/>
          <w:sz w:val="22"/>
          <w:szCs w:val="22"/>
        </w:rPr>
      </w:pPr>
      <w:bookmarkStart w:id="1" w:name="_Hlk57138405"/>
      <w:r w:rsidRPr="00B0196B">
        <w:rPr>
          <w:b/>
          <w:bCs/>
          <w:sz w:val="22"/>
          <w:szCs w:val="22"/>
        </w:rPr>
        <w:t>NÁZOV LIEKU</w:t>
      </w:r>
    </w:p>
    <w:p w14:paraId="6022BED3" w14:textId="77777777" w:rsidR="00B0196B" w:rsidRDefault="00B0196B" w:rsidP="009169A4">
      <w:pPr>
        <w:spacing w:after="0"/>
        <w:contextualSpacing/>
        <w:jc w:val="left"/>
        <w:rPr>
          <w:sz w:val="22"/>
          <w:szCs w:val="22"/>
        </w:rPr>
      </w:pPr>
    </w:p>
    <w:p w14:paraId="204457D3" w14:textId="6BA62693" w:rsidR="002F0FC5" w:rsidRPr="00E3110F" w:rsidRDefault="00FD14EC" w:rsidP="009169A4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</w:rPr>
        <w:t>Ambrisentan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Zentiva</w:t>
      </w:r>
      <w:proofErr w:type="spellEnd"/>
      <w:r w:rsidR="009B73DC" w:rsidRPr="00E3110F">
        <w:rPr>
          <w:sz w:val="22"/>
          <w:szCs w:val="22"/>
        </w:rPr>
        <w:t xml:space="preserve"> 5 mg </w:t>
      </w:r>
      <w:bookmarkStart w:id="2" w:name="_Hlk33184083"/>
      <w:r w:rsidR="009B73DC" w:rsidRPr="00E3110F">
        <w:rPr>
          <w:sz w:val="22"/>
          <w:szCs w:val="22"/>
        </w:rPr>
        <w:t>film</w:t>
      </w:r>
      <w:r w:rsidR="00B8489C" w:rsidRPr="00E3110F">
        <w:rPr>
          <w:sz w:val="22"/>
          <w:szCs w:val="22"/>
        </w:rPr>
        <w:t>om obalené tablety</w:t>
      </w:r>
      <w:bookmarkEnd w:id="2"/>
    </w:p>
    <w:p w14:paraId="78E9EEEC" w14:textId="19B331DB" w:rsidR="002F0FC5" w:rsidRPr="00E3110F" w:rsidRDefault="00FD14EC" w:rsidP="009169A4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</w:rPr>
        <w:t>Ambrisentan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Zentiva</w:t>
      </w:r>
      <w:proofErr w:type="spellEnd"/>
      <w:r w:rsidR="009B73DC" w:rsidRPr="00E3110F">
        <w:rPr>
          <w:sz w:val="22"/>
          <w:szCs w:val="22"/>
        </w:rPr>
        <w:t xml:space="preserve"> 10 mg </w:t>
      </w:r>
      <w:bookmarkStart w:id="3" w:name="_Hlk33184125"/>
      <w:r w:rsidR="00B8489C" w:rsidRPr="00E3110F">
        <w:rPr>
          <w:sz w:val="22"/>
          <w:szCs w:val="22"/>
        </w:rPr>
        <w:t>filmom obalené tablety</w:t>
      </w:r>
      <w:bookmarkEnd w:id="3"/>
    </w:p>
    <w:p w14:paraId="417FD98E" w14:textId="77777777" w:rsidR="002F0FC5" w:rsidRPr="00E3110F" w:rsidRDefault="002F0FC5" w:rsidP="009169A4">
      <w:pPr>
        <w:spacing w:after="0"/>
        <w:contextualSpacing/>
        <w:jc w:val="left"/>
        <w:rPr>
          <w:sz w:val="22"/>
          <w:szCs w:val="22"/>
        </w:rPr>
      </w:pPr>
    </w:p>
    <w:p w14:paraId="60CA064F" w14:textId="77777777" w:rsidR="002F0FC5" w:rsidRPr="00E3110F" w:rsidRDefault="002F0FC5" w:rsidP="009169A4">
      <w:pPr>
        <w:spacing w:after="0"/>
        <w:contextualSpacing/>
        <w:jc w:val="left"/>
        <w:rPr>
          <w:sz w:val="22"/>
          <w:szCs w:val="22"/>
        </w:rPr>
      </w:pPr>
    </w:p>
    <w:p w14:paraId="4160E9DA" w14:textId="28DFF564" w:rsidR="002F0FC5" w:rsidRPr="00E3110F" w:rsidRDefault="009B73DC" w:rsidP="009169A4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2.</w:t>
      </w:r>
      <w:r w:rsidRPr="00E3110F">
        <w:rPr>
          <w:bCs/>
          <w:iCs/>
          <w:lang w:val="sk-SK"/>
        </w:rPr>
        <w:tab/>
      </w:r>
      <w:r w:rsidR="00FD14EC" w:rsidRPr="00E3110F">
        <w:rPr>
          <w:bCs/>
          <w:iCs/>
          <w:lang w:val="sk-SK"/>
        </w:rPr>
        <w:t>KVALITATÍVNE A KVANTITATÍVNE ZLOŽENIE</w:t>
      </w:r>
    </w:p>
    <w:p w14:paraId="3DF83247" w14:textId="77777777" w:rsidR="002F0FC5" w:rsidRPr="00E3110F" w:rsidRDefault="002F0FC5" w:rsidP="009169A4">
      <w:pPr>
        <w:spacing w:after="0"/>
        <w:contextualSpacing/>
        <w:jc w:val="left"/>
        <w:rPr>
          <w:sz w:val="22"/>
          <w:szCs w:val="22"/>
        </w:rPr>
      </w:pPr>
      <w:bookmarkStart w:id="4" w:name="COMPOSITION"/>
      <w:bookmarkEnd w:id="0"/>
    </w:p>
    <w:p w14:paraId="75AD9EB6" w14:textId="0A8C637F" w:rsidR="002F0FC5" w:rsidRPr="00E3110F" w:rsidRDefault="00FD14EC" w:rsidP="009169A4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9B73DC" w:rsidRPr="00E3110F">
        <w:rPr>
          <w:sz w:val="22"/>
          <w:szCs w:val="22"/>
          <w:u w:val="single"/>
        </w:rPr>
        <w:t xml:space="preserve"> 5 mg </w:t>
      </w:r>
      <w:bookmarkStart w:id="5" w:name="_Hlk33425104"/>
      <w:r w:rsidR="00B8489C" w:rsidRPr="00E3110F">
        <w:rPr>
          <w:sz w:val="22"/>
          <w:szCs w:val="22"/>
          <w:u w:val="single"/>
        </w:rPr>
        <w:t>filmom obalené tablety</w:t>
      </w:r>
      <w:bookmarkEnd w:id="5"/>
      <w:r w:rsidR="00712F30" w:rsidRPr="00E3110F">
        <w:rPr>
          <w:sz w:val="22"/>
          <w:szCs w:val="22"/>
          <w:u w:val="single"/>
        </w:rPr>
        <w:t>:</w:t>
      </w:r>
    </w:p>
    <w:p w14:paraId="20AEB2EA" w14:textId="2145CE57" w:rsidR="002F0FC5" w:rsidRPr="00E3110F" w:rsidRDefault="00B8489C" w:rsidP="009169A4">
      <w:pPr>
        <w:spacing w:after="0"/>
        <w:contextualSpacing/>
        <w:jc w:val="left"/>
        <w:rPr>
          <w:sz w:val="22"/>
          <w:szCs w:val="22"/>
        </w:rPr>
      </w:pPr>
      <w:bookmarkStart w:id="6" w:name="FORM"/>
      <w:bookmarkEnd w:id="4"/>
      <w:r w:rsidRPr="00E3110F">
        <w:rPr>
          <w:sz w:val="22"/>
          <w:szCs w:val="22"/>
        </w:rPr>
        <w:t xml:space="preserve">Každá tableta obsahuje 5 mg </w:t>
      </w:r>
      <w:proofErr w:type="spellStart"/>
      <w:r w:rsidRPr="00E3110F">
        <w:rPr>
          <w:sz w:val="22"/>
          <w:szCs w:val="22"/>
        </w:rPr>
        <w:t>ambrisent</w:t>
      </w:r>
      <w:r w:rsidR="00676035">
        <w:rPr>
          <w:sz w:val="22"/>
          <w:szCs w:val="22"/>
        </w:rPr>
        <w:t>á</w:t>
      </w:r>
      <w:r w:rsidRPr="00E3110F">
        <w:rPr>
          <w:sz w:val="22"/>
          <w:szCs w:val="22"/>
        </w:rPr>
        <w:t>nu</w:t>
      </w:r>
      <w:proofErr w:type="spellEnd"/>
      <w:r w:rsidR="009F736D" w:rsidRPr="00E3110F">
        <w:rPr>
          <w:sz w:val="22"/>
          <w:szCs w:val="22"/>
        </w:rPr>
        <w:t>.</w:t>
      </w:r>
    </w:p>
    <w:p w14:paraId="69128C27" w14:textId="77777777" w:rsidR="002F0FC5" w:rsidRPr="00E3110F" w:rsidRDefault="002F0FC5" w:rsidP="00EC7BFE">
      <w:pPr>
        <w:spacing w:after="0"/>
        <w:contextualSpacing/>
        <w:jc w:val="left"/>
        <w:rPr>
          <w:i/>
          <w:sz w:val="22"/>
          <w:szCs w:val="22"/>
          <w:u w:val="single"/>
        </w:rPr>
      </w:pPr>
    </w:p>
    <w:p w14:paraId="0797A982" w14:textId="15C9280D" w:rsidR="002F0FC5" w:rsidRPr="00E3110F" w:rsidRDefault="00FD14EC">
      <w:pPr>
        <w:spacing w:after="0"/>
        <w:contextualSpacing/>
        <w:jc w:val="left"/>
        <w:rPr>
          <w:sz w:val="22"/>
          <w:szCs w:val="22"/>
          <w:u w:val="single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9B73DC" w:rsidRPr="00E3110F">
        <w:rPr>
          <w:sz w:val="22"/>
          <w:szCs w:val="22"/>
          <w:u w:val="single"/>
        </w:rPr>
        <w:t xml:space="preserve"> 10 mg </w:t>
      </w:r>
      <w:r w:rsidR="00B8489C" w:rsidRPr="00E3110F">
        <w:rPr>
          <w:sz w:val="22"/>
          <w:szCs w:val="22"/>
        </w:rPr>
        <w:t>filmom obalené tablety</w:t>
      </w:r>
      <w:r w:rsidR="00712F30" w:rsidRPr="00CB5537">
        <w:rPr>
          <w:sz w:val="22"/>
          <w:szCs w:val="22"/>
        </w:rPr>
        <w:t>:</w:t>
      </w:r>
    </w:p>
    <w:p w14:paraId="604EA4EF" w14:textId="0E09AA50" w:rsidR="002F0FC5" w:rsidRPr="00E3110F" w:rsidRDefault="00B8489C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Každá tablet</w:t>
      </w:r>
      <w:r w:rsidR="0075756D" w:rsidRPr="00E3110F">
        <w:rPr>
          <w:sz w:val="22"/>
          <w:szCs w:val="22"/>
        </w:rPr>
        <w:t>a</w:t>
      </w:r>
      <w:r w:rsidRPr="00E3110F">
        <w:rPr>
          <w:sz w:val="22"/>
          <w:szCs w:val="22"/>
        </w:rPr>
        <w:t xml:space="preserve"> obsahuje </w:t>
      </w:r>
      <w:r w:rsidR="002D4312" w:rsidRPr="00E3110F">
        <w:rPr>
          <w:sz w:val="22"/>
          <w:szCs w:val="22"/>
        </w:rPr>
        <w:t xml:space="preserve">10 mg </w:t>
      </w:r>
      <w:proofErr w:type="spellStart"/>
      <w:r w:rsidR="009F736D" w:rsidRPr="00E3110F">
        <w:rPr>
          <w:sz w:val="22"/>
          <w:szCs w:val="22"/>
        </w:rPr>
        <w:t>ambrisent</w:t>
      </w:r>
      <w:r w:rsidR="00676035">
        <w:rPr>
          <w:sz w:val="22"/>
          <w:szCs w:val="22"/>
        </w:rPr>
        <w:t>á</w:t>
      </w:r>
      <w:r w:rsidR="009F736D" w:rsidRPr="00E3110F">
        <w:rPr>
          <w:sz w:val="22"/>
          <w:szCs w:val="22"/>
        </w:rPr>
        <w:t>n</w:t>
      </w:r>
      <w:r w:rsidRPr="00E3110F">
        <w:rPr>
          <w:sz w:val="22"/>
          <w:szCs w:val="22"/>
        </w:rPr>
        <w:t>u</w:t>
      </w:r>
      <w:proofErr w:type="spellEnd"/>
      <w:r w:rsidR="009F736D" w:rsidRPr="00E3110F">
        <w:rPr>
          <w:sz w:val="22"/>
          <w:szCs w:val="22"/>
        </w:rPr>
        <w:t>.</w:t>
      </w:r>
    </w:p>
    <w:p w14:paraId="441A5451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41218C0E" w14:textId="0ED43C80" w:rsidR="002F0FC5" w:rsidRPr="00E3110F" w:rsidRDefault="00E87023">
      <w:pPr>
        <w:spacing w:after="0"/>
        <w:contextualSpacing/>
        <w:jc w:val="left"/>
        <w:rPr>
          <w:sz w:val="22"/>
          <w:szCs w:val="22"/>
          <w:u w:val="single"/>
        </w:rPr>
      </w:pPr>
      <w:r w:rsidRPr="00E3110F">
        <w:rPr>
          <w:sz w:val="22"/>
          <w:szCs w:val="22"/>
          <w:u w:val="single"/>
        </w:rPr>
        <w:t>Pomocné látky so známym účinkom</w:t>
      </w:r>
      <w:r w:rsidR="009B73DC" w:rsidRPr="00E3110F">
        <w:rPr>
          <w:sz w:val="22"/>
          <w:szCs w:val="22"/>
          <w:u w:val="single"/>
        </w:rPr>
        <w:t>:</w:t>
      </w:r>
    </w:p>
    <w:p w14:paraId="5B341AE5" w14:textId="77777777" w:rsidR="00CB5537" w:rsidRDefault="00CB5537">
      <w:pPr>
        <w:spacing w:after="0"/>
        <w:contextualSpacing/>
        <w:jc w:val="left"/>
        <w:rPr>
          <w:sz w:val="22"/>
          <w:szCs w:val="22"/>
          <w:u w:val="single"/>
        </w:rPr>
      </w:pPr>
    </w:p>
    <w:p w14:paraId="3F06CCC1" w14:textId="765EFB76" w:rsidR="002F0FC5" w:rsidRPr="00E3110F" w:rsidRDefault="00FD14EC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9B73DC" w:rsidRPr="00E3110F">
        <w:rPr>
          <w:sz w:val="22"/>
          <w:szCs w:val="22"/>
          <w:u w:val="single"/>
        </w:rPr>
        <w:t xml:space="preserve"> 5 mg </w:t>
      </w:r>
      <w:r w:rsidR="00E87023" w:rsidRPr="00E3110F">
        <w:rPr>
          <w:sz w:val="22"/>
          <w:szCs w:val="22"/>
          <w:u w:val="single"/>
        </w:rPr>
        <w:t>filmom obalené tablety</w:t>
      </w:r>
    </w:p>
    <w:p w14:paraId="02E9CF86" w14:textId="62759024" w:rsidR="002F0FC5" w:rsidRPr="00E3110F" w:rsidRDefault="00E87023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 xml:space="preserve">Každá tableta obsahuje približne </w:t>
      </w:r>
      <w:r w:rsidR="00E15251" w:rsidRPr="00E3110F">
        <w:rPr>
          <w:sz w:val="22"/>
          <w:szCs w:val="22"/>
        </w:rPr>
        <w:t>47</w:t>
      </w:r>
      <w:r w:rsidRPr="00E3110F">
        <w:rPr>
          <w:sz w:val="22"/>
          <w:szCs w:val="22"/>
        </w:rPr>
        <w:t>,</w:t>
      </w:r>
      <w:r w:rsidR="009B73DC" w:rsidRPr="00E3110F">
        <w:rPr>
          <w:sz w:val="22"/>
          <w:szCs w:val="22"/>
        </w:rPr>
        <w:t>5</w:t>
      </w:r>
      <w:r w:rsidR="00DA21D5" w:rsidRPr="00E3110F">
        <w:rPr>
          <w:sz w:val="22"/>
          <w:szCs w:val="22"/>
        </w:rPr>
        <w:t>0</w:t>
      </w:r>
      <w:r w:rsidR="009B73DC" w:rsidRPr="00E3110F">
        <w:rPr>
          <w:sz w:val="22"/>
          <w:szCs w:val="22"/>
        </w:rPr>
        <w:t> mg</w:t>
      </w:r>
      <w:r w:rsidR="002D4312" w:rsidRPr="00E3110F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laktózy (vo forme monohydrátu</w:t>
      </w:r>
      <w:r w:rsidR="009B73DC" w:rsidRPr="00E3110F">
        <w:rPr>
          <w:sz w:val="22"/>
          <w:szCs w:val="22"/>
        </w:rPr>
        <w:t>)</w:t>
      </w:r>
      <w:r w:rsidR="002D4312" w:rsidRPr="00E3110F">
        <w:rPr>
          <w:sz w:val="22"/>
          <w:szCs w:val="22"/>
        </w:rPr>
        <w:t>, 0</w:t>
      </w:r>
      <w:r w:rsidRPr="00E3110F">
        <w:rPr>
          <w:sz w:val="22"/>
          <w:szCs w:val="22"/>
        </w:rPr>
        <w:t>,</w:t>
      </w:r>
      <w:r w:rsidR="002D4312" w:rsidRPr="00E3110F">
        <w:rPr>
          <w:sz w:val="22"/>
          <w:szCs w:val="22"/>
        </w:rPr>
        <w:t xml:space="preserve">14 mg </w:t>
      </w:r>
      <w:r w:rsidRPr="00E3110F">
        <w:rPr>
          <w:sz w:val="22"/>
          <w:szCs w:val="22"/>
        </w:rPr>
        <w:t xml:space="preserve">sójového </w:t>
      </w:r>
      <w:r w:rsidRPr="00E3110F">
        <w:rPr>
          <w:rFonts w:eastAsia="Times New Roman"/>
          <w:sz w:val="22"/>
          <w:szCs w:val="22"/>
        </w:rPr>
        <w:t xml:space="preserve">lecitínu </w:t>
      </w:r>
      <w:r w:rsidR="00365DF5" w:rsidRPr="00E3110F">
        <w:rPr>
          <w:sz w:val="22"/>
          <w:szCs w:val="22"/>
        </w:rPr>
        <w:t>a</w:t>
      </w:r>
      <w:r w:rsidRPr="00E3110F">
        <w:rPr>
          <w:sz w:val="22"/>
          <w:szCs w:val="22"/>
        </w:rPr>
        <w:t> </w:t>
      </w:r>
      <w:r w:rsidR="009B73DC" w:rsidRPr="00E3110F">
        <w:rPr>
          <w:sz w:val="22"/>
          <w:szCs w:val="22"/>
        </w:rPr>
        <w:t>0</w:t>
      </w:r>
      <w:r w:rsidRPr="00E3110F">
        <w:rPr>
          <w:sz w:val="22"/>
          <w:szCs w:val="22"/>
        </w:rPr>
        <w:t>,</w:t>
      </w:r>
      <w:r w:rsidR="006552A0" w:rsidRPr="00E3110F">
        <w:rPr>
          <w:sz w:val="22"/>
          <w:szCs w:val="22"/>
        </w:rPr>
        <w:t>22</w:t>
      </w:r>
      <w:r w:rsidR="008A6A4E" w:rsidRPr="00E3110F">
        <w:rPr>
          <w:sz w:val="22"/>
          <w:szCs w:val="22"/>
        </w:rPr>
        <w:t> </w:t>
      </w:r>
      <w:r w:rsidR="009B73DC" w:rsidRPr="00E3110F">
        <w:rPr>
          <w:sz w:val="22"/>
          <w:szCs w:val="22"/>
        </w:rPr>
        <w:t xml:space="preserve">mg </w:t>
      </w:r>
      <w:r w:rsidR="006552A0" w:rsidRPr="00E3110F">
        <w:rPr>
          <w:sz w:val="22"/>
          <w:szCs w:val="22"/>
        </w:rPr>
        <w:t xml:space="preserve">červene </w:t>
      </w:r>
      <w:proofErr w:type="spellStart"/>
      <w:r w:rsidR="006552A0" w:rsidRPr="00E3110F">
        <w:rPr>
          <w:sz w:val="22"/>
          <w:szCs w:val="22"/>
        </w:rPr>
        <w:t>Allura</w:t>
      </w:r>
      <w:proofErr w:type="spellEnd"/>
      <w:r w:rsidR="006552A0" w:rsidRPr="00E3110F">
        <w:rPr>
          <w:sz w:val="22"/>
          <w:szCs w:val="22"/>
        </w:rPr>
        <w:t xml:space="preserve"> AC (E129)</w:t>
      </w:r>
      <w:r w:rsidR="009B73DC" w:rsidRPr="00E3110F">
        <w:rPr>
          <w:sz w:val="22"/>
          <w:szCs w:val="22"/>
        </w:rPr>
        <w:t>.</w:t>
      </w:r>
    </w:p>
    <w:p w14:paraId="5ECAFF20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  <w:u w:val="single"/>
        </w:rPr>
      </w:pPr>
    </w:p>
    <w:p w14:paraId="2CAA585A" w14:textId="34E1DD06" w:rsidR="002F0FC5" w:rsidRPr="00E3110F" w:rsidRDefault="00FD14EC">
      <w:pPr>
        <w:spacing w:after="0"/>
        <w:contextualSpacing/>
        <w:jc w:val="left"/>
        <w:rPr>
          <w:sz w:val="22"/>
          <w:szCs w:val="22"/>
          <w:u w:val="single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712F30" w:rsidRPr="00E3110F">
        <w:rPr>
          <w:sz w:val="22"/>
          <w:szCs w:val="22"/>
          <w:u w:val="single"/>
        </w:rPr>
        <w:t xml:space="preserve"> 10 mg film</w:t>
      </w:r>
      <w:r w:rsidR="00E87023" w:rsidRPr="00E3110F">
        <w:rPr>
          <w:sz w:val="22"/>
          <w:szCs w:val="22"/>
          <w:u w:val="single"/>
        </w:rPr>
        <w:t>om obalené tablety</w:t>
      </w:r>
      <w:r w:rsidR="00712F30" w:rsidRPr="00E3110F">
        <w:rPr>
          <w:sz w:val="22"/>
          <w:szCs w:val="22"/>
          <w:u w:val="single"/>
        </w:rPr>
        <w:t>:</w:t>
      </w:r>
    </w:p>
    <w:p w14:paraId="1E0C4A7E" w14:textId="3284378E" w:rsidR="002F0FC5" w:rsidRPr="00E3110F" w:rsidRDefault="00E87023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Každá</w:t>
      </w:r>
      <w:r w:rsidR="009B73DC" w:rsidRPr="00E3110F">
        <w:rPr>
          <w:sz w:val="22"/>
          <w:szCs w:val="22"/>
        </w:rPr>
        <w:t xml:space="preserve"> tablet</w:t>
      </w:r>
      <w:r w:rsidRPr="00E3110F">
        <w:rPr>
          <w:sz w:val="22"/>
          <w:szCs w:val="22"/>
        </w:rPr>
        <w:t>a</w:t>
      </w:r>
      <w:r w:rsidR="009B73DC" w:rsidRPr="00E3110F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obsahuje</w:t>
      </w:r>
      <w:r w:rsidR="002D4312" w:rsidRPr="00E3110F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približne</w:t>
      </w:r>
      <w:r w:rsidR="002D4312" w:rsidRPr="00E3110F">
        <w:rPr>
          <w:sz w:val="22"/>
          <w:szCs w:val="22"/>
        </w:rPr>
        <w:t xml:space="preserve"> </w:t>
      </w:r>
      <w:r w:rsidR="00DA21D5" w:rsidRPr="00E3110F">
        <w:rPr>
          <w:sz w:val="22"/>
          <w:szCs w:val="22"/>
        </w:rPr>
        <w:t>95</w:t>
      </w:r>
      <w:r w:rsidRPr="00E3110F">
        <w:rPr>
          <w:sz w:val="22"/>
          <w:szCs w:val="22"/>
        </w:rPr>
        <w:t>,</w:t>
      </w:r>
      <w:r w:rsidR="00DA21D5" w:rsidRPr="00E3110F">
        <w:rPr>
          <w:sz w:val="22"/>
          <w:szCs w:val="22"/>
        </w:rPr>
        <w:t>00</w:t>
      </w:r>
      <w:r w:rsidRPr="00E3110F">
        <w:rPr>
          <w:sz w:val="22"/>
          <w:szCs w:val="22"/>
        </w:rPr>
        <w:t> mg</w:t>
      </w:r>
      <w:r w:rsidR="002D4312" w:rsidRPr="00E3110F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laktózy</w:t>
      </w:r>
      <w:r w:rsidR="009B73DC" w:rsidRPr="00E3110F">
        <w:rPr>
          <w:sz w:val="22"/>
          <w:szCs w:val="22"/>
        </w:rPr>
        <w:t xml:space="preserve"> (</w:t>
      </w:r>
      <w:r w:rsidRPr="00E3110F">
        <w:rPr>
          <w:sz w:val="22"/>
          <w:szCs w:val="22"/>
        </w:rPr>
        <w:t>vo forme monohydrátu</w:t>
      </w:r>
      <w:r w:rsidR="009B73DC" w:rsidRPr="00E3110F">
        <w:rPr>
          <w:sz w:val="22"/>
          <w:szCs w:val="22"/>
        </w:rPr>
        <w:t>)</w:t>
      </w:r>
      <w:r w:rsidR="002D4312" w:rsidRPr="00E3110F">
        <w:rPr>
          <w:sz w:val="22"/>
          <w:szCs w:val="22"/>
        </w:rPr>
        <w:t xml:space="preserve">, </w:t>
      </w:r>
      <w:r w:rsidR="00DA21D5" w:rsidRPr="00E3110F">
        <w:rPr>
          <w:sz w:val="22"/>
          <w:szCs w:val="22"/>
        </w:rPr>
        <w:t>0</w:t>
      </w:r>
      <w:r w:rsidRPr="00E3110F">
        <w:rPr>
          <w:sz w:val="22"/>
          <w:szCs w:val="22"/>
        </w:rPr>
        <w:t>,</w:t>
      </w:r>
      <w:r w:rsidR="00DA21D5" w:rsidRPr="00E3110F">
        <w:rPr>
          <w:sz w:val="22"/>
          <w:szCs w:val="22"/>
        </w:rPr>
        <w:t>21</w:t>
      </w:r>
      <w:r w:rsidRPr="00E3110F">
        <w:rPr>
          <w:sz w:val="22"/>
          <w:szCs w:val="22"/>
        </w:rPr>
        <w:t> </w:t>
      </w:r>
      <w:r w:rsidR="002D4312" w:rsidRPr="00E3110F">
        <w:rPr>
          <w:sz w:val="22"/>
          <w:szCs w:val="22"/>
        </w:rPr>
        <w:t xml:space="preserve">mg </w:t>
      </w:r>
      <w:r w:rsidRPr="00E3110F">
        <w:rPr>
          <w:sz w:val="22"/>
          <w:szCs w:val="22"/>
        </w:rPr>
        <w:t>sójového</w:t>
      </w:r>
      <w:r w:rsidR="008C0D60" w:rsidRPr="00E3110F">
        <w:rPr>
          <w:sz w:val="22"/>
          <w:szCs w:val="22"/>
        </w:rPr>
        <w:t xml:space="preserve"> </w:t>
      </w:r>
      <w:r w:rsidR="002D4312" w:rsidRPr="00E3110F">
        <w:rPr>
          <w:sz w:val="22"/>
          <w:szCs w:val="22"/>
        </w:rPr>
        <w:t>lecit</w:t>
      </w:r>
      <w:r w:rsidRPr="00E3110F">
        <w:rPr>
          <w:sz w:val="22"/>
          <w:szCs w:val="22"/>
        </w:rPr>
        <w:t>ínu</w:t>
      </w:r>
      <w:r w:rsidR="002D4312" w:rsidRPr="00E3110F">
        <w:rPr>
          <w:sz w:val="22"/>
          <w:szCs w:val="22"/>
        </w:rPr>
        <w:t xml:space="preserve"> </w:t>
      </w:r>
      <w:r w:rsidR="00365DF5" w:rsidRPr="00E3110F">
        <w:rPr>
          <w:sz w:val="22"/>
          <w:szCs w:val="22"/>
        </w:rPr>
        <w:t>a</w:t>
      </w:r>
      <w:r w:rsidRPr="00E3110F">
        <w:rPr>
          <w:sz w:val="22"/>
          <w:szCs w:val="22"/>
        </w:rPr>
        <w:t> </w:t>
      </w:r>
      <w:r w:rsidR="00DA21D5" w:rsidRPr="00E3110F">
        <w:rPr>
          <w:sz w:val="22"/>
          <w:szCs w:val="22"/>
        </w:rPr>
        <w:t>0</w:t>
      </w:r>
      <w:r w:rsidRPr="00E3110F">
        <w:rPr>
          <w:sz w:val="22"/>
          <w:szCs w:val="22"/>
        </w:rPr>
        <w:t>,</w:t>
      </w:r>
      <w:r w:rsidR="006552A0" w:rsidRPr="00E3110F">
        <w:rPr>
          <w:sz w:val="22"/>
          <w:szCs w:val="22"/>
        </w:rPr>
        <w:t>405</w:t>
      </w:r>
      <w:r w:rsidR="008A6A4E" w:rsidRPr="00E3110F">
        <w:rPr>
          <w:sz w:val="22"/>
          <w:szCs w:val="22"/>
        </w:rPr>
        <w:t> </w:t>
      </w:r>
      <w:r w:rsidR="009B73DC" w:rsidRPr="00E3110F">
        <w:rPr>
          <w:sz w:val="22"/>
          <w:szCs w:val="22"/>
        </w:rPr>
        <w:t xml:space="preserve">mg </w:t>
      </w:r>
      <w:r w:rsidR="008D55D4" w:rsidRPr="00E3110F">
        <w:rPr>
          <w:sz w:val="22"/>
          <w:szCs w:val="22"/>
        </w:rPr>
        <w:t xml:space="preserve">červene </w:t>
      </w:r>
      <w:proofErr w:type="spellStart"/>
      <w:r w:rsidR="008D55D4" w:rsidRPr="00E3110F">
        <w:rPr>
          <w:sz w:val="22"/>
          <w:szCs w:val="22"/>
        </w:rPr>
        <w:t>Allura</w:t>
      </w:r>
      <w:proofErr w:type="spellEnd"/>
      <w:r w:rsidR="008D55D4" w:rsidRPr="00E3110F">
        <w:rPr>
          <w:sz w:val="22"/>
          <w:szCs w:val="22"/>
        </w:rPr>
        <w:t xml:space="preserve"> AC (E129)</w:t>
      </w:r>
      <w:r w:rsidR="009B73DC" w:rsidRPr="00E3110F">
        <w:rPr>
          <w:sz w:val="22"/>
          <w:szCs w:val="22"/>
        </w:rPr>
        <w:t>.</w:t>
      </w:r>
    </w:p>
    <w:p w14:paraId="5892766C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7E97E153" w14:textId="3BD64D7B" w:rsidR="002F0FC5" w:rsidRPr="00E3110F" w:rsidRDefault="00E87023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Úplný zoznam pomocných látok, pozri časť 6.1.</w:t>
      </w:r>
    </w:p>
    <w:p w14:paraId="7A6097B4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66A8BB6A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722AC86B" w14:textId="1A4D135A" w:rsidR="002F0FC5" w:rsidRPr="00E3110F" w:rsidRDefault="009B73DC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3.</w:t>
      </w:r>
      <w:r w:rsidRPr="00E3110F">
        <w:rPr>
          <w:bCs/>
          <w:iCs/>
          <w:lang w:val="sk-SK"/>
        </w:rPr>
        <w:tab/>
      </w:r>
      <w:r w:rsidR="00FD14EC" w:rsidRPr="00E3110F">
        <w:rPr>
          <w:bCs/>
          <w:iCs/>
          <w:lang w:val="sk-SK"/>
        </w:rPr>
        <w:t>LIEKOVÁ FORMA</w:t>
      </w:r>
    </w:p>
    <w:p w14:paraId="6E5794D3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30F5487B" w14:textId="7C28C70F" w:rsidR="002F0FC5" w:rsidRPr="00E3110F" w:rsidRDefault="0075756D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Filmom obalená tableta</w:t>
      </w:r>
      <w:r w:rsidR="009B73DC" w:rsidRPr="00E3110F">
        <w:rPr>
          <w:sz w:val="22"/>
          <w:szCs w:val="22"/>
        </w:rPr>
        <w:t>.</w:t>
      </w:r>
    </w:p>
    <w:p w14:paraId="4CEA6AD4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5811202E" w14:textId="1DB64869" w:rsidR="002F0FC5" w:rsidRPr="00E3110F" w:rsidRDefault="00FD14EC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9B73DC" w:rsidRPr="00E3110F">
        <w:rPr>
          <w:sz w:val="22"/>
          <w:szCs w:val="22"/>
          <w:u w:val="single"/>
        </w:rPr>
        <w:t xml:space="preserve"> 5 mg </w:t>
      </w:r>
      <w:r w:rsidR="00EE48DB" w:rsidRPr="00E3110F">
        <w:rPr>
          <w:sz w:val="22"/>
          <w:szCs w:val="22"/>
          <w:u w:val="single"/>
        </w:rPr>
        <w:t>filmom obalené tablety</w:t>
      </w:r>
      <w:r w:rsidR="00712F30" w:rsidRPr="00E3110F">
        <w:rPr>
          <w:sz w:val="22"/>
          <w:szCs w:val="22"/>
          <w:u w:val="single"/>
        </w:rPr>
        <w:t>:</w:t>
      </w:r>
    </w:p>
    <w:p w14:paraId="3AB7480D" w14:textId="59003E87" w:rsidR="00C5684C" w:rsidRPr="00E3110F" w:rsidRDefault="00C5684C">
      <w:pPr>
        <w:spacing w:after="0"/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Svetloružové, štvorcové, konvexné</w:t>
      </w:r>
      <w:r w:rsidR="000B4CC3">
        <w:rPr>
          <w:sz w:val="22"/>
          <w:szCs w:val="22"/>
        </w:rPr>
        <w:t>,</w:t>
      </w:r>
      <w:r w:rsidR="00CB5537">
        <w:rPr>
          <w:sz w:val="22"/>
          <w:szCs w:val="22"/>
        </w:rPr>
        <w:t xml:space="preserve"> filmom obalené tablety</w:t>
      </w:r>
      <w:r w:rsidRPr="00E3110F">
        <w:rPr>
          <w:sz w:val="22"/>
          <w:szCs w:val="22"/>
        </w:rPr>
        <w:t xml:space="preserve"> s vyrazeným označením „5“ na jednej strane, hladké na druhej strane s dĺžkou/šírkou približne 5,9 mm.</w:t>
      </w:r>
    </w:p>
    <w:p w14:paraId="158CF40F" w14:textId="77777777" w:rsidR="005C6B74" w:rsidRPr="00E3110F" w:rsidRDefault="005C6B74">
      <w:pPr>
        <w:spacing w:after="0"/>
        <w:contextualSpacing/>
        <w:jc w:val="left"/>
        <w:rPr>
          <w:sz w:val="22"/>
          <w:szCs w:val="22"/>
          <w:u w:val="single"/>
        </w:rPr>
      </w:pPr>
    </w:p>
    <w:p w14:paraId="396E6010" w14:textId="7504A900" w:rsidR="002F0FC5" w:rsidRPr="00E3110F" w:rsidRDefault="00FD14EC">
      <w:pPr>
        <w:spacing w:after="0"/>
        <w:contextualSpacing/>
        <w:jc w:val="left"/>
        <w:rPr>
          <w:sz w:val="22"/>
          <w:szCs w:val="22"/>
          <w:u w:val="single"/>
        </w:rPr>
      </w:pPr>
      <w:proofErr w:type="spellStart"/>
      <w:r w:rsidRPr="00E3110F">
        <w:rPr>
          <w:sz w:val="22"/>
          <w:szCs w:val="22"/>
          <w:u w:val="single"/>
        </w:rPr>
        <w:t>Ambrisentan</w:t>
      </w:r>
      <w:proofErr w:type="spellEnd"/>
      <w:r w:rsidRPr="00E3110F">
        <w:rPr>
          <w:sz w:val="22"/>
          <w:szCs w:val="22"/>
          <w:u w:val="single"/>
        </w:rPr>
        <w:t xml:space="preserve"> </w:t>
      </w:r>
      <w:proofErr w:type="spellStart"/>
      <w:r w:rsidRPr="00E3110F">
        <w:rPr>
          <w:sz w:val="22"/>
          <w:szCs w:val="22"/>
          <w:u w:val="single"/>
        </w:rPr>
        <w:t>Zentiva</w:t>
      </w:r>
      <w:proofErr w:type="spellEnd"/>
      <w:r w:rsidR="00712F30" w:rsidRPr="00E3110F">
        <w:rPr>
          <w:sz w:val="22"/>
          <w:szCs w:val="22"/>
          <w:u w:val="single"/>
        </w:rPr>
        <w:t xml:space="preserve"> 10 mg film</w:t>
      </w:r>
      <w:r w:rsidR="00105657" w:rsidRPr="00E3110F">
        <w:rPr>
          <w:sz w:val="22"/>
          <w:szCs w:val="22"/>
          <w:u w:val="single"/>
        </w:rPr>
        <w:t>om obalené tablety</w:t>
      </w:r>
      <w:r w:rsidR="00712F30" w:rsidRPr="00E3110F">
        <w:rPr>
          <w:sz w:val="22"/>
          <w:szCs w:val="22"/>
          <w:u w:val="single"/>
        </w:rPr>
        <w:t>:</w:t>
      </w:r>
    </w:p>
    <w:p w14:paraId="688B7A43" w14:textId="5C7E4D12" w:rsidR="00C5684C" w:rsidRPr="00E3110F" w:rsidRDefault="00C5684C">
      <w:pPr>
        <w:spacing w:after="0"/>
        <w:jc w:val="left"/>
        <w:rPr>
          <w:sz w:val="22"/>
          <w:szCs w:val="22"/>
        </w:rPr>
      </w:pPr>
      <w:bookmarkStart w:id="7" w:name="CLINICAL_PARTS"/>
      <w:bookmarkEnd w:id="6"/>
      <w:r w:rsidRPr="00E3110F">
        <w:rPr>
          <w:sz w:val="22"/>
          <w:szCs w:val="22"/>
        </w:rPr>
        <w:t>Ružové, podlhovasté, bikonvexné</w:t>
      </w:r>
      <w:r w:rsidR="000B4CC3">
        <w:rPr>
          <w:sz w:val="22"/>
          <w:szCs w:val="22"/>
        </w:rPr>
        <w:t>,</w:t>
      </w:r>
      <w:r w:rsidRPr="00E3110F">
        <w:rPr>
          <w:sz w:val="22"/>
          <w:szCs w:val="22"/>
        </w:rPr>
        <w:t xml:space="preserve"> filmom obalené tablety s vyrazeným označením „10“ na jednej strane, hladké na druhej strane s dĺžkou približne 11,1 mm a šírkou približne 5,6 mm.</w:t>
      </w:r>
    </w:p>
    <w:p w14:paraId="5447FB96" w14:textId="77777777" w:rsidR="00C5684C" w:rsidRPr="00E3110F" w:rsidRDefault="00C5684C">
      <w:pPr>
        <w:spacing w:after="0"/>
        <w:contextualSpacing/>
        <w:jc w:val="left"/>
        <w:rPr>
          <w:sz w:val="22"/>
          <w:szCs w:val="22"/>
          <w:highlight w:val="yellow"/>
        </w:rPr>
      </w:pPr>
    </w:p>
    <w:p w14:paraId="5AB4ECB8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69EA2DDA" w14:textId="22B72DD1" w:rsidR="002F0FC5" w:rsidRPr="00E3110F" w:rsidRDefault="009B73DC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4.</w:t>
      </w:r>
      <w:r w:rsidRPr="00E3110F">
        <w:rPr>
          <w:bCs/>
          <w:iCs/>
          <w:lang w:val="sk-SK"/>
        </w:rPr>
        <w:tab/>
      </w:r>
      <w:r w:rsidR="00AC251A" w:rsidRPr="00E3110F">
        <w:rPr>
          <w:bCs/>
          <w:iCs/>
          <w:lang w:val="sk-SK"/>
        </w:rPr>
        <w:t>KLINICKÉ ÚDAJE</w:t>
      </w:r>
    </w:p>
    <w:p w14:paraId="57EE0153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60B5B407" w14:textId="0BF86DDD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4.1</w:t>
      </w:r>
      <w:r w:rsidRPr="00E3110F">
        <w:rPr>
          <w:b/>
          <w:sz w:val="22"/>
          <w:szCs w:val="22"/>
        </w:rPr>
        <w:tab/>
      </w:r>
      <w:r w:rsidR="00AC251A" w:rsidRPr="00E3110F">
        <w:rPr>
          <w:b/>
          <w:sz w:val="22"/>
          <w:szCs w:val="22"/>
        </w:rPr>
        <w:t>Terapeutické indikácie</w:t>
      </w:r>
    </w:p>
    <w:p w14:paraId="35C85972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4BC23E75" w14:textId="034D252F" w:rsidR="000C6B77" w:rsidRPr="00E3110F" w:rsidRDefault="00FD14EC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rFonts w:eastAsia="Times New Roman"/>
          <w:iCs/>
          <w:sz w:val="22"/>
          <w:szCs w:val="22"/>
        </w:rPr>
        <w:t>Ambrisentan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iCs/>
          <w:sz w:val="22"/>
          <w:szCs w:val="22"/>
        </w:rPr>
        <w:t>Zentiva</w:t>
      </w:r>
      <w:proofErr w:type="spellEnd"/>
      <w:r w:rsidR="000B1F28" w:rsidRPr="00E3110F">
        <w:rPr>
          <w:rFonts w:eastAsia="Times New Roman"/>
          <w:iCs/>
          <w:sz w:val="22"/>
          <w:szCs w:val="22"/>
        </w:rPr>
        <w:t xml:space="preserve"> </w:t>
      </w:r>
      <w:r w:rsidR="000C6B77" w:rsidRPr="00E3110F">
        <w:rPr>
          <w:sz w:val="22"/>
          <w:szCs w:val="22"/>
        </w:rPr>
        <w:t xml:space="preserve">je indikovaný na liečbu pľúcnej artériovej hypertenzie (PAH) u dospelých pacientov vo funkčnej triede (FT) II až III podľa </w:t>
      </w:r>
      <w:r w:rsidR="00676035">
        <w:rPr>
          <w:sz w:val="22"/>
          <w:szCs w:val="22"/>
        </w:rPr>
        <w:t>WHO</w:t>
      </w:r>
      <w:r w:rsidR="00250BA8">
        <w:rPr>
          <w:sz w:val="22"/>
          <w:szCs w:val="22"/>
        </w:rPr>
        <w:t xml:space="preserve"> (Svetová zdravotnícka organizácia)</w:t>
      </w:r>
      <w:r w:rsidR="000C6B77" w:rsidRPr="00E3110F">
        <w:rPr>
          <w:sz w:val="22"/>
          <w:szCs w:val="22"/>
        </w:rPr>
        <w:t xml:space="preserve">, vrátane použitia v kombinovanej liečbe (pozri časť 5.1). Účinnosť bola preukázaná pri </w:t>
      </w:r>
      <w:proofErr w:type="spellStart"/>
      <w:r w:rsidR="000C6B77" w:rsidRPr="00E3110F">
        <w:rPr>
          <w:sz w:val="22"/>
          <w:szCs w:val="22"/>
        </w:rPr>
        <w:t>idiopatickej</w:t>
      </w:r>
      <w:proofErr w:type="spellEnd"/>
      <w:r w:rsidR="000C6B77" w:rsidRPr="00E3110F">
        <w:rPr>
          <w:sz w:val="22"/>
          <w:szCs w:val="22"/>
        </w:rPr>
        <w:t xml:space="preserve"> PAH (IPAH) a pri PAH spojenej s ochorením spojivového tkaniva.</w:t>
      </w:r>
    </w:p>
    <w:p w14:paraId="6D6871D7" w14:textId="77777777" w:rsidR="002F0FC5" w:rsidRPr="00E3110F" w:rsidRDefault="002F0FC5">
      <w:pPr>
        <w:spacing w:after="0"/>
        <w:contextualSpacing/>
        <w:jc w:val="left"/>
        <w:rPr>
          <w:sz w:val="22"/>
          <w:szCs w:val="22"/>
        </w:rPr>
      </w:pPr>
    </w:p>
    <w:p w14:paraId="5AE43845" w14:textId="294A5F82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4.2</w:t>
      </w:r>
      <w:r w:rsidRPr="00E3110F">
        <w:rPr>
          <w:b/>
          <w:sz w:val="22"/>
          <w:szCs w:val="22"/>
        </w:rPr>
        <w:tab/>
      </w:r>
      <w:r w:rsidR="00AC251A" w:rsidRPr="00E3110F">
        <w:rPr>
          <w:b/>
          <w:sz w:val="22"/>
          <w:szCs w:val="22"/>
        </w:rPr>
        <w:t>Dávkovanie a spôsob podávania</w:t>
      </w:r>
    </w:p>
    <w:p w14:paraId="004F8FF4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</w:rPr>
      </w:pPr>
      <w:bookmarkStart w:id="8" w:name="POSOLOGY"/>
      <w:bookmarkEnd w:id="7"/>
    </w:p>
    <w:p w14:paraId="075231CD" w14:textId="46EC6F84" w:rsidR="002F0FC5" w:rsidRPr="00E3110F" w:rsidRDefault="000C6B77">
      <w:pPr>
        <w:contextualSpacing/>
        <w:jc w:val="left"/>
        <w:rPr>
          <w:rFonts w:eastAsia="Times New Roman"/>
          <w:iCs/>
          <w:sz w:val="22"/>
          <w:szCs w:val="22"/>
        </w:rPr>
      </w:pPr>
      <w:bookmarkStart w:id="9" w:name="CONTRAINDICATIONS"/>
      <w:bookmarkEnd w:id="8"/>
      <w:r w:rsidRPr="00E3110F">
        <w:rPr>
          <w:rFonts w:eastAsia="Times New Roman"/>
          <w:iCs/>
          <w:sz w:val="22"/>
          <w:szCs w:val="22"/>
        </w:rPr>
        <w:t xml:space="preserve">Liečbu musí začať lekár so skúsenosťami v liečení </w:t>
      </w:r>
      <w:r w:rsidR="009B73DC" w:rsidRPr="00E3110F">
        <w:rPr>
          <w:rFonts w:eastAsia="Times New Roman"/>
          <w:iCs/>
          <w:sz w:val="22"/>
          <w:szCs w:val="22"/>
        </w:rPr>
        <w:t xml:space="preserve">PAH. </w:t>
      </w:r>
    </w:p>
    <w:p w14:paraId="774D34C0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67EDA991" w14:textId="73AFABA0" w:rsidR="002F0FC5" w:rsidRPr="00E3110F" w:rsidRDefault="00AC251A">
      <w:pPr>
        <w:keepNext/>
        <w:contextualSpacing/>
        <w:jc w:val="left"/>
        <w:rPr>
          <w:rFonts w:eastAsia="Times New Roman"/>
          <w:iCs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Dávkovanie</w:t>
      </w:r>
    </w:p>
    <w:p w14:paraId="238F0C19" w14:textId="77777777" w:rsidR="002F0FC5" w:rsidRPr="00E3110F" w:rsidRDefault="002F0FC5">
      <w:pPr>
        <w:keepNext/>
        <w:contextualSpacing/>
        <w:jc w:val="left"/>
        <w:rPr>
          <w:rFonts w:eastAsia="Times New Roman"/>
          <w:i/>
          <w:iCs/>
          <w:sz w:val="22"/>
          <w:szCs w:val="22"/>
        </w:rPr>
      </w:pPr>
    </w:p>
    <w:p w14:paraId="41CFEE8D" w14:textId="41981F4A" w:rsidR="002F0FC5" w:rsidRPr="00E3110F" w:rsidRDefault="007D388A">
      <w:pPr>
        <w:keepNext/>
        <w:contextualSpacing/>
        <w:jc w:val="left"/>
        <w:rPr>
          <w:rFonts w:eastAsia="Times New Roman"/>
          <w:i/>
          <w:iCs/>
          <w:sz w:val="22"/>
          <w:szCs w:val="22"/>
        </w:rPr>
      </w:pPr>
      <w:proofErr w:type="spellStart"/>
      <w:r>
        <w:rPr>
          <w:rFonts w:eastAsia="Times New Roman"/>
          <w:i/>
          <w:iCs/>
          <w:sz w:val="22"/>
          <w:szCs w:val="22"/>
        </w:rPr>
        <w:t>Ambrisentán</w:t>
      </w:r>
      <w:proofErr w:type="spellEnd"/>
      <w:r w:rsidR="00AC251A" w:rsidRPr="00E3110F">
        <w:rPr>
          <w:rFonts w:eastAsia="Times New Roman"/>
          <w:i/>
          <w:iCs/>
          <w:sz w:val="22"/>
          <w:szCs w:val="22"/>
        </w:rPr>
        <w:t xml:space="preserve"> v </w:t>
      </w:r>
      <w:proofErr w:type="spellStart"/>
      <w:r w:rsidR="00AC251A" w:rsidRPr="00E3110F">
        <w:rPr>
          <w:rFonts w:eastAsia="Times New Roman"/>
          <w:i/>
          <w:iCs/>
          <w:sz w:val="22"/>
          <w:szCs w:val="22"/>
        </w:rPr>
        <w:t>monoterapii</w:t>
      </w:r>
      <w:proofErr w:type="spellEnd"/>
    </w:p>
    <w:p w14:paraId="5F0E640F" w14:textId="44D0F27F" w:rsidR="000C6B77" w:rsidRPr="00E3110F" w:rsidRDefault="00FD14EC">
      <w:pPr>
        <w:contextualSpacing/>
        <w:jc w:val="left"/>
        <w:rPr>
          <w:rFonts w:eastAsia="Times New Roman"/>
          <w:iCs/>
          <w:sz w:val="22"/>
          <w:szCs w:val="22"/>
        </w:rPr>
      </w:pPr>
      <w:proofErr w:type="spellStart"/>
      <w:r w:rsidRPr="00E3110F">
        <w:rPr>
          <w:rFonts w:eastAsia="Times New Roman"/>
          <w:iCs/>
          <w:sz w:val="22"/>
          <w:szCs w:val="22"/>
        </w:rPr>
        <w:t>Ambrisentan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iCs/>
          <w:sz w:val="22"/>
          <w:szCs w:val="22"/>
        </w:rPr>
        <w:t>Zentiva</w:t>
      </w:r>
      <w:proofErr w:type="spellEnd"/>
      <w:r w:rsidR="009B73DC" w:rsidRPr="00E3110F">
        <w:rPr>
          <w:rFonts w:eastAsia="Times New Roman"/>
          <w:iCs/>
          <w:sz w:val="22"/>
          <w:szCs w:val="22"/>
        </w:rPr>
        <w:t xml:space="preserve"> </w:t>
      </w:r>
      <w:r w:rsidR="000C6B77" w:rsidRPr="00E3110F">
        <w:rPr>
          <w:sz w:val="22"/>
          <w:szCs w:val="22"/>
        </w:rPr>
        <w:t>sa má začať užívať perorálne v dávke 5 mg jedenkrát denne a môže sa zvýšiť na 10 mg denne v závislosti od klinickej odpovede na liečbu a znášanlivosti liečby</w:t>
      </w:r>
    </w:p>
    <w:p w14:paraId="44A0ED77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63CEFD63" w14:textId="03F541F7" w:rsidR="00411C55" w:rsidRPr="00E3110F" w:rsidRDefault="007D388A">
      <w:pPr>
        <w:contextualSpacing/>
        <w:jc w:val="left"/>
        <w:rPr>
          <w:rFonts w:eastAsia="Times New Roman"/>
          <w:iCs/>
          <w:sz w:val="22"/>
          <w:szCs w:val="22"/>
        </w:rPr>
      </w:pPr>
      <w:proofErr w:type="spellStart"/>
      <w:r>
        <w:rPr>
          <w:rFonts w:eastAsia="Times New Roman"/>
          <w:i/>
          <w:iCs/>
          <w:sz w:val="22"/>
          <w:szCs w:val="22"/>
        </w:rPr>
        <w:t>Ambrisentán</w:t>
      </w:r>
      <w:proofErr w:type="spellEnd"/>
      <w:r w:rsidR="00AC251A" w:rsidRPr="00E3110F">
        <w:rPr>
          <w:rFonts w:eastAsia="Times New Roman"/>
          <w:i/>
          <w:iCs/>
          <w:sz w:val="22"/>
          <w:szCs w:val="22"/>
        </w:rPr>
        <w:t xml:space="preserve"> v kombinácii s </w:t>
      </w:r>
      <w:proofErr w:type="spellStart"/>
      <w:r w:rsidR="00AC251A" w:rsidRPr="00E3110F">
        <w:rPr>
          <w:rFonts w:eastAsia="Times New Roman"/>
          <w:i/>
          <w:iCs/>
          <w:sz w:val="22"/>
          <w:szCs w:val="22"/>
        </w:rPr>
        <w:t>tadalafilom</w:t>
      </w:r>
      <w:proofErr w:type="spellEnd"/>
    </w:p>
    <w:p w14:paraId="16DBB97A" w14:textId="1EF3D87E" w:rsidR="00411C55" w:rsidRPr="00E3110F" w:rsidRDefault="00D13A73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Pri používaní v kombinácii s </w:t>
      </w:r>
      <w:proofErr w:type="spellStart"/>
      <w:r w:rsidRPr="00E3110F">
        <w:rPr>
          <w:rFonts w:eastAsia="Times New Roman"/>
          <w:iCs/>
          <w:sz w:val="22"/>
          <w:szCs w:val="22"/>
        </w:rPr>
        <w:t>tadalafilom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sa má </w:t>
      </w:r>
      <w:r w:rsidRPr="00CB5537">
        <w:rPr>
          <w:rFonts w:eastAsia="Times New Roman"/>
          <w:iCs/>
          <w:sz w:val="22"/>
          <w:szCs w:val="22"/>
        </w:rPr>
        <w:t>dávka</w:t>
      </w:r>
      <w:r w:rsidR="00411C55" w:rsidRPr="00CB5537">
        <w:rPr>
          <w:rFonts w:eastAsia="Times New Roman"/>
          <w:iCs/>
          <w:sz w:val="22"/>
          <w:szCs w:val="22"/>
        </w:rPr>
        <w:t xml:space="preserve"> </w:t>
      </w:r>
      <w:proofErr w:type="spellStart"/>
      <w:r w:rsidR="00FD14EC" w:rsidRPr="00CB5537">
        <w:rPr>
          <w:rFonts w:eastAsia="Times New Roman"/>
          <w:iCs/>
          <w:sz w:val="22"/>
          <w:szCs w:val="22"/>
        </w:rPr>
        <w:t>Ambrisentan</w:t>
      </w:r>
      <w:r w:rsidRPr="00CB5537">
        <w:rPr>
          <w:rFonts w:eastAsia="Times New Roman"/>
          <w:iCs/>
          <w:sz w:val="22"/>
          <w:szCs w:val="22"/>
        </w:rPr>
        <w:t>u</w:t>
      </w:r>
      <w:proofErr w:type="spellEnd"/>
      <w:r w:rsidR="00FD14EC" w:rsidRPr="00CB5537">
        <w:rPr>
          <w:rFonts w:eastAsia="Times New Roman"/>
          <w:iCs/>
          <w:sz w:val="22"/>
          <w:szCs w:val="22"/>
        </w:rPr>
        <w:t xml:space="preserve"> </w:t>
      </w:r>
      <w:proofErr w:type="spellStart"/>
      <w:r w:rsidR="00FD14EC" w:rsidRPr="00CB5537">
        <w:rPr>
          <w:rFonts w:eastAsia="Times New Roman"/>
          <w:iCs/>
          <w:sz w:val="22"/>
          <w:szCs w:val="22"/>
        </w:rPr>
        <w:t>Zentiva</w:t>
      </w:r>
      <w:proofErr w:type="spellEnd"/>
      <w:r w:rsidR="009034B2" w:rsidRPr="00E3110F">
        <w:rPr>
          <w:rFonts w:eastAsia="Times New Roman"/>
          <w:iCs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iCs/>
          <w:sz w:val="22"/>
          <w:szCs w:val="22"/>
        </w:rPr>
        <w:t>titrovať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na 10 mg jedenkrát denne</w:t>
      </w:r>
      <w:r w:rsidR="00411C55" w:rsidRPr="00E3110F">
        <w:rPr>
          <w:rFonts w:eastAsia="Times New Roman"/>
          <w:iCs/>
          <w:sz w:val="22"/>
          <w:szCs w:val="22"/>
        </w:rPr>
        <w:t>.</w:t>
      </w:r>
    </w:p>
    <w:p w14:paraId="06673020" w14:textId="77777777" w:rsidR="00411C55" w:rsidRPr="00E3110F" w:rsidRDefault="00411C5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103CA776" w14:textId="78EF4952" w:rsidR="00287173" w:rsidRPr="00E3110F" w:rsidRDefault="00287173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V štúdii AMBITION pacienti užívali 5 mg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denne počas prvých 8 týždňov pred </w:t>
      </w:r>
      <w:proofErr w:type="spellStart"/>
      <w:r w:rsidRPr="00E3110F">
        <w:rPr>
          <w:rFonts w:eastAsia="Times New Roman"/>
          <w:iCs/>
          <w:sz w:val="22"/>
          <w:szCs w:val="22"/>
        </w:rPr>
        <w:t>vytitrovaním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dávky na 10 mg, a to v závislosti od znášanlivosti liečby (pozri časť 5.1). Pri používaní v kombinácii s </w:t>
      </w:r>
      <w:proofErr w:type="spellStart"/>
      <w:r w:rsidRPr="00E3110F">
        <w:rPr>
          <w:rFonts w:eastAsia="Times New Roman"/>
          <w:iCs/>
          <w:sz w:val="22"/>
          <w:szCs w:val="22"/>
        </w:rPr>
        <w:t>tadalafilom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pacienti začali liečbu s 5 mg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a 20 mg </w:t>
      </w:r>
      <w:proofErr w:type="spellStart"/>
      <w:r w:rsidRPr="00E3110F">
        <w:rPr>
          <w:rFonts w:eastAsia="Times New Roman"/>
          <w:iCs/>
          <w:sz w:val="22"/>
          <w:szCs w:val="22"/>
        </w:rPr>
        <w:t>tadalafilu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. V závislosti od znášanlivosti liečby sa dávka </w:t>
      </w:r>
      <w:proofErr w:type="spellStart"/>
      <w:r w:rsidRPr="00E3110F">
        <w:rPr>
          <w:rFonts w:eastAsia="Times New Roman"/>
          <w:iCs/>
          <w:sz w:val="22"/>
          <w:szCs w:val="22"/>
        </w:rPr>
        <w:t>tadalafilu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zvýšila na 40 mg po 4 týždňoch a dávka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sa zvýšila na 10 mg po 8 týždňoch. Takéto dávkovanie sa dosiahlo u viac ako 90 % pacientov. Dávky sa tiež mohli znižovať v závislosti od znášanlivosti liečby.</w:t>
      </w:r>
    </w:p>
    <w:p w14:paraId="6A731C36" w14:textId="77777777" w:rsidR="00411C55" w:rsidRPr="00E3110F" w:rsidRDefault="00411C5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613F2619" w14:textId="0EDCBDD6" w:rsidR="00287173" w:rsidRPr="00E3110F" w:rsidRDefault="00287173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Obmedzené údaje svedčia o tom, že náhle ukončenie liečby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om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nie je spojené so zhoršením príznakov PAH (s „</w:t>
      </w:r>
      <w:proofErr w:type="spellStart"/>
      <w:r w:rsidRPr="00E3110F">
        <w:rPr>
          <w:rFonts w:eastAsia="Times New Roman"/>
          <w:iCs/>
          <w:sz w:val="22"/>
          <w:szCs w:val="22"/>
        </w:rPr>
        <w:t>rebound</w:t>
      </w:r>
      <w:proofErr w:type="spellEnd"/>
      <w:r w:rsidRPr="00E3110F">
        <w:rPr>
          <w:rFonts w:eastAsia="Times New Roman"/>
          <w:iCs/>
          <w:sz w:val="22"/>
          <w:szCs w:val="22"/>
        </w:rPr>
        <w:t>“ fenoménom).</w:t>
      </w:r>
    </w:p>
    <w:p w14:paraId="06BEB502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3461A3ED" w14:textId="456B75B6" w:rsidR="00E66E42" w:rsidRPr="00E3110F" w:rsidRDefault="00E66E42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Pri súbežnom podávaní </w:t>
      </w:r>
      <w:proofErr w:type="spellStart"/>
      <w:r w:rsidRPr="00E3110F">
        <w:rPr>
          <w:rFonts w:eastAsia="Times New Roman"/>
          <w:iCs/>
          <w:sz w:val="22"/>
          <w:szCs w:val="22"/>
        </w:rPr>
        <w:t>cyklosporínu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A sa má dávka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obmedziť na 5 mg jedenkrát denne a pacienti majú byť starostlivo sledovaní (pozri časti 4.5 a 5.2).</w:t>
      </w:r>
    </w:p>
    <w:p w14:paraId="00DFA5E9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</w:p>
    <w:p w14:paraId="1EEC8216" w14:textId="1BB2642D" w:rsidR="002F0FC5" w:rsidRPr="00E3110F" w:rsidRDefault="00AC251A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Osobitné skupiny pacientov</w:t>
      </w:r>
    </w:p>
    <w:p w14:paraId="7247406F" w14:textId="77777777" w:rsidR="002F0FC5" w:rsidRPr="00E3110F" w:rsidRDefault="002F0FC5">
      <w:pPr>
        <w:contextualSpacing/>
        <w:jc w:val="left"/>
        <w:rPr>
          <w:rFonts w:eastAsia="Times New Roman"/>
          <w:i/>
          <w:iCs/>
          <w:sz w:val="22"/>
          <w:szCs w:val="22"/>
          <w:u w:val="single"/>
        </w:rPr>
      </w:pPr>
    </w:p>
    <w:p w14:paraId="327FE1BE" w14:textId="132FCCAE" w:rsidR="002F0FC5" w:rsidRPr="00E3110F" w:rsidRDefault="00AC251A">
      <w:pPr>
        <w:contextualSpacing/>
        <w:jc w:val="left"/>
        <w:rPr>
          <w:rFonts w:eastAsia="Times New Roman"/>
          <w:i/>
          <w:iCs/>
          <w:sz w:val="22"/>
          <w:szCs w:val="22"/>
          <w:u w:val="single"/>
        </w:rPr>
      </w:pPr>
      <w:r w:rsidRPr="00E3110F">
        <w:rPr>
          <w:rFonts w:eastAsia="Times New Roman"/>
          <w:i/>
          <w:iCs/>
          <w:sz w:val="22"/>
          <w:szCs w:val="22"/>
          <w:u w:val="single"/>
        </w:rPr>
        <w:t>Starší pacienti</w:t>
      </w:r>
    </w:p>
    <w:p w14:paraId="3E695B18" w14:textId="0753236A" w:rsidR="00D117F5" w:rsidRPr="00E3110F" w:rsidRDefault="00D117F5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>U pacientov starších ako 65 rokov nie je potrebná úprava dávky (pozri časť 5.2).</w:t>
      </w:r>
    </w:p>
    <w:p w14:paraId="06550BD4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</w:p>
    <w:p w14:paraId="07B37519" w14:textId="0ADD76B5" w:rsidR="002F0FC5" w:rsidRPr="00E3110F" w:rsidRDefault="00492BF1">
      <w:pPr>
        <w:keepNext/>
        <w:contextualSpacing/>
        <w:jc w:val="left"/>
        <w:rPr>
          <w:rFonts w:eastAsia="Times New Roman"/>
          <w:i/>
          <w:iCs/>
          <w:sz w:val="22"/>
          <w:szCs w:val="22"/>
          <w:u w:val="single"/>
        </w:rPr>
      </w:pPr>
      <w:r>
        <w:rPr>
          <w:rFonts w:eastAsia="Times New Roman"/>
          <w:i/>
          <w:iCs/>
          <w:sz w:val="22"/>
          <w:szCs w:val="22"/>
          <w:u w:val="single"/>
        </w:rPr>
        <w:t>P</w:t>
      </w:r>
      <w:r w:rsidR="00AC251A" w:rsidRPr="00E3110F">
        <w:rPr>
          <w:rFonts w:eastAsia="Times New Roman"/>
          <w:i/>
          <w:iCs/>
          <w:sz w:val="22"/>
          <w:szCs w:val="22"/>
          <w:u w:val="single"/>
        </w:rPr>
        <w:t>oruch</w:t>
      </w:r>
      <w:r>
        <w:rPr>
          <w:rFonts w:eastAsia="Times New Roman"/>
          <w:i/>
          <w:iCs/>
          <w:sz w:val="22"/>
          <w:szCs w:val="22"/>
          <w:u w:val="single"/>
        </w:rPr>
        <w:t>a</w:t>
      </w:r>
      <w:r w:rsidR="00AC251A" w:rsidRPr="00E3110F">
        <w:rPr>
          <w:rFonts w:eastAsia="Times New Roman"/>
          <w:i/>
          <w:iCs/>
          <w:sz w:val="22"/>
          <w:szCs w:val="22"/>
          <w:u w:val="single"/>
        </w:rPr>
        <w:t xml:space="preserve"> funkcie obličiek</w:t>
      </w:r>
    </w:p>
    <w:p w14:paraId="2D58FA93" w14:textId="3745D644" w:rsidR="002F0FC5" w:rsidRPr="00E3110F" w:rsidRDefault="00E70676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U pacientov s poruchou funkcie obličiek nie je potrebná úprava dávky (pozri časť 5.2). Skúsenosti s použitím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u </w:t>
      </w:r>
      <w:r w:rsidR="00676035">
        <w:rPr>
          <w:rFonts w:eastAsia="Times New Roman"/>
          <w:iCs/>
          <w:sz w:val="22"/>
          <w:szCs w:val="22"/>
        </w:rPr>
        <w:t>osôb</w:t>
      </w:r>
      <w:r w:rsidRPr="00E3110F">
        <w:rPr>
          <w:rFonts w:eastAsia="Times New Roman"/>
          <w:iCs/>
          <w:sz w:val="22"/>
          <w:szCs w:val="22"/>
        </w:rPr>
        <w:t xml:space="preserve"> s ťažkou poruchou funkcie obličiek (</w:t>
      </w:r>
      <w:proofErr w:type="spellStart"/>
      <w:r w:rsidRPr="00E3110F">
        <w:rPr>
          <w:rFonts w:eastAsia="Times New Roman"/>
          <w:iCs/>
          <w:sz w:val="22"/>
          <w:szCs w:val="22"/>
        </w:rPr>
        <w:t>klírens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iCs/>
          <w:sz w:val="22"/>
          <w:szCs w:val="22"/>
        </w:rPr>
        <w:t>kreatinínu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&lt;</w:t>
      </w:r>
      <w:r w:rsidR="00CB5537">
        <w:rPr>
          <w:rFonts w:eastAsia="Times New Roman"/>
          <w:iCs/>
          <w:sz w:val="22"/>
          <w:szCs w:val="22"/>
        </w:rPr>
        <w:t xml:space="preserve"> </w:t>
      </w:r>
      <w:r w:rsidRPr="00E3110F">
        <w:rPr>
          <w:rFonts w:eastAsia="Times New Roman"/>
          <w:iCs/>
          <w:sz w:val="22"/>
          <w:szCs w:val="22"/>
        </w:rPr>
        <w:t xml:space="preserve">30 ml/min) sú obmedzené; v tejto podskupine pacientov sa má liečba začať opatrne a pri zvýšení dávky na 10 mg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je potrebná osobitná opatrnosť</w:t>
      </w:r>
      <w:r w:rsidR="009B73DC" w:rsidRPr="00E3110F">
        <w:rPr>
          <w:rFonts w:eastAsia="Times New Roman"/>
          <w:iCs/>
          <w:sz w:val="22"/>
          <w:szCs w:val="22"/>
        </w:rPr>
        <w:t>.</w:t>
      </w:r>
    </w:p>
    <w:p w14:paraId="4991A2C2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</w:p>
    <w:p w14:paraId="731DBFA5" w14:textId="7D1E6E1F" w:rsidR="002F0FC5" w:rsidRPr="00E3110F" w:rsidRDefault="00AC251A">
      <w:pPr>
        <w:contextualSpacing/>
        <w:jc w:val="left"/>
        <w:rPr>
          <w:rFonts w:eastAsia="Times New Roman"/>
          <w:i/>
          <w:iCs/>
          <w:sz w:val="22"/>
          <w:szCs w:val="22"/>
          <w:u w:val="single"/>
        </w:rPr>
      </w:pPr>
      <w:r w:rsidRPr="00E3110F">
        <w:rPr>
          <w:rFonts w:eastAsia="Times New Roman"/>
          <w:i/>
          <w:iCs/>
          <w:sz w:val="22"/>
          <w:szCs w:val="22"/>
          <w:u w:val="single"/>
        </w:rPr>
        <w:t>Poruch</w:t>
      </w:r>
      <w:r w:rsidR="00492BF1">
        <w:rPr>
          <w:rFonts w:eastAsia="Times New Roman"/>
          <w:i/>
          <w:iCs/>
          <w:sz w:val="22"/>
          <w:szCs w:val="22"/>
          <w:u w:val="single"/>
        </w:rPr>
        <w:t>a</w:t>
      </w:r>
      <w:r w:rsidRPr="00E3110F">
        <w:rPr>
          <w:rFonts w:eastAsia="Times New Roman"/>
          <w:i/>
          <w:iCs/>
          <w:sz w:val="22"/>
          <w:szCs w:val="22"/>
          <w:u w:val="single"/>
        </w:rPr>
        <w:t xml:space="preserve"> funkcie pečene</w:t>
      </w:r>
    </w:p>
    <w:p w14:paraId="6DEDDFEE" w14:textId="0D39AE8C" w:rsidR="00E70676" w:rsidRPr="00E3110F" w:rsidRDefault="007D388A">
      <w:pPr>
        <w:contextualSpacing/>
        <w:jc w:val="left"/>
        <w:rPr>
          <w:rFonts w:eastAsia="Times New Roman"/>
          <w:iCs/>
          <w:sz w:val="22"/>
          <w:szCs w:val="22"/>
        </w:rPr>
      </w:pPr>
      <w:proofErr w:type="spellStart"/>
      <w:r>
        <w:rPr>
          <w:rFonts w:eastAsia="Times New Roman"/>
          <w:iCs/>
          <w:sz w:val="22"/>
          <w:szCs w:val="22"/>
        </w:rPr>
        <w:t>Ambrisentán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nebol skúmaný u </w:t>
      </w:r>
      <w:r w:rsidR="00676035">
        <w:rPr>
          <w:rFonts w:eastAsia="Times New Roman"/>
          <w:iCs/>
          <w:sz w:val="22"/>
          <w:szCs w:val="22"/>
        </w:rPr>
        <w:t>osôb</w:t>
      </w:r>
      <w:r w:rsidR="00E70676" w:rsidRPr="00E3110F">
        <w:rPr>
          <w:rFonts w:eastAsia="Times New Roman"/>
          <w:iCs/>
          <w:sz w:val="22"/>
          <w:szCs w:val="22"/>
        </w:rPr>
        <w:t xml:space="preserve"> s poruchou funkcie pečene (s cirhózou alebo bez nej). Vzhľadom na to, že hlavné cesty metabolizmu </w:t>
      </w:r>
      <w:proofErr w:type="spellStart"/>
      <w:r>
        <w:rPr>
          <w:rFonts w:eastAsia="Times New Roman"/>
          <w:iCs/>
          <w:sz w:val="22"/>
          <w:szCs w:val="22"/>
        </w:rPr>
        <w:t>ambrisentán</w:t>
      </w:r>
      <w:r w:rsidR="00E70676" w:rsidRPr="00E3110F">
        <w:rPr>
          <w:rFonts w:eastAsia="Times New Roman"/>
          <w:iCs/>
          <w:sz w:val="22"/>
          <w:szCs w:val="22"/>
        </w:rPr>
        <w:t>u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sú </w:t>
      </w:r>
      <w:proofErr w:type="spellStart"/>
      <w:r w:rsidR="00E70676" w:rsidRPr="00E3110F">
        <w:rPr>
          <w:rFonts w:eastAsia="Times New Roman"/>
          <w:iCs/>
          <w:sz w:val="22"/>
          <w:szCs w:val="22"/>
        </w:rPr>
        <w:t>glukuronidácia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a oxidácia s následným vylučovaním do žlče, je možné očakávať, že porucha funkcie pečene zvýši expozíciu (</w:t>
      </w:r>
      <w:proofErr w:type="spellStart"/>
      <w:r w:rsidR="00676035">
        <w:rPr>
          <w:rFonts w:eastAsia="Times New Roman"/>
          <w:iCs/>
          <w:sz w:val="22"/>
          <w:szCs w:val="22"/>
        </w:rPr>
        <w:t>c</w:t>
      </w:r>
      <w:r w:rsidR="00E70676" w:rsidRPr="00E3110F">
        <w:rPr>
          <w:rFonts w:eastAsia="Times New Roman"/>
          <w:iCs/>
          <w:sz w:val="22"/>
          <w:szCs w:val="22"/>
          <w:vertAlign w:val="subscript"/>
        </w:rPr>
        <w:t>max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a AUC) </w:t>
      </w:r>
      <w:proofErr w:type="spellStart"/>
      <w:r>
        <w:rPr>
          <w:rFonts w:eastAsia="Times New Roman"/>
          <w:iCs/>
          <w:sz w:val="22"/>
          <w:szCs w:val="22"/>
        </w:rPr>
        <w:t>ambrisentán</w:t>
      </w:r>
      <w:r w:rsidR="00E70676" w:rsidRPr="00E3110F">
        <w:rPr>
          <w:rFonts w:eastAsia="Times New Roman"/>
          <w:iCs/>
          <w:sz w:val="22"/>
          <w:szCs w:val="22"/>
        </w:rPr>
        <w:t>u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. Z tohto dôvodu sa liečba </w:t>
      </w:r>
      <w:proofErr w:type="spellStart"/>
      <w:r>
        <w:rPr>
          <w:rFonts w:eastAsia="Times New Roman"/>
          <w:iCs/>
          <w:sz w:val="22"/>
          <w:szCs w:val="22"/>
        </w:rPr>
        <w:t>ambrisentán</w:t>
      </w:r>
      <w:r w:rsidR="00E70676" w:rsidRPr="00E3110F">
        <w:rPr>
          <w:rFonts w:eastAsia="Times New Roman"/>
          <w:iCs/>
          <w:sz w:val="22"/>
          <w:szCs w:val="22"/>
        </w:rPr>
        <w:t>om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nesmie začať u pacientov s ťažkou poruchou funkcie pečene alebo s klinicky významne zvýšenými hodnotami pečeňových </w:t>
      </w:r>
      <w:proofErr w:type="spellStart"/>
      <w:r w:rsidR="00E70676" w:rsidRPr="00E3110F">
        <w:rPr>
          <w:rFonts w:eastAsia="Times New Roman"/>
          <w:iCs/>
          <w:sz w:val="22"/>
          <w:szCs w:val="22"/>
        </w:rPr>
        <w:t>aminotransferáz</w:t>
      </w:r>
      <w:proofErr w:type="spellEnd"/>
      <w:r w:rsidR="00E70676" w:rsidRPr="00E3110F">
        <w:rPr>
          <w:rFonts w:eastAsia="Times New Roman"/>
          <w:iCs/>
          <w:sz w:val="22"/>
          <w:szCs w:val="22"/>
        </w:rPr>
        <w:t xml:space="preserve"> (nad 3-násobok hornej hranice referenčného rozpätia (&gt;</w:t>
      </w:r>
      <w:r w:rsidR="00CB5537">
        <w:rPr>
          <w:rFonts w:eastAsia="Times New Roman"/>
          <w:iCs/>
          <w:sz w:val="22"/>
          <w:szCs w:val="22"/>
        </w:rPr>
        <w:t xml:space="preserve"> </w:t>
      </w:r>
      <w:r w:rsidR="00E70676" w:rsidRPr="00E3110F">
        <w:rPr>
          <w:rFonts w:eastAsia="Times New Roman"/>
          <w:iCs/>
          <w:sz w:val="22"/>
          <w:szCs w:val="22"/>
        </w:rPr>
        <w:t>3xULN); pozri časti 4.3 a 4.4).</w:t>
      </w:r>
    </w:p>
    <w:p w14:paraId="73EF6101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</w:p>
    <w:p w14:paraId="416957E1" w14:textId="33117F80" w:rsidR="002F0FC5" w:rsidRPr="00E3110F" w:rsidRDefault="00AC251A">
      <w:pPr>
        <w:keepNext/>
        <w:contextualSpacing/>
        <w:jc w:val="left"/>
        <w:rPr>
          <w:rFonts w:eastAsia="Times New Roman"/>
          <w:iCs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Pediatrická populácia</w:t>
      </w:r>
    </w:p>
    <w:p w14:paraId="5AFF33E4" w14:textId="0A6A048B" w:rsidR="00E70676" w:rsidRPr="00E3110F" w:rsidRDefault="00E70676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 xml:space="preserve">Bezpečnosť a účinnosť </w:t>
      </w:r>
      <w:proofErr w:type="spellStart"/>
      <w:r w:rsidR="007D388A">
        <w:rPr>
          <w:rFonts w:eastAsia="Times New Roman"/>
          <w:iCs/>
          <w:sz w:val="22"/>
          <w:szCs w:val="22"/>
        </w:rPr>
        <w:t>ambrisentán</w:t>
      </w:r>
      <w:r w:rsidRPr="00E3110F">
        <w:rPr>
          <w:rFonts w:eastAsia="Times New Roman"/>
          <w:iCs/>
          <w:sz w:val="22"/>
          <w:szCs w:val="22"/>
        </w:rPr>
        <w:t>u</w:t>
      </w:r>
      <w:proofErr w:type="spellEnd"/>
      <w:r w:rsidRPr="00E3110F">
        <w:rPr>
          <w:rFonts w:eastAsia="Times New Roman"/>
          <w:iCs/>
          <w:sz w:val="22"/>
          <w:szCs w:val="22"/>
        </w:rPr>
        <w:t xml:space="preserve"> u detí a dospievajúcich mladších ako 18 rokov neboli stanovené. K dispozícii nie sú žiadne klinické údaje (dostupné údaje týkajúce sa juvenilných zvierat, pozri časť 5.3).</w:t>
      </w:r>
    </w:p>
    <w:p w14:paraId="6B5F1FA5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</w:p>
    <w:p w14:paraId="3B4DFFB1" w14:textId="224C0459" w:rsidR="002F0FC5" w:rsidRPr="00E3110F" w:rsidRDefault="00AC251A">
      <w:pPr>
        <w:contextualSpacing/>
        <w:jc w:val="left"/>
        <w:rPr>
          <w:rFonts w:eastAsia="Times New Roman"/>
          <w:iCs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Spôsob podávania</w:t>
      </w:r>
    </w:p>
    <w:p w14:paraId="1978CD3F" w14:textId="0DDF55DF" w:rsidR="00E70676" w:rsidRPr="00E3110F" w:rsidRDefault="00E70676" w:rsidP="00CB5537">
      <w:pPr>
        <w:contextualSpacing/>
        <w:jc w:val="left"/>
        <w:rPr>
          <w:rFonts w:eastAsia="Times New Roman"/>
          <w:iCs/>
          <w:sz w:val="22"/>
          <w:szCs w:val="22"/>
        </w:rPr>
      </w:pPr>
      <w:r w:rsidRPr="00E3110F">
        <w:rPr>
          <w:rFonts w:eastAsia="Times New Roman"/>
          <w:iCs/>
          <w:sz w:val="22"/>
          <w:szCs w:val="22"/>
        </w:rPr>
        <w:t>Odporúča sa, aby sa tableta prehltla vcelku a môže sa užívať s jedlom alebo bez jedla. Odporúča sa tabletu nedeliť, nedrviť ani nežuť.</w:t>
      </w:r>
    </w:p>
    <w:p w14:paraId="38A73C2A" w14:textId="77777777" w:rsidR="002F0FC5" w:rsidRPr="00E3110F" w:rsidRDefault="002F0FC5" w:rsidP="009169A4">
      <w:pPr>
        <w:contextualSpacing/>
        <w:jc w:val="left"/>
        <w:rPr>
          <w:rFonts w:eastAsia="Times New Roman"/>
          <w:sz w:val="22"/>
          <w:szCs w:val="22"/>
        </w:rPr>
      </w:pPr>
    </w:p>
    <w:p w14:paraId="02BBD946" w14:textId="5321701A" w:rsidR="002F0FC5" w:rsidRPr="00E3110F" w:rsidRDefault="009B73DC" w:rsidP="00EC7BFE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4.3</w:t>
      </w:r>
      <w:r w:rsidRPr="00E3110F">
        <w:rPr>
          <w:b/>
          <w:sz w:val="22"/>
          <w:szCs w:val="22"/>
        </w:rPr>
        <w:tab/>
      </w:r>
      <w:r w:rsidR="00AC251A" w:rsidRPr="00E3110F">
        <w:rPr>
          <w:b/>
          <w:sz w:val="22"/>
          <w:szCs w:val="22"/>
        </w:rPr>
        <w:t>Kontraindikácie</w:t>
      </w:r>
    </w:p>
    <w:p w14:paraId="7B8B06E0" w14:textId="77777777" w:rsidR="002F0FC5" w:rsidRPr="00E3110F" w:rsidRDefault="002F0FC5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0303EF9E" w14:textId="3DEB26A0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Precitlivenosť na liečivo, sóju alebo na ktorúkoľvek z pomocných látok uvedených v časti 6.1.</w:t>
      </w:r>
    </w:p>
    <w:p w14:paraId="71D06556" w14:textId="5DF3BE24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Gravidita (pozri časť 4.6).</w:t>
      </w:r>
    </w:p>
    <w:p w14:paraId="62CC77D2" w14:textId="14E15789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Ženy vo fertilnom veku, ktoré nepoužívajú spoľahlivú antikoncepciu (pozri časti 4.4 a 4.6).</w:t>
      </w:r>
    </w:p>
    <w:p w14:paraId="4C81EE43" w14:textId="49117D25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Dojčenie (pozri časť 4.6).</w:t>
      </w:r>
    </w:p>
    <w:p w14:paraId="674A1BA6" w14:textId="03C156AD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Ťažká porucha funkcie pečene (s cirhózou alebo bez nej) (pozri časť 4.2).</w:t>
      </w:r>
    </w:p>
    <w:p w14:paraId="0B38404A" w14:textId="78E9DB0A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 xml:space="preserve">Východiskové hodnoty pečeňových </w:t>
      </w:r>
      <w:proofErr w:type="spellStart"/>
      <w:r w:rsidRPr="00E3110F">
        <w:rPr>
          <w:sz w:val="22"/>
          <w:szCs w:val="22"/>
        </w:rPr>
        <w:t>aminotransferáz</w:t>
      </w:r>
      <w:proofErr w:type="spellEnd"/>
      <w:r w:rsidRPr="00E3110F">
        <w:rPr>
          <w:sz w:val="22"/>
          <w:szCs w:val="22"/>
        </w:rPr>
        <w:t xml:space="preserve"> (</w:t>
      </w:r>
      <w:proofErr w:type="spellStart"/>
      <w:r w:rsidRPr="00E3110F">
        <w:rPr>
          <w:sz w:val="22"/>
          <w:szCs w:val="22"/>
        </w:rPr>
        <w:t>aspartátaminotransferázy</w:t>
      </w:r>
      <w:proofErr w:type="spellEnd"/>
      <w:r w:rsidRPr="00E3110F">
        <w:rPr>
          <w:sz w:val="22"/>
          <w:szCs w:val="22"/>
        </w:rPr>
        <w:t xml:space="preserve"> (AST) a/alebo </w:t>
      </w:r>
      <w:proofErr w:type="spellStart"/>
      <w:r w:rsidRPr="00E3110F">
        <w:rPr>
          <w:sz w:val="22"/>
          <w:szCs w:val="22"/>
        </w:rPr>
        <w:t>alanínaminotransferázy</w:t>
      </w:r>
      <w:proofErr w:type="spellEnd"/>
      <w:r w:rsidRPr="00E3110F">
        <w:rPr>
          <w:sz w:val="22"/>
          <w:szCs w:val="22"/>
        </w:rPr>
        <w:t xml:space="preserve"> (ALT)) &gt;</w:t>
      </w:r>
      <w:r w:rsidR="00CB5537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3xULN (pozri časti 4.2 a 4.4).</w:t>
      </w:r>
    </w:p>
    <w:p w14:paraId="08071647" w14:textId="463B2493" w:rsidR="002F0FC5" w:rsidRPr="00E3110F" w:rsidRDefault="007E3FB9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</w:rPr>
        <w:t>Idiopatická</w:t>
      </w:r>
      <w:proofErr w:type="spellEnd"/>
      <w:r w:rsidRPr="00E3110F">
        <w:rPr>
          <w:sz w:val="22"/>
          <w:szCs w:val="22"/>
        </w:rPr>
        <w:t xml:space="preserve"> pľúcna </w:t>
      </w:r>
      <w:proofErr w:type="spellStart"/>
      <w:r w:rsidRPr="00E3110F">
        <w:rPr>
          <w:sz w:val="22"/>
          <w:szCs w:val="22"/>
        </w:rPr>
        <w:t>fibróza</w:t>
      </w:r>
      <w:proofErr w:type="spellEnd"/>
      <w:r w:rsidRPr="00E3110F">
        <w:rPr>
          <w:sz w:val="22"/>
          <w:szCs w:val="22"/>
        </w:rPr>
        <w:t xml:space="preserve"> (IPF) so sekundárnou pľúcnou artériovou hypertenziou alebo bez nej (pozri časť 5.1).</w:t>
      </w:r>
    </w:p>
    <w:p w14:paraId="12EE4889" w14:textId="77777777" w:rsidR="002F0FC5" w:rsidRPr="00E3110F" w:rsidRDefault="002F0FC5">
      <w:pPr>
        <w:contextualSpacing/>
        <w:jc w:val="left"/>
        <w:rPr>
          <w:rFonts w:eastAsia="Times New Roman"/>
          <w:iCs/>
          <w:sz w:val="22"/>
          <w:szCs w:val="22"/>
        </w:rPr>
      </w:pPr>
    </w:p>
    <w:p w14:paraId="5A615FB9" w14:textId="6B39EE0A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4.4</w:t>
      </w:r>
      <w:r w:rsidRPr="00E3110F">
        <w:rPr>
          <w:b/>
          <w:sz w:val="22"/>
          <w:szCs w:val="22"/>
        </w:rPr>
        <w:tab/>
      </w:r>
      <w:r w:rsidR="00AC251A" w:rsidRPr="00E3110F">
        <w:rPr>
          <w:b/>
          <w:sz w:val="22"/>
          <w:szCs w:val="22"/>
        </w:rPr>
        <w:t>Osobitné upozornenia a opatrenia pri používaní</w:t>
      </w:r>
    </w:p>
    <w:p w14:paraId="64A21FA3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0D8249BB" w14:textId="605E9CD3" w:rsidR="00D52693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bookmarkStart w:id="10" w:name="CLINICAL_PRECAUTIONS"/>
      <w:bookmarkEnd w:id="9"/>
      <w:proofErr w:type="spellStart"/>
      <w:r>
        <w:rPr>
          <w:rFonts w:eastAsia="Times New Roman"/>
          <w:bCs/>
          <w:sz w:val="22"/>
          <w:szCs w:val="22"/>
        </w:rPr>
        <w:t>Ambrisentán</w:t>
      </w:r>
      <w:proofErr w:type="spellEnd"/>
      <w:r w:rsidR="00D52693" w:rsidRPr="00E3110F">
        <w:rPr>
          <w:rFonts w:eastAsia="Times New Roman"/>
          <w:bCs/>
          <w:sz w:val="22"/>
          <w:szCs w:val="22"/>
        </w:rPr>
        <w:t xml:space="preserve"> nebol skúmaný u dostatočného počtu pacientov, aby bolo možné stanoviť rovnováhu medzi prínosom a rizikom pri PAH funkčnej triedy I podľa </w:t>
      </w:r>
      <w:r w:rsidR="00676035">
        <w:rPr>
          <w:rFonts w:eastAsia="Times New Roman"/>
          <w:bCs/>
          <w:sz w:val="22"/>
          <w:szCs w:val="22"/>
        </w:rPr>
        <w:t>WHO</w:t>
      </w:r>
      <w:r w:rsidR="00D52693" w:rsidRPr="00E3110F">
        <w:rPr>
          <w:rFonts w:eastAsia="Times New Roman"/>
          <w:bCs/>
          <w:sz w:val="22"/>
          <w:szCs w:val="22"/>
        </w:rPr>
        <w:t>.</w:t>
      </w:r>
    </w:p>
    <w:p w14:paraId="5587AA4D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29A47DC8" w14:textId="7C40DF4B" w:rsidR="000B446D" w:rsidRPr="00E3110F" w:rsidRDefault="000B446D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Účinnosť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 </w:t>
      </w:r>
      <w:proofErr w:type="spellStart"/>
      <w:r w:rsidRPr="00E3110F">
        <w:rPr>
          <w:rFonts w:eastAsia="Times New Roman"/>
          <w:bCs/>
          <w:sz w:val="22"/>
          <w:szCs w:val="22"/>
        </w:rPr>
        <w:t>monoterapii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nebola stanovená u pacientov s PAH funkčnej triedy IV podľa </w:t>
      </w:r>
      <w:r w:rsidR="00676035">
        <w:rPr>
          <w:rFonts w:eastAsia="Times New Roman"/>
          <w:bCs/>
          <w:sz w:val="22"/>
          <w:szCs w:val="22"/>
        </w:rPr>
        <w:t>WHO</w:t>
      </w:r>
      <w:r w:rsidRPr="00E3110F">
        <w:rPr>
          <w:rFonts w:eastAsia="Times New Roman"/>
          <w:bCs/>
          <w:sz w:val="22"/>
          <w:szCs w:val="22"/>
        </w:rPr>
        <w:t xml:space="preserve">. Ak dôjde k zhoršeniu klinického stavu, má sa zvážiť liečba, ktorá je odporúčaná pre ťažké štádium ochorenia (napr. </w:t>
      </w:r>
      <w:proofErr w:type="spellStart"/>
      <w:r w:rsidRPr="00E3110F">
        <w:rPr>
          <w:rFonts w:eastAsia="Times New Roman"/>
          <w:bCs/>
          <w:sz w:val="22"/>
          <w:szCs w:val="22"/>
        </w:rPr>
        <w:t>epoprostenol</w:t>
      </w:r>
      <w:proofErr w:type="spellEnd"/>
      <w:r w:rsidRPr="00E3110F">
        <w:rPr>
          <w:rFonts w:eastAsia="Times New Roman"/>
          <w:bCs/>
          <w:sz w:val="22"/>
          <w:szCs w:val="22"/>
        </w:rPr>
        <w:t>).</w:t>
      </w:r>
    </w:p>
    <w:p w14:paraId="31A00CB5" w14:textId="77777777" w:rsidR="00712F30" w:rsidRPr="00E3110F" w:rsidRDefault="00712F30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AE4A223" w14:textId="03492797" w:rsidR="002F0FC5" w:rsidRPr="00E3110F" w:rsidRDefault="00AC251A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Funkcia pečene</w:t>
      </w:r>
    </w:p>
    <w:p w14:paraId="5BB1696D" w14:textId="2E98CBD0" w:rsidR="000B446D" w:rsidRPr="00E3110F" w:rsidRDefault="000B446D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PAH je spojená s </w:t>
      </w:r>
      <w:r w:rsidR="00676035">
        <w:rPr>
          <w:rFonts w:eastAsia="Times New Roman"/>
          <w:bCs/>
          <w:sz w:val="22"/>
          <w:szCs w:val="22"/>
        </w:rPr>
        <w:t>poruchami</w:t>
      </w:r>
      <w:r w:rsidR="00676035" w:rsidRPr="00E3110F">
        <w:rPr>
          <w:rFonts w:eastAsia="Times New Roman"/>
          <w:bCs/>
          <w:sz w:val="22"/>
          <w:szCs w:val="22"/>
        </w:rPr>
        <w:t xml:space="preserve"> </w:t>
      </w:r>
      <w:r w:rsidRPr="00E3110F">
        <w:rPr>
          <w:rFonts w:eastAsia="Times New Roman"/>
          <w:bCs/>
          <w:sz w:val="22"/>
          <w:szCs w:val="22"/>
        </w:rPr>
        <w:t xml:space="preserve">funkcie pečene. Pri používaní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boli pozorované prípady zodpovedajúce autoimunitnej hepatitíde, vrátane možnej </w:t>
      </w:r>
      <w:proofErr w:type="spellStart"/>
      <w:r w:rsidRPr="00E3110F">
        <w:rPr>
          <w:rFonts w:eastAsia="Times New Roman"/>
          <w:bCs/>
          <w:sz w:val="22"/>
          <w:szCs w:val="22"/>
        </w:rPr>
        <w:t>exacerbácie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už existujúcej </w:t>
      </w:r>
      <w:proofErr w:type="spellStart"/>
      <w:r w:rsidRPr="00E3110F">
        <w:rPr>
          <w:rFonts w:eastAsia="Times New Roman"/>
          <w:bCs/>
          <w:sz w:val="22"/>
          <w:szCs w:val="22"/>
        </w:rPr>
        <w:t>autoimunitnej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hepatitídy, poškodenia pečene a zvýšenia hodnôt pečeňových enzýmov potenciálne súvisiaceho s liečbou (pozri časti 4.8 a 5.1). Pred začiatkom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preto majú stanoviť hodnoty pečeňových </w:t>
      </w:r>
      <w:proofErr w:type="spellStart"/>
      <w:r w:rsidRPr="00E3110F">
        <w:rPr>
          <w:rFonts w:eastAsia="Times New Roman"/>
          <w:bCs/>
          <w:sz w:val="22"/>
          <w:szCs w:val="22"/>
        </w:rPr>
        <w:t>aminotransferáz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(ALT a AST) a liečba sa nemá začať u pacientov s východiskovými hodnotami ALT a/alebo AST &gt;3xULN (pozri časť 4.3).</w:t>
      </w:r>
    </w:p>
    <w:p w14:paraId="19E0268D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4A5EAD2" w14:textId="5A894248" w:rsidR="00A52706" w:rsidRPr="00E3110F" w:rsidRDefault="00A52706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Pacienti majú byť sledovaní kvôli prejavom poškodenia pečene a odporúča sa kontrolovať hodnoty ALT a AST raz za mesiac. Ak u pacienta dôjde k trvalému, neobjasnenému, klinicky významnému zvýšeniu hodnôt ALT a/alebo AST, alebo ak je zvýšenie hodnôt ALT a/alebo AST sprevádzané </w:t>
      </w:r>
      <w:r w:rsidR="00676035">
        <w:rPr>
          <w:rFonts w:eastAsia="Times New Roman"/>
          <w:bCs/>
          <w:sz w:val="22"/>
          <w:szCs w:val="22"/>
        </w:rPr>
        <w:t>prejavmi</w:t>
      </w:r>
      <w:r w:rsidRPr="00E3110F">
        <w:rPr>
          <w:rFonts w:eastAsia="Times New Roman"/>
          <w:bCs/>
          <w:sz w:val="22"/>
          <w:szCs w:val="22"/>
        </w:rPr>
        <w:t xml:space="preserve"> alebo príznakmi poškodenia pečene (napr. žltačka), liečba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má ukončiť.</w:t>
      </w:r>
    </w:p>
    <w:p w14:paraId="23C47564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0CFA2F6" w14:textId="5EC09BE5" w:rsidR="0096543E" w:rsidRPr="00E3110F" w:rsidRDefault="0096543E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U pacientov bez klinických príznakov poškodenia pečene alebo bez žltačky sa opätovné začatie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môže zvážiť po normalizácii hodnôt pečeňových enzýmov. Odporúča sa vyšetrenie u hepatológa.</w:t>
      </w:r>
    </w:p>
    <w:p w14:paraId="7C4ACFB1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5D0EBA67" w14:textId="23BDC4B3" w:rsidR="002F0FC5" w:rsidRPr="00E3110F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Koncentrácia hemoglobínu</w:t>
      </w:r>
    </w:p>
    <w:p w14:paraId="4C3AE88A" w14:textId="7C33C3E6" w:rsidR="006B3D59" w:rsidRPr="00E3110F" w:rsidRDefault="006B3D59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Používanie antagonistov </w:t>
      </w:r>
      <w:proofErr w:type="spellStart"/>
      <w:r w:rsidRPr="00E3110F">
        <w:rPr>
          <w:rFonts w:eastAsia="Times New Roman"/>
          <w:bCs/>
          <w:sz w:val="22"/>
          <w:szCs w:val="22"/>
        </w:rPr>
        <w:t>endotelínových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receptorov (ERA) vrátane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je spojené so znížením koncentrácií hemoglobínu a hematokritu. Znížené koncentrácie boli väčšinou zistené počas prvých 4 týždňov liečby a potom sa hemoglobín zvyčajne stabilizoval. Priemerné poklesy (v rozmedzí od 0,9 do 1,2 g/dl) koncentrácií hemoglobínu, v porovnaní s východiskovými koncentráciami, pretrvávali počas až 4 rokov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 dlhodobom otvorenom predĺžení </w:t>
      </w:r>
      <w:proofErr w:type="spellStart"/>
      <w:r w:rsidRPr="00E3110F">
        <w:rPr>
          <w:rFonts w:eastAsia="Times New Roman"/>
          <w:bCs/>
          <w:sz w:val="22"/>
          <w:szCs w:val="22"/>
        </w:rPr>
        <w:t>pivotných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klinických štúdií fázy 3. V období po uvedení lieku na trh boli hlásené prípady anémie vyžadujúcej transfúziu krvi (pozri časť 4.8).</w:t>
      </w:r>
    </w:p>
    <w:p w14:paraId="4BD2F33F" w14:textId="1F8E545F" w:rsidR="006B3D59" w:rsidRPr="00E3110F" w:rsidRDefault="006B3D59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lastRenderedPageBreak/>
        <w:t xml:space="preserve">Neodporúča sa začať liečbu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u pacientov s klinicky významnou anémiou. Počas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odporúča kontrolovať hladiny hemoglobínu a/alebo hematokritu, napríklad po 1 mesiaci, 3 mesiacoch a potom v pravidelných intervaloch v súlade s klinickou praxou. Ak sa zistí klinicky významné zníženie hladín hemoglobínu alebo hematokritu a vylúčia sa iné príčiny, má sa zvážiť zníženie dávky alebo ukončenie liečby. Výskyt anémie bol zvýšený, keď sa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podával v kombinácii s </w:t>
      </w:r>
      <w:proofErr w:type="spellStart"/>
      <w:r w:rsidRPr="00E3110F">
        <w:rPr>
          <w:rFonts w:eastAsia="Times New Roman"/>
          <w:bCs/>
          <w:sz w:val="22"/>
          <w:szCs w:val="22"/>
        </w:rPr>
        <w:t>tadalafilom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(15 % frekvencia výskytu tejto nežiaducej udalosti), v porovnaní s výskytom anémie, keď sa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bCs/>
          <w:sz w:val="22"/>
          <w:szCs w:val="22"/>
        </w:rPr>
        <w:t>tadalafil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podávali v </w:t>
      </w:r>
      <w:proofErr w:type="spellStart"/>
      <w:r w:rsidRPr="00E3110F">
        <w:rPr>
          <w:rFonts w:eastAsia="Times New Roman"/>
          <w:bCs/>
          <w:sz w:val="22"/>
          <w:szCs w:val="22"/>
        </w:rPr>
        <w:t>monoterapii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(7 % a 11 %, v uvedenom poradí).</w:t>
      </w:r>
    </w:p>
    <w:p w14:paraId="617310A5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65267AE" w14:textId="2D42E3CB" w:rsidR="002F0FC5" w:rsidRPr="00E3110F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bCs/>
          <w:sz w:val="22"/>
          <w:szCs w:val="22"/>
          <w:u w:val="single"/>
        </w:rPr>
        <w:t>Retencia</w:t>
      </w:r>
      <w:proofErr w:type="spellEnd"/>
      <w:r w:rsidRPr="00E3110F">
        <w:rPr>
          <w:rFonts w:eastAsia="Times New Roman"/>
          <w:bCs/>
          <w:sz w:val="22"/>
          <w:szCs w:val="22"/>
          <w:u w:val="single"/>
        </w:rPr>
        <w:t xml:space="preserve"> tekutín</w:t>
      </w:r>
    </w:p>
    <w:p w14:paraId="6084F74C" w14:textId="3B5281A1" w:rsidR="008A48BC" w:rsidRPr="00E3110F" w:rsidRDefault="008A48BC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Pri používaní ERA vrátane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pozoroval periférny edém. Väčšina prípadov periférneho edému v klinických štúdiách s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bola </w:t>
      </w:r>
      <w:r w:rsidR="00D97786">
        <w:rPr>
          <w:rFonts w:eastAsia="Times New Roman"/>
          <w:bCs/>
          <w:sz w:val="22"/>
          <w:szCs w:val="22"/>
        </w:rPr>
        <w:t>miernej</w:t>
      </w:r>
      <w:r w:rsidRPr="00E3110F">
        <w:rPr>
          <w:rFonts w:eastAsia="Times New Roman"/>
          <w:bCs/>
          <w:sz w:val="22"/>
          <w:szCs w:val="22"/>
        </w:rPr>
        <w:t xml:space="preserve"> až stredne ťažkej závažnosti, aj keď sa môže vyskytnúť s väčšou frekvenciou a závažnosťou u pacientov ≥ 65 rokov. V krátkodobých klinických štúdiách bol periférny edém hlásený častejšie pri podávaní 10 mg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(pozri časť 4.8).</w:t>
      </w:r>
    </w:p>
    <w:p w14:paraId="7C68FCDE" w14:textId="61C3FDD7" w:rsidR="008A48BC" w:rsidRPr="00E3110F" w:rsidRDefault="008A48BC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Po uvedení lieku na trh boli hlásené prípady </w:t>
      </w:r>
      <w:proofErr w:type="spellStart"/>
      <w:r w:rsidRPr="00E3110F">
        <w:rPr>
          <w:rFonts w:eastAsia="Times New Roman"/>
          <w:bCs/>
          <w:sz w:val="22"/>
          <w:szCs w:val="22"/>
        </w:rPr>
        <w:t>retencie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tekutín vyskytujúcej sa v priebehu niekoľkých týždňov po začatí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a v niektorých prípadoch liečba </w:t>
      </w:r>
      <w:proofErr w:type="spellStart"/>
      <w:r w:rsidRPr="00E3110F">
        <w:rPr>
          <w:rFonts w:eastAsia="Times New Roman"/>
          <w:bCs/>
          <w:sz w:val="22"/>
          <w:szCs w:val="22"/>
        </w:rPr>
        <w:t>retencie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tekutín alebo dekompenzovaného zlyh</w:t>
      </w:r>
      <w:r w:rsidR="00D97786">
        <w:rPr>
          <w:rFonts w:eastAsia="Times New Roman"/>
          <w:bCs/>
          <w:sz w:val="22"/>
          <w:szCs w:val="22"/>
        </w:rPr>
        <w:t>ávania srdca</w:t>
      </w:r>
      <w:r w:rsidRPr="00E3110F">
        <w:rPr>
          <w:rFonts w:eastAsia="Times New Roman"/>
          <w:bCs/>
          <w:sz w:val="22"/>
          <w:szCs w:val="22"/>
        </w:rPr>
        <w:t xml:space="preserve"> vyžadovala podanie diuretika alebo hospitalizáciu. Ak už </w:t>
      </w:r>
      <w:r w:rsidR="000010EF">
        <w:rPr>
          <w:rFonts w:eastAsia="Times New Roman"/>
          <w:bCs/>
          <w:sz w:val="22"/>
          <w:szCs w:val="22"/>
        </w:rPr>
        <w:t xml:space="preserve">sú </w:t>
      </w:r>
      <w:proofErr w:type="spellStart"/>
      <w:r w:rsidR="000010EF">
        <w:rPr>
          <w:rFonts w:eastAsia="Times New Roman"/>
          <w:bCs/>
          <w:sz w:val="22"/>
          <w:szCs w:val="22"/>
        </w:rPr>
        <w:t>pacienti</w:t>
      </w:r>
      <w:r w:rsidRPr="00E3110F">
        <w:rPr>
          <w:rFonts w:eastAsia="Times New Roman"/>
          <w:bCs/>
          <w:sz w:val="22"/>
          <w:szCs w:val="22"/>
        </w:rPr>
        <w:t>preťažení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tekutinami, treba </w:t>
      </w:r>
      <w:r w:rsidR="000010EF">
        <w:rPr>
          <w:rFonts w:eastAsia="Times New Roman"/>
          <w:bCs/>
          <w:sz w:val="22"/>
          <w:szCs w:val="22"/>
        </w:rPr>
        <w:t>to</w:t>
      </w:r>
      <w:r w:rsidRPr="00E3110F">
        <w:rPr>
          <w:rFonts w:eastAsia="Times New Roman"/>
          <w:bCs/>
          <w:sz w:val="22"/>
          <w:szCs w:val="22"/>
        </w:rPr>
        <w:t xml:space="preserve"> zvládnuť klinicky vhodným spôsobom pred začatím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>.</w:t>
      </w:r>
    </w:p>
    <w:p w14:paraId="756BDC1C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0B4CCB2D" w14:textId="64E68A7D" w:rsidR="00F27B15" w:rsidRPr="00E3110F" w:rsidRDefault="00F27B15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Ak počas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vznikne klinicky významná </w:t>
      </w:r>
      <w:proofErr w:type="spellStart"/>
      <w:r w:rsidRPr="00E3110F">
        <w:rPr>
          <w:rFonts w:eastAsia="Times New Roman"/>
          <w:bCs/>
          <w:sz w:val="22"/>
          <w:szCs w:val="22"/>
        </w:rPr>
        <w:t>retencia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tekutín, ktorá je alebo nie je spojená s prírastkom telesnej hmotnosti, majú sa vykonať ďalšie vyšetrenia, aby sa určila príčina, napr. liečba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alebo už </w:t>
      </w:r>
      <w:proofErr w:type="spellStart"/>
      <w:r w:rsidRPr="00E3110F">
        <w:rPr>
          <w:rFonts w:eastAsia="Times New Roman"/>
          <w:bCs/>
          <w:sz w:val="22"/>
          <w:szCs w:val="22"/>
        </w:rPr>
        <w:t>existujúcezlyh</w:t>
      </w:r>
      <w:r w:rsidR="00E42976">
        <w:rPr>
          <w:rFonts w:eastAsia="Times New Roman"/>
          <w:bCs/>
          <w:sz w:val="22"/>
          <w:szCs w:val="22"/>
        </w:rPr>
        <w:t>ávanie</w:t>
      </w:r>
      <w:proofErr w:type="spellEnd"/>
      <w:r w:rsidR="00E42976">
        <w:rPr>
          <w:rFonts w:eastAsia="Times New Roman"/>
          <w:bCs/>
          <w:sz w:val="22"/>
          <w:szCs w:val="22"/>
        </w:rPr>
        <w:t xml:space="preserve"> srdca</w:t>
      </w:r>
      <w:r w:rsidRPr="00E3110F">
        <w:rPr>
          <w:rFonts w:eastAsia="Times New Roman"/>
          <w:bCs/>
          <w:sz w:val="22"/>
          <w:szCs w:val="22"/>
        </w:rPr>
        <w:t xml:space="preserve">, a možná potreba špecifickej liečby alebo ukončenia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. Výskyt periférneho edému bol zvýšený, keď sa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podával v kombinácii s </w:t>
      </w:r>
      <w:proofErr w:type="spellStart"/>
      <w:r w:rsidRPr="00E3110F">
        <w:rPr>
          <w:rFonts w:eastAsia="Times New Roman"/>
          <w:bCs/>
          <w:sz w:val="22"/>
          <w:szCs w:val="22"/>
        </w:rPr>
        <w:t>tadalafilom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(45 % frekvencia výskytu tejto nežiaducej udalosti), v porovnaní s výskytom periférneho edému, keď sa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bCs/>
          <w:sz w:val="22"/>
          <w:szCs w:val="22"/>
        </w:rPr>
        <w:t>tadalafil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podávali v </w:t>
      </w:r>
      <w:proofErr w:type="spellStart"/>
      <w:r w:rsidRPr="00E3110F">
        <w:rPr>
          <w:rFonts w:eastAsia="Times New Roman"/>
          <w:bCs/>
          <w:sz w:val="22"/>
          <w:szCs w:val="22"/>
        </w:rPr>
        <w:t>monoterapii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(38 % a 28 %, v uvedenom poradí). Výskyt periférneho edému bol najvyšší v priebehu prvého mesiaca po začatí liečby.</w:t>
      </w:r>
    </w:p>
    <w:p w14:paraId="73A5E8D8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3EE2A626" w14:textId="26A12A2D" w:rsidR="002F0FC5" w:rsidRPr="00E3110F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Ženy vo fertilnom veku</w:t>
      </w:r>
    </w:p>
    <w:p w14:paraId="564B61FC" w14:textId="0A49B023" w:rsidR="005503E9" w:rsidRPr="00E3110F" w:rsidRDefault="005503E9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Liečba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nesmie začať u žien vo fertilnom veku, pokiaľ výsledok tehotenského testu pred začiatkom liečby nie je negatívny a pokiaľ nepoužívajú spoľahlivú antikoncepciu. V prípade akýchkoľvek pochybností ohľadom toho, aká antikoncepcia sa má odporučiť konkrétnej pacientke, sa má zvážiť konzultácia s gynekológom. Počas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odporúča vykonávať tehotenské testy v mesačných intervaloch (pozri časti 4.3 a 4.6).</w:t>
      </w:r>
    </w:p>
    <w:p w14:paraId="3D3D80B0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7B7EAB89" w14:textId="2E095C03" w:rsidR="002F0FC5" w:rsidRPr="00E3110F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 xml:space="preserve">Pľúcna </w:t>
      </w:r>
      <w:proofErr w:type="spellStart"/>
      <w:r w:rsidRPr="00E3110F">
        <w:rPr>
          <w:rFonts w:eastAsia="Times New Roman"/>
          <w:bCs/>
          <w:sz w:val="22"/>
          <w:szCs w:val="22"/>
          <w:u w:val="single"/>
        </w:rPr>
        <w:t>venookluzívna</w:t>
      </w:r>
      <w:proofErr w:type="spellEnd"/>
      <w:r w:rsidRPr="00E3110F">
        <w:rPr>
          <w:rFonts w:eastAsia="Times New Roman"/>
          <w:bCs/>
          <w:sz w:val="22"/>
          <w:szCs w:val="22"/>
          <w:u w:val="single"/>
        </w:rPr>
        <w:t xml:space="preserve"> choroba</w:t>
      </w:r>
    </w:p>
    <w:p w14:paraId="3A1AA94A" w14:textId="47F6F778" w:rsidR="00216A46" w:rsidRPr="00E3110F" w:rsidRDefault="00F4786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Pri používaní </w:t>
      </w:r>
      <w:proofErr w:type="spellStart"/>
      <w:r w:rsidRPr="00E3110F">
        <w:rPr>
          <w:rFonts w:eastAsia="Times New Roman"/>
          <w:bCs/>
          <w:sz w:val="22"/>
          <w:szCs w:val="22"/>
        </w:rPr>
        <w:t>vazodilatačných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liekov, ako sú ERA, u pacientov s pľúcnou </w:t>
      </w:r>
      <w:proofErr w:type="spellStart"/>
      <w:r w:rsidRPr="00E3110F">
        <w:rPr>
          <w:rFonts w:eastAsia="Times New Roman"/>
          <w:bCs/>
          <w:sz w:val="22"/>
          <w:szCs w:val="22"/>
        </w:rPr>
        <w:t>venookluzívnou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chorobou boli zaznamenané prípady pľúcneho edému. V dôsledku toho, ak u pacientov s PAH vznikne akútny pľúcny edém počas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, je potrebné zvážiť možnosť pľúcnej </w:t>
      </w:r>
      <w:proofErr w:type="spellStart"/>
      <w:r w:rsidRPr="00E3110F">
        <w:rPr>
          <w:rFonts w:eastAsia="Times New Roman"/>
          <w:bCs/>
          <w:sz w:val="22"/>
          <w:szCs w:val="22"/>
        </w:rPr>
        <w:t>venookluzívnej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choroby.</w:t>
      </w:r>
    </w:p>
    <w:p w14:paraId="01B2BDE6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12BCDF6" w14:textId="593F6F65" w:rsidR="002F0FC5" w:rsidRPr="00E3110F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Súbežné podávanie s inými liekmi</w:t>
      </w:r>
    </w:p>
    <w:p w14:paraId="284A5E14" w14:textId="68809EBE" w:rsidR="008D30A8" w:rsidRPr="00E3110F" w:rsidRDefault="008D30A8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Pacienti užívajúci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majú byť starostlivo sledovaní pri začatí liečby </w:t>
      </w:r>
      <w:proofErr w:type="spellStart"/>
      <w:r w:rsidRPr="00E3110F">
        <w:rPr>
          <w:rFonts w:eastAsia="Times New Roman"/>
          <w:bCs/>
          <w:sz w:val="22"/>
          <w:szCs w:val="22"/>
        </w:rPr>
        <w:t>rifampicínom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(pozri časti 4.5 a 5.2).</w:t>
      </w:r>
    </w:p>
    <w:p w14:paraId="52788503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21E0CD7E" w14:textId="77777777" w:rsidR="00AC251A" w:rsidRPr="001D3DC0" w:rsidRDefault="00AC251A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1D3DC0">
        <w:rPr>
          <w:rFonts w:eastAsia="Times New Roman"/>
          <w:bCs/>
          <w:sz w:val="22"/>
          <w:szCs w:val="22"/>
          <w:u w:val="single"/>
        </w:rPr>
        <w:t>Pomocné látky</w:t>
      </w:r>
    </w:p>
    <w:p w14:paraId="6B40D777" w14:textId="77777777" w:rsidR="0045332E" w:rsidRPr="001D3DC0" w:rsidRDefault="0045332E" w:rsidP="0045332E">
      <w:pPr>
        <w:contextualSpacing/>
        <w:jc w:val="left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Tento liek obsahuje monohydrát laktózy. </w:t>
      </w:r>
      <w:r w:rsidRPr="00450A03">
        <w:rPr>
          <w:rFonts w:eastAsia="Times New Roman"/>
          <w:bCs/>
          <w:sz w:val="22"/>
          <w:szCs w:val="22"/>
        </w:rPr>
        <w:t>Pacienti so zriedkavými dedičnými</w:t>
      </w:r>
      <w:r>
        <w:rPr>
          <w:rFonts w:eastAsia="Times New Roman"/>
          <w:bCs/>
          <w:sz w:val="22"/>
          <w:szCs w:val="22"/>
        </w:rPr>
        <w:t xml:space="preserve"> </w:t>
      </w:r>
      <w:r w:rsidRPr="00450A03">
        <w:rPr>
          <w:rFonts w:eastAsia="Times New Roman"/>
          <w:bCs/>
          <w:sz w:val="22"/>
          <w:szCs w:val="22"/>
        </w:rPr>
        <w:t xml:space="preserve">problémami </w:t>
      </w:r>
      <w:proofErr w:type="spellStart"/>
      <w:r w:rsidRPr="00450A03">
        <w:rPr>
          <w:rFonts w:eastAsia="Times New Roman"/>
          <w:bCs/>
          <w:sz w:val="22"/>
          <w:szCs w:val="22"/>
        </w:rPr>
        <w:t>galaktózovej</w:t>
      </w:r>
      <w:proofErr w:type="spellEnd"/>
      <w:r w:rsidRPr="00450A03">
        <w:rPr>
          <w:rFonts w:eastAsia="Times New Roman"/>
          <w:bCs/>
          <w:sz w:val="22"/>
          <w:szCs w:val="22"/>
        </w:rPr>
        <w:t xml:space="preserve"> intolerancie, celkovým</w:t>
      </w:r>
      <w:r>
        <w:rPr>
          <w:rFonts w:eastAsia="Times New Roman"/>
          <w:bCs/>
          <w:sz w:val="22"/>
          <w:szCs w:val="22"/>
        </w:rPr>
        <w:t xml:space="preserve"> </w:t>
      </w:r>
      <w:r w:rsidRPr="00450A03">
        <w:rPr>
          <w:rFonts w:eastAsia="Times New Roman"/>
          <w:bCs/>
          <w:sz w:val="22"/>
          <w:szCs w:val="22"/>
        </w:rPr>
        <w:t xml:space="preserve">deficitom </w:t>
      </w:r>
      <w:proofErr w:type="spellStart"/>
      <w:r w:rsidRPr="00450A03">
        <w:rPr>
          <w:rFonts w:eastAsia="Times New Roman"/>
          <w:bCs/>
          <w:sz w:val="22"/>
          <w:szCs w:val="22"/>
        </w:rPr>
        <w:t>laktázy</w:t>
      </w:r>
      <w:proofErr w:type="spellEnd"/>
      <w:r w:rsidRPr="00450A03">
        <w:rPr>
          <w:rFonts w:eastAsia="Times New Roman"/>
          <w:bCs/>
          <w:sz w:val="22"/>
          <w:szCs w:val="22"/>
        </w:rPr>
        <w:t xml:space="preserve"> alebo </w:t>
      </w:r>
      <w:proofErr w:type="spellStart"/>
      <w:r w:rsidRPr="00450A03">
        <w:rPr>
          <w:rFonts w:eastAsia="Times New Roman"/>
          <w:bCs/>
          <w:sz w:val="22"/>
          <w:szCs w:val="22"/>
        </w:rPr>
        <w:t>glukózo-galaktózovou</w:t>
      </w:r>
      <w:proofErr w:type="spellEnd"/>
      <w:r>
        <w:rPr>
          <w:rFonts w:eastAsia="Times New Roman"/>
          <w:bCs/>
          <w:sz w:val="22"/>
          <w:szCs w:val="22"/>
        </w:rPr>
        <w:t xml:space="preserve"> </w:t>
      </w:r>
      <w:proofErr w:type="spellStart"/>
      <w:r w:rsidRPr="00450A03">
        <w:rPr>
          <w:rFonts w:eastAsia="Times New Roman"/>
          <w:bCs/>
          <w:sz w:val="22"/>
          <w:szCs w:val="22"/>
        </w:rPr>
        <w:t>malabsorpciou</w:t>
      </w:r>
      <w:proofErr w:type="spellEnd"/>
      <w:r w:rsidRPr="00450A03">
        <w:rPr>
          <w:rFonts w:eastAsia="Times New Roman"/>
          <w:bCs/>
          <w:sz w:val="22"/>
          <w:szCs w:val="22"/>
        </w:rPr>
        <w:t xml:space="preserve"> nesmú užívať tento liek</w:t>
      </w:r>
    </w:p>
    <w:p w14:paraId="6CC8B7D2" w14:textId="77777777" w:rsidR="0045332E" w:rsidRDefault="0045332E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43E2351" w14:textId="2956CB4C" w:rsidR="002F0FC5" w:rsidRDefault="007E39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1D3DC0">
        <w:rPr>
          <w:rFonts w:eastAsia="Times New Roman"/>
          <w:bCs/>
          <w:sz w:val="22"/>
          <w:szCs w:val="22"/>
        </w:rPr>
        <w:t xml:space="preserve">Tento liek obsahuje menej ako 1 mmol sodíka (23 mg) v tablete, </w:t>
      </w:r>
      <w:proofErr w:type="spellStart"/>
      <w:r w:rsidRPr="001D3DC0">
        <w:rPr>
          <w:rFonts w:eastAsia="Times New Roman"/>
          <w:bCs/>
          <w:sz w:val="22"/>
          <w:szCs w:val="22"/>
        </w:rPr>
        <w:t>t.j</w:t>
      </w:r>
      <w:proofErr w:type="spellEnd"/>
      <w:r w:rsidRPr="001D3DC0">
        <w:rPr>
          <w:rFonts w:eastAsia="Times New Roman"/>
          <w:bCs/>
          <w:sz w:val="22"/>
          <w:szCs w:val="22"/>
        </w:rPr>
        <w:t>. v podstate zanedbateľné množstvo sodíka.</w:t>
      </w:r>
    </w:p>
    <w:p w14:paraId="4A26B7D0" w14:textId="77777777" w:rsidR="00450A03" w:rsidRDefault="00450A03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3F8C1E30" w14:textId="23C870B1" w:rsidR="007E39CF" w:rsidRPr="001D3DC0" w:rsidRDefault="007E39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1D3DC0">
        <w:rPr>
          <w:rFonts w:eastAsia="Times New Roman"/>
          <w:bCs/>
          <w:sz w:val="22"/>
          <w:szCs w:val="22"/>
        </w:rPr>
        <w:t xml:space="preserve">Tento liek obsahuje sójový lecitín (pozri časť 4.3). Sójový lecitín môže obsahovať zvyškový sójový proteín, a preto pacienti </w:t>
      </w:r>
      <w:proofErr w:type="spellStart"/>
      <w:r w:rsidRPr="001D3DC0">
        <w:rPr>
          <w:rFonts w:eastAsia="Times New Roman"/>
          <w:bCs/>
          <w:sz w:val="22"/>
          <w:szCs w:val="22"/>
        </w:rPr>
        <w:t>precitlivelí</w:t>
      </w:r>
      <w:proofErr w:type="spellEnd"/>
      <w:r w:rsidRPr="001D3DC0">
        <w:rPr>
          <w:rFonts w:eastAsia="Times New Roman"/>
          <w:bCs/>
          <w:sz w:val="22"/>
          <w:szCs w:val="22"/>
        </w:rPr>
        <w:t xml:space="preserve"> na sóju alebo arašidy nesmú užívať</w:t>
      </w:r>
      <w:r w:rsidR="001D3DC0" w:rsidRPr="00CB5537">
        <w:rPr>
          <w:rFonts w:eastAsia="Times New Roman"/>
          <w:bCs/>
          <w:sz w:val="22"/>
          <w:szCs w:val="22"/>
        </w:rPr>
        <w:t xml:space="preserve"> tento liek</w:t>
      </w:r>
      <w:r w:rsidRPr="001D3DC0">
        <w:rPr>
          <w:rFonts w:eastAsia="Times New Roman"/>
          <w:bCs/>
          <w:sz w:val="22"/>
          <w:szCs w:val="22"/>
        </w:rPr>
        <w:t>.</w:t>
      </w:r>
    </w:p>
    <w:p w14:paraId="2EDD96AB" w14:textId="6E04680F" w:rsidR="002F0FC5" w:rsidRPr="00E3110F" w:rsidRDefault="008D55D4">
      <w:pPr>
        <w:contextualSpacing/>
        <w:jc w:val="left"/>
        <w:rPr>
          <w:rFonts w:eastAsia="Times New Roman"/>
          <w:bCs/>
          <w:sz w:val="22"/>
          <w:szCs w:val="22"/>
        </w:rPr>
      </w:pPr>
      <w:r w:rsidRPr="001D3DC0">
        <w:rPr>
          <w:rFonts w:eastAsia="Times New Roman"/>
          <w:bCs/>
          <w:sz w:val="22"/>
          <w:szCs w:val="22"/>
        </w:rPr>
        <w:t xml:space="preserve">Tento liek obsahuje </w:t>
      </w:r>
      <w:proofErr w:type="spellStart"/>
      <w:r w:rsidRPr="001D3DC0">
        <w:rPr>
          <w:rFonts w:eastAsia="Times New Roman"/>
          <w:bCs/>
          <w:sz w:val="22"/>
          <w:szCs w:val="22"/>
        </w:rPr>
        <w:t>azofarbivo</w:t>
      </w:r>
      <w:proofErr w:type="spellEnd"/>
      <w:r w:rsidR="0099157E">
        <w:rPr>
          <w:rFonts w:eastAsia="Times New Roman"/>
          <w:bCs/>
          <w:sz w:val="22"/>
          <w:szCs w:val="22"/>
        </w:rPr>
        <w:t xml:space="preserve"> </w:t>
      </w:r>
      <w:r w:rsidRPr="00E85A70">
        <w:rPr>
          <w:rFonts w:eastAsia="Times New Roman"/>
          <w:bCs/>
          <w:sz w:val="22"/>
          <w:szCs w:val="22"/>
        </w:rPr>
        <w:t>červe</w:t>
      </w:r>
      <w:r w:rsidR="001D3DC0" w:rsidRPr="00CB5537">
        <w:rPr>
          <w:rFonts w:eastAsia="Times New Roman"/>
          <w:bCs/>
          <w:sz w:val="22"/>
          <w:szCs w:val="22"/>
        </w:rPr>
        <w:t>ň</w:t>
      </w:r>
      <w:r w:rsidRPr="001D3DC0">
        <w:rPr>
          <w:rFonts w:eastAsia="Times New Roman"/>
          <w:bCs/>
          <w:sz w:val="22"/>
          <w:szCs w:val="22"/>
        </w:rPr>
        <w:t xml:space="preserve"> </w:t>
      </w:r>
      <w:proofErr w:type="spellStart"/>
      <w:r w:rsidRPr="001D3DC0">
        <w:rPr>
          <w:rFonts w:eastAsia="Times New Roman"/>
          <w:bCs/>
          <w:sz w:val="22"/>
          <w:szCs w:val="22"/>
        </w:rPr>
        <w:t>Allura</w:t>
      </w:r>
      <w:proofErr w:type="spellEnd"/>
      <w:r w:rsidRPr="001D3DC0">
        <w:rPr>
          <w:rFonts w:eastAsia="Times New Roman"/>
          <w:bCs/>
          <w:sz w:val="22"/>
          <w:szCs w:val="22"/>
        </w:rPr>
        <w:t xml:space="preserve"> AC </w:t>
      </w:r>
      <w:r w:rsidR="001D3DC0" w:rsidRPr="00CB5537">
        <w:rPr>
          <w:rFonts w:eastAsia="Times New Roman"/>
          <w:bCs/>
          <w:sz w:val="22"/>
          <w:szCs w:val="22"/>
        </w:rPr>
        <w:t xml:space="preserve">– hliníkový lak </w:t>
      </w:r>
      <w:r w:rsidRPr="001D3DC0">
        <w:rPr>
          <w:rFonts w:eastAsia="Times New Roman"/>
          <w:bCs/>
          <w:sz w:val="22"/>
          <w:szCs w:val="22"/>
        </w:rPr>
        <w:t>(E129), ktoré môže vyvolať alergické reakcie.</w:t>
      </w:r>
    </w:p>
    <w:p w14:paraId="7B85C123" w14:textId="77777777" w:rsidR="008D55D4" w:rsidRPr="00E3110F" w:rsidRDefault="008D55D4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05E9F976" w14:textId="172D0224" w:rsidR="002F0FC5" w:rsidRPr="00E3110F" w:rsidRDefault="009B73DC">
      <w:pPr>
        <w:keepNext/>
        <w:spacing w:after="0"/>
        <w:contextualSpacing/>
        <w:jc w:val="left"/>
        <w:rPr>
          <w:b/>
          <w:sz w:val="22"/>
          <w:szCs w:val="22"/>
        </w:rPr>
      </w:pPr>
      <w:bookmarkStart w:id="11" w:name="INTERACTIONS"/>
      <w:bookmarkEnd w:id="10"/>
      <w:r w:rsidRPr="00E3110F">
        <w:rPr>
          <w:b/>
          <w:sz w:val="22"/>
          <w:szCs w:val="22"/>
        </w:rPr>
        <w:t>4.5</w:t>
      </w:r>
      <w:r w:rsidRPr="00E3110F">
        <w:rPr>
          <w:b/>
          <w:sz w:val="22"/>
          <w:szCs w:val="22"/>
        </w:rPr>
        <w:tab/>
      </w:r>
      <w:r w:rsidR="00AC251A" w:rsidRPr="00E3110F">
        <w:rPr>
          <w:b/>
          <w:sz w:val="22"/>
          <w:szCs w:val="22"/>
        </w:rPr>
        <w:t>Liekové a iné interakcie</w:t>
      </w:r>
    </w:p>
    <w:p w14:paraId="7C13E773" w14:textId="77777777" w:rsidR="002F0FC5" w:rsidRPr="00E3110F" w:rsidRDefault="002F0FC5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4431C8BA" w14:textId="68E375E7" w:rsidR="00B659ED" w:rsidRPr="00E3110F" w:rsidRDefault="00B659ED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predklinických štúdiách </w:t>
      </w:r>
      <w:r w:rsidRPr="00E3110F">
        <w:rPr>
          <w:rFonts w:eastAsia="Times New Roman"/>
          <w:i/>
          <w:iCs/>
          <w:sz w:val="22"/>
          <w:szCs w:val="22"/>
        </w:rPr>
        <w:t>in vitro</w:t>
      </w:r>
      <w:r w:rsidRPr="00E3110F">
        <w:rPr>
          <w:rFonts w:eastAsia="Times New Roman"/>
          <w:sz w:val="22"/>
          <w:szCs w:val="22"/>
        </w:rPr>
        <w:t xml:space="preserve"> a </w:t>
      </w:r>
      <w:r w:rsidRPr="00E3110F">
        <w:rPr>
          <w:rFonts w:eastAsia="Times New Roman"/>
          <w:i/>
          <w:iCs/>
          <w:sz w:val="22"/>
          <w:szCs w:val="22"/>
        </w:rPr>
        <w:t xml:space="preserve">in </w:t>
      </w:r>
      <w:proofErr w:type="spellStart"/>
      <w:r w:rsidRPr="00E3110F">
        <w:rPr>
          <w:rFonts w:eastAsia="Times New Roman"/>
          <w:i/>
          <w:iCs/>
          <w:sz w:val="22"/>
          <w:szCs w:val="22"/>
        </w:rPr>
        <w:t>vivo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v klinicky významných koncentráciách </w:t>
      </w:r>
      <w:proofErr w:type="spellStart"/>
      <w:r w:rsidRPr="00E3110F">
        <w:rPr>
          <w:rFonts w:eastAsia="Times New Roman"/>
          <w:sz w:val="22"/>
          <w:szCs w:val="22"/>
        </w:rPr>
        <w:t>neinhiboval</w:t>
      </w:r>
      <w:proofErr w:type="spellEnd"/>
      <w:r w:rsidRPr="00E3110F">
        <w:rPr>
          <w:rFonts w:eastAsia="Times New Roman"/>
          <w:sz w:val="22"/>
          <w:szCs w:val="22"/>
        </w:rPr>
        <w:t xml:space="preserve"> ani neindukoval enzýmy I. alebo II. fázy </w:t>
      </w:r>
      <w:proofErr w:type="spellStart"/>
      <w:r w:rsidRPr="00E3110F">
        <w:rPr>
          <w:rFonts w:eastAsia="Times New Roman"/>
          <w:sz w:val="22"/>
          <w:szCs w:val="22"/>
        </w:rPr>
        <w:t>metabolizácie</w:t>
      </w:r>
      <w:proofErr w:type="spellEnd"/>
      <w:r w:rsidRPr="00E3110F">
        <w:rPr>
          <w:rFonts w:eastAsia="Times New Roman"/>
          <w:sz w:val="22"/>
          <w:szCs w:val="22"/>
        </w:rPr>
        <w:t xml:space="preserve"> liečiv, čo svedčí o nízkej schopnosti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zmeniť profil liekov metabolizovaných týmito cestami.</w:t>
      </w:r>
    </w:p>
    <w:p w14:paraId="672F878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33E7D040" w14:textId="1FBB5A95" w:rsidR="00561993" w:rsidRPr="00E3110F" w:rsidRDefault="0056199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Schopnosť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indukovať aktivitu CYP3A4 bola skúmaná u zdravých dobrovoľníkov a výsledky svedčia o nedostatočnom vplyve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na indukciu </w:t>
      </w:r>
      <w:proofErr w:type="spellStart"/>
      <w:r w:rsidRPr="00E3110F">
        <w:rPr>
          <w:rFonts w:eastAsia="Times New Roman"/>
          <w:sz w:val="22"/>
          <w:szCs w:val="22"/>
        </w:rPr>
        <w:t>izoenzýmu</w:t>
      </w:r>
      <w:proofErr w:type="spellEnd"/>
      <w:r w:rsidRPr="00E3110F">
        <w:rPr>
          <w:rFonts w:eastAsia="Times New Roman"/>
          <w:sz w:val="22"/>
          <w:szCs w:val="22"/>
        </w:rPr>
        <w:t xml:space="preserve"> CYP3A4.</w:t>
      </w:r>
    </w:p>
    <w:p w14:paraId="7C2DA3C9" w14:textId="77777777" w:rsidR="00D8345B" w:rsidRPr="00E3110F" w:rsidRDefault="00D8345B">
      <w:pPr>
        <w:contextualSpacing/>
        <w:jc w:val="left"/>
        <w:rPr>
          <w:rFonts w:eastAsia="Times New Roman"/>
          <w:sz w:val="22"/>
          <w:szCs w:val="22"/>
        </w:rPr>
      </w:pPr>
    </w:p>
    <w:p w14:paraId="54DD728F" w14:textId="45F93B41" w:rsidR="002F0FC5" w:rsidRPr="00E3110F" w:rsidRDefault="009B73DC">
      <w:pPr>
        <w:contextualSpacing/>
        <w:jc w:val="left"/>
        <w:rPr>
          <w:rFonts w:eastAsia="Times New Roman"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sz w:val="22"/>
          <w:szCs w:val="22"/>
          <w:u w:val="single"/>
        </w:rPr>
        <w:t>Cyclospor</w:t>
      </w:r>
      <w:r w:rsidR="00AC251A" w:rsidRPr="00E3110F">
        <w:rPr>
          <w:rFonts w:eastAsia="Times New Roman"/>
          <w:sz w:val="22"/>
          <w:szCs w:val="22"/>
          <w:u w:val="single"/>
        </w:rPr>
        <w:t>í</w:t>
      </w:r>
      <w:r w:rsidRPr="00E3110F">
        <w:rPr>
          <w:rFonts w:eastAsia="Times New Roman"/>
          <w:sz w:val="22"/>
          <w:szCs w:val="22"/>
          <w:u w:val="single"/>
        </w:rPr>
        <w:t>n</w:t>
      </w:r>
      <w:proofErr w:type="spellEnd"/>
      <w:r w:rsidRPr="00E3110F">
        <w:rPr>
          <w:rFonts w:eastAsia="Times New Roman"/>
          <w:sz w:val="22"/>
          <w:szCs w:val="22"/>
          <w:u w:val="single"/>
        </w:rPr>
        <w:t xml:space="preserve"> A</w:t>
      </w:r>
    </w:p>
    <w:p w14:paraId="7E8864CF" w14:textId="490A58DF" w:rsidR="00700692" w:rsidRPr="00E3110F" w:rsidRDefault="00700692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Súbežné podávanie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cyklosporínu</w:t>
      </w:r>
      <w:proofErr w:type="spellEnd"/>
      <w:r w:rsidRPr="00E3110F">
        <w:rPr>
          <w:rFonts w:eastAsia="Times New Roman"/>
          <w:sz w:val="22"/>
          <w:szCs w:val="22"/>
        </w:rPr>
        <w:t xml:space="preserve"> A v rovnovážnom stave viedlo u zdravých dobrovoľníkov k 2-násobnému zvýšeniu expozície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. Toto môže byť spôsobené inhibíciou transportérov a metabolických enzýmov podieľajúcich sa na </w:t>
      </w:r>
      <w:proofErr w:type="spellStart"/>
      <w:r w:rsidRPr="00E3110F">
        <w:rPr>
          <w:rFonts w:eastAsia="Times New Roman"/>
          <w:sz w:val="22"/>
          <w:szCs w:val="22"/>
        </w:rPr>
        <w:t>farmakokinetike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cyklosporínom</w:t>
      </w:r>
      <w:proofErr w:type="spellEnd"/>
      <w:r w:rsidRPr="00E3110F">
        <w:rPr>
          <w:rFonts w:eastAsia="Times New Roman"/>
          <w:sz w:val="22"/>
          <w:szCs w:val="22"/>
        </w:rPr>
        <w:t xml:space="preserve"> A. Z toho dôvodu sa má dávka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obmedziť na 5 mg jedenkrát denne pri súbežnom podávaní s </w:t>
      </w:r>
      <w:proofErr w:type="spellStart"/>
      <w:r w:rsidRPr="00E3110F">
        <w:rPr>
          <w:rFonts w:eastAsia="Times New Roman"/>
          <w:sz w:val="22"/>
          <w:szCs w:val="22"/>
        </w:rPr>
        <w:t>cyklosporínom</w:t>
      </w:r>
      <w:proofErr w:type="spellEnd"/>
      <w:r w:rsidRPr="00E3110F">
        <w:rPr>
          <w:rFonts w:eastAsia="Times New Roman"/>
          <w:sz w:val="22"/>
          <w:szCs w:val="22"/>
        </w:rPr>
        <w:t xml:space="preserve"> A (pozri časť 4.2). Podávanie opakovaných dávok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nemalo vplyv na expozíciu </w:t>
      </w:r>
      <w:proofErr w:type="spellStart"/>
      <w:r w:rsidRPr="00E3110F">
        <w:rPr>
          <w:rFonts w:eastAsia="Times New Roman"/>
          <w:sz w:val="22"/>
          <w:szCs w:val="22"/>
        </w:rPr>
        <w:t>cyklosporínu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a</w:t>
      </w:r>
      <w:proofErr w:type="spellEnd"/>
      <w:r w:rsidRPr="00E3110F">
        <w:rPr>
          <w:rFonts w:eastAsia="Times New Roman"/>
          <w:sz w:val="22"/>
          <w:szCs w:val="22"/>
        </w:rPr>
        <w:t xml:space="preserve"> úprava dávky </w:t>
      </w:r>
      <w:proofErr w:type="spellStart"/>
      <w:r w:rsidRPr="00E3110F">
        <w:rPr>
          <w:rFonts w:eastAsia="Times New Roman"/>
          <w:sz w:val="22"/>
          <w:szCs w:val="22"/>
        </w:rPr>
        <w:t>cyklosporínu</w:t>
      </w:r>
      <w:proofErr w:type="spellEnd"/>
      <w:r w:rsidRPr="00E3110F">
        <w:rPr>
          <w:rFonts w:eastAsia="Times New Roman"/>
          <w:sz w:val="22"/>
          <w:szCs w:val="22"/>
        </w:rPr>
        <w:t xml:space="preserve"> A nie je potrebná.</w:t>
      </w:r>
    </w:p>
    <w:p w14:paraId="3D957D00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2AE93175" w14:textId="5D1D83B6" w:rsidR="002F0FC5" w:rsidRPr="00E3110F" w:rsidRDefault="009B73DC">
      <w:pPr>
        <w:contextualSpacing/>
        <w:jc w:val="left"/>
        <w:rPr>
          <w:rFonts w:eastAsia="Times New Roman"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sz w:val="22"/>
          <w:szCs w:val="22"/>
          <w:u w:val="single"/>
        </w:rPr>
        <w:t>Rifampic</w:t>
      </w:r>
      <w:r w:rsidR="00E07F19" w:rsidRPr="00E3110F">
        <w:rPr>
          <w:rFonts w:eastAsia="Times New Roman"/>
          <w:sz w:val="22"/>
          <w:szCs w:val="22"/>
          <w:u w:val="single"/>
        </w:rPr>
        <w:t>í</w:t>
      </w:r>
      <w:r w:rsidRPr="00E3110F">
        <w:rPr>
          <w:rFonts w:eastAsia="Times New Roman"/>
          <w:sz w:val="22"/>
          <w:szCs w:val="22"/>
          <w:u w:val="single"/>
        </w:rPr>
        <w:t>n</w:t>
      </w:r>
      <w:proofErr w:type="spellEnd"/>
    </w:p>
    <w:p w14:paraId="2D90F46E" w14:textId="00F49D5D" w:rsidR="005F02BE" w:rsidRPr="00E3110F" w:rsidRDefault="005F02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Súbežné podávanie </w:t>
      </w:r>
      <w:proofErr w:type="spellStart"/>
      <w:r w:rsidRPr="00E3110F">
        <w:rPr>
          <w:rFonts w:eastAsia="Times New Roman"/>
          <w:sz w:val="22"/>
          <w:szCs w:val="22"/>
        </w:rPr>
        <w:t>rifampicínu</w:t>
      </w:r>
      <w:proofErr w:type="spellEnd"/>
      <w:r w:rsidRPr="00E3110F">
        <w:rPr>
          <w:rFonts w:eastAsia="Times New Roman"/>
          <w:sz w:val="22"/>
          <w:szCs w:val="22"/>
        </w:rPr>
        <w:t xml:space="preserve"> (inhibítor transportného </w:t>
      </w:r>
      <w:proofErr w:type="spellStart"/>
      <w:r w:rsidRPr="00E3110F">
        <w:rPr>
          <w:rFonts w:eastAsia="Times New Roman"/>
          <w:sz w:val="22"/>
          <w:szCs w:val="22"/>
        </w:rPr>
        <w:t>polypeptidu</w:t>
      </w:r>
      <w:proofErr w:type="spellEnd"/>
      <w:r w:rsidRPr="00E3110F">
        <w:rPr>
          <w:rFonts w:eastAsia="Times New Roman"/>
          <w:sz w:val="22"/>
          <w:szCs w:val="22"/>
        </w:rPr>
        <w:t xml:space="preserve"> organických aniónov [OATP], silný induktor CYP3A a 2C19 a induktor P-</w:t>
      </w:r>
      <w:proofErr w:type="spellStart"/>
      <w:r w:rsidRPr="00E3110F">
        <w:rPr>
          <w:rFonts w:eastAsia="Times New Roman"/>
          <w:sz w:val="22"/>
          <w:szCs w:val="22"/>
        </w:rPr>
        <w:t>gp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uridíndifosfát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glukuronozyltransferáz</w:t>
      </w:r>
      <w:proofErr w:type="spellEnd"/>
      <w:r w:rsidRPr="00E3110F">
        <w:rPr>
          <w:rFonts w:eastAsia="Times New Roman"/>
          <w:sz w:val="22"/>
          <w:szCs w:val="22"/>
        </w:rPr>
        <w:t xml:space="preserve"> [</w:t>
      </w:r>
      <w:proofErr w:type="spellStart"/>
      <w:r w:rsidRPr="00E3110F">
        <w:rPr>
          <w:rFonts w:eastAsia="Times New Roman"/>
          <w:sz w:val="22"/>
          <w:szCs w:val="22"/>
        </w:rPr>
        <w:t>UGTs</w:t>
      </w:r>
      <w:proofErr w:type="spellEnd"/>
      <w:r w:rsidRPr="00E3110F">
        <w:rPr>
          <w:rFonts w:eastAsia="Times New Roman"/>
          <w:sz w:val="22"/>
          <w:szCs w:val="22"/>
        </w:rPr>
        <w:t xml:space="preserve">]) bolo spojené s prechodným (približne 2-násobným) zvýšením expozície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po podaní úvodných dávok zdravým dobrovoľníkom. Podávanie </w:t>
      </w:r>
      <w:proofErr w:type="spellStart"/>
      <w:r w:rsidRPr="00E3110F">
        <w:rPr>
          <w:rFonts w:eastAsia="Times New Roman"/>
          <w:sz w:val="22"/>
          <w:szCs w:val="22"/>
        </w:rPr>
        <w:t>rifampicínu</w:t>
      </w:r>
      <w:proofErr w:type="spellEnd"/>
      <w:r w:rsidRPr="00E3110F">
        <w:rPr>
          <w:rFonts w:eastAsia="Times New Roman"/>
          <w:sz w:val="22"/>
          <w:szCs w:val="22"/>
        </w:rPr>
        <w:t xml:space="preserve"> v rovnovážnom stave však na 8. deň nemalo klinicky významný vplyv na expozíciu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. Pacienti užívajúci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majú byť starostlivo sledovaní pri začatí liečby </w:t>
      </w:r>
      <w:proofErr w:type="spellStart"/>
      <w:r w:rsidRPr="00E3110F">
        <w:rPr>
          <w:rFonts w:eastAsia="Times New Roman"/>
          <w:sz w:val="22"/>
          <w:szCs w:val="22"/>
        </w:rPr>
        <w:t>rifampicínom</w:t>
      </w:r>
      <w:proofErr w:type="spellEnd"/>
      <w:r w:rsidRPr="00E3110F">
        <w:rPr>
          <w:rFonts w:eastAsia="Times New Roman"/>
          <w:sz w:val="22"/>
          <w:szCs w:val="22"/>
        </w:rPr>
        <w:t xml:space="preserve"> (pozri časti 4.4 a 5.2).</w:t>
      </w:r>
    </w:p>
    <w:p w14:paraId="5EEBCC0C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16FFD2C3" w14:textId="2D032156" w:rsidR="002F0FC5" w:rsidRPr="00E3110F" w:rsidRDefault="00E07F19">
      <w:pPr>
        <w:keepNext/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 xml:space="preserve">Inhibítory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fosfodiesterázy</w:t>
      </w:r>
      <w:proofErr w:type="spellEnd"/>
    </w:p>
    <w:p w14:paraId="49583742" w14:textId="61C36576" w:rsidR="005F02BE" w:rsidRPr="00E3110F" w:rsidRDefault="005F02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Súbežné podávanie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s inhibítorom </w:t>
      </w:r>
      <w:proofErr w:type="spellStart"/>
      <w:r w:rsidRPr="00E3110F">
        <w:rPr>
          <w:rFonts w:eastAsia="Times New Roman"/>
          <w:sz w:val="22"/>
          <w:szCs w:val="22"/>
        </w:rPr>
        <w:t>fosfodiesterázy</w:t>
      </w:r>
      <w:proofErr w:type="spellEnd"/>
      <w:r w:rsidRPr="00E3110F">
        <w:rPr>
          <w:rFonts w:eastAsia="Times New Roman"/>
          <w:sz w:val="22"/>
          <w:szCs w:val="22"/>
        </w:rPr>
        <w:t xml:space="preserve">, buď so </w:t>
      </w:r>
      <w:proofErr w:type="spellStart"/>
      <w:r w:rsidRPr="00E3110F">
        <w:rPr>
          <w:rFonts w:eastAsia="Times New Roman"/>
          <w:sz w:val="22"/>
          <w:szCs w:val="22"/>
        </w:rPr>
        <w:t>sildenafilom</w:t>
      </w:r>
      <w:proofErr w:type="spellEnd"/>
      <w:r w:rsidRPr="00E3110F">
        <w:rPr>
          <w:rFonts w:eastAsia="Times New Roman"/>
          <w:sz w:val="22"/>
          <w:szCs w:val="22"/>
        </w:rPr>
        <w:t xml:space="preserve"> alebo </w:t>
      </w:r>
      <w:proofErr w:type="spellStart"/>
      <w:r w:rsidRPr="00E3110F">
        <w:rPr>
          <w:rFonts w:eastAsia="Times New Roman"/>
          <w:sz w:val="22"/>
          <w:szCs w:val="22"/>
        </w:rPr>
        <w:t>tadalafilom</w:t>
      </w:r>
      <w:proofErr w:type="spellEnd"/>
      <w:r w:rsidRPr="00E3110F">
        <w:rPr>
          <w:rFonts w:eastAsia="Times New Roman"/>
          <w:sz w:val="22"/>
          <w:szCs w:val="22"/>
        </w:rPr>
        <w:t xml:space="preserve"> (oba sú substráty pre CYP3A4), zdravým dobrovoľníkom významne neovplyvnilo </w:t>
      </w:r>
      <w:proofErr w:type="spellStart"/>
      <w:r w:rsidRPr="00E3110F">
        <w:rPr>
          <w:rFonts w:eastAsia="Times New Roman"/>
          <w:sz w:val="22"/>
          <w:szCs w:val="22"/>
        </w:rPr>
        <w:t>farmakokinetiku</w:t>
      </w:r>
      <w:proofErr w:type="spellEnd"/>
      <w:r w:rsidRPr="00E3110F">
        <w:rPr>
          <w:rFonts w:eastAsia="Times New Roman"/>
          <w:sz w:val="22"/>
          <w:szCs w:val="22"/>
        </w:rPr>
        <w:t xml:space="preserve"> inhibítora </w:t>
      </w:r>
      <w:proofErr w:type="spellStart"/>
      <w:r w:rsidRPr="00E3110F">
        <w:rPr>
          <w:rFonts w:eastAsia="Times New Roman"/>
          <w:sz w:val="22"/>
          <w:szCs w:val="22"/>
        </w:rPr>
        <w:t>fosfodiesterázy</w:t>
      </w:r>
      <w:proofErr w:type="spellEnd"/>
      <w:r w:rsidRPr="00E3110F">
        <w:rPr>
          <w:rFonts w:eastAsia="Times New Roman"/>
          <w:sz w:val="22"/>
          <w:szCs w:val="22"/>
        </w:rPr>
        <w:t xml:space="preserve"> alebo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(pozri časť 5.2).</w:t>
      </w:r>
    </w:p>
    <w:p w14:paraId="4CDA17C1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65CE1B8E" w14:textId="16FD4850" w:rsidR="002F0FC5" w:rsidRPr="00E3110F" w:rsidRDefault="00E07F19">
      <w:pPr>
        <w:keepNext/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>Iné cielené liečby</w:t>
      </w:r>
      <w:r w:rsidR="005F02BE" w:rsidRPr="00E3110F">
        <w:rPr>
          <w:rFonts w:eastAsia="Times New Roman"/>
          <w:sz w:val="22"/>
          <w:szCs w:val="22"/>
          <w:u w:val="single"/>
        </w:rPr>
        <w:t xml:space="preserve"> </w:t>
      </w:r>
      <w:r w:rsidR="009B73DC" w:rsidRPr="00E3110F">
        <w:rPr>
          <w:rFonts w:eastAsia="Times New Roman"/>
          <w:sz w:val="22"/>
          <w:szCs w:val="22"/>
          <w:u w:val="single"/>
        </w:rPr>
        <w:t>PAH</w:t>
      </w:r>
    </w:p>
    <w:p w14:paraId="6338B588" w14:textId="20184B51" w:rsidR="005F02BE" w:rsidRPr="00E3110F" w:rsidRDefault="005F02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Účinnosť a bezpečnosť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, keď sa podával súbežne s inými liekmi na PAH (napr. s </w:t>
      </w:r>
      <w:proofErr w:type="spellStart"/>
      <w:r w:rsidRPr="00E3110F">
        <w:rPr>
          <w:rFonts w:eastAsia="Times New Roman"/>
          <w:sz w:val="22"/>
          <w:szCs w:val="22"/>
        </w:rPr>
        <w:t>prostanoidmi</w:t>
      </w:r>
      <w:proofErr w:type="spellEnd"/>
      <w:r w:rsidRPr="00E3110F">
        <w:rPr>
          <w:rFonts w:eastAsia="Times New Roman"/>
          <w:sz w:val="22"/>
          <w:szCs w:val="22"/>
        </w:rPr>
        <w:t xml:space="preserve"> a so stimulátormi rozpustnej </w:t>
      </w:r>
      <w:proofErr w:type="spellStart"/>
      <w:r w:rsidRPr="00E3110F">
        <w:rPr>
          <w:rFonts w:eastAsia="Times New Roman"/>
          <w:sz w:val="22"/>
          <w:szCs w:val="22"/>
        </w:rPr>
        <w:t>guanylátcyklázy</w:t>
      </w:r>
      <w:proofErr w:type="spellEnd"/>
      <w:r w:rsidRPr="00E3110F">
        <w:rPr>
          <w:rFonts w:eastAsia="Times New Roman"/>
          <w:sz w:val="22"/>
          <w:szCs w:val="22"/>
        </w:rPr>
        <w:t xml:space="preserve">), sa špecificky nesledovali v kontrolovaných klinických skúšaniach u pacientov s PAH (pozri časť 5.1). Na základe známych údajov o </w:t>
      </w:r>
      <w:proofErr w:type="spellStart"/>
      <w:r w:rsidRPr="00E3110F">
        <w:rPr>
          <w:rFonts w:eastAsia="Times New Roman"/>
          <w:sz w:val="22"/>
          <w:szCs w:val="22"/>
        </w:rPr>
        <w:t>biotransformácii</w:t>
      </w:r>
      <w:proofErr w:type="spellEnd"/>
      <w:r w:rsidRPr="00E3110F">
        <w:rPr>
          <w:rFonts w:eastAsia="Times New Roman"/>
          <w:sz w:val="22"/>
          <w:szCs w:val="22"/>
        </w:rPr>
        <w:t xml:space="preserve"> sa nepredpokladajú žiadne špecifické liekové interakcie so stimulátormi rozpustnej </w:t>
      </w:r>
      <w:proofErr w:type="spellStart"/>
      <w:r w:rsidRPr="00E3110F">
        <w:rPr>
          <w:rFonts w:eastAsia="Times New Roman"/>
          <w:sz w:val="22"/>
          <w:szCs w:val="22"/>
        </w:rPr>
        <w:t>guanylátcyklázy</w:t>
      </w:r>
      <w:proofErr w:type="spellEnd"/>
      <w:r w:rsidRPr="00E3110F">
        <w:rPr>
          <w:rFonts w:eastAsia="Times New Roman"/>
          <w:sz w:val="22"/>
          <w:szCs w:val="22"/>
        </w:rPr>
        <w:t xml:space="preserve"> ani s </w:t>
      </w:r>
      <w:proofErr w:type="spellStart"/>
      <w:r w:rsidRPr="00E3110F">
        <w:rPr>
          <w:rFonts w:eastAsia="Times New Roman"/>
          <w:sz w:val="22"/>
          <w:szCs w:val="22"/>
        </w:rPr>
        <w:t>prostanoidmi</w:t>
      </w:r>
      <w:proofErr w:type="spellEnd"/>
      <w:r w:rsidRPr="00E3110F">
        <w:rPr>
          <w:rFonts w:eastAsia="Times New Roman"/>
          <w:sz w:val="22"/>
          <w:szCs w:val="22"/>
        </w:rPr>
        <w:t xml:space="preserve"> (pozri časť 5.2). S týmito liekmi sa však neuskutočnili žiadne štúdie špecifických liekových interakcií. V prípade ich súbežného podávania sa preto odporúča obozretnosť.</w:t>
      </w:r>
    </w:p>
    <w:p w14:paraId="493EC853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0897F1C5" w14:textId="7E7DB3C1" w:rsidR="002F0FC5" w:rsidRPr="00E3110F" w:rsidRDefault="00E07F19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>Perorálna antikoncepcia</w:t>
      </w:r>
    </w:p>
    <w:p w14:paraId="7688275C" w14:textId="3D22B14B" w:rsidR="005F02BE" w:rsidRPr="00E3110F" w:rsidRDefault="005F02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klinickej štúdii u zdravých dobrovoľníkov podávanie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v rovnovážnom stave v dávke 10 mg jedenkrát denne významne nezmenilo </w:t>
      </w:r>
      <w:proofErr w:type="spellStart"/>
      <w:r w:rsidRPr="00E3110F">
        <w:rPr>
          <w:rFonts w:eastAsia="Times New Roman"/>
          <w:sz w:val="22"/>
          <w:szCs w:val="22"/>
        </w:rPr>
        <w:t>farmakokinetiku</w:t>
      </w:r>
      <w:proofErr w:type="spellEnd"/>
      <w:r w:rsidRPr="00E3110F">
        <w:rPr>
          <w:rFonts w:eastAsia="Times New Roman"/>
          <w:sz w:val="22"/>
          <w:szCs w:val="22"/>
        </w:rPr>
        <w:t xml:space="preserve"> jednorazovej dávky </w:t>
      </w:r>
      <w:proofErr w:type="spellStart"/>
      <w:r w:rsidRPr="00E3110F">
        <w:rPr>
          <w:rFonts w:eastAsia="Times New Roman"/>
          <w:sz w:val="22"/>
          <w:szCs w:val="22"/>
        </w:rPr>
        <w:t>etinylestradiolu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noretindrónu</w:t>
      </w:r>
      <w:proofErr w:type="spellEnd"/>
      <w:r w:rsidRPr="00E3110F">
        <w:rPr>
          <w:rFonts w:eastAsia="Times New Roman"/>
          <w:sz w:val="22"/>
          <w:szCs w:val="22"/>
        </w:rPr>
        <w:t xml:space="preserve"> obsiahnutých v kombinovanej perorálnej antikoncepcii (pozri časť 5.2). Na základe tejto </w:t>
      </w:r>
      <w:proofErr w:type="spellStart"/>
      <w:r w:rsidRPr="00E3110F">
        <w:rPr>
          <w:rFonts w:eastAsia="Times New Roman"/>
          <w:sz w:val="22"/>
          <w:szCs w:val="22"/>
        </w:rPr>
        <w:t>farmakokinetickej</w:t>
      </w:r>
      <w:proofErr w:type="spellEnd"/>
      <w:r w:rsidRPr="00E3110F">
        <w:rPr>
          <w:rFonts w:eastAsia="Times New Roman"/>
          <w:sz w:val="22"/>
          <w:szCs w:val="22"/>
        </w:rPr>
        <w:t xml:space="preserve"> štúdie sa neočakáva, že 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významne ovplyvnil expozíciu antikoncepcie založenej na estrogénoch alebo </w:t>
      </w:r>
      <w:proofErr w:type="spellStart"/>
      <w:r w:rsidRPr="00E3110F">
        <w:rPr>
          <w:rFonts w:eastAsia="Times New Roman"/>
          <w:sz w:val="22"/>
          <w:szCs w:val="22"/>
        </w:rPr>
        <w:t>progestagéne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7A78D5A1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08A874F5" w14:textId="5E620E84" w:rsidR="002F0FC5" w:rsidRPr="00E3110F" w:rsidRDefault="009B73DC">
      <w:pPr>
        <w:contextualSpacing/>
        <w:jc w:val="left"/>
        <w:rPr>
          <w:rFonts w:eastAsia="Times New Roman"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sz w:val="22"/>
          <w:szCs w:val="22"/>
          <w:u w:val="single"/>
        </w:rPr>
        <w:t>Warfar</w:t>
      </w:r>
      <w:r w:rsidR="00E07F19" w:rsidRPr="00E3110F">
        <w:rPr>
          <w:rFonts w:eastAsia="Times New Roman"/>
          <w:sz w:val="22"/>
          <w:szCs w:val="22"/>
          <w:u w:val="single"/>
        </w:rPr>
        <w:t>í</w:t>
      </w:r>
      <w:r w:rsidRPr="00E3110F">
        <w:rPr>
          <w:rFonts w:eastAsia="Times New Roman"/>
          <w:sz w:val="22"/>
          <w:szCs w:val="22"/>
          <w:u w:val="single"/>
        </w:rPr>
        <w:t>n</w:t>
      </w:r>
      <w:proofErr w:type="spellEnd"/>
    </w:p>
    <w:p w14:paraId="56268480" w14:textId="020FB8BD" w:rsidR="005F02BE" w:rsidRPr="00E3110F" w:rsidRDefault="005F02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štúdii u zdravých dobrovoľníkov nemal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žiadny vplyv na rovnovážne </w:t>
      </w:r>
      <w:proofErr w:type="spellStart"/>
      <w:r w:rsidRPr="00E3110F">
        <w:rPr>
          <w:rFonts w:eastAsia="Times New Roman"/>
          <w:sz w:val="22"/>
          <w:szCs w:val="22"/>
        </w:rPr>
        <w:t>farmakokinetické</w:t>
      </w:r>
      <w:proofErr w:type="spellEnd"/>
      <w:r w:rsidRPr="00E3110F">
        <w:rPr>
          <w:rFonts w:eastAsia="Times New Roman"/>
          <w:sz w:val="22"/>
          <w:szCs w:val="22"/>
        </w:rPr>
        <w:t xml:space="preserve"> parametre a </w:t>
      </w:r>
      <w:proofErr w:type="spellStart"/>
      <w:r w:rsidRPr="00E3110F">
        <w:rPr>
          <w:rFonts w:eastAsia="Times New Roman"/>
          <w:sz w:val="22"/>
          <w:szCs w:val="22"/>
        </w:rPr>
        <w:t>antikoagulačný</w:t>
      </w:r>
      <w:proofErr w:type="spellEnd"/>
      <w:r w:rsidRPr="00E3110F">
        <w:rPr>
          <w:rFonts w:eastAsia="Times New Roman"/>
          <w:sz w:val="22"/>
          <w:szCs w:val="22"/>
        </w:rPr>
        <w:t xml:space="preserve"> účinok </w:t>
      </w:r>
      <w:proofErr w:type="spellStart"/>
      <w:r w:rsidRPr="00E3110F">
        <w:rPr>
          <w:rFonts w:eastAsia="Times New Roman"/>
          <w:sz w:val="22"/>
          <w:szCs w:val="22"/>
        </w:rPr>
        <w:t>warfarínu</w:t>
      </w:r>
      <w:proofErr w:type="spellEnd"/>
      <w:r w:rsidRPr="00E3110F">
        <w:rPr>
          <w:rFonts w:eastAsia="Times New Roman"/>
          <w:sz w:val="22"/>
          <w:szCs w:val="22"/>
        </w:rPr>
        <w:t xml:space="preserve"> (pozri časť 5.2). </w:t>
      </w:r>
      <w:proofErr w:type="spellStart"/>
      <w:r w:rsidRPr="00E3110F">
        <w:rPr>
          <w:rFonts w:eastAsia="Times New Roman"/>
          <w:sz w:val="22"/>
          <w:szCs w:val="22"/>
        </w:rPr>
        <w:t>Warfarín</w:t>
      </w:r>
      <w:proofErr w:type="spellEnd"/>
      <w:r w:rsidRPr="00E3110F">
        <w:rPr>
          <w:rFonts w:eastAsia="Times New Roman"/>
          <w:sz w:val="22"/>
          <w:szCs w:val="22"/>
        </w:rPr>
        <w:t xml:space="preserve"> taktiež nemal klinicky významný vplyv na </w:t>
      </w:r>
      <w:proofErr w:type="spellStart"/>
      <w:r w:rsidRPr="00E3110F">
        <w:rPr>
          <w:rFonts w:eastAsia="Times New Roman"/>
          <w:sz w:val="22"/>
          <w:szCs w:val="22"/>
        </w:rPr>
        <w:t>farmakokinetiku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.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okrem toho nemal u pacientov žiadny celkový vplyv na týždennú dávku </w:t>
      </w:r>
      <w:proofErr w:type="spellStart"/>
      <w:r w:rsidRPr="00E3110F">
        <w:rPr>
          <w:rFonts w:eastAsia="Times New Roman"/>
          <w:sz w:val="22"/>
          <w:szCs w:val="22"/>
        </w:rPr>
        <w:t>antikoagulancia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warfarínového</w:t>
      </w:r>
      <w:proofErr w:type="spellEnd"/>
      <w:r w:rsidRPr="00E3110F">
        <w:rPr>
          <w:rFonts w:eastAsia="Times New Roman"/>
          <w:sz w:val="22"/>
          <w:szCs w:val="22"/>
        </w:rPr>
        <w:t xml:space="preserve"> typu, na </w:t>
      </w:r>
      <w:proofErr w:type="spellStart"/>
      <w:r w:rsidRPr="00E3110F">
        <w:rPr>
          <w:rFonts w:eastAsia="Times New Roman"/>
          <w:sz w:val="22"/>
          <w:szCs w:val="22"/>
        </w:rPr>
        <w:t>protrombínový</w:t>
      </w:r>
      <w:proofErr w:type="spellEnd"/>
      <w:r w:rsidRPr="00E3110F">
        <w:rPr>
          <w:rFonts w:eastAsia="Times New Roman"/>
          <w:sz w:val="22"/>
          <w:szCs w:val="22"/>
        </w:rPr>
        <w:t xml:space="preserve"> čas (</w:t>
      </w:r>
      <w:proofErr w:type="spellStart"/>
      <w:r w:rsidRPr="00E3110F">
        <w:rPr>
          <w:rFonts w:eastAsia="Times New Roman"/>
          <w:sz w:val="22"/>
          <w:szCs w:val="22"/>
        </w:rPr>
        <w:t>Pothrombin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Time</w:t>
      </w:r>
      <w:proofErr w:type="spellEnd"/>
      <w:r w:rsidRPr="00E3110F">
        <w:rPr>
          <w:rFonts w:eastAsia="Times New Roman"/>
          <w:sz w:val="22"/>
          <w:szCs w:val="22"/>
        </w:rPr>
        <w:t xml:space="preserve">, PT) a medzinárodný normalizovaný pomer (International </w:t>
      </w:r>
      <w:proofErr w:type="spellStart"/>
      <w:r w:rsidRPr="00E3110F">
        <w:rPr>
          <w:rFonts w:eastAsia="Times New Roman"/>
          <w:sz w:val="22"/>
          <w:szCs w:val="22"/>
        </w:rPr>
        <w:t>Normalized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Ratio</w:t>
      </w:r>
      <w:proofErr w:type="spellEnd"/>
      <w:r w:rsidRPr="00E3110F">
        <w:rPr>
          <w:rFonts w:eastAsia="Times New Roman"/>
          <w:sz w:val="22"/>
          <w:szCs w:val="22"/>
        </w:rPr>
        <w:t>, INR).</w:t>
      </w:r>
    </w:p>
    <w:p w14:paraId="07319C4F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1546337B" w14:textId="420DE0A5" w:rsidR="002F0FC5" w:rsidRPr="00E3110F" w:rsidRDefault="009B73DC">
      <w:pPr>
        <w:contextualSpacing/>
        <w:jc w:val="left"/>
        <w:rPr>
          <w:rFonts w:eastAsia="Times New Roman"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sz w:val="22"/>
          <w:szCs w:val="22"/>
          <w:u w:val="single"/>
        </w:rPr>
        <w:t>Keto</w:t>
      </w:r>
      <w:r w:rsidR="00E07F19" w:rsidRPr="00E3110F">
        <w:rPr>
          <w:rFonts w:eastAsia="Times New Roman"/>
          <w:sz w:val="22"/>
          <w:szCs w:val="22"/>
          <w:u w:val="single"/>
        </w:rPr>
        <w:t>k</w:t>
      </w:r>
      <w:r w:rsidRPr="00E3110F">
        <w:rPr>
          <w:rFonts w:eastAsia="Times New Roman"/>
          <w:sz w:val="22"/>
          <w:szCs w:val="22"/>
          <w:u w:val="single"/>
        </w:rPr>
        <w:t>onazol</w:t>
      </w:r>
      <w:proofErr w:type="spellEnd"/>
    </w:p>
    <w:p w14:paraId="3013431B" w14:textId="302EDEF6" w:rsidR="00565BF0" w:rsidRPr="00E3110F" w:rsidRDefault="00565BF0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Podávanie </w:t>
      </w:r>
      <w:proofErr w:type="spellStart"/>
      <w:r w:rsidRPr="00E3110F">
        <w:rPr>
          <w:rFonts w:eastAsia="Times New Roman"/>
          <w:sz w:val="22"/>
          <w:szCs w:val="22"/>
        </w:rPr>
        <w:t>ketokonazolu</w:t>
      </w:r>
      <w:proofErr w:type="spellEnd"/>
      <w:r w:rsidRPr="00E3110F">
        <w:rPr>
          <w:rFonts w:eastAsia="Times New Roman"/>
          <w:sz w:val="22"/>
          <w:szCs w:val="22"/>
        </w:rPr>
        <w:t xml:space="preserve"> (silný inhibítor CYP3A4) v rovnovážnom stave neviedlo ku klinicky významnému zvýšeniu expozície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(pozri časť 5.2).</w:t>
      </w:r>
    </w:p>
    <w:p w14:paraId="2AA06B25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673B2B2D" w14:textId="112C54F8" w:rsidR="002F0FC5" w:rsidRPr="00E3110F" w:rsidRDefault="00E07F19">
      <w:pPr>
        <w:keepNext/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 xml:space="preserve">Vplyv </w:t>
      </w:r>
      <w:proofErr w:type="spellStart"/>
      <w:r w:rsidR="007D388A">
        <w:rPr>
          <w:rFonts w:eastAsia="Times New Roman"/>
          <w:sz w:val="22"/>
          <w:szCs w:val="22"/>
          <w:u w:val="single"/>
        </w:rPr>
        <w:t>ambrisentán</w:t>
      </w:r>
      <w:r w:rsidRPr="00E3110F">
        <w:rPr>
          <w:rFonts w:eastAsia="Times New Roman"/>
          <w:sz w:val="22"/>
          <w:szCs w:val="22"/>
          <w:u w:val="single"/>
        </w:rPr>
        <w:t>u</w:t>
      </w:r>
      <w:proofErr w:type="spellEnd"/>
      <w:r w:rsidRPr="00E3110F">
        <w:rPr>
          <w:rFonts w:eastAsia="Times New Roman"/>
          <w:sz w:val="22"/>
          <w:szCs w:val="22"/>
          <w:u w:val="single"/>
        </w:rPr>
        <w:t xml:space="preserve"> na transportéry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xenobiotík</w:t>
      </w:r>
      <w:proofErr w:type="spellEnd"/>
    </w:p>
    <w:p w14:paraId="3A72EEE4" w14:textId="0B270B65" w:rsidR="00565BF0" w:rsidRPr="00E3110F" w:rsidRDefault="007D388A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v klinicky významných koncentráciách nemá </w:t>
      </w:r>
      <w:r w:rsidR="00565BF0" w:rsidRPr="00E3110F">
        <w:rPr>
          <w:rFonts w:eastAsia="Times New Roman"/>
          <w:i/>
          <w:iCs/>
          <w:sz w:val="22"/>
          <w:szCs w:val="22"/>
        </w:rPr>
        <w:t>in vitro</w:t>
      </w:r>
      <w:r w:rsidR="00565BF0" w:rsidRPr="00E3110F">
        <w:rPr>
          <w:rFonts w:eastAsia="Times New Roman"/>
          <w:sz w:val="22"/>
          <w:szCs w:val="22"/>
        </w:rPr>
        <w:t xml:space="preserve"> inhibičný vplyv na ľudské transportéry vrátane P-</w:t>
      </w:r>
      <w:proofErr w:type="spellStart"/>
      <w:r w:rsidR="00565BF0" w:rsidRPr="00E3110F">
        <w:rPr>
          <w:rFonts w:eastAsia="Times New Roman"/>
          <w:sz w:val="22"/>
          <w:szCs w:val="22"/>
        </w:rPr>
        <w:t>glykoproteínu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(</w:t>
      </w:r>
      <w:proofErr w:type="spellStart"/>
      <w:r w:rsidR="00565BF0" w:rsidRPr="00E3110F">
        <w:rPr>
          <w:rFonts w:eastAsia="Times New Roman"/>
          <w:sz w:val="22"/>
          <w:szCs w:val="22"/>
        </w:rPr>
        <w:t>Pgp</w:t>
      </w:r>
      <w:proofErr w:type="spellEnd"/>
      <w:r w:rsidR="00565BF0" w:rsidRPr="00E3110F">
        <w:rPr>
          <w:rFonts w:eastAsia="Times New Roman"/>
          <w:sz w:val="22"/>
          <w:szCs w:val="22"/>
        </w:rPr>
        <w:t>), proteínu zodpovedného za rezistenciu pri rakovine prsníka (</w:t>
      </w:r>
      <w:proofErr w:type="spellStart"/>
      <w:r w:rsidR="00565BF0" w:rsidRPr="00E3110F">
        <w:rPr>
          <w:rFonts w:eastAsia="Times New Roman"/>
          <w:sz w:val="22"/>
          <w:szCs w:val="22"/>
        </w:rPr>
        <w:t>breast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cancer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resistance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protein</w:t>
      </w:r>
      <w:proofErr w:type="spellEnd"/>
      <w:r w:rsidR="00565BF0" w:rsidRPr="00E3110F">
        <w:rPr>
          <w:rFonts w:eastAsia="Times New Roman"/>
          <w:sz w:val="22"/>
          <w:szCs w:val="22"/>
        </w:rPr>
        <w:t>, BCRP), proteínu 2 súvisiaceho s mnohopočetnou liekovou rezistenciou (</w:t>
      </w:r>
      <w:proofErr w:type="spellStart"/>
      <w:r w:rsidR="00565BF0" w:rsidRPr="00E3110F">
        <w:rPr>
          <w:rFonts w:eastAsia="Times New Roman"/>
          <w:sz w:val="22"/>
          <w:szCs w:val="22"/>
        </w:rPr>
        <w:t>multi-drug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resistance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related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protein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2, MRP2), transportnej pumpy solí žlčových kyselín (</w:t>
      </w:r>
      <w:proofErr w:type="spellStart"/>
      <w:r w:rsidR="00565BF0" w:rsidRPr="00E3110F">
        <w:rPr>
          <w:rFonts w:eastAsia="Times New Roman"/>
          <w:sz w:val="22"/>
          <w:szCs w:val="22"/>
        </w:rPr>
        <w:t>bile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salt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export </w:t>
      </w:r>
      <w:proofErr w:type="spellStart"/>
      <w:r w:rsidR="00565BF0" w:rsidRPr="00E3110F">
        <w:rPr>
          <w:rFonts w:eastAsia="Times New Roman"/>
          <w:sz w:val="22"/>
          <w:szCs w:val="22"/>
        </w:rPr>
        <w:t>pump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, BSEP), transportných </w:t>
      </w:r>
      <w:proofErr w:type="spellStart"/>
      <w:r w:rsidR="00565BF0" w:rsidRPr="00E3110F">
        <w:rPr>
          <w:rFonts w:eastAsia="Times New Roman"/>
          <w:sz w:val="22"/>
          <w:szCs w:val="22"/>
        </w:rPr>
        <w:t>polypeptidov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organických aniónov (</w:t>
      </w:r>
      <w:proofErr w:type="spellStart"/>
      <w:r w:rsidR="00565BF0" w:rsidRPr="00E3110F">
        <w:rPr>
          <w:rFonts w:eastAsia="Times New Roman"/>
          <w:sz w:val="22"/>
          <w:szCs w:val="22"/>
        </w:rPr>
        <w:t>organic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anion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transporting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polype</w:t>
      </w:r>
      <w:r w:rsidR="00CB46DB">
        <w:rPr>
          <w:rFonts w:eastAsia="Times New Roman"/>
          <w:sz w:val="22"/>
          <w:szCs w:val="22"/>
        </w:rPr>
        <w:t>ptides</w:t>
      </w:r>
      <w:proofErr w:type="spellEnd"/>
      <w:r w:rsidR="00CB46DB">
        <w:rPr>
          <w:rFonts w:eastAsia="Times New Roman"/>
          <w:sz w:val="22"/>
          <w:szCs w:val="22"/>
        </w:rPr>
        <w:t xml:space="preserve">, OATP1B1 a OATP1B3) a </w:t>
      </w:r>
      <w:proofErr w:type="spellStart"/>
      <w:r w:rsidR="00CB46DB">
        <w:rPr>
          <w:rFonts w:eastAsia="Times New Roman"/>
          <w:sz w:val="22"/>
          <w:szCs w:val="22"/>
        </w:rPr>
        <w:t>ko</w:t>
      </w:r>
      <w:r w:rsidR="00565BF0" w:rsidRPr="00E3110F">
        <w:rPr>
          <w:rFonts w:eastAsia="Times New Roman"/>
          <w:sz w:val="22"/>
          <w:szCs w:val="22"/>
        </w:rPr>
        <w:t>transportného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polypeptidu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sodíka a </w:t>
      </w:r>
      <w:proofErr w:type="spellStart"/>
      <w:r w:rsidR="00565BF0" w:rsidRPr="00E3110F">
        <w:rPr>
          <w:rFonts w:eastAsia="Times New Roman"/>
          <w:sz w:val="22"/>
          <w:szCs w:val="22"/>
        </w:rPr>
        <w:t>taurocholátu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(</w:t>
      </w:r>
      <w:proofErr w:type="spellStart"/>
      <w:r w:rsidR="00565BF0" w:rsidRPr="00E3110F">
        <w:rPr>
          <w:rFonts w:eastAsia="Times New Roman"/>
          <w:sz w:val="22"/>
          <w:szCs w:val="22"/>
        </w:rPr>
        <w:t>sodium-dependent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taurocholate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co-transporting</w:t>
      </w:r>
      <w:proofErr w:type="spellEnd"/>
      <w:r w:rsidR="00565BF0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565BF0" w:rsidRPr="00E3110F">
        <w:rPr>
          <w:rFonts w:eastAsia="Times New Roman"/>
          <w:sz w:val="22"/>
          <w:szCs w:val="22"/>
        </w:rPr>
        <w:t>polypeptide</w:t>
      </w:r>
      <w:proofErr w:type="spellEnd"/>
      <w:r w:rsidR="00565BF0" w:rsidRPr="00E3110F">
        <w:rPr>
          <w:rFonts w:eastAsia="Times New Roman"/>
          <w:sz w:val="22"/>
          <w:szCs w:val="22"/>
        </w:rPr>
        <w:t>, NTCP).</w:t>
      </w:r>
    </w:p>
    <w:p w14:paraId="3059C009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B329E72" w14:textId="7731FBE9" w:rsidR="006548BC" w:rsidRPr="00E3110F" w:rsidRDefault="007D388A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6548BC" w:rsidRPr="00E3110F">
        <w:rPr>
          <w:rFonts w:eastAsia="Times New Roman"/>
          <w:sz w:val="22"/>
          <w:szCs w:val="22"/>
        </w:rPr>
        <w:t xml:space="preserve"> je substrát pre </w:t>
      </w:r>
      <w:proofErr w:type="spellStart"/>
      <w:r w:rsidR="006548BC" w:rsidRPr="00E3110F">
        <w:rPr>
          <w:rFonts w:eastAsia="Times New Roman"/>
          <w:sz w:val="22"/>
          <w:szCs w:val="22"/>
        </w:rPr>
        <w:t>eflux</w:t>
      </w:r>
      <w:proofErr w:type="spellEnd"/>
      <w:r w:rsidR="00675E06">
        <w:rPr>
          <w:rFonts w:eastAsia="Times New Roman"/>
          <w:sz w:val="22"/>
          <w:szCs w:val="22"/>
        </w:rPr>
        <w:t xml:space="preserve"> sprostredkovaný </w:t>
      </w:r>
      <w:proofErr w:type="spellStart"/>
      <w:r w:rsidR="00675E06">
        <w:rPr>
          <w:rFonts w:eastAsia="Times New Roman"/>
          <w:sz w:val="22"/>
          <w:szCs w:val="22"/>
        </w:rPr>
        <w:t>Pgp</w:t>
      </w:r>
      <w:proofErr w:type="spellEnd"/>
      <w:r w:rsidR="006548BC" w:rsidRPr="00E3110F">
        <w:rPr>
          <w:rFonts w:eastAsia="Times New Roman"/>
          <w:sz w:val="22"/>
          <w:szCs w:val="22"/>
        </w:rPr>
        <w:t>.</w:t>
      </w:r>
    </w:p>
    <w:p w14:paraId="00B630DF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0659A66B" w14:textId="539A1D5E" w:rsidR="006548BC" w:rsidRPr="00E3110F" w:rsidRDefault="006548B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Štúdie </w:t>
      </w:r>
      <w:r w:rsidRPr="00E3110F">
        <w:rPr>
          <w:rFonts w:eastAsia="Times New Roman"/>
          <w:i/>
          <w:iCs/>
          <w:sz w:val="22"/>
          <w:szCs w:val="22"/>
        </w:rPr>
        <w:t>in vitro</w:t>
      </w:r>
      <w:r w:rsidRPr="00E3110F">
        <w:rPr>
          <w:rFonts w:eastAsia="Times New Roman"/>
          <w:sz w:val="22"/>
          <w:szCs w:val="22"/>
        </w:rPr>
        <w:t xml:space="preserve"> na potkaních </w:t>
      </w:r>
      <w:proofErr w:type="spellStart"/>
      <w:r w:rsidRPr="00E3110F">
        <w:rPr>
          <w:rFonts w:eastAsia="Times New Roman"/>
          <w:sz w:val="22"/>
          <w:szCs w:val="22"/>
        </w:rPr>
        <w:t>hepatocytoch</w:t>
      </w:r>
      <w:proofErr w:type="spellEnd"/>
      <w:r w:rsidRPr="00E3110F">
        <w:rPr>
          <w:rFonts w:eastAsia="Times New Roman"/>
          <w:sz w:val="22"/>
          <w:szCs w:val="22"/>
        </w:rPr>
        <w:t xml:space="preserve"> taktiež ukázali, že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neindukoval </w:t>
      </w:r>
      <w:proofErr w:type="spellStart"/>
      <w:r w:rsidRPr="00E3110F">
        <w:rPr>
          <w:rFonts w:eastAsia="Times New Roman"/>
          <w:sz w:val="22"/>
          <w:szCs w:val="22"/>
        </w:rPr>
        <w:t>expresiu</w:t>
      </w:r>
      <w:proofErr w:type="spellEnd"/>
      <w:r w:rsidRPr="00E3110F">
        <w:rPr>
          <w:rFonts w:eastAsia="Times New Roman"/>
          <w:sz w:val="22"/>
          <w:szCs w:val="22"/>
        </w:rPr>
        <w:t xml:space="preserve"> proteínov </w:t>
      </w:r>
      <w:proofErr w:type="spellStart"/>
      <w:r w:rsidRPr="00E3110F">
        <w:rPr>
          <w:rFonts w:eastAsia="Times New Roman"/>
          <w:sz w:val="22"/>
          <w:szCs w:val="22"/>
        </w:rPr>
        <w:t>Pgp</w:t>
      </w:r>
      <w:proofErr w:type="spellEnd"/>
      <w:r w:rsidRPr="00E3110F">
        <w:rPr>
          <w:rFonts w:eastAsia="Times New Roman"/>
          <w:sz w:val="22"/>
          <w:szCs w:val="22"/>
        </w:rPr>
        <w:t>, BSEP alebo MRP2.</w:t>
      </w:r>
    </w:p>
    <w:p w14:paraId="3157BF89" w14:textId="09BEF9C0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32B2C8F0" w14:textId="5A658593" w:rsidR="006548BC" w:rsidRPr="00E3110F" w:rsidRDefault="007D388A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6548BC" w:rsidRPr="00E3110F">
        <w:rPr>
          <w:rFonts w:eastAsia="Times New Roman"/>
          <w:sz w:val="22"/>
          <w:szCs w:val="22"/>
        </w:rPr>
        <w:t xml:space="preserve"> v rovnovážnom stave podávaný zdravým dobrovoľníkom nemal klinicky významný vplyv na </w:t>
      </w:r>
      <w:proofErr w:type="spellStart"/>
      <w:r w:rsidR="006548BC" w:rsidRPr="00E3110F">
        <w:rPr>
          <w:rFonts w:eastAsia="Times New Roman"/>
          <w:sz w:val="22"/>
          <w:szCs w:val="22"/>
        </w:rPr>
        <w:t>farmakokinetiku</w:t>
      </w:r>
      <w:proofErr w:type="spellEnd"/>
      <w:r w:rsidR="006548BC" w:rsidRPr="00E3110F">
        <w:rPr>
          <w:rFonts w:eastAsia="Times New Roman"/>
          <w:sz w:val="22"/>
          <w:szCs w:val="22"/>
        </w:rPr>
        <w:t xml:space="preserve"> jednorazovej dávky </w:t>
      </w:r>
      <w:proofErr w:type="spellStart"/>
      <w:r w:rsidR="006548BC" w:rsidRPr="00E3110F">
        <w:rPr>
          <w:rFonts w:eastAsia="Times New Roman"/>
          <w:sz w:val="22"/>
          <w:szCs w:val="22"/>
        </w:rPr>
        <w:t>digoxínu</w:t>
      </w:r>
      <w:proofErr w:type="spellEnd"/>
      <w:r w:rsidR="006548BC" w:rsidRPr="00E3110F">
        <w:rPr>
          <w:rFonts w:eastAsia="Times New Roman"/>
          <w:sz w:val="22"/>
          <w:szCs w:val="22"/>
        </w:rPr>
        <w:t xml:space="preserve">, substrátu pre </w:t>
      </w:r>
      <w:proofErr w:type="spellStart"/>
      <w:r w:rsidR="006548BC" w:rsidRPr="00E3110F">
        <w:rPr>
          <w:rFonts w:eastAsia="Times New Roman"/>
          <w:sz w:val="22"/>
          <w:szCs w:val="22"/>
        </w:rPr>
        <w:t>Pgp</w:t>
      </w:r>
      <w:proofErr w:type="spellEnd"/>
      <w:r w:rsidR="006548BC" w:rsidRPr="00E3110F">
        <w:rPr>
          <w:rFonts w:eastAsia="Times New Roman"/>
          <w:sz w:val="22"/>
          <w:szCs w:val="22"/>
        </w:rPr>
        <w:t xml:space="preserve"> (pozri časť 5.2).</w:t>
      </w:r>
    </w:p>
    <w:p w14:paraId="711C8BA5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6F2621D7" w14:textId="2F018CC6" w:rsidR="002F0FC5" w:rsidRPr="00E3110F" w:rsidRDefault="009B73DC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4.6</w:t>
      </w:r>
      <w:r w:rsidRPr="00E3110F">
        <w:rPr>
          <w:b/>
          <w:sz w:val="22"/>
          <w:szCs w:val="22"/>
        </w:rPr>
        <w:tab/>
      </w:r>
      <w:proofErr w:type="spellStart"/>
      <w:r w:rsidR="00E07F19" w:rsidRPr="00E3110F">
        <w:rPr>
          <w:b/>
          <w:sz w:val="22"/>
          <w:szCs w:val="22"/>
        </w:rPr>
        <w:t>Fertilita</w:t>
      </w:r>
      <w:proofErr w:type="spellEnd"/>
      <w:r w:rsidR="00E07F19" w:rsidRPr="00E3110F">
        <w:rPr>
          <w:b/>
          <w:sz w:val="22"/>
          <w:szCs w:val="22"/>
        </w:rPr>
        <w:t>, gravidita a laktácia</w:t>
      </w:r>
    </w:p>
    <w:p w14:paraId="24ED1A56" w14:textId="77777777" w:rsidR="002F0FC5" w:rsidRPr="00E3110F" w:rsidRDefault="002F0FC5">
      <w:pPr>
        <w:keepNext/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37181801" w14:textId="3D9CE73B" w:rsidR="002F0FC5" w:rsidRPr="00E3110F" w:rsidRDefault="00E07F19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bookmarkStart w:id="12" w:name="PREGNANCY"/>
      <w:bookmarkEnd w:id="11"/>
      <w:r w:rsidRPr="00E3110F">
        <w:rPr>
          <w:rFonts w:eastAsia="Times New Roman"/>
          <w:bCs/>
          <w:sz w:val="22"/>
          <w:szCs w:val="22"/>
          <w:u w:val="single"/>
        </w:rPr>
        <w:t>Ženy vo fertilnom veku</w:t>
      </w:r>
    </w:p>
    <w:p w14:paraId="2E78A5AE" w14:textId="4DCBD226" w:rsidR="008866D8" w:rsidRPr="00E3110F" w:rsidRDefault="008866D8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Liečba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nesmie začať u žien vo fertilnom veku, pokiaľ výsledok tehotenského testu pred začiatkom liečby nie je negatívny a pokiaľ nepoužívajú spoľahlivú antikoncepciu. Počas liečby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odporúča vykonávať tehotenské testy v mesačných intervaloch.</w:t>
      </w:r>
    </w:p>
    <w:p w14:paraId="4F879F0A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</w:p>
    <w:p w14:paraId="20ED108F" w14:textId="733A032C" w:rsidR="002F0FC5" w:rsidRPr="00E3110F" w:rsidRDefault="00E07F19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Gravidita</w:t>
      </w:r>
    </w:p>
    <w:p w14:paraId="2133D1ED" w14:textId="7087363D" w:rsidR="008B0800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rFonts w:eastAsia="Times New Roman"/>
          <w:bCs/>
          <w:sz w:val="22"/>
          <w:szCs w:val="22"/>
        </w:rPr>
        <w:t>Ambrisentán</w:t>
      </w:r>
      <w:proofErr w:type="spellEnd"/>
      <w:r w:rsidR="008B0800" w:rsidRPr="00E3110F">
        <w:rPr>
          <w:rFonts w:eastAsia="Times New Roman"/>
          <w:bCs/>
          <w:sz w:val="22"/>
          <w:szCs w:val="22"/>
        </w:rPr>
        <w:t xml:space="preserve"> je kontraindikovaný počas gravidity (pozri časť 4.3). Štúdie na zvieratách preukázali, že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proofErr w:type="spellEnd"/>
      <w:r w:rsidR="008B0800" w:rsidRPr="00E3110F">
        <w:rPr>
          <w:rFonts w:eastAsia="Times New Roman"/>
          <w:bCs/>
          <w:sz w:val="22"/>
          <w:szCs w:val="22"/>
        </w:rPr>
        <w:t xml:space="preserve"> je </w:t>
      </w:r>
      <w:proofErr w:type="spellStart"/>
      <w:r w:rsidR="008B0800" w:rsidRPr="00E3110F">
        <w:rPr>
          <w:rFonts w:eastAsia="Times New Roman"/>
          <w:bCs/>
          <w:sz w:val="22"/>
          <w:szCs w:val="22"/>
        </w:rPr>
        <w:t>teratogénny</w:t>
      </w:r>
      <w:proofErr w:type="spellEnd"/>
      <w:r w:rsidR="008B0800" w:rsidRPr="00E3110F">
        <w:rPr>
          <w:rFonts w:eastAsia="Times New Roman"/>
          <w:bCs/>
          <w:sz w:val="22"/>
          <w:szCs w:val="22"/>
        </w:rPr>
        <w:t>. Nie sú k dispozícii skúsenosti s použitím u ľudí.</w:t>
      </w:r>
    </w:p>
    <w:p w14:paraId="4C127646" w14:textId="0E38AB83" w:rsidR="008B0800" w:rsidRPr="00E3110F" w:rsidRDefault="008B0800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Ženy liečené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musia byť informované o riziku poškodenia plodu a ak dôjde k otehotneniu, má sa začať alternatívna liečba (pozri časti 4.3, 4.4 a 5.3).</w:t>
      </w:r>
    </w:p>
    <w:p w14:paraId="04BBE5A8" w14:textId="77777777" w:rsidR="00026D79" w:rsidRPr="00E3110F" w:rsidRDefault="00026D79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6E1778CF" w14:textId="3C6E080B" w:rsidR="002F0FC5" w:rsidRPr="00E3110F" w:rsidRDefault="00E07F19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Dojčenie</w:t>
      </w:r>
    </w:p>
    <w:p w14:paraId="41399399" w14:textId="1862C8EA" w:rsidR="008B0800" w:rsidRPr="00E3110F" w:rsidRDefault="008B0800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Nie je známe, či sa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vylučuje d</w:t>
      </w:r>
      <w:r w:rsidR="00CB46DB">
        <w:rPr>
          <w:rFonts w:eastAsia="Times New Roman"/>
          <w:bCs/>
          <w:sz w:val="22"/>
          <w:szCs w:val="22"/>
        </w:rPr>
        <w:t xml:space="preserve">o ľudského materského mlieka. </w:t>
      </w:r>
      <w:r w:rsidRPr="00E3110F">
        <w:rPr>
          <w:rFonts w:eastAsia="Times New Roman"/>
          <w:bCs/>
          <w:sz w:val="22"/>
          <w:szCs w:val="22"/>
        </w:rPr>
        <w:t xml:space="preserve">Vylučovanie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do mlieka sa u zvierat neskúmalo. Z tohto dôvodu je dojčenie kontraindikáciou u </w:t>
      </w:r>
      <w:proofErr w:type="spellStart"/>
      <w:r w:rsidRPr="00E3110F">
        <w:rPr>
          <w:rFonts w:eastAsia="Times New Roman"/>
          <w:bCs/>
          <w:sz w:val="22"/>
          <w:szCs w:val="22"/>
        </w:rPr>
        <w:t>pacientok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užívajúcich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(pozri časť 4.3).</w:t>
      </w:r>
    </w:p>
    <w:p w14:paraId="4F16C794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</w:p>
    <w:p w14:paraId="37F3536E" w14:textId="3D3F2B0D" w:rsidR="002F0FC5" w:rsidRPr="00E3110F" w:rsidRDefault="008D55D4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 xml:space="preserve">Mužská </w:t>
      </w:r>
      <w:proofErr w:type="spellStart"/>
      <w:r w:rsidRPr="00E3110F">
        <w:rPr>
          <w:rFonts w:eastAsia="Times New Roman"/>
          <w:bCs/>
          <w:sz w:val="22"/>
          <w:szCs w:val="22"/>
          <w:u w:val="single"/>
        </w:rPr>
        <w:t>f</w:t>
      </w:r>
      <w:r w:rsidR="009B73DC" w:rsidRPr="00E3110F">
        <w:rPr>
          <w:rFonts w:eastAsia="Times New Roman"/>
          <w:bCs/>
          <w:sz w:val="22"/>
          <w:szCs w:val="22"/>
          <w:u w:val="single"/>
        </w:rPr>
        <w:t>ertilit</w:t>
      </w:r>
      <w:r w:rsidR="00E07F19" w:rsidRPr="00E3110F">
        <w:rPr>
          <w:rFonts w:eastAsia="Times New Roman"/>
          <w:bCs/>
          <w:sz w:val="22"/>
          <w:szCs w:val="22"/>
          <w:u w:val="single"/>
        </w:rPr>
        <w:t>a</w:t>
      </w:r>
      <w:proofErr w:type="spellEnd"/>
    </w:p>
    <w:p w14:paraId="75B27DAC" w14:textId="28820A6C" w:rsidR="008B0800" w:rsidRPr="00E3110F" w:rsidRDefault="008B0800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Dlhodobé podávanie ERA, vrátane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, bolo u samcov spojené so vznikom atrofie semenníkových </w:t>
      </w:r>
      <w:proofErr w:type="spellStart"/>
      <w:r w:rsidRPr="00E3110F">
        <w:rPr>
          <w:rFonts w:eastAsia="Times New Roman"/>
          <w:bCs/>
          <w:sz w:val="22"/>
          <w:szCs w:val="22"/>
        </w:rPr>
        <w:t>tubulov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(pozri časť 5.3). Hoci sa v štúdii ARIES-E nezistili jasné dôkazy o škodlivom </w:t>
      </w:r>
      <w:r w:rsidRPr="00E3110F">
        <w:rPr>
          <w:rFonts w:eastAsia="Times New Roman"/>
          <w:bCs/>
          <w:sz w:val="22"/>
          <w:szCs w:val="22"/>
        </w:rPr>
        <w:lastRenderedPageBreak/>
        <w:t xml:space="preserve">účinku dlhodobej expozície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na počet spermií, dlhodobé podávanie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spájalo so zmenami v </w:t>
      </w:r>
      <w:proofErr w:type="spellStart"/>
      <w:r w:rsidRPr="00E3110F">
        <w:rPr>
          <w:rFonts w:eastAsia="Times New Roman"/>
          <w:bCs/>
          <w:sz w:val="22"/>
          <w:szCs w:val="22"/>
        </w:rPr>
        <w:t>markeroch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bCs/>
          <w:sz w:val="22"/>
          <w:szCs w:val="22"/>
        </w:rPr>
        <w:t>spermatogenézy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. Pozoroval sa pokles plazmatickej koncentrácie </w:t>
      </w:r>
      <w:proofErr w:type="spellStart"/>
      <w:r w:rsidRPr="00E3110F">
        <w:rPr>
          <w:rFonts w:eastAsia="Times New Roman"/>
          <w:bCs/>
          <w:sz w:val="22"/>
          <w:szCs w:val="22"/>
        </w:rPr>
        <w:t>inhibínu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B a zvýšenie plazmatickej koncentrácie FSH. Vplyv na mužskú </w:t>
      </w:r>
      <w:proofErr w:type="spellStart"/>
      <w:r w:rsidRPr="00E3110F">
        <w:rPr>
          <w:rFonts w:eastAsia="Times New Roman"/>
          <w:bCs/>
          <w:sz w:val="22"/>
          <w:szCs w:val="22"/>
        </w:rPr>
        <w:t>fertilitu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nie je známy, ale nie je možné vylúčiť zhoršenie </w:t>
      </w:r>
      <w:proofErr w:type="spellStart"/>
      <w:r w:rsidRPr="00E3110F">
        <w:rPr>
          <w:rFonts w:eastAsia="Times New Roman"/>
          <w:bCs/>
          <w:sz w:val="22"/>
          <w:szCs w:val="22"/>
        </w:rPr>
        <w:t>spermatogenézy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. V klinických štúdiách nebolo dlhodobé podávanie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spojené so zmenou plazmatických hladín testosterónu.</w:t>
      </w:r>
    </w:p>
    <w:p w14:paraId="047F62DD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26005D4D" w14:textId="573E7514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4.7</w:t>
      </w:r>
      <w:r w:rsidRPr="00E3110F">
        <w:rPr>
          <w:b/>
          <w:sz w:val="22"/>
          <w:szCs w:val="22"/>
        </w:rPr>
        <w:tab/>
      </w:r>
      <w:r w:rsidR="00E07F19" w:rsidRPr="00E3110F">
        <w:rPr>
          <w:b/>
          <w:sz w:val="22"/>
          <w:szCs w:val="22"/>
        </w:rPr>
        <w:t>Ovplyvnenie schopnosti viesť vozidlá a obsluhovať stroje</w:t>
      </w:r>
    </w:p>
    <w:p w14:paraId="7708227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4591058B" w14:textId="150C920A" w:rsidR="004A43E8" w:rsidRPr="00E3110F" w:rsidRDefault="007D388A">
      <w:pPr>
        <w:contextualSpacing/>
        <w:jc w:val="left"/>
        <w:rPr>
          <w:rFonts w:eastAsia="Times New Roman"/>
          <w:sz w:val="22"/>
          <w:szCs w:val="22"/>
        </w:rPr>
      </w:pPr>
      <w:bookmarkStart w:id="13" w:name="MACHINEOPS"/>
      <w:bookmarkEnd w:id="12"/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4A43E8" w:rsidRPr="00E3110F">
        <w:rPr>
          <w:rFonts w:eastAsia="Times New Roman"/>
          <w:sz w:val="22"/>
          <w:szCs w:val="22"/>
        </w:rPr>
        <w:t xml:space="preserve"> má malý alebo mierny vplyv na schopnosť viesť vozidlá a obsluhovať stroje. Pri posudzovaní pacientovej schopnosti vykonávať činnosti, ktoré vyžadujú úsudok, motorické alebo kognitívne zručnosti, treba mať na pamäti klinický stav pacienta a profil nežiaducich reakcií na </w:t>
      </w: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4A43E8" w:rsidRPr="00E3110F">
        <w:rPr>
          <w:rFonts w:eastAsia="Times New Roman"/>
          <w:sz w:val="22"/>
          <w:szCs w:val="22"/>
        </w:rPr>
        <w:t xml:space="preserve"> (akými sú hypotenzia, závraty, slabosť, únava) (pozri časť 4.8). Pred vedením vozidiel alebo obsluhou strojov majú pacienti vedieť, ako by ich </w:t>
      </w: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4A43E8" w:rsidRPr="00E3110F">
        <w:rPr>
          <w:rFonts w:eastAsia="Times New Roman"/>
          <w:sz w:val="22"/>
          <w:szCs w:val="22"/>
        </w:rPr>
        <w:t xml:space="preserve"> mohol ovplyvniť.</w:t>
      </w:r>
    </w:p>
    <w:p w14:paraId="61903746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4A55FAE" w14:textId="2D48F651" w:rsidR="002F0FC5" w:rsidRPr="00E3110F" w:rsidRDefault="009B73DC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4.8</w:t>
      </w:r>
      <w:r w:rsidRPr="00E3110F">
        <w:rPr>
          <w:b/>
          <w:sz w:val="22"/>
          <w:szCs w:val="22"/>
        </w:rPr>
        <w:tab/>
      </w:r>
      <w:r w:rsidR="00E07F19" w:rsidRPr="00E3110F">
        <w:rPr>
          <w:b/>
          <w:sz w:val="22"/>
          <w:szCs w:val="22"/>
        </w:rPr>
        <w:t>Nežiaduce účinky</w:t>
      </w:r>
    </w:p>
    <w:p w14:paraId="07547B98" w14:textId="77777777" w:rsidR="002F0FC5" w:rsidRPr="00E3110F" w:rsidRDefault="002F0FC5">
      <w:pPr>
        <w:keepNext/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4F16208D" w14:textId="1C27C2AB" w:rsidR="002F0FC5" w:rsidRPr="00E3110F" w:rsidRDefault="00E07F19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Súhrn bezpečnostného profilu</w:t>
      </w:r>
    </w:p>
    <w:p w14:paraId="2BAD5A1E" w14:textId="62438F1E" w:rsidR="00C4776C" w:rsidRPr="00E3110F" w:rsidRDefault="00C4776C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Bezpečnosť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 </w:t>
      </w:r>
      <w:proofErr w:type="spellStart"/>
      <w:r w:rsidRPr="00E3110F">
        <w:rPr>
          <w:rFonts w:eastAsia="Times New Roman"/>
          <w:bCs/>
          <w:sz w:val="22"/>
          <w:szCs w:val="22"/>
        </w:rPr>
        <w:t>monoterapii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a/alebo v kombinovanej liečbe bola hodnotená v klinických skúšaniach u viac ako 1 200 pacientov s PAH (pozri časť 5.1). Nežiaduce reakcie zistené z údajov z 12-týždňových placebom kontrolovaných klinických skúšaní sú zahrnuté nižšie podľa triedy orgánových systémov a frekvencie. Nižšie sú zahrnu</w:t>
      </w:r>
      <w:r w:rsidR="00CB46DB">
        <w:rPr>
          <w:rFonts w:eastAsia="Times New Roman"/>
          <w:bCs/>
          <w:sz w:val="22"/>
          <w:szCs w:val="22"/>
        </w:rPr>
        <w:t>té aj informácie z dlhodobých</w:t>
      </w:r>
      <w:r w:rsidRPr="00E3110F">
        <w:rPr>
          <w:rFonts w:eastAsia="Times New Roman"/>
          <w:bCs/>
          <w:sz w:val="22"/>
          <w:szCs w:val="22"/>
        </w:rPr>
        <w:t xml:space="preserve"> štúdií, ktoré neboli kontrolované placebom (ARIES-E a AMBITION (kombinácia s </w:t>
      </w:r>
      <w:proofErr w:type="spellStart"/>
      <w:r w:rsidRPr="00E3110F">
        <w:rPr>
          <w:rFonts w:eastAsia="Times New Roman"/>
          <w:bCs/>
          <w:sz w:val="22"/>
          <w:szCs w:val="22"/>
        </w:rPr>
        <w:t>tadalafilom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)). Pri dlhodobej liečbe alebo pri podávaní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v kombinácii s </w:t>
      </w:r>
      <w:proofErr w:type="spellStart"/>
      <w:r w:rsidRPr="00E3110F">
        <w:rPr>
          <w:rFonts w:eastAsia="Times New Roman"/>
          <w:bCs/>
          <w:sz w:val="22"/>
          <w:szCs w:val="22"/>
        </w:rPr>
        <w:t>tadalafilom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sa nezistili žiadne predtým neznáme nežiaduce reakcie. Počas </w:t>
      </w:r>
      <w:proofErr w:type="spellStart"/>
      <w:r w:rsidRPr="00E3110F">
        <w:rPr>
          <w:rFonts w:eastAsia="Times New Roman"/>
          <w:bCs/>
          <w:sz w:val="22"/>
          <w:szCs w:val="22"/>
        </w:rPr>
        <w:t>dlhodobejšieho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pozorovania v nekontrolovaných štúdiách (priemerná doba pozorovania bola 79 týždňov) bol bezpečnostný profil podobný ako bezpečnostný profil pozorovaný v krátkodobých štúdiách. Uvedené sú aj údaje získané v rámci rutinného dohľadu nad liekmi.</w:t>
      </w:r>
    </w:p>
    <w:p w14:paraId="5586E357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DCF62BB" w14:textId="69E70412" w:rsidR="00014ED6" w:rsidRPr="00E3110F" w:rsidRDefault="00014ED6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Najčastejšie nežiaduce reakcie pozorované pri liečbe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om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boli periférny edém, </w:t>
      </w:r>
      <w:proofErr w:type="spellStart"/>
      <w:r w:rsidRPr="00E3110F">
        <w:rPr>
          <w:rFonts w:eastAsia="Times New Roman"/>
          <w:bCs/>
          <w:sz w:val="22"/>
          <w:szCs w:val="22"/>
        </w:rPr>
        <w:t>retencia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tekutín a bolesť hlavy (vrátane bolesti hlavy v dôsledku </w:t>
      </w:r>
      <w:proofErr w:type="spellStart"/>
      <w:r w:rsidRPr="00E3110F">
        <w:rPr>
          <w:rFonts w:eastAsia="Times New Roman"/>
          <w:bCs/>
          <w:sz w:val="22"/>
          <w:szCs w:val="22"/>
        </w:rPr>
        <w:t>sinusitídy</w:t>
      </w:r>
      <w:proofErr w:type="spellEnd"/>
      <w:r w:rsidRPr="00E3110F">
        <w:rPr>
          <w:rFonts w:eastAsia="Times New Roman"/>
          <w:bCs/>
          <w:sz w:val="22"/>
          <w:szCs w:val="22"/>
        </w:rPr>
        <w:t>, migrény). V krátkodobých klinických štúdiách sa liečba vyššou dávkou (10 mg) spájala s vyšším výskytom týchto nežiaducich reakcií a periférny edém bol zvyčajne závažnejší u pacientov ≥ 65 rokov (pozri časť 4.4).</w:t>
      </w:r>
    </w:p>
    <w:p w14:paraId="63BF6435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07427C9" w14:textId="6534C48B" w:rsidR="002F0FC5" w:rsidRPr="00E3110F" w:rsidRDefault="00E07F19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Zoznam nežiaducich reakcií uvedený v tabuľke</w:t>
      </w:r>
    </w:p>
    <w:p w14:paraId="37F616B1" w14:textId="5E941BCD" w:rsidR="00053783" w:rsidRPr="00E3110F" w:rsidRDefault="00053783">
      <w:pPr>
        <w:keepNext/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rFonts w:eastAsia="Times New Roman"/>
          <w:bCs/>
          <w:sz w:val="22"/>
          <w:szCs w:val="22"/>
        </w:rPr>
        <w:t xml:space="preserve">Frekvencie sú definované ako: veľmi časté (≥ 1/10); časté (≥ 1/100 až &lt; 1/10); menej časté (≥ 1/1 000 až &lt; 1/100), zriedkavé (≥ 1/10 000 až &lt; 1/1 000); veľmi zriedkavé (&lt; 1/10 000) a neznáme (z dostupných údajov). U nežiaducich reakcií súvisiacich s dávkou sa kategória frekvencie vzťahuje na vyššiu dávku </w:t>
      </w:r>
      <w:proofErr w:type="spellStart"/>
      <w:r w:rsidR="007D388A">
        <w:rPr>
          <w:rFonts w:eastAsia="Times New Roman"/>
          <w:bCs/>
          <w:sz w:val="22"/>
          <w:szCs w:val="22"/>
        </w:rPr>
        <w:t>ambrisentán</w:t>
      </w:r>
      <w:r w:rsidRPr="00E3110F">
        <w:rPr>
          <w:rFonts w:eastAsia="Times New Roman"/>
          <w:bCs/>
          <w:sz w:val="22"/>
          <w:szCs w:val="22"/>
        </w:rPr>
        <w:t>u</w:t>
      </w:r>
      <w:proofErr w:type="spellEnd"/>
      <w:r w:rsidRPr="00E3110F">
        <w:rPr>
          <w:rFonts w:eastAsia="Times New Roman"/>
          <w:bCs/>
          <w:sz w:val="22"/>
          <w:szCs w:val="22"/>
        </w:rPr>
        <w:t>. Kategórie frekvencie nezohľadňujú ďalšie faktory zahŕňajúce rôznu dĺžku štúdie, už existujúce ochorenia a východiskové charakteristiky pacientov. Kategórie frekvencie nežiaducich reakcií priradené na základe skúseností z klinických skúšaní nemusia zobrazovať frekvenciu nežiaducich udalostí vyskytujúcu sa počas bežnej klinickej praxe. V rámci jednotlivých skupín frekvencií sú nežiaduce reakcie usporiadané v poradí klesajúcej závažnosti.</w:t>
      </w:r>
    </w:p>
    <w:p w14:paraId="1018EE9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8"/>
        <w:gridCol w:w="1871"/>
        <w:gridCol w:w="1871"/>
        <w:gridCol w:w="1871"/>
      </w:tblGrid>
      <w:tr w:rsidR="00F81DA5" w:rsidRPr="00E3110F" w14:paraId="16C6926F" w14:textId="77777777" w:rsidTr="00975EB3">
        <w:tc>
          <w:tcPr>
            <w:tcW w:w="2778" w:type="dxa"/>
          </w:tcPr>
          <w:p w14:paraId="2785F019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5858AF5F" w14:textId="72FB6B93" w:rsidR="002F0FC5" w:rsidRPr="00E85A70" w:rsidRDefault="007D388A" w:rsidP="009169A4">
            <w:pPr>
              <w:spacing w:before="34" w:after="0"/>
              <w:ind w:left="21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Ambrisentán</w:t>
            </w:r>
            <w:proofErr w:type="spellEnd"/>
          </w:p>
          <w:p w14:paraId="5D4CA381" w14:textId="77777777" w:rsidR="002F0FC5" w:rsidRPr="00E85A70" w:rsidRDefault="002F0FC5" w:rsidP="00EC7BFE">
            <w:pPr>
              <w:spacing w:before="34" w:after="0"/>
              <w:ind w:left="21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  <w:p w14:paraId="60297D74" w14:textId="5B0CE352" w:rsidR="002F0FC5" w:rsidRPr="00CB5537" w:rsidRDefault="009B73DC" w:rsidP="001D3DC0">
            <w:pPr>
              <w:contextualSpacing/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(ARIES-C</w:t>
            </w:r>
            <w:r w:rsidRPr="00E85A70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a</w:t>
            </w:r>
            <w:r w:rsidRPr="00E85A70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235D1D" w:rsidRPr="00E85A70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obdobie po uvedení lieku na trh</w:t>
            </w: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32BEB311" w14:textId="325ADA05" w:rsidR="002F0FC5" w:rsidRPr="00E85A70" w:rsidRDefault="007D388A" w:rsidP="00E85A70">
            <w:pPr>
              <w:spacing w:before="34" w:after="0"/>
              <w:ind w:left="21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Ambrisentán</w:t>
            </w:r>
            <w:proofErr w:type="spellEnd"/>
          </w:p>
          <w:p w14:paraId="58E86A8A" w14:textId="77777777" w:rsidR="002F0FC5" w:rsidRPr="00E85A70" w:rsidRDefault="002F0FC5">
            <w:pPr>
              <w:spacing w:before="34" w:after="0"/>
              <w:ind w:left="21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  <w:p w14:paraId="674C2864" w14:textId="0E728A0A" w:rsidR="002F0FC5" w:rsidRPr="00E85A70" w:rsidRDefault="009B73DC">
            <w:pPr>
              <w:spacing w:after="0"/>
              <w:ind w:left="21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(AMBITION</w:t>
            </w:r>
            <w:r w:rsidRPr="00E85A70">
              <w:rPr>
                <w:rFonts w:eastAsia="Times New Roman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a</w:t>
            </w:r>
          </w:p>
          <w:p w14:paraId="6FB6729F" w14:textId="77777777" w:rsidR="002F0FC5" w:rsidRPr="00CB5537" w:rsidRDefault="009B73DC">
            <w:pPr>
              <w:contextualSpacing/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ARIES-E)</w:t>
            </w:r>
          </w:p>
        </w:tc>
        <w:tc>
          <w:tcPr>
            <w:tcW w:w="1871" w:type="dxa"/>
          </w:tcPr>
          <w:p w14:paraId="455825FD" w14:textId="67D06701" w:rsidR="002F0FC5" w:rsidRPr="00E85A70" w:rsidRDefault="00235D1D">
            <w:pPr>
              <w:spacing w:before="34" w:after="0"/>
              <w:ind w:left="21" w:right="43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K</w:t>
            </w:r>
            <w:r w:rsidR="009B73DC" w:rsidRPr="00D672A3">
              <w:rPr>
                <w:rFonts w:eastAsia="Times New Roman"/>
                <w:b/>
                <w:bCs/>
                <w:sz w:val="22"/>
                <w:szCs w:val="22"/>
              </w:rPr>
              <w:t>ombin</w:t>
            </w:r>
            <w:r w:rsidRPr="00D672A3">
              <w:rPr>
                <w:rFonts w:eastAsia="Times New Roman"/>
                <w:b/>
                <w:bCs/>
                <w:sz w:val="22"/>
                <w:szCs w:val="22"/>
              </w:rPr>
              <w:t>ácia</w:t>
            </w:r>
            <w:r w:rsidR="009B73DC" w:rsidRPr="00D672A3">
              <w:rPr>
                <w:rFonts w:eastAsia="Times New Roman"/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s </w:t>
            </w:r>
            <w:proofErr w:type="spellStart"/>
            <w:r w:rsidR="009B73DC" w:rsidRPr="00E85A70">
              <w:rPr>
                <w:rFonts w:eastAsia="Times New Roman"/>
                <w:b/>
                <w:bCs/>
                <w:sz w:val="22"/>
                <w:szCs w:val="22"/>
              </w:rPr>
              <w:t>tadalafil</w:t>
            </w: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om</w:t>
            </w:r>
            <w:proofErr w:type="spellEnd"/>
          </w:p>
          <w:p w14:paraId="61B627DC" w14:textId="77777777" w:rsidR="002F0FC5" w:rsidRPr="00E85A70" w:rsidRDefault="002F0FC5">
            <w:pPr>
              <w:spacing w:before="34" w:after="0"/>
              <w:ind w:left="21" w:right="43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  <w:p w14:paraId="242411AB" w14:textId="77777777" w:rsidR="002F0FC5" w:rsidRPr="00CB5537" w:rsidRDefault="009B73DC">
            <w:pPr>
              <w:contextualSpacing/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 w:rsidRPr="00E85A70">
              <w:rPr>
                <w:rFonts w:eastAsia="Times New Roman"/>
                <w:b/>
                <w:bCs/>
                <w:sz w:val="22"/>
                <w:szCs w:val="22"/>
              </w:rPr>
              <w:t>(AMBITION)</w:t>
            </w:r>
          </w:p>
        </w:tc>
      </w:tr>
      <w:tr w:rsidR="00F81DA5" w:rsidRPr="00E3110F" w14:paraId="393DEBFB" w14:textId="77777777" w:rsidTr="00975EB3">
        <w:tc>
          <w:tcPr>
            <w:tcW w:w="2778" w:type="dxa"/>
            <w:gridSpan w:val="4"/>
          </w:tcPr>
          <w:p w14:paraId="5AEC6079" w14:textId="766DC84E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krvi a lymfatického systému</w:t>
            </w:r>
          </w:p>
        </w:tc>
      </w:tr>
      <w:tr w:rsidR="00F81DA5" w:rsidRPr="00E3110F" w14:paraId="0FFAB4A9" w14:textId="77777777" w:rsidTr="00975EB3">
        <w:tc>
          <w:tcPr>
            <w:tcW w:w="2778" w:type="dxa"/>
          </w:tcPr>
          <w:p w14:paraId="1792D6DA" w14:textId="4498A151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lastRenderedPageBreak/>
              <w:t>An</w:t>
            </w:r>
            <w:r w:rsidR="00235D1D" w:rsidRPr="00E3110F">
              <w:rPr>
                <w:rFonts w:eastAsia="Times New Roman"/>
                <w:sz w:val="22"/>
                <w:szCs w:val="22"/>
              </w:rPr>
              <w:t>é</w:t>
            </w:r>
            <w:r w:rsidRPr="00E3110F">
              <w:rPr>
                <w:rFonts w:eastAsia="Times New Roman"/>
                <w:sz w:val="22"/>
                <w:szCs w:val="22"/>
              </w:rPr>
              <w:t>mia (</w:t>
            </w:r>
            <w:r w:rsidR="00235D1D" w:rsidRPr="00E3110F">
              <w:rPr>
                <w:rFonts w:eastAsia="Times New Roman"/>
                <w:sz w:val="22"/>
                <w:szCs w:val="22"/>
              </w:rPr>
              <w:t>znížená hladina hemoglobínu, znížená hladina hematokritu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7749146D" w14:textId="4C7E238D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1" w:type="dxa"/>
          </w:tcPr>
          <w:p w14:paraId="49A19262" w14:textId="12257285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</w:t>
            </w:r>
            <w:r w:rsidR="00235D1D" w:rsidRPr="00E3110F">
              <w:rPr>
                <w:rFonts w:eastAsia="Times New Roman"/>
                <w:sz w:val="22"/>
                <w:szCs w:val="22"/>
              </w:rPr>
              <w:t>ľmi</w:t>
            </w:r>
            <w:r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="00235D1D"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56798BF2" w14:textId="0F325EED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0A111089" w14:textId="77777777" w:rsidTr="00975EB3">
        <w:tc>
          <w:tcPr>
            <w:tcW w:w="2778" w:type="dxa"/>
            <w:gridSpan w:val="4"/>
          </w:tcPr>
          <w:p w14:paraId="1FF16088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540C4DF9" w14:textId="77777777" w:rsidTr="00975EB3">
        <w:tc>
          <w:tcPr>
            <w:tcW w:w="2778" w:type="dxa"/>
            <w:gridSpan w:val="4"/>
          </w:tcPr>
          <w:p w14:paraId="4BB4040D" w14:textId="60338AD1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 xml:space="preserve">Poruchy imunitného </w:t>
            </w:r>
            <w:r w:rsidR="009B73DC" w:rsidRPr="00E3110F">
              <w:rPr>
                <w:rFonts w:eastAsia="Times New Roman"/>
                <w:i/>
                <w:sz w:val="22"/>
                <w:szCs w:val="22"/>
              </w:rPr>
              <w:t>syst</w:t>
            </w:r>
            <w:r w:rsidRPr="00E3110F">
              <w:rPr>
                <w:rFonts w:eastAsia="Times New Roman"/>
                <w:i/>
                <w:sz w:val="22"/>
                <w:szCs w:val="22"/>
              </w:rPr>
              <w:t>é</w:t>
            </w:r>
            <w:r w:rsidR="009B73DC" w:rsidRPr="00E3110F">
              <w:rPr>
                <w:rFonts w:eastAsia="Times New Roman"/>
                <w:i/>
                <w:sz w:val="22"/>
                <w:szCs w:val="22"/>
              </w:rPr>
              <w:t>m</w:t>
            </w:r>
            <w:r w:rsidRPr="00E3110F">
              <w:rPr>
                <w:rFonts w:eastAsia="Times New Roman"/>
                <w:i/>
                <w:sz w:val="22"/>
                <w:szCs w:val="22"/>
              </w:rPr>
              <w:t>u</w:t>
            </w:r>
          </w:p>
        </w:tc>
      </w:tr>
      <w:tr w:rsidR="00F81DA5" w:rsidRPr="00E3110F" w14:paraId="1E131BD9" w14:textId="77777777" w:rsidTr="00975EB3">
        <w:tc>
          <w:tcPr>
            <w:tcW w:w="2778" w:type="dxa"/>
          </w:tcPr>
          <w:p w14:paraId="77182ED5" w14:textId="425BB619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Reakcie z precitlivenosti (napr.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angioedém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, vyrážka,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pruritus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14:paraId="75C9985D" w14:textId="78E3A866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Menej časté</w:t>
            </w:r>
          </w:p>
          <w:p w14:paraId="51E712B5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28C58B63" w14:textId="5B761E79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3D812271" w14:textId="2FBCED9E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11DE642C" w14:textId="77777777" w:rsidTr="00975EB3">
        <w:tc>
          <w:tcPr>
            <w:tcW w:w="2778" w:type="dxa"/>
            <w:gridSpan w:val="4"/>
          </w:tcPr>
          <w:p w14:paraId="5E2022A8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206E7228" w14:textId="77777777" w:rsidTr="00975EB3">
        <w:tc>
          <w:tcPr>
            <w:tcW w:w="2778" w:type="dxa"/>
            <w:gridSpan w:val="4"/>
          </w:tcPr>
          <w:p w14:paraId="1BB596FF" w14:textId="12641BC0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nervového systému</w:t>
            </w:r>
          </w:p>
        </w:tc>
      </w:tr>
      <w:tr w:rsidR="00F81DA5" w:rsidRPr="00E3110F" w14:paraId="12D42E8F" w14:textId="77777777" w:rsidTr="00975EB3">
        <w:tc>
          <w:tcPr>
            <w:tcW w:w="2778" w:type="dxa"/>
          </w:tcPr>
          <w:p w14:paraId="481E20E1" w14:textId="6BD79AC1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Bolesť hlavy (vrátane bolesti hlavy v dôsledku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sinusitídy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>, migréna)</w:t>
            </w:r>
          </w:p>
        </w:tc>
        <w:tc>
          <w:tcPr>
            <w:tcW w:w="1871" w:type="dxa"/>
          </w:tcPr>
          <w:p w14:paraId="46E021FE" w14:textId="75BDB5BC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Veľmi časté 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1" w:type="dxa"/>
          </w:tcPr>
          <w:p w14:paraId="48ABB4D2" w14:textId="229B48F4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Veľmi časté </w:t>
            </w:r>
          </w:p>
        </w:tc>
        <w:tc>
          <w:tcPr>
            <w:tcW w:w="1871" w:type="dxa"/>
          </w:tcPr>
          <w:p w14:paraId="2B2057C7" w14:textId="76B91958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567B780F" w14:textId="77777777" w:rsidTr="00975EB3">
        <w:tc>
          <w:tcPr>
            <w:tcW w:w="2778" w:type="dxa"/>
          </w:tcPr>
          <w:p w14:paraId="710ADF71" w14:textId="65B56853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Závrat</w:t>
            </w:r>
          </w:p>
        </w:tc>
        <w:tc>
          <w:tcPr>
            <w:tcW w:w="1871" w:type="dxa"/>
          </w:tcPr>
          <w:p w14:paraId="492AD46E" w14:textId="38F329EB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0B246CD6" w14:textId="046A3D55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0F6FFE4D" w14:textId="24008302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44D8C9C9" w14:textId="77777777" w:rsidTr="00975EB3">
        <w:tc>
          <w:tcPr>
            <w:tcW w:w="2778" w:type="dxa"/>
            <w:gridSpan w:val="4"/>
          </w:tcPr>
          <w:p w14:paraId="59B9B81B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6D6E047F" w14:textId="77777777" w:rsidTr="00975EB3">
        <w:tc>
          <w:tcPr>
            <w:tcW w:w="2778" w:type="dxa"/>
            <w:gridSpan w:val="4"/>
          </w:tcPr>
          <w:p w14:paraId="4BC20606" w14:textId="5615DED2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oka</w:t>
            </w:r>
          </w:p>
        </w:tc>
      </w:tr>
      <w:tr w:rsidR="00F81DA5" w:rsidRPr="00E3110F" w14:paraId="51C203F8" w14:textId="77777777" w:rsidTr="00975EB3">
        <w:tc>
          <w:tcPr>
            <w:tcW w:w="2778" w:type="dxa"/>
          </w:tcPr>
          <w:p w14:paraId="30AF60B1" w14:textId="5E419C30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Rozmazané videnie, porucha zraku</w:t>
            </w:r>
          </w:p>
        </w:tc>
        <w:tc>
          <w:tcPr>
            <w:tcW w:w="1871" w:type="dxa"/>
          </w:tcPr>
          <w:p w14:paraId="531D3726" w14:textId="2086410B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N</w:t>
            </w:r>
            <w:r w:rsidR="00235D1D" w:rsidRPr="00E3110F">
              <w:rPr>
                <w:rFonts w:eastAsia="Times New Roman"/>
                <w:sz w:val="22"/>
                <w:szCs w:val="22"/>
                <w:lang w:eastAsia="en-US"/>
              </w:rPr>
              <w:t>eznáme</w:t>
            </w:r>
            <w:r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1" w:type="dxa"/>
          </w:tcPr>
          <w:p w14:paraId="22D98645" w14:textId="63AD5AC3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0E00DA43" w14:textId="58B086B0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17136990" w14:textId="77777777" w:rsidTr="00975EB3">
        <w:tc>
          <w:tcPr>
            <w:tcW w:w="2778" w:type="dxa"/>
            <w:gridSpan w:val="4"/>
          </w:tcPr>
          <w:p w14:paraId="1B1F33D0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58C87D96" w14:textId="77777777" w:rsidTr="00975EB3">
        <w:tc>
          <w:tcPr>
            <w:tcW w:w="2778" w:type="dxa"/>
            <w:gridSpan w:val="4"/>
          </w:tcPr>
          <w:p w14:paraId="5EC5793A" w14:textId="3CDF3AED" w:rsidR="002F0FC5" w:rsidRPr="00E3110F" w:rsidRDefault="00235D1D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ucha a</w:t>
            </w:r>
            <w:r w:rsidR="00CB46DB">
              <w:rPr>
                <w:rFonts w:eastAsia="Times New Roman"/>
                <w:i/>
                <w:sz w:val="22"/>
                <w:szCs w:val="22"/>
              </w:rPr>
              <w:t> </w:t>
            </w:r>
            <w:r w:rsidRPr="00E3110F">
              <w:rPr>
                <w:rFonts w:eastAsia="Times New Roman"/>
                <w:i/>
                <w:sz w:val="22"/>
                <w:szCs w:val="22"/>
              </w:rPr>
              <w:t>labyrintu</w:t>
            </w:r>
          </w:p>
        </w:tc>
      </w:tr>
      <w:tr w:rsidR="00F81DA5" w:rsidRPr="00E3110F" w14:paraId="21E5619D" w14:textId="77777777" w:rsidTr="00975EB3">
        <w:tc>
          <w:tcPr>
            <w:tcW w:w="2778" w:type="dxa"/>
          </w:tcPr>
          <w:p w14:paraId="1E86C354" w14:textId="31E66DD0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Tinitus</w:t>
            </w:r>
            <w:proofErr w:type="spellEnd"/>
          </w:p>
        </w:tc>
        <w:tc>
          <w:tcPr>
            <w:tcW w:w="1871" w:type="dxa"/>
          </w:tcPr>
          <w:p w14:paraId="33002D35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28D30CDE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43A1667B" w14:textId="37257053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48B08F1A" w14:textId="77777777" w:rsidTr="00975EB3">
        <w:tc>
          <w:tcPr>
            <w:tcW w:w="2778" w:type="dxa"/>
          </w:tcPr>
          <w:p w14:paraId="77DE9135" w14:textId="2FCD2009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Náhla strata sluchu</w:t>
            </w:r>
          </w:p>
        </w:tc>
        <w:tc>
          <w:tcPr>
            <w:tcW w:w="1871" w:type="dxa"/>
          </w:tcPr>
          <w:p w14:paraId="3075A1E7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2BD0FA4E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0B1F3E95" w14:textId="6D1AE0C3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Menej časté</w:t>
            </w:r>
          </w:p>
        </w:tc>
      </w:tr>
      <w:tr w:rsidR="00F81DA5" w:rsidRPr="00E3110F" w14:paraId="0C247064" w14:textId="77777777" w:rsidTr="00975EB3">
        <w:tc>
          <w:tcPr>
            <w:tcW w:w="2778" w:type="dxa"/>
            <w:gridSpan w:val="4"/>
          </w:tcPr>
          <w:p w14:paraId="386EC265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0EE21AA0" w14:textId="77777777" w:rsidTr="00975EB3">
        <w:tc>
          <w:tcPr>
            <w:tcW w:w="2778" w:type="dxa"/>
            <w:gridSpan w:val="4"/>
          </w:tcPr>
          <w:p w14:paraId="6CF85BAE" w14:textId="392A2A1C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srdca a srdcovej činnosti</w:t>
            </w:r>
          </w:p>
        </w:tc>
      </w:tr>
      <w:tr w:rsidR="00F81DA5" w:rsidRPr="00E3110F" w14:paraId="2120321C" w14:textId="77777777" w:rsidTr="00975EB3">
        <w:tc>
          <w:tcPr>
            <w:tcW w:w="2778" w:type="dxa"/>
          </w:tcPr>
          <w:p w14:paraId="13241BB5" w14:textId="21F1EA74" w:rsidR="002F0FC5" w:rsidRPr="00E3110F" w:rsidRDefault="002D351B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Z</w:t>
            </w:r>
            <w:r w:rsidR="00A13954" w:rsidRPr="00E3110F">
              <w:rPr>
                <w:rFonts w:eastAsia="Times New Roman"/>
                <w:sz w:val="22"/>
                <w:szCs w:val="22"/>
              </w:rPr>
              <w:t>lyhanie</w:t>
            </w:r>
            <w:r>
              <w:rPr>
                <w:rFonts w:eastAsia="Times New Roman"/>
                <w:sz w:val="22"/>
                <w:szCs w:val="22"/>
              </w:rPr>
              <w:t xml:space="preserve"> srdca</w:t>
            </w:r>
          </w:p>
        </w:tc>
        <w:tc>
          <w:tcPr>
            <w:tcW w:w="1871" w:type="dxa"/>
          </w:tcPr>
          <w:p w14:paraId="6B47AF57" w14:textId="62251F84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1" w:type="dxa"/>
          </w:tcPr>
          <w:p w14:paraId="381E8C79" w14:textId="6804F99F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06FFDF25" w14:textId="57ACEFB9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619F3E15" w14:textId="77777777" w:rsidTr="00975EB3">
        <w:tc>
          <w:tcPr>
            <w:tcW w:w="2778" w:type="dxa"/>
          </w:tcPr>
          <w:p w14:paraId="6B2F2154" w14:textId="6EB26664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Palpit</w:t>
            </w:r>
            <w:r w:rsidR="00A13954" w:rsidRPr="00E3110F">
              <w:rPr>
                <w:rFonts w:eastAsia="Times New Roman"/>
                <w:sz w:val="22"/>
                <w:szCs w:val="22"/>
              </w:rPr>
              <w:t>ácie</w:t>
            </w:r>
            <w:proofErr w:type="spellEnd"/>
          </w:p>
        </w:tc>
        <w:tc>
          <w:tcPr>
            <w:tcW w:w="1871" w:type="dxa"/>
          </w:tcPr>
          <w:p w14:paraId="0A1E8676" w14:textId="516D9F42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5019028E" w14:textId="0AFB4B12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6A83E96F" w14:textId="51A4BC94" w:rsidR="002F0FC5" w:rsidRPr="00E3110F" w:rsidRDefault="00A13954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4DC342A5" w14:textId="77777777" w:rsidTr="00975EB3">
        <w:tc>
          <w:tcPr>
            <w:tcW w:w="2778" w:type="dxa"/>
            <w:gridSpan w:val="4"/>
          </w:tcPr>
          <w:p w14:paraId="351DA803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025B046C" w14:textId="77777777" w:rsidTr="00975EB3">
        <w:tc>
          <w:tcPr>
            <w:tcW w:w="2778" w:type="dxa"/>
            <w:gridSpan w:val="4"/>
          </w:tcPr>
          <w:p w14:paraId="56E09FB0" w14:textId="47070ACA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</w:t>
            </w:r>
            <w:r w:rsidR="009B73DC" w:rsidRPr="00E3110F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i/>
                <w:sz w:val="22"/>
                <w:szCs w:val="22"/>
              </w:rPr>
              <w:t>ciev</w:t>
            </w:r>
          </w:p>
        </w:tc>
      </w:tr>
      <w:tr w:rsidR="00F81DA5" w:rsidRPr="00E3110F" w14:paraId="4AABC220" w14:textId="77777777" w:rsidTr="00975EB3">
        <w:tc>
          <w:tcPr>
            <w:tcW w:w="2778" w:type="dxa"/>
          </w:tcPr>
          <w:p w14:paraId="78C562C5" w14:textId="45F9C4B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Hypoten</w:t>
            </w:r>
            <w:r w:rsidR="00503FA9" w:rsidRPr="00E3110F">
              <w:rPr>
                <w:rFonts w:eastAsia="Times New Roman"/>
                <w:sz w:val="22"/>
                <w:szCs w:val="22"/>
              </w:rPr>
              <w:t>zia</w:t>
            </w:r>
          </w:p>
        </w:tc>
        <w:tc>
          <w:tcPr>
            <w:tcW w:w="1871" w:type="dxa"/>
          </w:tcPr>
          <w:p w14:paraId="476B20F8" w14:textId="3BF981B6" w:rsidR="002F0FC5" w:rsidRPr="00E3110F" w:rsidRDefault="00503FA9" w:rsidP="00CB5537">
            <w:pPr>
              <w:spacing w:before="8" w:after="0"/>
              <w:ind w:left="22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73DCAF2B" w14:textId="1C94DCAE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74390618" w14:textId="6711DC12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31F08AD9" w14:textId="77777777" w:rsidTr="00975EB3">
        <w:tc>
          <w:tcPr>
            <w:tcW w:w="2778" w:type="dxa"/>
          </w:tcPr>
          <w:p w14:paraId="3A4325C2" w14:textId="0CDE7AD7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Návaly tepla</w:t>
            </w:r>
          </w:p>
        </w:tc>
        <w:tc>
          <w:tcPr>
            <w:tcW w:w="1871" w:type="dxa"/>
          </w:tcPr>
          <w:p w14:paraId="3D0C5F0A" w14:textId="39431D11" w:rsidR="002F0FC5" w:rsidRPr="00E3110F" w:rsidRDefault="00503FA9" w:rsidP="00CB5537">
            <w:pPr>
              <w:spacing w:before="33" w:after="0"/>
              <w:ind w:left="22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1EA6DB20" w14:textId="35275906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023121F6" w14:textId="5F4C7B06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26967FD6" w14:textId="77777777" w:rsidTr="00975EB3">
        <w:tc>
          <w:tcPr>
            <w:tcW w:w="2778" w:type="dxa"/>
          </w:tcPr>
          <w:p w14:paraId="740B6E50" w14:textId="12D91ABD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Syn</w:t>
            </w:r>
            <w:r w:rsidR="00503FA9" w:rsidRPr="00E3110F">
              <w:rPr>
                <w:rFonts w:eastAsia="Times New Roman"/>
                <w:sz w:val="22"/>
                <w:szCs w:val="22"/>
              </w:rPr>
              <w:t>k</w:t>
            </w:r>
            <w:r w:rsidRPr="00E3110F">
              <w:rPr>
                <w:rFonts w:eastAsia="Times New Roman"/>
                <w:sz w:val="22"/>
                <w:szCs w:val="22"/>
              </w:rPr>
              <w:t>op</w:t>
            </w:r>
            <w:r w:rsidR="00503FA9" w:rsidRPr="00E3110F">
              <w:rPr>
                <w:rFonts w:eastAsia="Times New Roman"/>
                <w:sz w:val="22"/>
                <w:szCs w:val="22"/>
              </w:rPr>
              <w:t>a</w:t>
            </w:r>
          </w:p>
        </w:tc>
        <w:tc>
          <w:tcPr>
            <w:tcW w:w="1871" w:type="dxa"/>
          </w:tcPr>
          <w:p w14:paraId="7593EED7" w14:textId="5C5667B8" w:rsidR="002F0FC5" w:rsidRPr="00E3110F" w:rsidRDefault="00503FA9" w:rsidP="00CB5537">
            <w:pPr>
              <w:spacing w:before="8" w:after="0"/>
              <w:ind w:left="22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Menej 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473EB101" w14:textId="283A7D18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4B1959CA" w14:textId="7FE6A84D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4DECFFAE" w14:textId="77777777" w:rsidTr="00975EB3">
        <w:tc>
          <w:tcPr>
            <w:tcW w:w="2778" w:type="dxa"/>
            <w:gridSpan w:val="4"/>
          </w:tcPr>
          <w:p w14:paraId="76B30C55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28EE866E" w14:textId="77777777" w:rsidTr="00975EB3">
        <w:tc>
          <w:tcPr>
            <w:tcW w:w="2778" w:type="dxa"/>
            <w:gridSpan w:val="4"/>
          </w:tcPr>
          <w:p w14:paraId="18199825" w14:textId="08AFBB7A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dýchacej sústavy, hrudníka a</w:t>
            </w:r>
            <w:r w:rsidR="00CB46DB">
              <w:rPr>
                <w:rFonts w:eastAsia="Times New Roman"/>
                <w:i/>
                <w:sz w:val="22"/>
                <w:szCs w:val="22"/>
              </w:rPr>
              <w:t> </w:t>
            </w:r>
            <w:proofErr w:type="spellStart"/>
            <w:r w:rsidRPr="00E3110F">
              <w:rPr>
                <w:rFonts w:eastAsia="Times New Roman"/>
                <w:i/>
                <w:sz w:val="22"/>
                <w:szCs w:val="22"/>
              </w:rPr>
              <w:t>mediastína</w:t>
            </w:r>
            <w:proofErr w:type="spellEnd"/>
          </w:p>
        </w:tc>
      </w:tr>
      <w:tr w:rsidR="00F81DA5" w:rsidRPr="00E3110F" w14:paraId="6ADED132" w14:textId="77777777" w:rsidTr="00975EB3">
        <w:tc>
          <w:tcPr>
            <w:tcW w:w="2778" w:type="dxa"/>
          </w:tcPr>
          <w:p w14:paraId="61A7EC45" w14:textId="412B4C7D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Epistax</w:t>
            </w:r>
            <w:r w:rsidR="00503FA9" w:rsidRPr="00E3110F">
              <w:rPr>
                <w:rFonts w:eastAsia="Times New Roman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71" w:type="dxa"/>
          </w:tcPr>
          <w:p w14:paraId="022009C2" w14:textId="14F7A860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2223002A" w14:textId="6E8A7FE0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33CA16F0" w14:textId="30BDFBF5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24067331" w14:textId="77777777" w:rsidTr="00975EB3">
        <w:tc>
          <w:tcPr>
            <w:tcW w:w="2778" w:type="dxa"/>
          </w:tcPr>
          <w:p w14:paraId="010C6D78" w14:textId="352240AF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Dyspnoe</w:t>
            </w:r>
            <w:proofErr w:type="spellEnd"/>
          </w:p>
        </w:tc>
        <w:tc>
          <w:tcPr>
            <w:tcW w:w="1871" w:type="dxa"/>
          </w:tcPr>
          <w:p w14:paraId="54D04346" w14:textId="78ADB99F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871" w:type="dxa"/>
          </w:tcPr>
          <w:p w14:paraId="54B1B47D" w14:textId="19215DBF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4065FF78" w14:textId="5D2348D7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3646AC51" w14:textId="77777777" w:rsidTr="00975EB3">
        <w:trPr>
          <w:trHeight w:val="1134"/>
        </w:trPr>
        <w:tc>
          <w:tcPr>
            <w:tcW w:w="2778" w:type="dxa"/>
          </w:tcPr>
          <w:p w14:paraId="267DD50D" w14:textId="4760A657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Kongescia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v oblasti horných dýchacích ciest (napr.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kongescia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sliznice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prinosových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dutín),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sinusitída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nazofaryngitída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rinitída</w:t>
            </w:r>
            <w:proofErr w:type="spellEnd"/>
          </w:p>
        </w:tc>
        <w:tc>
          <w:tcPr>
            <w:tcW w:w="1871" w:type="dxa"/>
          </w:tcPr>
          <w:p w14:paraId="44631AAE" w14:textId="45F2D21A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71" w:type="dxa"/>
          </w:tcPr>
          <w:p w14:paraId="29035F94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0176667E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6315A5F5" w14:textId="77777777" w:rsidTr="00975EB3">
        <w:tc>
          <w:tcPr>
            <w:tcW w:w="2778" w:type="dxa"/>
          </w:tcPr>
          <w:p w14:paraId="504D7046" w14:textId="751AE4C8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Nazofaryngitída</w:t>
            </w:r>
            <w:proofErr w:type="spellEnd"/>
          </w:p>
        </w:tc>
        <w:tc>
          <w:tcPr>
            <w:tcW w:w="1871" w:type="dxa"/>
          </w:tcPr>
          <w:p w14:paraId="45D9125C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33A22099" w14:textId="100B4232" w:rsidR="002F0FC5" w:rsidRPr="00E3110F" w:rsidRDefault="00503FA9" w:rsidP="00CB5537">
            <w:pPr>
              <w:spacing w:before="33" w:after="0"/>
              <w:ind w:left="22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6DC96ADE" w14:textId="17942147" w:rsidR="002F0FC5" w:rsidRPr="00E3110F" w:rsidRDefault="00503FA9" w:rsidP="00CB5537">
            <w:pPr>
              <w:spacing w:before="33" w:after="0"/>
              <w:ind w:left="23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715C68E5" w14:textId="77777777" w:rsidTr="00975EB3">
        <w:tc>
          <w:tcPr>
            <w:tcW w:w="2778" w:type="dxa"/>
          </w:tcPr>
          <w:p w14:paraId="508C83A4" w14:textId="11A86A13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Sinusitída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rinitída</w:t>
            </w:r>
            <w:proofErr w:type="spellEnd"/>
          </w:p>
        </w:tc>
        <w:tc>
          <w:tcPr>
            <w:tcW w:w="1871" w:type="dxa"/>
          </w:tcPr>
          <w:p w14:paraId="39A30A0A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3EC4E4D8" w14:textId="7FC5116C" w:rsidR="002F0FC5" w:rsidRPr="00E3110F" w:rsidRDefault="00503FA9" w:rsidP="00CB5537">
            <w:pPr>
              <w:spacing w:before="33" w:after="0"/>
              <w:ind w:left="24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228C09B0" w14:textId="48D09CCF" w:rsidR="002F0FC5" w:rsidRPr="00E3110F" w:rsidRDefault="00503FA9" w:rsidP="00CB5537">
            <w:pPr>
              <w:spacing w:before="33" w:after="0"/>
              <w:ind w:left="23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6305932C" w14:textId="77777777" w:rsidTr="00975EB3">
        <w:tc>
          <w:tcPr>
            <w:tcW w:w="2778" w:type="dxa"/>
          </w:tcPr>
          <w:p w14:paraId="01310FBB" w14:textId="6C6F3528" w:rsidR="002F0FC5" w:rsidRPr="00E3110F" w:rsidRDefault="00503FA9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Kongescia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nosovej sliznice</w:t>
            </w:r>
          </w:p>
        </w:tc>
        <w:tc>
          <w:tcPr>
            <w:tcW w:w="1871" w:type="dxa"/>
          </w:tcPr>
          <w:p w14:paraId="52353A32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5F067205" w14:textId="6B206A77" w:rsidR="002F0FC5" w:rsidRPr="00E3110F" w:rsidRDefault="00503FA9" w:rsidP="00CB5537">
            <w:pPr>
              <w:spacing w:before="33" w:after="0"/>
              <w:ind w:left="23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155117AA" w14:textId="26E3CED5" w:rsidR="002F0FC5" w:rsidRPr="00E3110F" w:rsidRDefault="00503FA9" w:rsidP="00CB5537">
            <w:pPr>
              <w:spacing w:before="33" w:after="0"/>
              <w:ind w:left="23" w:right="-20"/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5FAD3405" w14:textId="77777777" w:rsidTr="00975EB3">
        <w:tc>
          <w:tcPr>
            <w:tcW w:w="2778" w:type="dxa"/>
            <w:gridSpan w:val="4"/>
          </w:tcPr>
          <w:p w14:paraId="67EBE496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3EE37F8E" w14:textId="77777777" w:rsidTr="00975EB3">
        <w:tc>
          <w:tcPr>
            <w:tcW w:w="2778" w:type="dxa"/>
            <w:gridSpan w:val="4"/>
          </w:tcPr>
          <w:p w14:paraId="12B18261" w14:textId="3780693B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  <w:lang w:eastAsia="en-US"/>
              </w:rPr>
              <w:t>Poruchy gastrointestinálneho traktu</w:t>
            </w:r>
          </w:p>
        </w:tc>
      </w:tr>
      <w:tr w:rsidR="00F81DA5" w:rsidRPr="00E3110F" w14:paraId="27A41762" w14:textId="77777777" w:rsidTr="00975EB3">
        <w:tc>
          <w:tcPr>
            <w:tcW w:w="2778" w:type="dxa"/>
          </w:tcPr>
          <w:p w14:paraId="38A14CE5" w14:textId="00683CDF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lastRenderedPageBreak/>
              <w:t>Nauzea, vracanie, hnačka</w:t>
            </w:r>
          </w:p>
        </w:tc>
        <w:tc>
          <w:tcPr>
            <w:tcW w:w="1871" w:type="dxa"/>
          </w:tcPr>
          <w:p w14:paraId="1F0FACA8" w14:textId="5EFC6535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375F7D1A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654F20A4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70F4977D" w14:textId="77777777" w:rsidTr="00975EB3">
        <w:tc>
          <w:tcPr>
            <w:tcW w:w="2778" w:type="dxa"/>
          </w:tcPr>
          <w:p w14:paraId="5D21E257" w14:textId="40E1B3E5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Nau</w:t>
            </w:r>
            <w:r w:rsidR="00F220B8" w:rsidRPr="00E3110F">
              <w:rPr>
                <w:rFonts w:eastAsia="Times New Roman"/>
                <w:sz w:val="22"/>
                <w:szCs w:val="22"/>
              </w:rPr>
              <w:t>z</w:t>
            </w:r>
            <w:r w:rsidRPr="00E3110F">
              <w:rPr>
                <w:rFonts w:eastAsia="Times New Roman"/>
                <w:sz w:val="22"/>
                <w:szCs w:val="22"/>
              </w:rPr>
              <w:t>ea</w:t>
            </w:r>
          </w:p>
        </w:tc>
        <w:tc>
          <w:tcPr>
            <w:tcW w:w="1871" w:type="dxa"/>
          </w:tcPr>
          <w:p w14:paraId="77F51857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10B3C1A9" w14:textId="3E08EA50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5B193434" w14:textId="6663A3E9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168614CA" w14:textId="77777777" w:rsidTr="00975EB3">
        <w:tc>
          <w:tcPr>
            <w:tcW w:w="2778" w:type="dxa"/>
          </w:tcPr>
          <w:p w14:paraId="72648620" w14:textId="37E02967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Vracanie</w:t>
            </w:r>
          </w:p>
        </w:tc>
        <w:tc>
          <w:tcPr>
            <w:tcW w:w="1871" w:type="dxa"/>
          </w:tcPr>
          <w:p w14:paraId="157A733D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15A39725" w14:textId="02EA33F6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3FEA31D2" w14:textId="33118546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38B6B149" w14:textId="77777777" w:rsidTr="00975EB3">
        <w:tc>
          <w:tcPr>
            <w:tcW w:w="2778" w:type="dxa"/>
          </w:tcPr>
          <w:p w14:paraId="30D85882" w14:textId="3F4F083D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Hnačka</w:t>
            </w:r>
          </w:p>
        </w:tc>
        <w:tc>
          <w:tcPr>
            <w:tcW w:w="1871" w:type="dxa"/>
          </w:tcPr>
          <w:p w14:paraId="76C845DF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71" w:type="dxa"/>
          </w:tcPr>
          <w:p w14:paraId="7C2D6342" w14:textId="004843C9" w:rsidR="002F0FC5" w:rsidRPr="00E3110F" w:rsidRDefault="009C58B1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7445E6DD" w14:textId="2A409555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1F4FE20E" w14:textId="77777777" w:rsidTr="00975EB3">
        <w:tc>
          <w:tcPr>
            <w:tcW w:w="2778" w:type="dxa"/>
          </w:tcPr>
          <w:p w14:paraId="53BC00E1" w14:textId="4BA2D637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Bolesť brucha</w:t>
            </w:r>
          </w:p>
        </w:tc>
        <w:tc>
          <w:tcPr>
            <w:tcW w:w="1871" w:type="dxa"/>
          </w:tcPr>
          <w:p w14:paraId="6E7A9CE4" w14:textId="4918E44D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70E1B8E8" w14:textId="7076D0CE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1E7F93A5" w14:textId="2E7C4C37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7EAFC108" w14:textId="77777777" w:rsidTr="00975EB3">
        <w:tc>
          <w:tcPr>
            <w:tcW w:w="2778" w:type="dxa"/>
          </w:tcPr>
          <w:p w14:paraId="56A00701" w14:textId="1CE47212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Zápcha</w:t>
            </w:r>
          </w:p>
        </w:tc>
        <w:tc>
          <w:tcPr>
            <w:tcW w:w="1871" w:type="dxa"/>
          </w:tcPr>
          <w:p w14:paraId="54399BFC" w14:textId="06AC223D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4121FE98" w14:textId="5FC65151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5030E436" w14:textId="371B6345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43AE8F43" w14:textId="77777777" w:rsidTr="00975EB3">
        <w:tc>
          <w:tcPr>
            <w:tcW w:w="2778" w:type="dxa"/>
            <w:gridSpan w:val="4"/>
          </w:tcPr>
          <w:p w14:paraId="378D52CF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0E9B5D57" w14:textId="77777777" w:rsidTr="00975EB3">
        <w:tc>
          <w:tcPr>
            <w:tcW w:w="2778" w:type="dxa"/>
            <w:gridSpan w:val="4"/>
          </w:tcPr>
          <w:p w14:paraId="1ABAE2CC" w14:textId="4F0CAF01" w:rsidR="002F0FC5" w:rsidRPr="00E3110F" w:rsidRDefault="00F220B8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pečene a žlčových ciest</w:t>
            </w:r>
          </w:p>
        </w:tc>
      </w:tr>
      <w:tr w:rsidR="00F81DA5" w:rsidRPr="00E3110F" w14:paraId="7DA42DB7" w14:textId="77777777" w:rsidTr="00975EB3">
        <w:tc>
          <w:tcPr>
            <w:tcW w:w="2778" w:type="dxa"/>
          </w:tcPr>
          <w:p w14:paraId="7958930A" w14:textId="32E5E10C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Poškodenie pečene (pozri časť 4.4)</w:t>
            </w:r>
          </w:p>
        </w:tc>
        <w:tc>
          <w:tcPr>
            <w:tcW w:w="1871" w:type="dxa"/>
          </w:tcPr>
          <w:p w14:paraId="560DEEED" w14:textId="04CC9EFE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Menej 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3, 8</w:t>
            </w:r>
          </w:p>
        </w:tc>
        <w:tc>
          <w:tcPr>
            <w:tcW w:w="1871" w:type="dxa"/>
          </w:tcPr>
          <w:p w14:paraId="6F93E385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178C54F6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</w:tr>
      <w:tr w:rsidR="00F81DA5" w:rsidRPr="00E3110F" w14:paraId="622B735B" w14:textId="77777777" w:rsidTr="00975EB3">
        <w:tc>
          <w:tcPr>
            <w:tcW w:w="2778" w:type="dxa"/>
          </w:tcPr>
          <w:p w14:paraId="6785B651" w14:textId="16D21875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Autoimunitná hepatitída (pozri časť 4.4)</w:t>
            </w:r>
          </w:p>
        </w:tc>
        <w:tc>
          <w:tcPr>
            <w:tcW w:w="1871" w:type="dxa"/>
          </w:tcPr>
          <w:p w14:paraId="0FB026E2" w14:textId="5273AC74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Menej 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871" w:type="dxa"/>
          </w:tcPr>
          <w:p w14:paraId="73D05D54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1B994652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</w:tr>
      <w:tr w:rsidR="00F81DA5" w:rsidRPr="00E3110F" w14:paraId="59B06CDA" w14:textId="77777777" w:rsidTr="00975EB3">
        <w:tc>
          <w:tcPr>
            <w:tcW w:w="2778" w:type="dxa"/>
          </w:tcPr>
          <w:p w14:paraId="37F55369" w14:textId="013AFEC7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Zvýšené hladiny pečeňových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transamináz</w:t>
            </w:r>
            <w:proofErr w:type="spellEnd"/>
          </w:p>
        </w:tc>
        <w:tc>
          <w:tcPr>
            <w:tcW w:w="1871" w:type="dxa"/>
          </w:tcPr>
          <w:p w14:paraId="598DA574" w14:textId="7DB4E9F0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2A1149D4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744A1910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</w:tr>
      <w:tr w:rsidR="00F81DA5" w:rsidRPr="00E3110F" w14:paraId="7E3CA96B" w14:textId="77777777" w:rsidTr="00975EB3">
        <w:tc>
          <w:tcPr>
            <w:tcW w:w="2778" w:type="dxa"/>
            <w:gridSpan w:val="4"/>
          </w:tcPr>
          <w:p w14:paraId="604CD2B7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3F40F8B4" w14:textId="77777777" w:rsidTr="00975EB3">
        <w:tc>
          <w:tcPr>
            <w:tcW w:w="2778" w:type="dxa"/>
            <w:gridSpan w:val="4"/>
          </w:tcPr>
          <w:p w14:paraId="783C6022" w14:textId="635C5696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Poruchy kože a podkožného tkaniva</w:t>
            </w:r>
          </w:p>
        </w:tc>
      </w:tr>
      <w:tr w:rsidR="00F81DA5" w:rsidRPr="00E3110F" w14:paraId="38FBB5A6" w14:textId="77777777" w:rsidTr="00975EB3">
        <w:tc>
          <w:tcPr>
            <w:tcW w:w="2778" w:type="dxa"/>
          </w:tcPr>
          <w:p w14:paraId="3A91F113" w14:textId="57E655A7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Vyrážka</w:t>
            </w:r>
          </w:p>
        </w:tc>
        <w:tc>
          <w:tcPr>
            <w:tcW w:w="1871" w:type="dxa"/>
          </w:tcPr>
          <w:p w14:paraId="0BDA3E06" w14:textId="77777777" w:rsidR="002F0FC5" w:rsidRPr="00E3110F" w:rsidRDefault="009B73DC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NR</w:t>
            </w:r>
          </w:p>
        </w:tc>
        <w:tc>
          <w:tcPr>
            <w:tcW w:w="1871" w:type="dxa"/>
          </w:tcPr>
          <w:p w14:paraId="4E8A10AB" w14:textId="5CA03D42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Časté 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71" w:type="dxa"/>
          </w:tcPr>
          <w:p w14:paraId="21AE5B92" w14:textId="23635342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Časté 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9</w:t>
            </w:r>
          </w:p>
        </w:tc>
      </w:tr>
      <w:tr w:rsidR="00F81DA5" w:rsidRPr="00E3110F" w14:paraId="2D2C7D0E" w14:textId="77777777" w:rsidTr="00975EB3">
        <w:tc>
          <w:tcPr>
            <w:tcW w:w="2778" w:type="dxa"/>
            <w:gridSpan w:val="4"/>
          </w:tcPr>
          <w:p w14:paraId="2B747154" w14:textId="77777777" w:rsidR="002F0FC5" w:rsidRPr="00E3110F" w:rsidRDefault="002F0FC5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F81DA5" w:rsidRPr="00E3110F" w14:paraId="3B1A80C3" w14:textId="77777777" w:rsidTr="00975EB3">
        <w:tc>
          <w:tcPr>
            <w:tcW w:w="2778" w:type="dxa"/>
            <w:gridSpan w:val="4"/>
          </w:tcPr>
          <w:p w14:paraId="1EC65E40" w14:textId="3E8C1731" w:rsidR="002F0FC5" w:rsidRPr="00E3110F" w:rsidRDefault="003D42B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i/>
                <w:sz w:val="22"/>
                <w:szCs w:val="22"/>
              </w:rPr>
              <w:t>Celkové poruchy a reakcie v mieste podania</w:t>
            </w:r>
          </w:p>
        </w:tc>
      </w:tr>
      <w:tr w:rsidR="00F81DA5" w:rsidRPr="00E3110F" w14:paraId="60F94F79" w14:textId="77777777" w:rsidTr="00975EB3">
        <w:tc>
          <w:tcPr>
            <w:tcW w:w="2778" w:type="dxa"/>
          </w:tcPr>
          <w:p w14:paraId="02CA8592" w14:textId="6B56FB8C" w:rsidR="002F0FC5" w:rsidRPr="00E3110F" w:rsidRDefault="003D42B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Periférny edém, 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retencia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tekutín</w:t>
            </w:r>
          </w:p>
        </w:tc>
        <w:tc>
          <w:tcPr>
            <w:tcW w:w="1871" w:type="dxa"/>
          </w:tcPr>
          <w:p w14:paraId="2E72E584" w14:textId="75F1B3F6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</w:t>
            </w:r>
            <w:r w:rsidR="009B73DC"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08DBCAA2" w14:textId="45DC66D1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72F94C84" w14:textId="318221F1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7D5BC339" w14:textId="77777777" w:rsidTr="00975EB3">
        <w:tc>
          <w:tcPr>
            <w:tcW w:w="2778" w:type="dxa"/>
          </w:tcPr>
          <w:p w14:paraId="576AC7F9" w14:textId="5563F734" w:rsidR="002F0FC5" w:rsidRPr="00E3110F" w:rsidRDefault="003D42B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Bolesť/nepríjemný pocit na hrudníku</w:t>
            </w:r>
          </w:p>
        </w:tc>
        <w:tc>
          <w:tcPr>
            <w:tcW w:w="1871" w:type="dxa"/>
          </w:tcPr>
          <w:p w14:paraId="36866E54" w14:textId="5878C8DF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5E43624F" w14:textId="40CEB324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5A1F49B6" w14:textId="4D10806D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  <w:tr w:rsidR="00F81DA5" w:rsidRPr="00E3110F" w14:paraId="53D7CE6E" w14:textId="77777777" w:rsidTr="00975EB3">
        <w:tc>
          <w:tcPr>
            <w:tcW w:w="2778" w:type="dxa"/>
          </w:tcPr>
          <w:p w14:paraId="445D686E" w14:textId="1A9C6B00" w:rsidR="002F0FC5" w:rsidRPr="00E3110F" w:rsidRDefault="003D42B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Slabosť</w:t>
            </w:r>
          </w:p>
        </w:tc>
        <w:tc>
          <w:tcPr>
            <w:tcW w:w="1871" w:type="dxa"/>
          </w:tcPr>
          <w:p w14:paraId="4E7C0E37" w14:textId="50251038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 xml:space="preserve"> 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083A2E0C" w14:textId="087E06B0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  <w:tc>
          <w:tcPr>
            <w:tcW w:w="1871" w:type="dxa"/>
          </w:tcPr>
          <w:p w14:paraId="3B054293" w14:textId="13DA5FBA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</w:p>
        </w:tc>
      </w:tr>
      <w:tr w:rsidR="00F81DA5" w:rsidRPr="00E3110F" w14:paraId="6708C466" w14:textId="77777777" w:rsidTr="00975EB3">
        <w:tc>
          <w:tcPr>
            <w:tcW w:w="2778" w:type="dxa"/>
          </w:tcPr>
          <w:p w14:paraId="19172150" w14:textId="4AF5373E" w:rsidR="002F0FC5" w:rsidRPr="00E3110F" w:rsidRDefault="003D42B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Únava</w:t>
            </w:r>
          </w:p>
        </w:tc>
        <w:tc>
          <w:tcPr>
            <w:tcW w:w="1871" w:type="dxa"/>
          </w:tcPr>
          <w:p w14:paraId="2765BB40" w14:textId="2A920E22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Časté</w:t>
            </w:r>
            <w:r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 xml:space="preserve"> </w:t>
            </w:r>
            <w:r w:rsidR="009B73DC" w:rsidRPr="00E3110F">
              <w:rPr>
                <w:rFonts w:eastAsia="Times New Roman"/>
                <w:position w:val="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1" w:type="dxa"/>
          </w:tcPr>
          <w:p w14:paraId="04CD6124" w14:textId="3773D22C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  <w:tc>
          <w:tcPr>
            <w:tcW w:w="1871" w:type="dxa"/>
          </w:tcPr>
          <w:p w14:paraId="56146237" w14:textId="7D53A8C2" w:rsidR="002F0FC5" w:rsidRPr="00E3110F" w:rsidRDefault="008F510A" w:rsidP="00CB5537">
            <w:pPr>
              <w:contextualSpacing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Veľmi časté</w:t>
            </w:r>
          </w:p>
        </w:tc>
      </w:tr>
    </w:tbl>
    <w:p w14:paraId="566376E3" w14:textId="17EF49DE" w:rsidR="002F0FC5" w:rsidRPr="00E3110F" w:rsidRDefault="009B73DC" w:rsidP="00CB5537">
      <w:pPr>
        <w:contextualSpacing/>
        <w:jc w:val="left"/>
        <w:rPr>
          <w:rFonts w:eastAsia="Times New Roman"/>
          <w:sz w:val="22"/>
          <w:szCs w:val="22"/>
        </w:rPr>
      </w:pPr>
      <w:bookmarkStart w:id="14" w:name="UNDESIRABLE_EFFECTS"/>
      <w:bookmarkEnd w:id="13"/>
      <w:r w:rsidRPr="00E3110F">
        <w:rPr>
          <w:rFonts w:eastAsia="Times New Roman"/>
          <w:sz w:val="22"/>
          <w:szCs w:val="22"/>
        </w:rPr>
        <w:t xml:space="preserve">NR – </w:t>
      </w:r>
      <w:r w:rsidR="00D90EE5" w:rsidRPr="00E3110F">
        <w:rPr>
          <w:rFonts w:eastAsia="Times New Roman"/>
          <w:sz w:val="22"/>
          <w:szCs w:val="22"/>
        </w:rPr>
        <w:t>nehlásené</w:t>
      </w:r>
    </w:p>
    <w:p w14:paraId="40D4C9A4" w14:textId="75E30A59" w:rsidR="002F0FC5" w:rsidRPr="00E3110F" w:rsidRDefault="009B73DC" w:rsidP="009169A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1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>Pozri časť „Popis vybraných nežiaducich reakcií“.</w:t>
      </w:r>
      <w:r w:rsidRPr="00E3110F">
        <w:rPr>
          <w:rFonts w:eastAsia="Times New Roman"/>
          <w:sz w:val="22"/>
          <w:szCs w:val="22"/>
        </w:rPr>
        <w:t xml:space="preserve"> </w:t>
      </w:r>
    </w:p>
    <w:p w14:paraId="3E4876FD" w14:textId="0AC472CC" w:rsidR="002F0FC5" w:rsidRPr="00E3110F" w:rsidRDefault="009B73DC" w:rsidP="00EC7BF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2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 xml:space="preserve">Frekvencia bolesti hlavy bola zvyčajne vyššia pri liečbe dávkou </w:t>
      </w:r>
      <w:r w:rsidR="002D351B">
        <w:rPr>
          <w:rFonts w:eastAsia="Times New Roman"/>
          <w:sz w:val="22"/>
          <w:szCs w:val="22"/>
        </w:rPr>
        <w:t xml:space="preserve">10 mg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="00D90EE5"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74CB9D37" w14:textId="0A82A752" w:rsidR="002F0FC5" w:rsidRPr="00E3110F" w:rsidRDefault="009B73DC" w:rsidP="001D3DC0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3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>Údaje sa získali z obdobia sledovania počas rutinného dohľadu nad liekmi a frekvencie sú založené na skúsenostiach z placebom kontrolovaných klinických skúšaní.</w:t>
      </w:r>
    </w:p>
    <w:p w14:paraId="528F94F9" w14:textId="77777777" w:rsidR="00D90EE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4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>Údaje sa získali z obdobia sledovania počas rutinného dohľadu nad liekmi.</w:t>
      </w:r>
    </w:p>
    <w:p w14:paraId="1C44F86A" w14:textId="2D74AC4A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5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>Väčšina hlásených prípadov zlyhania</w:t>
      </w:r>
      <w:r w:rsidR="002D351B">
        <w:rPr>
          <w:rFonts w:eastAsia="Times New Roman"/>
          <w:sz w:val="22"/>
          <w:szCs w:val="22"/>
        </w:rPr>
        <w:t xml:space="preserve"> srdca</w:t>
      </w:r>
      <w:r w:rsidR="00D90EE5" w:rsidRPr="00E3110F">
        <w:rPr>
          <w:rFonts w:eastAsia="Times New Roman"/>
          <w:sz w:val="22"/>
          <w:szCs w:val="22"/>
        </w:rPr>
        <w:t xml:space="preserve"> bola spojená s </w:t>
      </w:r>
      <w:proofErr w:type="spellStart"/>
      <w:r w:rsidR="00D90EE5" w:rsidRPr="00E3110F">
        <w:rPr>
          <w:rFonts w:eastAsia="Times New Roman"/>
          <w:sz w:val="22"/>
          <w:szCs w:val="22"/>
        </w:rPr>
        <w:t>retenciou</w:t>
      </w:r>
      <w:proofErr w:type="spellEnd"/>
      <w:r w:rsidR="00D90EE5" w:rsidRPr="00E3110F">
        <w:rPr>
          <w:rFonts w:eastAsia="Times New Roman"/>
          <w:sz w:val="22"/>
          <w:szCs w:val="22"/>
        </w:rPr>
        <w:t xml:space="preserve"> tekutín. Údaje sa získali z obdobia sledovania počas rutinného dohľadu nad liekmi, frekvencie sú založené na štatistickom modelovaní údajov z placebom kontrolovaných klinických skúšaní.</w:t>
      </w:r>
    </w:p>
    <w:p w14:paraId="5BE82091" w14:textId="700264DA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6</w:t>
      </w:r>
      <w:r w:rsidRPr="00E3110F">
        <w:rPr>
          <w:rFonts w:eastAsia="Times New Roman"/>
          <w:sz w:val="22"/>
          <w:szCs w:val="22"/>
        </w:rPr>
        <w:t xml:space="preserve"> </w:t>
      </w:r>
      <w:r w:rsidR="00D90EE5" w:rsidRPr="00E3110F">
        <w:rPr>
          <w:rFonts w:eastAsia="Times New Roman"/>
          <w:sz w:val="22"/>
          <w:szCs w:val="22"/>
        </w:rPr>
        <w:t xml:space="preserve">Prípady zhoršujúceho sa </w:t>
      </w:r>
      <w:proofErr w:type="spellStart"/>
      <w:r w:rsidR="00D90EE5" w:rsidRPr="00E3110F">
        <w:rPr>
          <w:rFonts w:eastAsia="Times New Roman"/>
          <w:sz w:val="22"/>
          <w:szCs w:val="22"/>
        </w:rPr>
        <w:t>dyspnoe</w:t>
      </w:r>
      <w:proofErr w:type="spellEnd"/>
      <w:r w:rsidR="00D90EE5" w:rsidRPr="00E3110F">
        <w:rPr>
          <w:rFonts w:eastAsia="Times New Roman"/>
          <w:sz w:val="22"/>
          <w:szCs w:val="22"/>
        </w:rPr>
        <w:t xml:space="preserve"> nejasnej etiológie boli hlásené v krátkom čase po začatí liečby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="00D90EE5"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73363722" w14:textId="26E3F476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7</w:t>
      </w:r>
      <w:r w:rsidRPr="00E3110F">
        <w:rPr>
          <w:rFonts w:eastAsia="Times New Roman"/>
          <w:sz w:val="22"/>
          <w:szCs w:val="22"/>
        </w:rPr>
        <w:t xml:space="preserve"> </w:t>
      </w:r>
      <w:r w:rsidR="00604CFC" w:rsidRPr="00E3110F">
        <w:rPr>
          <w:rFonts w:eastAsia="Times New Roman"/>
          <w:sz w:val="22"/>
          <w:szCs w:val="22"/>
        </w:rPr>
        <w:t xml:space="preserve">Počas liečby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="00604CFC" w:rsidRPr="00E3110F">
        <w:rPr>
          <w:rFonts w:eastAsia="Times New Roman"/>
          <w:sz w:val="22"/>
          <w:szCs w:val="22"/>
        </w:rPr>
        <w:t>om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súvisel výskyt </w:t>
      </w:r>
      <w:proofErr w:type="spellStart"/>
      <w:r w:rsidR="00604CFC" w:rsidRPr="00E3110F">
        <w:rPr>
          <w:rFonts w:eastAsia="Times New Roman"/>
          <w:sz w:val="22"/>
          <w:szCs w:val="22"/>
        </w:rPr>
        <w:t>kongescie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nosovej sliznice s dávkou.</w:t>
      </w:r>
    </w:p>
    <w:p w14:paraId="2645B6C4" w14:textId="122610B0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8</w:t>
      </w:r>
      <w:r w:rsidRPr="00E3110F">
        <w:rPr>
          <w:rFonts w:eastAsia="Times New Roman"/>
          <w:sz w:val="22"/>
          <w:szCs w:val="22"/>
        </w:rPr>
        <w:t xml:space="preserve"> </w:t>
      </w:r>
      <w:r w:rsidR="00604CFC" w:rsidRPr="00E3110F">
        <w:rPr>
          <w:rFonts w:eastAsia="Times New Roman"/>
          <w:sz w:val="22"/>
          <w:szCs w:val="22"/>
        </w:rPr>
        <w:t xml:space="preserve">Počas liečby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="00604CFC" w:rsidRPr="00E3110F">
        <w:rPr>
          <w:rFonts w:eastAsia="Times New Roman"/>
          <w:sz w:val="22"/>
          <w:szCs w:val="22"/>
        </w:rPr>
        <w:t>om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boli hlásené prípady autoimunitnej hepatitídy, vrátane prípadov </w:t>
      </w:r>
      <w:proofErr w:type="spellStart"/>
      <w:r w:rsidR="00604CFC" w:rsidRPr="00E3110F">
        <w:rPr>
          <w:rFonts w:eastAsia="Times New Roman"/>
          <w:sz w:val="22"/>
          <w:szCs w:val="22"/>
        </w:rPr>
        <w:t>exacerbácie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604CFC" w:rsidRPr="00E3110F">
        <w:rPr>
          <w:rFonts w:eastAsia="Times New Roman"/>
          <w:sz w:val="22"/>
          <w:szCs w:val="22"/>
        </w:rPr>
        <w:t>autoimunitnej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hepatitídy a poškodenia pečene.</w:t>
      </w:r>
    </w:p>
    <w:p w14:paraId="5B813926" w14:textId="49843EB8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vertAlign w:val="superscript"/>
        </w:rPr>
        <w:t>9</w:t>
      </w:r>
      <w:r w:rsidRPr="00E3110F">
        <w:rPr>
          <w:rFonts w:eastAsia="Times New Roman"/>
          <w:sz w:val="22"/>
          <w:szCs w:val="22"/>
        </w:rPr>
        <w:t xml:space="preserve"> </w:t>
      </w:r>
      <w:r w:rsidR="00604CFC" w:rsidRPr="00E3110F">
        <w:rPr>
          <w:rFonts w:eastAsia="Times New Roman"/>
          <w:sz w:val="22"/>
          <w:szCs w:val="22"/>
        </w:rPr>
        <w:t xml:space="preserve">Vyrážka zahŕňa </w:t>
      </w:r>
      <w:proofErr w:type="spellStart"/>
      <w:r w:rsidR="00604CFC" w:rsidRPr="00E3110F">
        <w:rPr>
          <w:rFonts w:eastAsia="Times New Roman"/>
          <w:sz w:val="22"/>
          <w:szCs w:val="22"/>
        </w:rPr>
        <w:t>erytematóznu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vyrážku, generalizovanú vyrážku, </w:t>
      </w:r>
      <w:proofErr w:type="spellStart"/>
      <w:r w:rsidR="00604CFC" w:rsidRPr="00E3110F">
        <w:rPr>
          <w:rFonts w:eastAsia="Times New Roman"/>
          <w:sz w:val="22"/>
          <w:szCs w:val="22"/>
        </w:rPr>
        <w:t>papulóznu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vyrážku a </w:t>
      </w:r>
      <w:proofErr w:type="spellStart"/>
      <w:r w:rsidR="00604CFC" w:rsidRPr="00E3110F">
        <w:rPr>
          <w:rFonts w:eastAsia="Times New Roman"/>
          <w:sz w:val="22"/>
          <w:szCs w:val="22"/>
        </w:rPr>
        <w:t>pruritickú</w:t>
      </w:r>
      <w:proofErr w:type="spellEnd"/>
      <w:r w:rsidR="00604CFC" w:rsidRPr="00E3110F">
        <w:rPr>
          <w:rFonts w:eastAsia="Times New Roman"/>
          <w:sz w:val="22"/>
          <w:szCs w:val="22"/>
        </w:rPr>
        <w:t xml:space="preserve"> vyrážku.</w:t>
      </w:r>
    </w:p>
    <w:p w14:paraId="077A3D47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778D716E" w14:textId="00C68044" w:rsidR="002F0FC5" w:rsidRPr="00E3110F" w:rsidRDefault="00E07F19" w:rsidP="009169A4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>Popis vybraných nežiaducich reakcií</w:t>
      </w:r>
    </w:p>
    <w:p w14:paraId="07BB5E33" w14:textId="77777777" w:rsidR="002D351B" w:rsidRDefault="002D351B" w:rsidP="00EC7BFE">
      <w:pPr>
        <w:contextualSpacing/>
        <w:jc w:val="left"/>
        <w:rPr>
          <w:rFonts w:eastAsia="Times New Roman"/>
          <w:i/>
          <w:sz w:val="22"/>
          <w:szCs w:val="22"/>
          <w:u w:val="single"/>
        </w:rPr>
      </w:pPr>
    </w:p>
    <w:p w14:paraId="08458259" w14:textId="6143CB99" w:rsidR="002F0FC5" w:rsidRPr="00E3110F" w:rsidRDefault="00E07F19" w:rsidP="001D3DC0">
      <w:pPr>
        <w:contextualSpacing/>
        <w:jc w:val="left"/>
        <w:rPr>
          <w:rFonts w:eastAsia="Times New Roman"/>
          <w:i/>
          <w:sz w:val="22"/>
          <w:szCs w:val="22"/>
          <w:u w:val="single"/>
        </w:rPr>
      </w:pPr>
      <w:r w:rsidRPr="00E3110F">
        <w:rPr>
          <w:rFonts w:eastAsia="Times New Roman"/>
          <w:i/>
          <w:sz w:val="22"/>
          <w:szCs w:val="22"/>
          <w:u w:val="single"/>
        </w:rPr>
        <w:t>Znížená koncentrácia hemoglobínu</w:t>
      </w:r>
    </w:p>
    <w:p w14:paraId="1325F005" w14:textId="078B574E" w:rsidR="00604CFC" w:rsidRPr="00E3110F" w:rsidRDefault="00604CF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období po uvedení lieku na trh boli hlásené prípady anémie vyžadujúcej transfúziu krvi (pozri časť 4.4). Frekvencia zníženej koncentrácie hemoglobínu (anémia) bola vyššia pri liečbe dávkou </w:t>
      </w:r>
      <w:r w:rsidR="002D351B">
        <w:rPr>
          <w:rFonts w:eastAsia="Times New Roman"/>
          <w:sz w:val="22"/>
          <w:szCs w:val="22"/>
        </w:rPr>
        <w:t xml:space="preserve">10 mg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56EEC345" w14:textId="46288590" w:rsidR="00604CFC" w:rsidRPr="00E3110F" w:rsidRDefault="00604CF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lastRenderedPageBreak/>
        <w:t xml:space="preserve">Vo všetkých 12-týždňových placebom kontrolovaných klinických štúdiách fázy 3 došlo u pacientov v skupine s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k zníženiu priemernej koncentrácie hemoglobínu, ktoré bolo zistené už v 4. týždni (zníženie o 0,83 g/dl); priemerné zmeny oproti východiskovej koncentrácii sa zvyčajne stabilizovali počas nasledujúcich 8 týždňov. U celkovo 17 pacientov (6,5 %) v skupine s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sa koncentrácia hemoglobínu znížila o ≥ 15 % oproti východiskovej koncentrácii a klesla pod dolnú hranicu referenčného rozpätia.</w:t>
      </w:r>
    </w:p>
    <w:p w14:paraId="2C2F371F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  <w:u w:val="single"/>
        </w:rPr>
      </w:pPr>
    </w:p>
    <w:p w14:paraId="2A626127" w14:textId="33047BDE" w:rsidR="002F0FC5" w:rsidRPr="00E3110F" w:rsidRDefault="00E07F19">
      <w:pPr>
        <w:spacing w:after="0"/>
        <w:jc w:val="left"/>
        <w:rPr>
          <w:sz w:val="22"/>
          <w:szCs w:val="22"/>
          <w:u w:val="single"/>
        </w:rPr>
      </w:pPr>
      <w:r w:rsidRPr="00E3110F">
        <w:rPr>
          <w:sz w:val="22"/>
          <w:szCs w:val="22"/>
          <w:u w:val="single"/>
        </w:rPr>
        <w:t>Hlásenie podozrení na nežiaduce reakcie</w:t>
      </w:r>
    </w:p>
    <w:p w14:paraId="1B35D42F" w14:textId="1C502CD3" w:rsidR="002F0FC5" w:rsidRPr="00E3110F" w:rsidRDefault="00604CFC">
      <w:pPr>
        <w:spacing w:after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E3110F">
        <w:rPr>
          <w:sz w:val="22"/>
          <w:szCs w:val="22"/>
          <w:highlight w:val="lightGray"/>
        </w:rPr>
        <w:t>národné centrum hlásenia uvedené v</w:t>
      </w:r>
      <w:r w:rsidR="009B73DC" w:rsidRPr="00E3110F">
        <w:rPr>
          <w:sz w:val="22"/>
          <w:szCs w:val="22"/>
          <w:highlight w:val="lightGray"/>
        </w:rPr>
        <w:t xml:space="preserve"> </w:t>
      </w:r>
      <w:hyperlink r:id="rId8" w:history="1">
        <w:r w:rsidRPr="00E3110F">
          <w:rPr>
            <w:rStyle w:val="Hypertextovprepojenie"/>
            <w:sz w:val="22"/>
            <w:szCs w:val="22"/>
            <w:highlight w:val="lightGray"/>
          </w:rPr>
          <w:t>Prílohe</w:t>
        </w:r>
        <w:r w:rsidR="009B73DC" w:rsidRPr="00E3110F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="009B73DC" w:rsidRPr="00E3110F">
        <w:rPr>
          <w:sz w:val="22"/>
          <w:szCs w:val="22"/>
        </w:rPr>
        <w:t>.</w:t>
      </w:r>
    </w:p>
    <w:p w14:paraId="7B19DFB2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2AA79A97" w14:textId="5CACA3FF" w:rsidR="002F0FC5" w:rsidRPr="00E3110F" w:rsidRDefault="009B73DC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4.9</w:t>
      </w:r>
      <w:r w:rsidRPr="00E3110F">
        <w:rPr>
          <w:b/>
          <w:sz w:val="22"/>
          <w:szCs w:val="22"/>
        </w:rPr>
        <w:tab/>
      </w:r>
      <w:r w:rsidR="00E07F19" w:rsidRPr="00E3110F">
        <w:rPr>
          <w:b/>
          <w:sz w:val="22"/>
          <w:szCs w:val="22"/>
        </w:rPr>
        <w:t>Predávkovanie</w:t>
      </w:r>
    </w:p>
    <w:p w14:paraId="7AE24E1F" w14:textId="77777777" w:rsidR="002F0FC5" w:rsidRPr="00E3110F" w:rsidRDefault="002F0FC5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4E708B64" w14:textId="1B98BC28" w:rsidR="002F0FC5" w:rsidRPr="00E3110F" w:rsidRDefault="00E37AA8">
      <w:pPr>
        <w:contextualSpacing/>
        <w:jc w:val="left"/>
        <w:rPr>
          <w:rFonts w:eastAsia="Times New Roman"/>
          <w:sz w:val="22"/>
          <w:szCs w:val="22"/>
        </w:rPr>
      </w:pPr>
      <w:bookmarkStart w:id="15" w:name="OVERDOSE"/>
      <w:bookmarkEnd w:id="14"/>
      <w:r w:rsidRPr="00E3110F">
        <w:rPr>
          <w:rFonts w:eastAsia="Times New Roman"/>
          <w:sz w:val="22"/>
          <w:szCs w:val="22"/>
        </w:rPr>
        <w:t xml:space="preserve">U pacientov s PAH nie sú skúsenosti s podávaním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v denných dávkach vyšších ako 10 mg. U zdravých dobrovoľníkov bolo podanie jednorazovej dávky 50 a 100 mg (5- až 10-násobok maximálnej odporúčanej dávky) spojené s bolesťou hlavy, návalmi tepla, závratmi, nauzeou a </w:t>
      </w:r>
      <w:proofErr w:type="spellStart"/>
      <w:r w:rsidRPr="00E3110F">
        <w:rPr>
          <w:rFonts w:eastAsia="Times New Roman"/>
          <w:sz w:val="22"/>
          <w:szCs w:val="22"/>
        </w:rPr>
        <w:t>kongesciou</w:t>
      </w:r>
      <w:proofErr w:type="spellEnd"/>
      <w:r w:rsidRPr="00E3110F">
        <w:rPr>
          <w:rFonts w:eastAsia="Times New Roman"/>
          <w:sz w:val="22"/>
          <w:szCs w:val="22"/>
        </w:rPr>
        <w:t xml:space="preserve"> nosovej sliznice.</w:t>
      </w:r>
    </w:p>
    <w:p w14:paraId="751DF236" w14:textId="77777777" w:rsidR="0033468E" w:rsidRPr="00E3110F" w:rsidRDefault="0033468E">
      <w:pPr>
        <w:contextualSpacing/>
        <w:jc w:val="left"/>
        <w:rPr>
          <w:rFonts w:eastAsia="Times New Roman"/>
          <w:sz w:val="22"/>
          <w:szCs w:val="22"/>
        </w:rPr>
      </w:pPr>
    </w:p>
    <w:p w14:paraId="2FAC3B36" w14:textId="4D771203" w:rsidR="0033468E" w:rsidRPr="00E3110F" w:rsidRDefault="0033468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Vzhľadom na mechanizmus účinku by predávkovanie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mohlo potenciálne spôsobiť hypotenziu (pozri časť 5.3). V prípade výraznej hypotenzie môže byť potrebná aktívna kardiovaskulárna podpora. Nie je k dispozícii špecifické </w:t>
      </w:r>
      <w:proofErr w:type="spellStart"/>
      <w:r w:rsidRPr="00E3110F">
        <w:rPr>
          <w:rFonts w:eastAsia="Times New Roman"/>
          <w:sz w:val="22"/>
          <w:szCs w:val="22"/>
        </w:rPr>
        <w:t>antidotum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78603F3F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1F674C60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58E9B559" w14:textId="350DC1DD" w:rsidR="002F0FC5" w:rsidRPr="00E3110F" w:rsidRDefault="009B73DC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5.</w:t>
      </w:r>
      <w:r w:rsidRPr="00E3110F">
        <w:rPr>
          <w:bCs/>
          <w:iCs/>
          <w:lang w:val="sk-SK"/>
        </w:rPr>
        <w:tab/>
      </w:r>
      <w:r w:rsidR="00E07F19" w:rsidRPr="00E3110F">
        <w:rPr>
          <w:bCs/>
          <w:iCs/>
          <w:lang w:val="sk-SK"/>
        </w:rPr>
        <w:t>FARMAKOLOGICKÉ VLASTNOSTI</w:t>
      </w:r>
    </w:p>
    <w:p w14:paraId="18DEF332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  <w:bookmarkStart w:id="16" w:name="PHARMACOLOGICAL_PROPS"/>
      <w:bookmarkEnd w:id="15"/>
    </w:p>
    <w:p w14:paraId="3C24932A" w14:textId="082795E9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5.1</w:t>
      </w:r>
      <w:r w:rsidRPr="00E3110F">
        <w:rPr>
          <w:b/>
          <w:sz w:val="22"/>
          <w:szCs w:val="22"/>
        </w:rPr>
        <w:tab/>
      </w:r>
      <w:proofErr w:type="spellStart"/>
      <w:r w:rsidR="00E07F19" w:rsidRPr="00E3110F">
        <w:rPr>
          <w:b/>
          <w:sz w:val="22"/>
          <w:szCs w:val="22"/>
        </w:rPr>
        <w:t>Farmakodynamické</w:t>
      </w:r>
      <w:proofErr w:type="spellEnd"/>
      <w:r w:rsidR="00E07F19" w:rsidRPr="00E3110F">
        <w:rPr>
          <w:b/>
          <w:sz w:val="22"/>
          <w:szCs w:val="22"/>
        </w:rPr>
        <w:t xml:space="preserve"> vlastnosti</w:t>
      </w:r>
    </w:p>
    <w:p w14:paraId="622E8F78" w14:textId="77777777" w:rsidR="002F0FC5" w:rsidRPr="00E3110F" w:rsidRDefault="002F0FC5">
      <w:pPr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2F42C6F0" w14:textId="6BEAA918" w:rsidR="002F0FC5" w:rsidRPr="00E3110F" w:rsidRDefault="004C0392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 w:rsidRPr="00E3110F">
        <w:rPr>
          <w:rFonts w:eastAsia="Times New Roman"/>
          <w:bCs/>
          <w:sz w:val="22"/>
          <w:szCs w:val="22"/>
        </w:rPr>
        <w:t>Farmakoterapeutická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 skupina: </w:t>
      </w:r>
      <w:proofErr w:type="spellStart"/>
      <w:r w:rsidRPr="00E3110F">
        <w:rPr>
          <w:rFonts w:eastAsia="Times New Roman"/>
          <w:bCs/>
          <w:sz w:val="22"/>
          <w:szCs w:val="22"/>
        </w:rPr>
        <w:t>Antihypertenzíva</w:t>
      </w:r>
      <w:proofErr w:type="spellEnd"/>
      <w:r w:rsidRPr="00E3110F">
        <w:rPr>
          <w:rFonts w:eastAsia="Times New Roman"/>
          <w:bCs/>
          <w:sz w:val="22"/>
          <w:szCs w:val="22"/>
        </w:rPr>
        <w:t xml:space="preserve">, iné </w:t>
      </w:r>
      <w:proofErr w:type="spellStart"/>
      <w:r w:rsidRPr="00E3110F">
        <w:rPr>
          <w:rFonts w:eastAsia="Times New Roman"/>
          <w:bCs/>
          <w:sz w:val="22"/>
          <w:szCs w:val="22"/>
        </w:rPr>
        <w:t>antihypertenzíva</w:t>
      </w:r>
      <w:proofErr w:type="spellEnd"/>
      <w:r w:rsidRPr="00E3110F">
        <w:rPr>
          <w:rFonts w:eastAsia="Times New Roman"/>
          <w:bCs/>
          <w:sz w:val="22"/>
          <w:szCs w:val="22"/>
        </w:rPr>
        <w:t>, ATC kód: C02KX02</w:t>
      </w:r>
    </w:p>
    <w:p w14:paraId="2FD69E95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578E9936" w14:textId="06C88B7D" w:rsidR="002F0FC5" w:rsidRPr="00E3110F" w:rsidRDefault="00E07F19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u w:val="single"/>
        </w:rPr>
        <w:t>Mechanizmus účinku</w:t>
      </w:r>
    </w:p>
    <w:p w14:paraId="740543EF" w14:textId="5881DFAE" w:rsidR="004C0392" w:rsidRPr="00E3110F" w:rsidRDefault="00EF25DE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 w:rsidRPr="009C5C64">
        <w:rPr>
          <w:sz w:val="22"/>
          <w:szCs w:val="22"/>
        </w:rPr>
        <w:t>Ambrisent</w:t>
      </w:r>
      <w:r>
        <w:rPr>
          <w:sz w:val="22"/>
          <w:szCs w:val="22"/>
        </w:rPr>
        <w:t>á</w:t>
      </w:r>
      <w:r w:rsidRPr="009C5C64">
        <w:rPr>
          <w:sz w:val="22"/>
          <w:szCs w:val="22"/>
        </w:rPr>
        <w:t>n</w:t>
      </w:r>
      <w:proofErr w:type="spellEnd"/>
      <w:r w:rsidRPr="009C5C64">
        <w:rPr>
          <w:sz w:val="22"/>
          <w:szCs w:val="22"/>
        </w:rPr>
        <w:t xml:space="preserve"> je perorálne účinný </w:t>
      </w:r>
      <w:r>
        <w:rPr>
          <w:sz w:val="22"/>
          <w:szCs w:val="22"/>
        </w:rPr>
        <w:t xml:space="preserve">antagonista </w:t>
      </w:r>
      <w:proofErr w:type="spellStart"/>
      <w:r>
        <w:rPr>
          <w:sz w:val="22"/>
          <w:szCs w:val="22"/>
        </w:rPr>
        <w:t>endotelínových</w:t>
      </w:r>
      <w:proofErr w:type="spellEnd"/>
      <w:r>
        <w:rPr>
          <w:sz w:val="22"/>
          <w:szCs w:val="22"/>
        </w:rPr>
        <w:t xml:space="preserve"> receptorov (ERA) s afinitou k </w:t>
      </w:r>
      <w:proofErr w:type="spellStart"/>
      <w:r>
        <w:rPr>
          <w:sz w:val="22"/>
          <w:szCs w:val="22"/>
        </w:rPr>
        <w:t>endotelínovému</w:t>
      </w:r>
      <w:proofErr w:type="spellEnd"/>
      <w:r>
        <w:rPr>
          <w:sz w:val="22"/>
          <w:szCs w:val="22"/>
        </w:rPr>
        <w:t xml:space="preserve"> receptoru typu A (ET</w:t>
      </w:r>
      <w:r w:rsidRPr="00852AA5"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 xml:space="preserve">) patriaci do triedy kyseliny </w:t>
      </w:r>
      <w:proofErr w:type="spellStart"/>
      <w:r>
        <w:rPr>
          <w:sz w:val="22"/>
          <w:szCs w:val="22"/>
        </w:rPr>
        <w:t>propiónovej</w:t>
      </w:r>
      <w:r>
        <w:rPr>
          <w:rFonts w:eastAsia="Times New Roman"/>
          <w:sz w:val="22"/>
          <w:szCs w:val="22"/>
        </w:rPr>
        <w:t>.</w:t>
      </w:r>
      <w:r w:rsidR="004C0392" w:rsidRPr="00E3110F">
        <w:rPr>
          <w:rFonts w:eastAsia="Times New Roman"/>
          <w:sz w:val="22"/>
          <w:szCs w:val="22"/>
        </w:rPr>
        <w:t>Endotelín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má významnú úlohu v </w:t>
      </w:r>
      <w:proofErr w:type="spellStart"/>
      <w:r w:rsidR="004C0392" w:rsidRPr="00E3110F">
        <w:rPr>
          <w:rFonts w:eastAsia="Times New Roman"/>
          <w:sz w:val="22"/>
          <w:szCs w:val="22"/>
        </w:rPr>
        <w:t>patofyziológii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PAH.</w:t>
      </w:r>
    </w:p>
    <w:p w14:paraId="6BD5CDA3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043EC800" w14:textId="096EFC0B" w:rsidR="002F0FC5" w:rsidRPr="00E3110F" w:rsidRDefault="007D388A">
      <w:pPr>
        <w:pStyle w:val="Odsekzoznamu"/>
        <w:numPr>
          <w:ilvl w:val="0"/>
          <w:numId w:val="31"/>
        </w:numPr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je účinný (</w:t>
      </w:r>
      <w:proofErr w:type="spellStart"/>
      <w:r w:rsidR="004C0392" w:rsidRPr="00E3110F">
        <w:rPr>
          <w:rFonts w:eastAsia="Times New Roman"/>
          <w:sz w:val="22"/>
          <w:szCs w:val="22"/>
        </w:rPr>
        <w:t>Ki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0,016 </w:t>
      </w:r>
      <w:proofErr w:type="spellStart"/>
      <w:r w:rsidR="004C0392" w:rsidRPr="00E3110F">
        <w:rPr>
          <w:rFonts w:eastAsia="Times New Roman"/>
          <w:sz w:val="22"/>
          <w:szCs w:val="22"/>
        </w:rPr>
        <w:t>nM</w:t>
      </w:r>
      <w:proofErr w:type="spellEnd"/>
      <w:r w:rsidR="004C0392" w:rsidRPr="00E3110F">
        <w:rPr>
          <w:rFonts w:eastAsia="Times New Roman"/>
          <w:sz w:val="22"/>
          <w:szCs w:val="22"/>
        </w:rPr>
        <w:t>) a vysoko selektívny antagonista ET</w:t>
      </w:r>
      <w:r w:rsidR="004C0392" w:rsidRPr="00E3110F">
        <w:rPr>
          <w:rFonts w:eastAsia="Times New Roman"/>
          <w:sz w:val="22"/>
          <w:szCs w:val="22"/>
          <w:vertAlign w:val="subscript"/>
        </w:rPr>
        <w:t>A</w:t>
      </w:r>
      <w:r w:rsidR="004C0392" w:rsidRPr="00E3110F">
        <w:rPr>
          <w:rFonts w:eastAsia="Times New Roman"/>
          <w:sz w:val="22"/>
          <w:szCs w:val="22"/>
        </w:rPr>
        <w:t xml:space="preserve"> (približne 4 000-násobne selektívnejší pre ET</w:t>
      </w:r>
      <w:r w:rsidR="004C0392" w:rsidRPr="00E3110F">
        <w:rPr>
          <w:rFonts w:eastAsia="Times New Roman"/>
          <w:sz w:val="22"/>
          <w:szCs w:val="22"/>
          <w:vertAlign w:val="subscript"/>
        </w:rPr>
        <w:t>A</w:t>
      </w:r>
      <w:r w:rsidR="004C0392" w:rsidRPr="00E3110F">
        <w:rPr>
          <w:rFonts w:eastAsia="Times New Roman"/>
          <w:sz w:val="22"/>
          <w:szCs w:val="22"/>
        </w:rPr>
        <w:t xml:space="preserve"> ako pre ET</w:t>
      </w:r>
      <w:r w:rsidR="004C0392" w:rsidRPr="00E3110F">
        <w:rPr>
          <w:rFonts w:eastAsia="Times New Roman"/>
          <w:sz w:val="22"/>
          <w:szCs w:val="22"/>
          <w:vertAlign w:val="subscript"/>
        </w:rPr>
        <w:t>B</w:t>
      </w:r>
      <w:r w:rsidR="004C0392" w:rsidRPr="00E3110F">
        <w:rPr>
          <w:rFonts w:eastAsia="Times New Roman"/>
          <w:sz w:val="22"/>
          <w:szCs w:val="22"/>
        </w:rPr>
        <w:t xml:space="preserve">). </w:t>
      </w:r>
    </w:p>
    <w:p w14:paraId="3018E955" w14:textId="6723888D" w:rsidR="004C0392" w:rsidRPr="00E3110F" w:rsidRDefault="007D388A">
      <w:pPr>
        <w:pStyle w:val="Odsekzoznamu"/>
        <w:numPr>
          <w:ilvl w:val="0"/>
          <w:numId w:val="31"/>
        </w:numPr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Ambrisentán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blokuje </w:t>
      </w:r>
      <w:proofErr w:type="spellStart"/>
      <w:r w:rsidR="004C0392" w:rsidRPr="00E3110F">
        <w:rPr>
          <w:rFonts w:eastAsia="Times New Roman"/>
          <w:sz w:val="22"/>
          <w:szCs w:val="22"/>
        </w:rPr>
        <w:t>receptorový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podtyp</w:t>
      </w:r>
      <w:r w:rsidR="00035B23">
        <w:rPr>
          <w:rFonts w:eastAsia="Times New Roman"/>
          <w:sz w:val="22"/>
          <w:szCs w:val="22"/>
        </w:rPr>
        <w:t xml:space="preserve"> </w:t>
      </w:r>
      <w:r w:rsidR="00035B23" w:rsidRPr="00E3110F">
        <w:rPr>
          <w:rFonts w:eastAsia="Times New Roman"/>
          <w:sz w:val="22"/>
          <w:szCs w:val="22"/>
        </w:rPr>
        <w:t>ET</w:t>
      </w:r>
      <w:r w:rsidR="00035B23" w:rsidRPr="00E3110F">
        <w:rPr>
          <w:rFonts w:eastAsia="Times New Roman"/>
          <w:sz w:val="22"/>
          <w:szCs w:val="22"/>
          <w:vertAlign w:val="subscript"/>
        </w:rPr>
        <w:t>A</w:t>
      </w:r>
      <w:r w:rsidR="004C0392" w:rsidRPr="00E3110F">
        <w:rPr>
          <w:rFonts w:eastAsia="Times New Roman"/>
          <w:sz w:val="22"/>
          <w:szCs w:val="22"/>
        </w:rPr>
        <w:t xml:space="preserve">, ktorý sa nachádza predovšetkým </w:t>
      </w:r>
      <w:r w:rsidR="00035B23">
        <w:rPr>
          <w:rFonts w:eastAsia="Times New Roman"/>
          <w:sz w:val="22"/>
          <w:szCs w:val="22"/>
        </w:rPr>
        <w:t>v</w:t>
      </w:r>
      <w:r w:rsidR="004C0392" w:rsidRPr="00E3110F">
        <w:rPr>
          <w:rFonts w:eastAsia="Times New Roman"/>
          <w:sz w:val="22"/>
          <w:szCs w:val="22"/>
        </w:rPr>
        <w:t xml:space="preserve"> bunkách hladkého svalstva ciev a srdcových </w:t>
      </w:r>
      <w:proofErr w:type="spellStart"/>
      <w:r w:rsidR="004C0392" w:rsidRPr="00E3110F">
        <w:rPr>
          <w:rFonts w:eastAsia="Times New Roman"/>
          <w:sz w:val="22"/>
          <w:szCs w:val="22"/>
        </w:rPr>
        <w:t>myocytoch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. To zabraňuje </w:t>
      </w:r>
      <w:proofErr w:type="spellStart"/>
      <w:r w:rsidR="004C0392" w:rsidRPr="00E3110F">
        <w:rPr>
          <w:rFonts w:eastAsia="Times New Roman"/>
          <w:sz w:val="22"/>
          <w:szCs w:val="22"/>
        </w:rPr>
        <w:t>endotelínom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sprostredkovanej aktivácii </w:t>
      </w:r>
      <w:r w:rsidR="00035B23">
        <w:rPr>
          <w:rFonts w:eastAsia="Times New Roman"/>
          <w:sz w:val="22"/>
          <w:szCs w:val="22"/>
        </w:rPr>
        <w:t>systémov druhého posla</w:t>
      </w:r>
      <w:r w:rsidR="004C0392" w:rsidRPr="00E3110F">
        <w:rPr>
          <w:rFonts w:eastAsia="Times New Roman"/>
          <w:sz w:val="22"/>
          <w:szCs w:val="22"/>
        </w:rPr>
        <w:t xml:space="preserve">, čo má za následok </w:t>
      </w:r>
      <w:proofErr w:type="spellStart"/>
      <w:r w:rsidR="004C0392" w:rsidRPr="00E3110F">
        <w:rPr>
          <w:rFonts w:eastAsia="Times New Roman"/>
          <w:sz w:val="22"/>
          <w:szCs w:val="22"/>
        </w:rPr>
        <w:t>vazokonstrikciu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="004C0392" w:rsidRPr="00E3110F">
        <w:rPr>
          <w:rFonts w:eastAsia="Times New Roman"/>
          <w:sz w:val="22"/>
          <w:szCs w:val="22"/>
        </w:rPr>
        <w:t>proliferáciu</w:t>
      </w:r>
      <w:proofErr w:type="spellEnd"/>
      <w:r w:rsidR="004C0392" w:rsidRPr="00E3110F">
        <w:rPr>
          <w:rFonts w:eastAsia="Times New Roman"/>
          <w:sz w:val="22"/>
          <w:szCs w:val="22"/>
        </w:rPr>
        <w:t xml:space="preserve"> buniek hladkého svalstva.</w:t>
      </w:r>
    </w:p>
    <w:p w14:paraId="1B5A97F4" w14:textId="3DECF5D1" w:rsidR="004C0392" w:rsidRPr="00E3110F" w:rsidRDefault="004C0392">
      <w:pPr>
        <w:pStyle w:val="Odsekzoznamu"/>
        <w:numPr>
          <w:ilvl w:val="0"/>
          <w:numId w:val="31"/>
        </w:numPr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Očakáva sa, že vďaka </w:t>
      </w:r>
      <w:r w:rsidR="00035B23">
        <w:rPr>
          <w:rFonts w:eastAsia="Times New Roman"/>
          <w:sz w:val="22"/>
          <w:szCs w:val="22"/>
        </w:rPr>
        <w:t xml:space="preserve">vyššej </w:t>
      </w:r>
      <w:proofErr w:type="spellStart"/>
      <w:r w:rsidRPr="00E3110F">
        <w:rPr>
          <w:rFonts w:eastAsia="Times New Roman"/>
          <w:sz w:val="22"/>
          <w:szCs w:val="22"/>
        </w:rPr>
        <w:t>selektivite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pre receptor</w:t>
      </w:r>
      <w:r w:rsidR="00035B23">
        <w:rPr>
          <w:rFonts w:eastAsia="Times New Roman"/>
          <w:sz w:val="22"/>
          <w:szCs w:val="22"/>
        </w:rPr>
        <w:t xml:space="preserve"> </w:t>
      </w:r>
      <w:r w:rsidR="00035B23" w:rsidRPr="00E3110F">
        <w:rPr>
          <w:rFonts w:eastAsia="Times New Roman"/>
          <w:sz w:val="22"/>
          <w:szCs w:val="22"/>
        </w:rPr>
        <w:t>ET</w:t>
      </w:r>
      <w:r w:rsidR="00035B23" w:rsidRPr="00E3110F">
        <w:rPr>
          <w:rFonts w:eastAsia="Times New Roman"/>
          <w:sz w:val="22"/>
          <w:szCs w:val="22"/>
          <w:vertAlign w:val="subscript"/>
        </w:rPr>
        <w:t>A</w:t>
      </w:r>
      <w:r w:rsidRPr="00E3110F">
        <w:rPr>
          <w:rFonts w:eastAsia="Times New Roman"/>
          <w:sz w:val="22"/>
          <w:szCs w:val="22"/>
        </w:rPr>
        <w:t xml:space="preserve"> </w:t>
      </w:r>
      <w:r w:rsidR="00035B23">
        <w:rPr>
          <w:rFonts w:eastAsia="Times New Roman"/>
          <w:sz w:val="22"/>
          <w:szCs w:val="22"/>
        </w:rPr>
        <w:t>než</w:t>
      </w:r>
      <w:r w:rsidRPr="00E3110F">
        <w:rPr>
          <w:rFonts w:eastAsia="Times New Roman"/>
          <w:sz w:val="22"/>
          <w:szCs w:val="22"/>
        </w:rPr>
        <w:t xml:space="preserve"> pre ET</w:t>
      </w:r>
      <w:r w:rsidRPr="00E3110F">
        <w:rPr>
          <w:rFonts w:eastAsia="Times New Roman"/>
          <w:sz w:val="22"/>
          <w:szCs w:val="22"/>
          <w:vertAlign w:val="subscript"/>
        </w:rPr>
        <w:t>B</w:t>
      </w:r>
      <w:r w:rsidRPr="00E3110F">
        <w:rPr>
          <w:rFonts w:eastAsia="Times New Roman"/>
          <w:sz w:val="22"/>
          <w:szCs w:val="22"/>
        </w:rPr>
        <w:t xml:space="preserve"> sa zachová</w:t>
      </w:r>
      <w:r w:rsidR="00035B23">
        <w:rPr>
          <w:rFonts w:eastAsia="Times New Roman"/>
          <w:sz w:val="22"/>
          <w:szCs w:val="22"/>
        </w:rPr>
        <w:t xml:space="preserve"> </w:t>
      </w:r>
      <w:r w:rsidRPr="00E3110F">
        <w:rPr>
          <w:rFonts w:eastAsia="Times New Roman"/>
          <w:sz w:val="22"/>
          <w:szCs w:val="22"/>
        </w:rPr>
        <w:t xml:space="preserve">receptorom </w:t>
      </w:r>
      <w:r w:rsidR="00035B23" w:rsidRPr="00E3110F">
        <w:rPr>
          <w:rFonts w:eastAsia="Times New Roman"/>
          <w:sz w:val="22"/>
          <w:szCs w:val="22"/>
        </w:rPr>
        <w:t>ET</w:t>
      </w:r>
      <w:r w:rsidR="00035B23">
        <w:rPr>
          <w:rFonts w:eastAsia="Times New Roman"/>
          <w:sz w:val="22"/>
          <w:szCs w:val="22"/>
          <w:vertAlign w:val="subscript"/>
        </w:rPr>
        <w:t xml:space="preserve">B </w:t>
      </w:r>
      <w:r w:rsidRPr="00E3110F">
        <w:rPr>
          <w:rFonts w:eastAsia="Times New Roman"/>
          <w:sz w:val="22"/>
          <w:szCs w:val="22"/>
        </w:rPr>
        <w:t xml:space="preserve">sprostredkovaná tvorba </w:t>
      </w:r>
      <w:proofErr w:type="spellStart"/>
      <w:r w:rsidRPr="00E3110F">
        <w:rPr>
          <w:rFonts w:eastAsia="Times New Roman"/>
          <w:sz w:val="22"/>
          <w:szCs w:val="22"/>
        </w:rPr>
        <w:t>vazodilatačn</w:t>
      </w:r>
      <w:r w:rsidR="00035B23">
        <w:rPr>
          <w:rFonts w:eastAsia="Times New Roman"/>
          <w:sz w:val="22"/>
          <w:szCs w:val="22"/>
        </w:rPr>
        <w:t>e</w:t>
      </w:r>
      <w:proofErr w:type="spellEnd"/>
      <w:r w:rsidR="00035B23">
        <w:rPr>
          <w:rFonts w:eastAsia="Times New Roman"/>
          <w:sz w:val="22"/>
          <w:szCs w:val="22"/>
        </w:rPr>
        <w:t xml:space="preserve"> pôsobiaceho</w:t>
      </w:r>
      <w:r w:rsidRPr="00E3110F">
        <w:rPr>
          <w:rFonts w:eastAsia="Times New Roman"/>
          <w:sz w:val="22"/>
          <w:szCs w:val="22"/>
        </w:rPr>
        <w:t xml:space="preserve">  oxidu </w:t>
      </w:r>
      <w:proofErr w:type="spellStart"/>
      <w:r w:rsidRPr="00E3110F">
        <w:rPr>
          <w:rFonts w:eastAsia="Times New Roman"/>
          <w:sz w:val="22"/>
          <w:szCs w:val="22"/>
        </w:rPr>
        <w:t>dusnatého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prostacyklínu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30DB8B42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17A3971" w14:textId="3BF6D6BC" w:rsidR="002F0FC5" w:rsidRPr="00E3110F" w:rsidRDefault="00E07F19">
      <w:pPr>
        <w:keepNext/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sz w:val="22"/>
          <w:szCs w:val="22"/>
          <w:u w:val="single"/>
        </w:rPr>
        <w:t>Klinická účinnosť a bezpečnosť</w:t>
      </w:r>
    </w:p>
    <w:p w14:paraId="2245E566" w14:textId="347208EC" w:rsidR="004C0392" w:rsidRPr="00E3110F" w:rsidRDefault="004C0392">
      <w:pPr>
        <w:keepNext/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Boli vykonané dve </w:t>
      </w:r>
      <w:proofErr w:type="spellStart"/>
      <w:r w:rsidRPr="00E3110F">
        <w:rPr>
          <w:rFonts w:eastAsia="Times New Roman"/>
          <w:sz w:val="22"/>
          <w:szCs w:val="22"/>
        </w:rPr>
        <w:t>randomizované</w:t>
      </w:r>
      <w:proofErr w:type="spellEnd"/>
      <w:r w:rsidRPr="00E3110F">
        <w:rPr>
          <w:rFonts w:eastAsia="Times New Roman"/>
          <w:sz w:val="22"/>
          <w:szCs w:val="22"/>
        </w:rPr>
        <w:t xml:space="preserve">, dvojito zaslepené, </w:t>
      </w:r>
      <w:proofErr w:type="spellStart"/>
      <w:r w:rsidRPr="00E3110F">
        <w:rPr>
          <w:rFonts w:eastAsia="Times New Roman"/>
          <w:sz w:val="22"/>
          <w:szCs w:val="22"/>
        </w:rPr>
        <w:t>multicentr</w:t>
      </w:r>
      <w:r w:rsidR="00C31E08">
        <w:rPr>
          <w:rFonts w:eastAsia="Times New Roman"/>
          <w:sz w:val="22"/>
          <w:szCs w:val="22"/>
        </w:rPr>
        <w:t>ové</w:t>
      </w:r>
      <w:proofErr w:type="spellEnd"/>
      <w:r w:rsidRPr="00E3110F">
        <w:rPr>
          <w:rFonts w:eastAsia="Times New Roman"/>
          <w:sz w:val="22"/>
          <w:szCs w:val="22"/>
        </w:rPr>
        <w:t xml:space="preserve">, placebom kontrolované </w:t>
      </w:r>
      <w:proofErr w:type="spellStart"/>
      <w:r w:rsidRPr="00E3110F">
        <w:rPr>
          <w:rFonts w:eastAsia="Times New Roman"/>
          <w:sz w:val="22"/>
          <w:szCs w:val="22"/>
        </w:rPr>
        <w:t>pivotné</w:t>
      </w:r>
      <w:proofErr w:type="spellEnd"/>
      <w:r w:rsidRPr="00E3110F">
        <w:rPr>
          <w:rFonts w:eastAsia="Times New Roman"/>
          <w:sz w:val="22"/>
          <w:szCs w:val="22"/>
        </w:rPr>
        <w:t xml:space="preserve"> štúdie fázy 3 (ARIES-1 a 2). Štúdia ARIES-1 zahŕňala 201 pacientov a porovnala dávk</w:t>
      </w:r>
      <w:r w:rsidR="00C31E08">
        <w:rPr>
          <w:rFonts w:eastAsia="Times New Roman"/>
          <w:sz w:val="22"/>
          <w:szCs w:val="22"/>
        </w:rPr>
        <w:t xml:space="preserve">y </w:t>
      </w:r>
      <w:r w:rsidR="00C31E08" w:rsidRPr="00E3110F">
        <w:rPr>
          <w:rFonts w:eastAsia="Times New Roman"/>
          <w:sz w:val="22"/>
          <w:szCs w:val="22"/>
        </w:rPr>
        <w:t xml:space="preserve">5 mg a 10 mg </w:t>
      </w:r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s placebom. Štúdia ARIES-2 zahŕňala 192 pacientov a porovnala 2,5</w:t>
      </w:r>
      <w:r w:rsidR="00E111AE" w:rsidRPr="00E3110F">
        <w:rPr>
          <w:rFonts w:eastAsia="Times New Roman"/>
          <w:sz w:val="22"/>
          <w:szCs w:val="22"/>
        </w:rPr>
        <w:t> </w:t>
      </w:r>
      <w:r w:rsidRPr="00E3110F">
        <w:rPr>
          <w:rFonts w:eastAsia="Times New Roman"/>
          <w:sz w:val="22"/>
          <w:szCs w:val="22"/>
        </w:rPr>
        <w:t xml:space="preserve">mg a 5 mg dávku </w:t>
      </w:r>
      <w:proofErr w:type="spellStart"/>
      <w:r w:rsidR="007D388A">
        <w:rPr>
          <w:rFonts w:eastAsia="Times New Roman"/>
          <w:sz w:val="22"/>
          <w:szCs w:val="22"/>
        </w:rPr>
        <w:lastRenderedPageBreak/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s placebom. V oboch štúdiách bol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pridaný k podpornému/základnému lieku pacientov, čo mohlo zahŕňať podávanie v kombinácii s </w:t>
      </w:r>
      <w:proofErr w:type="spellStart"/>
      <w:r w:rsidRPr="00E3110F">
        <w:rPr>
          <w:rFonts w:eastAsia="Times New Roman"/>
          <w:sz w:val="22"/>
          <w:szCs w:val="22"/>
        </w:rPr>
        <w:t>digoxínom</w:t>
      </w:r>
      <w:proofErr w:type="spellEnd"/>
      <w:r w:rsidRPr="00E3110F">
        <w:rPr>
          <w:rFonts w:eastAsia="Times New Roman"/>
          <w:sz w:val="22"/>
          <w:szCs w:val="22"/>
        </w:rPr>
        <w:t xml:space="preserve">, </w:t>
      </w:r>
      <w:proofErr w:type="spellStart"/>
      <w:r w:rsidRPr="00E3110F">
        <w:rPr>
          <w:rFonts w:eastAsia="Times New Roman"/>
          <w:sz w:val="22"/>
          <w:szCs w:val="22"/>
        </w:rPr>
        <w:t>antikoagulanciami</w:t>
      </w:r>
      <w:proofErr w:type="spellEnd"/>
      <w:r w:rsidRPr="00E3110F">
        <w:rPr>
          <w:rFonts w:eastAsia="Times New Roman"/>
          <w:sz w:val="22"/>
          <w:szCs w:val="22"/>
        </w:rPr>
        <w:t xml:space="preserve">, diuretikami, kyslíkom a </w:t>
      </w:r>
      <w:proofErr w:type="spellStart"/>
      <w:r w:rsidRPr="00E3110F">
        <w:rPr>
          <w:rFonts w:eastAsia="Times New Roman"/>
          <w:sz w:val="22"/>
          <w:szCs w:val="22"/>
        </w:rPr>
        <w:t>vazodilatanciami</w:t>
      </w:r>
      <w:proofErr w:type="spellEnd"/>
      <w:r w:rsidRPr="00E3110F">
        <w:rPr>
          <w:rFonts w:eastAsia="Times New Roman"/>
          <w:sz w:val="22"/>
          <w:szCs w:val="22"/>
        </w:rPr>
        <w:t xml:space="preserve"> (</w:t>
      </w:r>
      <w:proofErr w:type="spellStart"/>
      <w:r w:rsidRPr="00E3110F">
        <w:rPr>
          <w:rFonts w:eastAsia="Times New Roman"/>
          <w:sz w:val="22"/>
          <w:szCs w:val="22"/>
        </w:rPr>
        <w:t>blokátory</w:t>
      </w:r>
      <w:proofErr w:type="spellEnd"/>
      <w:r w:rsidRPr="00E3110F">
        <w:rPr>
          <w:rFonts w:eastAsia="Times New Roman"/>
          <w:sz w:val="22"/>
          <w:szCs w:val="22"/>
        </w:rPr>
        <w:t xml:space="preserve"> kalciových kanálov,  inhibítory</w:t>
      </w:r>
      <w:r w:rsidR="00C31E08">
        <w:rPr>
          <w:rFonts w:eastAsia="Times New Roman"/>
          <w:sz w:val="22"/>
          <w:szCs w:val="22"/>
        </w:rPr>
        <w:t xml:space="preserve"> ACE</w:t>
      </w:r>
      <w:r w:rsidRPr="00E3110F">
        <w:rPr>
          <w:rFonts w:eastAsia="Times New Roman"/>
          <w:sz w:val="22"/>
          <w:szCs w:val="22"/>
        </w:rPr>
        <w:t xml:space="preserve">). Zaradení pacienti mali IPAH alebo PAH spojenú s ochorením spojivového tkaniva (PAH-CTD). Väčšina pacientov mala príznaky funkčnej triedy II (38,4 %) alebo III (55,0 %) podľa </w:t>
      </w:r>
      <w:r w:rsidR="00C31E08">
        <w:rPr>
          <w:rFonts w:eastAsia="Times New Roman"/>
          <w:sz w:val="22"/>
          <w:szCs w:val="22"/>
        </w:rPr>
        <w:t>WHO</w:t>
      </w:r>
      <w:r w:rsidRPr="00E3110F">
        <w:rPr>
          <w:rFonts w:eastAsia="Times New Roman"/>
          <w:sz w:val="22"/>
          <w:szCs w:val="22"/>
        </w:rPr>
        <w:t xml:space="preserve">. Pacienti s už existujúcim ochorením pečene (s cirhózou alebo s klinicky významne zvýšenými hodnotami </w:t>
      </w:r>
      <w:proofErr w:type="spellStart"/>
      <w:r w:rsidRPr="00E3110F">
        <w:rPr>
          <w:rFonts w:eastAsia="Times New Roman"/>
          <w:sz w:val="22"/>
          <w:szCs w:val="22"/>
        </w:rPr>
        <w:t>aminotransferáz</w:t>
      </w:r>
      <w:proofErr w:type="spellEnd"/>
      <w:r w:rsidRPr="00E3110F">
        <w:rPr>
          <w:rFonts w:eastAsia="Times New Roman"/>
          <w:sz w:val="22"/>
          <w:szCs w:val="22"/>
        </w:rPr>
        <w:t xml:space="preserve">) a pacienti používajúci inú cielenú liečbu PAH (napr. </w:t>
      </w:r>
      <w:proofErr w:type="spellStart"/>
      <w:r w:rsidRPr="00E3110F">
        <w:rPr>
          <w:rFonts w:eastAsia="Times New Roman"/>
          <w:sz w:val="22"/>
          <w:szCs w:val="22"/>
        </w:rPr>
        <w:t>prostanoidy</w:t>
      </w:r>
      <w:proofErr w:type="spellEnd"/>
      <w:r w:rsidRPr="00E3110F">
        <w:rPr>
          <w:rFonts w:eastAsia="Times New Roman"/>
          <w:sz w:val="22"/>
          <w:szCs w:val="22"/>
        </w:rPr>
        <w:t xml:space="preserve">) boli vylúčení. </w:t>
      </w:r>
      <w:proofErr w:type="spellStart"/>
      <w:r w:rsidRPr="00E3110F">
        <w:rPr>
          <w:rFonts w:eastAsia="Times New Roman"/>
          <w:sz w:val="22"/>
          <w:szCs w:val="22"/>
        </w:rPr>
        <w:t>Hemodynamické</w:t>
      </w:r>
      <w:proofErr w:type="spellEnd"/>
      <w:r w:rsidRPr="00E3110F">
        <w:rPr>
          <w:rFonts w:eastAsia="Times New Roman"/>
          <w:sz w:val="22"/>
          <w:szCs w:val="22"/>
        </w:rPr>
        <w:t xml:space="preserve"> parametre neboli v týchto štúdiách hodnotené.</w:t>
      </w:r>
    </w:p>
    <w:p w14:paraId="4042FCF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358F766A" w14:textId="32B5EEA1" w:rsidR="00C83C19" w:rsidRDefault="00C83C19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>Primárnym cieľovým ukazovateľom definovaným pre štúdie fázy 3 bolo zlepšenie záťažovej kapacity hodnotené prostredníctvom zmeny oproti východiskovej hodnote v 6-minútovom teste chôdz</w:t>
      </w:r>
      <w:r w:rsidR="00C31E08">
        <w:rPr>
          <w:rFonts w:eastAsia="Times New Roman"/>
          <w:sz w:val="22"/>
          <w:szCs w:val="22"/>
        </w:rPr>
        <w:t>e</w:t>
      </w:r>
      <w:r w:rsidRPr="00E3110F">
        <w:rPr>
          <w:rFonts w:eastAsia="Times New Roman"/>
          <w:sz w:val="22"/>
          <w:szCs w:val="22"/>
        </w:rPr>
        <w:t xml:space="preserve"> (6-minute </w:t>
      </w:r>
      <w:proofErr w:type="spellStart"/>
      <w:r w:rsidRPr="00E3110F">
        <w:rPr>
          <w:rFonts w:eastAsia="Times New Roman"/>
          <w:sz w:val="22"/>
          <w:szCs w:val="22"/>
        </w:rPr>
        <w:t>walk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distance</w:t>
      </w:r>
      <w:proofErr w:type="spellEnd"/>
      <w:r w:rsidRPr="00E3110F">
        <w:rPr>
          <w:rFonts w:eastAsia="Times New Roman"/>
          <w:sz w:val="22"/>
          <w:szCs w:val="22"/>
        </w:rPr>
        <w:t xml:space="preserve">, 6MWD) v 12. týždni. V oboch štúdiách viedla liečba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k významnému zlepšeniu v 6MWD pri každej dávke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>.</w:t>
      </w:r>
    </w:p>
    <w:p w14:paraId="77DC5C6A" w14:textId="77777777" w:rsidR="00C31E08" w:rsidRPr="00E3110F" w:rsidRDefault="00C31E08">
      <w:pPr>
        <w:contextualSpacing/>
        <w:jc w:val="left"/>
        <w:rPr>
          <w:rFonts w:eastAsia="Times New Roman"/>
          <w:sz w:val="22"/>
          <w:szCs w:val="22"/>
        </w:rPr>
      </w:pPr>
    </w:p>
    <w:p w14:paraId="24833B30" w14:textId="26C6C8EA" w:rsidR="00C83C19" w:rsidRPr="00E3110F" w:rsidRDefault="008067A3">
      <w:pPr>
        <w:contextualSpacing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</w:t>
      </w:r>
      <w:r w:rsidR="00C83C19" w:rsidRPr="00E3110F">
        <w:rPr>
          <w:rFonts w:eastAsia="Times New Roman"/>
          <w:sz w:val="22"/>
          <w:szCs w:val="22"/>
        </w:rPr>
        <w:t>lepšenie priemernej 6MWD</w:t>
      </w:r>
      <w:r>
        <w:rPr>
          <w:rFonts w:eastAsia="Times New Roman"/>
          <w:sz w:val="22"/>
          <w:szCs w:val="22"/>
        </w:rPr>
        <w:t xml:space="preserve"> upravenej na účinok placeba</w:t>
      </w:r>
      <w:r w:rsidR="00C83C19" w:rsidRPr="00E3110F">
        <w:rPr>
          <w:rFonts w:eastAsia="Times New Roman"/>
          <w:sz w:val="22"/>
          <w:szCs w:val="22"/>
        </w:rPr>
        <w:t xml:space="preserve"> v 12. týždni oproti východiskovej hodnote v skupine s dávkou</w:t>
      </w:r>
      <w:r w:rsidR="00C31E08">
        <w:rPr>
          <w:rFonts w:eastAsia="Times New Roman"/>
          <w:sz w:val="22"/>
          <w:szCs w:val="22"/>
        </w:rPr>
        <w:t xml:space="preserve"> 5 mg</w:t>
      </w:r>
      <w:r w:rsidR="00C83C19" w:rsidRPr="00E3110F">
        <w:rPr>
          <w:rFonts w:eastAsia="Times New Roman"/>
          <w:sz w:val="22"/>
          <w:szCs w:val="22"/>
        </w:rPr>
        <w:t xml:space="preserve"> bolo 30,6 m (95 % IS: 2,9 až 58,3; p=0,008) v štúdii ARIES-1 a 59,4 m (95 % IS: 29,6 až 89,3; p&lt;0,001) v štúdii ARIES-2. </w:t>
      </w:r>
      <w:r>
        <w:rPr>
          <w:rFonts w:eastAsia="Times New Roman"/>
          <w:sz w:val="22"/>
          <w:szCs w:val="22"/>
        </w:rPr>
        <w:t>Z</w:t>
      </w:r>
      <w:r w:rsidR="00C83C19" w:rsidRPr="00E3110F">
        <w:rPr>
          <w:rFonts w:eastAsia="Times New Roman"/>
          <w:sz w:val="22"/>
          <w:szCs w:val="22"/>
        </w:rPr>
        <w:t xml:space="preserve">lepšenie priemernej 6MWD </w:t>
      </w:r>
      <w:r>
        <w:rPr>
          <w:rFonts w:eastAsia="Times New Roman"/>
          <w:sz w:val="22"/>
          <w:szCs w:val="22"/>
        </w:rPr>
        <w:t xml:space="preserve">upravenej na účinok placeba </w:t>
      </w:r>
      <w:r w:rsidR="00C83C19" w:rsidRPr="00E3110F">
        <w:rPr>
          <w:rFonts w:eastAsia="Times New Roman"/>
          <w:sz w:val="22"/>
          <w:szCs w:val="22"/>
        </w:rPr>
        <w:t>v 12. týždni u pacientov v skupine s dávkou</w:t>
      </w:r>
      <w:r w:rsidR="00C31E08">
        <w:rPr>
          <w:rFonts w:eastAsia="Times New Roman"/>
          <w:sz w:val="22"/>
          <w:szCs w:val="22"/>
        </w:rPr>
        <w:t xml:space="preserve"> 10 mg</w:t>
      </w:r>
      <w:r w:rsidR="00C83C19" w:rsidRPr="00E3110F">
        <w:rPr>
          <w:rFonts w:eastAsia="Times New Roman"/>
          <w:sz w:val="22"/>
          <w:szCs w:val="22"/>
        </w:rPr>
        <w:t xml:space="preserve"> v štúdii ARIES-1 bolo 51,4 m (95 % IS: 26,6 až 76,2; p&lt;0,001).</w:t>
      </w:r>
    </w:p>
    <w:p w14:paraId="1E09294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5E0AFA06" w14:textId="2C230092" w:rsidR="002F0FC5" w:rsidRPr="00E3110F" w:rsidRDefault="00C83C19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Uskutočnila sa vopred špecifikovaná kombinovaná analýza </w:t>
      </w:r>
      <w:r w:rsidR="00C31E08">
        <w:rPr>
          <w:rFonts w:eastAsia="Times New Roman"/>
          <w:sz w:val="22"/>
          <w:szCs w:val="22"/>
        </w:rPr>
        <w:t xml:space="preserve">výsledkov </w:t>
      </w:r>
      <w:r w:rsidRPr="00E3110F">
        <w:rPr>
          <w:rFonts w:eastAsia="Times New Roman"/>
          <w:sz w:val="22"/>
          <w:szCs w:val="22"/>
        </w:rPr>
        <w:t>štúdií fázy 3 (ARIES-C</w:t>
      </w:r>
      <w:r w:rsidR="00C31E08">
        <w:rPr>
          <w:rFonts w:eastAsia="Times New Roman"/>
          <w:sz w:val="22"/>
          <w:szCs w:val="22"/>
        </w:rPr>
        <w:t>).</w:t>
      </w:r>
      <w:r w:rsidRPr="00E3110F">
        <w:rPr>
          <w:rFonts w:eastAsia="Times New Roman"/>
          <w:sz w:val="22"/>
          <w:szCs w:val="22"/>
        </w:rPr>
        <w:t xml:space="preserve"> </w:t>
      </w:r>
      <w:r w:rsidR="00C31E08">
        <w:rPr>
          <w:rFonts w:eastAsia="Times New Roman"/>
          <w:sz w:val="22"/>
          <w:szCs w:val="22"/>
        </w:rPr>
        <w:t>Z</w:t>
      </w:r>
      <w:r w:rsidRPr="00E3110F">
        <w:rPr>
          <w:rFonts w:eastAsia="Times New Roman"/>
          <w:sz w:val="22"/>
          <w:szCs w:val="22"/>
        </w:rPr>
        <w:t>lepšenie</w:t>
      </w:r>
      <w:r w:rsidR="00C31E08">
        <w:rPr>
          <w:rFonts w:eastAsia="Times New Roman"/>
          <w:sz w:val="22"/>
          <w:szCs w:val="22"/>
        </w:rPr>
        <w:t xml:space="preserve"> priemernej</w:t>
      </w:r>
      <w:r w:rsidRPr="00E3110F">
        <w:rPr>
          <w:rFonts w:eastAsia="Times New Roman"/>
          <w:sz w:val="22"/>
          <w:szCs w:val="22"/>
        </w:rPr>
        <w:t xml:space="preserve"> 6MWD </w:t>
      </w:r>
      <w:r w:rsidR="00C31E08">
        <w:rPr>
          <w:rFonts w:eastAsia="Times New Roman"/>
          <w:sz w:val="22"/>
          <w:szCs w:val="22"/>
        </w:rPr>
        <w:t xml:space="preserve">upravenej na účinok placeba </w:t>
      </w:r>
      <w:r w:rsidRPr="00E3110F">
        <w:rPr>
          <w:rFonts w:eastAsia="Times New Roman"/>
          <w:sz w:val="22"/>
          <w:szCs w:val="22"/>
        </w:rPr>
        <w:t>bolo 44,6 m (95 % IS: 24,3 až 64,9; p&lt;0,001) pri dávke</w:t>
      </w:r>
      <w:r w:rsidR="00C31E08">
        <w:rPr>
          <w:rFonts w:eastAsia="Times New Roman"/>
          <w:sz w:val="22"/>
          <w:szCs w:val="22"/>
        </w:rPr>
        <w:t xml:space="preserve"> 5 mg</w:t>
      </w:r>
      <w:r w:rsidRPr="00E3110F">
        <w:rPr>
          <w:rFonts w:eastAsia="Times New Roman"/>
          <w:sz w:val="22"/>
          <w:szCs w:val="22"/>
        </w:rPr>
        <w:t xml:space="preserve"> a 52,5 m (95 % IS: 28,8 až 76,2; p&lt;0,001) pri dávke</w:t>
      </w:r>
      <w:r w:rsidR="00C31E08">
        <w:rPr>
          <w:rFonts w:eastAsia="Times New Roman"/>
          <w:sz w:val="22"/>
          <w:szCs w:val="22"/>
        </w:rPr>
        <w:t xml:space="preserve"> 10 mg</w:t>
      </w:r>
      <w:r w:rsidRPr="00E3110F">
        <w:rPr>
          <w:rFonts w:eastAsia="Times New Roman"/>
          <w:sz w:val="22"/>
          <w:szCs w:val="22"/>
        </w:rPr>
        <w:t>.</w:t>
      </w:r>
    </w:p>
    <w:p w14:paraId="671B2C33" w14:textId="77777777" w:rsidR="00C83C19" w:rsidRPr="00E3110F" w:rsidRDefault="00C83C19">
      <w:pPr>
        <w:contextualSpacing/>
        <w:jc w:val="left"/>
        <w:rPr>
          <w:rFonts w:eastAsia="Times New Roman"/>
          <w:sz w:val="22"/>
          <w:szCs w:val="22"/>
        </w:rPr>
      </w:pPr>
    </w:p>
    <w:p w14:paraId="6B346C7E" w14:textId="6D0C9C8D" w:rsidR="00C83C19" w:rsidRPr="00E3110F" w:rsidRDefault="00C83C19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štúdii ARIES-2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(skupina s kombinovanou dávkou) významne spomalil čas do klinického zhoršenia PAH v porovnaní s placebom (p&lt;0,001), </w:t>
      </w:r>
      <w:r w:rsidR="006D0973">
        <w:rPr>
          <w:rFonts w:eastAsia="Times New Roman"/>
          <w:sz w:val="22"/>
          <w:szCs w:val="22"/>
        </w:rPr>
        <w:t>pomer rizika</w:t>
      </w:r>
      <w:r w:rsidRPr="00E3110F">
        <w:rPr>
          <w:rFonts w:eastAsia="Times New Roman"/>
          <w:sz w:val="22"/>
          <w:szCs w:val="22"/>
        </w:rPr>
        <w:t xml:space="preserve"> preukázal 80 % zníženie (95 % IS: 47 % až 92 %). Hodnoten</w:t>
      </w:r>
      <w:r w:rsidR="006D0973">
        <w:rPr>
          <w:rFonts w:eastAsia="Times New Roman"/>
          <w:sz w:val="22"/>
          <w:szCs w:val="22"/>
        </w:rPr>
        <w:t>ie</w:t>
      </w:r>
      <w:r w:rsidRPr="00E3110F">
        <w:rPr>
          <w:rFonts w:eastAsia="Times New Roman"/>
          <w:sz w:val="22"/>
          <w:szCs w:val="22"/>
        </w:rPr>
        <w:t xml:space="preserve"> zahŕňal</w:t>
      </w:r>
      <w:r w:rsidR="006D0973">
        <w:rPr>
          <w:rFonts w:eastAsia="Times New Roman"/>
          <w:sz w:val="22"/>
          <w:szCs w:val="22"/>
        </w:rPr>
        <w:t>o</w:t>
      </w:r>
      <w:r w:rsidRPr="00E3110F">
        <w:rPr>
          <w:rFonts w:eastAsia="Times New Roman"/>
          <w:sz w:val="22"/>
          <w:szCs w:val="22"/>
        </w:rPr>
        <w:t xml:space="preserve">: úmrtie, transplantáciu pľúc, hospitalizáciu kvôli PAH, </w:t>
      </w:r>
      <w:proofErr w:type="spellStart"/>
      <w:r w:rsidRPr="00E3110F">
        <w:rPr>
          <w:rFonts w:eastAsia="Times New Roman"/>
          <w:sz w:val="22"/>
          <w:szCs w:val="22"/>
        </w:rPr>
        <w:t>septostómiu</w:t>
      </w:r>
      <w:proofErr w:type="spellEnd"/>
      <w:r w:rsidRPr="00E3110F">
        <w:rPr>
          <w:rFonts w:eastAsia="Times New Roman"/>
          <w:sz w:val="22"/>
          <w:szCs w:val="22"/>
        </w:rPr>
        <w:t xml:space="preserve"> predsiení, pridanie ďalších l</w:t>
      </w:r>
      <w:r w:rsidR="006D0973">
        <w:rPr>
          <w:rFonts w:eastAsia="Times New Roman"/>
          <w:sz w:val="22"/>
          <w:szCs w:val="22"/>
        </w:rPr>
        <w:t>iečiv</w:t>
      </w:r>
      <w:r w:rsidRPr="00E3110F">
        <w:rPr>
          <w:rFonts w:eastAsia="Times New Roman"/>
          <w:sz w:val="22"/>
          <w:szCs w:val="22"/>
        </w:rPr>
        <w:t xml:space="preserve"> na liečbu PAH a kritériá pre predčasné ukončenie liečby. V skupine s kombinovanou dávkou sa pozorovalo štatisticky významné zvýšenie (3,41 ± 6,96) skóre škály hodnotiacej fyzické fungovanie v rámci dotazníka o zdraví SF-36 v porovnaní s placebom (-0,20 ± 8,14, p=0,005). Liečba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viedla k štatisticky významnému zlepšeniu skóre </w:t>
      </w:r>
      <w:proofErr w:type="spellStart"/>
      <w:r w:rsidRPr="00E3110F">
        <w:rPr>
          <w:rFonts w:eastAsia="Times New Roman"/>
          <w:sz w:val="22"/>
          <w:szCs w:val="22"/>
        </w:rPr>
        <w:t>Borgovej</w:t>
      </w:r>
      <w:proofErr w:type="spellEnd"/>
      <w:r w:rsidRPr="00E3110F">
        <w:rPr>
          <w:rFonts w:eastAsia="Times New Roman"/>
          <w:sz w:val="22"/>
          <w:szCs w:val="22"/>
        </w:rPr>
        <w:t xml:space="preserve"> škály hodnotiacej dýchavičnosť (</w:t>
      </w:r>
      <w:proofErr w:type="spellStart"/>
      <w:r w:rsidRPr="00E3110F">
        <w:rPr>
          <w:rFonts w:eastAsia="Times New Roman"/>
          <w:sz w:val="22"/>
          <w:szCs w:val="22"/>
        </w:rPr>
        <w:t>Borg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Dyspnea</w:t>
      </w:r>
      <w:proofErr w:type="spellEnd"/>
      <w:r w:rsidRPr="00E3110F">
        <w:rPr>
          <w:rFonts w:eastAsia="Times New Roman"/>
          <w:sz w:val="22"/>
          <w:szCs w:val="22"/>
        </w:rPr>
        <w:t xml:space="preserve"> Index, BDI) v 12. týždni (skóre BDI</w:t>
      </w:r>
      <w:r w:rsidR="006D0973">
        <w:rPr>
          <w:rFonts w:eastAsia="Times New Roman"/>
          <w:sz w:val="22"/>
          <w:szCs w:val="22"/>
        </w:rPr>
        <w:t xml:space="preserve"> upravené na účinok placeba</w:t>
      </w:r>
      <w:r w:rsidRPr="00E3110F">
        <w:rPr>
          <w:rFonts w:eastAsia="Times New Roman"/>
          <w:sz w:val="22"/>
          <w:szCs w:val="22"/>
        </w:rPr>
        <w:t xml:space="preserve"> v hodnote -1,1 (95</w:t>
      </w:r>
      <w:r w:rsidR="002B654A" w:rsidRPr="00E3110F">
        <w:rPr>
          <w:rFonts w:eastAsia="Times New Roman"/>
          <w:sz w:val="22"/>
          <w:szCs w:val="22"/>
        </w:rPr>
        <w:t> </w:t>
      </w:r>
      <w:r w:rsidRPr="00E3110F">
        <w:rPr>
          <w:rFonts w:eastAsia="Times New Roman"/>
          <w:sz w:val="22"/>
          <w:szCs w:val="22"/>
        </w:rPr>
        <w:t>% IS: -1,8 až -0,4; p=0,019; skupina s kombinovanou dávkou)).</w:t>
      </w:r>
    </w:p>
    <w:p w14:paraId="535C597F" w14:textId="77777777" w:rsidR="00026D79" w:rsidRPr="00E3110F" w:rsidRDefault="00026D79">
      <w:pPr>
        <w:contextualSpacing/>
        <w:jc w:val="left"/>
        <w:rPr>
          <w:rFonts w:eastAsia="Times New Roman"/>
          <w:sz w:val="22"/>
          <w:szCs w:val="22"/>
        </w:rPr>
      </w:pPr>
    </w:p>
    <w:p w14:paraId="4D74378E" w14:textId="3D190835" w:rsidR="002F0FC5" w:rsidRPr="00E3110F" w:rsidRDefault="00E07F19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>Dlhodobé údaje</w:t>
      </w:r>
    </w:p>
    <w:p w14:paraId="5B624112" w14:textId="55C9EAF7" w:rsidR="007730F4" w:rsidRPr="00E3110F" w:rsidRDefault="007730F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Pacienti, ktorí sa zúčastnili štúdie ARIES-1 a ARIES-2, mohli byť zaradení do dlhodobej otvorenej predĺženej štúdie ARIES-E (n=383). Kombinovaná priemerná expozícia bola približne 145 ± 80 týždňov a maximálna expozícia bola približne 259 týždňov. Hlavné primárne cieľové ukazovatele tejto štúdie boli výskyt a závažnosť nežiaducich udalostí súvisiacich s dlhodobou expozíciou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, vrátane sérových LFT (funkčných vyšetrení pečene). Zistenia ohľadom bezpečnosti pozorované pri dlhodobej expozícii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v tejto štúdii boli zvyčajne zhodné s tými, ktoré sa pozorovali v 12-týždňových placebom kontrolovaných štúdiách.</w:t>
      </w:r>
    </w:p>
    <w:p w14:paraId="2C12A0FB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3933EE2B" w14:textId="5FE4B7B1" w:rsidR="007730F4" w:rsidRPr="00E3110F" w:rsidRDefault="007730F4">
      <w:pPr>
        <w:autoSpaceDE w:val="0"/>
        <w:autoSpaceDN w:val="0"/>
        <w:adjustRightInd w:val="0"/>
        <w:spacing w:after="0"/>
        <w:jc w:val="left"/>
        <w:rPr>
          <w:color w:val="000000"/>
          <w:sz w:val="22"/>
          <w:szCs w:val="22"/>
          <w:lang w:eastAsia="en-US"/>
        </w:rPr>
      </w:pPr>
      <w:r w:rsidRPr="00E3110F">
        <w:rPr>
          <w:color w:val="000000"/>
          <w:sz w:val="22"/>
          <w:szCs w:val="22"/>
          <w:lang w:eastAsia="en-US"/>
        </w:rPr>
        <w:t xml:space="preserve">Pravdepodobnosť prežitia zistená u </w:t>
      </w:r>
      <w:r w:rsidR="006D0973">
        <w:rPr>
          <w:color w:val="000000"/>
          <w:sz w:val="22"/>
          <w:szCs w:val="22"/>
          <w:lang w:eastAsia="en-US"/>
        </w:rPr>
        <w:t>účastníkov</w:t>
      </w:r>
      <w:r w:rsidRPr="00E3110F">
        <w:rPr>
          <w:color w:val="000000"/>
          <w:sz w:val="22"/>
          <w:szCs w:val="22"/>
          <w:lang w:eastAsia="en-US"/>
        </w:rPr>
        <w:t xml:space="preserve"> užívajúcich </w:t>
      </w:r>
      <w:proofErr w:type="spellStart"/>
      <w:r w:rsidR="007D388A">
        <w:rPr>
          <w:color w:val="000000"/>
          <w:sz w:val="22"/>
          <w:szCs w:val="22"/>
          <w:lang w:eastAsia="en-US"/>
        </w:rPr>
        <w:t>ambrisentán</w:t>
      </w:r>
      <w:proofErr w:type="spellEnd"/>
      <w:r w:rsidRPr="00E3110F">
        <w:rPr>
          <w:color w:val="000000"/>
          <w:sz w:val="22"/>
          <w:szCs w:val="22"/>
          <w:lang w:eastAsia="en-US"/>
        </w:rPr>
        <w:t xml:space="preserve"> (skupina s kombinovanou dávkou </w:t>
      </w:r>
      <w:proofErr w:type="spellStart"/>
      <w:r w:rsidR="007D388A">
        <w:rPr>
          <w:color w:val="000000"/>
          <w:sz w:val="22"/>
          <w:szCs w:val="22"/>
          <w:lang w:eastAsia="en-US"/>
        </w:rPr>
        <w:t>ambrisentán</w:t>
      </w:r>
      <w:r w:rsidRPr="00E3110F">
        <w:rPr>
          <w:color w:val="000000"/>
          <w:sz w:val="22"/>
          <w:szCs w:val="22"/>
          <w:lang w:eastAsia="en-US"/>
        </w:rPr>
        <w:t>u</w:t>
      </w:r>
      <w:proofErr w:type="spellEnd"/>
      <w:r w:rsidRPr="00E3110F">
        <w:rPr>
          <w:color w:val="000000"/>
          <w:sz w:val="22"/>
          <w:szCs w:val="22"/>
          <w:lang w:eastAsia="en-US"/>
        </w:rPr>
        <w:t xml:space="preserve">) bola po 1 roku 93 %, po 2 rokoch 85 % a po 3 rokoch 79 %. </w:t>
      </w:r>
    </w:p>
    <w:p w14:paraId="3134BC3D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2DAE80B5" w14:textId="531EF456" w:rsidR="007730F4" w:rsidRPr="00E3110F" w:rsidRDefault="007730F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V otvorenej štúdii (AMB222) bol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skúmaný u 36 pacientov za účelom zhodnotenia výskytu zvýšených sérových koncentrácií </w:t>
      </w:r>
      <w:proofErr w:type="spellStart"/>
      <w:r w:rsidRPr="00E3110F">
        <w:rPr>
          <w:rFonts w:eastAsia="Times New Roman"/>
          <w:sz w:val="22"/>
          <w:szCs w:val="22"/>
        </w:rPr>
        <w:t>aminotransferáz</w:t>
      </w:r>
      <w:proofErr w:type="spellEnd"/>
      <w:r w:rsidRPr="00E3110F">
        <w:rPr>
          <w:rFonts w:eastAsia="Times New Roman"/>
          <w:sz w:val="22"/>
          <w:szCs w:val="22"/>
        </w:rPr>
        <w:t xml:space="preserve"> u pacientov, ktorí prerušili predchádzajúcu liečbu iným ERA kvôli </w:t>
      </w:r>
      <w:proofErr w:type="spellStart"/>
      <w:r w:rsidRPr="00E3110F">
        <w:rPr>
          <w:rFonts w:eastAsia="Times New Roman"/>
          <w:sz w:val="22"/>
          <w:szCs w:val="22"/>
        </w:rPr>
        <w:t>aminotransferáz</w:t>
      </w:r>
      <w:r w:rsidR="006D0973">
        <w:rPr>
          <w:rFonts w:eastAsia="Times New Roman"/>
          <w:sz w:val="22"/>
          <w:szCs w:val="22"/>
        </w:rPr>
        <w:t>am</w:t>
      </w:r>
      <w:proofErr w:type="spellEnd"/>
      <w:r w:rsidR="006D0973">
        <w:rPr>
          <w:rFonts w:eastAsia="Times New Roman"/>
          <w:sz w:val="22"/>
          <w:szCs w:val="22"/>
        </w:rPr>
        <w:t xml:space="preserve"> mimo normy</w:t>
      </w:r>
      <w:r w:rsidRPr="00E3110F">
        <w:rPr>
          <w:rFonts w:eastAsia="Times New Roman"/>
          <w:sz w:val="22"/>
          <w:szCs w:val="22"/>
        </w:rPr>
        <w:t xml:space="preserve">. Počas priemerne 53 týždňov liečby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sa u žiadneho zo zaradených pacientov nepotvrdila hodnota sérovej ALT &gt;3xULN, ktorá by vyžadovala trvalé </w:t>
      </w:r>
      <w:r w:rsidRPr="00E3110F">
        <w:rPr>
          <w:rFonts w:eastAsia="Times New Roman"/>
          <w:sz w:val="22"/>
          <w:szCs w:val="22"/>
        </w:rPr>
        <w:lastRenderedPageBreak/>
        <w:t xml:space="preserve">ukončenie liečby. Počas tejto doby bola u päťdesiatich percent pacientov dávka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zvýšená z 5 mg na 10 mg.</w:t>
      </w:r>
    </w:p>
    <w:p w14:paraId="397363E1" w14:textId="20CBDBE6" w:rsidR="007730F4" w:rsidRPr="00E3110F" w:rsidRDefault="007730F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Kumulatívny výskyt sérových </w:t>
      </w:r>
      <w:proofErr w:type="spellStart"/>
      <w:r w:rsidRPr="00E3110F">
        <w:rPr>
          <w:rFonts w:eastAsia="Times New Roman"/>
          <w:sz w:val="22"/>
          <w:szCs w:val="22"/>
        </w:rPr>
        <w:t>aminotransferáz</w:t>
      </w:r>
      <w:proofErr w:type="spellEnd"/>
      <w:r w:rsidRPr="00E3110F">
        <w:rPr>
          <w:rFonts w:eastAsia="Times New Roman"/>
          <w:sz w:val="22"/>
          <w:szCs w:val="22"/>
        </w:rPr>
        <w:t xml:space="preserve"> &gt;</w:t>
      </w:r>
      <w:r w:rsidR="00CB46DB">
        <w:rPr>
          <w:rFonts w:eastAsia="Times New Roman"/>
          <w:sz w:val="22"/>
          <w:szCs w:val="22"/>
        </w:rPr>
        <w:t xml:space="preserve"> </w:t>
      </w:r>
      <w:r w:rsidRPr="00E3110F">
        <w:rPr>
          <w:rFonts w:eastAsia="Times New Roman"/>
          <w:sz w:val="22"/>
          <w:szCs w:val="22"/>
        </w:rPr>
        <w:t xml:space="preserve">3xULN vo všetkých štúdiách fázy 2 a 3 (vrátane príslušných otvorených predĺžených štúdií) bol 17 zo 483 </w:t>
      </w:r>
      <w:r w:rsidR="00BA35F4">
        <w:rPr>
          <w:rFonts w:eastAsia="Times New Roman"/>
          <w:sz w:val="22"/>
          <w:szCs w:val="22"/>
        </w:rPr>
        <w:t>účastníkov</w:t>
      </w:r>
      <w:r w:rsidRPr="00E3110F">
        <w:rPr>
          <w:rFonts w:eastAsia="Times New Roman"/>
          <w:sz w:val="22"/>
          <w:szCs w:val="22"/>
        </w:rPr>
        <w:t xml:space="preserve"> počas priemernej doby expozície 79,5 týždňa. To pri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e</w:t>
      </w:r>
      <w:proofErr w:type="spellEnd"/>
      <w:r w:rsidRPr="00E3110F">
        <w:rPr>
          <w:rFonts w:eastAsia="Times New Roman"/>
          <w:sz w:val="22"/>
          <w:szCs w:val="22"/>
        </w:rPr>
        <w:t xml:space="preserve"> zodpovedá miere výskytu 2,3 udalosti na 100 pacient</w:t>
      </w:r>
      <w:r w:rsidR="00BA35F4">
        <w:rPr>
          <w:rFonts w:eastAsia="Times New Roman"/>
          <w:sz w:val="22"/>
          <w:szCs w:val="22"/>
        </w:rPr>
        <w:t>skych rokov</w:t>
      </w:r>
      <w:r w:rsidRPr="00E3110F">
        <w:rPr>
          <w:rFonts w:eastAsia="Times New Roman"/>
          <w:sz w:val="22"/>
          <w:szCs w:val="22"/>
        </w:rPr>
        <w:t xml:space="preserve"> expozície. V otvorenej dlhodobej predĺženej štúdii ARIES-E sa zistilo, že po 2 rokoch liečby je riziko vzniku vzostupov koncentrácií </w:t>
      </w:r>
      <w:proofErr w:type="spellStart"/>
      <w:r w:rsidRPr="00E3110F">
        <w:rPr>
          <w:rFonts w:eastAsia="Times New Roman"/>
          <w:sz w:val="22"/>
          <w:szCs w:val="22"/>
        </w:rPr>
        <w:t>aminotransferáz</w:t>
      </w:r>
      <w:proofErr w:type="spellEnd"/>
      <w:r w:rsidRPr="00E3110F">
        <w:rPr>
          <w:rFonts w:eastAsia="Times New Roman"/>
          <w:sz w:val="22"/>
          <w:szCs w:val="22"/>
        </w:rPr>
        <w:t xml:space="preserve"> na &gt;</w:t>
      </w:r>
      <w:r w:rsidR="00CB46DB">
        <w:rPr>
          <w:rFonts w:eastAsia="Times New Roman"/>
          <w:sz w:val="22"/>
          <w:szCs w:val="22"/>
        </w:rPr>
        <w:t xml:space="preserve"> </w:t>
      </w:r>
      <w:r w:rsidRPr="00E3110F">
        <w:rPr>
          <w:rFonts w:eastAsia="Times New Roman"/>
          <w:sz w:val="22"/>
          <w:szCs w:val="22"/>
        </w:rPr>
        <w:t xml:space="preserve">3xULN u pacientov liečených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3,9 %.</w:t>
      </w:r>
    </w:p>
    <w:p w14:paraId="168E8B80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58A7667" w14:textId="5C98E177" w:rsidR="002F0FC5" w:rsidRPr="00E3110F" w:rsidRDefault="00E07F19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sz w:val="22"/>
          <w:szCs w:val="22"/>
          <w:u w:val="single"/>
        </w:rPr>
        <w:t>Ďalšie klinické informácie</w:t>
      </w:r>
    </w:p>
    <w:p w14:paraId="3115A165" w14:textId="279844FD" w:rsidR="007730F4" w:rsidRPr="00E3110F" w:rsidRDefault="007730F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Zlepšenie </w:t>
      </w:r>
      <w:proofErr w:type="spellStart"/>
      <w:r w:rsidRPr="00E3110F">
        <w:rPr>
          <w:rFonts w:eastAsia="Times New Roman"/>
          <w:sz w:val="22"/>
          <w:szCs w:val="22"/>
        </w:rPr>
        <w:t>hemodynamických</w:t>
      </w:r>
      <w:proofErr w:type="spellEnd"/>
      <w:r w:rsidRPr="00E3110F">
        <w:rPr>
          <w:rFonts w:eastAsia="Times New Roman"/>
          <w:sz w:val="22"/>
          <w:szCs w:val="22"/>
        </w:rPr>
        <w:t xml:space="preserve"> parametrov sa pozorovalo u pacientov s PAH po 12 týždňoch (n = 29) v štúdii fázy 2 (AMB220). Liečba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viedla k zvýšeniu priemerného srdcového indexu, zníženiu priemerného tlaku v pľúcnych artériách a zníženiu priemernej pľúcnej cievnej rezistencie.</w:t>
      </w:r>
    </w:p>
    <w:p w14:paraId="38438FE5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69E7C86F" w14:textId="3F797303" w:rsidR="002B005A" w:rsidRPr="00E3110F" w:rsidRDefault="002B005A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Pri liečbe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bol hlásený pokles systolického a diastolického krvného tlaku. V placebom kontrolovaných klinických skúšaniach trvajúcich 12 týždňov sa zistil priemerný pokles systolického krvného tlaku o 3 </w:t>
      </w:r>
      <w:proofErr w:type="spellStart"/>
      <w:r w:rsidRPr="00E3110F">
        <w:rPr>
          <w:rFonts w:eastAsia="Times New Roman"/>
          <w:sz w:val="22"/>
          <w:szCs w:val="22"/>
        </w:rPr>
        <w:t>mmHg</w:t>
      </w:r>
      <w:proofErr w:type="spellEnd"/>
      <w:r w:rsidRPr="00E3110F">
        <w:rPr>
          <w:rFonts w:eastAsia="Times New Roman"/>
          <w:sz w:val="22"/>
          <w:szCs w:val="22"/>
        </w:rPr>
        <w:t xml:space="preserve"> a diastolického krvného tlaku o 4,2 </w:t>
      </w:r>
      <w:proofErr w:type="spellStart"/>
      <w:r w:rsidRPr="00E3110F">
        <w:rPr>
          <w:rFonts w:eastAsia="Times New Roman"/>
          <w:sz w:val="22"/>
          <w:szCs w:val="22"/>
        </w:rPr>
        <w:t>mmHg</w:t>
      </w:r>
      <w:proofErr w:type="spellEnd"/>
      <w:r w:rsidRPr="00E3110F">
        <w:rPr>
          <w:rFonts w:eastAsia="Times New Roman"/>
          <w:sz w:val="22"/>
          <w:szCs w:val="22"/>
        </w:rPr>
        <w:t xml:space="preserve">, keď sa porovnali hodnoty namerané na začiatku a na konci liečby. Priemerný pokles systolického a diastolického krvného tlaku pretrvával počas až 4 rokov liečby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v dlhodobej otvorenej predĺženej štúdii ARIES-E.</w:t>
      </w:r>
    </w:p>
    <w:p w14:paraId="3A6BE667" w14:textId="35E59F41" w:rsidR="002B005A" w:rsidRPr="00E3110F" w:rsidRDefault="002B005A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Počas štúdie liekových interakcií u zdravých dobrovoľníkov nebol pozorovaný klinicky významný vplyv na </w:t>
      </w:r>
      <w:proofErr w:type="spellStart"/>
      <w:r w:rsidRPr="00E3110F">
        <w:rPr>
          <w:rFonts w:eastAsia="Times New Roman"/>
          <w:sz w:val="22"/>
          <w:szCs w:val="22"/>
        </w:rPr>
        <w:t>farmakokinetiku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alebo </w:t>
      </w:r>
      <w:proofErr w:type="spellStart"/>
      <w:r w:rsidRPr="00E3110F">
        <w:rPr>
          <w:rFonts w:eastAsia="Times New Roman"/>
          <w:sz w:val="22"/>
          <w:szCs w:val="22"/>
        </w:rPr>
        <w:t>sildenafilu</w:t>
      </w:r>
      <w:proofErr w:type="spellEnd"/>
      <w:r w:rsidRPr="00E3110F">
        <w:rPr>
          <w:rFonts w:eastAsia="Times New Roman"/>
          <w:sz w:val="22"/>
          <w:szCs w:val="22"/>
        </w:rPr>
        <w:t xml:space="preserve"> a táto kombinácia bola dobre znášaná. Počet pacientov, ktorí boli súbežne liečení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sildenafilom</w:t>
      </w:r>
      <w:proofErr w:type="spellEnd"/>
      <w:r w:rsidRPr="00E3110F">
        <w:rPr>
          <w:rFonts w:eastAsia="Times New Roman"/>
          <w:sz w:val="22"/>
          <w:szCs w:val="22"/>
        </w:rPr>
        <w:t>, bol 22 pacientov (5,7 %) v štúdii ARIES-E a 17 pacientov (47 %) v štúdii AMB222. U týchto pacientov sa nezistili žiadne ďalšie bezpečnostné obavy.</w:t>
      </w:r>
    </w:p>
    <w:p w14:paraId="30324CD6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03975B71" w14:textId="505EFD16" w:rsidR="00D42006" w:rsidRPr="00E3110F" w:rsidRDefault="00E07F19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  <w:u w:val="single"/>
        </w:rPr>
        <w:t xml:space="preserve">Klinická účinnosť v kombinácii s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tadalafilom</w:t>
      </w:r>
      <w:proofErr w:type="spellEnd"/>
    </w:p>
    <w:p w14:paraId="421D067D" w14:textId="6D04859F" w:rsidR="00816933" w:rsidRPr="00E3110F" w:rsidRDefault="0081693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Uskutočnila sa </w:t>
      </w:r>
      <w:proofErr w:type="spellStart"/>
      <w:r w:rsidRPr="00E3110F">
        <w:rPr>
          <w:rFonts w:eastAsia="Times New Roman"/>
          <w:sz w:val="22"/>
          <w:szCs w:val="22"/>
        </w:rPr>
        <w:t>multicent</w:t>
      </w:r>
      <w:r w:rsidR="00C07B25">
        <w:rPr>
          <w:rFonts w:eastAsia="Times New Roman"/>
          <w:sz w:val="22"/>
          <w:szCs w:val="22"/>
        </w:rPr>
        <w:t>rová</w:t>
      </w:r>
      <w:proofErr w:type="spellEnd"/>
      <w:r w:rsidRPr="00E3110F">
        <w:rPr>
          <w:rFonts w:eastAsia="Times New Roman"/>
          <w:sz w:val="22"/>
          <w:szCs w:val="22"/>
        </w:rPr>
        <w:t xml:space="preserve">, dvojito zaslepená, aktívnym </w:t>
      </w:r>
      <w:proofErr w:type="spellStart"/>
      <w:r w:rsidRPr="00E3110F">
        <w:rPr>
          <w:rFonts w:eastAsia="Times New Roman"/>
          <w:sz w:val="22"/>
          <w:szCs w:val="22"/>
        </w:rPr>
        <w:t>komparátor</w:t>
      </w:r>
      <w:r w:rsidR="00C07B25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kontrolovaná štúdia fázy 3 typu „</w:t>
      </w:r>
      <w:proofErr w:type="spellStart"/>
      <w:r w:rsidRPr="00E3110F">
        <w:rPr>
          <w:rFonts w:eastAsia="Times New Roman"/>
          <w:sz w:val="22"/>
          <w:szCs w:val="22"/>
        </w:rPr>
        <w:t>event-driven</w:t>
      </w:r>
      <w:proofErr w:type="spellEnd"/>
      <w:r w:rsidRPr="00E3110F">
        <w:rPr>
          <w:rFonts w:eastAsia="Times New Roman"/>
          <w:sz w:val="22"/>
          <w:szCs w:val="22"/>
        </w:rPr>
        <w:t xml:space="preserve">“ (dosiahnutie cieľa štúdie bolo podmienené výskytom vopred definovanej príhody), ktorá sledovala efekt liečby (AMB112565/AMBITION) s cieľom zhodnotiť účinnosť začiatočnej liečby kombináciou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a </w:t>
      </w:r>
      <w:proofErr w:type="spellStart"/>
      <w:r w:rsidRPr="00E3110F">
        <w:rPr>
          <w:rFonts w:eastAsia="Times New Roman"/>
          <w:sz w:val="22"/>
          <w:szCs w:val="22"/>
        </w:rPr>
        <w:t>tadalafilu</w:t>
      </w:r>
      <w:proofErr w:type="spellEnd"/>
      <w:r w:rsidRPr="00E3110F">
        <w:rPr>
          <w:rFonts w:eastAsia="Times New Roman"/>
          <w:sz w:val="22"/>
          <w:szCs w:val="22"/>
        </w:rPr>
        <w:t xml:space="preserve"> v porovnaní s </w:t>
      </w:r>
      <w:proofErr w:type="spellStart"/>
      <w:r w:rsidRPr="00E3110F">
        <w:rPr>
          <w:rFonts w:eastAsia="Times New Roman"/>
          <w:sz w:val="22"/>
          <w:szCs w:val="22"/>
        </w:rPr>
        <w:t>monoterapiou</w:t>
      </w:r>
      <w:proofErr w:type="spellEnd"/>
      <w:r w:rsidRPr="00E3110F">
        <w:rPr>
          <w:rFonts w:eastAsia="Times New Roman"/>
          <w:sz w:val="22"/>
          <w:szCs w:val="22"/>
        </w:rPr>
        <w:t xml:space="preserve"> buď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, alebo </w:t>
      </w:r>
      <w:proofErr w:type="spellStart"/>
      <w:r w:rsidRPr="00E3110F">
        <w:rPr>
          <w:rFonts w:eastAsia="Times New Roman"/>
          <w:sz w:val="22"/>
          <w:szCs w:val="22"/>
        </w:rPr>
        <w:t>tadalafilom</w:t>
      </w:r>
      <w:proofErr w:type="spellEnd"/>
      <w:r w:rsidRPr="00E3110F">
        <w:rPr>
          <w:rFonts w:eastAsia="Times New Roman"/>
          <w:sz w:val="22"/>
          <w:szCs w:val="22"/>
        </w:rPr>
        <w:t xml:space="preserve">, u 500 pacientov s PAH bez predchádzajúcej liečby, ktorí boli na uvedené liečby </w:t>
      </w:r>
      <w:proofErr w:type="spellStart"/>
      <w:r w:rsidRPr="00E3110F">
        <w:rPr>
          <w:rFonts w:eastAsia="Times New Roman"/>
          <w:sz w:val="22"/>
          <w:szCs w:val="22"/>
        </w:rPr>
        <w:t>randomizovaní</w:t>
      </w:r>
      <w:proofErr w:type="spellEnd"/>
      <w:r w:rsidRPr="00E3110F">
        <w:rPr>
          <w:rFonts w:eastAsia="Times New Roman"/>
          <w:sz w:val="22"/>
          <w:szCs w:val="22"/>
        </w:rPr>
        <w:t xml:space="preserve"> v pomere 2:1:1. Žiadni pacienti neužívali samotné placebo. Primárna analýza porovnala skupinu s kombinovanou liečbou so súhrnne hodnotenými skupinami s </w:t>
      </w:r>
      <w:proofErr w:type="spellStart"/>
      <w:r w:rsidRPr="00E3110F">
        <w:rPr>
          <w:rFonts w:eastAsia="Times New Roman"/>
          <w:sz w:val="22"/>
          <w:szCs w:val="22"/>
        </w:rPr>
        <w:t>monoterapiami</w:t>
      </w:r>
      <w:proofErr w:type="spellEnd"/>
      <w:r w:rsidRPr="00E3110F">
        <w:rPr>
          <w:rFonts w:eastAsia="Times New Roman"/>
          <w:sz w:val="22"/>
          <w:szCs w:val="22"/>
        </w:rPr>
        <w:t xml:space="preserve">. Uskutočnili sa aj podporné porovnania skupiny s kombinovanou liečbou s jednotlivými skupinami s </w:t>
      </w:r>
      <w:proofErr w:type="spellStart"/>
      <w:r w:rsidRPr="00E3110F">
        <w:rPr>
          <w:rFonts w:eastAsia="Times New Roman"/>
          <w:sz w:val="22"/>
          <w:szCs w:val="22"/>
        </w:rPr>
        <w:t>monoterapiami</w:t>
      </w:r>
      <w:proofErr w:type="spellEnd"/>
      <w:r w:rsidRPr="00E3110F">
        <w:rPr>
          <w:rFonts w:eastAsia="Times New Roman"/>
          <w:sz w:val="22"/>
          <w:szCs w:val="22"/>
        </w:rPr>
        <w:t xml:space="preserve">. Pacienti s významnou anémiou, s </w:t>
      </w:r>
      <w:proofErr w:type="spellStart"/>
      <w:r w:rsidRPr="00E3110F">
        <w:rPr>
          <w:rFonts w:eastAsia="Times New Roman"/>
          <w:sz w:val="22"/>
          <w:szCs w:val="22"/>
        </w:rPr>
        <w:t>retenciou</w:t>
      </w:r>
      <w:proofErr w:type="spellEnd"/>
      <w:r w:rsidRPr="00E3110F">
        <w:rPr>
          <w:rFonts w:eastAsia="Times New Roman"/>
          <w:sz w:val="22"/>
          <w:szCs w:val="22"/>
        </w:rPr>
        <w:t xml:space="preserve"> tekutín alebo so zriedkavými ochoreniami sietnice boli z účasti na štúdii vylúčení na základe kritérií stanovených skúšajúcimi. Z účasti na štúdii boli vylúčení aj pacienti, ktorí mali východiskové hodnoty ALT a AST &gt; 2xULN.</w:t>
      </w:r>
    </w:p>
    <w:p w14:paraId="31123106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52AEF62E" w14:textId="16E73D65" w:rsidR="00BC3028" w:rsidRPr="00E3110F" w:rsidRDefault="00BC3028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Pri vstupe do štúdie bolo 96 % pacientov bez predchádzajúcej špecifickej liečby PAH a medián času od stanovenia diagnózy do zaradenia do štúdie bol 22 dní. Pacienti začali liečbu 5 mg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a 20 mg </w:t>
      </w:r>
      <w:proofErr w:type="spellStart"/>
      <w:r w:rsidRPr="00E3110F">
        <w:rPr>
          <w:rFonts w:eastAsia="Times New Roman"/>
          <w:sz w:val="22"/>
          <w:szCs w:val="22"/>
        </w:rPr>
        <w:t>tadalafilu</w:t>
      </w:r>
      <w:proofErr w:type="spellEnd"/>
      <w:r w:rsidRPr="00E3110F">
        <w:rPr>
          <w:rFonts w:eastAsia="Times New Roman"/>
          <w:sz w:val="22"/>
          <w:szCs w:val="22"/>
        </w:rPr>
        <w:t xml:space="preserve"> a v 4. týždni mali dávku </w:t>
      </w:r>
      <w:proofErr w:type="spellStart"/>
      <w:r w:rsidRPr="00E3110F">
        <w:rPr>
          <w:rFonts w:eastAsia="Times New Roman"/>
          <w:sz w:val="22"/>
          <w:szCs w:val="22"/>
        </w:rPr>
        <w:t>tadalafilu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titrovanú</w:t>
      </w:r>
      <w:proofErr w:type="spellEnd"/>
      <w:r w:rsidRPr="00E3110F">
        <w:rPr>
          <w:rFonts w:eastAsia="Times New Roman"/>
          <w:sz w:val="22"/>
          <w:szCs w:val="22"/>
        </w:rPr>
        <w:t xml:space="preserve"> na 40 mg a v 8. týždni mali dávku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u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Pr="00E3110F">
        <w:rPr>
          <w:rFonts w:eastAsia="Times New Roman"/>
          <w:sz w:val="22"/>
          <w:szCs w:val="22"/>
        </w:rPr>
        <w:t>titrovanú</w:t>
      </w:r>
      <w:proofErr w:type="spellEnd"/>
      <w:r w:rsidRPr="00E3110F">
        <w:rPr>
          <w:rFonts w:eastAsia="Times New Roman"/>
          <w:sz w:val="22"/>
          <w:szCs w:val="22"/>
        </w:rPr>
        <w:t xml:space="preserve"> na 10 mg, pokiaľ nemali žiadne problémy so znášanlivosťou liečby. Medián trvania dvojito zaslepenej liečby bol pri kombinovanej liečbe dlhší ako 1,5 roku.</w:t>
      </w:r>
    </w:p>
    <w:p w14:paraId="4681FEFF" w14:textId="77777777" w:rsidR="00D42006" w:rsidRPr="00E3110F" w:rsidRDefault="00D42006">
      <w:pPr>
        <w:contextualSpacing/>
        <w:jc w:val="left"/>
        <w:rPr>
          <w:rFonts w:eastAsia="Times New Roman"/>
          <w:sz w:val="22"/>
          <w:szCs w:val="22"/>
        </w:rPr>
      </w:pPr>
    </w:p>
    <w:p w14:paraId="29F0AE58" w14:textId="2A064E6F" w:rsidR="009E4063" w:rsidRPr="00E3110F" w:rsidRDefault="009E406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>Primárnym cieľovým ukazovateľom bol čas do prvého výskytu príhody, ktorou bolo klinické zlyhanie liečby definované ako:</w:t>
      </w:r>
    </w:p>
    <w:p w14:paraId="2252F9E6" w14:textId="25946027" w:rsidR="00110EA4" w:rsidRPr="00E3110F" w:rsidRDefault="009E4063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smrť alebo</w:t>
      </w:r>
    </w:p>
    <w:p w14:paraId="7B757792" w14:textId="790FFE13" w:rsidR="00110EA4" w:rsidRPr="00E3110F" w:rsidRDefault="009E4063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hospitalizácia z dôvodu zhoršujúcej sa PAH</w:t>
      </w:r>
      <w:r w:rsidR="006E453E" w:rsidRPr="00E3110F">
        <w:rPr>
          <w:sz w:val="22"/>
          <w:szCs w:val="22"/>
        </w:rPr>
        <w:t>,</w:t>
      </w:r>
    </w:p>
    <w:p w14:paraId="45C555F8" w14:textId="79630C02" w:rsidR="006E453E" w:rsidRPr="00E3110F" w:rsidRDefault="009E4063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progresia ochorenia</w:t>
      </w:r>
      <w:r w:rsidR="00026D79" w:rsidRPr="00E3110F">
        <w:rPr>
          <w:sz w:val="22"/>
          <w:szCs w:val="22"/>
        </w:rPr>
        <w:t>,</w:t>
      </w:r>
    </w:p>
    <w:p w14:paraId="3E7FEA2E" w14:textId="1A00F32F" w:rsidR="006E453E" w:rsidRPr="00E3110F" w:rsidRDefault="009E4063">
      <w:pPr>
        <w:pStyle w:val="Odsekzoznamu"/>
        <w:numPr>
          <w:ilvl w:val="0"/>
          <w:numId w:val="34"/>
        </w:numPr>
        <w:spacing w:after="0"/>
        <w:ind w:left="426" w:hanging="284"/>
        <w:contextualSpacing w:val="0"/>
        <w:jc w:val="left"/>
        <w:rPr>
          <w:sz w:val="22"/>
          <w:szCs w:val="22"/>
        </w:rPr>
      </w:pPr>
      <w:r w:rsidRPr="00E3110F">
        <w:rPr>
          <w:sz w:val="22"/>
          <w:szCs w:val="22"/>
        </w:rPr>
        <w:t>neuspokojivá dlhodobá klinická odpoveď na liečbu</w:t>
      </w:r>
      <w:r w:rsidR="006E453E" w:rsidRPr="00E3110F">
        <w:rPr>
          <w:sz w:val="22"/>
          <w:szCs w:val="22"/>
        </w:rPr>
        <w:t>.</w:t>
      </w:r>
    </w:p>
    <w:p w14:paraId="2B0E292F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6220D51B" w14:textId="68739EBA" w:rsidR="009E7ABE" w:rsidRPr="00E3110F" w:rsidRDefault="009E7A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lastRenderedPageBreak/>
        <w:t xml:space="preserve">Priemerný vek všetkých pacientov bol 54 rokov (SD 15; vekové rozmedzie 18 - 75 rokov). Pri vstupe do štúdie boli pacienti vo FT II (31 %) a FT III (69 %) podľa </w:t>
      </w:r>
      <w:r w:rsidR="00C07B25">
        <w:rPr>
          <w:rFonts w:eastAsia="Times New Roman"/>
          <w:sz w:val="22"/>
          <w:szCs w:val="22"/>
        </w:rPr>
        <w:t>WHO</w:t>
      </w:r>
      <w:r w:rsidRPr="00E3110F">
        <w:rPr>
          <w:rFonts w:eastAsia="Times New Roman"/>
          <w:sz w:val="22"/>
          <w:szCs w:val="22"/>
        </w:rPr>
        <w:t xml:space="preserve">. Najčastejšou etiológiou v populácii tejto štúdie bola </w:t>
      </w:r>
      <w:proofErr w:type="spellStart"/>
      <w:r w:rsidRPr="00E3110F">
        <w:rPr>
          <w:rFonts w:eastAsia="Times New Roman"/>
          <w:sz w:val="22"/>
          <w:szCs w:val="22"/>
        </w:rPr>
        <w:t>idiopatická</w:t>
      </w:r>
      <w:proofErr w:type="spellEnd"/>
      <w:r w:rsidRPr="00E3110F">
        <w:rPr>
          <w:rFonts w:eastAsia="Times New Roman"/>
          <w:sz w:val="22"/>
          <w:szCs w:val="22"/>
        </w:rPr>
        <w:t xml:space="preserve"> alebo dedičná PAH (56 %), po nej nasledovala PAH zapríčinená poruchami spojivového tkaniva (37 %), PAH súvisiaca s liekmi a toxínmi (3 %), s korigovanou jednoduchou vrodenou srdcovou chybou (2 %) a s HIV (2 %). Pacienti vo FT II a III podľa </w:t>
      </w:r>
      <w:r w:rsidR="00C07B25">
        <w:rPr>
          <w:rFonts w:eastAsia="Times New Roman"/>
          <w:sz w:val="22"/>
          <w:szCs w:val="22"/>
        </w:rPr>
        <w:t>WHO</w:t>
      </w:r>
      <w:r w:rsidRPr="00E3110F">
        <w:rPr>
          <w:rFonts w:eastAsia="Times New Roman"/>
          <w:sz w:val="22"/>
          <w:szCs w:val="22"/>
        </w:rPr>
        <w:t xml:space="preserve"> mali priemernú východiskovú hodnotu  6MWD rovnú 353 metrom.</w:t>
      </w:r>
    </w:p>
    <w:p w14:paraId="3D759F09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6382AEBD" w14:textId="0CCD8E9B" w:rsidR="006E453E" w:rsidRPr="00E3110F" w:rsidRDefault="009E7A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i/>
          <w:sz w:val="22"/>
          <w:szCs w:val="22"/>
          <w:u w:val="single"/>
        </w:rPr>
        <w:t>Cieľové ukazovatele efektu liečby</w:t>
      </w:r>
    </w:p>
    <w:p w14:paraId="2D221BF7" w14:textId="369D2973" w:rsidR="006E453E" w:rsidRPr="00E3110F" w:rsidRDefault="009E7AB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Kombinovaná liečba viedla v porovnaní so súhrnne hodnotenými skupinami s </w:t>
      </w:r>
      <w:proofErr w:type="spellStart"/>
      <w:r w:rsidRPr="00E3110F">
        <w:rPr>
          <w:rFonts w:eastAsia="Times New Roman"/>
          <w:sz w:val="22"/>
          <w:szCs w:val="22"/>
        </w:rPr>
        <w:t>monoterapiami</w:t>
      </w:r>
      <w:proofErr w:type="spellEnd"/>
      <w:r w:rsidRPr="00E3110F">
        <w:rPr>
          <w:rFonts w:eastAsia="Times New Roman"/>
          <w:sz w:val="22"/>
          <w:szCs w:val="22"/>
        </w:rPr>
        <w:t xml:space="preserve"> k 50 % zníženiu rizika (</w:t>
      </w:r>
      <w:r w:rsidR="00D05E19">
        <w:rPr>
          <w:rFonts w:eastAsia="Times New Roman"/>
          <w:sz w:val="22"/>
          <w:szCs w:val="22"/>
        </w:rPr>
        <w:t>pomer rizika</w:t>
      </w:r>
      <w:r w:rsidRPr="00E3110F">
        <w:rPr>
          <w:rFonts w:eastAsia="Times New Roman"/>
          <w:sz w:val="22"/>
          <w:szCs w:val="22"/>
        </w:rPr>
        <w:t xml:space="preserve"> [HR] 0,502; 95 % IS: 0,348 až 0,724; p = 0,0002) výskytu združeného cieľového ukazovateľa, ktorým bolo klinické zlyhanie liečby, a to až do hodnotenia na záverečnej návšteve [graf 1 a tabuľka1]. Efekt liečby bol založený na 63 % znížení počtu hospitalizácií pri kombinovanej liečbe, dosiahol sa v krátkom čase a zostal zachovaný. Účinnosť kombinovanej liečby z hľadiska primárneho cieľového ukazovateľa sa preukázala aj v porovnaní s jednotlivými </w:t>
      </w:r>
      <w:proofErr w:type="spellStart"/>
      <w:r w:rsidRPr="00E3110F">
        <w:rPr>
          <w:rFonts w:eastAsia="Times New Roman"/>
          <w:sz w:val="22"/>
          <w:szCs w:val="22"/>
        </w:rPr>
        <w:t>monoterapiami</w:t>
      </w:r>
      <w:proofErr w:type="spellEnd"/>
      <w:r w:rsidRPr="00E3110F">
        <w:rPr>
          <w:rFonts w:eastAsia="Times New Roman"/>
          <w:sz w:val="22"/>
          <w:szCs w:val="22"/>
        </w:rPr>
        <w:t xml:space="preserve"> a naprieč podskupinami vytvorenými na základe veku, etnického pôvodu, geografickej oblasti, etiológie (IPAH/</w:t>
      </w:r>
      <w:proofErr w:type="spellStart"/>
      <w:r w:rsidRPr="00E3110F">
        <w:rPr>
          <w:rFonts w:eastAsia="Times New Roman"/>
          <w:sz w:val="22"/>
          <w:szCs w:val="22"/>
        </w:rPr>
        <w:t>hPAH</w:t>
      </w:r>
      <w:proofErr w:type="spellEnd"/>
      <w:r w:rsidRPr="00E3110F">
        <w:rPr>
          <w:rFonts w:eastAsia="Times New Roman"/>
          <w:sz w:val="22"/>
          <w:szCs w:val="22"/>
        </w:rPr>
        <w:t xml:space="preserve"> a PAH-CTD). Efekt liečby bol významný u pacientov vo FC II aj u pacientov vo FC III.</w:t>
      </w:r>
    </w:p>
    <w:p w14:paraId="7A602625" w14:textId="7C801C16" w:rsidR="00E11D7E" w:rsidRDefault="00E11D7E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59C2774B" w14:textId="77777777" w:rsidR="009F6122" w:rsidRDefault="009F6122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770782FB" w14:textId="6EE6F23B" w:rsidR="006E453E" w:rsidRDefault="00E11D7E">
      <w:pPr>
        <w:keepNext/>
        <w:contextualSpacing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Obrázok </w:t>
      </w:r>
      <w:r w:rsidR="006E453E" w:rsidRPr="00E3110F">
        <w:rPr>
          <w:rFonts w:eastAsia="Times New Roman"/>
          <w:sz w:val="22"/>
          <w:szCs w:val="22"/>
        </w:rPr>
        <w:t>1</w:t>
      </w:r>
    </w:p>
    <w:p w14:paraId="2962528B" w14:textId="77777777" w:rsidR="00D14EEA" w:rsidRPr="00E3110F" w:rsidRDefault="00D14EEA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1CB4EE86" w14:textId="77777777" w:rsidR="006E453E" w:rsidRPr="00E3110F" w:rsidRDefault="006E453E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79A0F144" w14:textId="2DE9CA8A" w:rsidR="006E453E" w:rsidRPr="00E3110F" w:rsidRDefault="00D14EEA">
      <w:pPr>
        <w:keepNext/>
        <w:contextualSpacing/>
        <w:jc w:val="left"/>
        <w:rPr>
          <w:rFonts w:eastAsia="Times New Roman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17AB2749" wp14:editId="1D01B724">
            <wp:extent cx="5039177" cy="3476625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925" cy="349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B7EA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5E45BF50" w14:textId="77777777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6A489373" w14:textId="3EC499E9" w:rsidR="00B0196B" w:rsidRDefault="00B0196B">
      <w:pPr>
        <w:contextualSpacing/>
        <w:jc w:val="left"/>
        <w:rPr>
          <w:rFonts w:eastAsia="Times New Roman"/>
          <w:sz w:val="22"/>
          <w:szCs w:val="22"/>
        </w:rPr>
      </w:pPr>
    </w:p>
    <w:p w14:paraId="17514901" w14:textId="77777777" w:rsidR="00B0196B" w:rsidRDefault="00B0196B">
      <w:pPr>
        <w:contextualSpacing/>
        <w:jc w:val="left"/>
        <w:rPr>
          <w:rFonts w:eastAsia="Times New Roman"/>
          <w:sz w:val="22"/>
          <w:szCs w:val="22"/>
        </w:rPr>
      </w:pPr>
    </w:p>
    <w:p w14:paraId="3A328095" w14:textId="3E7B971D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26611C36" w14:textId="768413F0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43FDD39A" w14:textId="7BAB86B2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7E5B4D00" w14:textId="0FA60066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05A1CA75" w14:textId="55861B6E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lastRenderedPageBreak/>
        <w:t>Tab</w:t>
      </w:r>
      <w:r w:rsidR="00581661" w:rsidRPr="00E3110F">
        <w:rPr>
          <w:rFonts w:eastAsia="Times New Roman"/>
          <w:sz w:val="22"/>
          <w:szCs w:val="22"/>
        </w:rPr>
        <w:t>uľka</w:t>
      </w:r>
      <w:r w:rsidRPr="00E3110F">
        <w:rPr>
          <w:rFonts w:eastAsia="Times New Roman"/>
          <w:sz w:val="22"/>
          <w:szCs w:val="22"/>
        </w:rPr>
        <w:t xml:space="preserve"> 1</w:t>
      </w:r>
    </w:p>
    <w:p w14:paraId="332E888D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673"/>
        <w:gridCol w:w="1836"/>
        <w:gridCol w:w="1594"/>
        <w:gridCol w:w="1469"/>
      </w:tblGrid>
      <w:tr w:rsidR="006E453E" w:rsidRPr="00E3110F" w14:paraId="4E57D7BA" w14:textId="77777777" w:rsidTr="00F625A7">
        <w:trPr>
          <w:trHeight w:hRule="exact" w:val="805"/>
        </w:trPr>
        <w:tc>
          <w:tcPr>
            <w:tcW w:w="271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958BD" w14:textId="77777777" w:rsidR="006E453E" w:rsidRPr="00E3110F" w:rsidRDefault="006E453E">
            <w:pPr>
              <w:widowControl w:val="0"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17D5" w14:textId="073D9769" w:rsidR="006E453E" w:rsidRPr="00E3110F" w:rsidRDefault="007D388A" w:rsidP="00CB5537">
            <w:pPr>
              <w:widowControl w:val="0"/>
              <w:spacing w:before="5" w:after="0" w:line="245" w:lineRule="auto"/>
              <w:ind w:left="95" w:right="77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Ambrisentán</w:t>
            </w:r>
            <w:proofErr w:type="spellEnd"/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t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adala</w:t>
            </w:r>
            <w:r w:rsidR="006E453E" w:rsidRPr="00E3110F">
              <w:rPr>
                <w:rFonts w:eastAsia="Times New Roman"/>
                <w:b/>
                <w:bCs/>
                <w:spacing w:val="4"/>
                <w:sz w:val="22"/>
                <w:szCs w:val="22"/>
                <w:lang w:eastAsia="en-US"/>
              </w:rPr>
              <w:t>f</w:t>
            </w:r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l</w:t>
            </w:r>
            <w:proofErr w:type="spellEnd"/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(</w:t>
            </w:r>
            <w:r w:rsidR="009D5982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="006E453E"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=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253)</w:t>
            </w:r>
          </w:p>
        </w:tc>
        <w:tc>
          <w:tcPr>
            <w:tcW w:w="18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4A07" w14:textId="60E63B8F" w:rsidR="006E453E" w:rsidRPr="00E3110F" w:rsidRDefault="006E453E" w:rsidP="00CB5537">
            <w:pPr>
              <w:widowControl w:val="0"/>
              <w:spacing w:before="5" w:after="0" w:line="245" w:lineRule="auto"/>
              <w:ind w:left="244" w:right="225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Mono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t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erap</w:t>
            </w:r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ie</w:t>
            </w:r>
            <w:proofErr w:type="spellEnd"/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6711D" w:rsidRPr="00E3110F">
              <w:rPr>
                <w:rFonts w:eastAsia="Times New Roman"/>
                <w:b/>
                <w:bCs/>
                <w:spacing w:val="2"/>
                <w:sz w:val="22"/>
                <w:szCs w:val="22"/>
                <w:lang w:eastAsia="en-US"/>
              </w:rPr>
              <w:t>súhrnne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(</w:t>
            </w:r>
            <w:r w:rsidR="009D5982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=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247)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CDED" w14:textId="7DA0495C" w:rsidR="006E453E" w:rsidRPr="00E3110F" w:rsidRDefault="007D388A" w:rsidP="00CB5537">
            <w:pPr>
              <w:widowControl w:val="0"/>
              <w:spacing w:before="5" w:after="0" w:line="245" w:lineRule="auto"/>
              <w:ind w:left="134" w:right="116" w:hanging="1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Ambrisentán</w:t>
            </w:r>
            <w:proofErr w:type="spellEnd"/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m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onote</w:t>
            </w:r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ap</w:t>
            </w:r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ii</w:t>
            </w:r>
            <w:proofErr w:type="spellEnd"/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(</w:t>
            </w:r>
            <w:r w:rsidR="009D5982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="006E453E"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=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126)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9DFB5" w14:textId="092B38E6" w:rsidR="006E453E" w:rsidRPr="00E3110F" w:rsidRDefault="006E453E" w:rsidP="00CB5537">
            <w:pPr>
              <w:widowControl w:val="0"/>
              <w:spacing w:before="13" w:after="0" w:line="245" w:lineRule="auto"/>
              <w:ind w:left="71" w:right="54" w:hanging="2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T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adala</w:t>
            </w:r>
            <w:r w:rsidRPr="00E3110F">
              <w:rPr>
                <w:rFonts w:eastAsia="Times New Roman"/>
                <w:b/>
                <w:bCs/>
                <w:spacing w:val="4"/>
                <w:sz w:val="22"/>
                <w:szCs w:val="22"/>
                <w:lang w:eastAsia="en-US"/>
              </w:rPr>
              <w:t>f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l</w:t>
            </w:r>
            <w:proofErr w:type="spellEnd"/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m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onote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ap</w:t>
            </w:r>
            <w:r w:rsidR="00E6711D"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ii</w:t>
            </w:r>
            <w:proofErr w:type="spellEnd"/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  <w:lang w:eastAsia="en-US"/>
              </w:rPr>
              <w:t>(</w:t>
            </w:r>
            <w:r w:rsidR="009D5982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=</w:t>
            </w:r>
            <w:r w:rsidRPr="00E311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121)</w:t>
            </w:r>
          </w:p>
        </w:tc>
      </w:tr>
      <w:tr w:rsidR="006E453E" w:rsidRPr="00E3110F" w14:paraId="15D9C6D0" w14:textId="77777777" w:rsidTr="00F625A7">
        <w:trPr>
          <w:trHeight w:hRule="exact" w:val="544"/>
        </w:trPr>
        <w:tc>
          <w:tcPr>
            <w:tcW w:w="929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FBE486" w14:textId="77777777" w:rsidR="006E453E" w:rsidRPr="00E3110F" w:rsidRDefault="006E453E" w:rsidP="009169A4">
            <w:pPr>
              <w:widowControl w:val="0"/>
              <w:spacing w:before="2" w:after="0" w:line="14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C7A9603" w14:textId="50CE9B13" w:rsidR="006E453E" w:rsidRPr="00E3110F" w:rsidRDefault="00E6711D" w:rsidP="00EC7BFE">
            <w:pPr>
              <w:widowControl w:val="0"/>
              <w:spacing w:after="0"/>
              <w:ind w:left="98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  <w:lang w:eastAsia="en-US"/>
              </w:rPr>
              <w:t>Čas do prvej príhody klinického zlyhania liečby (formálne posúdenej)</w:t>
            </w:r>
          </w:p>
        </w:tc>
      </w:tr>
      <w:tr w:rsidR="006E453E" w:rsidRPr="00E3110F" w14:paraId="6729F0FE" w14:textId="77777777" w:rsidTr="00E6711D">
        <w:trPr>
          <w:trHeight w:hRule="exact" w:val="771"/>
        </w:trPr>
        <w:tc>
          <w:tcPr>
            <w:tcW w:w="271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C53F" w14:textId="78063058" w:rsidR="006E453E" w:rsidRPr="00E3110F" w:rsidRDefault="00E6711D" w:rsidP="009169A4">
            <w:pPr>
              <w:widowControl w:val="0"/>
              <w:spacing w:before="60" w:after="0"/>
              <w:ind w:left="98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  <w:lang w:eastAsia="en-US"/>
              </w:rPr>
              <w:t>Klinické zlyhanie liečby, počet (%)</w:t>
            </w:r>
          </w:p>
        </w:tc>
        <w:tc>
          <w:tcPr>
            <w:tcW w:w="16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D7C2" w14:textId="77777777" w:rsidR="006E453E" w:rsidRPr="00E3110F" w:rsidRDefault="006E453E" w:rsidP="00EC7BFE">
            <w:pPr>
              <w:widowControl w:val="0"/>
              <w:spacing w:before="60" w:after="0"/>
              <w:ind w:left="409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46 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18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%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E719" w14:textId="77777777" w:rsidR="006E453E" w:rsidRPr="00E3110F" w:rsidRDefault="006E453E" w:rsidP="001D3DC0">
            <w:pPr>
              <w:widowControl w:val="0"/>
              <w:spacing w:before="60" w:after="0"/>
              <w:ind w:left="491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77 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31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%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A77B5" w14:textId="77777777" w:rsidR="006E453E" w:rsidRPr="00E3110F" w:rsidRDefault="006E453E">
            <w:pPr>
              <w:widowControl w:val="0"/>
              <w:spacing w:before="60" w:after="0"/>
              <w:ind w:left="462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43 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34)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3B7C" w14:textId="77777777" w:rsidR="006E453E" w:rsidRPr="00E3110F" w:rsidRDefault="006E453E">
            <w:pPr>
              <w:widowControl w:val="0"/>
              <w:spacing w:before="68" w:after="0"/>
              <w:ind w:left="400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34 </w:t>
            </w: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28)</w:t>
            </w:r>
          </w:p>
        </w:tc>
      </w:tr>
      <w:tr w:rsidR="006E453E" w:rsidRPr="00E3110F" w14:paraId="047075B9" w14:textId="77777777" w:rsidTr="00F625A7">
        <w:trPr>
          <w:trHeight w:hRule="exact" w:val="794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1E28" w14:textId="77777777" w:rsidR="006E453E" w:rsidRPr="00E3110F" w:rsidRDefault="006E453E" w:rsidP="009169A4">
            <w:pPr>
              <w:widowControl w:val="0"/>
              <w:spacing w:before="6" w:after="0" w:line="26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204D53A" w14:textId="73FFCD0B" w:rsidR="006E453E" w:rsidRPr="00E3110F" w:rsidRDefault="009D5982" w:rsidP="00EC7BFE">
            <w:pPr>
              <w:widowControl w:val="0"/>
              <w:spacing w:after="0"/>
              <w:ind w:left="98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Pomer rizika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95%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I</w:t>
            </w:r>
            <w:r w:rsidR="00E6711D"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S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4CCBD" w14:textId="77777777" w:rsidR="006E453E" w:rsidRPr="00E3110F" w:rsidRDefault="006E453E" w:rsidP="001D3DC0">
            <w:pPr>
              <w:widowControl w:val="0"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511E" w14:textId="1B494CAB" w:rsidR="006E453E" w:rsidRPr="00E3110F" w:rsidRDefault="006E453E" w:rsidP="00CB5537">
            <w:pPr>
              <w:widowControl w:val="0"/>
              <w:spacing w:before="77" w:after="0"/>
              <w:ind w:left="622" w:right="603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502</w:t>
            </w:r>
          </w:p>
          <w:p w14:paraId="2F37B94D" w14:textId="77777777" w:rsidR="006E453E" w:rsidRPr="00E3110F" w:rsidRDefault="006E453E" w:rsidP="009169A4">
            <w:pPr>
              <w:widowControl w:val="0"/>
              <w:spacing w:before="6" w:after="0" w:line="12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CC8ACE" w14:textId="7B8BED9F" w:rsidR="006E453E" w:rsidRPr="00E3110F" w:rsidRDefault="006E453E" w:rsidP="00CB5537">
            <w:pPr>
              <w:widowControl w:val="0"/>
              <w:spacing w:after="0"/>
              <w:ind w:left="243" w:right="227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348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;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 0.724)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AD6B" w14:textId="11EE23B8" w:rsidR="006E453E" w:rsidRPr="00E3110F" w:rsidRDefault="006E453E" w:rsidP="00CB5537">
            <w:pPr>
              <w:widowControl w:val="0"/>
              <w:spacing w:before="77" w:after="0"/>
              <w:ind w:left="500" w:right="482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477</w:t>
            </w:r>
          </w:p>
          <w:p w14:paraId="080ABEA3" w14:textId="77777777" w:rsidR="006E453E" w:rsidRPr="00E3110F" w:rsidRDefault="006E453E" w:rsidP="009169A4">
            <w:pPr>
              <w:widowControl w:val="0"/>
              <w:spacing w:before="6" w:after="0" w:line="12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F4021BF" w14:textId="6B2057D7" w:rsidR="006E453E" w:rsidRPr="00E3110F" w:rsidRDefault="006E453E" w:rsidP="00CB5537">
            <w:pPr>
              <w:widowControl w:val="0"/>
              <w:spacing w:after="0"/>
              <w:ind w:left="121" w:right="107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314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;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 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723)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6E81" w14:textId="13CEEDF8" w:rsidR="006E453E" w:rsidRPr="00E3110F" w:rsidRDefault="006E453E" w:rsidP="00CB5537">
            <w:pPr>
              <w:widowControl w:val="0"/>
              <w:spacing w:before="77" w:after="0"/>
              <w:ind w:left="438" w:right="4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528</w:t>
            </w:r>
          </w:p>
          <w:p w14:paraId="20AB4E11" w14:textId="77777777" w:rsidR="006E453E" w:rsidRPr="00E3110F" w:rsidRDefault="006E453E" w:rsidP="009169A4">
            <w:pPr>
              <w:widowControl w:val="0"/>
              <w:spacing w:before="6" w:after="0" w:line="120" w:lineRule="exact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6DE97BF" w14:textId="07E63A31" w:rsidR="006E453E" w:rsidRPr="00E3110F" w:rsidRDefault="006E453E" w:rsidP="00CB5537">
            <w:pPr>
              <w:widowControl w:val="0"/>
              <w:spacing w:after="0"/>
              <w:ind w:left="58" w:right="45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(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338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;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 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827)</w:t>
            </w:r>
          </w:p>
        </w:tc>
      </w:tr>
      <w:tr w:rsidR="006E453E" w:rsidRPr="00E3110F" w14:paraId="4297E6F4" w14:textId="77777777" w:rsidTr="00F625A7">
        <w:trPr>
          <w:trHeight w:hRule="exact" w:val="415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ECEE" w14:textId="06A03126" w:rsidR="006E453E" w:rsidRPr="00E3110F" w:rsidRDefault="00E6711D" w:rsidP="009169A4">
            <w:pPr>
              <w:widowControl w:val="0"/>
              <w:spacing w:before="77" w:after="0"/>
              <w:ind w:left="98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p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-</w:t>
            </w:r>
            <w:r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hodnota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 xml:space="preserve">, 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l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o</w:t>
            </w:r>
            <w:r w:rsidR="006E453E" w:rsidRPr="00E3110F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>g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  <w:lang w:eastAsia="en-US"/>
              </w:rPr>
              <w:t>-</w:t>
            </w:r>
            <w:proofErr w:type="spellStart"/>
            <w:r w:rsidR="006E453E"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r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ank</w:t>
            </w:r>
            <w:proofErr w:type="spellEnd"/>
            <w:r w:rsidR="006E453E" w:rsidRPr="00E3110F">
              <w:rPr>
                <w:rFonts w:eastAsia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t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e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  <w:lang w:eastAsia="en-US"/>
              </w:rPr>
              <w:t>s</w:t>
            </w:r>
            <w:r w:rsidR="006E453E" w:rsidRPr="00E3110F">
              <w:rPr>
                <w:rFonts w:eastAsia="Times New Roman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658A" w14:textId="77777777" w:rsidR="006E453E" w:rsidRPr="00E3110F" w:rsidRDefault="006E453E" w:rsidP="00EC7BFE">
            <w:pPr>
              <w:widowControl w:val="0"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3B5F" w14:textId="33729D6C" w:rsidR="006E453E" w:rsidRPr="00E3110F" w:rsidRDefault="006E453E" w:rsidP="001D3DC0">
            <w:pPr>
              <w:widowControl w:val="0"/>
              <w:spacing w:before="77" w:after="0"/>
              <w:ind w:left="604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0002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75FE" w14:textId="69E0D42F" w:rsidR="006E453E" w:rsidRPr="00E3110F" w:rsidRDefault="006E453E">
            <w:pPr>
              <w:widowControl w:val="0"/>
              <w:spacing w:before="77" w:after="0"/>
              <w:ind w:left="481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0004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59E1" w14:textId="33205E95" w:rsidR="006E453E" w:rsidRPr="00E3110F" w:rsidRDefault="006E453E">
            <w:pPr>
              <w:widowControl w:val="0"/>
              <w:spacing w:before="77" w:after="0"/>
              <w:ind w:left="420" w:right="-20"/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E6711D" w:rsidRPr="00E3110F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E3110F">
              <w:rPr>
                <w:rFonts w:eastAsia="Times New Roman"/>
                <w:sz w:val="22"/>
                <w:szCs w:val="22"/>
                <w:lang w:eastAsia="en-US"/>
              </w:rPr>
              <w:t>0045</w:t>
            </w:r>
          </w:p>
        </w:tc>
      </w:tr>
    </w:tbl>
    <w:p w14:paraId="2AE09909" w14:textId="77777777" w:rsidR="006E453E" w:rsidRPr="00E3110F" w:rsidRDefault="006E453E" w:rsidP="009169A4">
      <w:pPr>
        <w:contextualSpacing/>
        <w:jc w:val="left"/>
        <w:rPr>
          <w:rFonts w:eastAsia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673"/>
        <w:gridCol w:w="1836"/>
        <w:gridCol w:w="1594"/>
        <w:gridCol w:w="1469"/>
      </w:tblGrid>
      <w:tr w:rsidR="006E453E" w:rsidRPr="00E3110F" w14:paraId="7EA0C32F" w14:textId="77777777" w:rsidTr="00F625A7">
        <w:trPr>
          <w:trHeight w:hRule="exact" w:val="544"/>
        </w:trPr>
        <w:tc>
          <w:tcPr>
            <w:tcW w:w="929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FE7236" w14:textId="77777777" w:rsidR="006E453E" w:rsidRPr="00E3110F" w:rsidRDefault="006E453E" w:rsidP="00CB5537">
            <w:pPr>
              <w:spacing w:before="2" w:after="0" w:line="140" w:lineRule="exact"/>
              <w:jc w:val="left"/>
              <w:rPr>
                <w:sz w:val="22"/>
                <w:szCs w:val="22"/>
              </w:rPr>
            </w:pPr>
          </w:p>
          <w:p w14:paraId="1970274F" w14:textId="376A1BAD" w:rsidR="006E453E" w:rsidRPr="00E3110F" w:rsidRDefault="00E6711D" w:rsidP="00CB5537">
            <w:pPr>
              <w:spacing w:after="0"/>
              <w:ind w:left="98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Zložky tvoriace prvú príhodu klinického zlyhania liečby (</w:t>
            </w:r>
            <w:r w:rsidR="009D5982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určené</w:t>
            </w: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)</w:t>
            </w:r>
          </w:p>
        </w:tc>
      </w:tr>
      <w:tr w:rsidR="006E453E" w:rsidRPr="00E3110F" w14:paraId="5736F2BE" w14:textId="77777777" w:rsidTr="00581661">
        <w:trPr>
          <w:trHeight w:hRule="exact" w:val="783"/>
        </w:trPr>
        <w:tc>
          <w:tcPr>
            <w:tcW w:w="271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0D22" w14:textId="77777777" w:rsidR="00581661" w:rsidRPr="00E3110F" w:rsidRDefault="00E6711D" w:rsidP="009169A4">
            <w:pPr>
              <w:spacing w:before="60" w:after="0"/>
              <w:ind w:left="24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Smrť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="00581661" w:rsidRPr="00E3110F">
              <w:rPr>
                <w:rFonts w:eastAsia="Times New Roman"/>
                <w:sz w:val="22"/>
                <w:szCs w:val="22"/>
              </w:rPr>
              <w:t xml:space="preserve">z akýchkoľvek </w:t>
            </w:r>
          </w:p>
          <w:p w14:paraId="786CEFD6" w14:textId="43EFC63E" w:rsidR="006E453E" w:rsidRPr="00E3110F" w:rsidRDefault="00581661" w:rsidP="00EC7BFE">
            <w:pPr>
              <w:spacing w:before="60" w:after="0"/>
              <w:ind w:left="24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príčin)</w:t>
            </w:r>
          </w:p>
        </w:tc>
        <w:tc>
          <w:tcPr>
            <w:tcW w:w="16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D810" w14:textId="77777777" w:rsidR="006E453E" w:rsidRPr="00E3110F" w:rsidRDefault="006E453E" w:rsidP="00CB5537">
            <w:pPr>
              <w:spacing w:before="60" w:after="0"/>
              <w:ind w:left="520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9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4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7FE7" w14:textId="77777777" w:rsidR="006E453E" w:rsidRPr="00E3110F" w:rsidRDefault="006E453E" w:rsidP="00CB5537">
            <w:pPr>
              <w:spacing w:before="60" w:after="0"/>
              <w:ind w:left="601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8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3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B38E" w14:textId="77777777" w:rsidR="006E453E" w:rsidRPr="00E3110F" w:rsidRDefault="006E453E" w:rsidP="00CB5537">
            <w:pPr>
              <w:spacing w:before="60" w:after="0"/>
              <w:ind w:left="536" w:right="5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2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2)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4B7D" w14:textId="77777777" w:rsidR="006E453E" w:rsidRPr="00E3110F" w:rsidRDefault="006E453E" w:rsidP="00CB5537">
            <w:pPr>
              <w:spacing w:before="69" w:after="0"/>
              <w:ind w:left="474" w:right="457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6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5)</w:t>
            </w:r>
          </w:p>
        </w:tc>
      </w:tr>
      <w:tr w:rsidR="006E453E" w:rsidRPr="00E3110F" w14:paraId="7062BEF1" w14:textId="77777777" w:rsidTr="00581661">
        <w:trPr>
          <w:trHeight w:hRule="exact" w:val="1117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586F" w14:textId="77777777" w:rsidR="006E453E" w:rsidRPr="00E3110F" w:rsidRDefault="006E453E" w:rsidP="009169A4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384C8C5E" w14:textId="21E99FF5" w:rsidR="006E453E" w:rsidRPr="00E3110F" w:rsidRDefault="00581661" w:rsidP="00EC7BFE">
            <w:pPr>
              <w:spacing w:after="0" w:line="300" w:lineRule="auto"/>
              <w:ind w:left="242" w:right="74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Hospitalizácia z dôvodu zhoršujúcej sa PAH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B74E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1BD21E47" w14:textId="77777777" w:rsidR="006E453E" w:rsidRPr="00E3110F" w:rsidRDefault="006E453E" w:rsidP="00CB5537">
            <w:pPr>
              <w:spacing w:after="0"/>
              <w:ind w:left="465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10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4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55D8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474A2752" w14:textId="77777777" w:rsidR="006E453E" w:rsidRPr="00E3110F" w:rsidRDefault="006E453E" w:rsidP="00CB5537">
            <w:pPr>
              <w:spacing w:after="0"/>
              <w:ind w:left="491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30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12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34531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7E121874" w14:textId="77777777" w:rsidR="006E453E" w:rsidRPr="00E3110F" w:rsidRDefault="006E453E" w:rsidP="00CB5537">
            <w:pPr>
              <w:spacing w:after="0"/>
              <w:ind w:left="46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18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14)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10811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34DF2A33" w14:textId="77777777" w:rsidR="006E453E" w:rsidRPr="00E3110F" w:rsidRDefault="006E453E" w:rsidP="00CB5537">
            <w:pPr>
              <w:spacing w:after="0"/>
              <w:ind w:left="400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12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10)</w:t>
            </w:r>
          </w:p>
        </w:tc>
      </w:tr>
      <w:tr w:rsidR="006E453E" w:rsidRPr="00E3110F" w14:paraId="1EB0C5DD" w14:textId="77777777" w:rsidTr="00F625A7">
        <w:trPr>
          <w:trHeight w:hRule="exact" w:val="415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0A48" w14:textId="0609D182" w:rsidR="006E453E" w:rsidRPr="00E3110F" w:rsidRDefault="00581661" w:rsidP="009169A4">
            <w:pPr>
              <w:spacing w:before="77" w:after="0"/>
              <w:ind w:left="24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Progresia ochorenia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20D5" w14:textId="77777777" w:rsidR="006E453E" w:rsidRPr="00E3110F" w:rsidRDefault="006E453E" w:rsidP="00CB5537">
            <w:pPr>
              <w:spacing w:before="77" w:after="0"/>
              <w:ind w:left="465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10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4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5974" w14:textId="77777777" w:rsidR="006E453E" w:rsidRPr="00E3110F" w:rsidRDefault="006E453E" w:rsidP="00CB5537">
            <w:pPr>
              <w:spacing w:before="77" w:after="0"/>
              <w:ind w:left="546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16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6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9B53" w14:textId="77777777" w:rsidR="006E453E" w:rsidRPr="00E3110F" w:rsidRDefault="006E453E" w:rsidP="00CB5537">
            <w:pPr>
              <w:spacing w:before="77" w:after="0"/>
              <w:ind w:left="46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12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10)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6D03" w14:textId="77777777" w:rsidR="006E453E" w:rsidRPr="00E3110F" w:rsidRDefault="006E453E" w:rsidP="00CB5537">
            <w:pPr>
              <w:spacing w:before="77" w:after="0"/>
              <w:ind w:left="474" w:right="457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4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3)</w:t>
            </w:r>
          </w:p>
        </w:tc>
      </w:tr>
      <w:tr w:rsidR="006E453E" w:rsidRPr="00E3110F" w14:paraId="0B27CAC2" w14:textId="77777777" w:rsidTr="00581661">
        <w:trPr>
          <w:trHeight w:hRule="exact" w:val="1173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647B" w14:textId="77777777" w:rsidR="006E453E" w:rsidRPr="00E3110F" w:rsidRDefault="006E453E" w:rsidP="009169A4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5D52C189" w14:textId="0908F56C" w:rsidR="006E453E" w:rsidRPr="00E3110F" w:rsidRDefault="00581661" w:rsidP="00EC7BFE">
            <w:pPr>
              <w:spacing w:after="0" w:line="300" w:lineRule="auto"/>
              <w:ind w:left="242" w:right="183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Neuspokojivá dlhodobá klinická odpoveď na liečbu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928A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4B1D95F1" w14:textId="77777777" w:rsidR="006E453E" w:rsidRPr="00E3110F" w:rsidRDefault="006E453E" w:rsidP="00CB5537">
            <w:pPr>
              <w:spacing w:after="0"/>
              <w:ind w:left="465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17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7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2846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3F2BEA95" w14:textId="77777777" w:rsidR="006E453E" w:rsidRPr="00E3110F" w:rsidRDefault="006E453E" w:rsidP="00CB5537">
            <w:pPr>
              <w:spacing w:after="0"/>
              <w:ind w:left="546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23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9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3837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4C20408A" w14:textId="77777777" w:rsidR="006E453E" w:rsidRPr="00E3110F" w:rsidRDefault="006E453E" w:rsidP="00CB5537">
            <w:pPr>
              <w:spacing w:after="0"/>
              <w:ind w:left="517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11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9)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8CE92" w14:textId="77777777" w:rsidR="006E453E" w:rsidRPr="00E3110F" w:rsidRDefault="006E453E" w:rsidP="00CB5537">
            <w:pPr>
              <w:spacing w:before="4" w:after="0" w:line="130" w:lineRule="exact"/>
              <w:jc w:val="left"/>
              <w:rPr>
                <w:sz w:val="22"/>
                <w:szCs w:val="22"/>
              </w:rPr>
            </w:pPr>
          </w:p>
          <w:p w14:paraId="45F961C0" w14:textId="77777777" w:rsidR="006E453E" w:rsidRPr="00E3110F" w:rsidRDefault="006E453E" w:rsidP="00CB5537">
            <w:pPr>
              <w:spacing w:after="0"/>
              <w:ind w:left="400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12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10)</w:t>
            </w:r>
          </w:p>
        </w:tc>
      </w:tr>
      <w:tr w:rsidR="006E453E" w:rsidRPr="00E3110F" w14:paraId="05CCF24B" w14:textId="77777777" w:rsidTr="00F625A7">
        <w:trPr>
          <w:trHeight w:hRule="exact" w:val="544"/>
        </w:trPr>
        <w:tc>
          <w:tcPr>
            <w:tcW w:w="929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9A3D4F" w14:textId="77777777" w:rsidR="006E453E" w:rsidRPr="00E3110F" w:rsidRDefault="006E453E" w:rsidP="00CB5537">
            <w:pPr>
              <w:spacing w:before="2" w:after="0" w:line="140" w:lineRule="exact"/>
              <w:jc w:val="left"/>
              <w:rPr>
                <w:sz w:val="22"/>
                <w:szCs w:val="22"/>
              </w:rPr>
            </w:pPr>
          </w:p>
          <w:p w14:paraId="082EC875" w14:textId="7CB49F46" w:rsidR="006E453E" w:rsidRPr="00E3110F" w:rsidRDefault="00581661" w:rsidP="00CB5537">
            <w:pPr>
              <w:spacing w:after="0"/>
              <w:ind w:left="98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Čas do prvej hospitalizácie z dôvodu zhoršujúcej sa </w:t>
            </w:r>
            <w:r w:rsidR="006E453E" w:rsidRPr="00E3110F">
              <w:rPr>
                <w:rFonts w:eastAsia="Times New Roman"/>
                <w:b/>
                <w:bCs/>
                <w:spacing w:val="2"/>
                <w:sz w:val="22"/>
                <w:szCs w:val="22"/>
              </w:rPr>
              <w:t>P</w:t>
            </w:r>
            <w:r w:rsidR="006E453E"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A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</w:rPr>
              <w:t>H</w:t>
            </w:r>
            <w:r w:rsidR="006E453E" w:rsidRPr="00E3110F">
              <w:rPr>
                <w:rFonts w:eastAsia="Times New Roman"/>
                <w:b/>
                <w:bCs/>
                <w:spacing w:val="1"/>
                <w:sz w:val="22"/>
                <w:szCs w:val="22"/>
              </w:rPr>
              <w:t xml:space="preserve"> (</w:t>
            </w:r>
            <w:r w:rsidR="009D5982">
              <w:rPr>
                <w:rFonts w:eastAsia="Times New Roman"/>
                <w:b/>
                <w:bCs/>
                <w:spacing w:val="1"/>
                <w:sz w:val="22"/>
                <w:szCs w:val="22"/>
              </w:rPr>
              <w:t>určené</w:t>
            </w:r>
            <w:r w:rsidR="006E453E" w:rsidRPr="00E3110F"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6E453E" w:rsidRPr="00E3110F" w14:paraId="6E3A0326" w14:textId="77777777" w:rsidTr="00F625A7">
        <w:trPr>
          <w:trHeight w:hRule="exact" w:val="666"/>
        </w:trPr>
        <w:tc>
          <w:tcPr>
            <w:tcW w:w="271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ED28" w14:textId="790508AD" w:rsidR="006E453E" w:rsidRPr="00E3110F" w:rsidRDefault="00581661" w:rsidP="009169A4">
            <w:pPr>
              <w:spacing w:before="60" w:after="0" w:line="245" w:lineRule="auto"/>
              <w:ind w:left="98" w:right="396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Prvá</w:t>
            </w:r>
            <w:r w:rsidR="006E453E" w:rsidRPr="00E3110F">
              <w:rPr>
                <w:rFonts w:eastAsia="Times New Roman"/>
                <w:spacing w:val="2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z w:val="22"/>
                <w:szCs w:val="22"/>
              </w:rPr>
              <w:t>hosp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it</w:t>
            </w:r>
            <w:r w:rsidR="006E453E" w:rsidRPr="00E3110F">
              <w:rPr>
                <w:rFonts w:eastAsia="Times New Roman"/>
                <w:sz w:val="22"/>
                <w:szCs w:val="22"/>
              </w:rPr>
              <w:t>a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li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zácia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, </w:t>
            </w:r>
            <w:r w:rsidRPr="00E3110F">
              <w:rPr>
                <w:rFonts w:eastAsia="Times New Roman"/>
                <w:sz w:val="22"/>
                <w:szCs w:val="22"/>
              </w:rPr>
              <w:t>počet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(%)</w:t>
            </w:r>
          </w:p>
        </w:tc>
        <w:tc>
          <w:tcPr>
            <w:tcW w:w="16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DD10" w14:textId="77777777" w:rsidR="006E453E" w:rsidRPr="00E3110F" w:rsidRDefault="006E453E" w:rsidP="00CB5537">
            <w:pPr>
              <w:spacing w:before="60" w:after="0"/>
              <w:ind w:left="465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19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8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9E3C" w14:textId="77777777" w:rsidR="006E453E" w:rsidRPr="00E3110F" w:rsidRDefault="006E453E" w:rsidP="00CB5537">
            <w:pPr>
              <w:spacing w:before="60" w:after="0"/>
              <w:ind w:left="491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44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18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1B2B" w14:textId="77777777" w:rsidR="006E453E" w:rsidRPr="00E3110F" w:rsidRDefault="006E453E" w:rsidP="00CB5537">
            <w:pPr>
              <w:spacing w:before="60" w:after="0"/>
              <w:ind w:left="369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27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21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2360" w14:textId="77777777" w:rsidR="006E453E" w:rsidRPr="00E3110F" w:rsidRDefault="006E453E" w:rsidP="00CB5537">
            <w:pPr>
              <w:spacing w:before="68" w:after="0"/>
              <w:ind w:left="307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 xml:space="preserve">17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z w:val="22"/>
                <w:szCs w:val="22"/>
              </w:rPr>
              <w:t>14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6E453E" w:rsidRPr="00E3110F" w14:paraId="024624F0" w14:textId="77777777" w:rsidTr="00F625A7">
        <w:trPr>
          <w:trHeight w:hRule="exact" w:val="416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7AA83" w14:textId="67B3EC46" w:rsidR="006E453E" w:rsidRPr="00E3110F" w:rsidRDefault="009D5982" w:rsidP="009169A4">
            <w:pPr>
              <w:spacing w:before="77" w:after="0"/>
              <w:ind w:left="98" w:right="-2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Pomer rizika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="006E453E" w:rsidRPr="00E3110F">
              <w:rPr>
                <w:rFonts w:eastAsia="Times New Roman"/>
                <w:sz w:val="22"/>
                <w:szCs w:val="22"/>
              </w:rPr>
              <w:t>95%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</w:rPr>
              <w:t>I</w:t>
            </w:r>
            <w:r w:rsidR="00581661" w:rsidRPr="00E3110F">
              <w:rPr>
                <w:rFonts w:eastAsia="Times New Roman"/>
                <w:spacing w:val="-4"/>
                <w:sz w:val="22"/>
                <w:szCs w:val="22"/>
              </w:rPr>
              <w:t>S</w:t>
            </w:r>
            <w:r w:rsidR="006E453E"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3809" w14:textId="77777777" w:rsidR="006E453E" w:rsidRPr="00E3110F" w:rsidRDefault="006E453E" w:rsidP="00CB553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7FF1" w14:textId="77D1A2E2" w:rsidR="006E453E" w:rsidRPr="00E3110F" w:rsidRDefault="006E453E" w:rsidP="00CB5537">
            <w:pPr>
              <w:spacing w:before="77" w:after="0"/>
              <w:ind w:left="622" w:right="603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372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0361D" w14:textId="22712643" w:rsidR="006E453E" w:rsidRPr="00E3110F" w:rsidRDefault="006E453E" w:rsidP="00CB5537">
            <w:pPr>
              <w:spacing w:before="77" w:after="0"/>
              <w:ind w:left="500" w:right="482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323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8D026" w14:textId="4047C3C3" w:rsidR="006E453E" w:rsidRPr="00E3110F" w:rsidRDefault="006E453E" w:rsidP="00CB5537">
            <w:pPr>
              <w:spacing w:before="77" w:after="0"/>
              <w:ind w:left="475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442</w:t>
            </w:r>
          </w:p>
        </w:tc>
      </w:tr>
      <w:tr w:rsidR="006E453E" w:rsidRPr="00E3110F" w14:paraId="466C0CC3" w14:textId="77777777" w:rsidTr="00F625A7">
        <w:trPr>
          <w:trHeight w:hRule="exact" w:val="415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CA93" w14:textId="12EEAC33" w:rsidR="006E453E" w:rsidRPr="00E3110F" w:rsidRDefault="00581661" w:rsidP="009169A4">
            <w:pPr>
              <w:spacing w:before="77" w:after="0"/>
              <w:ind w:left="98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p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pacing w:val="-2"/>
                <w:sz w:val="22"/>
                <w:szCs w:val="22"/>
              </w:rPr>
              <w:t>hodnota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, </w:t>
            </w:r>
            <w:r w:rsidRPr="00E3110F">
              <w:rPr>
                <w:rFonts w:eastAsia="Times New Roman"/>
                <w:sz w:val="22"/>
                <w:szCs w:val="22"/>
              </w:rPr>
              <w:t>l</w:t>
            </w:r>
            <w:r w:rsidR="006E453E" w:rsidRPr="00E3110F">
              <w:rPr>
                <w:rFonts w:eastAsia="Times New Roman"/>
                <w:sz w:val="22"/>
                <w:szCs w:val="22"/>
              </w:rPr>
              <w:t>o</w:t>
            </w:r>
            <w:r w:rsidR="006E453E" w:rsidRPr="00E3110F">
              <w:rPr>
                <w:rFonts w:eastAsia="Times New Roman"/>
                <w:spacing w:val="-2"/>
                <w:sz w:val="22"/>
                <w:szCs w:val="22"/>
              </w:rPr>
              <w:t>g</w:t>
            </w:r>
            <w:r w:rsidR="006E453E"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proofErr w:type="spellStart"/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r</w:t>
            </w:r>
            <w:r w:rsidR="006E453E" w:rsidRPr="00E3110F">
              <w:rPr>
                <w:rFonts w:eastAsia="Times New Roman"/>
                <w:sz w:val="22"/>
                <w:szCs w:val="22"/>
              </w:rPr>
              <w:t>ank</w:t>
            </w:r>
            <w:proofErr w:type="spellEnd"/>
            <w:r w:rsidR="006E453E" w:rsidRPr="00E3110F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6E453E" w:rsidRPr="00E3110F">
              <w:rPr>
                <w:rFonts w:eastAsia="Times New Roman"/>
                <w:spacing w:val="1"/>
                <w:sz w:val="22"/>
                <w:szCs w:val="22"/>
              </w:rPr>
              <w:t>t</w:t>
            </w:r>
            <w:r w:rsidR="006E453E" w:rsidRPr="00E3110F">
              <w:rPr>
                <w:rFonts w:eastAsia="Times New Roman"/>
                <w:sz w:val="22"/>
                <w:szCs w:val="22"/>
              </w:rPr>
              <w:t>est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F5CDF" w14:textId="77777777" w:rsidR="006E453E" w:rsidRPr="00E3110F" w:rsidRDefault="006E453E" w:rsidP="00CB553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9DF8" w14:textId="5D3F67D5" w:rsidR="006E453E" w:rsidRPr="00E3110F" w:rsidRDefault="006E453E" w:rsidP="00CB5537">
            <w:pPr>
              <w:spacing w:before="77" w:after="0"/>
              <w:ind w:left="604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0002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0D76" w14:textId="7E66C624" w:rsidR="006E453E" w:rsidRPr="00E3110F" w:rsidRDefault="006E453E" w:rsidP="00CB5537">
            <w:pPr>
              <w:spacing w:before="77" w:after="0"/>
              <w:ind w:left="419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&lt;0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0001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1D97" w14:textId="05309C7F" w:rsidR="006E453E" w:rsidRPr="00E3110F" w:rsidRDefault="006E453E" w:rsidP="00CB5537">
            <w:pPr>
              <w:spacing w:before="77" w:after="0"/>
              <w:ind w:left="420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0</w:t>
            </w:r>
            <w:r w:rsidR="00581661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0124</w:t>
            </w:r>
          </w:p>
        </w:tc>
      </w:tr>
    </w:tbl>
    <w:p w14:paraId="5883ECCA" w14:textId="15D41519" w:rsidR="006E453E" w:rsidRDefault="006E453E" w:rsidP="009169A4">
      <w:pPr>
        <w:contextualSpacing/>
        <w:jc w:val="left"/>
        <w:rPr>
          <w:rFonts w:eastAsia="Times New Roman"/>
          <w:sz w:val="22"/>
          <w:szCs w:val="22"/>
        </w:rPr>
      </w:pPr>
    </w:p>
    <w:p w14:paraId="043A2ADD" w14:textId="468B1E67" w:rsidR="009F6122" w:rsidRDefault="009F6122" w:rsidP="00EC7BFE">
      <w:pPr>
        <w:contextualSpacing/>
        <w:jc w:val="left"/>
        <w:rPr>
          <w:rFonts w:eastAsia="Times New Roman"/>
          <w:sz w:val="22"/>
          <w:szCs w:val="22"/>
        </w:rPr>
      </w:pPr>
    </w:p>
    <w:p w14:paraId="621A1F25" w14:textId="1F29C475" w:rsidR="009F6122" w:rsidRDefault="009F6122" w:rsidP="001D3DC0">
      <w:pPr>
        <w:contextualSpacing/>
        <w:jc w:val="left"/>
        <w:rPr>
          <w:rFonts w:eastAsia="Times New Roman"/>
          <w:sz w:val="22"/>
          <w:szCs w:val="22"/>
        </w:rPr>
      </w:pPr>
      <w:bookmarkStart w:id="17" w:name="_GoBack"/>
      <w:bookmarkEnd w:id="17"/>
    </w:p>
    <w:p w14:paraId="20627334" w14:textId="7BEA5C4B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68E3913F" w14:textId="7D47FC38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4DA3E47B" w14:textId="23813181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2E54EE24" w14:textId="0B40B179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4BE532FE" w14:textId="32E2116B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25C2F2DD" w14:textId="42EBDC94" w:rsidR="009F6122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6D7A00DD" w14:textId="77777777" w:rsidR="009F6122" w:rsidRPr="00E3110F" w:rsidRDefault="009F6122">
      <w:pPr>
        <w:contextualSpacing/>
        <w:jc w:val="left"/>
        <w:rPr>
          <w:rFonts w:eastAsia="Times New Roman"/>
          <w:sz w:val="22"/>
          <w:szCs w:val="22"/>
        </w:rPr>
      </w:pPr>
    </w:p>
    <w:p w14:paraId="06064088" w14:textId="5239FAFA" w:rsidR="006E453E" w:rsidRPr="00E3110F" w:rsidRDefault="00111052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i/>
          <w:sz w:val="22"/>
          <w:szCs w:val="22"/>
          <w:u w:val="single"/>
        </w:rPr>
        <w:lastRenderedPageBreak/>
        <w:t>Sekundárne cieľové ukazovatele</w:t>
      </w:r>
    </w:p>
    <w:p w14:paraId="38E64838" w14:textId="70656E86" w:rsidR="006E453E" w:rsidRPr="00E3110F" w:rsidRDefault="006F2130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>Hodnotené boli sekundárne cieľové ukazovatele</w:t>
      </w:r>
      <w:r w:rsidR="006E453E" w:rsidRPr="00E3110F">
        <w:rPr>
          <w:rFonts w:eastAsia="Times New Roman"/>
          <w:sz w:val="22"/>
          <w:szCs w:val="22"/>
        </w:rPr>
        <w:t>:</w:t>
      </w:r>
    </w:p>
    <w:p w14:paraId="3A3265B0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44AA7E66" w14:textId="3980D7C2" w:rsidR="006E453E" w:rsidRPr="00E3110F" w:rsidRDefault="0018213E">
      <w:pPr>
        <w:contextualSpacing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Tabuľka</w:t>
      </w:r>
      <w:r w:rsidRPr="00E3110F">
        <w:rPr>
          <w:rFonts w:eastAsia="Times New Roman"/>
          <w:sz w:val="22"/>
          <w:szCs w:val="22"/>
        </w:rPr>
        <w:t xml:space="preserve"> </w:t>
      </w:r>
      <w:r w:rsidR="006E453E" w:rsidRPr="00E3110F">
        <w:rPr>
          <w:rFonts w:eastAsia="Times New Roman"/>
          <w:sz w:val="22"/>
          <w:szCs w:val="22"/>
        </w:rPr>
        <w:t>2</w:t>
      </w:r>
    </w:p>
    <w:p w14:paraId="3A73EA67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561"/>
        <w:gridCol w:w="1487"/>
        <w:gridCol w:w="1843"/>
        <w:gridCol w:w="1065"/>
      </w:tblGrid>
      <w:tr w:rsidR="006E453E" w:rsidRPr="00E3110F" w14:paraId="7DC7B9D5" w14:textId="77777777" w:rsidTr="006F2130">
        <w:trPr>
          <w:trHeight w:hRule="exact" w:val="108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7B3A" w14:textId="7C7C313D" w:rsidR="006E453E" w:rsidRPr="00E3110F" w:rsidRDefault="006F2130">
            <w:pPr>
              <w:spacing w:after="0" w:line="245" w:lineRule="auto"/>
              <w:ind w:left="103" w:right="156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Sekundárn</w:t>
            </w:r>
            <w:r w:rsidR="001204D8">
              <w:rPr>
                <w:rFonts w:eastAsia="Times New Roman"/>
                <w:sz w:val="22"/>
                <w:szCs w:val="22"/>
              </w:rPr>
              <w:t>e</w:t>
            </w:r>
            <w:r w:rsidRPr="00E3110F">
              <w:rPr>
                <w:rFonts w:eastAsia="Times New Roman"/>
                <w:sz w:val="22"/>
                <w:szCs w:val="22"/>
              </w:rPr>
              <w:t xml:space="preserve"> cieľové ukazovatele (zmena v 24. týždni v porovnaní s východiskovým stavom)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24C8" w14:textId="51212E03" w:rsidR="006E453E" w:rsidRPr="00E3110F" w:rsidRDefault="007D388A" w:rsidP="00CB5537">
            <w:pPr>
              <w:spacing w:before="5" w:after="0"/>
              <w:ind w:left="153" w:right="-2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Ambrisentán</w:t>
            </w:r>
            <w:proofErr w:type="spellEnd"/>
          </w:p>
          <w:p w14:paraId="3FB0D5C9" w14:textId="12355B2A" w:rsidR="006E453E" w:rsidRPr="00E3110F" w:rsidRDefault="006E453E" w:rsidP="00CB5537">
            <w:pPr>
              <w:spacing w:before="6" w:after="0"/>
              <w:ind w:left="25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>+</w:t>
            </w:r>
            <w:r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F2130" w:rsidRPr="00E3110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t</w:t>
            </w:r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>adala</w:t>
            </w:r>
            <w:r w:rsidRPr="00E3110F">
              <w:rPr>
                <w:rFonts w:eastAsia="Times New Roman"/>
                <w:b/>
                <w:bCs/>
                <w:spacing w:val="4"/>
                <w:sz w:val="22"/>
                <w:szCs w:val="22"/>
              </w:rPr>
              <w:t>f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</w:rPr>
              <w:t>i</w:t>
            </w:r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4A5" w14:textId="10CF0E22" w:rsidR="006E453E" w:rsidRPr="00E3110F" w:rsidRDefault="006E453E" w:rsidP="00CB5537">
            <w:pPr>
              <w:spacing w:before="5" w:after="0" w:line="245" w:lineRule="auto"/>
              <w:ind w:left="102" w:right="100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>Mono</w:t>
            </w:r>
            <w:r w:rsidRPr="00E3110F">
              <w:rPr>
                <w:rFonts w:eastAsia="Times New Roman"/>
                <w:b/>
                <w:bCs/>
                <w:spacing w:val="1"/>
                <w:sz w:val="22"/>
                <w:szCs w:val="22"/>
              </w:rPr>
              <w:t>t</w:t>
            </w:r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>erap</w:t>
            </w:r>
            <w:r w:rsidR="006F2130" w:rsidRPr="00E3110F">
              <w:rPr>
                <w:rFonts w:eastAsia="Times New Roman"/>
                <w:b/>
                <w:bCs/>
                <w:sz w:val="22"/>
                <w:szCs w:val="22"/>
              </w:rPr>
              <w:t>ie</w:t>
            </w:r>
            <w:proofErr w:type="spellEnd"/>
            <w:r w:rsidRPr="00E3110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6F2130" w:rsidRPr="00E3110F">
              <w:rPr>
                <w:rFonts w:eastAsia="Times New Roman"/>
                <w:b/>
                <w:bCs/>
                <w:sz w:val="22"/>
                <w:szCs w:val="22"/>
              </w:rPr>
              <w:t>súhrnne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0BF8" w14:textId="3C5D029B" w:rsidR="006E453E" w:rsidRPr="00E3110F" w:rsidRDefault="006F2130" w:rsidP="00CB5537">
            <w:pPr>
              <w:spacing w:after="0" w:line="245" w:lineRule="auto"/>
              <w:ind w:left="102" w:right="209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Rozdiel a interval spoľahlivosti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703" w14:textId="1C80C12B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</w:t>
            </w:r>
            <w:r w:rsidR="006F2130" w:rsidRPr="00E3110F">
              <w:rPr>
                <w:rFonts w:eastAsia="Times New Roman"/>
                <w:sz w:val="22"/>
                <w:szCs w:val="22"/>
              </w:rPr>
              <w:t>-</w:t>
            </w:r>
            <w:r w:rsidR="006F2130" w:rsidRPr="00E3110F">
              <w:rPr>
                <w:rFonts w:eastAsia="Times New Roman"/>
                <w:spacing w:val="-2"/>
                <w:sz w:val="22"/>
                <w:szCs w:val="22"/>
              </w:rPr>
              <w:t>hodnota</w:t>
            </w:r>
          </w:p>
        </w:tc>
      </w:tr>
      <w:tr w:rsidR="006E453E" w:rsidRPr="00E3110F" w14:paraId="2BBD4724" w14:textId="77777777" w:rsidTr="006F2130">
        <w:trPr>
          <w:trHeight w:hRule="exact" w:val="130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839" w14:textId="77777777" w:rsidR="006E453E" w:rsidRPr="00E3110F" w:rsidRDefault="006E453E" w:rsidP="009169A4">
            <w:pPr>
              <w:spacing w:before="9" w:after="0" w:line="180" w:lineRule="exact"/>
              <w:jc w:val="left"/>
              <w:rPr>
                <w:sz w:val="22"/>
                <w:szCs w:val="22"/>
              </w:rPr>
            </w:pPr>
          </w:p>
          <w:p w14:paraId="62E0F8AF" w14:textId="77777777" w:rsidR="006E453E" w:rsidRPr="00E3110F" w:rsidRDefault="006E453E" w:rsidP="00EC7BFE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6BB133A7" w14:textId="77777777" w:rsidR="006E453E" w:rsidRPr="00E3110F" w:rsidRDefault="006E453E" w:rsidP="001D3DC0">
            <w:pPr>
              <w:spacing w:after="0"/>
              <w:ind w:left="103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N</w:t>
            </w:r>
            <w:r w:rsidRPr="00E3110F">
              <w:rPr>
                <w:rFonts w:eastAsia="Times New Roman"/>
                <w:spacing w:val="2"/>
                <w:sz w:val="22"/>
                <w:szCs w:val="22"/>
              </w:rPr>
              <w:t>T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proofErr w:type="spellStart"/>
            <w:r w:rsidRPr="00E3110F">
              <w:rPr>
                <w:rFonts w:eastAsia="Times New Roman"/>
                <w:sz w:val="22"/>
                <w:szCs w:val="22"/>
              </w:rPr>
              <w:t>p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r</w:t>
            </w:r>
            <w:r w:rsidRPr="00E3110F">
              <w:rPr>
                <w:rFonts w:eastAsia="Times New Roman"/>
                <w:sz w:val="22"/>
                <w:szCs w:val="22"/>
              </w:rPr>
              <w:t>o</w:t>
            </w:r>
            <w:r w:rsidRPr="00E3110F">
              <w:rPr>
                <w:rFonts w:eastAsia="Times New Roman"/>
                <w:spacing w:val="-1"/>
                <w:sz w:val="22"/>
                <w:szCs w:val="22"/>
              </w:rPr>
              <w:t>BN</w:t>
            </w:r>
            <w:r w:rsidRPr="00E3110F">
              <w:rPr>
                <w:rFonts w:eastAsia="Times New Roman"/>
                <w:sz w:val="22"/>
                <w:szCs w:val="22"/>
              </w:rPr>
              <w:t>P</w:t>
            </w:r>
            <w:proofErr w:type="spellEnd"/>
            <w:r w:rsidRPr="00E3110F">
              <w:rPr>
                <w:rFonts w:eastAsia="Times New Roman"/>
                <w:sz w:val="22"/>
                <w:szCs w:val="22"/>
              </w:rPr>
              <w:t xml:space="preserve"> (%</w:t>
            </w:r>
          </w:p>
          <w:p w14:paraId="081784F5" w14:textId="7986C87F" w:rsidR="006E453E" w:rsidRPr="00E3110F" w:rsidRDefault="006F2130">
            <w:pPr>
              <w:spacing w:before="6" w:after="0"/>
              <w:ind w:left="103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1"/>
                <w:sz w:val="22"/>
                <w:szCs w:val="22"/>
              </w:rPr>
              <w:t>zníženie</w:t>
            </w:r>
            <w:r w:rsidR="006E453E"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6514" w14:textId="77777777" w:rsidR="006E453E" w:rsidRPr="00E3110F" w:rsidRDefault="006E453E" w:rsidP="00CB5537">
            <w:pPr>
              <w:spacing w:before="9" w:after="0" w:line="110" w:lineRule="exact"/>
              <w:jc w:val="left"/>
              <w:rPr>
                <w:sz w:val="22"/>
                <w:szCs w:val="22"/>
              </w:rPr>
            </w:pPr>
          </w:p>
          <w:p w14:paraId="05B65AFB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3FCCF0D4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343FBDD9" w14:textId="5CE05A7C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z w:val="22"/>
                <w:szCs w:val="22"/>
              </w:rPr>
              <w:t>67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F697" w14:textId="77777777" w:rsidR="006E453E" w:rsidRPr="00E3110F" w:rsidRDefault="006E453E" w:rsidP="00CB5537">
            <w:pPr>
              <w:spacing w:before="9" w:after="0" w:line="110" w:lineRule="exact"/>
              <w:jc w:val="left"/>
              <w:rPr>
                <w:sz w:val="22"/>
                <w:szCs w:val="22"/>
              </w:rPr>
            </w:pPr>
          </w:p>
          <w:p w14:paraId="4B9AC0A4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0ADD3FDA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64E753BA" w14:textId="562183A4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z w:val="22"/>
                <w:szCs w:val="22"/>
              </w:rPr>
              <w:t>50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F5FE" w14:textId="77777777" w:rsidR="006E453E" w:rsidRPr="00E3110F" w:rsidRDefault="006E453E" w:rsidP="00CB5537">
            <w:pPr>
              <w:spacing w:before="20" w:after="0" w:line="240" w:lineRule="exact"/>
              <w:jc w:val="left"/>
              <w:rPr>
                <w:sz w:val="22"/>
                <w:szCs w:val="22"/>
              </w:rPr>
            </w:pPr>
          </w:p>
          <w:p w14:paraId="2D693A43" w14:textId="77777777" w:rsidR="006F2130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="006F2130" w:rsidRPr="00E3110F">
              <w:rPr>
                <w:rFonts w:eastAsia="Times New Roman"/>
                <w:sz w:val="22"/>
                <w:szCs w:val="22"/>
              </w:rPr>
              <w:t xml:space="preserve">rozdiel </w:t>
            </w:r>
          </w:p>
          <w:p w14:paraId="459B64D4" w14:textId="70EA4B37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z w:val="22"/>
                <w:szCs w:val="22"/>
              </w:rPr>
              <w:t>33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8;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95%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I</w:t>
            </w:r>
            <w:r w:rsidR="006F2130" w:rsidRPr="00E3110F">
              <w:rPr>
                <w:rFonts w:eastAsia="Times New Roman"/>
                <w:spacing w:val="-4"/>
                <w:sz w:val="22"/>
                <w:szCs w:val="22"/>
              </w:rPr>
              <w:t>S</w:t>
            </w:r>
            <w:r w:rsidRPr="00E3110F">
              <w:rPr>
                <w:rFonts w:eastAsia="Times New Roman"/>
                <w:sz w:val="22"/>
                <w:szCs w:val="22"/>
              </w:rPr>
              <w:t>:</w:t>
            </w:r>
          </w:p>
          <w:p w14:paraId="7577E01F" w14:textId="4F030127" w:rsidR="006E453E" w:rsidRPr="00E3110F" w:rsidRDefault="006E453E" w:rsidP="00CB5537">
            <w:pPr>
              <w:spacing w:before="6"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z w:val="22"/>
                <w:szCs w:val="22"/>
              </w:rPr>
              <w:t>44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8</w:t>
            </w:r>
            <w:r w:rsidR="006F2130" w:rsidRPr="00E3110F">
              <w:rPr>
                <w:rFonts w:eastAsia="Times New Roman"/>
                <w:sz w:val="22"/>
                <w:szCs w:val="22"/>
              </w:rPr>
              <w:t>;</w:t>
            </w:r>
            <w:r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Pr="00E3110F">
              <w:rPr>
                <w:rFonts w:eastAsia="Times New Roman"/>
                <w:sz w:val="22"/>
                <w:szCs w:val="22"/>
              </w:rPr>
              <w:t>20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ED91" w14:textId="77777777" w:rsidR="006E453E" w:rsidRPr="00E3110F" w:rsidRDefault="006E453E" w:rsidP="00CB5537">
            <w:pPr>
              <w:spacing w:before="9" w:after="0" w:line="110" w:lineRule="exact"/>
              <w:jc w:val="left"/>
              <w:rPr>
                <w:sz w:val="22"/>
                <w:szCs w:val="22"/>
              </w:rPr>
            </w:pPr>
          </w:p>
          <w:p w14:paraId="66EF8128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0D3ABF30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21C55E3E" w14:textId="3784CF97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p&lt;0</w:t>
            </w:r>
            <w:r w:rsidR="006F2130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0001</w:t>
            </w:r>
          </w:p>
        </w:tc>
      </w:tr>
      <w:tr w:rsidR="006E453E" w:rsidRPr="00E3110F" w14:paraId="4B175FCA" w14:textId="77777777" w:rsidTr="006F2130">
        <w:trPr>
          <w:trHeight w:hRule="exact" w:val="130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0905" w14:textId="77777777" w:rsidR="006E453E" w:rsidRPr="00E3110F" w:rsidRDefault="006E453E" w:rsidP="009169A4">
            <w:pPr>
              <w:spacing w:before="19" w:after="0" w:line="240" w:lineRule="exact"/>
              <w:jc w:val="left"/>
              <w:rPr>
                <w:sz w:val="22"/>
                <w:szCs w:val="22"/>
              </w:rPr>
            </w:pPr>
          </w:p>
          <w:p w14:paraId="33E9CF99" w14:textId="225AE3D4" w:rsidR="006E453E" w:rsidRPr="00E3110F" w:rsidRDefault="006E453E" w:rsidP="00EC7BFE">
            <w:pPr>
              <w:spacing w:after="0" w:line="245" w:lineRule="auto"/>
              <w:ind w:left="103" w:right="324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%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="006F2130" w:rsidRPr="00E3110F">
              <w:rPr>
                <w:rFonts w:eastAsia="Times New Roman"/>
                <w:sz w:val="22"/>
                <w:szCs w:val="22"/>
              </w:rPr>
              <w:t>osôb, ktoré v 24. týždni dosiahli uspokojivú klinickú odpoveď na liečbu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DEB3" w14:textId="77777777" w:rsidR="006E453E" w:rsidRPr="00E3110F" w:rsidRDefault="006E453E" w:rsidP="00CB5537">
            <w:pPr>
              <w:spacing w:before="8" w:after="0" w:line="110" w:lineRule="exact"/>
              <w:jc w:val="left"/>
              <w:rPr>
                <w:sz w:val="22"/>
                <w:szCs w:val="22"/>
              </w:rPr>
            </w:pPr>
          </w:p>
          <w:p w14:paraId="13E542C3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5D3EDC20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4F8F94AF" w14:textId="77777777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E57" w14:textId="77777777" w:rsidR="006E453E" w:rsidRPr="00E3110F" w:rsidRDefault="006E453E" w:rsidP="00CB5537">
            <w:pPr>
              <w:spacing w:before="8" w:after="0" w:line="110" w:lineRule="exact"/>
              <w:jc w:val="left"/>
              <w:rPr>
                <w:sz w:val="22"/>
                <w:szCs w:val="22"/>
              </w:rPr>
            </w:pPr>
          </w:p>
          <w:p w14:paraId="2C8F679C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148683A5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07751EB9" w14:textId="77777777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127" w14:textId="77777777" w:rsidR="006E453E" w:rsidRPr="00E3110F" w:rsidRDefault="006E453E" w:rsidP="00CB5537">
            <w:pPr>
              <w:spacing w:before="19" w:after="0" w:line="240" w:lineRule="exact"/>
              <w:jc w:val="left"/>
              <w:rPr>
                <w:sz w:val="22"/>
                <w:szCs w:val="22"/>
              </w:rPr>
            </w:pPr>
          </w:p>
          <w:p w14:paraId="2A583383" w14:textId="1D5F4C1B" w:rsidR="006E453E" w:rsidRPr="00E3110F" w:rsidRDefault="0002755C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1"/>
                <w:sz w:val="22"/>
                <w:szCs w:val="22"/>
              </w:rPr>
              <w:t>Pomer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šancí</w:t>
            </w:r>
            <w:r w:rsidR="006E453E" w:rsidRPr="00E3110F">
              <w:rPr>
                <w:rFonts w:eastAsia="Times New Roman"/>
                <w:sz w:val="22"/>
                <w:szCs w:val="22"/>
              </w:rPr>
              <w:t xml:space="preserve"> 1</w:t>
            </w:r>
            <w:r w:rsidRPr="00E3110F">
              <w:rPr>
                <w:rFonts w:eastAsia="Times New Roman"/>
                <w:sz w:val="22"/>
                <w:szCs w:val="22"/>
              </w:rPr>
              <w:t>,</w:t>
            </w:r>
            <w:r w:rsidR="006E453E" w:rsidRPr="00E3110F">
              <w:rPr>
                <w:rFonts w:eastAsia="Times New Roman"/>
                <w:sz w:val="22"/>
                <w:szCs w:val="22"/>
              </w:rPr>
              <w:t>56;</w:t>
            </w:r>
          </w:p>
          <w:p w14:paraId="14BCE0DD" w14:textId="235E9EEA" w:rsidR="006E453E" w:rsidRPr="00E3110F" w:rsidRDefault="006E453E" w:rsidP="00CB5537">
            <w:pPr>
              <w:spacing w:before="6"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95%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I</w:t>
            </w:r>
            <w:r w:rsidR="0002755C" w:rsidRPr="00E3110F">
              <w:rPr>
                <w:rFonts w:eastAsia="Times New Roman"/>
                <w:spacing w:val="-4"/>
                <w:sz w:val="22"/>
                <w:szCs w:val="22"/>
              </w:rPr>
              <w:t>S</w:t>
            </w:r>
            <w:r w:rsidRPr="00E3110F">
              <w:rPr>
                <w:rFonts w:eastAsia="Times New Roman"/>
                <w:sz w:val="22"/>
                <w:szCs w:val="22"/>
              </w:rPr>
              <w:t>: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1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="00CB46DB">
              <w:rPr>
                <w:rFonts w:eastAsia="Times New Roman"/>
                <w:sz w:val="22"/>
                <w:szCs w:val="22"/>
              </w:rPr>
              <w:t>05;</w:t>
            </w:r>
          </w:p>
          <w:p w14:paraId="2D0B4192" w14:textId="062ECECF" w:rsidR="006E453E" w:rsidRPr="00E3110F" w:rsidRDefault="006E453E" w:rsidP="00CB5537">
            <w:pPr>
              <w:spacing w:before="6"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2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5C3A" w14:textId="77777777" w:rsidR="006E453E" w:rsidRPr="00E3110F" w:rsidRDefault="006E453E" w:rsidP="00CB5537">
            <w:pPr>
              <w:spacing w:before="8" w:after="0" w:line="110" w:lineRule="exact"/>
              <w:jc w:val="left"/>
              <w:rPr>
                <w:sz w:val="22"/>
                <w:szCs w:val="22"/>
              </w:rPr>
            </w:pPr>
          </w:p>
          <w:p w14:paraId="4AE1DCE9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55E4A731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3FEEE6C1" w14:textId="0FB0313C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p=0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026</w:t>
            </w:r>
          </w:p>
        </w:tc>
      </w:tr>
      <w:tr w:rsidR="006E453E" w:rsidRPr="00E3110F" w14:paraId="621D1834" w14:textId="77777777" w:rsidTr="006F2130">
        <w:trPr>
          <w:trHeight w:hRule="exact" w:val="104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B4E1" w14:textId="77777777" w:rsidR="006E453E" w:rsidRPr="00E3110F" w:rsidRDefault="006E453E" w:rsidP="009169A4">
            <w:pPr>
              <w:spacing w:before="19" w:after="0" w:line="240" w:lineRule="exact"/>
              <w:jc w:val="left"/>
              <w:rPr>
                <w:sz w:val="22"/>
                <w:szCs w:val="22"/>
              </w:rPr>
            </w:pPr>
          </w:p>
          <w:p w14:paraId="7AA1F62C" w14:textId="5EAF619B" w:rsidR="006E453E" w:rsidRPr="00E3110F" w:rsidRDefault="006E453E" w:rsidP="00EC7BFE">
            <w:pPr>
              <w:spacing w:after="0" w:line="245" w:lineRule="auto"/>
              <w:ind w:left="103" w:right="196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6M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W</w:t>
            </w:r>
            <w:r w:rsidRPr="00E3110F">
              <w:rPr>
                <w:rFonts w:eastAsia="Times New Roman"/>
                <w:sz w:val="22"/>
                <w:szCs w:val="22"/>
              </w:rPr>
              <w:t>D</w:t>
            </w:r>
            <w:r w:rsidRPr="00E3110F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(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m</w:t>
            </w:r>
            <w:r w:rsidRPr="00E3110F">
              <w:rPr>
                <w:rFonts w:eastAsia="Times New Roman"/>
                <w:sz w:val="22"/>
                <w:szCs w:val="22"/>
              </w:rPr>
              <w:t>e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tr</w:t>
            </w:r>
            <w:r w:rsidRPr="00E3110F">
              <w:rPr>
                <w:rFonts w:eastAsia="Times New Roman"/>
                <w:sz w:val="22"/>
                <w:szCs w:val="22"/>
              </w:rPr>
              <w:t xml:space="preserve">e, 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m</w:t>
            </w:r>
            <w:r w:rsidRPr="00E3110F">
              <w:rPr>
                <w:rFonts w:eastAsia="Times New Roman"/>
                <w:sz w:val="22"/>
                <w:szCs w:val="22"/>
              </w:rPr>
              <w:t>ed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>i</w:t>
            </w:r>
            <w:r w:rsidR="0002755C" w:rsidRPr="00E3110F">
              <w:rPr>
                <w:rFonts w:eastAsia="Times New Roman"/>
                <w:spacing w:val="1"/>
                <w:sz w:val="22"/>
                <w:szCs w:val="22"/>
              </w:rPr>
              <w:t>á</w:t>
            </w:r>
            <w:r w:rsidRPr="00E3110F">
              <w:rPr>
                <w:rFonts w:eastAsia="Times New Roman"/>
                <w:sz w:val="22"/>
                <w:szCs w:val="22"/>
              </w:rPr>
              <w:t xml:space="preserve">n </w:t>
            </w:r>
            <w:r w:rsidR="0002755C" w:rsidRPr="00E3110F">
              <w:rPr>
                <w:rFonts w:eastAsia="Times New Roman"/>
                <w:sz w:val="22"/>
                <w:szCs w:val="22"/>
              </w:rPr>
              <w:t>zmeny</w:t>
            </w:r>
            <w:r w:rsidRPr="00E3110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F67" w14:textId="77777777" w:rsidR="006E453E" w:rsidRPr="00E3110F" w:rsidRDefault="006E453E" w:rsidP="00CB5537">
            <w:pPr>
              <w:spacing w:before="9" w:after="0" w:line="180" w:lineRule="exact"/>
              <w:jc w:val="left"/>
              <w:rPr>
                <w:sz w:val="22"/>
                <w:szCs w:val="22"/>
              </w:rPr>
            </w:pPr>
          </w:p>
          <w:p w14:paraId="40EBF15A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3696E8DB" w14:textId="080D9B96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49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742" w14:textId="77777777" w:rsidR="006E453E" w:rsidRPr="00E3110F" w:rsidRDefault="006E453E" w:rsidP="00CB5537">
            <w:pPr>
              <w:spacing w:before="9" w:after="0" w:line="180" w:lineRule="exact"/>
              <w:jc w:val="left"/>
              <w:rPr>
                <w:sz w:val="22"/>
                <w:szCs w:val="22"/>
              </w:rPr>
            </w:pPr>
          </w:p>
          <w:p w14:paraId="1E07B6AE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28F7F3AD" w14:textId="3312A446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23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BBE" w14:textId="77777777" w:rsidR="006E453E" w:rsidRPr="00E3110F" w:rsidRDefault="006E453E" w:rsidP="00CB5537">
            <w:pPr>
              <w:spacing w:before="19" w:after="0" w:line="240" w:lineRule="exact"/>
              <w:jc w:val="left"/>
              <w:rPr>
                <w:sz w:val="22"/>
                <w:szCs w:val="22"/>
              </w:rPr>
            </w:pPr>
          </w:p>
          <w:p w14:paraId="3A9FC532" w14:textId="22B3E1EC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22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75</w:t>
            </w:r>
            <w:r w:rsidRPr="00E3110F">
              <w:rPr>
                <w:rFonts w:eastAsia="Times New Roman"/>
                <w:spacing w:val="-4"/>
                <w:sz w:val="22"/>
                <w:szCs w:val="22"/>
              </w:rPr>
              <w:t>m</w:t>
            </w:r>
            <w:r w:rsidRPr="00E3110F">
              <w:rPr>
                <w:rFonts w:eastAsia="Times New Roman"/>
                <w:sz w:val="22"/>
                <w:szCs w:val="22"/>
              </w:rPr>
              <w:t>;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95%</w:t>
            </w:r>
          </w:p>
          <w:p w14:paraId="1E5CDB98" w14:textId="60563593" w:rsidR="006E453E" w:rsidRPr="00E3110F" w:rsidRDefault="006E453E" w:rsidP="00CB5537">
            <w:pPr>
              <w:spacing w:before="6"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pacing w:val="-4"/>
                <w:sz w:val="22"/>
                <w:szCs w:val="22"/>
              </w:rPr>
              <w:t>I</w:t>
            </w:r>
            <w:r w:rsidR="0002755C" w:rsidRPr="00E3110F">
              <w:rPr>
                <w:rFonts w:eastAsia="Times New Roman"/>
                <w:spacing w:val="-4"/>
                <w:sz w:val="22"/>
                <w:szCs w:val="22"/>
              </w:rPr>
              <w:t>S</w:t>
            </w:r>
            <w:r w:rsidRPr="00E3110F">
              <w:rPr>
                <w:rFonts w:eastAsia="Times New Roman"/>
                <w:sz w:val="22"/>
                <w:szCs w:val="22"/>
              </w:rPr>
              <w:t>:</w:t>
            </w:r>
            <w:r w:rsidRPr="00E3110F"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r w:rsidRPr="00E3110F">
              <w:rPr>
                <w:rFonts w:eastAsia="Times New Roman"/>
                <w:sz w:val="22"/>
                <w:szCs w:val="22"/>
              </w:rPr>
              <w:t>12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00</w:t>
            </w:r>
            <w:r w:rsidR="0002755C" w:rsidRPr="00E3110F">
              <w:rPr>
                <w:rFonts w:eastAsia="Times New Roman"/>
                <w:sz w:val="22"/>
                <w:szCs w:val="22"/>
              </w:rPr>
              <w:t>;</w:t>
            </w:r>
            <w:r w:rsidRPr="00E3110F">
              <w:rPr>
                <w:rFonts w:eastAsia="Times New Roman"/>
                <w:sz w:val="22"/>
                <w:szCs w:val="22"/>
              </w:rPr>
              <w:t xml:space="preserve"> 33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142F" w14:textId="77777777" w:rsidR="006E453E" w:rsidRPr="00E3110F" w:rsidRDefault="006E453E" w:rsidP="00CB5537">
            <w:pPr>
              <w:spacing w:before="9" w:after="0" w:line="180" w:lineRule="exact"/>
              <w:jc w:val="left"/>
              <w:rPr>
                <w:sz w:val="22"/>
                <w:szCs w:val="22"/>
              </w:rPr>
            </w:pPr>
          </w:p>
          <w:p w14:paraId="0650313C" w14:textId="77777777" w:rsidR="006E453E" w:rsidRPr="00E3110F" w:rsidRDefault="006E453E" w:rsidP="00CB5537">
            <w:pPr>
              <w:spacing w:after="0" w:line="200" w:lineRule="exact"/>
              <w:jc w:val="left"/>
              <w:rPr>
                <w:sz w:val="22"/>
                <w:szCs w:val="22"/>
              </w:rPr>
            </w:pPr>
          </w:p>
          <w:p w14:paraId="4D7D7C79" w14:textId="784BD271" w:rsidR="006E453E" w:rsidRPr="00E3110F" w:rsidRDefault="006E453E" w:rsidP="00CB5537">
            <w:pPr>
              <w:spacing w:after="0"/>
              <w:ind w:left="102" w:right="-20"/>
              <w:jc w:val="left"/>
              <w:rPr>
                <w:rFonts w:eastAsia="Times New Roman"/>
                <w:sz w:val="22"/>
                <w:szCs w:val="22"/>
              </w:rPr>
            </w:pPr>
            <w:r w:rsidRPr="00E3110F">
              <w:rPr>
                <w:rFonts w:eastAsia="Times New Roman"/>
                <w:sz w:val="22"/>
                <w:szCs w:val="22"/>
              </w:rPr>
              <w:t>p&lt;0</w:t>
            </w:r>
            <w:r w:rsidR="0002755C" w:rsidRPr="00E3110F">
              <w:rPr>
                <w:rFonts w:eastAsia="Times New Roman"/>
                <w:sz w:val="22"/>
                <w:szCs w:val="22"/>
              </w:rPr>
              <w:t>,</w:t>
            </w:r>
            <w:r w:rsidRPr="00E3110F">
              <w:rPr>
                <w:rFonts w:eastAsia="Times New Roman"/>
                <w:sz w:val="22"/>
                <w:szCs w:val="22"/>
              </w:rPr>
              <w:t>0001</w:t>
            </w:r>
          </w:p>
        </w:tc>
      </w:tr>
    </w:tbl>
    <w:p w14:paraId="04205249" w14:textId="77777777" w:rsidR="00D42006" w:rsidRPr="00E3110F" w:rsidRDefault="00D42006" w:rsidP="009169A4">
      <w:pPr>
        <w:contextualSpacing/>
        <w:jc w:val="left"/>
        <w:rPr>
          <w:rFonts w:eastAsia="Times New Roman"/>
          <w:sz w:val="22"/>
          <w:szCs w:val="22"/>
        </w:rPr>
      </w:pPr>
    </w:p>
    <w:p w14:paraId="14BA77ED" w14:textId="6E702DF9" w:rsidR="002F0FC5" w:rsidRPr="00E3110F" w:rsidRDefault="00666A3D" w:rsidP="00EC7BFE">
      <w:pPr>
        <w:contextualSpacing/>
        <w:jc w:val="left"/>
        <w:rPr>
          <w:rFonts w:eastAsia="Times New Roman"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sz w:val="22"/>
          <w:szCs w:val="22"/>
          <w:u w:val="single"/>
        </w:rPr>
        <w:t>Idiopatická</w:t>
      </w:r>
      <w:proofErr w:type="spellEnd"/>
      <w:r w:rsidRPr="00E3110F">
        <w:rPr>
          <w:rFonts w:eastAsia="Times New Roman"/>
          <w:sz w:val="22"/>
          <w:szCs w:val="22"/>
          <w:u w:val="single"/>
        </w:rPr>
        <w:t xml:space="preserve"> pľúcna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fibróza</w:t>
      </w:r>
      <w:proofErr w:type="spellEnd"/>
    </w:p>
    <w:p w14:paraId="50976BD4" w14:textId="066624ED" w:rsidR="002F0FC5" w:rsidRPr="00E3110F" w:rsidRDefault="00277CD0" w:rsidP="001D3DC0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>Uskutočnila sa štúdia so 492 pacientmi (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</w:t>
      </w:r>
      <w:r w:rsidR="001204D8">
        <w:rPr>
          <w:rFonts w:eastAsia="Times New Roman"/>
          <w:sz w:val="22"/>
          <w:szCs w:val="22"/>
        </w:rPr>
        <w:t>n</w:t>
      </w:r>
      <w:r w:rsidRPr="00E3110F">
        <w:rPr>
          <w:rFonts w:eastAsia="Times New Roman"/>
          <w:sz w:val="22"/>
          <w:szCs w:val="22"/>
        </w:rPr>
        <w:t xml:space="preserve"> = 329, placebo </w:t>
      </w:r>
      <w:r w:rsidR="001204D8">
        <w:rPr>
          <w:rFonts w:eastAsia="Times New Roman"/>
          <w:sz w:val="22"/>
          <w:szCs w:val="22"/>
        </w:rPr>
        <w:t>n</w:t>
      </w:r>
      <w:r w:rsidRPr="00E3110F">
        <w:rPr>
          <w:rFonts w:eastAsia="Times New Roman"/>
          <w:sz w:val="22"/>
          <w:szCs w:val="22"/>
        </w:rPr>
        <w:t xml:space="preserve"> = 163) s </w:t>
      </w:r>
      <w:proofErr w:type="spellStart"/>
      <w:r w:rsidRPr="00E3110F">
        <w:rPr>
          <w:rFonts w:eastAsia="Times New Roman"/>
          <w:sz w:val="22"/>
          <w:szCs w:val="22"/>
        </w:rPr>
        <w:t>idiopatickou</w:t>
      </w:r>
      <w:proofErr w:type="spellEnd"/>
      <w:r w:rsidRPr="00E3110F">
        <w:rPr>
          <w:rFonts w:eastAsia="Times New Roman"/>
          <w:sz w:val="22"/>
          <w:szCs w:val="22"/>
        </w:rPr>
        <w:t xml:space="preserve"> pľúcnou </w:t>
      </w:r>
      <w:proofErr w:type="spellStart"/>
      <w:r w:rsidRPr="00E3110F">
        <w:rPr>
          <w:rFonts w:eastAsia="Times New Roman"/>
          <w:sz w:val="22"/>
          <w:szCs w:val="22"/>
        </w:rPr>
        <w:t>fibrózou</w:t>
      </w:r>
      <w:proofErr w:type="spellEnd"/>
      <w:r w:rsidRPr="00E3110F">
        <w:rPr>
          <w:rFonts w:eastAsia="Times New Roman"/>
          <w:sz w:val="22"/>
          <w:szCs w:val="22"/>
        </w:rPr>
        <w:t xml:space="preserve"> (IPF), z ktorých 11 % malo sekundárnu pľúcnu hypertenziu (skupiny 3 podľa </w:t>
      </w:r>
      <w:r w:rsidR="001204D8">
        <w:rPr>
          <w:rFonts w:eastAsia="Times New Roman"/>
          <w:sz w:val="22"/>
          <w:szCs w:val="22"/>
        </w:rPr>
        <w:t>WHO</w:t>
      </w:r>
      <w:r w:rsidRPr="00E3110F">
        <w:rPr>
          <w:rFonts w:eastAsia="Times New Roman"/>
          <w:sz w:val="22"/>
          <w:szCs w:val="22"/>
        </w:rPr>
        <w:t xml:space="preserve">), ktorá však bola predčasne ukončená, keď sa zistilo, že nie je možné splniť primárny cieľový ukazovateľ účinnosti (štúdia ARTEMIS-IPF). V skupine s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r w:rsidRPr="00E3110F">
        <w:rPr>
          <w:rFonts w:eastAsia="Times New Roman"/>
          <w:sz w:val="22"/>
          <w:szCs w:val="22"/>
        </w:rPr>
        <w:t>om</w:t>
      </w:r>
      <w:proofErr w:type="spellEnd"/>
      <w:r w:rsidRPr="00E3110F">
        <w:rPr>
          <w:rFonts w:eastAsia="Times New Roman"/>
          <w:sz w:val="22"/>
          <w:szCs w:val="22"/>
        </w:rPr>
        <w:t xml:space="preserve"> sa pozorovalo 90 prípadov (27 %) progresie IPF (vrátane hospitalizácie z dôvodu respiračných ťažkostí) alebo úmrtia v porovnaní s 28 prípadmi (17 %) v skupine s placebom. </w:t>
      </w:r>
      <w:proofErr w:type="spellStart"/>
      <w:r w:rsidR="007D388A">
        <w:rPr>
          <w:rFonts w:eastAsia="Times New Roman"/>
          <w:sz w:val="22"/>
          <w:szCs w:val="22"/>
        </w:rPr>
        <w:t>Ambrisentán</w:t>
      </w:r>
      <w:proofErr w:type="spellEnd"/>
      <w:r w:rsidRPr="00E3110F">
        <w:rPr>
          <w:rFonts w:eastAsia="Times New Roman"/>
          <w:sz w:val="22"/>
          <w:szCs w:val="22"/>
        </w:rPr>
        <w:t xml:space="preserve"> je preto kontraindikovaný u pacientov s IPF so sekundárnou pľúcnou hypertenziou alebo bez nej (pozri časť 4.3).</w:t>
      </w:r>
    </w:p>
    <w:p w14:paraId="317CD2EF" w14:textId="77777777" w:rsidR="006E453E" w:rsidRPr="00E3110F" w:rsidRDefault="006E453E">
      <w:pPr>
        <w:contextualSpacing/>
        <w:jc w:val="left"/>
        <w:rPr>
          <w:rFonts w:eastAsia="Times New Roman"/>
          <w:sz w:val="22"/>
          <w:szCs w:val="22"/>
        </w:rPr>
      </w:pPr>
    </w:p>
    <w:p w14:paraId="023FCF23" w14:textId="26A767DF" w:rsidR="002F0FC5" w:rsidRPr="00E3110F" w:rsidRDefault="009B73DC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5.2</w:t>
      </w:r>
      <w:r w:rsidRPr="00E3110F">
        <w:rPr>
          <w:b/>
          <w:sz w:val="22"/>
          <w:szCs w:val="22"/>
        </w:rPr>
        <w:tab/>
      </w:r>
      <w:proofErr w:type="spellStart"/>
      <w:r w:rsidR="00A967FF" w:rsidRPr="00E3110F">
        <w:rPr>
          <w:b/>
          <w:sz w:val="22"/>
          <w:szCs w:val="22"/>
        </w:rPr>
        <w:t>F</w:t>
      </w:r>
      <w:r w:rsidRPr="00E3110F">
        <w:rPr>
          <w:b/>
          <w:sz w:val="22"/>
          <w:szCs w:val="22"/>
        </w:rPr>
        <w:t>arma</w:t>
      </w:r>
      <w:r w:rsidR="00A967FF" w:rsidRPr="00E3110F">
        <w:rPr>
          <w:b/>
          <w:sz w:val="22"/>
          <w:szCs w:val="22"/>
        </w:rPr>
        <w:t>k</w:t>
      </w:r>
      <w:r w:rsidRPr="00E3110F">
        <w:rPr>
          <w:b/>
          <w:sz w:val="22"/>
          <w:szCs w:val="22"/>
        </w:rPr>
        <w:t>okinetic</w:t>
      </w:r>
      <w:r w:rsidR="00A967FF" w:rsidRPr="00E3110F">
        <w:rPr>
          <w:b/>
          <w:sz w:val="22"/>
          <w:szCs w:val="22"/>
        </w:rPr>
        <w:t>ké</w:t>
      </w:r>
      <w:proofErr w:type="spellEnd"/>
      <w:r w:rsidRPr="00E3110F">
        <w:rPr>
          <w:b/>
          <w:sz w:val="22"/>
          <w:szCs w:val="22"/>
        </w:rPr>
        <w:t xml:space="preserve"> </w:t>
      </w:r>
      <w:r w:rsidR="00A967FF" w:rsidRPr="00E3110F">
        <w:rPr>
          <w:b/>
          <w:sz w:val="22"/>
          <w:szCs w:val="22"/>
        </w:rPr>
        <w:t>vlastnosti</w:t>
      </w:r>
    </w:p>
    <w:p w14:paraId="64FA1E38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  <w:bookmarkStart w:id="18" w:name="PHARMACOKINETIC_PROPS"/>
      <w:bookmarkEnd w:id="16"/>
    </w:p>
    <w:p w14:paraId="6A664680" w14:textId="70E29E02" w:rsidR="002F0FC5" w:rsidRPr="00E3110F" w:rsidRDefault="00666A3D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Absorpcia</w:t>
      </w:r>
    </w:p>
    <w:p w14:paraId="1FA3B17F" w14:textId="596CC222" w:rsidR="00A967FF" w:rsidRPr="00E3110F" w:rsidRDefault="007D388A">
      <w:pPr>
        <w:spacing w:after="0"/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A967FF" w:rsidRPr="00E3110F">
        <w:rPr>
          <w:sz w:val="22"/>
          <w:szCs w:val="22"/>
        </w:rPr>
        <w:t xml:space="preserve"> sa u ľudí rýchlo absorbuje. Po perorálnom podaní sa maximálne plazmatické koncentrácie (</w:t>
      </w:r>
      <w:proofErr w:type="spellStart"/>
      <w:r w:rsidR="001204D8">
        <w:rPr>
          <w:sz w:val="22"/>
          <w:szCs w:val="22"/>
        </w:rPr>
        <w:t>c</w:t>
      </w:r>
      <w:r w:rsidR="00A967FF" w:rsidRPr="00CB5537">
        <w:rPr>
          <w:sz w:val="22"/>
          <w:szCs w:val="22"/>
          <w:vertAlign w:val="subscript"/>
        </w:rPr>
        <w:t>max</w:t>
      </w:r>
      <w:proofErr w:type="spellEnd"/>
      <w:r w:rsidR="00A967FF" w:rsidRPr="00E3110F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ambrisentán</w:t>
      </w:r>
      <w:r w:rsidR="00A967FF" w:rsidRPr="00E3110F">
        <w:rPr>
          <w:sz w:val="22"/>
          <w:szCs w:val="22"/>
        </w:rPr>
        <w:t>u</w:t>
      </w:r>
      <w:proofErr w:type="spellEnd"/>
      <w:r w:rsidR="00A967FF" w:rsidRPr="00E3110F">
        <w:rPr>
          <w:sz w:val="22"/>
          <w:szCs w:val="22"/>
        </w:rPr>
        <w:t xml:space="preserve"> zvyčajne dosiahnu v priebehu približne 1,5 hodiny po podaní dávky spolu s jedlom ako aj nalačno. </w:t>
      </w:r>
      <w:proofErr w:type="spellStart"/>
      <w:r w:rsidR="001204D8">
        <w:rPr>
          <w:sz w:val="22"/>
          <w:szCs w:val="22"/>
        </w:rPr>
        <w:t>c</w:t>
      </w:r>
      <w:r w:rsidR="00A967FF" w:rsidRPr="00CB5537">
        <w:rPr>
          <w:sz w:val="22"/>
          <w:szCs w:val="22"/>
          <w:vertAlign w:val="subscript"/>
        </w:rPr>
        <w:t>max</w:t>
      </w:r>
      <w:proofErr w:type="spellEnd"/>
      <w:r w:rsidR="00A967FF" w:rsidRPr="00E3110F">
        <w:rPr>
          <w:sz w:val="22"/>
          <w:szCs w:val="22"/>
        </w:rPr>
        <w:t xml:space="preserve"> a plocha pod krivkou závislosti plazmatickej koncentrácie od času (AUC) sa zvyšujú úmerne dávke v rozmedzí terapeutických dávok. Rovnovážny stav sa zvyčajne dosiahne po 4 dňoch opakovaného podávania.</w:t>
      </w:r>
    </w:p>
    <w:p w14:paraId="73DA4DBD" w14:textId="00033727" w:rsidR="00A967FF" w:rsidRPr="00E3110F" w:rsidRDefault="00A967FF">
      <w:pPr>
        <w:spacing w:after="0"/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Štúdia skúmajúca vplyv jedla, v ktorej bol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podávaný zdravým dobrovoľníkom nalačno a s jedlom s vysokým obsahom tuku poukázala na to, že hodnota </w:t>
      </w:r>
      <w:proofErr w:type="spellStart"/>
      <w:r w:rsidR="001204D8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sa znížila o 12 %, zatiaľ čo hodnota AUC zostala nezmenená. Tento pokles maximálnej koncentrácie nie je klinicky významný, a preto sa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môže užívať s jedlom alebo bez jedla.</w:t>
      </w:r>
    </w:p>
    <w:p w14:paraId="6BF1FF0F" w14:textId="77777777" w:rsidR="002F0FC5" w:rsidRPr="00E3110F" w:rsidRDefault="002F0FC5">
      <w:pPr>
        <w:spacing w:after="0"/>
        <w:contextualSpacing/>
        <w:jc w:val="left"/>
        <w:rPr>
          <w:rFonts w:eastAsia="Times New Roman"/>
          <w:bCs/>
          <w:sz w:val="22"/>
          <w:szCs w:val="22"/>
        </w:rPr>
      </w:pPr>
    </w:p>
    <w:p w14:paraId="3DD2D41E" w14:textId="78DDEC27" w:rsidR="002F0FC5" w:rsidRPr="00E3110F" w:rsidRDefault="00666A3D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Distribúcia</w:t>
      </w:r>
    </w:p>
    <w:p w14:paraId="76392317" w14:textId="093ED246" w:rsidR="00A967FF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A967FF" w:rsidRPr="00E3110F">
        <w:rPr>
          <w:sz w:val="22"/>
          <w:szCs w:val="22"/>
        </w:rPr>
        <w:t xml:space="preserve"> sa vo veľkej miere viaže na plazmatické bielkoviny. Väzba </w:t>
      </w:r>
      <w:proofErr w:type="spellStart"/>
      <w:r>
        <w:rPr>
          <w:sz w:val="22"/>
          <w:szCs w:val="22"/>
        </w:rPr>
        <w:t>ambrisentán</w:t>
      </w:r>
      <w:r w:rsidR="00A967FF" w:rsidRPr="00E3110F">
        <w:rPr>
          <w:sz w:val="22"/>
          <w:szCs w:val="22"/>
        </w:rPr>
        <w:t>u</w:t>
      </w:r>
      <w:proofErr w:type="spellEnd"/>
      <w:r w:rsidR="00A967FF" w:rsidRPr="00E3110F">
        <w:rPr>
          <w:sz w:val="22"/>
          <w:szCs w:val="22"/>
        </w:rPr>
        <w:t xml:space="preserve"> na plazmatické bielkoviny </w:t>
      </w:r>
      <w:r w:rsidR="00A967FF" w:rsidRPr="00E3110F">
        <w:rPr>
          <w:i/>
          <w:iCs/>
          <w:sz w:val="22"/>
          <w:szCs w:val="22"/>
        </w:rPr>
        <w:t xml:space="preserve">in vitro </w:t>
      </w:r>
      <w:r w:rsidR="00A967FF" w:rsidRPr="00E3110F">
        <w:rPr>
          <w:sz w:val="22"/>
          <w:szCs w:val="22"/>
        </w:rPr>
        <w:t xml:space="preserve">bola v priemere 98,8 % a nezávislá od koncentrácie v rozmedzí 0,2 - 20 </w:t>
      </w:r>
      <w:r w:rsidR="00A967FF" w:rsidRPr="00E3110F">
        <w:rPr>
          <w:sz w:val="22"/>
          <w:szCs w:val="22"/>
        </w:rPr>
        <w:lastRenderedPageBreak/>
        <w:t xml:space="preserve">mikrogramov/ml. </w:t>
      </w:r>
      <w:proofErr w:type="spellStart"/>
      <w:r>
        <w:rPr>
          <w:sz w:val="22"/>
          <w:szCs w:val="22"/>
        </w:rPr>
        <w:t>Ambrisentán</w:t>
      </w:r>
      <w:proofErr w:type="spellEnd"/>
      <w:r w:rsidR="00A967FF" w:rsidRPr="00E3110F">
        <w:rPr>
          <w:sz w:val="22"/>
          <w:szCs w:val="22"/>
        </w:rPr>
        <w:t xml:space="preserve"> sa viaže predovšetkým na albumín (96,5 %) a v menšej miere na alfa</w:t>
      </w:r>
      <w:r w:rsidR="00A967FF" w:rsidRPr="00CB5537">
        <w:rPr>
          <w:sz w:val="22"/>
          <w:szCs w:val="22"/>
          <w:vertAlign w:val="subscript"/>
        </w:rPr>
        <w:t>1</w:t>
      </w:r>
      <w:r w:rsidR="00A967FF" w:rsidRPr="00E3110F">
        <w:rPr>
          <w:sz w:val="22"/>
          <w:szCs w:val="22"/>
        </w:rPr>
        <w:t xml:space="preserve">-kyslý </w:t>
      </w:r>
      <w:proofErr w:type="spellStart"/>
      <w:r w:rsidR="00A967FF" w:rsidRPr="00E3110F">
        <w:rPr>
          <w:sz w:val="22"/>
          <w:szCs w:val="22"/>
        </w:rPr>
        <w:t>glykoproteín</w:t>
      </w:r>
      <w:proofErr w:type="spellEnd"/>
      <w:r w:rsidR="00A967FF" w:rsidRPr="00E3110F">
        <w:rPr>
          <w:sz w:val="22"/>
          <w:szCs w:val="22"/>
        </w:rPr>
        <w:t>.</w:t>
      </w:r>
    </w:p>
    <w:p w14:paraId="5DFD6E13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7D9D6824" w14:textId="4A1586E5" w:rsidR="00A967FF" w:rsidRPr="00E3110F" w:rsidRDefault="00A967F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Distribúcia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do červených krviniek je nízka a priemerný pomer </w:t>
      </w:r>
      <w:proofErr w:type="spellStart"/>
      <w:r w:rsidRPr="00E3110F">
        <w:rPr>
          <w:sz w:val="22"/>
          <w:szCs w:val="22"/>
        </w:rPr>
        <w:t>krv:plazma</w:t>
      </w:r>
      <w:proofErr w:type="spellEnd"/>
      <w:r w:rsidRPr="00E3110F">
        <w:rPr>
          <w:sz w:val="22"/>
          <w:szCs w:val="22"/>
        </w:rPr>
        <w:t xml:space="preserve"> je 0,57 u žien a 0,61 u mužov.</w:t>
      </w:r>
    </w:p>
    <w:p w14:paraId="4079A4A8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5AE9122" w14:textId="217DE50C" w:rsidR="002F0FC5" w:rsidRPr="00E3110F" w:rsidRDefault="00666A3D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proofErr w:type="spellStart"/>
      <w:r w:rsidRPr="00E3110F">
        <w:rPr>
          <w:rFonts w:eastAsia="Times New Roman"/>
          <w:bCs/>
          <w:sz w:val="22"/>
          <w:szCs w:val="22"/>
          <w:u w:val="single"/>
        </w:rPr>
        <w:t>Biotransformácia</w:t>
      </w:r>
      <w:proofErr w:type="spellEnd"/>
    </w:p>
    <w:p w14:paraId="65027F7E" w14:textId="36E4D343" w:rsidR="002F0FC5" w:rsidRPr="00E3110F" w:rsidRDefault="007D388A">
      <w:pPr>
        <w:keepNext/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A967FF" w:rsidRPr="00E3110F">
        <w:rPr>
          <w:sz w:val="22"/>
          <w:szCs w:val="22"/>
        </w:rPr>
        <w:t xml:space="preserve"> je nesulfónamidový ERA (je to derivát kyseliny </w:t>
      </w:r>
      <w:proofErr w:type="spellStart"/>
      <w:r w:rsidR="00A967FF" w:rsidRPr="00E3110F">
        <w:rPr>
          <w:sz w:val="22"/>
          <w:szCs w:val="22"/>
        </w:rPr>
        <w:t>propiónovej</w:t>
      </w:r>
      <w:proofErr w:type="spellEnd"/>
      <w:r w:rsidR="009B73DC" w:rsidRPr="00E3110F">
        <w:rPr>
          <w:rFonts w:eastAsia="Times New Roman"/>
          <w:bCs/>
          <w:sz w:val="22"/>
          <w:szCs w:val="22"/>
        </w:rPr>
        <w:t>.</w:t>
      </w:r>
    </w:p>
    <w:p w14:paraId="2BE2032E" w14:textId="77777777" w:rsidR="002F0FC5" w:rsidRPr="00E3110F" w:rsidRDefault="002F0FC5">
      <w:pPr>
        <w:keepNext/>
        <w:contextualSpacing/>
        <w:jc w:val="left"/>
        <w:rPr>
          <w:rFonts w:eastAsia="Times New Roman"/>
          <w:bCs/>
          <w:sz w:val="22"/>
          <w:szCs w:val="22"/>
        </w:rPr>
      </w:pPr>
    </w:p>
    <w:p w14:paraId="59909870" w14:textId="14F42BA1" w:rsidR="00081437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rFonts w:eastAsia="Times New Roman"/>
          <w:bCs/>
          <w:sz w:val="22"/>
          <w:szCs w:val="22"/>
        </w:rPr>
        <w:t>Ambrisentán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je </w:t>
      </w:r>
      <w:proofErr w:type="spellStart"/>
      <w:r w:rsidR="00081437" w:rsidRPr="00E3110F">
        <w:rPr>
          <w:rFonts w:eastAsia="Times New Roman"/>
          <w:bCs/>
          <w:sz w:val="22"/>
          <w:szCs w:val="22"/>
        </w:rPr>
        <w:t>glukuronidovaný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niekoľkými </w:t>
      </w:r>
      <w:proofErr w:type="spellStart"/>
      <w:r w:rsidR="00081437" w:rsidRPr="00E3110F">
        <w:rPr>
          <w:rFonts w:eastAsia="Times New Roman"/>
          <w:bCs/>
          <w:sz w:val="22"/>
          <w:szCs w:val="22"/>
        </w:rPr>
        <w:t>izoenzýmami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UGT (UGT1A9S, UGT2B7S a UGT1A3S) na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r w:rsidR="001204D8">
        <w:rPr>
          <w:rFonts w:eastAsia="Times New Roman"/>
          <w:bCs/>
          <w:sz w:val="22"/>
          <w:szCs w:val="22"/>
        </w:rPr>
        <w:t>-glukuronid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(13 %).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podlieha aj oxidačnému metabolizmu sprostredkovanému hlavne CYP3A4 a v menšej miere CYP3A5 a CYP2C19, pri ktorom vzniká 4-hydroxymetyl</w:t>
      </w:r>
      <w:r>
        <w:rPr>
          <w:rFonts w:eastAsia="Times New Roman"/>
          <w:bCs/>
          <w:sz w:val="22"/>
          <w:szCs w:val="22"/>
        </w:rPr>
        <w:t>ambrisentán</w:t>
      </w:r>
      <w:r w:rsidR="00081437" w:rsidRPr="00E3110F">
        <w:rPr>
          <w:rFonts w:eastAsia="Times New Roman"/>
          <w:bCs/>
          <w:sz w:val="22"/>
          <w:szCs w:val="22"/>
        </w:rPr>
        <w:t xml:space="preserve"> (21 %), ktorý je ďalej </w:t>
      </w:r>
      <w:proofErr w:type="spellStart"/>
      <w:r w:rsidR="00081437" w:rsidRPr="00E3110F">
        <w:rPr>
          <w:rFonts w:eastAsia="Times New Roman"/>
          <w:bCs/>
          <w:sz w:val="22"/>
          <w:szCs w:val="22"/>
        </w:rPr>
        <w:t>glukuronidovaný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 na 4-hydroxymetyl</w:t>
      </w:r>
      <w:r>
        <w:rPr>
          <w:rFonts w:eastAsia="Times New Roman"/>
          <w:bCs/>
          <w:sz w:val="22"/>
          <w:szCs w:val="22"/>
        </w:rPr>
        <w:t>ambrisentán</w:t>
      </w:r>
      <w:r w:rsidR="001204D8">
        <w:rPr>
          <w:rFonts w:eastAsia="Times New Roman"/>
          <w:bCs/>
          <w:sz w:val="22"/>
          <w:szCs w:val="22"/>
        </w:rPr>
        <w:t>-glukuronid</w:t>
      </w:r>
      <w:r w:rsidR="00081437" w:rsidRPr="00E3110F">
        <w:rPr>
          <w:rFonts w:eastAsia="Times New Roman"/>
          <w:bCs/>
          <w:sz w:val="22"/>
          <w:szCs w:val="22"/>
        </w:rPr>
        <w:t xml:space="preserve"> (5 %). Väzbová afinita 4-hydroxymetyl</w:t>
      </w:r>
      <w:r>
        <w:rPr>
          <w:rFonts w:eastAsia="Times New Roman"/>
          <w:bCs/>
          <w:sz w:val="22"/>
          <w:szCs w:val="22"/>
        </w:rPr>
        <w:t>ambrisentán</w:t>
      </w:r>
      <w:r w:rsidR="00081437" w:rsidRPr="00E3110F">
        <w:rPr>
          <w:rFonts w:eastAsia="Times New Roman"/>
          <w:bCs/>
          <w:sz w:val="22"/>
          <w:szCs w:val="22"/>
        </w:rPr>
        <w:t xml:space="preserve">u k ľudskému </w:t>
      </w:r>
      <w:proofErr w:type="spellStart"/>
      <w:r w:rsidR="001204D8">
        <w:rPr>
          <w:rFonts w:eastAsia="Times New Roman"/>
          <w:bCs/>
          <w:sz w:val="22"/>
          <w:szCs w:val="22"/>
        </w:rPr>
        <w:t>endotelínovému</w:t>
      </w:r>
      <w:proofErr w:type="spellEnd"/>
      <w:r w:rsidR="001204D8">
        <w:rPr>
          <w:rFonts w:eastAsia="Times New Roman"/>
          <w:bCs/>
          <w:sz w:val="22"/>
          <w:szCs w:val="22"/>
        </w:rPr>
        <w:t xml:space="preserve"> </w:t>
      </w:r>
      <w:r w:rsidR="00081437" w:rsidRPr="00E3110F">
        <w:rPr>
          <w:rFonts w:eastAsia="Times New Roman"/>
          <w:bCs/>
          <w:sz w:val="22"/>
          <w:szCs w:val="22"/>
        </w:rPr>
        <w:t xml:space="preserve">receptoru je 65-násobne nižšia ako </w:t>
      </w:r>
      <w:r w:rsidR="001204D8">
        <w:rPr>
          <w:rFonts w:eastAsia="Times New Roman"/>
          <w:bCs/>
          <w:sz w:val="22"/>
          <w:szCs w:val="22"/>
        </w:rPr>
        <w:t>pri</w:t>
      </w:r>
      <w:r w:rsidR="00081437" w:rsidRPr="00E3110F">
        <w:rPr>
          <w:rFonts w:eastAsia="Times New Roman"/>
          <w:bCs/>
          <w:sz w:val="22"/>
          <w:szCs w:val="22"/>
        </w:rPr>
        <w:t xml:space="preserve">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r w:rsidR="001204D8">
        <w:rPr>
          <w:rFonts w:eastAsia="Times New Roman"/>
          <w:bCs/>
          <w:sz w:val="22"/>
          <w:szCs w:val="22"/>
        </w:rPr>
        <w:t>e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 xml:space="preserve">. Z tohto dôvodu sa pri koncentráciách pozorovaných v plazme (približne 4 % oproti pôvodnému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r w:rsidR="00081437" w:rsidRPr="00E3110F">
        <w:rPr>
          <w:rFonts w:eastAsia="Times New Roman"/>
          <w:bCs/>
          <w:sz w:val="22"/>
          <w:szCs w:val="22"/>
        </w:rPr>
        <w:t>u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>) neočakáva, že sa 4-hydroxymetyl</w:t>
      </w:r>
      <w:r>
        <w:rPr>
          <w:rFonts w:eastAsia="Times New Roman"/>
          <w:bCs/>
          <w:sz w:val="22"/>
          <w:szCs w:val="22"/>
        </w:rPr>
        <w:t>ambrisentán</w:t>
      </w:r>
      <w:r w:rsidR="00081437" w:rsidRPr="00E3110F">
        <w:rPr>
          <w:rFonts w:eastAsia="Times New Roman"/>
          <w:bCs/>
          <w:sz w:val="22"/>
          <w:szCs w:val="22"/>
        </w:rPr>
        <w:t xml:space="preserve"> bude podieľať na farmakologickom účinku </w:t>
      </w:r>
      <w:proofErr w:type="spellStart"/>
      <w:r>
        <w:rPr>
          <w:rFonts w:eastAsia="Times New Roman"/>
          <w:bCs/>
          <w:sz w:val="22"/>
          <w:szCs w:val="22"/>
        </w:rPr>
        <w:t>ambrisentán</w:t>
      </w:r>
      <w:r w:rsidR="00081437" w:rsidRPr="00E3110F">
        <w:rPr>
          <w:rFonts w:eastAsia="Times New Roman"/>
          <w:bCs/>
          <w:sz w:val="22"/>
          <w:szCs w:val="22"/>
        </w:rPr>
        <w:t>u</w:t>
      </w:r>
      <w:proofErr w:type="spellEnd"/>
      <w:r w:rsidR="00081437" w:rsidRPr="00E3110F">
        <w:rPr>
          <w:rFonts w:eastAsia="Times New Roman"/>
          <w:bCs/>
          <w:sz w:val="22"/>
          <w:szCs w:val="22"/>
        </w:rPr>
        <w:t>.</w:t>
      </w:r>
    </w:p>
    <w:p w14:paraId="69E319C9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8611F9E" w14:textId="5C7EBD25" w:rsidR="002F0FC5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Údaje </w:t>
      </w:r>
      <w:r w:rsidRPr="00E3110F">
        <w:rPr>
          <w:i/>
          <w:iCs/>
          <w:sz w:val="22"/>
          <w:szCs w:val="22"/>
        </w:rPr>
        <w:t xml:space="preserve">in vitro </w:t>
      </w:r>
      <w:r w:rsidRPr="00E3110F">
        <w:rPr>
          <w:sz w:val="22"/>
          <w:szCs w:val="22"/>
        </w:rPr>
        <w:t xml:space="preserve">ukazujú, že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v koncentrácii 300 </w:t>
      </w:r>
      <w:proofErr w:type="spellStart"/>
      <w:r w:rsidRPr="00E3110F">
        <w:rPr>
          <w:sz w:val="22"/>
          <w:szCs w:val="22"/>
        </w:rPr>
        <w:t>μmol</w:t>
      </w:r>
      <w:proofErr w:type="spellEnd"/>
      <w:r w:rsidRPr="00E3110F">
        <w:rPr>
          <w:sz w:val="22"/>
          <w:szCs w:val="22"/>
        </w:rPr>
        <w:t xml:space="preserve">/l spôsobil menej ako 50 % inhibíciu UGT1A1, UGT1A6, UGT1A9, UGT2B7 (do 30 %) alebo enzýmov 1A2, 2A6, 2B6, 2C8, 2C9, 2C19, 2D6, 2E1 a 3A4 cytochrómu P450 (do 25 %).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v klinicky významných koncentráciách nemá </w:t>
      </w:r>
      <w:r w:rsidRPr="00E3110F">
        <w:rPr>
          <w:i/>
          <w:iCs/>
          <w:sz w:val="22"/>
          <w:szCs w:val="22"/>
        </w:rPr>
        <w:t xml:space="preserve">in vitro </w:t>
      </w:r>
      <w:r w:rsidRPr="00E3110F">
        <w:rPr>
          <w:sz w:val="22"/>
          <w:szCs w:val="22"/>
        </w:rPr>
        <w:t xml:space="preserve">žiaden inhibičný vplyv na ľudské transportéry vrátane </w:t>
      </w:r>
      <w:proofErr w:type="spellStart"/>
      <w:r w:rsidRPr="00E3110F">
        <w:rPr>
          <w:sz w:val="22"/>
          <w:szCs w:val="22"/>
        </w:rPr>
        <w:t>Pgp</w:t>
      </w:r>
      <w:proofErr w:type="spellEnd"/>
      <w:r w:rsidRPr="00E3110F">
        <w:rPr>
          <w:sz w:val="22"/>
          <w:szCs w:val="22"/>
        </w:rPr>
        <w:t xml:space="preserve">, BCRP, MRP2, BSEP, OATP1B1, OATP1B3 a NTCP. Okrem toho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neindukoval </w:t>
      </w:r>
      <w:proofErr w:type="spellStart"/>
      <w:r w:rsidRPr="00E3110F">
        <w:rPr>
          <w:sz w:val="22"/>
          <w:szCs w:val="22"/>
        </w:rPr>
        <w:t>expresiu</w:t>
      </w:r>
      <w:proofErr w:type="spellEnd"/>
      <w:r w:rsidRPr="00E3110F">
        <w:rPr>
          <w:sz w:val="22"/>
          <w:szCs w:val="22"/>
        </w:rPr>
        <w:t xml:space="preserve"> proteínov MRP2, </w:t>
      </w:r>
      <w:proofErr w:type="spellStart"/>
      <w:r w:rsidRPr="00E3110F">
        <w:rPr>
          <w:sz w:val="22"/>
          <w:szCs w:val="22"/>
        </w:rPr>
        <w:t>Pgp</w:t>
      </w:r>
      <w:proofErr w:type="spellEnd"/>
      <w:r w:rsidRPr="00E3110F">
        <w:rPr>
          <w:sz w:val="22"/>
          <w:szCs w:val="22"/>
        </w:rPr>
        <w:t xml:space="preserve"> alebo BSEP v potkaních </w:t>
      </w:r>
      <w:proofErr w:type="spellStart"/>
      <w:r w:rsidRPr="00E3110F">
        <w:rPr>
          <w:sz w:val="22"/>
          <w:szCs w:val="22"/>
        </w:rPr>
        <w:t>hepatocytoch</w:t>
      </w:r>
      <w:proofErr w:type="spellEnd"/>
      <w:r w:rsidRPr="00E3110F">
        <w:rPr>
          <w:sz w:val="22"/>
          <w:szCs w:val="22"/>
        </w:rPr>
        <w:t xml:space="preserve">. Celkovo vzaté, údaje </w:t>
      </w:r>
      <w:r w:rsidRPr="00E3110F">
        <w:rPr>
          <w:i/>
          <w:iCs/>
          <w:sz w:val="22"/>
          <w:szCs w:val="22"/>
        </w:rPr>
        <w:t xml:space="preserve">in vitro </w:t>
      </w:r>
      <w:r w:rsidRPr="00E3110F">
        <w:rPr>
          <w:sz w:val="22"/>
          <w:szCs w:val="22"/>
        </w:rPr>
        <w:t xml:space="preserve">naznačujú, že sa nepredpokladá, že by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v klinicky významných koncentráciách (plazmatická </w:t>
      </w:r>
      <w:proofErr w:type="spellStart"/>
      <w:r w:rsidR="00DB0A99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do 3,2 </w:t>
      </w:r>
      <w:proofErr w:type="spellStart"/>
      <w:r w:rsidRPr="00E3110F">
        <w:rPr>
          <w:sz w:val="22"/>
          <w:szCs w:val="22"/>
        </w:rPr>
        <w:t>μmol</w:t>
      </w:r>
      <w:proofErr w:type="spellEnd"/>
      <w:r w:rsidRPr="00E3110F">
        <w:rPr>
          <w:sz w:val="22"/>
          <w:szCs w:val="22"/>
        </w:rPr>
        <w:t xml:space="preserve">/l) mal vplyv na UGT1A1, UGT1A6, UGT1A9, UGT2B7 alebo enzýmy 1A2, 2A6, 2B6, 2C8, 2C9, 2C19, 2D6, 2E1, 3A4 cytochrómu P450 alebo na transport sprostredkovaný BSEP, BCRP, </w:t>
      </w:r>
      <w:proofErr w:type="spellStart"/>
      <w:r w:rsidRPr="00E3110F">
        <w:rPr>
          <w:sz w:val="22"/>
          <w:szCs w:val="22"/>
        </w:rPr>
        <w:t>Pgp</w:t>
      </w:r>
      <w:proofErr w:type="spellEnd"/>
      <w:r w:rsidRPr="00E3110F">
        <w:rPr>
          <w:sz w:val="22"/>
          <w:szCs w:val="22"/>
        </w:rPr>
        <w:t>, MRP2, OATP1B1/3 alebo NTCP.</w:t>
      </w:r>
    </w:p>
    <w:p w14:paraId="5106C3F1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6EF9BB21" w14:textId="6E8A36F6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v rovnovážnom stave (10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a </w:t>
      </w:r>
      <w:proofErr w:type="spellStart"/>
      <w:r w:rsidRPr="00E3110F">
        <w:rPr>
          <w:sz w:val="22"/>
          <w:szCs w:val="22"/>
        </w:rPr>
        <w:t>farmakodynamiku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Pr="00E3110F">
        <w:rPr>
          <w:sz w:val="22"/>
          <w:szCs w:val="22"/>
        </w:rPr>
        <w:t>warfarínu</w:t>
      </w:r>
      <w:proofErr w:type="spellEnd"/>
      <w:r w:rsidRPr="00E3110F">
        <w:rPr>
          <w:sz w:val="22"/>
          <w:szCs w:val="22"/>
        </w:rPr>
        <w:t xml:space="preserve"> (25 mg), hodnotený pomocou PT a INR, bol skúmaný u 20 zdravých dobrovoľníkov.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nemal žiadny klinicky významný vplyv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alebo </w:t>
      </w:r>
      <w:proofErr w:type="spellStart"/>
      <w:r w:rsidRPr="00E3110F">
        <w:rPr>
          <w:sz w:val="22"/>
          <w:szCs w:val="22"/>
        </w:rPr>
        <w:t>farmakodynamiku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warfarínu</w:t>
      </w:r>
      <w:proofErr w:type="spellEnd"/>
      <w:r w:rsidRPr="00E3110F">
        <w:rPr>
          <w:sz w:val="22"/>
          <w:szCs w:val="22"/>
        </w:rPr>
        <w:t xml:space="preserve">. Podobne ani súbežné podávanie </w:t>
      </w:r>
      <w:proofErr w:type="spellStart"/>
      <w:r w:rsidRPr="00E3110F">
        <w:rPr>
          <w:sz w:val="22"/>
          <w:szCs w:val="22"/>
        </w:rPr>
        <w:t>warfarínu</w:t>
      </w:r>
      <w:proofErr w:type="spellEnd"/>
      <w:r w:rsidRPr="00E3110F">
        <w:rPr>
          <w:sz w:val="22"/>
          <w:szCs w:val="22"/>
        </w:rPr>
        <w:t xml:space="preserve"> nemalo vplyv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(pozri časť 4.5).</w:t>
      </w:r>
    </w:p>
    <w:p w14:paraId="786248B4" w14:textId="3C615580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7-dňového podávania </w:t>
      </w:r>
      <w:proofErr w:type="spellStart"/>
      <w:r w:rsidRPr="00E3110F">
        <w:rPr>
          <w:sz w:val="22"/>
          <w:szCs w:val="22"/>
        </w:rPr>
        <w:t>sildenafilu</w:t>
      </w:r>
      <w:proofErr w:type="spellEnd"/>
      <w:r w:rsidRPr="00E3110F">
        <w:rPr>
          <w:sz w:val="22"/>
          <w:szCs w:val="22"/>
        </w:rPr>
        <w:t xml:space="preserve"> (20 mg trikrát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a vplyv 7-dňového podávania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(10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Pr="00E3110F">
        <w:rPr>
          <w:sz w:val="22"/>
          <w:szCs w:val="22"/>
        </w:rPr>
        <w:t>sildenafilu</w:t>
      </w:r>
      <w:proofErr w:type="spellEnd"/>
      <w:r w:rsidRPr="00E3110F">
        <w:rPr>
          <w:sz w:val="22"/>
          <w:szCs w:val="22"/>
        </w:rPr>
        <w:t xml:space="preserve"> bol skúmaný u 19 zdravých dobrovoľníkov. Po súbežnom podávaní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sa hodnota </w:t>
      </w:r>
      <w:proofErr w:type="spellStart"/>
      <w:r w:rsidR="00DB0A99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sildenafilu</w:t>
      </w:r>
      <w:proofErr w:type="spellEnd"/>
      <w:r w:rsidRPr="00E3110F">
        <w:rPr>
          <w:sz w:val="22"/>
          <w:szCs w:val="22"/>
        </w:rPr>
        <w:t xml:space="preserve"> zvýšila o 13 %, avšak okrem toho sa nezistili žiadne ďalšie zmeny </w:t>
      </w:r>
      <w:proofErr w:type="spellStart"/>
      <w:r w:rsidRPr="00E3110F">
        <w:rPr>
          <w:sz w:val="22"/>
          <w:szCs w:val="22"/>
        </w:rPr>
        <w:t>farmakokinetických</w:t>
      </w:r>
      <w:proofErr w:type="spellEnd"/>
      <w:r w:rsidRPr="00E3110F">
        <w:rPr>
          <w:sz w:val="22"/>
          <w:szCs w:val="22"/>
        </w:rPr>
        <w:t xml:space="preserve"> parametrov </w:t>
      </w:r>
      <w:proofErr w:type="spellStart"/>
      <w:r w:rsidRPr="00E3110F">
        <w:rPr>
          <w:sz w:val="22"/>
          <w:szCs w:val="22"/>
        </w:rPr>
        <w:t>sildenafilu</w:t>
      </w:r>
      <w:proofErr w:type="spellEnd"/>
      <w:r w:rsidRPr="00E3110F">
        <w:rPr>
          <w:sz w:val="22"/>
          <w:szCs w:val="22"/>
        </w:rPr>
        <w:t>, N-</w:t>
      </w:r>
      <w:proofErr w:type="spellStart"/>
      <w:r w:rsidRPr="00E3110F">
        <w:rPr>
          <w:sz w:val="22"/>
          <w:szCs w:val="22"/>
        </w:rPr>
        <w:t>demetylsildenafilu</w:t>
      </w:r>
      <w:proofErr w:type="spellEnd"/>
      <w:r w:rsidRPr="00E3110F">
        <w:rPr>
          <w:sz w:val="22"/>
          <w:szCs w:val="22"/>
        </w:rPr>
        <w:t xml:space="preserve"> 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. Toto mierne zvýšenie hodnoty </w:t>
      </w:r>
      <w:proofErr w:type="spellStart"/>
      <w:r w:rsidR="00DB0A99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sildenafilu</w:t>
      </w:r>
      <w:proofErr w:type="spellEnd"/>
      <w:r w:rsidRPr="00E3110F">
        <w:rPr>
          <w:sz w:val="22"/>
          <w:szCs w:val="22"/>
        </w:rPr>
        <w:t xml:space="preserve"> sa nepovažuje za klinicky významné (pozri časť 4.5).</w:t>
      </w:r>
    </w:p>
    <w:p w14:paraId="73974A80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33241031" w14:textId="1ADC2524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v rovnovážnom stave (10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Pr="00E3110F">
        <w:rPr>
          <w:sz w:val="22"/>
          <w:szCs w:val="22"/>
        </w:rPr>
        <w:t>tadalafilu</w:t>
      </w:r>
      <w:proofErr w:type="spellEnd"/>
      <w:r w:rsidRPr="00E3110F">
        <w:rPr>
          <w:sz w:val="22"/>
          <w:szCs w:val="22"/>
        </w:rPr>
        <w:t xml:space="preserve"> a vplyv </w:t>
      </w:r>
      <w:proofErr w:type="spellStart"/>
      <w:r w:rsidRPr="00E3110F">
        <w:rPr>
          <w:sz w:val="22"/>
          <w:szCs w:val="22"/>
        </w:rPr>
        <w:t>tadalafilu</w:t>
      </w:r>
      <w:proofErr w:type="spellEnd"/>
      <w:r w:rsidRPr="00E3110F">
        <w:rPr>
          <w:sz w:val="22"/>
          <w:szCs w:val="22"/>
        </w:rPr>
        <w:t xml:space="preserve"> v rovnovážnom stave (40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bol skúmaný u 23 zdravých dobrovoľníkov.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nemal žiadny klinicky významný vplyv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tadalafilu</w:t>
      </w:r>
      <w:proofErr w:type="spellEnd"/>
      <w:r w:rsidRPr="00E3110F">
        <w:rPr>
          <w:sz w:val="22"/>
          <w:szCs w:val="22"/>
        </w:rPr>
        <w:t xml:space="preserve">. Podobne ani súbežné podávanie </w:t>
      </w:r>
      <w:proofErr w:type="spellStart"/>
      <w:r w:rsidRPr="00E3110F">
        <w:rPr>
          <w:sz w:val="22"/>
          <w:szCs w:val="22"/>
        </w:rPr>
        <w:t>tadalafilu</w:t>
      </w:r>
      <w:proofErr w:type="spellEnd"/>
      <w:r w:rsidRPr="00E3110F">
        <w:rPr>
          <w:sz w:val="22"/>
          <w:szCs w:val="22"/>
        </w:rPr>
        <w:t xml:space="preserve"> nemalo vplyv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(pozri časť 4.5).</w:t>
      </w:r>
    </w:p>
    <w:p w14:paraId="68A39309" w14:textId="77777777" w:rsidR="001C2D00" w:rsidRPr="00E3110F" w:rsidRDefault="001C2D00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5D58EA11" w14:textId="0FDE9BE7" w:rsidR="00FA37CF" w:rsidRPr="00E3110F" w:rsidRDefault="00FA37CF">
      <w:pPr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 xml:space="preserve">Vplyv opakovaného podávania </w:t>
      </w:r>
      <w:proofErr w:type="spellStart"/>
      <w:r w:rsidRPr="00E3110F">
        <w:rPr>
          <w:sz w:val="22"/>
          <w:szCs w:val="22"/>
        </w:rPr>
        <w:t>ketokonazolu</w:t>
      </w:r>
      <w:proofErr w:type="spellEnd"/>
      <w:r w:rsidRPr="00E3110F">
        <w:rPr>
          <w:sz w:val="22"/>
          <w:szCs w:val="22"/>
        </w:rPr>
        <w:t xml:space="preserve"> (400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10 mg dávky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bol skúmaný u 16 zdravých dobrovoľníkov. Expozícia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sa zvýšila </w:t>
      </w:r>
      <w:r w:rsidRPr="00E3110F">
        <w:rPr>
          <w:sz w:val="22"/>
          <w:szCs w:val="22"/>
        </w:rPr>
        <w:lastRenderedPageBreak/>
        <w:t>o 35 % pri hodnotení pomocou AUC</w:t>
      </w:r>
      <w:r w:rsidRPr="00CB5537">
        <w:rPr>
          <w:sz w:val="22"/>
          <w:szCs w:val="22"/>
          <w:vertAlign w:val="subscript"/>
        </w:rPr>
        <w:t>(0-inf)</w:t>
      </w:r>
      <w:r w:rsidRPr="00E3110F">
        <w:rPr>
          <w:sz w:val="22"/>
          <w:szCs w:val="22"/>
        </w:rPr>
        <w:t xml:space="preserve"> a o 20 % pri hodnotení pomocou </w:t>
      </w:r>
      <w:proofErr w:type="spellStart"/>
      <w:r w:rsidR="00DB0A99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. Táto zmena expozície pravdepodobne nie je klinicky významná, a preto sa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môže podávať súbežne s </w:t>
      </w:r>
      <w:proofErr w:type="spellStart"/>
      <w:r w:rsidRPr="00E3110F">
        <w:rPr>
          <w:sz w:val="22"/>
          <w:szCs w:val="22"/>
        </w:rPr>
        <w:t>ketokonazolom</w:t>
      </w:r>
      <w:proofErr w:type="spellEnd"/>
      <w:r w:rsidRPr="00E3110F">
        <w:rPr>
          <w:sz w:val="22"/>
          <w:szCs w:val="22"/>
        </w:rPr>
        <w:t>.</w:t>
      </w:r>
    </w:p>
    <w:p w14:paraId="1FCEFB88" w14:textId="77777777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AE40823" w14:textId="3158434C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opakovaného podávania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(100 - 150 mg dvakrát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(5 mg jedenkrát denne) v rovnovážnom stave a vplyv opakovaného podávania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(5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(100 - 150 mg dvakrát denne) v rovnovážnom stave bol skúmaný u zdravých dobrovoľníkov. Pri podávaní opakovaných dávok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došlo k zvýšeniu hodnoty </w:t>
      </w:r>
      <w:proofErr w:type="spellStart"/>
      <w:r w:rsidR="007D3796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a AUC</w:t>
      </w:r>
      <w:r w:rsidRPr="00CB5537">
        <w:rPr>
          <w:sz w:val="22"/>
          <w:szCs w:val="22"/>
          <w:vertAlign w:val="subscript"/>
        </w:rPr>
        <w:t>(0–t)</w:t>
      </w:r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(48 % a 121 %, v tomto poradí). Na základe týchto zmien sa má pri súbežnom podávaní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dávka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obmedziť na 5 mg jedenkrát denne (pozri časť 4.2). Podávanie opakovaných dávok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však nemalo klinicky významný vplyv na expozíciu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</w:t>
      </w:r>
      <w:proofErr w:type="spellStart"/>
      <w:r w:rsidRPr="00E3110F">
        <w:rPr>
          <w:sz w:val="22"/>
          <w:szCs w:val="22"/>
        </w:rPr>
        <w:t>a</w:t>
      </w:r>
      <w:proofErr w:type="spellEnd"/>
      <w:r w:rsidRPr="00E3110F">
        <w:rPr>
          <w:sz w:val="22"/>
          <w:szCs w:val="22"/>
        </w:rPr>
        <w:t xml:space="preserve"> úprava dávky </w:t>
      </w:r>
      <w:proofErr w:type="spellStart"/>
      <w:r w:rsidRPr="00E3110F">
        <w:rPr>
          <w:sz w:val="22"/>
          <w:szCs w:val="22"/>
        </w:rPr>
        <w:t>cyklosporínu</w:t>
      </w:r>
      <w:proofErr w:type="spellEnd"/>
      <w:r w:rsidRPr="00E3110F">
        <w:rPr>
          <w:sz w:val="22"/>
          <w:szCs w:val="22"/>
        </w:rPr>
        <w:t xml:space="preserve"> A nie je potrebná.</w:t>
      </w:r>
    </w:p>
    <w:p w14:paraId="2E39D98D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6CD4C895" w14:textId="10313B6A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akútneho a opakovaného podávania </w:t>
      </w:r>
      <w:proofErr w:type="spellStart"/>
      <w:r w:rsidRPr="00E3110F">
        <w:rPr>
          <w:sz w:val="22"/>
          <w:szCs w:val="22"/>
        </w:rPr>
        <w:t>rifampicínu</w:t>
      </w:r>
      <w:proofErr w:type="spellEnd"/>
      <w:r w:rsidRPr="00E3110F">
        <w:rPr>
          <w:sz w:val="22"/>
          <w:szCs w:val="22"/>
        </w:rPr>
        <w:t xml:space="preserve"> (600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(10 mg jedenkrát denne) v rovnovážnom stave bol sledovaný u zdravých dobrovoľníkov. Po podaní úvodných dávok </w:t>
      </w:r>
      <w:proofErr w:type="spellStart"/>
      <w:r w:rsidRPr="00E3110F">
        <w:rPr>
          <w:sz w:val="22"/>
          <w:szCs w:val="22"/>
        </w:rPr>
        <w:t>rifampicínu</w:t>
      </w:r>
      <w:proofErr w:type="spellEnd"/>
      <w:r w:rsidRPr="00E3110F">
        <w:rPr>
          <w:sz w:val="22"/>
          <w:szCs w:val="22"/>
        </w:rPr>
        <w:t xml:space="preserve"> sa pozorovalo prechodné zvýšenie hodnôt AUC</w:t>
      </w:r>
      <w:r w:rsidRPr="00CB5537">
        <w:rPr>
          <w:sz w:val="22"/>
          <w:szCs w:val="22"/>
          <w:vertAlign w:val="subscript"/>
        </w:rPr>
        <w:t>(0–τ)</w:t>
      </w:r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(o 121 % po prvej dávke a o 116% po druhej dávke </w:t>
      </w:r>
      <w:proofErr w:type="spellStart"/>
      <w:r w:rsidRPr="00E3110F">
        <w:rPr>
          <w:sz w:val="22"/>
          <w:szCs w:val="22"/>
        </w:rPr>
        <w:t>rifampicínu</w:t>
      </w:r>
      <w:proofErr w:type="spellEnd"/>
      <w:r w:rsidRPr="00E3110F">
        <w:rPr>
          <w:sz w:val="22"/>
          <w:szCs w:val="22"/>
        </w:rPr>
        <w:t xml:space="preserve">), pravdepodobne kvôli inhibícii OATP spôsobenej </w:t>
      </w:r>
      <w:proofErr w:type="spellStart"/>
      <w:r w:rsidRPr="00E3110F">
        <w:rPr>
          <w:sz w:val="22"/>
          <w:szCs w:val="22"/>
        </w:rPr>
        <w:t>rifampicínom</w:t>
      </w:r>
      <w:proofErr w:type="spellEnd"/>
      <w:r w:rsidRPr="00E3110F">
        <w:rPr>
          <w:sz w:val="22"/>
          <w:szCs w:val="22"/>
        </w:rPr>
        <w:t xml:space="preserve">. Po podávaní opakovaných dávok </w:t>
      </w:r>
      <w:proofErr w:type="spellStart"/>
      <w:r w:rsidRPr="00E3110F">
        <w:rPr>
          <w:sz w:val="22"/>
          <w:szCs w:val="22"/>
        </w:rPr>
        <w:t>rifampicínu</w:t>
      </w:r>
      <w:proofErr w:type="spellEnd"/>
      <w:r w:rsidRPr="00E3110F">
        <w:rPr>
          <w:sz w:val="22"/>
          <w:szCs w:val="22"/>
        </w:rPr>
        <w:t xml:space="preserve"> sa však na 8. deň nezistil klinicky významný vplyv na expozíciu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. Pacienti užívajúci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majú byť starostlivo sledovaní pri začatí liečby </w:t>
      </w:r>
      <w:proofErr w:type="spellStart"/>
      <w:r w:rsidRPr="00E3110F">
        <w:rPr>
          <w:sz w:val="22"/>
          <w:szCs w:val="22"/>
        </w:rPr>
        <w:t>rifampicínom</w:t>
      </w:r>
      <w:proofErr w:type="spellEnd"/>
      <w:r w:rsidRPr="00E3110F">
        <w:rPr>
          <w:sz w:val="22"/>
          <w:szCs w:val="22"/>
        </w:rPr>
        <w:t xml:space="preserve"> (pozri časti 4.4 a 4.5).</w:t>
      </w:r>
    </w:p>
    <w:p w14:paraId="6A049F13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1C5ECA2C" w14:textId="59682873" w:rsidR="00FA37CF" w:rsidRPr="00E3110F" w:rsidRDefault="00FA37CF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opakovaného podávania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(10 mg)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</w:t>
      </w:r>
      <w:proofErr w:type="spellStart"/>
      <w:r w:rsidRPr="00E3110F">
        <w:rPr>
          <w:sz w:val="22"/>
          <w:szCs w:val="22"/>
        </w:rPr>
        <w:t>digoxínu</w:t>
      </w:r>
      <w:proofErr w:type="spellEnd"/>
      <w:r w:rsidRPr="00E3110F">
        <w:rPr>
          <w:sz w:val="22"/>
          <w:szCs w:val="22"/>
        </w:rPr>
        <w:t xml:space="preserve"> bol skúmaný u 15 zdravých dobrovoľníkov. Podávanie opakovaných dávok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spôsobilo mierne zvýšenie AUC</w:t>
      </w:r>
      <w:r w:rsidRPr="00CB5537">
        <w:rPr>
          <w:sz w:val="22"/>
          <w:szCs w:val="22"/>
          <w:vertAlign w:val="subscript"/>
        </w:rPr>
        <w:t xml:space="preserve">0-last </w:t>
      </w:r>
      <w:r w:rsidRPr="00E3110F">
        <w:rPr>
          <w:sz w:val="22"/>
          <w:szCs w:val="22"/>
        </w:rPr>
        <w:t>a minimálnych (</w:t>
      </w:r>
      <w:proofErr w:type="spellStart"/>
      <w:r w:rsidRPr="00E3110F">
        <w:rPr>
          <w:sz w:val="22"/>
          <w:szCs w:val="22"/>
        </w:rPr>
        <w:t>trough</w:t>
      </w:r>
      <w:proofErr w:type="spellEnd"/>
      <w:r w:rsidRPr="00E3110F">
        <w:rPr>
          <w:sz w:val="22"/>
          <w:szCs w:val="22"/>
        </w:rPr>
        <w:t xml:space="preserve">) koncentrácií </w:t>
      </w:r>
      <w:proofErr w:type="spellStart"/>
      <w:r w:rsidRPr="00E3110F">
        <w:rPr>
          <w:sz w:val="22"/>
          <w:szCs w:val="22"/>
        </w:rPr>
        <w:t>digoxínu</w:t>
      </w:r>
      <w:proofErr w:type="spellEnd"/>
      <w:r w:rsidRPr="00E3110F">
        <w:rPr>
          <w:sz w:val="22"/>
          <w:szCs w:val="22"/>
        </w:rPr>
        <w:t xml:space="preserve"> a zvýšenie </w:t>
      </w:r>
      <w:proofErr w:type="spellStart"/>
      <w:r w:rsidR="007D3796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CB5537">
        <w:rPr>
          <w:sz w:val="22"/>
          <w:szCs w:val="22"/>
          <w:vertAlign w:val="subscript"/>
        </w:rPr>
        <w:t xml:space="preserve"> </w:t>
      </w:r>
      <w:proofErr w:type="spellStart"/>
      <w:r w:rsidRPr="00E3110F">
        <w:rPr>
          <w:sz w:val="22"/>
          <w:szCs w:val="22"/>
        </w:rPr>
        <w:t>digoxínu</w:t>
      </w:r>
      <w:proofErr w:type="spellEnd"/>
      <w:r w:rsidRPr="00E3110F">
        <w:rPr>
          <w:sz w:val="22"/>
          <w:szCs w:val="22"/>
        </w:rPr>
        <w:t xml:space="preserve"> o 29 %. Zvýšenie expozície </w:t>
      </w:r>
      <w:proofErr w:type="spellStart"/>
      <w:r w:rsidRPr="00E3110F">
        <w:rPr>
          <w:sz w:val="22"/>
          <w:szCs w:val="22"/>
        </w:rPr>
        <w:t>digoxínu</w:t>
      </w:r>
      <w:proofErr w:type="spellEnd"/>
      <w:r w:rsidRPr="00E3110F">
        <w:rPr>
          <w:sz w:val="22"/>
          <w:szCs w:val="22"/>
        </w:rPr>
        <w:t xml:space="preserve"> pozorované po podávaní opakovaných dávok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sa nepovažovalo za klinicky významné a úprava dávky </w:t>
      </w:r>
      <w:proofErr w:type="spellStart"/>
      <w:r w:rsidRPr="00E3110F">
        <w:rPr>
          <w:sz w:val="22"/>
          <w:szCs w:val="22"/>
        </w:rPr>
        <w:t>digoxínu</w:t>
      </w:r>
      <w:proofErr w:type="spellEnd"/>
      <w:r w:rsidRPr="00E3110F">
        <w:rPr>
          <w:sz w:val="22"/>
          <w:szCs w:val="22"/>
        </w:rPr>
        <w:t xml:space="preserve"> nie je potrebná (pozri časť 4.5).</w:t>
      </w:r>
    </w:p>
    <w:p w14:paraId="121808F7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0FAC22BB" w14:textId="34D2A351" w:rsidR="0020273B" w:rsidRPr="00E3110F" w:rsidRDefault="0020273B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Vplyv 12-dňového podávania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(10 mg jedenkrát denne) na </w:t>
      </w:r>
      <w:proofErr w:type="spellStart"/>
      <w:r w:rsidRPr="00E3110F">
        <w:rPr>
          <w:sz w:val="22"/>
          <w:szCs w:val="22"/>
        </w:rPr>
        <w:t>farmakokinetiku</w:t>
      </w:r>
      <w:proofErr w:type="spellEnd"/>
      <w:r w:rsidRPr="00E3110F">
        <w:rPr>
          <w:sz w:val="22"/>
          <w:szCs w:val="22"/>
        </w:rPr>
        <w:t xml:space="preserve"> jednorazovej dávky perorálneho </w:t>
      </w:r>
      <w:proofErr w:type="spellStart"/>
      <w:r w:rsidRPr="00E3110F">
        <w:rPr>
          <w:sz w:val="22"/>
          <w:szCs w:val="22"/>
        </w:rPr>
        <w:t>kontraceptíva</w:t>
      </w:r>
      <w:proofErr w:type="spellEnd"/>
      <w:r w:rsidRPr="00E3110F">
        <w:rPr>
          <w:sz w:val="22"/>
          <w:szCs w:val="22"/>
        </w:rPr>
        <w:t xml:space="preserve"> obsahujúceho </w:t>
      </w:r>
      <w:proofErr w:type="spellStart"/>
      <w:r w:rsidRPr="00E3110F">
        <w:rPr>
          <w:sz w:val="22"/>
          <w:szCs w:val="22"/>
        </w:rPr>
        <w:t>etinylestradiol</w:t>
      </w:r>
      <w:proofErr w:type="spellEnd"/>
      <w:r w:rsidRPr="00E3110F">
        <w:rPr>
          <w:sz w:val="22"/>
          <w:szCs w:val="22"/>
        </w:rPr>
        <w:t xml:space="preserve"> (35 </w:t>
      </w:r>
      <w:proofErr w:type="spellStart"/>
      <w:r w:rsidRPr="00E3110F">
        <w:rPr>
          <w:sz w:val="22"/>
          <w:szCs w:val="22"/>
        </w:rPr>
        <w:t>μg</w:t>
      </w:r>
      <w:proofErr w:type="spellEnd"/>
      <w:r w:rsidRPr="00E3110F">
        <w:rPr>
          <w:sz w:val="22"/>
          <w:szCs w:val="22"/>
        </w:rPr>
        <w:t xml:space="preserve">) a </w:t>
      </w:r>
      <w:proofErr w:type="spellStart"/>
      <w:r w:rsidRPr="00E3110F">
        <w:rPr>
          <w:sz w:val="22"/>
          <w:szCs w:val="22"/>
        </w:rPr>
        <w:t>noretindrón</w:t>
      </w:r>
      <w:proofErr w:type="spellEnd"/>
      <w:r w:rsidRPr="00E3110F">
        <w:rPr>
          <w:sz w:val="22"/>
          <w:szCs w:val="22"/>
        </w:rPr>
        <w:t xml:space="preserve"> (1 mg) bol skúmaný u zdravých dobrovoľníkov. </w:t>
      </w:r>
      <w:proofErr w:type="spellStart"/>
      <w:r w:rsidR="007D3796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a AUC</w:t>
      </w:r>
      <w:r w:rsidRPr="00CB5537">
        <w:rPr>
          <w:sz w:val="22"/>
          <w:szCs w:val="22"/>
          <w:vertAlign w:val="subscript"/>
        </w:rPr>
        <w:t>(0–</w:t>
      </w:r>
      <w:r w:rsidRPr="00CB5537">
        <w:rPr>
          <w:rFonts w:hint="eastAsia"/>
          <w:sz w:val="22"/>
          <w:szCs w:val="22"/>
          <w:vertAlign w:val="subscript"/>
        </w:rPr>
        <w:t>∞</w:t>
      </w:r>
      <w:r w:rsidRPr="00CB5537">
        <w:rPr>
          <w:sz w:val="22"/>
          <w:szCs w:val="22"/>
          <w:vertAlign w:val="subscript"/>
        </w:rPr>
        <w:t>)</w:t>
      </w:r>
      <w:r w:rsidRPr="00E3110F">
        <w:rPr>
          <w:sz w:val="22"/>
          <w:szCs w:val="22"/>
        </w:rPr>
        <w:t xml:space="preserve"> boli mierne znížené pri </w:t>
      </w:r>
      <w:proofErr w:type="spellStart"/>
      <w:r w:rsidRPr="00E3110F">
        <w:rPr>
          <w:sz w:val="22"/>
          <w:szCs w:val="22"/>
        </w:rPr>
        <w:t>etinylestradiole</w:t>
      </w:r>
      <w:proofErr w:type="spellEnd"/>
      <w:r w:rsidRPr="00E3110F">
        <w:rPr>
          <w:sz w:val="22"/>
          <w:szCs w:val="22"/>
        </w:rPr>
        <w:t xml:space="preserve"> (o 8 % a 4 %) a mierne zvýšené pri </w:t>
      </w:r>
      <w:proofErr w:type="spellStart"/>
      <w:r w:rsidRPr="00E3110F">
        <w:rPr>
          <w:sz w:val="22"/>
          <w:szCs w:val="22"/>
        </w:rPr>
        <w:t>noretindróne</w:t>
      </w:r>
      <w:proofErr w:type="spellEnd"/>
      <w:r w:rsidRPr="00E3110F">
        <w:rPr>
          <w:sz w:val="22"/>
          <w:szCs w:val="22"/>
        </w:rPr>
        <w:t xml:space="preserve"> (o 13 % a 14 %). Tieto zmeny v expozícii </w:t>
      </w:r>
      <w:proofErr w:type="spellStart"/>
      <w:r w:rsidRPr="00E3110F">
        <w:rPr>
          <w:sz w:val="22"/>
          <w:szCs w:val="22"/>
        </w:rPr>
        <w:t>etinylestradiol</w:t>
      </w:r>
      <w:r w:rsidR="007D3796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alebo </w:t>
      </w:r>
      <w:proofErr w:type="spellStart"/>
      <w:r w:rsidRPr="00E3110F">
        <w:rPr>
          <w:sz w:val="22"/>
          <w:szCs w:val="22"/>
        </w:rPr>
        <w:t>noretindrón</w:t>
      </w:r>
      <w:r w:rsidR="007D3796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boli malé a pravdepodobne nie sú klinicky významné (pozri časť 4.5).</w:t>
      </w:r>
    </w:p>
    <w:p w14:paraId="4B4AA0F0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090CFB38" w14:textId="7580BFDA" w:rsidR="002F0FC5" w:rsidRPr="00E3110F" w:rsidRDefault="00666A3D">
      <w:pPr>
        <w:keepNext/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Eliminácia</w:t>
      </w:r>
    </w:p>
    <w:p w14:paraId="15A180FA" w14:textId="42C7F6FC" w:rsidR="002022BB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2022BB" w:rsidRPr="00E3110F">
        <w:rPr>
          <w:sz w:val="22"/>
          <w:szCs w:val="22"/>
        </w:rPr>
        <w:t xml:space="preserve"> a jeho </w:t>
      </w:r>
      <w:proofErr w:type="spellStart"/>
      <w:r w:rsidR="002022BB" w:rsidRPr="00E3110F">
        <w:rPr>
          <w:sz w:val="22"/>
          <w:szCs w:val="22"/>
        </w:rPr>
        <w:t>metabolity</w:t>
      </w:r>
      <w:proofErr w:type="spellEnd"/>
      <w:r w:rsidR="002022BB" w:rsidRPr="00E3110F">
        <w:rPr>
          <w:sz w:val="22"/>
          <w:szCs w:val="22"/>
        </w:rPr>
        <w:t xml:space="preserve"> sa vylučujú predovšetkým žlčou po </w:t>
      </w:r>
      <w:proofErr w:type="spellStart"/>
      <w:r w:rsidR="002022BB" w:rsidRPr="00E3110F">
        <w:rPr>
          <w:sz w:val="22"/>
          <w:szCs w:val="22"/>
        </w:rPr>
        <w:t>hepatálnom</w:t>
      </w:r>
      <w:proofErr w:type="spellEnd"/>
      <w:r w:rsidR="002022BB" w:rsidRPr="00E3110F">
        <w:rPr>
          <w:sz w:val="22"/>
          <w:szCs w:val="22"/>
        </w:rPr>
        <w:t xml:space="preserve"> a/alebo </w:t>
      </w:r>
      <w:proofErr w:type="spellStart"/>
      <w:r w:rsidR="002022BB" w:rsidRPr="00E3110F">
        <w:rPr>
          <w:sz w:val="22"/>
          <w:szCs w:val="22"/>
        </w:rPr>
        <w:t>extrahepatálnom</w:t>
      </w:r>
      <w:proofErr w:type="spellEnd"/>
      <w:r w:rsidR="002022BB" w:rsidRPr="00E3110F">
        <w:rPr>
          <w:sz w:val="22"/>
          <w:szCs w:val="22"/>
        </w:rPr>
        <w:t xml:space="preserve"> metabolizme. Po perorálnom podaní sa približne 22 % podanej dávky zistilo v moči, pričom 3,3 % tvoril </w:t>
      </w:r>
      <w:proofErr w:type="spellStart"/>
      <w:r>
        <w:rPr>
          <w:sz w:val="22"/>
          <w:szCs w:val="22"/>
        </w:rPr>
        <w:t>ambrisentán</w:t>
      </w:r>
      <w:proofErr w:type="spellEnd"/>
      <w:r w:rsidR="002022BB" w:rsidRPr="00E3110F">
        <w:rPr>
          <w:sz w:val="22"/>
          <w:szCs w:val="22"/>
        </w:rPr>
        <w:t xml:space="preserve"> v nezmenenej forme. Plazmatický eliminačný polčas u ľudí je v rozmedzí od 13,6 do 16,5 hodín.</w:t>
      </w:r>
    </w:p>
    <w:p w14:paraId="0B913781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5D0B0450" w14:textId="5C103826" w:rsidR="002F0FC5" w:rsidRPr="00E3110F" w:rsidRDefault="00666A3D">
      <w:pPr>
        <w:contextualSpacing/>
        <w:jc w:val="left"/>
        <w:rPr>
          <w:rFonts w:eastAsia="Times New Roman"/>
          <w:bCs/>
          <w:sz w:val="22"/>
          <w:szCs w:val="22"/>
          <w:u w:val="single"/>
        </w:rPr>
      </w:pPr>
      <w:r w:rsidRPr="00E3110F">
        <w:rPr>
          <w:rFonts w:eastAsia="Times New Roman"/>
          <w:bCs/>
          <w:sz w:val="22"/>
          <w:szCs w:val="22"/>
          <w:u w:val="single"/>
        </w:rPr>
        <w:t>Osobitné skupiny pacientov</w:t>
      </w:r>
    </w:p>
    <w:p w14:paraId="0226B0EA" w14:textId="0C5B0342" w:rsidR="002022BB" w:rsidRPr="00E3110F" w:rsidRDefault="002022BB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t xml:space="preserve">Na základe výsledkov populačnej </w:t>
      </w:r>
      <w:proofErr w:type="spellStart"/>
      <w:r w:rsidRPr="00E3110F">
        <w:rPr>
          <w:sz w:val="22"/>
          <w:szCs w:val="22"/>
        </w:rPr>
        <w:t>farmakokinetickej</w:t>
      </w:r>
      <w:proofErr w:type="spellEnd"/>
      <w:r w:rsidRPr="00E3110F">
        <w:rPr>
          <w:sz w:val="22"/>
          <w:szCs w:val="22"/>
        </w:rPr>
        <w:t xml:space="preserve"> analýzy u zdravých dobrovoľníkov a pacientov s PAH nebola </w:t>
      </w:r>
      <w:proofErr w:type="spellStart"/>
      <w:r w:rsidRPr="00E3110F">
        <w:rPr>
          <w:sz w:val="22"/>
          <w:szCs w:val="22"/>
        </w:rPr>
        <w:t>farmakokinetika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významne ovplyvnená pohlavím alebo vekom (pozri časť 4.2).</w:t>
      </w:r>
    </w:p>
    <w:p w14:paraId="4F6DC7C3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419556F0" w14:textId="1F7CD29F" w:rsidR="002F0FC5" w:rsidRPr="00E3110F" w:rsidRDefault="00666A3D">
      <w:pPr>
        <w:contextualSpacing/>
        <w:jc w:val="left"/>
        <w:rPr>
          <w:rFonts w:eastAsia="Times New Roman"/>
          <w:bCs/>
          <w:i/>
          <w:sz w:val="22"/>
          <w:szCs w:val="22"/>
        </w:rPr>
      </w:pPr>
      <w:r w:rsidRPr="00E3110F">
        <w:rPr>
          <w:rFonts w:eastAsia="Times New Roman"/>
          <w:bCs/>
          <w:i/>
          <w:sz w:val="22"/>
          <w:szCs w:val="22"/>
        </w:rPr>
        <w:t>Porucha funkcie obličiek</w:t>
      </w:r>
    </w:p>
    <w:p w14:paraId="22DAEFE5" w14:textId="6D9A731F" w:rsidR="002022BB" w:rsidRPr="00E3110F" w:rsidRDefault="007D388A">
      <w:pPr>
        <w:contextualSpacing/>
        <w:jc w:val="left"/>
        <w:rPr>
          <w:rFonts w:eastAsia="Times New Roman"/>
          <w:bCs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2022BB" w:rsidRPr="00E3110F">
        <w:rPr>
          <w:sz w:val="22"/>
          <w:szCs w:val="22"/>
        </w:rPr>
        <w:t xml:space="preserve"> nepodlieha významnému </w:t>
      </w:r>
      <w:proofErr w:type="spellStart"/>
      <w:r w:rsidR="002022BB" w:rsidRPr="00E3110F">
        <w:rPr>
          <w:sz w:val="22"/>
          <w:szCs w:val="22"/>
        </w:rPr>
        <w:t>renálnemu</w:t>
      </w:r>
      <w:proofErr w:type="spellEnd"/>
      <w:r w:rsidR="002022BB" w:rsidRPr="00E3110F">
        <w:rPr>
          <w:sz w:val="22"/>
          <w:szCs w:val="22"/>
        </w:rPr>
        <w:t xml:space="preserve"> metabolizmu alebo </w:t>
      </w:r>
      <w:proofErr w:type="spellStart"/>
      <w:r w:rsidR="002022BB" w:rsidRPr="00E3110F">
        <w:rPr>
          <w:sz w:val="22"/>
          <w:szCs w:val="22"/>
        </w:rPr>
        <w:t>renálnemu</w:t>
      </w:r>
      <w:proofErr w:type="spellEnd"/>
      <w:r w:rsidR="002022BB" w:rsidRPr="00E3110F">
        <w:rPr>
          <w:sz w:val="22"/>
          <w:szCs w:val="22"/>
        </w:rPr>
        <w:t xml:space="preserve"> </w:t>
      </w:r>
      <w:proofErr w:type="spellStart"/>
      <w:r w:rsidR="002022BB" w:rsidRPr="00E3110F">
        <w:rPr>
          <w:sz w:val="22"/>
          <w:szCs w:val="22"/>
        </w:rPr>
        <w:t>klírensu</w:t>
      </w:r>
      <w:proofErr w:type="spellEnd"/>
      <w:r w:rsidR="002022BB" w:rsidRPr="00E3110F">
        <w:rPr>
          <w:sz w:val="22"/>
          <w:szCs w:val="22"/>
        </w:rPr>
        <w:t xml:space="preserve"> (exkrécii). V populačnej </w:t>
      </w:r>
      <w:proofErr w:type="spellStart"/>
      <w:r w:rsidR="002022BB" w:rsidRPr="00E3110F">
        <w:rPr>
          <w:sz w:val="22"/>
          <w:szCs w:val="22"/>
        </w:rPr>
        <w:t>farmakokinetickej</w:t>
      </w:r>
      <w:proofErr w:type="spellEnd"/>
      <w:r w:rsidR="002022BB" w:rsidRPr="00E3110F">
        <w:rPr>
          <w:sz w:val="22"/>
          <w:szCs w:val="22"/>
        </w:rPr>
        <w:t xml:space="preserve"> analýze sa zistilo, že </w:t>
      </w:r>
      <w:proofErr w:type="spellStart"/>
      <w:r w:rsidR="002022BB" w:rsidRPr="00E3110F">
        <w:rPr>
          <w:sz w:val="22"/>
          <w:szCs w:val="22"/>
        </w:rPr>
        <w:t>klírens</w:t>
      </w:r>
      <w:proofErr w:type="spellEnd"/>
      <w:r w:rsidR="002022BB" w:rsidRPr="00E3110F">
        <w:rPr>
          <w:sz w:val="22"/>
          <w:szCs w:val="22"/>
        </w:rPr>
        <w:t xml:space="preserve"> </w:t>
      </w:r>
      <w:proofErr w:type="spellStart"/>
      <w:r w:rsidR="002022BB" w:rsidRPr="00E3110F">
        <w:rPr>
          <w:sz w:val="22"/>
          <w:szCs w:val="22"/>
        </w:rPr>
        <w:t>kreatinínu</w:t>
      </w:r>
      <w:proofErr w:type="spellEnd"/>
      <w:r w:rsidR="002022BB" w:rsidRPr="00E3110F">
        <w:rPr>
          <w:sz w:val="22"/>
          <w:szCs w:val="22"/>
        </w:rPr>
        <w:t xml:space="preserve"> je štatisticky významný </w:t>
      </w:r>
      <w:proofErr w:type="spellStart"/>
      <w:r w:rsidR="002022BB" w:rsidRPr="00E3110F">
        <w:rPr>
          <w:sz w:val="22"/>
          <w:szCs w:val="22"/>
        </w:rPr>
        <w:t>kovariant</w:t>
      </w:r>
      <w:proofErr w:type="spellEnd"/>
      <w:r w:rsidR="002022BB" w:rsidRPr="00E3110F">
        <w:rPr>
          <w:sz w:val="22"/>
          <w:szCs w:val="22"/>
        </w:rPr>
        <w:t xml:space="preserve"> ovplyvňujúci perorálny </w:t>
      </w:r>
      <w:proofErr w:type="spellStart"/>
      <w:r w:rsidR="002022BB" w:rsidRPr="00E3110F">
        <w:rPr>
          <w:sz w:val="22"/>
          <w:szCs w:val="22"/>
        </w:rPr>
        <w:t>klírens</w:t>
      </w:r>
      <w:proofErr w:type="spellEnd"/>
      <w:r w:rsidR="002022BB" w:rsidRPr="00E3110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ambrisentán</w:t>
      </w:r>
      <w:r w:rsidR="002022BB" w:rsidRPr="00E3110F">
        <w:rPr>
          <w:sz w:val="22"/>
          <w:szCs w:val="22"/>
        </w:rPr>
        <w:t>u</w:t>
      </w:r>
      <w:proofErr w:type="spellEnd"/>
      <w:r w:rsidR="002022BB" w:rsidRPr="00E3110F">
        <w:rPr>
          <w:sz w:val="22"/>
          <w:szCs w:val="22"/>
        </w:rPr>
        <w:t xml:space="preserve">. U pacientov so stredne ťažkou poruchou funkcie obličiek je rozsah poklesu perorálneho </w:t>
      </w:r>
      <w:proofErr w:type="spellStart"/>
      <w:r w:rsidR="002022BB" w:rsidRPr="00E3110F">
        <w:rPr>
          <w:sz w:val="22"/>
          <w:szCs w:val="22"/>
        </w:rPr>
        <w:t>klírensu</w:t>
      </w:r>
      <w:proofErr w:type="spellEnd"/>
      <w:r w:rsidR="002022BB" w:rsidRPr="00E3110F">
        <w:rPr>
          <w:sz w:val="22"/>
          <w:szCs w:val="22"/>
        </w:rPr>
        <w:t xml:space="preserve"> mierny (20-40 %), a preto pravdepodobne nie je klinicky významný. U pacientov s ťažkou poruchou funkcie obličiek je však potrebná opatrnosť (pozri časť 4.2).</w:t>
      </w:r>
    </w:p>
    <w:p w14:paraId="20555655" w14:textId="77777777" w:rsidR="002F0FC5" w:rsidRPr="00E3110F" w:rsidRDefault="002F0FC5">
      <w:pPr>
        <w:contextualSpacing/>
        <w:jc w:val="left"/>
        <w:rPr>
          <w:rFonts w:eastAsia="Times New Roman"/>
          <w:bCs/>
          <w:sz w:val="22"/>
          <w:szCs w:val="22"/>
        </w:rPr>
      </w:pPr>
    </w:p>
    <w:p w14:paraId="04DDCDC1" w14:textId="0DCC0078" w:rsidR="002F0FC5" w:rsidRPr="00E3110F" w:rsidRDefault="00666A3D">
      <w:pPr>
        <w:contextualSpacing/>
        <w:jc w:val="left"/>
        <w:rPr>
          <w:rFonts w:eastAsia="Times New Roman"/>
          <w:bCs/>
          <w:i/>
          <w:sz w:val="22"/>
          <w:szCs w:val="22"/>
        </w:rPr>
      </w:pPr>
      <w:r w:rsidRPr="00E3110F">
        <w:rPr>
          <w:rFonts w:eastAsia="Times New Roman"/>
          <w:bCs/>
          <w:i/>
          <w:sz w:val="22"/>
          <w:szCs w:val="22"/>
        </w:rPr>
        <w:t>Porucha funkcie pečene</w:t>
      </w:r>
    </w:p>
    <w:p w14:paraId="010C9D86" w14:textId="166772DE" w:rsidR="002022BB" w:rsidRPr="00E3110F" w:rsidRDefault="002022BB">
      <w:pPr>
        <w:contextualSpacing/>
        <w:jc w:val="left"/>
        <w:rPr>
          <w:rFonts w:eastAsia="Times New Roman"/>
          <w:bCs/>
          <w:sz w:val="22"/>
          <w:szCs w:val="22"/>
        </w:rPr>
      </w:pPr>
      <w:r w:rsidRPr="00E3110F">
        <w:rPr>
          <w:sz w:val="22"/>
          <w:szCs w:val="22"/>
        </w:rPr>
        <w:lastRenderedPageBreak/>
        <w:t xml:space="preserve">Hlavné cesty metabolizmu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sú </w:t>
      </w:r>
      <w:proofErr w:type="spellStart"/>
      <w:r w:rsidRPr="00E3110F">
        <w:rPr>
          <w:sz w:val="22"/>
          <w:szCs w:val="22"/>
        </w:rPr>
        <w:t>glukuronidácia</w:t>
      </w:r>
      <w:proofErr w:type="spellEnd"/>
      <w:r w:rsidRPr="00E3110F">
        <w:rPr>
          <w:sz w:val="22"/>
          <w:szCs w:val="22"/>
        </w:rPr>
        <w:t xml:space="preserve"> a oxidácia, po ktorých nasleduje vylučovanie žlčou, a preto je možné očakávať, že porucha funkcie pečene zvýši expozíciu (</w:t>
      </w:r>
      <w:proofErr w:type="spellStart"/>
      <w:r w:rsidR="007D3796">
        <w:rPr>
          <w:sz w:val="22"/>
          <w:szCs w:val="22"/>
        </w:rPr>
        <w:t>c</w:t>
      </w:r>
      <w:r w:rsidRPr="00CB5537">
        <w:rPr>
          <w:sz w:val="22"/>
          <w:szCs w:val="22"/>
          <w:vertAlign w:val="subscript"/>
        </w:rPr>
        <w:t>max</w:t>
      </w:r>
      <w:proofErr w:type="spellEnd"/>
      <w:r w:rsidRPr="00E3110F">
        <w:rPr>
          <w:sz w:val="22"/>
          <w:szCs w:val="22"/>
        </w:rPr>
        <w:t xml:space="preserve"> a AUC)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. V populačnej </w:t>
      </w:r>
      <w:proofErr w:type="spellStart"/>
      <w:r w:rsidRPr="00E3110F">
        <w:rPr>
          <w:sz w:val="22"/>
          <w:szCs w:val="22"/>
        </w:rPr>
        <w:t>farmakokinetickej</w:t>
      </w:r>
      <w:proofErr w:type="spellEnd"/>
      <w:r w:rsidRPr="00E3110F">
        <w:rPr>
          <w:sz w:val="22"/>
          <w:szCs w:val="22"/>
        </w:rPr>
        <w:t xml:space="preserve"> analýze sa zistilo, že perorálny </w:t>
      </w:r>
      <w:proofErr w:type="spellStart"/>
      <w:r w:rsidRPr="00E3110F">
        <w:rPr>
          <w:sz w:val="22"/>
          <w:szCs w:val="22"/>
        </w:rPr>
        <w:t>klírens</w:t>
      </w:r>
      <w:proofErr w:type="spellEnd"/>
      <w:r w:rsidRPr="00E3110F">
        <w:rPr>
          <w:sz w:val="22"/>
          <w:szCs w:val="22"/>
        </w:rPr>
        <w:t xml:space="preserve"> je znížený v dôsledku zvýšených hladín bilirubínu. Vplyv bilirubínu je však len mierne závažný (u pacienta s hladinou bilirubínu zvýšenou na 4,5 mg/dl by bol perorálny </w:t>
      </w:r>
      <w:proofErr w:type="spellStart"/>
      <w:r w:rsidRPr="00E3110F">
        <w:rPr>
          <w:sz w:val="22"/>
          <w:szCs w:val="22"/>
        </w:rPr>
        <w:t>klírens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znížený o približne 30 % v porovnaní s typickým pacientom s hladinou bilirubínu 0,6 mg/dl). </w:t>
      </w:r>
      <w:proofErr w:type="spellStart"/>
      <w:r w:rsidRPr="00E3110F">
        <w:rPr>
          <w:sz w:val="22"/>
          <w:szCs w:val="22"/>
        </w:rPr>
        <w:t>Farmakokinetika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nebola skúmaná u pacientov s poruchou funkcie pečene (s cirhózou alebo bez nej). Z tohto dôvodu sa liečba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om</w:t>
      </w:r>
      <w:proofErr w:type="spellEnd"/>
      <w:r w:rsidRPr="00E3110F">
        <w:rPr>
          <w:sz w:val="22"/>
          <w:szCs w:val="22"/>
        </w:rPr>
        <w:t xml:space="preserve"> nemá začať u pacientov s ťažkou poruchou funkcie pečene alebo s klinicky významne zvýšenými hodnotami pečeňových </w:t>
      </w:r>
      <w:proofErr w:type="spellStart"/>
      <w:r w:rsidRPr="00E3110F">
        <w:rPr>
          <w:sz w:val="22"/>
          <w:szCs w:val="22"/>
        </w:rPr>
        <w:t>aminotransferáz</w:t>
      </w:r>
      <w:proofErr w:type="spellEnd"/>
      <w:r w:rsidRPr="00E3110F">
        <w:rPr>
          <w:sz w:val="22"/>
          <w:szCs w:val="22"/>
        </w:rPr>
        <w:t xml:space="preserve"> (&gt;</w:t>
      </w:r>
      <w:r w:rsidR="00CB46DB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t>3xULN) (pozri časti 4.3 a 4.4).</w:t>
      </w:r>
    </w:p>
    <w:p w14:paraId="2BBFF183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DA10055" w14:textId="6879025C" w:rsidR="002F0FC5" w:rsidRPr="00E3110F" w:rsidRDefault="009B73DC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5.3</w:t>
      </w:r>
      <w:r w:rsidRPr="00E3110F">
        <w:rPr>
          <w:b/>
          <w:sz w:val="22"/>
          <w:szCs w:val="22"/>
        </w:rPr>
        <w:tab/>
      </w:r>
      <w:r w:rsidR="00666A3D" w:rsidRPr="00E3110F">
        <w:rPr>
          <w:b/>
          <w:sz w:val="22"/>
          <w:szCs w:val="22"/>
        </w:rPr>
        <w:t>Predklinické údaje o bezpečnosti</w:t>
      </w:r>
    </w:p>
    <w:p w14:paraId="2496C39A" w14:textId="77777777" w:rsidR="002F0FC5" w:rsidRPr="00E3110F" w:rsidRDefault="002F0FC5">
      <w:pPr>
        <w:keepNext/>
        <w:contextualSpacing/>
        <w:jc w:val="left"/>
        <w:rPr>
          <w:rFonts w:eastAsia="Times New Roman"/>
          <w:sz w:val="22"/>
          <w:szCs w:val="22"/>
        </w:rPr>
      </w:pPr>
      <w:bookmarkStart w:id="19" w:name="PRECLINICAL_SAFETY"/>
      <w:bookmarkEnd w:id="18"/>
    </w:p>
    <w:p w14:paraId="1BB6FC39" w14:textId="617FA13D" w:rsidR="007D6C0C" w:rsidRPr="00E3110F" w:rsidRDefault="007D6C0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>Vzhľadom na hlavný skupinový farmakologický účinok by podanie v</w:t>
      </w:r>
      <w:r w:rsidR="007D3796">
        <w:rPr>
          <w:sz w:val="22"/>
          <w:szCs w:val="22"/>
        </w:rPr>
        <w:t>ysokej</w:t>
      </w:r>
      <w:r w:rsidRPr="00E3110F">
        <w:rPr>
          <w:sz w:val="22"/>
          <w:szCs w:val="22"/>
        </w:rPr>
        <w:t xml:space="preserve"> jednorazovej dávky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(</w:t>
      </w:r>
      <w:proofErr w:type="spellStart"/>
      <w:r w:rsidRPr="00E3110F">
        <w:rPr>
          <w:sz w:val="22"/>
          <w:szCs w:val="22"/>
        </w:rPr>
        <w:t>t.j</w:t>
      </w:r>
      <w:proofErr w:type="spellEnd"/>
      <w:r w:rsidRPr="00E3110F">
        <w:rPr>
          <w:sz w:val="22"/>
          <w:szCs w:val="22"/>
        </w:rPr>
        <w:t>. predávkovanie) mohlo znížiť artériový tlak a mohlo by spôsobiť hypotenziu a príznaky súvisiace s vazodilatáciou.</w:t>
      </w:r>
    </w:p>
    <w:p w14:paraId="734C33CE" w14:textId="204B6D13" w:rsidR="00571BE3" w:rsidRPr="00E3110F" w:rsidRDefault="00571BE3">
      <w:pPr>
        <w:autoSpaceDE w:val="0"/>
        <w:autoSpaceDN w:val="0"/>
        <w:adjustRightInd w:val="0"/>
        <w:spacing w:after="0"/>
        <w:jc w:val="left"/>
        <w:rPr>
          <w:rFonts w:eastAsia="Times New Roman"/>
          <w:sz w:val="22"/>
          <w:szCs w:val="22"/>
        </w:rPr>
      </w:pPr>
      <w:r w:rsidRPr="00E3110F">
        <w:rPr>
          <w:color w:val="000000"/>
          <w:sz w:val="22"/>
          <w:szCs w:val="22"/>
          <w:lang w:eastAsia="en-US"/>
        </w:rPr>
        <w:t xml:space="preserve">Preukázalo sa, že </w:t>
      </w:r>
      <w:proofErr w:type="spellStart"/>
      <w:r w:rsidR="007D388A">
        <w:rPr>
          <w:color w:val="000000"/>
          <w:sz w:val="22"/>
          <w:szCs w:val="22"/>
          <w:lang w:eastAsia="en-US"/>
        </w:rPr>
        <w:t>ambrisentán</w:t>
      </w:r>
      <w:proofErr w:type="spellEnd"/>
      <w:r w:rsidRPr="00E3110F">
        <w:rPr>
          <w:color w:val="000000"/>
          <w:sz w:val="22"/>
          <w:szCs w:val="22"/>
          <w:lang w:eastAsia="en-US"/>
        </w:rPr>
        <w:t xml:space="preserve"> nie je inhibítor transportu žlčových kyselín ani nevyvoláva zjavnú </w:t>
      </w:r>
      <w:proofErr w:type="spellStart"/>
      <w:r w:rsidRPr="00E3110F">
        <w:rPr>
          <w:color w:val="000000"/>
          <w:sz w:val="22"/>
          <w:szCs w:val="22"/>
          <w:lang w:eastAsia="en-US"/>
        </w:rPr>
        <w:t>hepatotoxicitu.Po</w:t>
      </w:r>
      <w:proofErr w:type="spellEnd"/>
      <w:r w:rsidRPr="00E3110F">
        <w:rPr>
          <w:color w:val="000000"/>
          <w:sz w:val="22"/>
          <w:szCs w:val="22"/>
          <w:lang w:eastAsia="en-US"/>
        </w:rPr>
        <w:t xml:space="preserve"> dlhodobom podávaní boli u hlodavcov pozorované zápal a zmeny epitelu nosovej dutiny pri expozíciách nižších ako sú terapeutické hladiny u ľudí. Po dlhodobom podávaní vysokých dávok </w:t>
      </w:r>
      <w:proofErr w:type="spellStart"/>
      <w:r w:rsidR="007D388A">
        <w:rPr>
          <w:color w:val="000000"/>
          <w:sz w:val="22"/>
          <w:szCs w:val="22"/>
          <w:lang w:eastAsia="en-US"/>
        </w:rPr>
        <w:t>ambrisentán</w:t>
      </w:r>
      <w:r w:rsidRPr="00E3110F">
        <w:rPr>
          <w:color w:val="000000"/>
          <w:sz w:val="22"/>
          <w:szCs w:val="22"/>
          <w:lang w:eastAsia="en-US"/>
        </w:rPr>
        <w:t>u</w:t>
      </w:r>
      <w:proofErr w:type="spellEnd"/>
      <w:r w:rsidRPr="00E3110F">
        <w:rPr>
          <w:color w:val="000000"/>
          <w:sz w:val="22"/>
          <w:szCs w:val="22"/>
          <w:lang w:eastAsia="en-US"/>
        </w:rPr>
        <w:t xml:space="preserve"> boli u psov pozorované mierne zápalové reakcie pri expozíciách viac ako 20-násobne prevyšujúcich expozície zistené u pacientov.</w:t>
      </w:r>
    </w:p>
    <w:p w14:paraId="20A26A6F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2E6E1EA6" w14:textId="1CF88361" w:rsidR="00571BE3" w:rsidRPr="00E3110F" w:rsidRDefault="00571BE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U potkanov liečených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om</w:t>
      </w:r>
      <w:proofErr w:type="spellEnd"/>
      <w:r w:rsidRPr="00E3110F">
        <w:rPr>
          <w:sz w:val="22"/>
          <w:szCs w:val="22"/>
        </w:rPr>
        <w:t xml:space="preserve"> bola v nosovej dutine pozorovaná </w:t>
      </w:r>
      <w:proofErr w:type="spellStart"/>
      <w:r w:rsidRPr="00E3110F">
        <w:rPr>
          <w:sz w:val="22"/>
          <w:szCs w:val="22"/>
        </w:rPr>
        <w:t>hyperplázia</w:t>
      </w:r>
      <w:proofErr w:type="spellEnd"/>
      <w:r w:rsidRPr="00E3110F">
        <w:rPr>
          <w:sz w:val="22"/>
          <w:szCs w:val="22"/>
        </w:rPr>
        <w:t xml:space="preserve"> tkaniva nosovej kosti v oblasti nosových mušlí pri expozičných hladinách 3-násobne prevyšujúcich klinickú hodnotu AUC. </w:t>
      </w:r>
      <w:proofErr w:type="spellStart"/>
      <w:r w:rsidRPr="00E3110F">
        <w:rPr>
          <w:sz w:val="22"/>
          <w:szCs w:val="22"/>
        </w:rPr>
        <w:t>Hyperplázia</w:t>
      </w:r>
      <w:proofErr w:type="spellEnd"/>
      <w:r w:rsidRPr="00E3110F">
        <w:rPr>
          <w:sz w:val="22"/>
          <w:szCs w:val="22"/>
        </w:rPr>
        <w:t xml:space="preserve"> tkaniva nosovej kosti nebola pozorovaná pri podávaní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myšiam alebo psom. U potkanov je </w:t>
      </w:r>
      <w:proofErr w:type="spellStart"/>
      <w:r w:rsidRPr="00E3110F">
        <w:rPr>
          <w:sz w:val="22"/>
          <w:szCs w:val="22"/>
        </w:rPr>
        <w:t>hyperplázia</w:t>
      </w:r>
      <w:proofErr w:type="spellEnd"/>
      <w:r w:rsidRPr="00E3110F">
        <w:rPr>
          <w:sz w:val="22"/>
          <w:szCs w:val="22"/>
        </w:rPr>
        <w:t xml:space="preserve"> nosovej mušle známou reakciou na zápal nosovej sliznice, a to na základe skúseností s inými látkami.</w:t>
      </w:r>
    </w:p>
    <w:p w14:paraId="710CD90B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7F35BF90" w14:textId="73356BE0" w:rsidR="00571BE3" w:rsidRPr="00E3110F" w:rsidRDefault="007D388A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sz w:val="22"/>
          <w:szCs w:val="22"/>
        </w:rPr>
        <w:t>Ambrisentán</w:t>
      </w:r>
      <w:proofErr w:type="spellEnd"/>
      <w:r w:rsidR="00571BE3" w:rsidRPr="00E3110F">
        <w:rPr>
          <w:sz w:val="22"/>
          <w:szCs w:val="22"/>
        </w:rPr>
        <w:t xml:space="preserve"> bol </w:t>
      </w:r>
      <w:proofErr w:type="spellStart"/>
      <w:r w:rsidR="00571BE3" w:rsidRPr="00E3110F">
        <w:rPr>
          <w:sz w:val="22"/>
          <w:szCs w:val="22"/>
        </w:rPr>
        <w:t>klastogénny</w:t>
      </w:r>
      <w:proofErr w:type="spellEnd"/>
      <w:r w:rsidR="00571BE3" w:rsidRPr="00E3110F">
        <w:rPr>
          <w:sz w:val="22"/>
          <w:szCs w:val="22"/>
        </w:rPr>
        <w:t xml:space="preserve">, keď sa testoval vo vysokých koncentráciách v cicavčích bunkách </w:t>
      </w:r>
      <w:r w:rsidR="00571BE3" w:rsidRPr="00E3110F">
        <w:rPr>
          <w:i/>
          <w:iCs/>
          <w:sz w:val="22"/>
          <w:szCs w:val="22"/>
        </w:rPr>
        <w:t>in vitro</w:t>
      </w:r>
      <w:r w:rsidR="00571BE3" w:rsidRPr="00E3110F">
        <w:rPr>
          <w:sz w:val="22"/>
          <w:szCs w:val="22"/>
        </w:rPr>
        <w:t xml:space="preserve">. V bakteriálnych testoch a v dvoch štúdiách </w:t>
      </w:r>
      <w:r w:rsidR="00571BE3" w:rsidRPr="00E3110F">
        <w:rPr>
          <w:i/>
          <w:iCs/>
          <w:sz w:val="22"/>
          <w:szCs w:val="22"/>
        </w:rPr>
        <w:t xml:space="preserve">in </w:t>
      </w:r>
      <w:proofErr w:type="spellStart"/>
      <w:r w:rsidR="00571BE3" w:rsidRPr="00E3110F">
        <w:rPr>
          <w:i/>
          <w:iCs/>
          <w:sz w:val="22"/>
          <w:szCs w:val="22"/>
        </w:rPr>
        <w:t>vivo</w:t>
      </w:r>
      <w:proofErr w:type="spellEnd"/>
      <w:r w:rsidR="00571BE3" w:rsidRPr="00E3110F">
        <w:rPr>
          <w:i/>
          <w:iCs/>
          <w:sz w:val="22"/>
          <w:szCs w:val="22"/>
        </w:rPr>
        <w:t xml:space="preserve"> </w:t>
      </w:r>
      <w:r w:rsidR="00571BE3" w:rsidRPr="00E3110F">
        <w:rPr>
          <w:sz w:val="22"/>
          <w:szCs w:val="22"/>
        </w:rPr>
        <w:t xml:space="preserve">na hlodavcoch sa nepreukázali mutagénne ani </w:t>
      </w:r>
      <w:proofErr w:type="spellStart"/>
      <w:r w:rsidR="00571BE3" w:rsidRPr="00E3110F">
        <w:rPr>
          <w:sz w:val="22"/>
          <w:szCs w:val="22"/>
        </w:rPr>
        <w:t>genotoxické</w:t>
      </w:r>
      <w:proofErr w:type="spellEnd"/>
      <w:r w:rsidR="00571BE3" w:rsidRPr="00E3110F"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ambrisentán</w:t>
      </w:r>
      <w:r w:rsidR="00571BE3" w:rsidRPr="00E3110F">
        <w:rPr>
          <w:sz w:val="22"/>
          <w:szCs w:val="22"/>
        </w:rPr>
        <w:t>u</w:t>
      </w:r>
      <w:proofErr w:type="spellEnd"/>
      <w:r w:rsidR="00571BE3" w:rsidRPr="00E3110F">
        <w:rPr>
          <w:sz w:val="22"/>
          <w:szCs w:val="22"/>
        </w:rPr>
        <w:t>.</w:t>
      </w:r>
    </w:p>
    <w:p w14:paraId="3EA46FE6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21107EE0" w14:textId="1C110BB5" w:rsidR="00571BE3" w:rsidRPr="00E3110F" w:rsidRDefault="00571BE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V 2-ročných štúdiách s perorálnym podávaním vykonaných na potkanoch a myšiach sa nepreukázal karcinogénny potenciál. U samcov potkanov došlo k malému zvýšeniu výskytu </w:t>
      </w:r>
      <w:proofErr w:type="spellStart"/>
      <w:r w:rsidRPr="00E3110F">
        <w:rPr>
          <w:sz w:val="22"/>
          <w:szCs w:val="22"/>
        </w:rPr>
        <w:t>fibroadenómov</w:t>
      </w:r>
      <w:proofErr w:type="spellEnd"/>
      <w:r w:rsidRPr="00E3110F">
        <w:rPr>
          <w:sz w:val="22"/>
          <w:szCs w:val="22"/>
        </w:rPr>
        <w:t xml:space="preserve"> prsníka, benígneho </w:t>
      </w:r>
      <w:r w:rsidR="007D3796">
        <w:rPr>
          <w:sz w:val="22"/>
          <w:szCs w:val="22"/>
        </w:rPr>
        <w:t>tumoru</w:t>
      </w:r>
      <w:r w:rsidRPr="00E3110F">
        <w:rPr>
          <w:sz w:val="22"/>
          <w:szCs w:val="22"/>
        </w:rPr>
        <w:t xml:space="preserve">, iba pri podávaní najvyššej dávky. Pri tejto dávke bola systémová expozícia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u samcov potkanov (na základe hodnoty AUC v rovnovážnom stave) 6-násobne vyššia ako systémová expozícia dosiahnutá pri klinickej dávke 10 mg/deň.</w:t>
      </w:r>
    </w:p>
    <w:p w14:paraId="659D3CAA" w14:textId="77777777" w:rsidR="002F0FC5" w:rsidRPr="00E3110F" w:rsidRDefault="009B73DC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 xml:space="preserve"> </w:t>
      </w:r>
    </w:p>
    <w:p w14:paraId="5E20F2E4" w14:textId="38C12C2E" w:rsidR="00571BE3" w:rsidRPr="00E3110F" w:rsidRDefault="00571BE3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Atrofia semenníkových </w:t>
      </w:r>
      <w:proofErr w:type="spellStart"/>
      <w:r w:rsidRPr="00E3110F">
        <w:rPr>
          <w:sz w:val="22"/>
          <w:szCs w:val="22"/>
        </w:rPr>
        <w:t>tubulov</w:t>
      </w:r>
      <w:proofErr w:type="spellEnd"/>
      <w:r w:rsidRPr="00E3110F">
        <w:rPr>
          <w:sz w:val="22"/>
          <w:szCs w:val="22"/>
        </w:rPr>
        <w:t xml:space="preserve">, ktorá bola ojedinelo spojená s </w:t>
      </w:r>
      <w:proofErr w:type="spellStart"/>
      <w:r w:rsidRPr="00E3110F">
        <w:rPr>
          <w:sz w:val="22"/>
          <w:szCs w:val="22"/>
        </w:rPr>
        <w:t>aspermiou</w:t>
      </w:r>
      <w:proofErr w:type="spellEnd"/>
      <w:r w:rsidRPr="00E3110F">
        <w:rPr>
          <w:sz w:val="22"/>
          <w:szCs w:val="22"/>
        </w:rPr>
        <w:t xml:space="preserve">, bola pozorovaná v štúdiách toxicity po opakovanom podávaní perorálnej dávky a v štúdiách </w:t>
      </w:r>
      <w:proofErr w:type="spellStart"/>
      <w:r w:rsidRPr="00E3110F">
        <w:rPr>
          <w:sz w:val="22"/>
          <w:szCs w:val="22"/>
        </w:rPr>
        <w:t>fertility</w:t>
      </w:r>
      <w:proofErr w:type="spellEnd"/>
      <w:r w:rsidRPr="00E3110F">
        <w:rPr>
          <w:sz w:val="22"/>
          <w:szCs w:val="22"/>
        </w:rPr>
        <w:t xml:space="preserve"> na samcoch potkanov a myší, a to bez stanovenia bezpečnostného rozpätia. Zmeny na semenníkoch neboli plne reverzibilné počas hodnotených období bez podávania dávky. Zmeny na semenníkoch však neboli pozorované v štúdiách na psoch, ktoré trvali až 39 týždňov, a to pri expozícii 35-násobne prevyšujúcej hodnotu AUC dosiahnutú u ľudí. U samcov potkanov nemal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žiadne účinky na pohyblivosť spermií pri všetkých skúšaných dávkach (až do 300 mg/kg/deň). Zaznamenal sa mierny (&lt;</w:t>
      </w:r>
      <w:r w:rsidR="00B4108B" w:rsidRPr="00E3110F">
        <w:rPr>
          <w:sz w:val="22"/>
          <w:szCs w:val="22"/>
        </w:rPr>
        <w:t> </w:t>
      </w:r>
      <w:r w:rsidRPr="00E3110F">
        <w:rPr>
          <w:sz w:val="22"/>
          <w:szCs w:val="22"/>
        </w:rPr>
        <w:t>10</w:t>
      </w:r>
      <w:r w:rsidR="00B4108B" w:rsidRPr="00E3110F">
        <w:rPr>
          <w:sz w:val="22"/>
          <w:szCs w:val="22"/>
        </w:rPr>
        <w:t> </w:t>
      </w:r>
      <w:r w:rsidRPr="00E3110F">
        <w:rPr>
          <w:sz w:val="22"/>
          <w:szCs w:val="22"/>
        </w:rPr>
        <w:t xml:space="preserve">%) pokles percenta morfologicky normálnych spermií pri dávke 300 mg/kg/deň, ale nie pri dávke 100 mg/kg/deň (&gt; 9-násobok klinickej expozície dosiahnutej pri dávke 10 mg/deň). Vplyv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na mužskú </w:t>
      </w:r>
      <w:proofErr w:type="spellStart"/>
      <w:r w:rsidRPr="00E3110F">
        <w:rPr>
          <w:sz w:val="22"/>
          <w:szCs w:val="22"/>
        </w:rPr>
        <w:t>fertilitu</w:t>
      </w:r>
      <w:proofErr w:type="spellEnd"/>
      <w:r w:rsidRPr="00E3110F">
        <w:rPr>
          <w:sz w:val="22"/>
          <w:szCs w:val="22"/>
        </w:rPr>
        <w:t xml:space="preserve"> nie je známy.</w:t>
      </w:r>
    </w:p>
    <w:p w14:paraId="4F0A29BD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425FF3B3" w14:textId="5EACBBC9" w:rsidR="00B4108B" w:rsidRPr="00E3110F" w:rsidRDefault="00B4108B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Zistilo sa, že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mal </w:t>
      </w:r>
      <w:proofErr w:type="spellStart"/>
      <w:r w:rsidRPr="00E3110F">
        <w:rPr>
          <w:sz w:val="22"/>
          <w:szCs w:val="22"/>
        </w:rPr>
        <w:t>teratogénne</w:t>
      </w:r>
      <w:proofErr w:type="spellEnd"/>
      <w:r w:rsidRPr="00E3110F">
        <w:rPr>
          <w:sz w:val="22"/>
          <w:szCs w:val="22"/>
        </w:rPr>
        <w:t xml:space="preserve"> účinky u potkanov a králikov. Abnormality dolnej čeľuste, jazyka a/alebo podnebia boli pozorované pri všetkých skúšaných dávkach. V štúdii na potkanoch sa okrem toho preukázal zvýšený výskyt defektov </w:t>
      </w:r>
      <w:proofErr w:type="spellStart"/>
      <w:r w:rsidRPr="00E3110F">
        <w:rPr>
          <w:sz w:val="22"/>
          <w:szCs w:val="22"/>
        </w:rPr>
        <w:t>interventrikulárneho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septa</w:t>
      </w:r>
      <w:proofErr w:type="spellEnd"/>
      <w:r w:rsidRPr="00E3110F">
        <w:rPr>
          <w:sz w:val="22"/>
          <w:szCs w:val="22"/>
        </w:rPr>
        <w:t xml:space="preserve">, defektov v oblasti ciev trupu, </w:t>
      </w:r>
      <w:r w:rsidR="007D3796">
        <w:rPr>
          <w:sz w:val="22"/>
          <w:szCs w:val="22"/>
        </w:rPr>
        <w:t>porúch</w:t>
      </w:r>
      <w:r w:rsidRPr="00E3110F">
        <w:rPr>
          <w:sz w:val="22"/>
          <w:szCs w:val="22"/>
        </w:rPr>
        <w:t xml:space="preserve"> </w:t>
      </w:r>
      <w:r w:rsidRPr="00E3110F">
        <w:rPr>
          <w:sz w:val="22"/>
          <w:szCs w:val="22"/>
        </w:rPr>
        <w:lastRenderedPageBreak/>
        <w:t>štítnej žľazy a týmu</w:t>
      </w:r>
      <w:r w:rsidR="007D3796">
        <w:rPr>
          <w:sz w:val="22"/>
          <w:szCs w:val="22"/>
        </w:rPr>
        <w:t>su</w:t>
      </w:r>
      <w:r w:rsidRPr="00E3110F">
        <w:rPr>
          <w:sz w:val="22"/>
          <w:szCs w:val="22"/>
        </w:rPr>
        <w:t xml:space="preserve">, osifikácie </w:t>
      </w:r>
      <w:proofErr w:type="spellStart"/>
      <w:r w:rsidRPr="00E3110F">
        <w:rPr>
          <w:sz w:val="22"/>
          <w:szCs w:val="22"/>
        </w:rPr>
        <w:t>spodinovoklinovej</w:t>
      </w:r>
      <w:proofErr w:type="spellEnd"/>
      <w:r w:rsidRPr="00E3110F">
        <w:rPr>
          <w:sz w:val="22"/>
          <w:szCs w:val="22"/>
        </w:rPr>
        <w:t xml:space="preserve"> kosti a výskyt </w:t>
      </w:r>
      <w:proofErr w:type="spellStart"/>
      <w:r w:rsidRPr="00E3110F">
        <w:rPr>
          <w:sz w:val="22"/>
          <w:szCs w:val="22"/>
        </w:rPr>
        <w:t>umbilikálnej</w:t>
      </w:r>
      <w:proofErr w:type="spellEnd"/>
      <w:r w:rsidRPr="00E3110F">
        <w:rPr>
          <w:sz w:val="22"/>
          <w:szCs w:val="22"/>
        </w:rPr>
        <w:t xml:space="preserve"> artérie lokalizovanej na ľavej strane močového mechúra namiesto na pravej strane. </w:t>
      </w:r>
      <w:proofErr w:type="spellStart"/>
      <w:r w:rsidRPr="00E3110F">
        <w:rPr>
          <w:sz w:val="22"/>
          <w:szCs w:val="22"/>
        </w:rPr>
        <w:t>Teratogenita</w:t>
      </w:r>
      <w:proofErr w:type="spellEnd"/>
      <w:r w:rsidRPr="00E3110F">
        <w:rPr>
          <w:sz w:val="22"/>
          <w:szCs w:val="22"/>
        </w:rPr>
        <w:t xml:space="preserve"> je </w:t>
      </w:r>
      <w:proofErr w:type="spellStart"/>
      <w:r w:rsidRPr="00E3110F">
        <w:rPr>
          <w:sz w:val="22"/>
          <w:szCs w:val="22"/>
        </w:rPr>
        <w:t>suspektným</w:t>
      </w:r>
      <w:proofErr w:type="spellEnd"/>
      <w:r w:rsidRPr="00E3110F">
        <w:rPr>
          <w:sz w:val="22"/>
          <w:szCs w:val="22"/>
        </w:rPr>
        <w:t xml:space="preserve"> skupinovým účinkom ERA.</w:t>
      </w:r>
    </w:p>
    <w:p w14:paraId="3C1E4A33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66539A71" w14:textId="23ACE7EF" w:rsidR="00B4108B" w:rsidRPr="00E3110F" w:rsidRDefault="00B4108B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Podávanie </w:t>
      </w:r>
      <w:proofErr w:type="spellStart"/>
      <w:r w:rsidR="007D388A">
        <w:rPr>
          <w:sz w:val="22"/>
          <w:szCs w:val="22"/>
        </w:rPr>
        <w:t>ambrisentán</w:t>
      </w:r>
      <w:r w:rsidRPr="00E3110F">
        <w:rPr>
          <w:sz w:val="22"/>
          <w:szCs w:val="22"/>
        </w:rPr>
        <w:t>u</w:t>
      </w:r>
      <w:proofErr w:type="spellEnd"/>
      <w:r w:rsidRPr="00E3110F">
        <w:rPr>
          <w:sz w:val="22"/>
          <w:szCs w:val="22"/>
        </w:rPr>
        <w:t xml:space="preserve"> samiciam potkanov v neskorom štádiu brezivosti a počas obdobia laktácie viedlo k nežiaducim účinkom na správanie samíc, k zníženému prežívaniu mláďat a k poruche reprodukčnej schopnosti potomkov (pri pitve sa zistili malé semenníky), a to pri expozícii 3-násobne prevyšujúcej hodnotu AUC dosiahnutú u ľudí po podaní maximálnej odporúčanej dávky.</w:t>
      </w:r>
    </w:p>
    <w:p w14:paraId="3FE4C7C4" w14:textId="77777777" w:rsidR="002F0FC5" w:rsidRPr="00E3110F" w:rsidRDefault="002F0FC5">
      <w:pPr>
        <w:contextualSpacing/>
        <w:jc w:val="left"/>
        <w:rPr>
          <w:rFonts w:eastAsia="Times New Roman"/>
          <w:sz w:val="22"/>
          <w:szCs w:val="22"/>
        </w:rPr>
      </w:pPr>
    </w:p>
    <w:p w14:paraId="6E13CF8F" w14:textId="372E6E80" w:rsidR="00B4108B" w:rsidRPr="00E3110F" w:rsidRDefault="00B4108B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U juvenilných potkanov, ktorým bol </w:t>
      </w:r>
      <w:proofErr w:type="spellStart"/>
      <w:r w:rsidR="007D388A">
        <w:rPr>
          <w:sz w:val="22"/>
          <w:szCs w:val="22"/>
        </w:rPr>
        <w:t>ambrisentán</w:t>
      </w:r>
      <w:proofErr w:type="spellEnd"/>
      <w:r w:rsidRPr="00E3110F">
        <w:rPr>
          <w:sz w:val="22"/>
          <w:szCs w:val="22"/>
        </w:rPr>
        <w:t xml:space="preserve"> podávaný perorálne jedenkrát denne v </w:t>
      </w:r>
      <w:proofErr w:type="spellStart"/>
      <w:r w:rsidRPr="00E3110F">
        <w:rPr>
          <w:sz w:val="22"/>
          <w:szCs w:val="22"/>
        </w:rPr>
        <w:t>postnatálnom</w:t>
      </w:r>
      <w:proofErr w:type="spellEnd"/>
      <w:r w:rsidRPr="00E3110F">
        <w:rPr>
          <w:sz w:val="22"/>
          <w:szCs w:val="22"/>
        </w:rPr>
        <w:t xml:space="preserve"> období od 7. do 26., 36. alebo 62. dňa, sa vyskytlo zníženie hmotnosti mozgu (-3 % až -8 %) bez morfologických alebo </w:t>
      </w:r>
      <w:proofErr w:type="spellStart"/>
      <w:r w:rsidRPr="00E3110F">
        <w:rPr>
          <w:sz w:val="22"/>
          <w:szCs w:val="22"/>
        </w:rPr>
        <w:t>neurobehaviorálnych</w:t>
      </w:r>
      <w:proofErr w:type="spellEnd"/>
      <w:r w:rsidRPr="00E3110F">
        <w:rPr>
          <w:sz w:val="22"/>
          <w:szCs w:val="22"/>
        </w:rPr>
        <w:t xml:space="preserve"> zmien po tom, ako boli pozorované abnormálne zvuky pri dýchaní, </w:t>
      </w:r>
      <w:proofErr w:type="spellStart"/>
      <w:r w:rsidRPr="00E3110F">
        <w:rPr>
          <w:sz w:val="22"/>
          <w:szCs w:val="22"/>
        </w:rPr>
        <w:t>apnoe</w:t>
      </w:r>
      <w:proofErr w:type="spellEnd"/>
      <w:r w:rsidRPr="00E3110F">
        <w:rPr>
          <w:sz w:val="22"/>
          <w:szCs w:val="22"/>
        </w:rPr>
        <w:t xml:space="preserve"> a </w:t>
      </w:r>
      <w:proofErr w:type="spellStart"/>
      <w:r w:rsidRPr="00E3110F">
        <w:rPr>
          <w:sz w:val="22"/>
          <w:szCs w:val="22"/>
        </w:rPr>
        <w:t>hypoxia</w:t>
      </w:r>
      <w:proofErr w:type="spellEnd"/>
      <w:r w:rsidRPr="00E3110F">
        <w:rPr>
          <w:sz w:val="22"/>
          <w:szCs w:val="22"/>
        </w:rPr>
        <w:t xml:space="preserve">. Tieto účinky sa vyskytli pri expozíciách približne 1,8- až 7-násobne vyšších ako je expozícia dosiahnutá pri dávke </w:t>
      </w:r>
      <w:r w:rsidR="007D3796">
        <w:rPr>
          <w:sz w:val="22"/>
          <w:szCs w:val="22"/>
        </w:rPr>
        <w:t xml:space="preserve">10 mg </w:t>
      </w:r>
      <w:r w:rsidRPr="00E3110F">
        <w:rPr>
          <w:sz w:val="22"/>
          <w:szCs w:val="22"/>
        </w:rPr>
        <w:t>u pediatrických pacientov (vo veku 9 až 15 rokov), na základe hodnoty AUC. Klinický význam tohto zistenia pre pediatrickú populáciu nie je úplne objasnený.</w:t>
      </w:r>
    </w:p>
    <w:p w14:paraId="46D071C2" w14:textId="77777777" w:rsidR="002F0FC5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19AE5BC2" w14:textId="77777777" w:rsidR="00CB46DB" w:rsidRPr="00E3110F" w:rsidRDefault="00CB46DB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45A90B39" w14:textId="26F8AA64" w:rsidR="002F0FC5" w:rsidRPr="00E3110F" w:rsidRDefault="009B73DC" w:rsidP="009169A4">
      <w:pPr>
        <w:pStyle w:val="EMA2SPC"/>
        <w:keepNext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6.</w:t>
      </w:r>
      <w:r w:rsidRPr="00E3110F">
        <w:rPr>
          <w:bCs/>
          <w:iCs/>
          <w:lang w:val="sk-SK"/>
        </w:rPr>
        <w:tab/>
      </w:r>
      <w:r w:rsidR="00666A3D" w:rsidRPr="00E3110F">
        <w:rPr>
          <w:bCs/>
          <w:iCs/>
          <w:lang w:val="sk-SK"/>
        </w:rPr>
        <w:t>FARMACEUTICKÉ INFORMÁCIE</w:t>
      </w:r>
    </w:p>
    <w:p w14:paraId="01206B31" w14:textId="77777777" w:rsidR="002F0FC5" w:rsidRPr="00E3110F" w:rsidRDefault="002F0FC5" w:rsidP="00CB5537">
      <w:pPr>
        <w:keepNext/>
        <w:contextualSpacing/>
        <w:jc w:val="left"/>
        <w:rPr>
          <w:rFonts w:eastAsia="Times New Roman"/>
          <w:sz w:val="22"/>
          <w:szCs w:val="22"/>
        </w:rPr>
      </w:pPr>
      <w:bookmarkStart w:id="20" w:name="PHARMACEUTICAL_PARTS"/>
      <w:bookmarkEnd w:id="19"/>
    </w:p>
    <w:p w14:paraId="53BCF657" w14:textId="650BBEB6" w:rsidR="002F0FC5" w:rsidRPr="00E3110F" w:rsidRDefault="009B73DC" w:rsidP="009169A4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6.1</w:t>
      </w:r>
      <w:r w:rsidRPr="00E3110F">
        <w:rPr>
          <w:b/>
          <w:sz w:val="22"/>
          <w:szCs w:val="22"/>
        </w:rPr>
        <w:tab/>
      </w:r>
      <w:r w:rsidR="003B17F6" w:rsidRPr="00E3110F">
        <w:rPr>
          <w:b/>
          <w:sz w:val="22"/>
          <w:szCs w:val="22"/>
        </w:rPr>
        <w:t>Zoznam pomocných látok</w:t>
      </w:r>
    </w:p>
    <w:p w14:paraId="134342A6" w14:textId="77777777" w:rsidR="002F0FC5" w:rsidRPr="00E3110F" w:rsidRDefault="002F0FC5" w:rsidP="00CB5537">
      <w:pPr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16608D7C" w14:textId="5A9728F3" w:rsidR="002F0FC5" w:rsidRPr="00E3110F" w:rsidRDefault="003B17F6" w:rsidP="00CB5537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Jadro tablety</w:t>
      </w:r>
      <w:r w:rsidR="00BC6CE0" w:rsidRPr="00E3110F">
        <w:rPr>
          <w:rFonts w:eastAsia="Times New Roman"/>
          <w:iCs/>
          <w:sz w:val="22"/>
          <w:szCs w:val="22"/>
          <w:u w:val="single"/>
        </w:rPr>
        <w:t>:</w:t>
      </w:r>
    </w:p>
    <w:p w14:paraId="112083D9" w14:textId="0B51F31A" w:rsidR="002F0FC5" w:rsidRPr="00E3110F" w:rsidRDefault="00DB7D54" w:rsidP="00CB5537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>mikrokryštalická</w:t>
      </w:r>
      <w:r w:rsidR="009169A4">
        <w:rPr>
          <w:sz w:val="22"/>
          <w:szCs w:val="22"/>
        </w:rPr>
        <w:t xml:space="preserve"> celulóza</w:t>
      </w:r>
      <w:r w:rsidR="008D55D4" w:rsidRPr="00E3110F">
        <w:rPr>
          <w:sz w:val="22"/>
          <w:szCs w:val="22"/>
        </w:rPr>
        <w:t xml:space="preserve"> (E460)</w:t>
      </w:r>
    </w:p>
    <w:p w14:paraId="276EDF58" w14:textId="61E7F4AD" w:rsidR="002F0FC5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l</w:t>
      </w:r>
      <w:r w:rsidR="00DB7D54" w:rsidRPr="00E3110F">
        <w:rPr>
          <w:sz w:val="22"/>
          <w:szCs w:val="22"/>
        </w:rPr>
        <w:t>aktóza, monohydrát</w:t>
      </w:r>
    </w:p>
    <w:p w14:paraId="205882E4" w14:textId="1AA26E96" w:rsidR="00DB7D54" w:rsidRPr="00E3110F" w:rsidRDefault="009169A4" w:rsidP="00CB5537">
      <w:pPr>
        <w:contextualSpacing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DB7D54" w:rsidRPr="00E3110F">
        <w:rPr>
          <w:sz w:val="22"/>
          <w:szCs w:val="22"/>
        </w:rPr>
        <w:t>roskarmelóza</w:t>
      </w:r>
      <w:proofErr w:type="spellEnd"/>
      <w:r w:rsidR="00DB7D54" w:rsidRPr="00E3110F">
        <w:rPr>
          <w:sz w:val="22"/>
          <w:szCs w:val="22"/>
        </w:rPr>
        <w:t>, sodná soľ</w:t>
      </w:r>
      <w:r w:rsidR="008D55D4" w:rsidRPr="00E3110F">
        <w:rPr>
          <w:sz w:val="22"/>
          <w:szCs w:val="22"/>
        </w:rPr>
        <w:t xml:space="preserve"> (E468)</w:t>
      </w:r>
    </w:p>
    <w:p w14:paraId="00B02982" w14:textId="64792CE2" w:rsidR="002F0FC5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DB7D54" w:rsidRPr="00E3110F">
        <w:rPr>
          <w:sz w:val="22"/>
          <w:szCs w:val="22"/>
        </w:rPr>
        <w:t>tearát</w:t>
      </w:r>
      <w:proofErr w:type="spellEnd"/>
      <w:r w:rsidR="00DB7D54" w:rsidRPr="00E3110F">
        <w:rPr>
          <w:sz w:val="22"/>
          <w:szCs w:val="22"/>
        </w:rPr>
        <w:t xml:space="preserve"> </w:t>
      </w:r>
      <w:proofErr w:type="spellStart"/>
      <w:r w:rsidR="00DB7D54" w:rsidRPr="00E3110F">
        <w:rPr>
          <w:sz w:val="22"/>
          <w:szCs w:val="22"/>
        </w:rPr>
        <w:t>horečnatý</w:t>
      </w:r>
      <w:proofErr w:type="spellEnd"/>
      <w:r w:rsidR="008D55D4" w:rsidRPr="00E3110F">
        <w:rPr>
          <w:sz w:val="22"/>
          <w:szCs w:val="22"/>
        </w:rPr>
        <w:t xml:space="preserve"> (E572)</w:t>
      </w:r>
    </w:p>
    <w:p w14:paraId="01350B8A" w14:textId="77777777" w:rsidR="002F0FC5" w:rsidRPr="00E3110F" w:rsidRDefault="002F0FC5" w:rsidP="00CB5537">
      <w:pPr>
        <w:contextualSpacing/>
        <w:jc w:val="left"/>
        <w:rPr>
          <w:rFonts w:eastAsia="Times New Roman"/>
          <w:b/>
          <w:iCs/>
          <w:sz w:val="22"/>
          <w:szCs w:val="22"/>
        </w:rPr>
      </w:pPr>
    </w:p>
    <w:p w14:paraId="6B086028" w14:textId="0C46923A" w:rsidR="002F0FC5" w:rsidRPr="00E3110F" w:rsidRDefault="003B17F6" w:rsidP="00CB5537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rFonts w:eastAsia="Times New Roman"/>
          <w:iCs/>
          <w:sz w:val="22"/>
          <w:szCs w:val="22"/>
          <w:u w:val="single"/>
        </w:rPr>
        <w:t>Filmový obal</w:t>
      </w:r>
      <w:r w:rsidR="00BC6CE0" w:rsidRPr="00E3110F">
        <w:rPr>
          <w:rFonts w:eastAsia="Times New Roman"/>
          <w:iCs/>
          <w:sz w:val="22"/>
          <w:szCs w:val="22"/>
          <w:u w:val="single"/>
        </w:rPr>
        <w:t>:</w:t>
      </w:r>
    </w:p>
    <w:p w14:paraId="3B5DDE9F" w14:textId="17BBC361" w:rsidR="002F0FC5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p</w:t>
      </w:r>
      <w:r w:rsidR="00EA6FCA" w:rsidRPr="00E3110F">
        <w:rPr>
          <w:rFonts w:eastAsia="Times New Roman"/>
          <w:sz w:val="22"/>
          <w:szCs w:val="22"/>
        </w:rPr>
        <w:t>olyvinylal</w:t>
      </w:r>
      <w:r w:rsidR="00DB7D54" w:rsidRPr="00E3110F">
        <w:rPr>
          <w:rFonts w:eastAsia="Times New Roman"/>
          <w:sz w:val="22"/>
          <w:szCs w:val="22"/>
        </w:rPr>
        <w:t>k</w:t>
      </w:r>
      <w:r w:rsidR="00EA6FCA" w:rsidRPr="00E3110F">
        <w:rPr>
          <w:rFonts w:eastAsia="Times New Roman"/>
          <w:sz w:val="22"/>
          <w:szCs w:val="22"/>
        </w:rPr>
        <w:t>ohol</w:t>
      </w:r>
      <w:proofErr w:type="spellEnd"/>
      <w:r w:rsidR="00FE0604" w:rsidRPr="00E3110F">
        <w:rPr>
          <w:rFonts w:eastAsia="Times New Roman"/>
          <w:sz w:val="22"/>
          <w:szCs w:val="22"/>
        </w:rPr>
        <w:t xml:space="preserve"> (E1203)</w:t>
      </w:r>
    </w:p>
    <w:p w14:paraId="18CC581C" w14:textId="19431B96" w:rsidR="00FE0604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o</w:t>
      </w:r>
      <w:r w:rsidR="00DB7D54" w:rsidRPr="00E3110F">
        <w:rPr>
          <w:sz w:val="22"/>
          <w:szCs w:val="22"/>
        </w:rPr>
        <w:t xml:space="preserve">xid </w:t>
      </w:r>
      <w:proofErr w:type="spellStart"/>
      <w:r w:rsidR="00DB7D54" w:rsidRPr="00E3110F">
        <w:rPr>
          <w:sz w:val="22"/>
          <w:szCs w:val="22"/>
        </w:rPr>
        <w:t>titaničitý</w:t>
      </w:r>
      <w:proofErr w:type="spellEnd"/>
      <w:r w:rsidR="00DB7D54" w:rsidRPr="00E3110F">
        <w:rPr>
          <w:rFonts w:eastAsia="Times New Roman"/>
          <w:sz w:val="22"/>
          <w:szCs w:val="22"/>
        </w:rPr>
        <w:t xml:space="preserve"> </w:t>
      </w:r>
      <w:r w:rsidR="00FE0604" w:rsidRPr="00E3110F">
        <w:rPr>
          <w:rFonts w:eastAsia="Times New Roman"/>
          <w:sz w:val="22"/>
          <w:szCs w:val="22"/>
        </w:rPr>
        <w:t>(E171)</w:t>
      </w:r>
    </w:p>
    <w:p w14:paraId="1B323D46" w14:textId="34779114" w:rsidR="002F0FC5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m</w:t>
      </w:r>
      <w:r w:rsidR="00FE0604" w:rsidRPr="00E3110F">
        <w:rPr>
          <w:rFonts w:eastAsia="Times New Roman"/>
          <w:sz w:val="22"/>
          <w:szCs w:val="22"/>
        </w:rPr>
        <w:t>a</w:t>
      </w:r>
      <w:r w:rsidR="00DB7D54" w:rsidRPr="00E3110F">
        <w:rPr>
          <w:rFonts w:eastAsia="Times New Roman"/>
          <w:sz w:val="22"/>
          <w:szCs w:val="22"/>
        </w:rPr>
        <w:t>k</w:t>
      </w:r>
      <w:r w:rsidR="00FE0604" w:rsidRPr="00E3110F">
        <w:rPr>
          <w:rFonts w:eastAsia="Times New Roman"/>
          <w:sz w:val="22"/>
          <w:szCs w:val="22"/>
        </w:rPr>
        <w:t>rogol</w:t>
      </w:r>
      <w:proofErr w:type="spellEnd"/>
      <w:r w:rsidR="008D55D4" w:rsidRPr="00E3110F">
        <w:rPr>
          <w:rFonts w:eastAsia="Times New Roman"/>
          <w:sz w:val="22"/>
          <w:szCs w:val="22"/>
        </w:rPr>
        <w:t xml:space="preserve"> MW 3350</w:t>
      </w:r>
      <w:r w:rsidR="00FE0604" w:rsidRPr="00E3110F">
        <w:rPr>
          <w:rFonts w:eastAsia="Times New Roman"/>
          <w:sz w:val="22"/>
          <w:szCs w:val="22"/>
        </w:rPr>
        <w:t>/</w:t>
      </w:r>
      <w:proofErr w:type="spellStart"/>
      <w:r w:rsidR="007A50E9" w:rsidRPr="00E3110F">
        <w:rPr>
          <w:rFonts w:eastAsia="Times New Roman"/>
          <w:sz w:val="22"/>
          <w:szCs w:val="22"/>
        </w:rPr>
        <w:t>p</w:t>
      </w:r>
      <w:r w:rsidR="00FE0604" w:rsidRPr="00E3110F">
        <w:rPr>
          <w:rFonts w:eastAsia="Times New Roman"/>
          <w:sz w:val="22"/>
          <w:szCs w:val="22"/>
        </w:rPr>
        <w:t>olyetyl</w:t>
      </w:r>
      <w:r w:rsidR="00DB7D54" w:rsidRPr="00E3110F">
        <w:rPr>
          <w:rFonts w:eastAsia="Times New Roman"/>
          <w:sz w:val="22"/>
          <w:szCs w:val="22"/>
        </w:rPr>
        <w:t>é</w:t>
      </w:r>
      <w:r w:rsidR="00FE0604" w:rsidRPr="00E3110F">
        <w:rPr>
          <w:rFonts w:eastAsia="Times New Roman"/>
          <w:sz w:val="22"/>
          <w:szCs w:val="22"/>
        </w:rPr>
        <w:t>ngly</w:t>
      </w:r>
      <w:r w:rsidR="00DB7D54" w:rsidRPr="00E3110F">
        <w:rPr>
          <w:rFonts w:eastAsia="Times New Roman"/>
          <w:sz w:val="22"/>
          <w:szCs w:val="22"/>
        </w:rPr>
        <w:t>k</w:t>
      </w:r>
      <w:r w:rsidR="00FE0604" w:rsidRPr="00E3110F">
        <w:rPr>
          <w:rFonts w:eastAsia="Times New Roman"/>
          <w:sz w:val="22"/>
          <w:szCs w:val="22"/>
        </w:rPr>
        <w:t>ol</w:t>
      </w:r>
      <w:proofErr w:type="spellEnd"/>
      <w:r w:rsidR="00FE0604" w:rsidRPr="00E3110F">
        <w:rPr>
          <w:rFonts w:eastAsia="Times New Roman"/>
          <w:sz w:val="22"/>
          <w:szCs w:val="22"/>
        </w:rPr>
        <w:t xml:space="preserve"> (E1521)</w:t>
      </w:r>
    </w:p>
    <w:p w14:paraId="5BFF9F5E" w14:textId="6A057B76" w:rsidR="002F0FC5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m</w:t>
      </w:r>
      <w:r w:rsidR="007A50E9" w:rsidRPr="00E3110F">
        <w:rPr>
          <w:sz w:val="22"/>
          <w:szCs w:val="22"/>
        </w:rPr>
        <w:t xml:space="preserve">astenec </w:t>
      </w:r>
      <w:r w:rsidR="009B73DC" w:rsidRPr="00E3110F">
        <w:rPr>
          <w:sz w:val="22"/>
          <w:szCs w:val="22"/>
        </w:rPr>
        <w:t>(E553</w:t>
      </w:r>
      <w:r w:rsidR="00FE0604" w:rsidRPr="00E3110F">
        <w:rPr>
          <w:sz w:val="22"/>
          <w:szCs w:val="22"/>
        </w:rPr>
        <w:t>b</w:t>
      </w:r>
      <w:r w:rsidR="009B73DC" w:rsidRPr="00E3110F">
        <w:rPr>
          <w:sz w:val="22"/>
          <w:szCs w:val="22"/>
        </w:rPr>
        <w:t>)</w:t>
      </w:r>
    </w:p>
    <w:p w14:paraId="41FFD139" w14:textId="6F5E5DD8" w:rsidR="00026D79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č</w:t>
      </w:r>
      <w:r w:rsidR="007A50E9" w:rsidRPr="00E3110F">
        <w:rPr>
          <w:rFonts w:eastAsia="Times New Roman"/>
          <w:sz w:val="22"/>
          <w:szCs w:val="22"/>
        </w:rPr>
        <w:t>erve</w:t>
      </w:r>
      <w:r w:rsidR="008D55D4" w:rsidRPr="00E3110F">
        <w:rPr>
          <w:rFonts w:eastAsia="Times New Roman"/>
          <w:sz w:val="22"/>
          <w:szCs w:val="22"/>
        </w:rPr>
        <w:t>ň</w:t>
      </w:r>
      <w:r w:rsidR="007A50E9" w:rsidRPr="00E3110F">
        <w:rPr>
          <w:rFonts w:eastAsia="Times New Roman"/>
          <w:sz w:val="22"/>
          <w:szCs w:val="22"/>
        </w:rPr>
        <w:t xml:space="preserve"> </w:t>
      </w:r>
      <w:proofErr w:type="spellStart"/>
      <w:r w:rsidR="007A50E9" w:rsidRPr="00E3110F">
        <w:rPr>
          <w:rFonts w:eastAsia="Times New Roman"/>
          <w:sz w:val="22"/>
          <w:szCs w:val="22"/>
        </w:rPr>
        <w:t>Allura</w:t>
      </w:r>
      <w:proofErr w:type="spellEnd"/>
      <w:r w:rsidR="007A50E9" w:rsidRPr="00E3110F">
        <w:rPr>
          <w:rFonts w:eastAsia="Times New Roman"/>
          <w:sz w:val="22"/>
          <w:szCs w:val="22"/>
        </w:rPr>
        <w:t xml:space="preserve"> AC </w:t>
      </w:r>
      <w:r w:rsidR="009B73DC" w:rsidRPr="00E3110F">
        <w:rPr>
          <w:rFonts w:eastAsia="Times New Roman"/>
          <w:sz w:val="22"/>
          <w:szCs w:val="22"/>
        </w:rPr>
        <w:t>(E1</w:t>
      </w:r>
      <w:r w:rsidR="00FE0604" w:rsidRPr="00E3110F">
        <w:rPr>
          <w:rFonts w:eastAsia="Times New Roman"/>
          <w:sz w:val="22"/>
          <w:szCs w:val="22"/>
        </w:rPr>
        <w:t>29</w:t>
      </w:r>
      <w:r w:rsidR="009B73DC" w:rsidRPr="00E3110F">
        <w:rPr>
          <w:rFonts w:eastAsia="Times New Roman"/>
          <w:sz w:val="22"/>
          <w:szCs w:val="22"/>
        </w:rPr>
        <w:t>)</w:t>
      </w:r>
    </w:p>
    <w:p w14:paraId="6C880A98" w14:textId="12430A9A" w:rsidR="00FE0604" w:rsidRPr="00E3110F" w:rsidRDefault="009169A4" w:rsidP="00CB5537">
      <w:pPr>
        <w:contextualSpacing/>
        <w:jc w:val="lef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l</w:t>
      </w:r>
      <w:r w:rsidR="007A50E9" w:rsidRPr="00E3110F">
        <w:rPr>
          <w:sz w:val="22"/>
          <w:szCs w:val="22"/>
        </w:rPr>
        <w:t xml:space="preserve">ecitín (sójový) </w:t>
      </w:r>
      <w:r w:rsidR="00FE0604" w:rsidRPr="00E3110F">
        <w:rPr>
          <w:rFonts w:eastAsia="Times New Roman"/>
          <w:sz w:val="22"/>
          <w:szCs w:val="22"/>
        </w:rPr>
        <w:t>(E322)</w:t>
      </w:r>
    </w:p>
    <w:p w14:paraId="0D15B156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1440FA80" w14:textId="1E71E5E2" w:rsidR="002F0FC5" w:rsidRPr="00E3110F" w:rsidRDefault="009B73DC" w:rsidP="009169A4">
      <w:pPr>
        <w:keepNext/>
        <w:spacing w:after="0"/>
        <w:contextualSpacing/>
        <w:jc w:val="left"/>
        <w:rPr>
          <w:b/>
          <w:sz w:val="22"/>
          <w:szCs w:val="22"/>
        </w:rPr>
      </w:pPr>
      <w:bookmarkStart w:id="21" w:name="INCOMPATIBILITIES"/>
      <w:bookmarkEnd w:id="20"/>
      <w:r w:rsidRPr="00E3110F">
        <w:rPr>
          <w:b/>
          <w:sz w:val="22"/>
          <w:szCs w:val="22"/>
        </w:rPr>
        <w:t>6.2</w:t>
      </w:r>
      <w:r w:rsidRPr="00E3110F">
        <w:rPr>
          <w:b/>
          <w:sz w:val="22"/>
          <w:szCs w:val="22"/>
        </w:rPr>
        <w:tab/>
      </w:r>
      <w:r w:rsidR="003B17F6" w:rsidRPr="00E3110F">
        <w:rPr>
          <w:b/>
          <w:sz w:val="22"/>
          <w:szCs w:val="22"/>
        </w:rPr>
        <w:t>Inkompatibility</w:t>
      </w:r>
    </w:p>
    <w:p w14:paraId="1BD6B434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16CBEF1B" w14:textId="48045507" w:rsidR="002F0FC5" w:rsidRPr="00E3110F" w:rsidRDefault="007A50E9" w:rsidP="00CB5537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>Neaplikovateľné.</w:t>
      </w:r>
    </w:p>
    <w:p w14:paraId="28A0ABD6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36ED0018" w14:textId="34BC8EB3" w:rsidR="002F0FC5" w:rsidRPr="00E3110F" w:rsidRDefault="009B73DC" w:rsidP="009169A4">
      <w:pPr>
        <w:keepNext/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6.3</w:t>
      </w:r>
      <w:r w:rsidRPr="00E3110F">
        <w:rPr>
          <w:b/>
          <w:sz w:val="22"/>
          <w:szCs w:val="22"/>
        </w:rPr>
        <w:tab/>
      </w:r>
      <w:r w:rsidR="003B17F6" w:rsidRPr="00E3110F">
        <w:rPr>
          <w:b/>
          <w:sz w:val="22"/>
          <w:szCs w:val="22"/>
        </w:rPr>
        <w:t>Čas použiteľnosti</w:t>
      </w:r>
    </w:p>
    <w:p w14:paraId="3D2959E8" w14:textId="77777777" w:rsidR="002F0FC5" w:rsidRPr="00E3110F" w:rsidRDefault="002F0FC5" w:rsidP="00CB5537">
      <w:pPr>
        <w:keepNext/>
        <w:contextualSpacing/>
        <w:jc w:val="left"/>
        <w:rPr>
          <w:rFonts w:eastAsia="Times New Roman"/>
          <w:sz w:val="22"/>
          <w:szCs w:val="22"/>
        </w:rPr>
      </w:pPr>
    </w:p>
    <w:p w14:paraId="4C461DAF" w14:textId="30FA7569" w:rsidR="002F0FC5" w:rsidRPr="00E3110F" w:rsidRDefault="008D55D4" w:rsidP="00CB5537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t>3</w:t>
      </w:r>
      <w:r w:rsidR="00F20902" w:rsidRPr="00E3110F">
        <w:rPr>
          <w:rFonts w:eastAsia="Times New Roman"/>
          <w:sz w:val="22"/>
          <w:szCs w:val="22"/>
        </w:rPr>
        <w:t xml:space="preserve"> </w:t>
      </w:r>
      <w:r w:rsidR="007A50E9" w:rsidRPr="00E3110F">
        <w:rPr>
          <w:rFonts w:eastAsia="Times New Roman"/>
          <w:sz w:val="22"/>
          <w:szCs w:val="22"/>
        </w:rPr>
        <w:t>roky</w:t>
      </w:r>
    </w:p>
    <w:p w14:paraId="6ECFE445" w14:textId="77777777" w:rsidR="0075049F" w:rsidRPr="00E3110F" w:rsidRDefault="0075049F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38ED960C" w14:textId="1C5CC2BA" w:rsidR="002F0FC5" w:rsidRPr="00E3110F" w:rsidRDefault="009B73DC" w:rsidP="009169A4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6.4</w:t>
      </w:r>
      <w:r w:rsidRPr="00E3110F">
        <w:rPr>
          <w:b/>
          <w:sz w:val="22"/>
          <w:szCs w:val="22"/>
        </w:rPr>
        <w:tab/>
      </w:r>
      <w:r w:rsidR="003B17F6" w:rsidRPr="00E3110F">
        <w:rPr>
          <w:b/>
          <w:sz w:val="22"/>
          <w:szCs w:val="22"/>
        </w:rPr>
        <w:t>Špeciálne upozornenia na uchovávanie</w:t>
      </w:r>
    </w:p>
    <w:p w14:paraId="0DA21990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065D48B1" w14:textId="59DC3D2D" w:rsidR="0025227E" w:rsidRPr="00E3110F" w:rsidRDefault="0025227E" w:rsidP="00CB5537">
      <w:pPr>
        <w:contextualSpacing/>
        <w:jc w:val="left"/>
        <w:rPr>
          <w:sz w:val="22"/>
          <w:szCs w:val="22"/>
          <w:u w:val="single"/>
        </w:rPr>
      </w:pPr>
      <w:bookmarkStart w:id="22" w:name="_Hlk50825817"/>
      <w:r w:rsidRPr="00E3110F">
        <w:rPr>
          <w:sz w:val="22"/>
          <w:szCs w:val="22"/>
          <w:u w:val="single"/>
        </w:rPr>
        <w:t>Biele PVC</w:t>
      </w:r>
      <w:r w:rsidRPr="00E3110F">
        <w:rPr>
          <w:rFonts w:eastAsia="Times New Roman"/>
          <w:sz w:val="22"/>
          <w:szCs w:val="22"/>
          <w:u w:val="single"/>
        </w:rPr>
        <w:t xml:space="preserve">/PVDC/hliníkové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blistre</w:t>
      </w:r>
      <w:proofErr w:type="spellEnd"/>
      <w:r w:rsidRPr="00E3110F">
        <w:rPr>
          <w:rFonts w:eastAsia="Times New Roman"/>
          <w:sz w:val="22"/>
          <w:szCs w:val="22"/>
          <w:u w:val="single"/>
        </w:rPr>
        <w:t>:</w:t>
      </w:r>
    </w:p>
    <w:p w14:paraId="14DAE372" w14:textId="7123CB26" w:rsidR="002F0FC5" w:rsidRPr="00E3110F" w:rsidRDefault="007A50E9" w:rsidP="009169A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Tento liek nevyžaduje žiadne zvláštne </w:t>
      </w:r>
      <w:r w:rsidR="00E3110F" w:rsidRPr="00E3110F">
        <w:rPr>
          <w:rFonts w:eastAsia="Times New Roman"/>
          <w:sz w:val="22"/>
          <w:szCs w:val="22"/>
        </w:rPr>
        <w:t xml:space="preserve">teplotné </w:t>
      </w:r>
      <w:r w:rsidRPr="00E3110F">
        <w:rPr>
          <w:sz w:val="22"/>
          <w:szCs w:val="22"/>
        </w:rPr>
        <w:t>podmienky na uchovávanie</w:t>
      </w:r>
      <w:r w:rsidR="00F20902" w:rsidRPr="00E3110F">
        <w:rPr>
          <w:rFonts w:eastAsia="Times New Roman"/>
          <w:sz w:val="22"/>
          <w:szCs w:val="22"/>
        </w:rPr>
        <w:t>.</w:t>
      </w:r>
      <w:r w:rsidR="00F67D0F" w:rsidRPr="00E3110F">
        <w:rPr>
          <w:rFonts w:eastAsia="Times New Roman"/>
          <w:sz w:val="22"/>
          <w:szCs w:val="22"/>
        </w:rPr>
        <w:t xml:space="preserve"> </w:t>
      </w:r>
      <w:r w:rsidRPr="00E3110F">
        <w:rPr>
          <w:rFonts w:eastAsia="Times New Roman"/>
          <w:sz w:val="22"/>
          <w:szCs w:val="22"/>
        </w:rPr>
        <w:t xml:space="preserve">Uchovávajte v pôvodnom </w:t>
      </w:r>
      <w:proofErr w:type="spellStart"/>
      <w:r w:rsidR="009169A4">
        <w:rPr>
          <w:rFonts w:eastAsia="Times New Roman"/>
          <w:sz w:val="22"/>
          <w:szCs w:val="22"/>
        </w:rPr>
        <w:t>blistri</w:t>
      </w:r>
      <w:proofErr w:type="spellEnd"/>
      <w:r w:rsidRPr="00E3110F">
        <w:rPr>
          <w:rFonts w:eastAsia="Times New Roman"/>
          <w:sz w:val="22"/>
          <w:szCs w:val="22"/>
        </w:rPr>
        <w:t xml:space="preserve"> na ochranu pred svetlom</w:t>
      </w:r>
      <w:r w:rsidR="00F67D0F" w:rsidRPr="00E3110F">
        <w:rPr>
          <w:rFonts w:eastAsia="Times New Roman"/>
          <w:sz w:val="22"/>
          <w:szCs w:val="22"/>
        </w:rPr>
        <w:t>.</w:t>
      </w:r>
    </w:p>
    <w:p w14:paraId="0059C365" w14:textId="0EA9B44A" w:rsidR="0025227E" w:rsidRPr="00E3110F" w:rsidRDefault="0025227E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1F763003" w14:textId="6DECAF18" w:rsidR="0025227E" w:rsidRPr="00E3110F" w:rsidRDefault="0025227E" w:rsidP="00CB5537">
      <w:pPr>
        <w:contextualSpacing/>
        <w:jc w:val="left"/>
        <w:rPr>
          <w:rFonts w:eastAsia="Times New Roman"/>
          <w:sz w:val="22"/>
          <w:szCs w:val="22"/>
          <w:u w:val="single"/>
        </w:rPr>
      </w:pPr>
      <w:r w:rsidRPr="00E3110F">
        <w:rPr>
          <w:sz w:val="22"/>
          <w:szCs w:val="22"/>
          <w:u w:val="single"/>
        </w:rPr>
        <w:t>Priehľadné PVC</w:t>
      </w:r>
      <w:r w:rsidRPr="00E3110F">
        <w:rPr>
          <w:rFonts w:eastAsia="Times New Roman"/>
          <w:sz w:val="22"/>
          <w:szCs w:val="22"/>
          <w:u w:val="single"/>
        </w:rPr>
        <w:t>/</w:t>
      </w:r>
      <w:r w:rsidR="009169A4">
        <w:rPr>
          <w:rFonts w:eastAsia="Times New Roman"/>
          <w:sz w:val="22"/>
          <w:szCs w:val="22"/>
          <w:u w:val="single"/>
        </w:rPr>
        <w:t>PE/</w:t>
      </w:r>
      <w:r w:rsidRPr="00E3110F">
        <w:rPr>
          <w:rFonts w:eastAsia="Times New Roman"/>
          <w:sz w:val="22"/>
          <w:szCs w:val="22"/>
          <w:u w:val="single"/>
        </w:rPr>
        <w:t xml:space="preserve">PVDC/hliníkové </w:t>
      </w:r>
      <w:proofErr w:type="spellStart"/>
      <w:r w:rsidRPr="00E3110F">
        <w:rPr>
          <w:rFonts w:eastAsia="Times New Roman"/>
          <w:sz w:val="22"/>
          <w:szCs w:val="22"/>
          <w:u w:val="single"/>
        </w:rPr>
        <w:t>blistre</w:t>
      </w:r>
      <w:proofErr w:type="spellEnd"/>
      <w:r w:rsidRPr="00E3110F">
        <w:rPr>
          <w:rFonts w:eastAsia="Times New Roman"/>
          <w:sz w:val="22"/>
          <w:szCs w:val="22"/>
          <w:u w:val="single"/>
        </w:rPr>
        <w:t>:</w:t>
      </w:r>
    </w:p>
    <w:p w14:paraId="52F76500" w14:textId="7DBC29BA" w:rsidR="0025227E" w:rsidRPr="00E3110F" w:rsidRDefault="0025227E" w:rsidP="009169A4">
      <w:pPr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rFonts w:eastAsia="Times New Roman"/>
          <w:sz w:val="22"/>
          <w:szCs w:val="22"/>
        </w:rPr>
        <w:lastRenderedPageBreak/>
        <w:t xml:space="preserve">Tento liek nevyžaduje žiadne zvláštne teplotné podmienky na uchovávanie. Uchovávajte v pôvodnom </w:t>
      </w:r>
      <w:r w:rsidR="00E11D7E">
        <w:rPr>
          <w:rFonts w:eastAsia="Times New Roman"/>
          <w:sz w:val="22"/>
          <w:szCs w:val="22"/>
        </w:rPr>
        <w:t>obale</w:t>
      </w:r>
      <w:r w:rsidRPr="00E3110F">
        <w:rPr>
          <w:rFonts w:eastAsia="Times New Roman"/>
          <w:sz w:val="22"/>
          <w:szCs w:val="22"/>
        </w:rPr>
        <w:t xml:space="preserve"> na ochranu pred svetlom.</w:t>
      </w:r>
    </w:p>
    <w:bookmarkEnd w:id="22"/>
    <w:p w14:paraId="73FDCF81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6B0E6B4A" w14:textId="2D27ABA9" w:rsidR="002F0FC5" w:rsidRPr="00E3110F" w:rsidRDefault="009B73DC" w:rsidP="009169A4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rFonts w:eastAsia="Times New Roman"/>
          <w:b/>
          <w:bCs/>
          <w:sz w:val="22"/>
          <w:szCs w:val="22"/>
        </w:rPr>
        <w:t>6.5</w:t>
      </w:r>
      <w:r w:rsidRPr="00E3110F">
        <w:rPr>
          <w:rFonts w:eastAsia="Times New Roman"/>
          <w:b/>
          <w:bCs/>
          <w:sz w:val="22"/>
          <w:szCs w:val="22"/>
        </w:rPr>
        <w:tab/>
      </w:r>
      <w:r w:rsidR="00787F5C" w:rsidRPr="00E3110F">
        <w:rPr>
          <w:rFonts w:eastAsia="Times New Roman"/>
          <w:b/>
          <w:bCs/>
          <w:sz w:val="22"/>
          <w:szCs w:val="22"/>
        </w:rPr>
        <w:t>Druh obalu a obsah balenia</w:t>
      </w:r>
    </w:p>
    <w:p w14:paraId="2336F796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046D2777" w14:textId="7C67E0F1" w:rsidR="00164A71" w:rsidRPr="00E3110F" w:rsidRDefault="0025227E" w:rsidP="009169A4">
      <w:pPr>
        <w:spacing w:after="0"/>
        <w:contextualSpacing/>
        <w:jc w:val="left"/>
        <w:rPr>
          <w:rFonts w:eastAsia="Times New Roman"/>
          <w:sz w:val="22"/>
          <w:szCs w:val="22"/>
        </w:rPr>
      </w:pPr>
      <w:r w:rsidRPr="00E3110F">
        <w:rPr>
          <w:sz w:val="22"/>
          <w:szCs w:val="22"/>
        </w:rPr>
        <w:t xml:space="preserve">Biele </w:t>
      </w:r>
      <w:r w:rsidR="00164A71" w:rsidRPr="00E3110F">
        <w:rPr>
          <w:sz w:val="22"/>
          <w:szCs w:val="22"/>
        </w:rPr>
        <w:t>PVC</w:t>
      </w:r>
      <w:r w:rsidR="00164A71" w:rsidRPr="00E3110F">
        <w:rPr>
          <w:rFonts w:eastAsia="Times New Roman"/>
          <w:sz w:val="22"/>
          <w:szCs w:val="22"/>
        </w:rPr>
        <w:t>/ PVDC/</w:t>
      </w:r>
      <w:r w:rsidR="007A50E9" w:rsidRPr="00E3110F">
        <w:rPr>
          <w:rFonts w:eastAsia="Times New Roman"/>
          <w:sz w:val="22"/>
          <w:szCs w:val="22"/>
        </w:rPr>
        <w:t xml:space="preserve">hliníkové </w:t>
      </w:r>
      <w:proofErr w:type="spellStart"/>
      <w:r w:rsidR="007A50E9" w:rsidRPr="00E3110F">
        <w:rPr>
          <w:rFonts w:eastAsia="Times New Roman"/>
          <w:sz w:val="22"/>
          <w:szCs w:val="22"/>
        </w:rPr>
        <w:t>blistre</w:t>
      </w:r>
      <w:proofErr w:type="spellEnd"/>
      <w:r w:rsidR="007A50E9" w:rsidRPr="00E3110F">
        <w:rPr>
          <w:rFonts w:eastAsia="Times New Roman"/>
          <w:sz w:val="22"/>
          <w:szCs w:val="22"/>
        </w:rPr>
        <w:t xml:space="preserve"> </w:t>
      </w:r>
      <w:r w:rsidRPr="00E3110F">
        <w:rPr>
          <w:rFonts w:eastAsia="Times New Roman"/>
          <w:sz w:val="22"/>
          <w:szCs w:val="22"/>
        </w:rPr>
        <w:t>a/</w:t>
      </w:r>
      <w:r w:rsidR="007A50E9" w:rsidRPr="00E3110F">
        <w:rPr>
          <w:rFonts w:eastAsia="Times New Roman"/>
          <w:sz w:val="22"/>
          <w:szCs w:val="22"/>
        </w:rPr>
        <w:t>alebo</w:t>
      </w:r>
      <w:r w:rsidR="00164A71" w:rsidRPr="00E3110F">
        <w:rPr>
          <w:rFonts w:eastAsia="Times New Roman"/>
          <w:sz w:val="22"/>
          <w:szCs w:val="22"/>
        </w:rPr>
        <w:t xml:space="preserve"> </w:t>
      </w:r>
      <w:r w:rsidR="009169A4">
        <w:rPr>
          <w:rFonts w:eastAsia="Times New Roman"/>
          <w:sz w:val="22"/>
          <w:szCs w:val="22"/>
        </w:rPr>
        <w:t xml:space="preserve">priehľadné </w:t>
      </w:r>
      <w:r w:rsidR="00164A71" w:rsidRPr="00E3110F">
        <w:rPr>
          <w:rFonts w:eastAsia="Times New Roman"/>
          <w:sz w:val="22"/>
          <w:szCs w:val="22"/>
        </w:rPr>
        <w:t>PVC/PE/ PVDC/</w:t>
      </w:r>
      <w:r w:rsidR="007A50E9" w:rsidRPr="00E3110F">
        <w:rPr>
          <w:rFonts w:eastAsia="Times New Roman"/>
          <w:sz w:val="22"/>
          <w:szCs w:val="22"/>
        </w:rPr>
        <w:t xml:space="preserve">hliníkové </w:t>
      </w:r>
      <w:proofErr w:type="spellStart"/>
      <w:r w:rsidR="007A50E9" w:rsidRPr="00E3110F">
        <w:rPr>
          <w:rFonts w:eastAsia="Times New Roman"/>
          <w:sz w:val="22"/>
          <w:szCs w:val="22"/>
        </w:rPr>
        <w:t>blistre</w:t>
      </w:r>
      <w:proofErr w:type="spellEnd"/>
      <w:r w:rsidR="00164A71" w:rsidRPr="00E3110F">
        <w:rPr>
          <w:rFonts w:eastAsia="Times New Roman"/>
          <w:sz w:val="22"/>
          <w:szCs w:val="22"/>
        </w:rPr>
        <w:t>.</w:t>
      </w:r>
    </w:p>
    <w:p w14:paraId="359727D5" w14:textId="47614944" w:rsidR="002F0FC5" w:rsidRPr="00E3110F" w:rsidRDefault="007A50E9" w:rsidP="00EC7BFE">
      <w:pPr>
        <w:spacing w:after="0"/>
        <w:contextualSpacing/>
        <w:jc w:val="left"/>
        <w:rPr>
          <w:sz w:val="22"/>
          <w:szCs w:val="22"/>
        </w:rPr>
      </w:pPr>
      <w:bookmarkStart w:id="23" w:name="_Hlk50827287"/>
      <w:r w:rsidRPr="00E3110F">
        <w:rPr>
          <w:sz w:val="22"/>
          <w:szCs w:val="22"/>
        </w:rPr>
        <w:t>Veľkosť balenia</w:t>
      </w:r>
      <w:r w:rsidR="00DA21D5" w:rsidRPr="00E3110F">
        <w:rPr>
          <w:sz w:val="22"/>
          <w:szCs w:val="22"/>
        </w:rPr>
        <w:t xml:space="preserve">: </w:t>
      </w:r>
      <w:r w:rsidR="0025227E" w:rsidRPr="00E3110F">
        <w:rPr>
          <w:sz w:val="22"/>
          <w:szCs w:val="22"/>
        </w:rPr>
        <w:t xml:space="preserve">škatule obsahujúce </w:t>
      </w:r>
      <w:r w:rsidR="0025227E" w:rsidRPr="005920A3">
        <w:rPr>
          <w:sz w:val="22"/>
          <w:szCs w:val="22"/>
          <w:highlight w:val="lightGray"/>
        </w:rPr>
        <w:t>10,</w:t>
      </w:r>
      <w:r w:rsidR="0025227E" w:rsidRPr="00E3110F">
        <w:rPr>
          <w:sz w:val="22"/>
          <w:szCs w:val="22"/>
        </w:rPr>
        <w:t xml:space="preserve"> 30 filmom obalených tabliet v </w:t>
      </w:r>
      <w:proofErr w:type="spellStart"/>
      <w:r w:rsidR="0025227E" w:rsidRPr="00E3110F">
        <w:rPr>
          <w:sz w:val="22"/>
          <w:szCs w:val="22"/>
        </w:rPr>
        <w:t>blistroch</w:t>
      </w:r>
      <w:proofErr w:type="spellEnd"/>
      <w:r w:rsidR="0025227E" w:rsidRPr="00E3110F">
        <w:rPr>
          <w:sz w:val="22"/>
          <w:szCs w:val="22"/>
        </w:rPr>
        <w:t xml:space="preserve"> alebo </w:t>
      </w:r>
      <w:r w:rsidR="0025227E" w:rsidRPr="00E3110F">
        <w:rPr>
          <w:sz w:val="22"/>
          <w:szCs w:val="22"/>
          <w:highlight w:val="lightGray"/>
        </w:rPr>
        <w:t>10x1</w:t>
      </w:r>
      <w:r w:rsidR="0025227E" w:rsidRPr="005920A3">
        <w:rPr>
          <w:sz w:val="22"/>
          <w:szCs w:val="22"/>
          <w:highlight w:val="lightGray"/>
        </w:rPr>
        <w:t>,</w:t>
      </w:r>
      <w:r w:rsidR="0025227E" w:rsidRPr="00E3110F">
        <w:rPr>
          <w:sz w:val="22"/>
          <w:szCs w:val="22"/>
        </w:rPr>
        <w:t xml:space="preserve"> 30x1 filmom obalen</w:t>
      </w:r>
      <w:r w:rsidR="009169A4">
        <w:rPr>
          <w:sz w:val="22"/>
          <w:szCs w:val="22"/>
        </w:rPr>
        <w:t>ých</w:t>
      </w:r>
      <w:r w:rsidR="0025227E" w:rsidRPr="00E3110F">
        <w:rPr>
          <w:sz w:val="22"/>
          <w:szCs w:val="22"/>
        </w:rPr>
        <w:t xml:space="preserve"> tabl</w:t>
      </w:r>
      <w:r w:rsidR="009169A4">
        <w:rPr>
          <w:sz w:val="22"/>
          <w:szCs w:val="22"/>
        </w:rPr>
        <w:t>iet</w:t>
      </w:r>
      <w:r w:rsidR="0025227E" w:rsidRPr="00E3110F">
        <w:rPr>
          <w:sz w:val="22"/>
          <w:szCs w:val="22"/>
        </w:rPr>
        <w:t xml:space="preserve"> v </w:t>
      </w:r>
      <w:proofErr w:type="spellStart"/>
      <w:r w:rsidR="0025227E" w:rsidRPr="00E3110F">
        <w:rPr>
          <w:sz w:val="22"/>
          <w:szCs w:val="22"/>
        </w:rPr>
        <w:t>blistroch</w:t>
      </w:r>
      <w:proofErr w:type="spellEnd"/>
      <w:r w:rsidR="0025227E" w:rsidRPr="00E3110F">
        <w:rPr>
          <w:sz w:val="22"/>
          <w:szCs w:val="22"/>
        </w:rPr>
        <w:t xml:space="preserve"> s jednotlivou dávkou.</w:t>
      </w:r>
    </w:p>
    <w:p w14:paraId="0FE0518E" w14:textId="5887A37F" w:rsidR="0025227E" w:rsidRPr="00E3110F" w:rsidRDefault="0025227E" w:rsidP="001D3DC0">
      <w:pPr>
        <w:spacing w:after="0"/>
        <w:contextualSpacing/>
        <w:jc w:val="left"/>
        <w:rPr>
          <w:sz w:val="22"/>
          <w:szCs w:val="22"/>
          <w:highlight w:val="yellow"/>
        </w:rPr>
      </w:pPr>
      <w:r w:rsidRPr="00E3110F">
        <w:rPr>
          <w:sz w:val="22"/>
          <w:szCs w:val="22"/>
        </w:rPr>
        <w:t>Na trh nemusia byť uvedené všetky veľkosti balenia.</w:t>
      </w:r>
    </w:p>
    <w:bookmarkEnd w:id="23"/>
    <w:p w14:paraId="62D3343D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5B8800DF" w14:textId="08C48880" w:rsidR="002F0FC5" w:rsidRPr="00E3110F" w:rsidRDefault="009B73DC" w:rsidP="009169A4">
      <w:pPr>
        <w:spacing w:after="0"/>
        <w:contextualSpacing/>
        <w:jc w:val="left"/>
        <w:rPr>
          <w:b/>
          <w:sz w:val="22"/>
          <w:szCs w:val="22"/>
        </w:rPr>
      </w:pPr>
      <w:r w:rsidRPr="00E3110F">
        <w:rPr>
          <w:b/>
          <w:sz w:val="22"/>
          <w:szCs w:val="22"/>
        </w:rPr>
        <w:t>6.6</w:t>
      </w:r>
      <w:r w:rsidRPr="00E3110F">
        <w:rPr>
          <w:b/>
          <w:sz w:val="22"/>
          <w:szCs w:val="22"/>
        </w:rPr>
        <w:tab/>
      </w:r>
      <w:r w:rsidR="00787F5C" w:rsidRPr="00E3110F">
        <w:rPr>
          <w:b/>
          <w:sz w:val="22"/>
          <w:szCs w:val="22"/>
        </w:rPr>
        <w:t>Špeciálne opatrenia na likvidáciu</w:t>
      </w:r>
    </w:p>
    <w:p w14:paraId="0B964D65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2023E220" w14:textId="2E2C3193" w:rsidR="002F0FC5" w:rsidRPr="00E3110F" w:rsidRDefault="009169A4" w:rsidP="00CB5537">
      <w:pPr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FC01B2" w:rsidRPr="00E3110F">
        <w:rPr>
          <w:sz w:val="22"/>
          <w:szCs w:val="22"/>
        </w:rPr>
        <w:t xml:space="preserve">epoužitý liek alebo odpad vzniknutý z lieku </w:t>
      </w:r>
      <w:r>
        <w:rPr>
          <w:sz w:val="22"/>
          <w:szCs w:val="22"/>
        </w:rPr>
        <w:t xml:space="preserve">sa </w:t>
      </w:r>
      <w:r w:rsidR="00FC01B2" w:rsidRPr="00E3110F">
        <w:rPr>
          <w:sz w:val="22"/>
          <w:szCs w:val="22"/>
        </w:rPr>
        <w:t>má zlikvidova</w:t>
      </w:r>
      <w:r>
        <w:rPr>
          <w:sz w:val="22"/>
          <w:szCs w:val="22"/>
        </w:rPr>
        <w:t>ť</w:t>
      </w:r>
      <w:r w:rsidR="00FC01B2" w:rsidRPr="00E3110F">
        <w:rPr>
          <w:sz w:val="22"/>
          <w:szCs w:val="22"/>
        </w:rPr>
        <w:t xml:space="preserve"> v súlade s </w:t>
      </w:r>
      <w:r>
        <w:rPr>
          <w:sz w:val="22"/>
          <w:szCs w:val="22"/>
        </w:rPr>
        <w:t>národnými</w:t>
      </w:r>
      <w:r w:rsidR="00FC01B2" w:rsidRPr="00E3110F">
        <w:rPr>
          <w:sz w:val="22"/>
          <w:szCs w:val="22"/>
        </w:rPr>
        <w:t xml:space="preserve"> požiadavkami.</w:t>
      </w:r>
    </w:p>
    <w:p w14:paraId="65909AF9" w14:textId="77777777" w:rsidR="002F0FC5" w:rsidRPr="00E3110F" w:rsidRDefault="002F0FC5" w:rsidP="00CB5537">
      <w:pPr>
        <w:contextualSpacing/>
        <w:jc w:val="left"/>
        <w:rPr>
          <w:sz w:val="22"/>
          <w:szCs w:val="22"/>
        </w:rPr>
      </w:pPr>
    </w:p>
    <w:p w14:paraId="779622BD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55BF9628" w14:textId="00F24182" w:rsidR="002F0FC5" w:rsidRPr="00E3110F" w:rsidRDefault="009B73DC" w:rsidP="009169A4">
      <w:pPr>
        <w:pStyle w:val="EMA2SPC"/>
        <w:keepNext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7.</w:t>
      </w:r>
      <w:r w:rsidRPr="00E3110F">
        <w:rPr>
          <w:bCs/>
          <w:iCs/>
          <w:lang w:val="sk-SK"/>
        </w:rPr>
        <w:tab/>
      </w:r>
      <w:r w:rsidR="00787F5C" w:rsidRPr="00E3110F">
        <w:rPr>
          <w:bCs/>
          <w:iCs/>
          <w:lang w:val="sk-SK"/>
        </w:rPr>
        <w:t>DRŽITEĽ ROZHODNUTIA O REGISTRÁCII</w:t>
      </w:r>
    </w:p>
    <w:p w14:paraId="31F07325" w14:textId="77777777" w:rsidR="002F0FC5" w:rsidRPr="00E3110F" w:rsidRDefault="002F0FC5" w:rsidP="00CB5537">
      <w:pPr>
        <w:keepNext/>
        <w:contextualSpacing/>
        <w:jc w:val="left"/>
        <w:rPr>
          <w:rFonts w:eastAsia="Times New Roman"/>
          <w:sz w:val="22"/>
          <w:szCs w:val="22"/>
        </w:rPr>
      </w:pPr>
      <w:bookmarkStart w:id="24" w:name="ORIGINAL"/>
      <w:bookmarkEnd w:id="21"/>
    </w:p>
    <w:p w14:paraId="77B5E6DC" w14:textId="77777777" w:rsidR="003A48EF" w:rsidRPr="00E3110F" w:rsidRDefault="003A48EF" w:rsidP="00CB5537">
      <w:pPr>
        <w:contextualSpacing/>
        <w:jc w:val="left"/>
        <w:rPr>
          <w:sz w:val="22"/>
          <w:szCs w:val="22"/>
        </w:rPr>
      </w:pPr>
      <w:bookmarkStart w:id="25" w:name="_Hlk50823151"/>
      <w:proofErr w:type="spellStart"/>
      <w:r w:rsidRPr="00E3110F">
        <w:rPr>
          <w:sz w:val="22"/>
          <w:szCs w:val="22"/>
        </w:rPr>
        <w:t>Zentiva</w:t>
      </w:r>
      <w:proofErr w:type="spellEnd"/>
      <w:r w:rsidRPr="00E3110F">
        <w:rPr>
          <w:sz w:val="22"/>
          <w:szCs w:val="22"/>
        </w:rPr>
        <w:t xml:space="preserve">, </w:t>
      </w:r>
      <w:proofErr w:type="spellStart"/>
      <w:r w:rsidRPr="00E3110F">
        <w:rPr>
          <w:sz w:val="22"/>
          <w:szCs w:val="22"/>
        </w:rPr>
        <w:t>k.s</w:t>
      </w:r>
      <w:proofErr w:type="spellEnd"/>
      <w:r w:rsidRPr="00E3110F">
        <w:rPr>
          <w:sz w:val="22"/>
          <w:szCs w:val="22"/>
        </w:rPr>
        <w:t>.</w:t>
      </w:r>
    </w:p>
    <w:p w14:paraId="18668D9F" w14:textId="7076A5FF" w:rsidR="003A48EF" w:rsidRPr="00E3110F" w:rsidRDefault="003A48EF" w:rsidP="00CB5537">
      <w:pPr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 xml:space="preserve">U </w:t>
      </w:r>
      <w:proofErr w:type="spellStart"/>
      <w:r w:rsidR="007B41A2">
        <w:rPr>
          <w:sz w:val="22"/>
          <w:szCs w:val="22"/>
        </w:rPr>
        <w:t>k</w:t>
      </w:r>
      <w:r w:rsidRPr="00E3110F">
        <w:rPr>
          <w:sz w:val="22"/>
          <w:szCs w:val="22"/>
        </w:rPr>
        <w:t>abelovny</w:t>
      </w:r>
      <w:proofErr w:type="spellEnd"/>
      <w:r w:rsidRPr="00E3110F">
        <w:rPr>
          <w:sz w:val="22"/>
          <w:szCs w:val="22"/>
        </w:rPr>
        <w:t xml:space="preserve"> 130</w:t>
      </w:r>
    </w:p>
    <w:p w14:paraId="3153BE71" w14:textId="77777777" w:rsidR="003A48EF" w:rsidRPr="00E3110F" w:rsidRDefault="003A48EF" w:rsidP="00CB5537">
      <w:pPr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102 37 Praha 10</w:t>
      </w:r>
    </w:p>
    <w:p w14:paraId="738674EA" w14:textId="2D6C9865" w:rsidR="002F0FC5" w:rsidRPr="00E3110F" w:rsidRDefault="003A48EF" w:rsidP="00CB5537">
      <w:pPr>
        <w:contextualSpacing/>
        <w:jc w:val="left"/>
        <w:rPr>
          <w:sz w:val="22"/>
          <w:szCs w:val="22"/>
        </w:rPr>
      </w:pPr>
      <w:r w:rsidRPr="00E3110F">
        <w:rPr>
          <w:sz w:val="22"/>
          <w:szCs w:val="22"/>
        </w:rPr>
        <w:t>Česká republika</w:t>
      </w:r>
    </w:p>
    <w:bookmarkEnd w:id="25"/>
    <w:p w14:paraId="3A1F2000" w14:textId="77777777" w:rsidR="003A48EF" w:rsidRPr="00E3110F" w:rsidRDefault="003A48EF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0840331E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21F5ADFD" w14:textId="072DA53E" w:rsidR="002F0FC5" w:rsidRPr="00E3110F" w:rsidRDefault="009B73DC" w:rsidP="009169A4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8.</w:t>
      </w:r>
      <w:r w:rsidRPr="00E3110F">
        <w:rPr>
          <w:bCs/>
          <w:iCs/>
          <w:lang w:val="sk-SK"/>
        </w:rPr>
        <w:tab/>
      </w:r>
      <w:r w:rsidR="00787F5C" w:rsidRPr="00E3110F">
        <w:rPr>
          <w:bCs/>
          <w:iCs/>
          <w:lang w:val="sk-SK"/>
        </w:rPr>
        <w:t>REGISTRAČNÉ ČÍSLA</w:t>
      </w:r>
    </w:p>
    <w:p w14:paraId="4D9D3BA7" w14:textId="77777777" w:rsidR="002F0FC5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78CBF9EF" w14:textId="4506DC8C" w:rsidR="00873A60" w:rsidRPr="00E3110F" w:rsidRDefault="00873A60" w:rsidP="00873A60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</w:rPr>
        <w:t>Ambrisentan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Zentiva</w:t>
      </w:r>
      <w:proofErr w:type="spellEnd"/>
      <w:r w:rsidRPr="00E3110F">
        <w:rPr>
          <w:sz w:val="22"/>
          <w:szCs w:val="22"/>
        </w:rPr>
        <w:t xml:space="preserve"> 5 mg filmom obalené tablety</w:t>
      </w:r>
      <w:r w:rsidR="00311831">
        <w:rPr>
          <w:sz w:val="22"/>
          <w:szCs w:val="22"/>
        </w:rPr>
        <w:t>:</w:t>
      </w:r>
      <w:r w:rsidR="00CC6287">
        <w:rPr>
          <w:sz w:val="22"/>
          <w:szCs w:val="22"/>
        </w:rPr>
        <w:t xml:space="preserve"> </w:t>
      </w:r>
      <w:r w:rsidR="00CC6287" w:rsidRPr="00CC6287">
        <w:rPr>
          <w:sz w:val="22"/>
          <w:szCs w:val="22"/>
        </w:rPr>
        <w:t>58/0266/20-S</w:t>
      </w:r>
    </w:p>
    <w:p w14:paraId="44403A6A" w14:textId="70C06BEA" w:rsidR="00873A60" w:rsidRPr="00E3110F" w:rsidRDefault="00873A60" w:rsidP="00873A60">
      <w:pPr>
        <w:spacing w:after="0"/>
        <w:contextualSpacing/>
        <w:jc w:val="left"/>
        <w:rPr>
          <w:sz w:val="22"/>
          <w:szCs w:val="22"/>
        </w:rPr>
      </w:pPr>
      <w:proofErr w:type="spellStart"/>
      <w:r w:rsidRPr="00E3110F">
        <w:rPr>
          <w:sz w:val="22"/>
          <w:szCs w:val="22"/>
        </w:rPr>
        <w:t>Ambrisentan</w:t>
      </w:r>
      <w:proofErr w:type="spellEnd"/>
      <w:r w:rsidRPr="00E3110F">
        <w:rPr>
          <w:sz w:val="22"/>
          <w:szCs w:val="22"/>
        </w:rPr>
        <w:t xml:space="preserve"> </w:t>
      </w:r>
      <w:proofErr w:type="spellStart"/>
      <w:r w:rsidRPr="00E3110F">
        <w:rPr>
          <w:sz w:val="22"/>
          <w:szCs w:val="22"/>
        </w:rPr>
        <w:t>Zentiva</w:t>
      </w:r>
      <w:proofErr w:type="spellEnd"/>
      <w:r w:rsidRPr="00E3110F">
        <w:rPr>
          <w:sz w:val="22"/>
          <w:szCs w:val="22"/>
        </w:rPr>
        <w:t xml:space="preserve"> 10 mg filmom obalené tablety</w:t>
      </w:r>
      <w:r w:rsidR="00311831">
        <w:rPr>
          <w:sz w:val="22"/>
          <w:szCs w:val="22"/>
        </w:rPr>
        <w:t>:</w:t>
      </w:r>
      <w:r w:rsidR="00CC6287">
        <w:rPr>
          <w:sz w:val="22"/>
          <w:szCs w:val="22"/>
        </w:rPr>
        <w:t xml:space="preserve"> 58/0267</w:t>
      </w:r>
      <w:r w:rsidR="00CC6287" w:rsidRPr="00CC6287">
        <w:rPr>
          <w:sz w:val="22"/>
          <w:szCs w:val="22"/>
        </w:rPr>
        <w:t>/20-S</w:t>
      </w:r>
    </w:p>
    <w:p w14:paraId="105F5C1C" w14:textId="77777777" w:rsidR="00CB5537" w:rsidRPr="00E3110F" w:rsidRDefault="00CB5537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240665FD" w14:textId="77777777" w:rsidR="002F0FC5" w:rsidRPr="00E3110F" w:rsidRDefault="002F0FC5" w:rsidP="00CB5537">
      <w:pPr>
        <w:contextualSpacing/>
        <w:jc w:val="left"/>
        <w:rPr>
          <w:rFonts w:eastAsia="Times New Roman"/>
          <w:sz w:val="22"/>
          <w:szCs w:val="22"/>
        </w:rPr>
      </w:pPr>
    </w:p>
    <w:p w14:paraId="2483591A" w14:textId="5AEE9C81" w:rsidR="002F0FC5" w:rsidRPr="00E3110F" w:rsidRDefault="009B73DC" w:rsidP="009169A4">
      <w:pPr>
        <w:pStyle w:val="EMA2SPC"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9.</w:t>
      </w:r>
      <w:r w:rsidRPr="00E3110F">
        <w:rPr>
          <w:bCs/>
          <w:iCs/>
          <w:lang w:val="sk-SK"/>
        </w:rPr>
        <w:tab/>
      </w:r>
      <w:r w:rsidR="00787F5C" w:rsidRPr="00E3110F">
        <w:rPr>
          <w:bCs/>
          <w:iCs/>
          <w:lang w:val="sk-SK"/>
        </w:rPr>
        <w:t>DÁTUM PRVEJ REGISTRÁCIE/PREDĹŽENIA REGISTRÁCIE</w:t>
      </w:r>
    </w:p>
    <w:p w14:paraId="5DFE0B24" w14:textId="77777777" w:rsidR="002F0FC5" w:rsidRPr="00E3110F" w:rsidRDefault="002F0FC5" w:rsidP="00CB5537">
      <w:pPr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2DD72011" w14:textId="0EF6F6BB" w:rsidR="009F736D" w:rsidRPr="00E3110F" w:rsidRDefault="007B41A2" w:rsidP="00CB5537">
      <w:pPr>
        <w:jc w:val="left"/>
        <w:rPr>
          <w:i/>
          <w:iCs/>
          <w:sz w:val="22"/>
          <w:szCs w:val="22"/>
        </w:rPr>
      </w:pPr>
      <w:r w:rsidRPr="00CB5537">
        <w:rPr>
          <w:sz w:val="22"/>
          <w:szCs w:val="22"/>
        </w:rPr>
        <w:t>Dátum prvej registrácie:</w:t>
      </w:r>
    </w:p>
    <w:p w14:paraId="31E80A12" w14:textId="77777777" w:rsidR="009F736D" w:rsidRPr="00E3110F" w:rsidRDefault="009F736D" w:rsidP="00CB5537">
      <w:pPr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75FE55F7" w14:textId="77777777" w:rsidR="002F0FC5" w:rsidRPr="00E3110F" w:rsidRDefault="002F0FC5" w:rsidP="00CB5537">
      <w:pPr>
        <w:contextualSpacing/>
        <w:jc w:val="left"/>
        <w:rPr>
          <w:rFonts w:eastAsia="Times New Roman"/>
          <w:b/>
          <w:bCs/>
          <w:sz w:val="22"/>
          <w:szCs w:val="22"/>
        </w:rPr>
      </w:pPr>
    </w:p>
    <w:p w14:paraId="3934E888" w14:textId="76794582" w:rsidR="002F0FC5" w:rsidRPr="00E3110F" w:rsidRDefault="009B73DC" w:rsidP="009169A4">
      <w:pPr>
        <w:pStyle w:val="EMA2SPC"/>
        <w:keepNext/>
        <w:contextualSpacing/>
        <w:rPr>
          <w:bCs/>
          <w:iCs/>
          <w:lang w:val="sk-SK"/>
        </w:rPr>
      </w:pPr>
      <w:r w:rsidRPr="00E3110F">
        <w:rPr>
          <w:bCs/>
          <w:iCs/>
          <w:lang w:val="sk-SK"/>
        </w:rPr>
        <w:t>10.</w:t>
      </w:r>
      <w:r w:rsidRPr="00E3110F">
        <w:rPr>
          <w:bCs/>
          <w:iCs/>
          <w:lang w:val="sk-SK"/>
        </w:rPr>
        <w:tab/>
      </w:r>
      <w:r w:rsidR="00787F5C" w:rsidRPr="00E3110F">
        <w:rPr>
          <w:bCs/>
          <w:iCs/>
          <w:lang w:val="sk-SK"/>
        </w:rPr>
        <w:t>DÁTUM REVÍZIE TEXTU</w:t>
      </w:r>
    </w:p>
    <w:bookmarkEnd w:id="24"/>
    <w:p w14:paraId="3DC9705D" w14:textId="77777777" w:rsidR="002F0FC5" w:rsidRPr="00E3110F" w:rsidRDefault="002F0FC5" w:rsidP="009169A4">
      <w:pPr>
        <w:pStyle w:val="Nadpis1"/>
        <w:contextualSpacing/>
        <w:jc w:val="left"/>
        <w:rPr>
          <w:rFonts w:eastAsia="Times New Roman" w:cs="Times New Roman"/>
          <w:sz w:val="22"/>
          <w:szCs w:val="22"/>
          <w:lang w:eastAsia="cs-CZ"/>
        </w:rPr>
      </w:pPr>
    </w:p>
    <w:p w14:paraId="669B92BC" w14:textId="13783D77" w:rsidR="002F0FC5" w:rsidRPr="00B0196B" w:rsidRDefault="00CB5537" w:rsidP="00CB5537">
      <w:pPr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12</w:t>
      </w:r>
      <w:r w:rsidR="007B41A2">
        <w:rPr>
          <w:sz w:val="22"/>
          <w:szCs w:val="22"/>
        </w:rPr>
        <w:t>/2020</w:t>
      </w:r>
      <w:bookmarkEnd w:id="1"/>
    </w:p>
    <w:sectPr w:rsidR="002F0FC5" w:rsidRPr="00B0196B" w:rsidSect="00BA1946">
      <w:headerReference w:type="default" r:id="rId11"/>
      <w:footerReference w:type="default" r:id="rId12"/>
      <w:pgSz w:w="12240" w:h="15840"/>
      <w:pgMar w:top="138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1E09" w14:textId="77777777" w:rsidR="00814154" w:rsidRDefault="00814154">
      <w:pPr>
        <w:spacing w:after="0"/>
      </w:pPr>
      <w:r>
        <w:separator/>
      </w:r>
    </w:p>
  </w:endnote>
  <w:endnote w:type="continuationSeparator" w:id="0">
    <w:p w14:paraId="09DCF486" w14:textId="77777777" w:rsidR="00814154" w:rsidRDefault="00814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7B766" w14:textId="77777777" w:rsidR="00CB5537" w:rsidRPr="005F3606" w:rsidRDefault="00CB5537">
    <w:pPr>
      <w:pStyle w:val="Pta"/>
      <w:jc w:val="center"/>
      <w:rPr>
        <w:rFonts w:ascii="Arial" w:hAnsi="Arial" w:cs="Arial"/>
        <w:sz w:val="16"/>
        <w:szCs w:val="16"/>
      </w:rPr>
    </w:pPr>
    <w:r w:rsidRPr="005F3606">
      <w:rPr>
        <w:rFonts w:ascii="Arial" w:hAnsi="Arial" w:cs="Arial"/>
        <w:sz w:val="16"/>
        <w:szCs w:val="16"/>
      </w:rPr>
      <w:fldChar w:fldCharType="begin"/>
    </w:r>
    <w:r w:rsidRPr="005F3606">
      <w:rPr>
        <w:rFonts w:ascii="Arial" w:hAnsi="Arial" w:cs="Arial"/>
        <w:sz w:val="16"/>
        <w:szCs w:val="16"/>
      </w:rPr>
      <w:instrText>PAGE   \* MERGEFORMAT</w:instrText>
    </w:r>
    <w:r w:rsidRPr="005F3606">
      <w:rPr>
        <w:rFonts w:ascii="Arial" w:hAnsi="Arial" w:cs="Arial"/>
        <w:sz w:val="16"/>
        <w:szCs w:val="16"/>
      </w:rPr>
      <w:fldChar w:fldCharType="separate"/>
    </w:r>
    <w:r w:rsidR="009A4635">
      <w:rPr>
        <w:rFonts w:ascii="Arial" w:hAnsi="Arial" w:cs="Arial"/>
        <w:noProof/>
        <w:sz w:val="16"/>
        <w:szCs w:val="16"/>
      </w:rPr>
      <w:t>20</w:t>
    </w:r>
    <w:r w:rsidRPr="005F3606">
      <w:rPr>
        <w:rFonts w:ascii="Arial" w:hAnsi="Arial" w:cs="Arial"/>
        <w:sz w:val="16"/>
        <w:szCs w:val="16"/>
      </w:rPr>
      <w:fldChar w:fldCharType="end"/>
    </w:r>
  </w:p>
  <w:p w14:paraId="6303AA08" w14:textId="77777777" w:rsidR="00CB5537" w:rsidRDefault="00CB5537">
    <w:pPr>
      <w:pStyle w:val="Pta"/>
    </w:pPr>
  </w:p>
  <w:p w14:paraId="42F78323" w14:textId="77777777" w:rsidR="00CB5537" w:rsidRDefault="00CB55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3355C" w14:textId="77777777" w:rsidR="00814154" w:rsidRDefault="00814154">
      <w:pPr>
        <w:spacing w:after="0"/>
      </w:pPr>
      <w:r>
        <w:separator/>
      </w:r>
    </w:p>
  </w:footnote>
  <w:footnote w:type="continuationSeparator" w:id="0">
    <w:p w14:paraId="05ECCE22" w14:textId="77777777" w:rsidR="00814154" w:rsidRDefault="008141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9128" w14:textId="2D3678CE" w:rsidR="00CB5537" w:rsidRPr="00471FC8" w:rsidRDefault="00CB5537">
    <w:pPr>
      <w:pStyle w:val="Hlavika"/>
      <w:rPr>
        <w:sz w:val="18"/>
        <w:szCs w:val="18"/>
      </w:rPr>
    </w:pPr>
    <w:proofErr w:type="spellStart"/>
    <w:r w:rsidRPr="00471FC8">
      <w:rPr>
        <w:sz w:val="18"/>
        <w:szCs w:val="18"/>
      </w:rPr>
      <w:t>Schválený</w:t>
    </w:r>
    <w:proofErr w:type="spellEnd"/>
    <w:r w:rsidRPr="00471FC8">
      <w:rPr>
        <w:sz w:val="18"/>
        <w:szCs w:val="18"/>
      </w:rPr>
      <w:t xml:space="preserve"> text k </w:t>
    </w:r>
    <w:proofErr w:type="spellStart"/>
    <w:r w:rsidRPr="00471FC8">
      <w:rPr>
        <w:sz w:val="18"/>
        <w:szCs w:val="18"/>
      </w:rPr>
      <w:t>rozhodnutiu</w:t>
    </w:r>
    <w:proofErr w:type="spellEnd"/>
    <w:r w:rsidRPr="00471FC8">
      <w:rPr>
        <w:sz w:val="18"/>
        <w:szCs w:val="18"/>
      </w:rPr>
      <w:t xml:space="preserve"> o </w:t>
    </w:r>
    <w:proofErr w:type="spellStart"/>
    <w:r w:rsidRPr="00471FC8">
      <w:rPr>
        <w:sz w:val="18"/>
        <w:szCs w:val="18"/>
      </w:rPr>
      <w:t>registrácii</w:t>
    </w:r>
    <w:proofErr w:type="spellEnd"/>
    <w:r w:rsidRPr="00471FC8">
      <w:rPr>
        <w:sz w:val="18"/>
        <w:szCs w:val="18"/>
      </w:rPr>
      <w:t xml:space="preserve">, </w:t>
    </w:r>
    <w:proofErr w:type="spellStart"/>
    <w:r w:rsidRPr="00471FC8">
      <w:rPr>
        <w:sz w:val="18"/>
        <w:szCs w:val="18"/>
      </w:rPr>
      <w:t>ev</w:t>
    </w:r>
    <w:proofErr w:type="spellEnd"/>
    <w:r w:rsidRPr="00471FC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Pr="0066131C">
      <w:rPr>
        <w:sz w:val="18"/>
        <w:szCs w:val="18"/>
      </w:rPr>
      <w:t>2019/03200-REG</w:t>
    </w:r>
    <w:r>
      <w:rPr>
        <w:sz w:val="18"/>
        <w:szCs w:val="18"/>
      </w:rPr>
      <w:t xml:space="preserve">, </w:t>
    </w:r>
    <w:r w:rsidRPr="0066131C">
      <w:rPr>
        <w:sz w:val="18"/>
        <w:szCs w:val="18"/>
      </w:rPr>
      <w:t>2019/03201-REG</w:t>
    </w:r>
  </w:p>
  <w:p w14:paraId="52F59EA0" w14:textId="77777777" w:rsidR="00CB5537" w:rsidRDefault="00CB55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76F"/>
    <w:multiLevelType w:val="hybridMultilevel"/>
    <w:tmpl w:val="62A23B2E"/>
    <w:lvl w:ilvl="0" w:tplc="EE167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2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EF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01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E4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E2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C9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07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C4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6DD"/>
    <w:multiLevelType w:val="multilevel"/>
    <w:tmpl w:val="36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F1ED9"/>
    <w:multiLevelType w:val="hybridMultilevel"/>
    <w:tmpl w:val="686A2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C90"/>
    <w:multiLevelType w:val="hybridMultilevel"/>
    <w:tmpl w:val="9AAC1D02"/>
    <w:lvl w:ilvl="0" w:tplc="2AE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4E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64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27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6C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66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03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A4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0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4B1B"/>
    <w:multiLevelType w:val="hybridMultilevel"/>
    <w:tmpl w:val="409610BA"/>
    <w:lvl w:ilvl="0" w:tplc="137CFC24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B956BB88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C89EE10A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E14A7974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FA369F1C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7CEE2B9C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8982A234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33D4BF76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B672A214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5" w15:restartNumberingAfterBreak="0">
    <w:nsid w:val="102E5A1D"/>
    <w:multiLevelType w:val="hybridMultilevel"/>
    <w:tmpl w:val="931647A4"/>
    <w:lvl w:ilvl="0" w:tplc="01FE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DAC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A3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4E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ED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AC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4F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0D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E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68DA"/>
    <w:multiLevelType w:val="hybridMultilevel"/>
    <w:tmpl w:val="9A427E62"/>
    <w:lvl w:ilvl="0" w:tplc="69F66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6AB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A0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29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AD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4C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00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43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7389"/>
    <w:multiLevelType w:val="hybridMultilevel"/>
    <w:tmpl w:val="C194E436"/>
    <w:lvl w:ilvl="0" w:tplc="B0924D06">
      <w:start w:val="4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3C8B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C1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9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E5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E2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27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C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CE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2C25"/>
    <w:multiLevelType w:val="multilevel"/>
    <w:tmpl w:val="82DE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61550"/>
    <w:multiLevelType w:val="hybridMultilevel"/>
    <w:tmpl w:val="88E43C82"/>
    <w:lvl w:ilvl="0" w:tplc="83B41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DCE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EE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02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9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81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2D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8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F7770"/>
    <w:multiLevelType w:val="multilevel"/>
    <w:tmpl w:val="C2F608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F2021"/>
    <w:multiLevelType w:val="hybridMultilevel"/>
    <w:tmpl w:val="E4FC5D5C"/>
    <w:lvl w:ilvl="0" w:tplc="1B9E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4A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A7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4B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26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E7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27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2C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0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B64F9"/>
    <w:multiLevelType w:val="hybridMultilevel"/>
    <w:tmpl w:val="13421954"/>
    <w:lvl w:ilvl="0" w:tplc="D2AA4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7E6A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27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63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CB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6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EB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F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42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22F8F"/>
    <w:multiLevelType w:val="hybridMultilevel"/>
    <w:tmpl w:val="A0B23B96"/>
    <w:lvl w:ilvl="0" w:tplc="1EAE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C2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EB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A2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AD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8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EE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504BC"/>
    <w:multiLevelType w:val="multilevel"/>
    <w:tmpl w:val="819C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6006AF"/>
    <w:multiLevelType w:val="hybridMultilevel"/>
    <w:tmpl w:val="3C4A5892"/>
    <w:lvl w:ilvl="0" w:tplc="1A12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0B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02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8D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E9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EC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02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E0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E7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B17EF"/>
    <w:multiLevelType w:val="hybridMultilevel"/>
    <w:tmpl w:val="CD5E393C"/>
    <w:lvl w:ilvl="0" w:tplc="C65A24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7EFCF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0A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2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D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A3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EB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ED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A6394"/>
    <w:multiLevelType w:val="multilevel"/>
    <w:tmpl w:val="F8DA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286457"/>
    <w:multiLevelType w:val="multilevel"/>
    <w:tmpl w:val="710AE5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353D48"/>
    <w:multiLevelType w:val="hybridMultilevel"/>
    <w:tmpl w:val="79B0C4B4"/>
    <w:lvl w:ilvl="0" w:tplc="32D20C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B1C98A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A0BC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08A5C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00F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28A4D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482B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3ADB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C82F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2F1C09"/>
    <w:multiLevelType w:val="hybridMultilevel"/>
    <w:tmpl w:val="71D8C570"/>
    <w:lvl w:ilvl="0" w:tplc="7B54D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426C7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89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4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E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C6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3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42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2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406E"/>
    <w:multiLevelType w:val="hybridMultilevel"/>
    <w:tmpl w:val="F296EF2E"/>
    <w:lvl w:ilvl="0" w:tplc="6FEAD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F849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2F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08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8B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5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07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24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A1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568C3"/>
    <w:multiLevelType w:val="hybridMultilevel"/>
    <w:tmpl w:val="9872C83C"/>
    <w:lvl w:ilvl="0" w:tplc="8ACE8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B85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8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A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2A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64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04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E4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6D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52F94"/>
    <w:multiLevelType w:val="hybridMultilevel"/>
    <w:tmpl w:val="0108124C"/>
    <w:lvl w:ilvl="0" w:tplc="A316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A1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E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CA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A7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A5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A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8F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0A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63923"/>
    <w:multiLevelType w:val="hybridMultilevel"/>
    <w:tmpl w:val="64A6B0E2"/>
    <w:lvl w:ilvl="0" w:tplc="15EEC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4ED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08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CD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EE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4E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49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B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A3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175B"/>
    <w:multiLevelType w:val="hybridMultilevel"/>
    <w:tmpl w:val="7C4E4D0A"/>
    <w:lvl w:ilvl="0" w:tplc="E3283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FCD"/>
    <w:multiLevelType w:val="hybridMultilevel"/>
    <w:tmpl w:val="46A6C5D8"/>
    <w:lvl w:ilvl="0" w:tplc="FA10C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C8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0D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9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F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AE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0B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24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26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44F88"/>
    <w:multiLevelType w:val="hybridMultilevel"/>
    <w:tmpl w:val="31AAD5EA"/>
    <w:lvl w:ilvl="0" w:tplc="01F6A7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494E"/>
    <w:multiLevelType w:val="hybridMultilevel"/>
    <w:tmpl w:val="DACE991A"/>
    <w:lvl w:ilvl="0" w:tplc="39A24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A689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8D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2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6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6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ED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E3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0F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65F88"/>
    <w:multiLevelType w:val="multilevel"/>
    <w:tmpl w:val="7D6E8528"/>
    <w:lvl w:ilvl="0">
      <w:start w:val="1"/>
      <w:numFmt w:val="decimal"/>
      <w:pStyle w:val="2PI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6F62479A"/>
    <w:multiLevelType w:val="hybridMultilevel"/>
    <w:tmpl w:val="225A31B8"/>
    <w:lvl w:ilvl="0" w:tplc="AA1C8B3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6AAC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3834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9045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9294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7C7C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16A5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A84D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108BA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5E01C0"/>
    <w:multiLevelType w:val="multilevel"/>
    <w:tmpl w:val="8E0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B1D86"/>
    <w:multiLevelType w:val="hybridMultilevel"/>
    <w:tmpl w:val="B9BA9F72"/>
    <w:lvl w:ilvl="0" w:tplc="137834D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ACDAD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EC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B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1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61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9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A2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2"/>
  </w:num>
  <w:num w:numId="4">
    <w:abstractNumId w:val="22"/>
  </w:num>
  <w:num w:numId="5">
    <w:abstractNumId w:val="28"/>
  </w:num>
  <w:num w:numId="6">
    <w:abstractNumId w:val="14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26"/>
  </w:num>
  <w:num w:numId="12">
    <w:abstractNumId w:val="23"/>
  </w:num>
  <w:num w:numId="13">
    <w:abstractNumId w:val="15"/>
  </w:num>
  <w:num w:numId="14">
    <w:abstractNumId w:val="11"/>
  </w:num>
  <w:num w:numId="15">
    <w:abstractNumId w:val="30"/>
  </w:num>
  <w:num w:numId="16">
    <w:abstractNumId w:val="19"/>
  </w:num>
  <w:num w:numId="17">
    <w:abstractNumId w:val="30"/>
  </w:num>
  <w:num w:numId="18">
    <w:abstractNumId w:val="19"/>
  </w:num>
  <w:num w:numId="19">
    <w:abstractNumId w:val="30"/>
  </w:num>
  <w:num w:numId="20">
    <w:abstractNumId w:val="13"/>
  </w:num>
  <w:num w:numId="21">
    <w:abstractNumId w:val="19"/>
  </w:num>
  <w:num w:numId="22">
    <w:abstractNumId w:val="30"/>
  </w:num>
  <w:num w:numId="23">
    <w:abstractNumId w:val="3"/>
  </w:num>
  <w:num w:numId="24">
    <w:abstractNumId w:val="9"/>
  </w:num>
  <w:num w:numId="25">
    <w:abstractNumId w:val="18"/>
  </w:num>
  <w:num w:numId="26">
    <w:abstractNumId w:val="10"/>
  </w:num>
  <w:num w:numId="27">
    <w:abstractNumId w:val="6"/>
  </w:num>
  <w:num w:numId="28">
    <w:abstractNumId w:val="5"/>
  </w:num>
  <w:num w:numId="29">
    <w:abstractNumId w:val="24"/>
  </w:num>
  <w:num w:numId="30">
    <w:abstractNumId w:val="29"/>
  </w:num>
  <w:num w:numId="31">
    <w:abstractNumId w:val="0"/>
  </w:num>
  <w:num w:numId="32">
    <w:abstractNumId w:val="32"/>
  </w:num>
  <w:num w:numId="33">
    <w:abstractNumId w:val="7"/>
  </w:num>
  <w:num w:numId="34">
    <w:abstractNumId w:val="16"/>
  </w:num>
  <w:num w:numId="35">
    <w:abstractNumId w:val="20"/>
  </w:num>
  <w:num w:numId="36">
    <w:abstractNumId w:val="2"/>
  </w:num>
  <w:num w:numId="37">
    <w:abstractNumId w:val="2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F"/>
    <w:rsid w:val="000010EF"/>
    <w:rsid w:val="0000117D"/>
    <w:rsid w:val="00011061"/>
    <w:rsid w:val="0001287E"/>
    <w:rsid w:val="00013AFF"/>
    <w:rsid w:val="00014C62"/>
    <w:rsid w:val="00014ED6"/>
    <w:rsid w:val="0002031E"/>
    <w:rsid w:val="00020355"/>
    <w:rsid w:val="00023991"/>
    <w:rsid w:val="00024DDF"/>
    <w:rsid w:val="00026D79"/>
    <w:rsid w:val="0002755C"/>
    <w:rsid w:val="00035B23"/>
    <w:rsid w:val="00036099"/>
    <w:rsid w:val="00036844"/>
    <w:rsid w:val="00040CC8"/>
    <w:rsid w:val="000417D9"/>
    <w:rsid w:val="00041A91"/>
    <w:rsid w:val="0004200E"/>
    <w:rsid w:val="00051614"/>
    <w:rsid w:val="00053783"/>
    <w:rsid w:val="00057282"/>
    <w:rsid w:val="000602D1"/>
    <w:rsid w:val="000700C0"/>
    <w:rsid w:val="00074393"/>
    <w:rsid w:val="000743C6"/>
    <w:rsid w:val="00074E17"/>
    <w:rsid w:val="00081437"/>
    <w:rsid w:val="00082A54"/>
    <w:rsid w:val="000874DF"/>
    <w:rsid w:val="000969A9"/>
    <w:rsid w:val="000A16AB"/>
    <w:rsid w:val="000A66FC"/>
    <w:rsid w:val="000B1F28"/>
    <w:rsid w:val="000B446D"/>
    <w:rsid w:val="000B48A6"/>
    <w:rsid w:val="000B4CC3"/>
    <w:rsid w:val="000B7B50"/>
    <w:rsid w:val="000C5F38"/>
    <w:rsid w:val="000C6B77"/>
    <w:rsid w:val="000D0366"/>
    <w:rsid w:val="000D1121"/>
    <w:rsid w:val="000D5E35"/>
    <w:rsid w:val="000E0585"/>
    <w:rsid w:val="000E35F7"/>
    <w:rsid w:val="000E45B2"/>
    <w:rsid w:val="000E46CE"/>
    <w:rsid w:val="000E6D40"/>
    <w:rsid w:val="000E7C44"/>
    <w:rsid w:val="000F00E0"/>
    <w:rsid w:val="000F189D"/>
    <w:rsid w:val="000F5399"/>
    <w:rsid w:val="001044CF"/>
    <w:rsid w:val="00105657"/>
    <w:rsid w:val="0010736A"/>
    <w:rsid w:val="00110EA4"/>
    <w:rsid w:val="00111052"/>
    <w:rsid w:val="0011189E"/>
    <w:rsid w:val="001138EF"/>
    <w:rsid w:val="00113ECF"/>
    <w:rsid w:val="00115F7B"/>
    <w:rsid w:val="001204D8"/>
    <w:rsid w:val="0012591F"/>
    <w:rsid w:val="001310BA"/>
    <w:rsid w:val="00131231"/>
    <w:rsid w:val="00131567"/>
    <w:rsid w:val="00132B6A"/>
    <w:rsid w:val="0013681A"/>
    <w:rsid w:val="001379EF"/>
    <w:rsid w:val="00137D3B"/>
    <w:rsid w:val="00146211"/>
    <w:rsid w:val="001537E4"/>
    <w:rsid w:val="001619B1"/>
    <w:rsid w:val="00164A71"/>
    <w:rsid w:val="0017272F"/>
    <w:rsid w:val="00172C57"/>
    <w:rsid w:val="00173856"/>
    <w:rsid w:val="00175ECF"/>
    <w:rsid w:val="001808F2"/>
    <w:rsid w:val="0018213E"/>
    <w:rsid w:val="00182946"/>
    <w:rsid w:val="00185564"/>
    <w:rsid w:val="00190B30"/>
    <w:rsid w:val="00193732"/>
    <w:rsid w:val="00195586"/>
    <w:rsid w:val="001A6033"/>
    <w:rsid w:val="001B095F"/>
    <w:rsid w:val="001B46FD"/>
    <w:rsid w:val="001B7E04"/>
    <w:rsid w:val="001C119B"/>
    <w:rsid w:val="001C2D00"/>
    <w:rsid w:val="001C3146"/>
    <w:rsid w:val="001C53CF"/>
    <w:rsid w:val="001D37E5"/>
    <w:rsid w:val="001D3DC0"/>
    <w:rsid w:val="001D4D40"/>
    <w:rsid w:val="001D5EB2"/>
    <w:rsid w:val="001E18FB"/>
    <w:rsid w:val="001E1AFB"/>
    <w:rsid w:val="001E2A10"/>
    <w:rsid w:val="001E6247"/>
    <w:rsid w:val="001E6CF0"/>
    <w:rsid w:val="001F616A"/>
    <w:rsid w:val="001F7C27"/>
    <w:rsid w:val="002022BB"/>
    <w:rsid w:val="0020273B"/>
    <w:rsid w:val="002056D8"/>
    <w:rsid w:val="002069D0"/>
    <w:rsid w:val="00214E3D"/>
    <w:rsid w:val="00216A12"/>
    <w:rsid w:val="00216A46"/>
    <w:rsid w:val="00223844"/>
    <w:rsid w:val="00223919"/>
    <w:rsid w:val="002239E0"/>
    <w:rsid w:val="00223D82"/>
    <w:rsid w:val="002269A7"/>
    <w:rsid w:val="00232212"/>
    <w:rsid w:val="00235D1D"/>
    <w:rsid w:val="00235DBD"/>
    <w:rsid w:val="002369CB"/>
    <w:rsid w:val="00240FE3"/>
    <w:rsid w:val="00241320"/>
    <w:rsid w:val="002447CD"/>
    <w:rsid w:val="00244C5C"/>
    <w:rsid w:val="002458C0"/>
    <w:rsid w:val="00250BA8"/>
    <w:rsid w:val="0025227E"/>
    <w:rsid w:val="0025738C"/>
    <w:rsid w:val="002575ED"/>
    <w:rsid w:val="00262FBA"/>
    <w:rsid w:val="00265D02"/>
    <w:rsid w:val="00270828"/>
    <w:rsid w:val="002728C9"/>
    <w:rsid w:val="00273C9F"/>
    <w:rsid w:val="00277CD0"/>
    <w:rsid w:val="00280C86"/>
    <w:rsid w:val="00283E3D"/>
    <w:rsid w:val="00287173"/>
    <w:rsid w:val="0028730B"/>
    <w:rsid w:val="00290E69"/>
    <w:rsid w:val="002965BD"/>
    <w:rsid w:val="002A4D9F"/>
    <w:rsid w:val="002A5186"/>
    <w:rsid w:val="002B005A"/>
    <w:rsid w:val="002B2CFC"/>
    <w:rsid w:val="002B654A"/>
    <w:rsid w:val="002C0DE6"/>
    <w:rsid w:val="002C6CC7"/>
    <w:rsid w:val="002D0CCB"/>
    <w:rsid w:val="002D26EE"/>
    <w:rsid w:val="002D351B"/>
    <w:rsid w:val="002D4312"/>
    <w:rsid w:val="002D5DE9"/>
    <w:rsid w:val="002D5E5F"/>
    <w:rsid w:val="002D61EF"/>
    <w:rsid w:val="002D6E81"/>
    <w:rsid w:val="002E24C6"/>
    <w:rsid w:val="002E3506"/>
    <w:rsid w:val="002E4BEA"/>
    <w:rsid w:val="002E4DBA"/>
    <w:rsid w:val="002E53C8"/>
    <w:rsid w:val="002F0FC5"/>
    <w:rsid w:val="002F1107"/>
    <w:rsid w:val="002F34DD"/>
    <w:rsid w:val="002F5C53"/>
    <w:rsid w:val="002F5F0A"/>
    <w:rsid w:val="002F6F15"/>
    <w:rsid w:val="00300226"/>
    <w:rsid w:val="003009BB"/>
    <w:rsid w:val="00306E31"/>
    <w:rsid w:val="00311831"/>
    <w:rsid w:val="00321347"/>
    <w:rsid w:val="00322996"/>
    <w:rsid w:val="0033468E"/>
    <w:rsid w:val="0034036B"/>
    <w:rsid w:val="00342D71"/>
    <w:rsid w:val="003446F2"/>
    <w:rsid w:val="00347851"/>
    <w:rsid w:val="003516A5"/>
    <w:rsid w:val="0035499E"/>
    <w:rsid w:val="00357E19"/>
    <w:rsid w:val="00361013"/>
    <w:rsid w:val="003628AD"/>
    <w:rsid w:val="0036326C"/>
    <w:rsid w:val="003647A8"/>
    <w:rsid w:val="00365DF5"/>
    <w:rsid w:val="00366C55"/>
    <w:rsid w:val="00367CFE"/>
    <w:rsid w:val="00373DF7"/>
    <w:rsid w:val="00381AB5"/>
    <w:rsid w:val="00381C4C"/>
    <w:rsid w:val="00386B36"/>
    <w:rsid w:val="00387394"/>
    <w:rsid w:val="003A28FF"/>
    <w:rsid w:val="003A3A80"/>
    <w:rsid w:val="003A4074"/>
    <w:rsid w:val="003A48EF"/>
    <w:rsid w:val="003A53B3"/>
    <w:rsid w:val="003B17F6"/>
    <w:rsid w:val="003B1E6D"/>
    <w:rsid w:val="003B2CC2"/>
    <w:rsid w:val="003B66E3"/>
    <w:rsid w:val="003C487E"/>
    <w:rsid w:val="003D3011"/>
    <w:rsid w:val="003D34FB"/>
    <w:rsid w:val="003D42BA"/>
    <w:rsid w:val="003D4F6E"/>
    <w:rsid w:val="003E209F"/>
    <w:rsid w:val="003F1A79"/>
    <w:rsid w:val="003F7BE0"/>
    <w:rsid w:val="003F7F16"/>
    <w:rsid w:val="004014B5"/>
    <w:rsid w:val="004049E6"/>
    <w:rsid w:val="00407216"/>
    <w:rsid w:val="00407E0C"/>
    <w:rsid w:val="00411342"/>
    <w:rsid w:val="00411C55"/>
    <w:rsid w:val="00415285"/>
    <w:rsid w:val="004154B7"/>
    <w:rsid w:val="00416870"/>
    <w:rsid w:val="00423C58"/>
    <w:rsid w:val="00427BC9"/>
    <w:rsid w:val="00434578"/>
    <w:rsid w:val="004347CB"/>
    <w:rsid w:val="004352A9"/>
    <w:rsid w:val="00436CED"/>
    <w:rsid w:val="00441386"/>
    <w:rsid w:val="00442BCA"/>
    <w:rsid w:val="00443BC7"/>
    <w:rsid w:val="00446E55"/>
    <w:rsid w:val="00450A03"/>
    <w:rsid w:val="0045332E"/>
    <w:rsid w:val="0046132B"/>
    <w:rsid w:val="004622D4"/>
    <w:rsid w:val="004631BA"/>
    <w:rsid w:val="004647C6"/>
    <w:rsid w:val="00464A42"/>
    <w:rsid w:val="00466968"/>
    <w:rsid w:val="004705A0"/>
    <w:rsid w:val="0047077F"/>
    <w:rsid w:val="00471FC8"/>
    <w:rsid w:val="00476024"/>
    <w:rsid w:val="004844EC"/>
    <w:rsid w:val="004860B3"/>
    <w:rsid w:val="00492BF1"/>
    <w:rsid w:val="00494A98"/>
    <w:rsid w:val="00495A83"/>
    <w:rsid w:val="004A10A4"/>
    <w:rsid w:val="004A3926"/>
    <w:rsid w:val="004A43E8"/>
    <w:rsid w:val="004B4A42"/>
    <w:rsid w:val="004C0392"/>
    <w:rsid w:val="004C2246"/>
    <w:rsid w:val="004C2D1F"/>
    <w:rsid w:val="004C71E0"/>
    <w:rsid w:val="004D088F"/>
    <w:rsid w:val="004D6DE3"/>
    <w:rsid w:val="004E05FF"/>
    <w:rsid w:val="004E655B"/>
    <w:rsid w:val="004F1FD2"/>
    <w:rsid w:val="004F4F82"/>
    <w:rsid w:val="0050082B"/>
    <w:rsid w:val="00501044"/>
    <w:rsid w:val="00503FA9"/>
    <w:rsid w:val="00504A7F"/>
    <w:rsid w:val="0050563B"/>
    <w:rsid w:val="00506811"/>
    <w:rsid w:val="005110E4"/>
    <w:rsid w:val="00511D2E"/>
    <w:rsid w:val="00512384"/>
    <w:rsid w:val="0052038F"/>
    <w:rsid w:val="00525E05"/>
    <w:rsid w:val="00540900"/>
    <w:rsid w:val="005503E9"/>
    <w:rsid w:val="00555036"/>
    <w:rsid w:val="005572AF"/>
    <w:rsid w:val="00560429"/>
    <w:rsid w:val="00560599"/>
    <w:rsid w:val="005610EA"/>
    <w:rsid w:val="00561993"/>
    <w:rsid w:val="0056444B"/>
    <w:rsid w:val="00565BF0"/>
    <w:rsid w:val="005668A3"/>
    <w:rsid w:val="00567591"/>
    <w:rsid w:val="00571BE3"/>
    <w:rsid w:val="0057436F"/>
    <w:rsid w:val="00574A0A"/>
    <w:rsid w:val="00581661"/>
    <w:rsid w:val="005855F5"/>
    <w:rsid w:val="00590765"/>
    <w:rsid w:val="00591AA3"/>
    <w:rsid w:val="00592010"/>
    <w:rsid w:val="005920A3"/>
    <w:rsid w:val="0059452B"/>
    <w:rsid w:val="00596043"/>
    <w:rsid w:val="0059689D"/>
    <w:rsid w:val="00597E24"/>
    <w:rsid w:val="005A39BE"/>
    <w:rsid w:val="005A535F"/>
    <w:rsid w:val="005B219F"/>
    <w:rsid w:val="005B31D5"/>
    <w:rsid w:val="005C2FC6"/>
    <w:rsid w:val="005C6B74"/>
    <w:rsid w:val="005C78D4"/>
    <w:rsid w:val="005D455A"/>
    <w:rsid w:val="005D6455"/>
    <w:rsid w:val="005D74C8"/>
    <w:rsid w:val="005D76C3"/>
    <w:rsid w:val="005E4722"/>
    <w:rsid w:val="005E72DB"/>
    <w:rsid w:val="005E7F62"/>
    <w:rsid w:val="005F02BE"/>
    <w:rsid w:val="005F2B4A"/>
    <w:rsid w:val="005F3606"/>
    <w:rsid w:val="005F47F0"/>
    <w:rsid w:val="005F5E68"/>
    <w:rsid w:val="00604CFC"/>
    <w:rsid w:val="0060684D"/>
    <w:rsid w:val="006070B9"/>
    <w:rsid w:val="006109F5"/>
    <w:rsid w:val="006336B4"/>
    <w:rsid w:val="006343BE"/>
    <w:rsid w:val="00637AE4"/>
    <w:rsid w:val="00645D7E"/>
    <w:rsid w:val="00651B03"/>
    <w:rsid w:val="006548BC"/>
    <w:rsid w:val="00654E98"/>
    <w:rsid w:val="006552A0"/>
    <w:rsid w:val="00655331"/>
    <w:rsid w:val="00661FF6"/>
    <w:rsid w:val="00664231"/>
    <w:rsid w:val="00664A4E"/>
    <w:rsid w:val="00666748"/>
    <w:rsid w:val="00666A3D"/>
    <w:rsid w:val="00671046"/>
    <w:rsid w:val="006748AD"/>
    <w:rsid w:val="00675E06"/>
    <w:rsid w:val="00676035"/>
    <w:rsid w:val="00677AC9"/>
    <w:rsid w:val="00687610"/>
    <w:rsid w:val="00692599"/>
    <w:rsid w:val="00693375"/>
    <w:rsid w:val="006A0D7D"/>
    <w:rsid w:val="006A49A8"/>
    <w:rsid w:val="006A6070"/>
    <w:rsid w:val="006B3D59"/>
    <w:rsid w:val="006B534B"/>
    <w:rsid w:val="006C03F7"/>
    <w:rsid w:val="006C057F"/>
    <w:rsid w:val="006D0973"/>
    <w:rsid w:val="006D16B5"/>
    <w:rsid w:val="006D21A6"/>
    <w:rsid w:val="006D53F2"/>
    <w:rsid w:val="006D6A01"/>
    <w:rsid w:val="006E0CC4"/>
    <w:rsid w:val="006E1B3F"/>
    <w:rsid w:val="006E453E"/>
    <w:rsid w:val="006E4865"/>
    <w:rsid w:val="006F2130"/>
    <w:rsid w:val="006F3F59"/>
    <w:rsid w:val="00700692"/>
    <w:rsid w:val="00710B34"/>
    <w:rsid w:val="00712F30"/>
    <w:rsid w:val="00713154"/>
    <w:rsid w:val="00716AA1"/>
    <w:rsid w:val="00722117"/>
    <w:rsid w:val="0075049F"/>
    <w:rsid w:val="0075756D"/>
    <w:rsid w:val="00760367"/>
    <w:rsid w:val="00762A32"/>
    <w:rsid w:val="00764E33"/>
    <w:rsid w:val="007651FF"/>
    <w:rsid w:val="00770113"/>
    <w:rsid w:val="007730F4"/>
    <w:rsid w:val="007744DA"/>
    <w:rsid w:val="0077726B"/>
    <w:rsid w:val="00782DB1"/>
    <w:rsid w:val="00787F5C"/>
    <w:rsid w:val="00792C14"/>
    <w:rsid w:val="007A4B63"/>
    <w:rsid w:val="007A50E9"/>
    <w:rsid w:val="007A66E5"/>
    <w:rsid w:val="007B0CD5"/>
    <w:rsid w:val="007B41A2"/>
    <w:rsid w:val="007C671B"/>
    <w:rsid w:val="007C720D"/>
    <w:rsid w:val="007D31CA"/>
    <w:rsid w:val="007D3796"/>
    <w:rsid w:val="007D3869"/>
    <w:rsid w:val="007D388A"/>
    <w:rsid w:val="007D6C0C"/>
    <w:rsid w:val="007D6E25"/>
    <w:rsid w:val="007D7632"/>
    <w:rsid w:val="007D7E6B"/>
    <w:rsid w:val="007E2C53"/>
    <w:rsid w:val="007E39CF"/>
    <w:rsid w:val="007E3FB9"/>
    <w:rsid w:val="007E5F38"/>
    <w:rsid w:val="007F2942"/>
    <w:rsid w:val="007F69A2"/>
    <w:rsid w:val="007F7C77"/>
    <w:rsid w:val="007F7CF4"/>
    <w:rsid w:val="00800833"/>
    <w:rsid w:val="008018B9"/>
    <w:rsid w:val="00801A43"/>
    <w:rsid w:val="00802D1F"/>
    <w:rsid w:val="00802F67"/>
    <w:rsid w:val="0080362E"/>
    <w:rsid w:val="00803A36"/>
    <w:rsid w:val="00803CEC"/>
    <w:rsid w:val="00804765"/>
    <w:rsid w:val="008067A3"/>
    <w:rsid w:val="008075EF"/>
    <w:rsid w:val="0081115D"/>
    <w:rsid w:val="00813892"/>
    <w:rsid w:val="00814154"/>
    <w:rsid w:val="00814481"/>
    <w:rsid w:val="00816933"/>
    <w:rsid w:val="00821999"/>
    <w:rsid w:val="00822B36"/>
    <w:rsid w:val="00835C12"/>
    <w:rsid w:val="00840507"/>
    <w:rsid w:val="00841B63"/>
    <w:rsid w:val="00841C1C"/>
    <w:rsid w:val="008557D0"/>
    <w:rsid w:val="00860F63"/>
    <w:rsid w:val="008654F6"/>
    <w:rsid w:val="008656D2"/>
    <w:rsid w:val="00865838"/>
    <w:rsid w:val="00865E9A"/>
    <w:rsid w:val="008703C0"/>
    <w:rsid w:val="00872385"/>
    <w:rsid w:val="00873A60"/>
    <w:rsid w:val="0088443E"/>
    <w:rsid w:val="008866D8"/>
    <w:rsid w:val="00892085"/>
    <w:rsid w:val="00892F55"/>
    <w:rsid w:val="008966AA"/>
    <w:rsid w:val="00896D1F"/>
    <w:rsid w:val="008A0BD6"/>
    <w:rsid w:val="008A0F52"/>
    <w:rsid w:val="008A2594"/>
    <w:rsid w:val="008A48BC"/>
    <w:rsid w:val="008A6759"/>
    <w:rsid w:val="008A6A4E"/>
    <w:rsid w:val="008A7772"/>
    <w:rsid w:val="008B0800"/>
    <w:rsid w:val="008B14D9"/>
    <w:rsid w:val="008B2DD0"/>
    <w:rsid w:val="008B6FF8"/>
    <w:rsid w:val="008B7F98"/>
    <w:rsid w:val="008C08F4"/>
    <w:rsid w:val="008C0D60"/>
    <w:rsid w:val="008D20B3"/>
    <w:rsid w:val="008D30A8"/>
    <w:rsid w:val="008D4338"/>
    <w:rsid w:val="008D4B8C"/>
    <w:rsid w:val="008D55D4"/>
    <w:rsid w:val="008D58EA"/>
    <w:rsid w:val="008E006F"/>
    <w:rsid w:val="008F510A"/>
    <w:rsid w:val="0090263A"/>
    <w:rsid w:val="009034B2"/>
    <w:rsid w:val="00903F50"/>
    <w:rsid w:val="009063A8"/>
    <w:rsid w:val="00906EB9"/>
    <w:rsid w:val="009138B9"/>
    <w:rsid w:val="00915148"/>
    <w:rsid w:val="009169A4"/>
    <w:rsid w:val="009171C0"/>
    <w:rsid w:val="009206CE"/>
    <w:rsid w:val="00922CDE"/>
    <w:rsid w:val="0092580A"/>
    <w:rsid w:val="00927A91"/>
    <w:rsid w:val="00930872"/>
    <w:rsid w:val="00930A60"/>
    <w:rsid w:val="00932F89"/>
    <w:rsid w:val="00934206"/>
    <w:rsid w:val="009367D7"/>
    <w:rsid w:val="00937BD2"/>
    <w:rsid w:val="00943E09"/>
    <w:rsid w:val="00945AA2"/>
    <w:rsid w:val="00945E26"/>
    <w:rsid w:val="00951E38"/>
    <w:rsid w:val="009558C3"/>
    <w:rsid w:val="00957836"/>
    <w:rsid w:val="00964322"/>
    <w:rsid w:val="00965408"/>
    <w:rsid w:val="0096543E"/>
    <w:rsid w:val="00972482"/>
    <w:rsid w:val="00973664"/>
    <w:rsid w:val="00975EB3"/>
    <w:rsid w:val="00980BB9"/>
    <w:rsid w:val="0098640D"/>
    <w:rsid w:val="0098746F"/>
    <w:rsid w:val="0099157E"/>
    <w:rsid w:val="00993C8C"/>
    <w:rsid w:val="009A320E"/>
    <w:rsid w:val="009A4635"/>
    <w:rsid w:val="009A6508"/>
    <w:rsid w:val="009B24CF"/>
    <w:rsid w:val="009B31BD"/>
    <w:rsid w:val="009B4C4C"/>
    <w:rsid w:val="009B73DC"/>
    <w:rsid w:val="009B7703"/>
    <w:rsid w:val="009C167D"/>
    <w:rsid w:val="009C253F"/>
    <w:rsid w:val="009C3591"/>
    <w:rsid w:val="009C4F10"/>
    <w:rsid w:val="009C58B1"/>
    <w:rsid w:val="009C5B82"/>
    <w:rsid w:val="009D1721"/>
    <w:rsid w:val="009D21A9"/>
    <w:rsid w:val="009D5982"/>
    <w:rsid w:val="009D59B2"/>
    <w:rsid w:val="009E1BA9"/>
    <w:rsid w:val="009E249A"/>
    <w:rsid w:val="009E4063"/>
    <w:rsid w:val="009E5500"/>
    <w:rsid w:val="009E7917"/>
    <w:rsid w:val="009E7ABE"/>
    <w:rsid w:val="009F03C1"/>
    <w:rsid w:val="009F485A"/>
    <w:rsid w:val="009F4FAE"/>
    <w:rsid w:val="009F6122"/>
    <w:rsid w:val="009F649C"/>
    <w:rsid w:val="009F6862"/>
    <w:rsid w:val="009F736D"/>
    <w:rsid w:val="009F79B1"/>
    <w:rsid w:val="00A01AFF"/>
    <w:rsid w:val="00A104D2"/>
    <w:rsid w:val="00A13954"/>
    <w:rsid w:val="00A22E0F"/>
    <w:rsid w:val="00A26288"/>
    <w:rsid w:val="00A35265"/>
    <w:rsid w:val="00A35503"/>
    <w:rsid w:val="00A36F66"/>
    <w:rsid w:val="00A37A6F"/>
    <w:rsid w:val="00A44133"/>
    <w:rsid w:val="00A44D14"/>
    <w:rsid w:val="00A5091F"/>
    <w:rsid w:val="00A518F0"/>
    <w:rsid w:val="00A52706"/>
    <w:rsid w:val="00A53B88"/>
    <w:rsid w:val="00A73B29"/>
    <w:rsid w:val="00A77CAE"/>
    <w:rsid w:val="00A816FC"/>
    <w:rsid w:val="00A967FF"/>
    <w:rsid w:val="00AA1BFD"/>
    <w:rsid w:val="00AA32EC"/>
    <w:rsid w:val="00AA65AC"/>
    <w:rsid w:val="00AB2C88"/>
    <w:rsid w:val="00AB45E7"/>
    <w:rsid w:val="00AB71E3"/>
    <w:rsid w:val="00AC251A"/>
    <w:rsid w:val="00AC3587"/>
    <w:rsid w:val="00AC374A"/>
    <w:rsid w:val="00AC3F4A"/>
    <w:rsid w:val="00AD1439"/>
    <w:rsid w:val="00AE07EF"/>
    <w:rsid w:val="00AE2238"/>
    <w:rsid w:val="00AF0289"/>
    <w:rsid w:val="00AF0FC2"/>
    <w:rsid w:val="00AF1E7B"/>
    <w:rsid w:val="00AF522D"/>
    <w:rsid w:val="00B0196B"/>
    <w:rsid w:val="00B02BFE"/>
    <w:rsid w:val="00B04903"/>
    <w:rsid w:val="00B07AC9"/>
    <w:rsid w:val="00B10556"/>
    <w:rsid w:val="00B10890"/>
    <w:rsid w:val="00B21506"/>
    <w:rsid w:val="00B2313D"/>
    <w:rsid w:val="00B23FF6"/>
    <w:rsid w:val="00B24C5A"/>
    <w:rsid w:val="00B24CE8"/>
    <w:rsid w:val="00B4108B"/>
    <w:rsid w:val="00B47C2B"/>
    <w:rsid w:val="00B5393A"/>
    <w:rsid w:val="00B56569"/>
    <w:rsid w:val="00B565A6"/>
    <w:rsid w:val="00B659ED"/>
    <w:rsid w:val="00B668F2"/>
    <w:rsid w:val="00B70060"/>
    <w:rsid w:val="00B702E5"/>
    <w:rsid w:val="00B725BB"/>
    <w:rsid w:val="00B80921"/>
    <w:rsid w:val="00B8296C"/>
    <w:rsid w:val="00B8489C"/>
    <w:rsid w:val="00B8594E"/>
    <w:rsid w:val="00B97386"/>
    <w:rsid w:val="00BA0D60"/>
    <w:rsid w:val="00BA1946"/>
    <w:rsid w:val="00BA35F4"/>
    <w:rsid w:val="00BB4F75"/>
    <w:rsid w:val="00BB4F7D"/>
    <w:rsid w:val="00BC3028"/>
    <w:rsid w:val="00BC6CE0"/>
    <w:rsid w:val="00BC7EB1"/>
    <w:rsid w:val="00BE1443"/>
    <w:rsid w:val="00BE71AB"/>
    <w:rsid w:val="00BF0A42"/>
    <w:rsid w:val="00BF7E2A"/>
    <w:rsid w:val="00C023F5"/>
    <w:rsid w:val="00C05A0D"/>
    <w:rsid w:val="00C0602C"/>
    <w:rsid w:val="00C07B25"/>
    <w:rsid w:val="00C1040B"/>
    <w:rsid w:val="00C11E83"/>
    <w:rsid w:val="00C14415"/>
    <w:rsid w:val="00C23F2A"/>
    <w:rsid w:val="00C2494A"/>
    <w:rsid w:val="00C26BAB"/>
    <w:rsid w:val="00C3046B"/>
    <w:rsid w:val="00C31E08"/>
    <w:rsid w:val="00C331BD"/>
    <w:rsid w:val="00C438D9"/>
    <w:rsid w:val="00C468A2"/>
    <w:rsid w:val="00C46EB9"/>
    <w:rsid w:val="00C4776C"/>
    <w:rsid w:val="00C50FBA"/>
    <w:rsid w:val="00C52A0A"/>
    <w:rsid w:val="00C54B38"/>
    <w:rsid w:val="00C5684C"/>
    <w:rsid w:val="00C6230E"/>
    <w:rsid w:val="00C6499D"/>
    <w:rsid w:val="00C654F7"/>
    <w:rsid w:val="00C72980"/>
    <w:rsid w:val="00C729A9"/>
    <w:rsid w:val="00C73212"/>
    <w:rsid w:val="00C757CA"/>
    <w:rsid w:val="00C768B2"/>
    <w:rsid w:val="00C8215C"/>
    <w:rsid w:val="00C83522"/>
    <w:rsid w:val="00C83C19"/>
    <w:rsid w:val="00C872F9"/>
    <w:rsid w:val="00C91AD5"/>
    <w:rsid w:val="00C940FE"/>
    <w:rsid w:val="00C94272"/>
    <w:rsid w:val="00CA2AF4"/>
    <w:rsid w:val="00CB382C"/>
    <w:rsid w:val="00CB3B0A"/>
    <w:rsid w:val="00CB46DB"/>
    <w:rsid w:val="00CB5537"/>
    <w:rsid w:val="00CB60D1"/>
    <w:rsid w:val="00CC6287"/>
    <w:rsid w:val="00CC7A7B"/>
    <w:rsid w:val="00CD2871"/>
    <w:rsid w:val="00CD2E33"/>
    <w:rsid w:val="00CD3176"/>
    <w:rsid w:val="00CD328E"/>
    <w:rsid w:val="00CD377A"/>
    <w:rsid w:val="00CE02EA"/>
    <w:rsid w:val="00CE3357"/>
    <w:rsid w:val="00CE54BD"/>
    <w:rsid w:val="00CE780F"/>
    <w:rsid w:val="00CF35F6"/>
    <w:rsid w:val="00D044F4"/>
    <w:rsid w:val="00D05097"/>
    <w:rsid w:val="00D05E19"/>
    <w:rsid w:val="00D107B4"/>
    <w:rsid w:val="00D117F5"/>
    <w:rsid w:val="00D12835"/>
    <w:rsid w:val="00D13A73"/>
    <w:rsid w:val="00D14EEA"/>
    <w:rsid w:val="00D20C59"/>
    <w:rsid w:val="00D30AEC"/>
    <w:rsid w:val="00D34F5A"/>
    <w:rsid w:val="00D35FC4"/>
    <w:rsid w:val="00D3641E"/>
    <w:rsid w:val="00D4179E"/>
    <w:rsid w:val="00D42006"/>
    <w:rsid w:val="00D43DFB"/>
    <w:rsid w:val="00D52693"/>
    <w:rsid w:val="00D57DD7"/>
    <w:rsid w:val="00D6283A"/>
    <w:rsid w:val="00D65DC3"/>
    <w:rsid w:val="00D672A3"/>
    <w:rsid w:val="00D82A18"/>
    <w:rsid w:val="00D8345B"/>
    <w:rsid w:val="00D87DF8"/>
    <w:rsid w:val="00D90EE5"/>
    <w:rsid w:val="00D90FC8"/>
    <w:rsid w:val="00D91C79"/>
    <w:rsid w:val="00D97786"/>
    <w:rsid w:val="00DA21D5"/>
    <w:rsid w:val="00DA55E7"/>
    <w:rsid w:val="00DB0A99"/>
    <w:rsid w:val="00DB7024"/>
    <w:rsid w:val="00DB7D54"/>
    <w:rsid w:val="00DC101B"/>
    <w:rsid w:val="00DC38EF"/>
    <w:rsid w:val="00DC5AC8"/>
    <w:rsid w:val="00DD36F6"/>
    <w:rsid w:val="00DD3A50"/>
    <w:rsid w:val="00DE0FA6"/>
    <w:rsid w:val="00DE1B4C"/>
    <w:rsid w:val="00DE491F"/>
    <w:rsid w:val="00DF080E"/>
    <w:rsid w:val="00DF29E9"/>
    <w:rsid w:val="00DF2BF3"/>
    <w:rsid w:val="00DF5708"/>
    <w:rsid w:val="00E00413"/>
    <w:rsid w:val="00E00CBA"/>
    <w:rsid w:val="00E02E42"/>
    <w:rsid w:val="00E03FCF"/>
    <w:rsid w:val="00E05265"/>
    <w:rsid w:val="00E05E33"/>
    <w:rsid w:val="00E071B7"/>
    <w:rsid w:val="00E07A3D"/>
    <w:rsid w:val="00E07F19"/>
    <w:rsid w:val="00E111AE"/>
    <w:rsid w:val="00E1190F"/>
    <w:rsid w:val="00E11D7E"/>
    <w:rsid w:val="00E14003"/>
    <w:rsid w:val="00E148AE"/>
    <w:rsid w:val="00E15251"/>
    <w:rsid w:val="00E1595B"/>
    <w:rsid w:val="00E17356"/>
    <w:rsid w:val="00E173C3"/>
    <w:rsid w:val="00E2326D"/>
    <w:rsid w:val="00E3110F"/>
    <w:rsid w:val="00E31382"/>
    <w:rsid w:val="00E31BA7"/>
    <w:rsid w:val="00E351E7"/>
    <w:rsid w:val="00E37485"/>
    <w:rsid w:val="00E37AA8"/>
    <w:rsid w:val="00E40FEE"/>
    <w:rsid w:val="00E42976"/>
    <w:rsid w:val="00E4789B"/>
    <w:rsid w:val="00E47AC8"/>
    <w:rsid w:val="00E51603"/>
    <w:rsid w:val="00E51D01"/>
    <w:rsid w:val="00E56811"/>
    <w:rsid w:val="00E63131"/>
    <w:rsid w:val="00E648B9"/>
    <w:rsid w:val="00E65795"/>
    <w:rsid w:val="00E66A5D"/>
    <w:rsid w:val="00E66E42"/>
    <w:rsid w:val="00E6711D"/>
    <w:rsid w:val="00E70676"/>
    <w:rsid w:val="00E74D49"/>
    <w:rsid w:val="00E7544A"/>
    <w:rsid w:val="00E80BA1"/>
    <w:rsid w:val="00E82A09"/>
    <w:rsid w:val="00E8568A"/>
    <w:rsid w:val="00E85A70"/>
    <w:rsid w:val="00E87023"/>
    <w:rsid w:val="00E87D34"/>
    <w:rsid w:val="00E91E21"/>
    <w:rsid w:val="00E9394E"/>
    <w:rsid w:val="00E94494"/>
    <w:rsid w:val="00E97967"/>
    <w:rsid w:val="00EA6BEE"/>
    <w:rsid w:val="00EA6FCA"/>
    <w:rsid w:val="00EA7665"/>
    <w:rsid w:val="00EB186C"/>
    <w:rsid w:val="00EB514A"/>
    <w:rsid w:val="00EB5798"/>
    <w:rsid w:val="00EB6B38"/>
    <w:rsid w:val="00EC1D44"/>
    <w:rsid w:val="00EC43F0"/>
    <w:rsid w:val="00EC7BFE"/>
    <w:rsid w:val="00ED3D68"/>
    <w:rsid w:val="00ED7B1B"/>
    <w:rsid w:val="00EE0D5D"/>
    <w:rsid w:val="00EE335F"/>
    <w:rsid w:val="00EE48DB"/>
    <w:rsid w:val="00EE4A01"/>
    <w:rsid w:val="00EE53F1"/>
    <w:rsid w:val="00EE6626"/>
    <w:rsid w:val="00EE791F"/>
    <w:rsid w:val="00EF25DE"/>
    <w:rsid w:val="00EF2B1D"/>
    <w:rsid w:val="00EF2DF0"/>
    <w:rsid w:val="00EF4BDF"/>
    <w:rsid w:val="00EF4CF6"/>
    <w:rsid w:val="00EF7B4B"/>
    <w:rsid w:val="00F1308F"/>
    <w:rsid w:val="00F14870"/>
    <w:rsid w:val="00F20902"/>
    <w:rsid w:val="00F21BD3"/>
    <w:rsid w:val="00F220B8"/>
    <w:rsid w:val="00F2395B"/>
    <w:rsid w:val="00F23CFC"/>
    <w:rsid w:val="00F2765C"/>
    <w:rsid w:val="00F27B15"/>
    <w:rsid w:val="00F34A92"/>
    <w:rsid w:val="00F45416"/>
    <w:rsid w:val="00F4786F"/>
    <w:rsid w:val="00F47A39"/>
    <w:rsid w:val="00F5401C"/>
    <w:rsid w:val="00F5706A"/>
    <w:rsid w:val="00F603C1"/>
    <w:rsid w:val="00F6179E"/>
    <w:rsid w:val="00F625A7"/>
    <w:rsid w:val="00F63701"/>
    <w:rsid w:val="00F64629"/>
    <w:rsid w:val="00F6496E"/>
    <w:rsid w:val="00F65E37"/>
    <w:rsid w:val="00F667AE"/>
    <w:rsid w:val="00F67D0F"/>
    <w:rsid w:val="00F71155"/>
    <w:rsid w:val="00F73D69"/>
    <w:rsid w:val="00F80F03"/>
    <w:rsid w:val="00F8127E"/>
    <w:rsid w:val="00F81DA5"/>
    <w:rsid w:val="00F8297C"/>
    <w:rsid w:val="00F833D4"/>
    <w:rsid w:val="00F86C14"/>
    <w:rsid w:val="00F91948"/>
    <w:rsid w:val="00F921C2"/>
    <w:rsid w:val="00F963C0"/>
    <w:rsid w:val="00F97FA2"/>
    <w:rsid w:val="00FA37CF"/>
    <w:rsid w:val="00FA58B4"/>
    <w:rsid w:val="00FA5B3B"/>
    <w:rsid w:val="00FA5B66"/>
    <w:rsid w:val="00FA5E7B"/>
    <w:rsid w:val="00FA6C47"/>
    <w:rsid w:val="00FB00EA"/>
    <w:rsid w:val="00FB047C"/>
    <w:rsid w:val="00FC01B2"/>
    <w:rsid w:val="00FC6092"/>
    <w:rsid w:val="00FC7681"/>
    <w:rsid w:val="00FC78EA"/>
    <w:rsid w:val="00FD14EC"/>
    <w:rsid w:val="00FD79C9"/>
    <w:rsid w:val="00FD7C58"/>
    <w:rsid w:val="00FE0604"/>
    <w:rsid w:val="00FE065E"/>
    <w:rsid w:val="00FE44DB"/>
    <w:rsid w:val="00FF2398"/>
    <w:rsid w:val="00FF2F0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F412A"/>
  <w15:docId w15:val="{8B92C6E0-94E9-437B-B738-DA90ED1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B88"/>
    <w:pPr>
      <w:spacing w:after="60"/>
      <w:jc w:val="both"/>
    </w:pPr>
    <w:rPr>
      <w:sz w:val="24"/>
      <w:szCs w:val="24"/>
      <w:lang w:val="sk-SK" w:eastAsia="fr-FR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E4789B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  <w:lang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99"/>
    <w:qFormat/>
    <w:rsid w:val="00E4789B"/>
    <w:pPr>
      <w:keepNext/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53B8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fr-FR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3B88"/>
    <w:pPr>
      <w:keepNext/>
      <w:keepLines/>
      <w:spacing w:before="200"/>
      <w:outlineLvl w:val="4"/>
    </w:pPr>
    <w:rPr>
      <w:rFonts w:ascii="Cambria" w:hAnsi="Cambria"/>
      <w:color w:val="243F60"/>
      <w:lang w:val="fr-FR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53B8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53B8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4789B"/>
    <w:rPr>
      <w:b/>
      <w:caps/>
      <w:kern w:val="32"/>
      <w:sz w:val="32"/>
      <w:lang w:val="cs-CZ"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99"/>
    <w:locked/>
    <w:rsid w:val="00E4789B"/>
    <w:rPr>
      <w:b/>
      <w:caps/>
      <w:sz w:val="24"/>
      <w:lang w:val="cs-CZ" w:eastAsia="de-DE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53B88"/>
    <w:rPr>
      <w:rFonts w:ascii="Cambria" w:hAnsi="Cambria"/>
      <w:b/>
      <w:i/>
      <w:color w:val="4F81BD"/>
      <w:sz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53B88"/>
    <w:rPr>
      <w:rFonts w:ascii="Cambria" w:hAnsi="Cambria"/>
      <w:color w:val="243F60"/>
      <w:sz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A53B88"/>
    <w:rPr>
      <w:rFonts w:ascii="Cambria" w:hAnsi="Cambria"/>
      <w:color w:val="404040"/>
      <w:sz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A53B88"/>
    <w:rPr>
      <w:rFonts w:ascii="Cambria" w:hAnsi="Cambria"/>
      <w:i/>
      <w:color w:val="404040"/>
      <w:sz w:val="20"/>
      <w:lang w:val="fr-FR" w:eastAsia="fr-FR"/>
    </w:rPr>
  </w:style>
  <w:style w:type="paragraph" w:styleId="Normlnywebov">
    <w:name w:val="Normal (Web)"/>
    <w:basedOn w:val="Normlny"/>
    <w:uiPriority w:val="99"/>
    <w:semiHidden/>
    <w:rsid w:val="00F1308F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rsid w:val="00F1308F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rsid w:val="00AA1B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ta">
    <w:name w:val="footer"/>
    <w:basedOn w:val="Normlny"/>
    <w:link w:val="PtaChar"/>
    <w:uiPriority w:val="99"/>
    <w:rsid w:val="005B219F"/>
    <w:pPr>
      <w:tabs>
        <w:tab w:val="center" w:pos="4703"/>
        <w:tab w:val="right" w:pos="9406"/>
      </w:tabs>
    </w:pPr>
    <w:rPr>
      <w:sz w:val="22"/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5B219F"/>
    <w:rPr>
      <w:sz w:val="22"/>
    </w:rPr>
  </w:style>
  <w:style w:type="paragraph" w:customStyle="1" w:styleId="Default">
    <w:name w:val="Default"/>
    <w:rsid w:val="007D31CA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val="de-CH" w:eastAsia="de-CH"/>
    </w:rPr>
  </w:style>
  <w:style w:type="paragraph" w:styleId="Textbubliny">
    <w:name w:val="Balloon Text"/>
    <w:basedOn w:val="Normlny"/>
    <w:link w:val="TextbublinyChar"/>
    <w:uiPriority w:val="99"/>
    <w:semiHidden/>
    <w:rsid w:val="006C03F7"/>
    <w:pPr>
      <w:spacing w:after="0"/>
    </w:pPr>
    <w:rPr>
      <w:rFonts w:ascii="Tahoma" w:hAnsi="Tahoma"/>
      <w:sz w:val="16"/>
      <w:szCs w:val="16"/>
      <w:lang w:val="en-US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C03F7"/>
    <w:rPr>
      <w:rFonts w:ascii="Tahoma" w:hAnsi="Tahoma"/>
      <w:sz w:val="16"/>
    </w:rPr>
  </w:style>
  <w:style w:type="paragraph" w:styleId="Hlavika">
    <w:name w:val="header"/>
    <w:basedOn w:val="Normlny"/>
    <w:link w:val="HlavikaChar"/>
    <w:uiPriority w:val="99"/>
    <w:rsid w:val="004F1FD2"/>
    <w:pPr>
      <w:tabs>
        <w:tab w:val="center" w:pos="4703"/>
        <w:tab w:val="right" w:pos="9406"/>
      </w:tabs>
    </w:pPr>
    <w:rPr>
      <w:sz w:val="22"/>
      <w:szCs w:val="22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1FD2"/>
    <w:rPr>
      <w:sz w:val="22"/>
    </w:rPr>
  </w:style>
  <w:style w:type="paragraph" w:customStyle="1" w:styleId="2LAB">
    <w:name w:val="2 LAB"/>
    <w:basedOn w:val="Nadpis2"/>
    <w:link w:val="2LABChar"/>
    <w:autoRedefine/>
    <w:uiPriority w:val="99"/>
    <w:rsid w:val="00A53B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 w:firstLine="0"/>
    </w:pPr>
    <w:rPr>
      <w:rFonts w:cs="Times New Roman"/>
      <w:b w:val="0"/>
      <w:bCs w:val="0"/>
      <w:caps w:val="0"/>
      <w:sz w:val="22"/>
      <w:szCs w:val="22"/>
      <w:lang w:eastAsia="cs-CZ"/>
    </w:rPr>
  </w:style>
  <w:style w:type="character" w:customStyle="1" w:styleId="2LABChar">
    <w:name w:val="2 LAB Char"/>
    <w:link w:val="2LAB"/>
    <w:uiPriority w:val="99"/>
    <w:locked/>
    <w:rsid w:val="00A53B88"/>
  </w:style>
  <w:style w:type="paragraph" w:customStyle="1" w:styleId="2PIL">
    <w:name w:val="2 PIL"/>
    <w:basedOn w:val="Nadpis2"/>
    <w:link w:val="2PILChar"/>
    <w:autoRedefine/>
    <w:uiPriority w:val="99"/>
    <w:rsid w:val="00A53B88"/>
    <w:pPr>
      <w:keepNext w:val="0"/>
      <w:numPr>
        <w:numId w:val="30"/>
      </w:numPr>
    </w:pPr>
    <w:rPr>
      <w:rFonts w:cs="Times New Roman"/>
      <w:caps w:val="0"/>
      <w:lang w:val="en-US"/>
    </w:rPr>
  </w:style>
  <w:style w:type="character" w:customStyle="1" w:styleId="2PILChar">
    <w:name w:val="2 PIL Char"/>
    <w:link w:val="2PIL"/>
    <w:uiPriority w:val="99"/>
    <w:locked/>
    <w:rsid w:val="00A53B88"/>
    <w:rPr>
      <w:b/>
      <w:sz w:val="24"/>
      <w:lang w:eastAsia="de-DE"/>
    </w:rPr>
  </w:style>
  <w:style w:type="character" w:styleId="Odkaznakomentr">
    <w:name w:val="annotation reference"/>
    <w:basedOn w:val="Predvolenpsmoodseku"/>
    <w:uiPriority w:val="99"/>
    <w:semiHidden/>
    <w:rsid w:val="0098746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8746F"/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8746F"/>
    <w:rPr>
      <w:sz w:val="20"/>
      <w:lang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7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746F"/>
    <w:rPr>
      <w:b/>
      <w:sz w:val="20"/>
      <w:lang w:eastAsia="fr-FR"/>
    </w:rPr>
  </w:style>
  <w:style w:type="paragraph" w:styleId="Revzia">
    <w:name w:val="Revision"/>
    <w:hidden/>
    <w:uiPriority w:val="99"/>
    <w:semiHidden/>
    <w:rsid w:val="00802D1F"/>
    <w:rPr>
      <w:sz w:val="24"/>
      <w:szCs w:val="24"/>
      <w:lang w:val="cs-CZ" w:eastAsia="fr-FR"/>
    </w:rPr>
  </w:style>
  <w:style w:type="paragraph" w:styleId="Odsekzoznamu">
    <w:name w:val="List Paragraph"/>
    <w:basedOn w:val="Normlny"/>
    <w:uiPriority w:val="99"/>
    <w:qFormat/>
    <w:rsid w:val="00802D1F"/>
    <w:pPr>
      <w:ind w:left="720"/>
      <w:contextualSpacing/>
    </w:pPr>
  </w:style>
  <w:style w:type="paragraph" w:customStyle="1" w:styleId="EMA2SPC">
    <w:name w:val="EMA 2 SPC"/>
    <w:basedOn w:val="Normlny"/>
    <w:uiPriority w:val="99"/>
    <w:rsid w:val="00E173C3"/>
    <w:pPr>
      <w:spacing w:after="0"/>
      <w:jc w:val="left"/>
    </w:pPr>
    <w:rPr>
      <w:b/>
      <w:caps/>
      <w:sz w:val="22"/>
      <w:szCs w:val="22"/>
      <w:lang w:val="en-GB"/>
    </w:rPr>
  </w:style>
  <w:style w:type="paragraph" w:customStyle="1" w:styleId="EMA1">
    <w:name w:val="EMA 1"/>
    <w:basedOn w:val="Normlny"/>
    <w:uiPriority w:val="99"/>
    <w:rsid w:val="00CF35F6"/>
    <w:pPr>
      <w:jc w:val="center"/>
      <w:outlineLvl w:val="0"/>
    </w:pPr>
    <w:rPr>
      <w:b/>
      <w:noProof/>
      <w:sz w:val="22"/>
      <w:szCs w:val="22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5E33"/>
    <w:rPr>
      <w:color w:val="800080" w:themeColor="followedHyperlink"/>
      <w:u w:val="single"/>
    </w:rPr>
  </w:style>
  <w:style w:type="character" w:styleId="Siln">
    <w:name w:val="Strong"/>
    <w:basedOn w:val="Predvolenpsmoodseku"/>
    <w:qFormat/>
    <w:locked/>
    <w:rsid w:val="00AF5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D6C40A.F23A91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D944-24EC-4DF4-8A5E-AED10DEA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7766</Words>
  <Characters>44268</Characters>
  <Application>Microsoft Office Word</Application>
  <DocSecurity>0</DocSecurity>
  <Lines>368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Ambrisentan Zentiva D120 LoQ Product Information Final</vt:lpstr>
      <vt:lpstr>Ambrisentan Zentiva D120 LoQ Product Information Final</vt:lpstr>
    </vt:vector>
  </TitlesOfParts>
  <Company>Zentiva a.s.</Company>
  <LinksUpToDate>false</LinksUpToDate>
  <CharactersWithSpaces>51931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Ambrisentan Zentiva D120 LoQ Product Information Final</dc:title>
  <dc:creator>00067873</dc:creator>
  <cp:lastModifiedBy>Petriková, Miroslava</cp:lastModifiedBy>
  <cp:revision>3</cp:revision>
  <cp:lastPrinted>2015-11-09T13:20:00Z</cp:lastPrinted>
  <dcterms:created xsi:type="dcterms:W3CDTF">2020-12-01T10:10:00Z</dcterms:created>
  <dcterms:modified xsi:type="dcterms:W3CDTF">2020-12-01T13:11:00Z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Product Information</vt:lpwstr>
  </property>
  <property fmtid="{D5CDD505-2E9C-101B-9397-08002B2CF9AE}" pid="4" name="DM_Creation_Date">
    <vt:lpwstr>20/09/2018 12:13:32</vt:lpwstr>
  </property>
  <property fmtid="{D5CDD505-2E9C-101B-9397-08002B2CF9AE}" pid="5" name="DM_Creator_Name">
    <vt:lpwstr>Kouroumalis Andreas</vt:lpwstr>
  </property>
  <property fmtid="{D5CDD505-2E9C-101B-9397-08002B2CF9AE}" pid="6" name="DM_DocRefId">
    <vt:lpwstr>EMA/631244/2018</vt:lpwstr>
  </property>
  <property fmtid="{D5CDD505-2E9C-101B-9397-08002B2CF9AE}" pid="7" name="DM_emea_doc_ref_id">
    <vt:lpwstr>EMA/631244/2018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Nolte Sonja</vt:lpwstr>
  </property>
  <property fmtid="{D5CDD505-2E9C-101B-9397-08002B2CF9AE}" pid="11" name="DM_Modified_Date">
    <vt:lpwstr>21/09/2018 13:48:40</vt:lpwstr>
  </property>
  <property fmtid="{D5CDD505-2E9C-101B-9397-08002B2CF9AE}" pid="12" name="DM_Modifier_Name">
    <vt:lpwstr>Nolte Sonja</vt:lpwstr>
  </property>
  <property fmtid="{D5CDD505-2E9C-101B-9397-08002B2CF9AE}" pid="13" name="DM_Modify_Date">
    <vt:lpwstr>21/09/2018 13:48:40</vt:lpwstr>
  </property>
  <property fmtid="{D5CDD505-2E9C-101B-9397-08002B2CF9AE}" pid="14" name="DM_Name">
    <vt:lpwstr>Ambrisentan Zentiva D120 LoQ Product Information Final</vt:lpwstr>
  </property>
  <property fmtid="{D5CDD505-2E9C-101B-9397-08002B2CF9AE}" pid="15" name="DM_Path">
    <vt:lpwstr>/01. Evaluation of Medicines/H-C/A-C/Ambrisentan Zentiva - 004955/03 Evaluation/Day 0 - 120/04 D120 AR 13.9.18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_NewReviewCycle">
    <vt:lpwstr/>
  </property>
</Properties>
</file>