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C36B5" w14:textId="77777777" w:rsidR="001D29E6" w:rsidRPr="006512B1" w:rsidRDefault="001D29E6" w:rsidP="00CF7106">
      <w:pPr>
        <w:widowControl w:val="0"/>
        <w:rPr>
          <w:bCs/>
          <w:iCs/>
          <w:noProof/>
          <w:sz w:val="22"/>
          <w:szCs w:val="22"/>
        </w:rPr>
      </w:pPr>
    </w:p>
    <w:p w14:paraId="5A6B9605" w14:textId="77777777" w:rsidR="001D29E6" w:rsidRPr="006512B1" w:rsidRDefault="001D29E6" w:rsidP="00FF66FC">
      <w:pPr>
        <w:widowControl w:val="0"/>
        <w:spacing w:line="240" w:lineRule="auto"/>
        <w:jc w:val="center"/>
        <w:rPr>
          <w:bCs/>
          <w:iCs/>
          <w:noProof/>
          <w:sz w:val="22"/>
          <w:szCs w:val="22"/>
        </w:rPr>
      </w:pPr>
      <w:r w:rsidRPr="006512B1">
        <w:rPr>
          <w:b/>
          <w:sz w:val="22"/>
          <w:szCs w:val="22"/>
        </w:rPr>
        <w:t>SÚHRN CHARAKTERISTICKÝCH VLASTNOSTÍ LIEKU</w:t>
      </w:r>
    </w:p>
    <w:p w14:paraId="6C67169B" w14:textId="77777777" w:rsidR="003D04F5" w:rsidRPr="006512B1" w:rsidRDefault="003D04F5" w:rsidP="00FF66FC">
      <w:pPr>
        <w:widowControl w:val="0"/>
        <w:spacing w:line="240" w:lineRule="auto"/>
        <w:rPr>
          <w:sz w:val="22"/>
          <w:szCs w:val="22"/>
        </w:rPr>
      </w:pPr>
    </w:p>
    <w:p w14:paraId="49DB1B83" w14:textId="77777777" w:rsidR="003D04F5" w:rsidRPr="006512B1" w:rsidRDefault="003D04F5" w:rsidP="00FF66FC">
      <w:pPr>
        <w:widowControl w:val="0"/>
        <w:spacing w:line="240" w:lineRule="auto"/>
        <w:rPr>
          <w:sz w:val="22"/>
          <w:szCs w:val="22"/>
        </w:rPr>
      </w:pPr>
    </w:p>
    <w:p w14:paraId="75BB5D4F" w14:textId="77777777"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1.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NÁZOV LIEKU</w:t>
      </w:r>
    </w:p>
    <w:p w14:paraId="2FF78F0B" w14:textId="77777777" w:rsidR="001D29E6" w:rsidRPr="006512B1" w:rsidRDefault="001D29E6" w:rsidP="00FF66FC">
      <w:pPr>
        <w:spacing w:line="240" w:lineRule="auto"/>
        <w:rPr>
          <w:iCs/>
          <w:sz w:val="22"/>
          <w:szCs w:val="22"/>
        </w:rPr>
      </w:pPr>
    </w:p>
    <w:p w14:paraId="47376FD6" w14:textId="79973A86" w:rsidR="007C3ADE" w:rsidRPr="006512B1" w:rsidRDefault="003D04F5" w:rsidP="0071125C">
      <w:pPr>
        <w:spacing w:line="240" w:lineRule="auto"/>
        <w:rPr>
          <w:noProof/>
          <w:sz w:val="22"/>
          <w:szCs w:val="22"/>
        </w:rPr>
      </w:pPr>
      <w:r w:rsidRPr="00393FDA">
        <w:rPr>
          <w:caps/>
          <w:sz w:val="22"/>
          <w:szCs w:val="22"/>
        </w:rPr>
        <w:t xml:space="preserve">TAPTIQOM </w:t>
      </w:r>
      <w:r w:rsidR="005C6F98" w:rsidRPr="006512B1">
        <w:rPr>
          <w:sz w:val="22"/>
          <w:szCs w:val="22"/>
        </w:rPr>
        <w:t xml:space="preserve">15 mikrogramov/ml + 5 mg/ml </w:t>
      </w:r>
      <w:r w:rsidR="00436266" w:rsidRPr="00B92171">
        <w:rPr>
          <w:sz w:val="22"/>
          <w:szCs w:val="22"/>
        </w:rPr>
        <w:t>očné roztokové kvapky</w:t>
      </w:r>
    </w:p>
    <w:p w14:paraId="34CA5297" w14:textId="77777777" w:rsidR="001D29E6" w:rsidRPr="006512B1" w:rsidRDefault="001D29E6" w:rsidP="00FF66FC">
      <w:pPr>
        <w:tabs>
          <w:tab w:val="clear" w:pos="567"/>
          <w:tab w:val="left" w:pos="1185"/>
        </w:tabs>
        <w:spacing w:line="240" w:lineRule="auto"/>
        <w:rPr>
          <w:sz w:val="22"/>
          <w:szCs w:val="22"/>
        </w:rPr>
      </w:pPr>
    </w:p>
    <w:p w14:paraId="50CF2945" w14:textId="77777777"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</w:p>
    <w:p w14:paraId="366F21AC" w14:textId="77777777"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6512B1">
        <w:rPr>
          <w:b/>
          <w:sz w:val="22"/>
          <w:szCs w:val="22"/>
        </w:rPr>
        <w:t>2.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KVALITATÍVNE A KVANTITATÍVNE ZLOŽENIE</w:t>
      </w:r>
    </w:p>
    <w:p w14:paraId="606B82A6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177FF8DE" w14:textId="77777777" w:rsidR="007C3ADE" w:rsidRPr="006512B1" w:rsidRDefault="007C3ADE" w:rsidP="0071125C">
      <w:pPr>
        <w:widowControl w:val="0"/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Jeden ml roztoku obsahuje 15 mikrogramov </w:t>
      </w:r>
      <w:r w:rsidR="00803BF2" w:rsidRPr="00803BF2">
        <w:rPr>
          <w:sz w:val="22"/>
          <w:szCs w:val="22"/>
        </w:rPr>
        <w:t>tafluprost</w:t>
      </w:r>
      <w:r w:rsidR="00803BF2">
        <w:rPr>
          <w:sz w:val="22"/>
          <w:szCs w:val="22"/>
        </w:rPr>
        <w:t>u</w:t>
      </w:r>
      <w:r w:rsidR="00F73B92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a </w:t>
      </w:r>
      <w:r w:rsidR="00803BF2" w:rsidRPr="00803BF2">
        <w:rPr>
          <w:sz w:val="22"/>
          <w:szCs w:val="22"/>
        </w:rPr>
        <w:t xml:space="preserve">5 mg </w:t>
      </w:r>
      <w:r w:rsidRPr="006512B1">
        <w:rPr>
          <w:sz w:val="22"/>
          <w:szCs w:val="22"/>
        </w:rPr>
        <w:t>timolol</w:t>
      </w:r>
      <w:r w:rsidR="00803BF2">
        <w:rPr>
          <w:sz w:val="22"/>
          <w:szCs w:val="22"/>
        </w:rPr>
        <w:t>u</w:t>
      </w:r>
      <w:r w:rsidR="00F73B92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(ako </w:t>
      </w:r>
      <w:r w:rsidR="00793138" w:rsidRPr="00EC2CEC">
        <w:rPr>
          <w:sz w:val="22"/>
          <w:szCs w:val="22"/>
        </w:rPr>
        <w:t>timolólium-hydrogen-maleát</w:t>
      </w:r>
      <w:r w:rsidRPr="00EC2CEC">
        <w:rPr>
          <w:sz w:val="22"/>
          <w:szCs w:val="22"/>
        </w:rPr>
        <w:t>).</w:t>
      </w:r>
    </w:p>
    <w:p w14:paraId="237B18F8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4799E09" w14:textId="77777777" w:rsidR="00377304" w:rsidRPr="006512B1" w:rsidRDefault="00377304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Jedna kvapka (približne </w:t>
      </w:r>
      <w:r w:rsidR="00D256B8">
        <w:rPr>
          <w:sz w:val="22"/>
          <w:szCs w:val="22"/>
        </w:rPr>
        <w:t>0,03 ml</w:t>
      </w:r>
      <w:r w:rsidRPr="006512B1">
        <w:rPr>
          <w:sz w:val="22"/>
          <w:szCs w:val="22"/>
        </w:rPr>
        <w:t>) obsahuje približne 0,45 mikrogramu</w:t>
      </w:r>
      <w:r w:rsidR="00F6534C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tafluprostu a 0,15 mg timololu.</w:t>
      </w:r>
    </w:p>
    <w:p w14:paraId="08B0A51A" w14:textId="77777777" w:rsidR="00377304" w:rsidRPr="006512B1" w:rsidRDefault="00377304" w:rsidP="00FF66FC">
      <w:pPr>
        <w:spacing w:line="240" w:lineRule="auto"/>
        <w:rPr>
          <w:sz w:val="22"/>
          <w:szCs w:val="22"/>
        </w:rPr>
      </w:pPr>
    </w:p>
    <w:p w14:paraId="7BBA8426" w14:textId="77777777" w:rsidR="007C3ADE" w:rsidRPr="006512B1" w:rsidRDefault="007C3ADE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Úplný zoznam pomocných látok, pozri časť 6.1.</w:t>
      </w:r>
    </w:p>
    <w:p w14:paraId="3D6C9E5D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0B0439AB" w14:textId="77777777" w:rsidR="007C3ADE" w:rsidRPr="006512B1" w:rsidRDefault="007C3ADE" w:rsidP="00FF66FC">
      <w:pPr>
        <w:spacing w:line="240" w:lineRule="auto"/>
        <w:rPr>
          <w:sz w:val="22"/>
          <w:szCs w:val="22"/>
        </w:rPr>
      </w:pPr>
    </w:p>
    <w:p w14:paraId="3C250D78" w14:textId="77777777" w:rsidR="001D29E6" w:rsidRPr="006512B1" w:rsidRDefault="001D29E6" w:rsidP="00FF66FC">
      <w:pPr>
        <w:spacing w:line="240" w:lineRule="auto"/>
        <w:ind w:left="567" w:hanging="567"/>
        <w:rPr>
          <w:b/>
          <w:caps/>
          <w:sz w:val="22"/>
          <w:szCs w:val="22"/>
        </w:rPr>
      </w:pPr>
      <w:r w:rsidRPr="006512B1">
        <w:rPr>
          <w:b/>
          <w:sz w:val="22"/>
          <w:szCs w:val="22"/>
        </w:rPr>
        <w:t>3.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 xml:space="preserve">LIEKOVÁ </w:t>
      </w:r>
      <w:r w:rsidRPr="006512B1">
        <w:rPr>
          <w:b/>
          <w:caps/>
          <w:sz w:val="22"/>
          <w:szCs w:val="22"/>
        </w:rPr>
        <w:t>forma</w:t>
      </w:r>
    </w:p>
    <w:p w14:paraId="74827ED8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D4924E5" w14:textId="39AD1221" w:rsidR="007C3ADE" w:rsidRPr="006512B1" w:rsidRDefault="003D20F1" w:rsidP="0071125C">
      <w:pPr>
        <w:spacing w:line="240" w:lineRule="auto"/>
        <w:rPr>
          <w:noProof/>
          <w:sz w:val="22"/>
          <w:szCs w:val="22"/>
        </w:rPr>
      </w:pPr>
      <w:r>
        <w:rPr>
          <w:sz w:val="22"/>
          <w:szCs w:val="22"/>
        </w:rPr>
        <w:t>O</w:t>
      </w:r>
      <w:r w:rsidRPr="003D20F1">
        <w:rPr>
          <w:sz w:val="22"/>
          <w:szCs w:val="22"/>
        </w:rPr>
        <w:t>čné roztokové kvapky</w:t>
      </w:r>
      <w:r>
        <w:rPr>
          <w:sz w:val="22"/>
          <w:szCs w:val="22"/>
        </w:rPr>
        <w:t xml:space="preserve"> (očné kvapky</w:t>
      </w:r>
      <w:r w:rsidRPr="00B92171">
        <w:rPr>
          <w:sz w:val="22"/>
          <w:szCs w:val="22"/>
        </w:rPr>
        <w:t>)</w:t>
      </w:r>
      <w:r w:rsidR="000D1D2C" w:rsidRPr="00B92171">
        <w:rPr>
          <w:sz w:val="22"/>
          <w:szCs w:val="22"/>
        </w:rPr>
        <w:t>.</w:t>
      </w:r>
    </w:p>
    <w:p w14:paraId="0A194BEC" w14:textId="77777777" w:rsidR="007C3ADE" w:rsidRPr="006512B1" w:rsidRDefault="007C3ADE" w:rsidP="0071125C">
      <w:pPr>
        <w:spacing w:line="240" w:lineRule="auto"/>
        <w:rPr>
          <w:noProof/>
          <w:sz w:val="22"/>
          <w:szCs w:val="22"/>
        </w:rPr>
      </w:pPr>
    </w:p>
    <w:p w14:paraId="07825156" w14:textId="77777777" w:rsidR="007C3ADE" w:rsidRPr="006512B1" w:rsidRDefault="007C3ADE" w:rsidP="0071125C">
      <w:pPr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Číry, bezfarebný roztok</w:t>
      </w:r>
      <w:r w:rsidR="0012180F">
        <w:rPr>
          <w:sz w:val="22"/>
          <w:szCs w:val="22"/>
        </w:rPr>
        <w:t>, prakticky bez viditeľných častíc</w:t>
      </w:r>
      <w:r w:rsidRPr="006512B1">
        <w:rPr>
          <w:sz w:val="22"/>
          <w:szCs w:val="22"/>
        </w:rPr>
        <w:t xml:space="preserve"> s pH 6,0 – 6,7 a osmolalitou 290 – 370 mOsm/kg.</w:t>
      </w:r>
    </w:p>
    <w:p w14:paraId="2D77175A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CC799A2" w14:textId="77777777" w:rsidR="00B33C96" w:rsidRPr="006512B1" w:rsidRDefault="00B33C96" w:rsidP="00FF66FC">
      <w:pPr>
        <w:spacing w:line="240" w:lineRule="auto"/>
        <w:rPr>
          <w:sz w:val="22"/>
          <w:szCs w:val="22"/>
        </w:rPr>
      </w:pPr>
    </w:p>
    <w:p w14:paraId="205DAFB3" w14:textId="77777777" w:rsidR="001D29E6" w:rsidRPr="006512B1" w:rsidRDefault="001D29E6" w:rsidP="00FF66FC">
      <w:pPr>
        <w:spacing w:line="240" w:lineRule="auto"/>
        <w:ind w:left="567" w:hanging="567"/>
        <w:rPr>
          <w:caps/>
          <w:sz w:val="22"/>
          <w:szCs w:val="22"/>
        </w:rPr>
      </w:pPr>
      <w:r w:rsidRPr="006512B1">
        <w:rPr>
          <w:b/>
          <w:caps/>
          <w:sz w:val="22"/>
          <w:szCs w:val="22"/>
        </w:rPr>
        <w:t>4.</w:t>
      </w:r>
      <w:r w:rsidRPr="006512B1">
        <w:rPr>
          <w:sz w:val="22"/>
          <w:szCs w:val="22"/>
        </w:rPr>
        <w:tab/>
      </w:r>
      <w:r w:rsidRPr="006512B1">
        <w:rPr>
          <w:b/>
          <w:caps/>
          <w:sz w:val="22"/>
          <w:szCs w:val="22"/>
        </w:rPr>
        <w:t>Klinické údaje</w:t>
      </w:r>
    </w:p>
    <w:p w14:paraId="452A2352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7C99CA97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4.1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Terapeutické indikácie</w:t>
      </w:r>
    </w:p>
    <w:p w14:paraId="32FDFFD6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554C8DAE" w14:textId="77777777" w:rsidR="005C6F98" w:rsidRPr="006512B1" w:rsidRDefault="005C6F98" w:rsidP="0071125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Zníženie vnútroočného tlaku </w:t>
      </w:r>
      <w:r w:rsidR="0013189A" w:rsidRPr="006512B1">
        <w:rPr>
          <w:sz w:val="22"/>
          <w:szCs w:val="22"/>
        </w:rPr>
        <w:t xml:space="preserve">(VOT) </w:t>
      </w:r>
      <w:r w:rsidRPr="006512B1">
        <w:rPr>
          <w:sz w:val="22"/>
          <w:szCs w:val="22"/>
        </w:rPr>
        <w:t>u dospelých pacientov s glaukómom s otvoreným uhlom alebo očnou hypertenziou, ktorí dostatočne nereagujú na monoterapiu</w:t>
      </w:r>
      <w:r w:rsidR="00F6534C" w:rsidRPr="006512B1">
        <w:rPr>
          <w:sz w:val="22"/>
          <w:szCs w:val="22"/>
        </w:rPr>
        <w:t xml:space="preserve"> </w:t>
      </w:r>
      <w:r w:rsidR="00A53C94">
        <w:rPr>
          <w:sz w:val="22"/>
          <w:szCs w:val="22"/>
        </w:rPr>
        <w:t xml:space="preserve">lokálnymi </w:t>
      </w:r>
      <w:r w:rsidRPr="006512B1">
        <w:rPr>
          <w:sz w:val="22"/>
          <w:szCs w:val="22"/>
        </w:rPr>
        <w:t>betablokátormi alebo analógmi</w:t>
      </w:r>
      <w:r w:rsidR="00F6534C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prostaglandínu.</w:t>
      </w:r>
    </w:p>
    <w:p w14:paraId="74E43D5A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73128A2C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4.2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Dávkovanie a spôsob podávania</w:t>
      </w:r>
    </w:p>
    <w:p w14:paraId="294BAA27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14:paraId="56CB70DC" w14:textId="77777777" w:rsidR="00C53ACC" w:rsidRPr="006512B1" w:rsidRDefault="00C53ACC" w:rsidP="0071125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Dávkovanie</w:t>
      </w:r>
    </w:p>
    <w:p w14:paraId="55B587D4" w14:textId="77777777" w:rsidR="00C910C4" w:rsidRPr="006512B1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 xml:space="preserve">Odporúčaná liečba je jedna kvapka </w:t>
      </w:r>
      <w:r w:rsidRPr="006512B1">
        <w:rPr>
          <w:sz w:val="22"/>
          <w:szCs w:val="22"/>
        </w:rPr>
        <w:t>do spojovkového vaku postihnutého oka/očí jedenkrát denne</w:t>
      </w:r>
      <w:r w:rsidRPr="006512B1">
        <w:rPr>
          <w:color w:val="000000"/>
          <w:sz w:val="22"/>
          <w:szCs w:val="22"/>
        </w:rPr>
        <w:t>.</w:t>
      </w:r>
    </w:p>
    <w:p w14:paraId="3028BD0A" w14:textId="77777777" w:rsidR="004B3A87" w:rsidRPr="006512B1" w:rsidRDefault="004B3A87" w:rsidP="0071125C">
      <w:pPr>
        <w:spacing w:line="240" w:lineRule="auto"/>
        <w:rPr>
          <w:color w:val="000000"/>
          <w:sz w:val="22"/>
          <w:szCs w:val="22"/>
        </w:rPr>
      </w:pPr>
    </w:p>
    <w:p w14:paraId="25E8E720" w14:textId="77777777" w:rsidR="00C910C4" w:rsidRPr="006512B1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>V prípade vynechania jednej dávky má liečba pokračovať nasledujúcou dávkou podľa plánu. Dávka ne</w:t>
      </w:r>
      <w:r w:rsidR="00C82429">
        <w:rPr>
          <w:color w:val="000000"/>
          <w:sz w:val="22"/>
          <w:szCs w:val="22"/>
        </w:rPr>
        <w:t>má byť viac ako</w:t>
      </w:r>
      <w:r w:rsidRPr="006512B1">
        <w:rPr>
          <w:color w:val="000000"/>
          <w:sz w:val="22"/>
          <w:szCs w:val="22"/>
        </w:rPr>
        <w:t xml:space="preserve"> jedn</w:t>
      </w:r>
      <w:r w:rsidR="00C82429">
        <w:rPr>
          <w:color w:val="000000"/>
          <w:sz w:val="22"/>
          <w:szCs w:val="22"/>
        </w:rPr>
        <w:t>a</w:t>
      </w:r>
      <w:r w:rsidRPr="006512B1">
        <w:rPr>
          <w:color w:val="000000"/>
          <w:sz w:val="22"/>
          <w:szCs w:val="22"/>
        </w:rPr>
        <w:t xml:space="preserve"> kvapk</w:t>
      </w:r>
      <w:r w:rsidR="00C82429">
        <w:rPr>
          <w:color w:val="000000"/>
          <w:sz w:val="22"/>
          <w:szCs w:val="22"/>
        </w:rPr>
        <w:t>a</w:t>
      </w:r>
      <w:r w:rsidRPr="006512B1">
        <w:rPr>
          <w:color w:val="000000"/>
          <w:sz w:val="22"/>
          <w:szCs w:val="22"/>
        </w:rPr>
        <w:t xml:space="preserve"> do postihnutého oka/očí jedenkrát denne.</w:t>
      </w:r>
    </w:p>
    <w:p w14:paraId="72F77CD4" w14:textId="77777777" w:rsidR="00C910C4" w:rsidRPr="006512B1" w:rsidRDefault="003C0E52">
      <w:pPr>
        <w:spacing w:line="240" w:lineRule="auto"/>
        <w:rPr>
          <w:sz w:val="22"/>
          <w:szCs w:val="22"/>
        </w:rPr>
      </w:pPr>
      <w:r w:rsidRPr="00393FDA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je sterilný roztok bez konzervačných látok</w:t>
      </w:r>
      <w:r w:rsidR="0013189A" w:rsidRPr="006512B1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balený v</w:t>
      </w:r>
      <w:r w:rsidR="00C772DA">
        <w:rPr>
          <w:sz w:val="22"/>
          <w:szCs w:val="22"/>
        </w:rPr>
        <w:t>o viacdávkovom</w:t>
      </w:r>
      <w:r w:rsidRPr="006512B1">
        <w:rPr>
          <w:sz w:val="22"/>
          <w:szCs w:val="22"/>
        </w:rPr>
        <w:t xml:space="preserve"> obale.</w:t>
      </w:r>
    </w:p>
    <w:p w14:paraId="1B7CD8CA" w14:textId="77777777" w:rsidR="00C910C4" w:rsidRPr="006512B1" w:rsidRDefault="00C910C4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</w:p>
    <w:p w14:paraId="1F9575F5" w14:textId="77777777" w:rsidR="00C53ACC" w:rsidRPr="006512B1" w:rsidRDefault="00C53ACC">
      <w:pPr>
        <w:tabs>
          <w:tab w:val="clear" w:pos="567"/>
        </w:tabs>
        <w:spacing w:line="240" w:lineRule="auto"/>
        <w:rPr>
          <w:bCs/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Pediatrická populácia</w:t>
      </w:r>
    </w:p>
    <w:p w14:paraId="43DAF0CD" w14:textId="77777777" w:rsidR="00C910C4" w:rsidRPr="00792A73" w:rsidRDefault="00C910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 w:val="22"/>
          <w:szCs w:val="22"/>
        </w:rPr>
      </w:pPr>
      <w:r w:rsidRPr="006512B1">
        <w:rPr>
          <w:sz w:val="22"/>
          <w:szCs w:val="22"/>
        </w:rPr>
        <w:t xml:space="preserve">Bezpečnosť a účinnosť </w:t>
      </w:r>
      <w:r w:rsidRPr="00393FDA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u detí a dospievajúcich vo veku do 18 rokov neboli stanovené. K dispozícii nie sú žiadne údaje.</w:t>
      </w:r>
    </w:p>
    <w:p w14:paraId="4154B62C" w14:textId="77777777" w:rsidR="00C910C4" w:rsidRPr="00792A73" w:rsidRDefault="005C6F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 w:val="22"/>
          <w:szCs w:val="22"/>
        </w:rPr>
      </w:pPr>
      <w:r w:rsidRPr="00393FDA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sa neodporúča používať u detí a dospievajúcich vo veku do 18 rokov</w:t>
      </w:r>
      <w:r w:rsidRPr="006512B1">
        <w:rPr>
          <w:i/>
          <w:sz w:val="22"/>
          <w:szCs w:val="22"/>
        </w:rPr>
        <w:t>.</w:t>
      </w:r>
    </w:p>
    <w:p w14:paraId="69DD9DAF" w14:textId="77777777" w:rsidR="00C53ACC" w:rsidRPr="006512B1" w:rsidRDefault="00C53AC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14:paraId="75F72B65" w14:textId="77777777" w:rsidR="00CE1580" w:rsidRPr="006512B1" w:rsidRDefault="00CE1580" w:rsidP="00FF66FC">
      <w:pPr>
        <w:spacing w:line="240" w:lineRule="auto"/>
        <w:rPr>
          <w:sz w:val="22"/>
          <w:szCs w:val="22"/>
          <w:u w:val="single"/>
        </w:rPr>
      </w:pPr>
      <w:r w:rsidRPr="006512B1">
        <w:rPr>
          <w:i/>
          <w:sz w:val="22"/>
          <w:szCs w:val="22"/>
        </w:rPr>
        <w:t>Použitie u starších pacientov</w:t>
      </w:r>
    </w:p>
    <w:p w14:paraId="2648C651" w14:textId="77777777" w:rsidR="00CE1580" w:rsidRPr="006512B1" w:rsidRDefault="00CE1580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U starších pacientov nie je potrebná úprava dávkovania.</w:t>
      </w:r>
    </w:p>
    <w:p w14:paraId="50ECD862" w14:textId="77777777" w:rsidR="00CE1580" w:rsidRPr="006512B1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14:paraId="293601F8" w14:textId="77777777" w:rsidR="00CE1580" w:rsidRPr="006512B1" w:rsidRDefault="00CE1580" w:rsidP="006512B1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</w:rPr>
      </w:pPr>
      <w:r w:rsidRPr="006512B1">
        <w:rPr>
          <w:i/>
          <w:noProof/>
          <w:sz w:val="22"/>
          <w:szCs w:val="22"/>
        </w:rPr>
        <w:t>Použitie pri poškodení funkcie obličiek/pečene</w:t>
      </w:r>
    </w:p>
    <w:p w14:paraId="17F63CD2" w14:textId="0EF01A5A" w:rsidR="00CE1580" w:rsidRPr="006512B1" w:rsidRDefault="00CE1580" w:rsidP="006512B1">
      <w:pPr>
        <w:keepNext/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Očn</w:t>
      </w:r>
      <w:r w:rsidR="006C526E">
        <w:rPr>
          <w:sz w:val="22"/>
          <w:szCs w:val="22"/>
        </w:rPr>
        <w:t>é kvapky</w:t>
      </w:r>
      <w:r w:rsidRPr="006512B1">
        <w:rPr>
          <w:sz w:val="22"/>
          <w:szCs w:val="22"/>
        </w:rPr>
        <w:t xml:space="preserve"> s tafluprostom a timololom sa neskúmal</w:t>
      </w:r>
      <w:r w:rsidR="006C526E">
        <w:rPr>
          <w:sz w:val="22"/>
          <w:szCs w:val="22"/>
        </w:rPr>
        <w:t>i</w:t>
      </w:r>
      <w:r w:rsidRPr="006512B1">
        <w:rPr>
          <w:sz w:val="22"/>
          <w:szCs w:val="22"/>
        </w:rPr>
        <w:t xml:space="preserve"> u pacientov s poškodením funkcie obličiek/pečene, preto sa </w:t>
      </w:r>
      <w:r w:rsidRPr="00393FDA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má u týchto pacientov používať s opatrnosťou.</w:t>
      </w:r>
    </w:p>
    <w:p w14:paraId="5C8800D4" w14:textId="77777777" w:rsidR="00CE1580" w:rsidRPr="006512B1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14:paraId="6894BC39" w14:textId="77777777" w:rsidR="00C53ACC" w:rsidRPr="006512B1" w:rsidRDefault="00C53AC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Spôsob podávania</w:t>
      </w:r>
    </w:p>
    <w:p w14:paraId="2D05D689" w14:textId="77777777" w:rsidR="00C53ACC" w:rsidRPr="002E3528" w:rsidRDefault="0036657F">
      <w:pPr>
        <w:tabs>
          <w:tab w:val="clear" w:pos="567"/>
        </w:tabs>
        <w:spacing w:line="240" w:lineRule="auto"/>
        <w:rPr>
          <w:b/>
          <w:sz w:val="22"/>
          <w:szCs w:val="22"/>
        </w:rPr>
      </w:pPr>
      <w:r w:rsidRPr="002E3528">
        <w:rPr>
          <w:b/>
          <w:sz w:val="22"/>
          <w:szCs w:val="22"/>
        </w:rPr>
        <w:lastRenderedPageBreak/>
        <w:t>Podanie do oka</w:t>
      </w:r>
      <w:r w:rsidR="006512B1" w:rsidRPr="002E3528">
        <w:rPr>
          <w:b/>
          <w:sz w:val="22"/>
          <w:szCs w:val="22"/>
        </w:rPr>
        <w:t>.</w:t>
      </w:r>
    </w:p>
    <w:p w14:paraId="54041AF6" w14:textId="77777777" w:rsidR="002241D5" w:rsidRDefault="006D2313">
      <w:pPr>
        <w:tabs>
          <w:tab w:val="clear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Pacienti musia byť </w:t>
      </w:r>
      <w:r w:rsidR="002241D5">
        <w:rPr>
          <w:sz w:val="22"/>
          <w:szCs w:val="22"/>
        </w:rPr>
        <w:t>informovaní</w:t>
      </w:r>
      <w:r>
        <w:rPr>
          <w:sz w:val="22"/>
          <w:szCs w:val="22"/>
        </w:rPr>
        <w:t xml:space="preserve"> o správnej manipulácii s fľašou.</w:t>
      </w:r>
      <w:r w:rsidR="00403DD5">
        <w:rPr>
          <w:sz w:val="22"/>
          <w:szCs w:val="22"/>
        </w:rPr>
        <w:t xml:space="preserve"> </w:t>
      </w:r>
      <w:r w:rsidR="002241D5" w:rsidRPr="002241D5">
        <w:rPr>
          <w:sz w:val="22"/>
          <w:szCs w:val="22"/>
        </w:rPr>
        <w:t>Pr</w:t>
      </w:r>
      <w:r w:rsidR="00E95CBD">
        <w:rPr>
          <w:sz w:val="22"/>
          <w:szCs w:val="22"/>
        </w:rPr>
        <w:t xml:space="preserve">ed </w:t>
      </w:r>
      <w:r w:rsidR="002241D5" w:rsidRPr="002241D5">
        <w:rPr>
          <w:sz w:val="22"/>
          <w:szCs w:val="22"/>
        </w:rPr>
        <w:t>prv</w:t>
      </w:r>
      <w:r w:rsidR="00E95CBD">
        <w:rPr>
          <w:sz w:val="22"/>
          <w:szCs w:val="22"/>
        </w:rPr>
        <w:t>ým</w:t>
      </w:r>
      <w:r w:rsidR="002241D5" w:rsidRPr="002241D5">
        <w:rPr>
          <w:sz w:val="22"/>
          <w:szCs w:val="22"/>
        </w:rPr>
        <w:t xml:space="preserve"> použití</w:t>
      </w:r>
      <w:r w:rsidR="00E95CBD">
        <w:rPr>
          <w:sz w:val="22"/>
          <w:szCs w:val="22"/>
        </w:rPr>
        <w:t>m</w:t>
      </w:r>
      <w:r w:rsidR="002241D5" w:rsidRPr="002241D5">
        <w:rPr>
          <w:sz w:val="22"/>
          <w:szCs w:val="22"/>
        </w:rPr>
        <w:t xml:space="preserve"> </w:t>
      </w:r>
      <w:r w:rsidR="00C95576">
        <w:rPr>
          <w:sz w:val="22"/>
          <w:szCs w:val="22"/>
        </w:rPr>
        <w:t>si má</w:t>
      </w:r>
      <w:r w:rsidR="002241D5" w:rsidRPr="002241D5">
        <w:rPr>
          <w:sz w:val="22"/>
          <w:szCs w:val="22"/>
        </w:rPr>
        <w:t xml:space="preserve"> pacient </w:t>
      </w:r>
      <w:r w:rsidR="008B3524">
        <w:rPr>
          <w:sz w:val="22"/>
          <w:szCs w:val="22"/>
        </w:rPr>
        <w:t xml:space="preserve">ešte </w:t>
      </w:r>
      <w:r w:rsidR="008B3524" w:rsidRPr="008B3524">
        <w:rPr>
          <w:sz w:val="22"/>
          <w:szCs w:val="22"/>
        </w:rPr>
        <w:t xml:space="preserve">pred podaním kvapky do oka, </w:t>
      </w:r>
      <w:r w:rsidR="002241D5" w:rsidRPr="002241D5">
        <w:rPr>
          <w:sz w:val="22"/>
          <w:szCs w:val="22"/>
        </w:rPr>
        <w:t xml:space="preserve">najprv </w:t>
      </w:r>
      <w:r w:rsidR="00E95CBD">
        <w:rPr>
          <w:sz w:val="22"/>
          <w:szCs w:val="22"/>
        </w:rPr>
        <w:t>na</w:t>
      </w:r>
      <w:r w:rsidR="002241D5" w:rsidRPr="002241D5">
        <w:rPr>
          <w:sz w:val="22"/>
          <w:szCs w:val="22"/>
        </w:rPr>
        <w:t xml:space="preserve">cvičiť </w:t>
      </w:r>
      <w:r w:rsidR="00C95576">
        <w:rPr>
          <w:sz w:val="22"/>
          <w:szCs w:val="22"/>
        </w:rPr>
        <w:t xml:space="preserve">použitie </w:t>
      </w:r>
      <w:r w:rsidR="002241D5" w:rsidRPr="002241D5">
        <w:rPr>
          <w:sz w:val="22"/>
          <w:szCs w:val="22"/>
        </w:rPr>
        <w:t>fľaš</w:t>
      </w:r>
      <w:r w:rsidR="00C95576">
        <w:rPr>
          <w:sz w:val="22"/>
          <w:szCs w:val="22"/>
        </w:rPr>
        <w:t>e</w:t>
      </w:r>
      <w:r w:rsidR="002241D5" w:rsidRPr="002241D5">
        <w:rPr>
          <w:sz w:val="22"/>
          <w:szCs w:val="22"/>
        </w:rPr>
        <w:t xml:space="preserve"> </w:t>
      </w:r>
      <w:r w:rsidR="00E95CBD">
        <w:rPr>
          <w:sz w:val="22"/>
          <w:szCs w:val="22"/>
        </w:rPr>
        <w:t xml:space="preserve">mimo oka </w:t>
      </w:r>
      <w:r w:rsidR="002241D5" w:rsidRPr="002241D5">
        <w:rPr>
          <w:sz w:val="22"/>
          <w:szCs w:val="22"/>
        </w:rPr>
        <w:t xml:space="preserve">tak, aby </w:t>
      </w:r>
      <w:r w:rsidR="008133D7">
        <w:rPr>
          <w:sz w:val="22"/>
          <w:szCs w:val="22"/>
        </w:rPr>
        <w:t xml:space="preserve">pomalým stlačením </w:t>
      </w:r>
      <w:r w:rsidR="00DC06B4">
        <w:rPr>
          <w:sz w:val="22"/>
          <w:szCs w:val="22"/>
        </w:rPr>
        <w:t xml:space="preserve">dosiahol kvapnutie </w:t>
      </w:r>
      <w:r w:rsidR="002241D5" w:rsidRPr="002241D5">
        <w:rPr>
          <w:sz w:val="22"/>
          <w:szCs w:val="22"/>
        </w:rPr>
        <w:t>jed</w:t>
      </w:r>
      <w:r w:rsidR="00E95CBD">
        <w:rPr>
          <w:sz w:val="22"/>
          <w:szCs w:val="22"/>
        </w:rPr>
        <w:t>inej kvapky</w:t>
      </w:r>
      <w:r w:rsidR="002241D5" w:rsidRPr="002241D5">
        <w:rPr>
          <w:sz w:val="22"/>
          <w:szCs w:val="22"/>
        </w:rPr>
        <w:t xml:space="preserve">. Pacient </w:t>
      </w:r>
      <w:r w:rsidR="00B127FD">
        <w:rPr>
          <w:sz w:val="22"/>
          <w:szCs w:val="22"/>
        </w:rPr>
        <w:t>má nacvičovať dovtedy</w:t>
      </w:r>
      <w:r w:rsidR="002241D5" w:rsidRPr="002241D5">
        <w:rPr>
          <w:sz w:val="22"/>
          <w:szCs w:val="22"/>
        </w:rPr>
        <w:t xml:space="preserve">, kým si nebude istý, že </w:t>
      </w:r>
      <w:r w:rsidR="00D81327">
        <w:rPr>
          <w:sz w:val="22"/>
          <w:szCs w:val="22"/>
        </w:rPr>
        <w:t xml:space="preserve">vie </w:t>
      </w:r>
      <w:r w:rsidR="00557692">
        <w:rPr>
          <w:sz w:val="22"/>
          <w:szCs w:val="22"/>
        </w:rPr>
        <w:t xml:space="preserve">na jedenkrát </w:t>
      </w:r>
      <w:r w:rsidR="00D81327">
        <w:rPr>
          <w:sz w:val="22"/>
          <w:szCs w:val="22"/>
        </w:rPr>
        <w:t>podať</w:t>
      </w:r>
      <w:r w:rsidR="002241D5" w:rsidRPr="002241D5">
        <w:rPr>
          <w:sz w:val="22"/>
          <w:szCs w:val="22"/>
        </w:rPr>
        <w:t xml:space="preserve"> jednu kvapku</w:t>
      </w:r>
      <w:r w:rsidR="00D81327">
        <w:rPr>
          <w:sz w:val="22"/>
          <w:szCs w:val="22"/>
        </w:rPr>
        <w:t>.</w:t>
      </w:r>
    </w:p>
    <w:p w14:paraId="3C8B3D5D" w14:textId="77777777" w:rsidR="00C95576" w:rsidRPr="006512B1" w:rsidRDefault="00C95576">
      <w:pPr>
        <w:tabs>
          <w:tab w:val="clear" w:pos="567"/>
        </w:tabs>
        <w:spacing w:line="240" w:lineRule="auto"/>
        <w:rPr>
          <w:sz w:val="22"/>
          <w:szCs w:val="22"/>
        </w:rPr>
      </w:pPr>
    </w:p>
    <w:p w14:paraId="44BDE523" w14:textId="77777777" w:rsidR="00557692" w:rsidRPr="00557692" w:rsidRDefault="00557692" w:rsidP="00557692">
      <w:pPr>
        <w:rPr>
          <w:sz w:val="22"/>
          <w:szCs w:val="22"/>
        </w:rPr>
      </w:pPr>
      <w:r w:rsidRPr="00557692">
        <w:rPr>
          <w:sz w:val="22"/>
          <w:szCs w:val="22"/>
        </w:rPr>
        <w:t xml:space="preserve">Pacientov </w:t>
      </w:r>
      <w:r>
        <w:rPr>
          <w:sz w:val="22"/>
          <w:szCs w:val="22"/>
        </w:rPr>
        <w:t>treba poučiť</w:t>
      </w:r>
      <w:r w:rsidRPr="00557692">
        <w:rPr>
          <w:sz w:val="22"/>
          <w:szCs w:val="22"/>
        </w:rPr>
        <w:t xml:space="preserve">, aby </w:t>
      </w:r>
      <w:r>
        <w:rPr>
          <w:sz w:val="22"/>
          <w:szCs w:val="22"/>
        </w:rPr>
        <w:t xml:space="preserve">sa </w:t>
      </w:r>
      <w:r w:rsidR="00403DD5">
        <w:rPr>
          <w:sz w:val="22"/>
          <w:szCs w:val="22"/>
        </w:rPr>
        <w:t>nedotýkali</w:t>
      </w:r>
      <w:r w:rsidRPr="00557692">
        <w:rPr>
          <w:sz w:val="22"/>
          <w:szCs w:val="22"/>
        </w:rPr>
        <w:t xml:space="preserve"> </w:t>
      </w:r>
      <w:r w:rsidR="00506BC5">
        <w:rPr>
          <w:sz w:val="22"/>
          <w:szCs w:val="22"/>
        </w:rPr>
        <w:t>fľaš</w:t>
      </w:r>
      <w:r w:rsidR="00403DD5">
        <w:rPr>
          <w:sz w:val="22"/>
          <w:szCs w:val="22"/>
        </w:rPr>
        <w:t>ou</w:t>
      </w:r>
      <w:r w:rsidRPr="00557692">
        <w:rPr>
          <w:sz w:val="22"/>
          <w:szCs w:val="22"/>
        </w:rPr>
        <w:t xml:space="preserve"> ok</w:t>
      </w:r>
      <w:r w:rsidR="00403DD5">
        <w:rPr>
          <w:sz w:val="22"/>
          <w:szCs w:val="22"/>
        </w:rPr>
        <w:t>a</w:t>
      </w:r>
      <w:r w:rsidRPr="00557692">
        <w:rPr>
          <w:sz w:val="22"/>
          <w:szCs w:val="22"/>
        </w:rPr>
        <w:t xml:space="preserve"> alebo okol</w:t>
      </w:r>
      <w:r w:rsidR="00403DD5">
        <w:rPr>
          <w:sz w:val="22"/>
          <w:szCs w:val="22"/>
        </w:rPr>
        <w:t>ia</w:t>
      </w:r>
      <w:r w:rsidR="008C0BA6">
        <w:rPr>
          <w:sz w:val="22"/>
          <w:szCs w:val="22"/>
        </w:rPr>
        <w:t xml:space="preserve"> oka</w:t>
      </w:r>
      <w:r w:rsidRPr="00557692">
        <w:rPr>
          <w:sz w:val="22"/>
          <w:szCs w:val="22"/>
        </w:rPr>
        <w:t xml:space="preserve">, </w:t>
      </w:r>
      <w:r w:rsidR="008C0BA6">
        <w:rPr>
          <w:sz w:val="22"/>
          <w:szCs w:val="22"/>
        </w:rPr>
        <w:t>aby nedošlo k</w:t>
      </w:r>
      <w:r w:rsidRPr="00557692">
        <w:rPr>
          <w:sz w:val="22"/>
          <w:szCs w:val="22"/>
        </w:rPr>
        <w:t xml:space="preserve"> poraneni</w:t>
      </w:r>
      <w:r w:rsidR="008C0BA6">
        <w:rPr>
          <w:sz w:val="22"/>
          <w:szCs w:val="22"/>
        </w:rPr>
        <w:t>u</w:t>
      </w:r>
      <w:r w:rsidRPr="00557692">
        <w:rPr>
          <w:sz w:val="22"/>
          <w:szCs w:val="22"/>
        </w:rPr>
        <w:t xml:space="preserve"> oka.</w:t>
      </w:r>
    </w:p>
    <w:p w14:paraId="440C4D13" w14:textId="77777777" w:rsidR="00403DD5" w:rsidRDefault="00403DD5">
      <w:pPr>
        <w:spacing w:line="240" w:lineRule="auto"/>
        <w:rPr>
          <w:sz w:val="22"/>
          <w:szCs w:val="22"/>
        </w:rPr>
      </w:pPr>
    </w:p>
    <w:p w14:paraId="26F5B82E" w14:textId="2C2F99A1" w:rsidR="00557692" w:rsidRDefault="00E65BE9">
      <w:pPr>
        <w:spacing w:line="240" w:lineRule="auto"/>
        <w:rPr>
          <w:sz w:val="22"/>
          <w:szCs w:val="22"/>
        </w:rPr>
      </w:pPr>
      <w:r w:rsidRPr="00E65BE9">
        <w:rPr>
          <w:sz w:val="22"/>
          <w:szCs w:val="22"/>
        </w:rPr>
        <w:t>Pacientov treba poučiť, aby sa</w:t>
      </w:r>
      <w:r>
        <w:rPr>
          <w:sz w:val="22"/>
          <w:szCs w:val="22"/>
        </w:rPr>
        <w:t xml:space="preserve"> </w:t>
      </w:r>
      <w:r w:rsidR="006A6A9F">
        <w:rPr>
          <w:sz w:val="22"/>
          <w:szCs w:val="22"/>
        </w:rPr>
        <w:t>špičkou aplikátora</w:t>
      </w:r>
      <w:r>
        <w:rPr>
          <w:sz w:val="22"/>
          <w:szCs w:val="22"/>
        </w:rPr>
        <w:t xml:space="preserve"> fľaše nedotýkali </w:t>
      </w:r>
      <w:r w:rsidR="007A7496">
        <w:rPr>
          <w:sz w:val="22"/>
          <w:szCs w:val="22"/>
        </w:rPr>
        <w:t>viečok, okolia oka ani iných povrchov.</w:t>
      </w:r>
      <w:r w:rsidR="004A0988" w:rsidRPr="004A0988">
        <w:t xml:space="preserve"> </w:t>
      </w:r>
      <w:r w:rsidR="004A0988" w:rsidRPr="004A0988">
        <w:rPr>
          <w:sz w:val="22"/>
          <w:szCs w:val="22"/>
        </w:rPr>
        <w:t>Zvyšková tekutina</w:t>
      </w:r>
      <w:r w:rsidR="004A0988">
        <w:rPr>
          <w:sz w:val="22"/>
          <w:szCs w:val="22"/>
        </w:rPr>
        <w:t>, ktorá zostane</w:t>
      </w:r>
      <w:r w:rsidR="004A0988" w:rsidRPr="004A0988">
        <w:rPr>
          <w:sz w:val="22"/>
          <w:szCs w:val="22"/>
        </w:rPr>
        <w:t xml:space="preserve"> </w:t>
      </w:r>
      <w:r w:rsidR="00EA0E0B">
        <w:rPr>
          <w:sz w:val="22"/>
          <w:szCs w:val="22"/>
        </w:rPr>
        <w:t>v</w:t>
      </w:r>
      <w:r w:rsidR="004A0988" w:rsidRPr="004A0988">
        <w:rPr>
          <w:sz w:val="22"/>
          <w:szCs w:val="22"/>
        </w:rPr>
        <w:t xml:space="preserve"> špičke kvapkadla po aplikácii očn</w:t>
      </w:r>
      <w:r w:rsidR="006C526E">
        <w:rPr>
          <w:sz w:val="22"/>
          <w:szCs w:val="22"/>
        </w:rPr>
        <w:t>ých kvapiek</w:t>
      </w:r>
      <w:r w:rsidR="004A0988" w:rsidRPr="004A0988">
        <w:rPr>
          <w:sz w:val="22"/>
          <w:szCs w:val="22"/>
        </w:rPr>
        <w:t xml:space="preserve"> sa </w:t>
      </w:r>
      <w:r w:rsidR="00EA0E0B">
        <w:rPr>
          <w:sz w:val="22"/>
          <w:szCs w:val="22"/>
        </w:rPr>
        <w:t xml:space="preserve">má </w:t>
      </w:r>
      <w:r w:rsidR="004A0988" w:rsidRPr="004A0988">
        <w:rPr>
          <w:sz w:val="22"/>
          <w:szCs w:val="22"/>
        </w:rPr>
        <w:t xml:space="preserve">pretrepaním fľaše </w:t>
      </w:r>
      <w:r w:rsidR="00EE62F4" w:rsidRPr="00EE62F4">
        <w:rPr>
          <w:sz w:val="22"/>
          <w:szCs w:val="22"/>
        </w:rPr>
        <w:t xml:space="preserve">ihneď </w:t>
      </w:r>
      <w:r w:rsidR="0098770C">
        <w:rPr>
          <w:sz w:val="22"/>
          <w:szCs w:val="22"/>
        </w:rPr>
        <w:t xml:space="preserve">striasť </w:t>
      </w:r>
      <w:r w:rsidR="004A0988" w:rsidRPr="004A0988">
        <w:rPr>
          <w:sz w:val="22"/>
          <w:szCs w:val="22"/>
        </w:rPr>
        <w:t>smerom nadol. Špičk</w:t>
      </w:r>
      <w:r w:rsidR="0098770C">
        <w:rPr>
          <w:sz w:val="22"/>
          <w:szCs w:val="22"/>
        </w:rPr>
        <w:t>y</w:t>
      </w:r>
      <w:r w:rsidR="004A0988" w:rsidRPr="004A0988">
        <w:rPr>
          <w:sz w:val="22"/>
          <w:szCs w:val="22"/>
        </w:rPr>
        <w:t xml:space="preserve"> kvapkadla sa </w:t>
      </w:r>
      <w:r w:rsidR="0098770C">
        <w:rPr>
          <w:sz w:val="22"/>
          <w:szCs w:val="22"/>
        </w:rPr>
        <w:t>netreba</w:t>
      </w:r>
      <w:r w:rsidR="004A0988" w:rsidRPr="004A0988">
        <w:rPr>
          <w:sz w:val="22"/>
          <w:szCs w:val="22"/>
        </w:rPr>
        <w:t xml:space="preserve"> dotýkať</w:t>
      </w:r>
      <w:r w:rsidR="00CB4810">
        <w:rPr>
          <w:sz w:val="22"/>
          <w:szCs w:val="22"/>
        </w:rPr>
        <w:t>,</w:t>
      </w:r>
      <w:r w:rsidR="004A0988" w:rsidRPr="004A0988">
        <w:rPr>
          <w:sz w:val="22"/>
          <w:szCs w:val="22"/>
        </w:rPr>
        <w:t xml:space="preserve"> ani </w:t>
      </w:r>
      <w:r w:rsidR="00631810">
        <w:rPr>
          <w:sz w:val="22"/>
          <w:szCs w:val="22"/>
        </w:rPr>
        <w:t xml:space="preserve">sa nemá </w:t>
      </w:r>
      <w:r w:rsidR="004A0988" w:rsidRPr="004A0988">
        <w:rPr>
          <w:sz w:val="22"/>
          <w:szCs w:val="22"/>
        </w:rPr>
        <w:t>utierať.</w:t>
      </w:r>
    </w:p>
    <w:p w14:paraId="3BA7943A" w14:textId="77777777" w:rsidR="00631810" w:rsidRDefault="00631810">
      <w:pPr>
        <w:spacing w:line="240" w:lineRule="auto"/>
        <w:rPr>
          <w:sz w:val="22"/>
          <w:szCs w:val="22"/>
        </w:rPr>
      </w:pPr>
    </w:p>
    <w:p w14:paraId="26EE54E8" w14:textId="77777777" w:rsidR="00E65BE9" w:rsidRDefault="00631810">
      <w:pPr>
        <w:spacing w:line="240" w:lineRule="auto"/>
        <w:rPr>
          <w:sz w:val="22"/>
          <w:szCs w:val="22"/>
        </w:rPr>
      </w:pPr>
      <w:r w:rsidRPr="00631810">
        <w:rPr>
          <w:sz w:val="22"/>
          <w:szCs w:val="22"/>
        </w:rPr>
        <w:t xml:space="preserve">Pacientov </w:t>
      </w:r>
      <w:r>
        <w:rPr>
          <w:sz w:val="22"/>
          <w:szCs w:val="22"/>
        </w:rPr>
        <w:t>treba tiež</w:t>
      </w:r>
      <w:r w:rsidRPr="00631810">
        <w:rPr>
          <w:sz w:val="22"/>
          <w:szCs w:val="22"/>
        </w:rPr>
        <w:t xml:space="preserve"> </w:t>
      </w:r>
      <w:r>
        <w:rPr>
          <w:sz w:val="22"/>
          <w:szCs w:val="22"/>
        </w:rPr>
        <w:t>poučiť</w:t>
      </w:r>
      <w:r w:rsidRPr="00631810">
        <w:rPr>
          <w:sz w:val="22"/>
          <w:szCs w:val="22"/>
        </w:rPr>
        <w:t xml:space="preserve">, že očné roztoky sa </w:t>
      </w:r>
      <w:r w:rsidR="00B92C32">
        <w:rPr>
          <w:sz w:val="22"/>
          <w:szCs w:val="22"/>
        </w:rPr>
        <w:t xml:space="preserve">môžu </w:t>
      </w:r>
      <w:r w:rsidRPr="00631810">
        <w:rPr>
          <w:sz w:val="22"/>
          <w:szCs w:val="22"/>
        </w:rPr>
        <w:t xml:space="preserve">pri nesprávnej manipulácii kontaminovať bežnými baktériami, </w:t>
      </w:r>
      <w:r w:rsidR="000049BF">
        <w:rPr>
          <w:sz w:val="22"/>
          <w:szCs w:val="22"/>
        </w:rPr>
        <w:t>o ktorých je známe, že</w:t>
      </w:r>
      <w:r w:rsidRPr="00631810">
        <w:rPr>
          <w:sz w:val="22"/>
          <w:szCs w:val="22"/>
        </w:rPr>
        <w:t xml:space="preserve"> spôsobujú infekcie očí. Pri použití kontaminovaných roztokov môže dôjsť k vážnemu poškodeniu oka a následnej strate zraku.</w:t>
      </w:r>
    </w:p>
    <w:p w14:paraId="203C07F9" w14:textId="77777777" w:rsidR="000049BF" w:rsidRPr="006512B1" w:rsidRDefault="000049BF">
      <w:pPr>
        <w:spacing w:line="240" w:lineRule="auto"/>
        <w:rPr>
          <w:sz w:val="22"/>
          <w:szCs w:val="22"/>
        </w:rPr>
      </w:pPr>
    </w:p>
    <w:p w14:paraId="3A0A9E12" w14:textId="77777777"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Aby sa znížilo riziko stmavnutia kože </w:t>
      </w:r>
      <w:r w:rsidR="00172919">
        <w:rPr>
          <w:sz w:val="22"/>
          <w:szCs w:val="22"/>
        </w:rPr>
        <w:t>očného viečka</w:t>
      </w:r>
      <w:r w:rsidRPr="006512B1">
        <w:rPr>
          <w:sz w:val="22"/>
          <w:szCs w:val="22"/>
        </w:rPr>
        <w:t xml:space="preserve">, pacienti si majú </w:t>
      </w:r>
      <w:r w:rsidR="00172919">
        <w:rPr>
          <w:sz w:val="22"/>
          <w:szCs w:val="22"/>
        </w:rPr>
        <w:t>zo</w:t>
      </w:r>
      <w:r w:rsidRPr="006512B1">
        <w:rPr>
          <w:sz w:val="22"/>
          <w:szCs w:val="22"/>
        </w:rPr>
        <w:t>trieť zvyš</w:t>
      </w:r>
      <w:r w:rsidR="00172919">
        <w:rPr>
          <w:sz w:val="22"/>
          <w:szCs w:val="22"/>
        </w:rPr>
        <w:t>ný</w:t>
      </w:r>
      <w:r w:rsidRPr="006512B1">
        <w:rPr>
          <w:sz w:val="22"/>
          <w:szCs w:val="22"/>
        </w:rPr>
        <w:t xml:space="preserve"> roztok z kože.</w:t>
      </w:r>
    </w:p>
    <w:p w14:paraId="445EDE5F" w14:textId="77777777" w:rsidR="00F37ABE" w:rsidRPr="006512B1" w:rsidRDefault="00F37ABE">
      <w:pPr>
        <w:spacing w:line="240" w:lineRule="auto"/>
        <w:rPr>
          <w:sz w:val="22"/>
          <w:szCs w:val="22"/>
        </w:rPr>
      </w:pPr>
    </w:p>
    <w:p w14:paraId="0685C772" w14:textId="77777777"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Systémová absorpcia sa zníži pri použití nazolakrimálnej</w:t>
      </w:r>
      <w:r w:rsidR="00F6534C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oklúzie alebo p</w:t>
      </w:r>
      <w:r w:rsidR="00EA589D">
        <w:rPr>
          <w:sz w:val="22"/>
          <w:szCs w:val="22"/>
        </w:rPr>
        <w:t>o</w:t>
      </w:r>
      <w:r w:rsidRPr="006512B1">
        <w:rPr>
          <w:sz w:val="22"/>
          <w:szCs w:val="22"/>
        </w:rPr>
        <w:t xml:space="preserve"> privretí očných viečok na 2 minúty. </w:t>
      </w:r>
      <w:r w:rsidR="00C26D5A">
        <w:rPr>
          <w:sz w:val="22"/>
          <w:szCs w:val="22"/>
        </w:rPr>
        <w:t>M</w:t>
      </w:r>
      <w:r w:rsidRPr="006512B1">
        <w:rPr>
          <w:sz w:val="22"/>
          <w:szCs w:val="22"/>
        </w:rPr>
        <w:t xml:space="preserve">ôže </w:t>
      </w:r>
      <w:r w:rsidR="00C26D5A">
        <w:rPr>
          <w:sz w:val="22"/>
          <w:szCs w:val="22"/>
        </w:rPr>
        <w:t xml:space="preserve">to </w:t>
      </w:r>
      <w:r w:rsidRPr="006512B1">
        <w:rPr>
          <w:sz w:val="22"/>
          <w:szCs w:val="22"/>
        </w:rPr>
        <w:t>zníž</w:t>
      </w:r>
      <w:r w:rsidR="00C26D5A">
        <w:rPr>
          <w:sz w:val="22"/>
          <w:szCs w:val="22"/>
        </w:rPr>
        <w:t>iť</w:t>
      </w:r>
      <w:r w:rsidRPr="006512B1">
        <w:rPr>
          <w:sz w:val="22"/>
          <w:szCs w:val="22"/>
        </w:rPr>
        <w:t xml:space="preserve"> systémov</w:t>
      </w:r>
      <w:r w:rsidR="00C26D5A">
        <w:rPr>
          <w:sz w:val="22"/>
          <w:szCs w:val="22"/>
        </w:rPr>
        <w:t>é</w:t>
      </w:r>
      <w:r w:rsidRPr="006512B1">
        <w:rPr>
          <w:sz w:val="22"/>
          <w:szCs w:val="22"/>
        </w:rPr>
        <w:t xml:space="preserve"> vedľajš</w:t>
      </w:r>
      <w:r w:rsidR="00C26D5A">
        <w:rPr>
          <w:sz w:val="22"/>
          <w:szCs w:val="22"/>
        </w:rPr>
        <w:t>ie</w:t>
      </w:r>
      <w:r w:rsidRPr="006512B1">
        <w:rPr>
          <w:sz w:val="22"/>
          <w:szCs w:val="22"/>
        </w:rPr>
        <w:t xml:space="preserve"> účink</w:t>
      </w:r>
      <w:r w:rsidR="00C26D5A">
        <w:rPr>
          <w:sz w:val="22"/>
          <w:szCs w:val="22"/>
        </w:rPr>
        <w:t>y</w:t>
      </w:r>
      <w:r w:rsidRPr="006512B1">
        <w:rPr>
          <w:sz w:val="22"/>
          <w:szCs w:val="22"/>
        </w:rPr>
        <w:t xml:space="preserve"> a zvýš</w:t>
      </w:r>
      <w:r w:rsidR="006F53CB">
        <w:rPr>
          <w:sz w:val="22"/>
          <w:szCs w:val="22"/>
        </w:rPr>
        <w:t>iť</w:t>
      </w:r>
      <w:r w:rsidRPr="006512B1">
        <w:rPr>
          <w:sz w:val="22"/>
          <w:szCs w:val="22"/>
        </w:rPr>
        <w:t xml:space="preserve"> lokálne pôsobeni</w:t>
      </w:r>
      <w:r w:rsidR="006F53CB">
        <w:rPr>
          <w:sz w:val="22"/>
          <w:szCs w:val="22"/>
        </w:rPr>
        <w:t>e</w:t>
      </w:r>
      <w:r w:rsidRPr="006512B1">
        <w:rPr>
          <w:sz w:val="22"/>
          <w:szCs w:val="22"/>
        </w:rPr>
        <w:t>.</w:t>
      </w:r>
    </w:p>
    <w:p w14:paraId="5541073A" w14:textId="77777777" w:rsidR="00F37ABE" w:rsidRPr="006512B1" w:rsidRDefault="00F37ABE">
      <w:pPr>
        <w:spacing w:line="240" w:lineRule="auto"/>
        <w:rPr>
          <w:color w:val="000000"/>
          <w:sz w:val="22"/>
          <w:szCs w:val="22"/>
        </w:rPr>
      </w:pPr>
    </w:p>
    <w:p w14:paraId="3ABF195B" w14:textId="77777777"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Ak sa používa viac </w:t>
      </w:r>
      <w:r w:rsidR="00BD10F3">
        <w:rPr>
          <w:sz w:val="22"/>
          <w:szCs w:val="22"/>
        </w:rPr>
        <w:t xml:space="preserve">ako jeden lokálny </w:t>
      </w:r>
      <w:r w:rsidR="001E78E9">
        <w:rPr>
          <w:sz w:val="22"/>
          <w:szCs w:val="22"/>
        </w:rPr>
        <w:t>očný</w:t>
      </w:r>
      <w:r w:rsidRPr="006512B1">
        <w:rPr>
          <w:sz w:val="22"/>
          <w:szCs w:val="22"/>
        </w:rPr>
        <w:t xml:space="preserve"> liek, </w:t>
      </w:r>
      <w:r w:rsidR="00FB58C2">
        <w:rPr>
          <w:sz w:val="22"/>
          <w:szCs w:val="22"/>
        </w:rPr>
        <w:t>každý sa má podať</w:t>
      </w:r>
      <w:r w:rsidRPr="006512B1">
        <w:rPr>
          <w:sz w:val="22"/>
          <w:szCs w:val="22"/>
        </w:rPr>
        <w:t xml:space="preserve"> s odstupom aspoň 5 minút.</w:t>
      </w:r>
    </w:p>
    <w:p w14:paraId="503C975E" w14:textId="77777777" w:rsidR="00F37ABE" w:rsidRPr="006512B1" w:rsidRDefault="00F37ABE">
      <w:pPr>
        <w:spacing w:line="240" w:lineRule="auto"/>
        <w:rPr>
          <w:sz w:val="22"/>
          <w:szCs w:val="22"/>
        </w:rPr>
      </w:pPr>
    </w:p>
    <w:p w14:paraId="3F87CCC9" w14:textId="39259266" w:rsidR="00CE1580" w:rsidRPr="006512B1" w:rsidRDefault="00CE1580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>Pred podaním očn</w:t>
      </w:r>
      <w:r w:rsidR="006C526E">
        <w:rPr>
          <w:color w:val="000000"/>
          <w:sz w:val="22"/>
          <w:szCs w:val="22"/>
        </w:rPr>
        <w:t>ých kvapiek</w:t>
      </w:r>
      <w:r w:rsidRPr="006512B1">
        <w:rPr>
          <w:color w:val="000000"/>
          <w:sz w:val="22"/>
          <w:szCs w:val="22"/>
        </w:rPr>
        <w:t xml:space="preserve"> sa majú kontaktné šošovky vybrať</w:t>
      </w:r>
      <w:r w:rsidR="00C4130D">
        <w:rPr>
          <w:color w:val="000000"/>
          <w:sz w:val="22"/>
          <w:szCs w:val="22"/>
        </w:rPr>
        <w:t xml:space="preserve"> a z</w:t>
      </w:r>
      <w:r w:rsidRPr="006512B1">
        <w:rPr>
          <w:color w:val="000000"/>
          <w:sz w:val="22"/>
          <w:szCs w:val="22"/>
        </w:rPr>
        <w:t>nova ich možno nasadiť po 15 minútach.</w:t>
      </w:r>
    </w:p>
    <w:p w14:paraId="57C81A7A" w14:textId="77777777" w:rsidR="00F37ABE" w:rsidRPr="006512B1" w:rsidRDefault="00F37ABE">
      <w:pPr>
        <w:spacing w:line="240" w:lineRule="auto"/>
        <w:rPr>
          <w:color w:val="000000"/>
          <w:sz w:val="22"/>
          <w:szCs w:val="22"/>
        </w:rPr>
      </w:pPr>
    </w:p>
    <w:p w14:paraId="32ACA3E5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Kontraindikácie</w:t>
      </w:r>
    </w:p>
    <w:p w14:paraId="24185F69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5611031A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Precitlivenosť na liečivá alebo na ktorúkoľvek z pomocných látok uvedených v časti 6.1.</w:t>
      </w:r>
    </w:p>
    <w:p w14:paraId="65B0F2FB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50666EA9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Reaktívne ochorenie dýchacích ciest vrátane bronchiálnej astmy alebo</w:t>
      </w:r>
      <w:r w:rsidR="00DC6935">
        <w:rPr>
          <w:sz w:val="22"/>
          <w:szCs w:val="22"/>
        </w:rPr>
        <w:t> anamnéz</w:t>
      </w:r>
      <w:r w:rsidR="00162E20">
        <w:rPr>
          <w:sz w:val="22"/>
          <w:szCs w:val="22"/>
        </w:rPr>
        <w:t>a</w:t>
      </w:r>
      <w:r w:rsidR="00DC6935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bronchiálnej astmy, </w:t>
      </w:r>
      <w:r w:rsidR="005B6873">
        <w:rPr>
          <w:sz w:val="22"/>
          <w:szCs w:val="22"/>
        </w:rPr>
        <w:t>ťažká</w:t>
      </w:r>
      <w:r w:rsidRPr="006512B1">
        <w:rPr>
          <w:sz w:val="22"/>
          <w:szCs w:val="22"/>
        </w:rPr>
        <w:t xml:space="preserve"> chronická obštrukčná choroba pľúc.</w:t>
      </w:r>
    </w:p>
    <w:p w14:paraId="04B01D51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14:paraId="736170AF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Sínusová bradykardia, syndróm chorého sínusu vrátane sinoatriálnej blokády, atrioventrikulárn</w:t>
      </w:r>
      <w:r w:rsidR="00C04E7F">
        <w:rPr>
          <w:sz w:val="22"/>
          <w:szCs w:val="22"/>
        </w:rPr>
        <w:t xml:space="preserve">ej </w:t>
      </w:r>
      <w:r w:rsidRPr="006512B1">
        <w:rPr>
          <w:sz w:val="22"/>
          <w:szCs w:val="22"/>
        </w:rPr>
        <w:t>blokád</w:t>
      </w:r>
      <w:r w:rsidR="00C04E7F">
        <w:rPr>
          <w:sz w:val="22"/>
          <w:szCs w:val="22"/>
        </w:rPr>
        <w:t>y</w:t>
      </w:r>
      <w:r w:rsidRPr="006512B1">
        <w:rPr>
          <w:sz w:val="22"/>
          <w:szCs w:val="22"/>
        </w:rPr>
        <w:t xml:space="preserve"> druhého alebo tretieho stupňa bez kardiostimulátora. Zjavné srdcové zlyhanie, kardiogénny šok.</w:t>
      </w:r>
    </w:p>
    <w:p w14:paraId="7C2CD59E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5F0C0BE7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4.4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Osobitné upozornenia a opatrenia pri používaní</w:t>
      </w:r>
    </w:p>
    <w:p w14:paraId="6C318058" w14:textId="77777777" w:rsidR="00C53ACC" w:rsidRPr="006512B1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14:paraId="4215B198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Systémové účinky:</w:t>
      </w:r>
    </w:p>
    <w:p w14:paraId="554AF759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Tak ako iné</w:t>
      </w:r>
      <w:r w:rsidR="005712DF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</w:t>
      </w:r>
      <w:r w:rsidR="00C04E7F">
        <w:rPr>
          <w:sz w:val="22"/>
          <w:szCs w:val="22"/>
        </w:rPr>
        <w:t>lokálne</w:t>
      </w:r>
      <w:r w:rsidRPr="006512B1">
        <w:rPr>
          <w:sz w:val="22"/>
          <w:szCs w:val="22"/>
        </w:rPr>
        <w:t xml:space="preserve"> podávané</w:t>
      </w:r>
      <w:r w:rsidR="005712DF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</w:t>
      </w:r>
      <w:r w:rsidR="001E78E9">
        <w:rPr>
          <w:sz w:val="22"/>
          <w:szCs w:val="22"/>
        </w:rPr>
        <w:t>očn</w:t>
      </w:r>
      <w:r w:rsidRPr="006512B1">
        <w:rPr>
          <w:sz w:val="22"/>
          <w:szCs w:val="22"/>
        </w:rPr>
        <w:t>é látky, tafluprost a timolol sa absorbujú systémovo. V dôsledku beta</w:t>
      </w:r>
      <w:r w:rsidR="00CE5867">
        <w:rPr>
          <w:sz w:val="22"/>
          <w:szCs w:val="22"/>
        </w:rPr>
        <w:t>-</w:t>
      </w:r>
      <w:r w:rsidRPr="006512B1">
        <w:rPr>
          <w:sz w:val="22"/>
          <w:szCs w:val="22"/>
        </w:rPr>
        <w:t xml:space="preserve">adrenergnej zložky timololu sa môžu vyskytnúť rovnaké </w:t>
      </w:r>
      <w:r w:rsidR="00CE5867">
        <w:rPr>
          <w:sz w:val="22"/>
          <w:szCs w:val="22"/>
        </w:rPr>
        <w:t>typy</w:t>
      </w:r>
      <w:r w:rsidRPr="006512B1">
        <w:rPr>
          <w:sz w:val="22"/>
          <w:szCs w:val="22"/>
        </w:rPr>
        <w:t xml:space="preserve"> kardiovaskulárnych, pľúcnych a iných nežiaducich reakcií, ako sa pozorovali pri systémových beta</w:t>
      </w:r>
      <w:r w:rsidR="00990C59">
        <w:rPr>
          <w:sz w:val="22"/>
          <w:szCs w:val="22"/>
        </w:rPr>
        <w:t>-</w:t>
      </w:r>
      <w:r w:rsidRPr="006512B1">
        <w:rPr>
          <w:sz w:val="22"/>
          <w:szCs w:val="22"/>
        </w:rPr>
        <w:t>adrenergných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blokátoroch. Výskyt systémových nežiaducich reakcií po </w:t>
      </w:r>
      <w:r w:rsidR="00990C59">
        <w:rPr>
          <w:sz w:val="22"/>
          <w:szCs w:val="22"/>
        </w:rPr>
        <w:t>lokálnom</w:t>
      </w:r>
      <w:r w:rsidRPr="006512B1">
        <w:rPr>
          <w:sz w:val="22"/>
          <w:szCs w:val="22"/>
        </w:rPr>
        <w:t xml:space="preserve"> podaní do oka je nižš</w:t>
      </w:r>
      <w:r w:rsidR="00EB7FEF" w:rsidRPr="006512B1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ako pri systémovom podaní. Informácie o znížení systémovej absorpcie</w:t>
      </w:r>
      <w:r w:rsidR="00EB7FEF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EB7FEF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</w:t>
      </w:r>
    </w:p>
    <w:p w14:paraId="37FFF716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71B6D417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Poruchy srdca a srdcovej činnosti:</w:t>
      </w:r>
    </w:p>
    <w:p w14:paraId="0DF3730A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U pacientov s kardiovaskulárnymi ochoreniami (napr. </w:t>
      </w:r>
      <w:r w:rsidR="00EB7FEF" w:rsidRPr="006512B1">
        <w:rPr>
          <w:sz w:val="22"/>
          <w:szCs w:val="22"/>
        </w:rPr>
        <w:t xml:space="preserve">ischemická </w:t>
      </w:r>
      <w:r w:rsidRPr="006512B1">
        <w:rPr>
          <w:sz w:val="22"/>
          <w:szCs w:val="22"/>
        </w:rPr>
        <w:t xml:space="preserve">choroba srdca, Prinzmetalova angína a srdcové zlyhanie) a hypotenziou sa má liečba betablokátormi </w:t>
      </w:r>
      <w:r w:rsidR="000060A1">
        <w:rPr>
          <w:sz w:val="22"/>
          <w:szCs w:val="22"/>
        </w:rPr>
        <w:t>seriózne</w:t>
      </w:r>
      <w:r w:rsidRPr="006512B1">
        <w:rPr>
          <w:sz w:val="22"/>
          <w:szCs w:val="22"/>
        </w:rPr>
        <w:t xml:space="preserve"> posúdiť a má sa zvážiť liečba inými liečivami. U pacientov s kardiovaskulárnymi ochoreniami sa majú sledovať </w:t>
      </w:r>
      <w:r w:rsidR="00EB7FEF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>zhoršenia týchto ochorení a nežiaducich reakcií.</w:t>
      </w:r>
    </w:p>
    <w:p w14:paraId="4F9103B3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Vzhľadom na negatívny účinok na </w:t>
      </w:r>
      <w:r w:rsidR="00EB7FEF" w:rsidRPr="006512B1">
        <w:rPr>
          <w:sz w:val="22"/>
          <w:szCs w:val="22"/>
        </w:rPr>
        <w:t>kondukčný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čas sa</w:t>
      </w:r>
      <w:r w:rsidR="00EB7FEF" w:rsidRPr="006512B1">
        <w:rPr>
          <w:sz w:val="22"/>
          <w:szCs w:val="22"/>
        </w:rPr>
        <w:t xml:space="preserve"> majú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betablokátory podávať pacientom so srdcovou blokádou prvého stupňa len s opatrnosťou.</w:t>
      </w:r>
    </w:p>
    <w:p w14:paraId="0947C54B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21688ADE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Poruchy ciev:</w:t>
      </w:r>
    </w:p>
    <w:p w14:paraId="42A4181A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lastRenderedPageBreak/>
        <w:t>Pacienti s</w:t>
      </w:r>
      <w:r w:rsidR="00EB7FEF" w:rsidRPr="006512B1">
        <w:rPr>
          <w:sz w:val="22"/>
          <w:szCs w:val="22"/>
        </w:rPr>
        <w:t> ťažkou poruchou/chorobou periférnej cirkulácie</w:t>
      </w:r>
      <w:r w:rsidRPr="006512B1">
        <w:rPr>
          <w:sz w:val="22"/>
          <w:szCs w:val="22"/>
        </w:rPr>
        <w:t xml:space="preserve"> (</w:t>
      </w:r>
      <w:r w:rsidR="00682379">
        <w:rPr>
          <w:sz w:val="22"/>
          <w:szCs w:val="22"/>
        </w:rPr>
        <w:t>t.j</w:t>
      </w:r>
      <w:r w:rsidRPr="006512B1">
        <w:rPr>
          <w:sz w:val="22"/>
          <w:szCs w:val="22"/>
        </w:rPr>
        <w:t xml:space="preserve">. </w:t>
      </w:r>
      <w:r w:rsidR="00682379">
        <w:rPr>
          <w:sz w:val="22"/>
          <w:szCs w:val="22"/>
        </w:rPr>
        <w:t>ťažké</w:t>
      </w:r>
      <w:r w:rsidRPr="006512B1">
        <w:rPr>
          <w:sz w:val="22"/>
          <w:szCs w:val="22"/>
        </w:rPr>
        <w:t xml:space="preserve"> formy Raynaudovej choroby alebo Raynaudovho syndrómu) sa majú liečiť s opatrnosťou.</w:t>
      </w:r>
    </w:p>
    <w:p w14:paraId="2C3D72CA" w14:textId="77777777" w:rsidR="00C53ACC" w:rsidRPr="006512B1" w:rsidRDefault="00C53AC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14:paraId="4C6984F3" w14:textId="77777777" w:rsidR="00CE1580" w:rsidRPr="006512B1" w:rsidRDefault="00CE1580" w:rsidP="006512B1">
      <w:pPr>
        <w:keepNext/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Poruchy dýchacej sústavy:</w:t>
      </w:r>
    </w:p>
    <w:p w14:paraId="071E48C1" w14:textId="77777777" w:rsidR="00CE1580" w:rsidRPr="006512B1" w:rsidRDefault="00EB7FEF" w:rsidP="006512B1">
      <w:pPr>
        <w:keepNext/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V dôsledku bronchospazmu boli u pacientov s astmou p</w:t>
      </w:r>
      <w:r w:rsidR="00CE1580" w:rsidRPr="006512B1">
        <w:rPr>
          <w:sz w:val="22"/>
          <w:szCs w:val="22"/>
        </w:rPr>
        <w:t xml:space="preserve">o podaní niektorých </w:t>
      </w:r>
      <w:r w:rsidR="005712DF">
        <w:rPr>
          <w:sz w:val="22"/>
          <w:szCs w:val="22"/>
        </w:rPr>
        <w:t>očn</w:t>
      </w:r>
      <w:r w:rsidR="00CE1580" w:rsidRPr="006512B1">
        <w:rPr>
          <w:sz w:val="22"/>
          <w:szCs w:val="22"/>
        </w:rPr>
        <w:t>ých betablokátorov hlásené respiračné reakcie</w:t>
      </w:r>
      <w:r w:rsidRPr="006512B1">
        <w:rPr>
          <w:sz w:val="22"/>
          <w:szCs w:val="22"/>
        </w:rPr>
        <w:t>,</w:t>
      </w:r>
      <w:r w:rsidR="00CE1580" w:rsidRPr="006512B1">
        <w:rPr>
          <w:sz w:val="22"/>
          <w:szCs w:val="22"/>
        </w:rPr>
        <w:t xml:space="preserve"> vrátane smrti. </w:t>
      </w:r>
      <w:r w:rsidR="00CE1580" w:rsidRPr="009D4FF8">
        <w:rPr>
          <w:caps/>
          <w:sz w:val="22"/>
          <w:szCs w:val="22"/>
        </w:rPr>
        <w:t>Taptiqom</w:t>
      </w:r>
      <w:r w:rsidR="00CE1580" w:rsidRPr="006512B1">
        <w:rPr>
          <w:sz w:val="22"/>
          <w:szCs w:val="22"/>
        </w:rPr>
        <w:t xml:space="preserve"> sa má používať s opatrnosťou u pacientov s miernou/stredne </w:t>
      </w:r>
      <w:r w:rsidR="00255160">
        <w:rPr>
          <w:sz w:val="22"/>
          <w:szCs w:val="22"/>
        </w:rPr>
        <w:t>ťažkou</w:t>
      </w:r>
      <w:r w:rsidR="00CE1580" w:rsidRPr="006512B1">
        <w:rPr>
          <w:sz w:val="22"/>
          <w:szCs w:val="22"/>
        </w:rPr>
        <w:t xml:space="preserve"> chronickou obštruk</w:t>
      </w:r>
      <w:r w:rsidRPr="006512B1">
        <w:rPr>
          <w:sz w:val="22"/>
          <w:szCs w:val="22"/>
        </w:rPr>
        <w:t>č</w:t>
      </w:r>
      <w:r w:rsidR="00CE1580" w:rsidRPr="006512B1">
        <w:rPr>
          <w:sz w:val="22"/>
          <w:szCs w:val="22"/>
        </w:rPr>
        <w:t>nou chorobou pľúc (C</w:t>
      </w:r>
      <w:r w:rsidRPr="006512B1">
        <w:rPr>
          <w:sz w:val="22"/>
          <w:szCs w:val="22"/>
        </w:rPr>
        <w:t>H</w:t>
      </w:r>
      <w:r w:rsidR="00CE1580" w:rsidRPr="006512B1">
        <w:rPr>
          <w:sz w:val="22"/>
          <w:szCs w:val="22"/>
        </w:rPr>
        <w:t>O</w:t>
      </w:r>
      <w:r w:rsidR="00750274" w:rsidRPr="006512B1">
        <w:rPr>
          <w:sz w:val="22"/>
          <w:szCs w:val="22"/>
        </w:rPr>
        <w:t>CH</w:t>
      </w:r>
      <w:r w:rsidR="00CE1580" w:rsidRPr="006512B1">
        <w:rPr>
          <w:sz w:val="22"/>
          <w:szCs w:val="22"/>
        </w:rPr>
        <w:t>P), a to len vtedy, keď potenciálny prínos prevažuje nad</w:t>
      </w:r>
      <w:r w:rsidR="00FD3940" w:rsidRPr="006512B1">
        <w:rPr>
          <w:sz w:val="22"/>
          <w:szCs w:val="22"/>
        </w:rPr>
        <w:t xml:space="preserve"> </w:t>
      </w:r>
      <w:r w:rsidR="00CE1580" w:rsidRPr="006512B1">
        <w:rPr>
          <w:sz w:val="22"/>
          <w:szCs w:val="22"/>
        </w:rPr>
        <w:t>potenciálnym rizikom.</w:t>
      </w:r>
    </w:p>
    <w:p w14:paraId="2FD9CBDC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516E9628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Hypoglykémia/diabetes:</w:t>
      </w:r>
    </w:p>
    <w:p w14:paraId="1A835134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Betablokátory sa majú podávať s opatrnosťou pacientom so spontánnou hypoglykémiou alebo pacientom s labilným diabetom, pretože betablokátory môžu maskovať </w:t>
      </w:r>
      <w:r w:rsidR="00750274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>a príznaky akútnej hypoglykémie.</w:t>
      </w:r>
    </w:p>
    <w:p w14:paraId="3ACEF51C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14:paraId="309DF602" w14:textId="77777777" w:rsidR="00CE1580" w:rsidRPr="006512B1" w:rsidRDefault="00CE1580" w:rsidP="003D4B39">
      <w:pPr>
        <w:tabs>
          <w:tab w:val="left" w:pos="480"/>
          <w:tab w:val="left" w:pos="96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200"/>
        </w:tabs>
        <w:spacing w:line="240" w:lineRule="auto"/>
        <w:ind w:right="140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Betablokátory môžu taktiež maskovať </w:t>
      </w:r>
      <w:r w:rsidR="00750274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>hypertyreózy. Náhle ukončenie liečby betablokátormi môže vyvolať zhoršenie príznakov.</w:t>
      </w:r>
    </w:p>
    <w:p w14:paraId="36F38577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14:paraId="3753FECC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Ochorenia rohovky:</w:t>
      </w:r>
    </w:p>
    <w:p w14:paraId="2C62A669" w14:textId="77777777" w:rsidR="00CE1580" w:rsidRPr="006512B1" w:rsidRDefault="005712DF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Očné</w:t>
      </w:r>
      <w:r w:rsidR="00CE1580" w:rsidRPr="006512B1">
        <w:rPr>
          <w:sz w:val="22"/>
          <w:szCs w:val="22"/>
        </w:rPr>
        <w:t xml:space="preserve"> betablokátory môžu vyvolať suchosť očí. Pacienti s ochoreniami rohovky sa majú liečiť s opatrnosťou. </w:t>
      </w:r>
    </w:p>
    <w:p w14:paraId="5F96DCDD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14:paraId="39A3F881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Iné betablokátory:</w:t>
      </w:r>
    </w:p>
    <w:p w14:paraId="62814E1E" w14:textId="77777777" w:rsidR="00D62E1D" w:rsidRPr="006512B1" w:rsidRDefault="00D62E1D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Účinok na vnútroočný tlak alebo známy účinok systémovej betablokády </w:t>
      </w:r>
      <w:r w:rsidR="00403EE2">
        <w:rPr>
          <w:sz w:val="22"/>
          <w:szCs w:val="22"/>
        </w:rPr>
        <w:t>sa môže</w:t>
      </w:r>
      <w:r w:rsidRPr="006512B1">
        <w:rPr>
          <w:sz w:val="22"/>
          <w:szCs w:val="22"/>
        </w:rPr>
        <w:t xml:space="preserve"> zosiln</w:t>
      </w:r>
      <w:r w:rsidR="00403EE2">
        <w:rPr>
          <w:sz w:val="22"/>
          <w:szCs w:val="22"/>
        </w:rPr>
        <w:t>iť</w:t>
      </w:r>
      <w:r w:rsidRPr="006512B1">
        <w:rPr>
          <w:sz w:val="22"/>
          <w:szCs w:val="22"/>
        </w:rPr>
        <w:t xml:space="preserve">, ak sa timolol (zložka </w:t>
      </w:r>
      <w:r w:rsidRPr="009D4FF8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) podá pacientom, ktorí už dostávajú systémový betablokátor. Reakcia týchto pacientov sa má pozorne sledovať. Použitie dvoch </w:t>
      </w:r>
      <w:r w:rsidR="003F59FB">
        <w:rPr>
          <w:sz w:val="22"/>
          <w:szCs w:val="22"/>
        </w:rPr>
        <w:t>lokálnych</w:t>
      </w:r>
      <w:r w:rsidRPr="006512B1">
        <w:rPr>
          <w:sz w:val="22"/>
          <w:szCs w:val="22"/>
        </w:rPr>
        <w:t xml:space="preserve"> beta</w:t>
      </w:r>
      <w:r w:rsidR="003F59FB">
        <w:rPr>
          <w:sz w:val="22"/>
          <w:szCs w:val="22"/>
        </w:rPr>
        <w:t>-</w:t>
      </w:r>
      <w:r w:rsidRPr="006512B1">
        <w:rPr>
          <w:sz w:val="22"/>
          <w:szCs w:val="22"/>
        </w:rPr>
        <w:t>adrenergných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blokátorov sa neodporúča.</w:t>
      </w:r>
    </w:p>
    <w:p w14:paraId="159ECC43" w14:textId="77777777" w:rsidR="000625C8" w:rsidRPr="006512B1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080EE762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Glaukóm s uzavretým uhlom:</w:t>
      </w:r>
    </w:p>
    <w:p w14:paraId="3ECF4131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Bezprostredným cieľom liečby pacientov s glaukómom s uzavretým uhlom je znova otvoriť uhol. To si vyžaduje zúženie zrenice pomocou miotika. Timolol má len malý alebo žiadny účinok na zrenicu. </w:t>
      </w:r>
      <w:r w:rsidR="00F77271">
        <w:rPr>
          <w:sz w:val="22"/>
          <w:szCs w:val="22"/>
        </w:rPr>
        <w:t>Ak</w:t>
      </w:r>
      <w:r w:rsidRPr="006512B1">
        <w:rPr>
          <w:sz w:val="22"/>
          <w:szCs w:val="22"/>
        </w:rPr>
        <w:t xml:space="preserve"> sa timolol používa </w:t>
      </w:r>
      <w:r w:rsidR="00945713" w:rsidRPr="00945713">
        <w:rPr>
          <w:sz w:val="22"/>
          <w:szCs w:val="22"/>
        </w:rPr>
        <w:t xml:space="preserve">pri glaukóme s uzavretým uhlom </w:t>
      </w:r>
      <w:r w:rsidRPr="006512B1">
        <w:rPr>
          <w:sz w:val="22"/>
          <w:szCs w:val="22"/>
        </w:rPr>
        <w:t>na zníženie zvýšeného vnútroočného tlaku, má sa použ</w:t>
      </w:r>
      <w:r w:rsidR="0076594D">
        <w:rPr>
          <w:sz w:val="22"/>
          <w:szCs w:val="22"/>
        </w:rPr>
        <w:t>íva</w:t>
      </w:r>
      <w:r w:rsidRPr="006512B1">
        <w:rPr>
          <w:sz w:val="22"/>
          <w:szCs w:val="22"/>
        </w:rPr>
        <w:t>ť s miotikom a nie samostatne.</w:t>
      </w:r>
    </w:p>
    <w:p w14:paraId="3004BD2F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40DA7962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Anafylaktické reakcie:</w:t>
      </w:r>
    </w:p>
    <w:p w14:paraId="186F7F1E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Pacienti s</w:t>
      </w:r>
      <w:r w:rsidR="00162E20">
        <w:rPr>
          <w:sz w:val="22"/>
          <w:szCs w:val="22"/>
        </w:rPr>
        <w:t xml:space="preserve"> anamnézou </w:t>
      </w:r>
      <w:r w:rsidRPr="006512B1">
        <w:rPr>
          <w:sz w:val="22"/>
          <w:szCs w:val="22"/>
        </w:rPr>
        <w:t xml:space="preserve">atopie alebo </w:t>
      </w:r>
      <w:r w:rsidR="0052133C">
        <w:rPr>
          <w:sz w:val="22"/>
          <w:szCs w:val="22"/>
        </w:rPr>
        <w:t xml:space="preserve">anamnézou </w:t>
      </w:r>
      <w:r w:rsidR="0076594D">
        <w:rPr>
          <w:sz w:val="22"/>
          <w:szCs w:val="22"/>
        </w:rPr>
        <w:t>ťažk</w:t>
      </w:r>
      <w:r w:rsidR="0039225D">
        <w:rPr>
          <w:sz w:val="22"/>
          <w:szCs w:val="22"/>
        </w:rPr>
        <w:t>ej</w:t>
      </w:r>
      <w:r w:rsidRPr="006512B1">
        <w:rPr>
          <w:sz w:val="22"/>
          <w:szCs w:val="22"/>
        </w:rPr>
        <w:t xml:space="preserve"> anafylaktick</w:t>
      </w:r>
      <w:r w:rsidR="0039225D">
        <w:rPr>
          <w:sz w:val="22"/>
          <w:szCs w:val="22"/>
        </w:rPr>
        <w:t>ej</w:t>
      </w:r>
      <w:r w:rsidRPr="006512B1">
        <w:rPr>
          <w:sz w:val="22"/>
          <w:szCs w:val="22"/>
        </w:rPr>
        <w:t xml:space="preserve"> reakci</w:t>
      </w:r>
      <w:r w:rsidR="0039225D">
        <w:rPr>
          <w:sz w:val="22"/>
          <w:szCs w:val="22"/>
        </w:rPr>
        <w:t>e</w:t>
      </w:r>
      <w:r w:rsidRPr="006512B1">
        <w:rPr>
          <w:sz w:val="22"/>
          <w:szCs w:val="22"/>
        </w:rPr>
        <w:t xml:space="preserve"> na rôzne alergény, ktorí užívajú betablokátory, môžu byť reaktívnejší na opakované vystavenie týmto alergénom a nemusia reagovať na </w:t>
      </w:r>
      <w:r w:rsidR="00750274" w:rsidRPr="006512B1">
        <w:rPr>
          <w:sz w:val="22"/>
          <w:szCs w:val="22"/>
        </w:rPr>
        <w:t xml:space="preserve">bežné </w:t>
      </w:r>
      <w:r w:rsidRPr="006512B1">
        <w:rPr>
          <w:sz w:val="22"/>
          <w:szCs w:val="22"/>
        </w:rPr>
        <w:t>dávky adrenalínu používané na liečbu anafylaktických reakcií.</w:t>
      </w:r>
    </w:p>
    <w:p w14:paraId="086C6590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4180F99D" w14:textId="77777777" w:rsidR="00CE1580" w:rsidRPr="006512B1" w:rsidRDefault="00B90391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Odlú</w:t>
      </w:r>
      <w:r w:rsidR="00D36E3A">
        <w:rPr>
          <w:i/>
          <w:sz w:val="22"/>
          <w:szCs w:val="22"/>
        </w:rPr>
        <w:t>p</w:t>
      </w:r>
      <w:r w:rsidRPr="006512B1">
        <w:rPr>
          <w:i/>
          <w:sz w:val="22"/>
          <w:szCs w:val="22"/>
        </w:rPr>
        <w:t xml:space="preserve">enie </w:t>
      </w:r>
      <w:r w:rsidR="00CE1580" w:rsidRPr="006512B1">
        <w:rPr>
          <w:i/>
          <w:sz w:val="22"/>
          <w:szCs w:val="22"/>
        </w:rPr>
        <w:t>ciev</w:t>
      </w:r>
      <w:r w:rsidR="000749D7">
        <w:rPr>
          <w:i/>
          <w:sz w:val="22"/>
          <w:szCs w:val="22"/>
        </w:rPr>
        <w:t>ovky</w:t>
      </w:r>
      <w:r w:rsidR="00CE1580" w:rsidRPr="006512B1">
        <w:rPr>
          <w:i/>
          <w:sz w:val="22"/>
          <w:szCs w:val="22"/>
        </w:rPr>
        <w:t>:</w:t>
      </w:r>
    </w:p>
    <w:p w14:paraId="0BF4CDA3" w14:textId="716E35E2" w:rsidR="00CE1580" w:rsidRPr="006512B1" w:rsidRDefault="00B90391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Odlú</w:t>
      </w:r>
      <w:r w:rsidR="00456606">
        <w:rPr>
          <w:sz w:val="22"/>
          <w:szCs w:val="22"/>
        </w:rPr>
        <w:t>p</w:t>
      </w:r>
      <w:r w:rsidRPr="006512B1">
        <w:rPr>
          <w:sz w:val="22"/>
          <w:szCs w:val="22"/>
        </w:rPr>
        <w:t xml:space="preserve">enie </w:t>
      </w:r>
      <w:r w:rsidR="00CE1580" w:rsidRPr="006512B1">
        <w:rPr>
          <w:sz w:val="22"/>
          <w:szCs w:val="22"/>
        </w:rPr>
        <w:t>ciev</w:t>
      </w:r>
      <w:r w:rsidR="00D36E3A">
        <w:rPr>
          <w:sz w:val="22"/>
          <w:szCs w:val="22"/>
        </w:rPr>
        <w:t>ov</w:t>
      </w:r>
      <w:r w:rsidR="002427D8">
        <w:rPr>
          <w:sz w:val="22"/>
          <w:szCs w:val="22"/>
        </w:rPr>
        <w:t>k</w:t>
      </w:r>
      <w:r w:rsidR="00CE1580" w:rsidRPr="006512B1">
        <w:rPr>
          <w:sz w:val="22"/>
          <w:szCs w:val="22"/>
        </w:rPr>
        <w:t xml:space="preserve">y bolo hlásené </w:t>
      </w:r>
      <w:r w:rsidR="0021665F">
        <w:rPr>
          <w:sz w:val="22"/>
          <w:szCs w:val="22"/>
        </w:rPr>
        <w:t xml:space="preserve">po </w:t>
      </w:r>
      <w:r w:rsidR="0021665F" w:rsidRPr="00436266">
        <w:rPr>
          <w:sz w:val="22"/>
          <w:szCs w:val="22"/>
        </w:rPr>
        <w:t>filtr</w:t>
      </w:r>
      <w:r w:rsidR="00436266">
        <w:rPr>
          <w:sz w:val="22"/>
          <w:szCs w:val="22"/>
        </w:rPr>
        <w:t>ačných procedúrach</w:t>
      </w:r>
      <w:r w:rsidR="0021665F">
        <w:rPr>
          <w:sz w:val="22"/>
          <w:szCs w:val="22"/>
        </w:rPr>
        <w:t xml:space="preserve"> </w:t>
      </w:r>
      <w:r w:rsidR="00CE1580" w:rsidRPr="006512B1">
        <w:rPr>
          <w:sz w:val="22"/>
          <w:szCs w:val="22"/>
        </w:rPr>
        <w:t>pri podaní vodnej supresívnej liečby (napr. timololu, acetazolamidu).</w:t>
      </w:r>
    </w:p>
    <w:p w14:paraId="49819246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0AD559C8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Chirurgická anestézia:</w:t>
      </w:r>
    </w:p>
    <w:p w14:paraId="35E1F2AC" w14:textId="77777777"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Betablokujúce </w:t>
      </w:r>
      <w:r w:rsidR="0021665F">
        <w:rPr>
          <w:sz w:val="22"/>
          <w:szCs w:val="22"/>
        </w:rPr>
        <w:t>očné</w:t>
      </w:r>
      <w:r w:rsidRPr="006512B1">
        <w:rPr>
          <w:sz w:val="22"/>
          <w:szCs w:val="22"/>
        </w:rPr>
        <w:t xml:space="preserve"> </w:t>
      </w:r>
      <w:r w:rsidR="00112060">
        <w:rPr>
          <w:sz w:val="22"/>
          <w:szCs w:val="22"/>
        </w:rPr>
        <w:t>lieky</w:t>
      </w:r>
      <w:r w:rsidRPr="006512B1">
        <w:rPr>
          <w:sz w:val="22"/>
          <w:szCs w:val="22"/>
        </w:rPr>
        <w:t xml:space="preserve"> môžu blokovať účinky systémových betaagonistov, napr. adrenalínu. Anestéziológ má byť informovaný o tom, že pacient dostáva timolol.</w:t>
      </w:r>
    </w:p>
    <w:p w14:paraId="38277FFC" w14:textId="77777777" w:rsidR="00CF1725" w:rsidRPr="006512B1" w:rsidRDefault="00CF1725" w:rsidP="00FF66FC">
      <w:pPr>
        <w:spacing w:line="240" w:lineRule="auto"/>
        <w:rPr>
          <w:sz w:val="22"/>
          <w:szCs w:val="22"/>
        </w:rPr>
      </w:pPr>
    </w:p>
    <w:p w14:paraId="5E65B5AB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Pred začiatkom liečby má byť pacient informovaný o možnom raste </w:t>
      </w:r>
      <w:r w:rsidR="00C8655A">
        <w:rPr>
          <w:sz w:val="22"/>
          <w:szCs w:val="22"/>
        </w:rPr>
        <w:t>očných rias</w:t>
      </w:r>
      <w:r w:rsidRPr="006512B1">
        <w:rPr>
          <w:sz w:val="22"/>
          <w:szCs w:val="22"/>
        </w:rPr>
        <w:t xml:space="preserve">, stmavnutí kože na očných viečkach a zvýšení pigmentácie dúhovky, ktoré súvisia s liečbou tafluprostom. Niektoré z týchto zmien môžu byť trvalé a môžu </w:t>
      </w:r>
      <w:r w:rsidR="0063027A">
        <w:rPr>
          <w:sz w:val="22"/>
          <w:szCs w:val="22"/>
        </w:rPr>
        <w:t>mať za následok</w:t>
      </w:r>
      <w:r w:rsidRPr="006512B1">
        <w:rPr>
          <w:sz w:val="22"/>
          <w:szCs w:val="22"/>
        </w:rPr>
        <w:t> rozdieln</w:t>
      </w:r>
      <w:r w:rsidR="0063027A">
        <w:rPr>
          <w:sz w:val="22"/>
          <w:szCs w:val="22"/>
        </w:rPr>
        <w:t>y</w:t>
      </w:r>
      <w:r w:rsidRPr="006512B1">
        <w:rPr>
          <w:sz w:val="22"/>
          <w:szCs w:val="22"/>
        </w:rPr>
        <w:t xml:space="preserve"> vzhľad očí, ak sa lieči </w:t>
      </w:r>
      <w:r w:rsidR="00930952">
        <w:rPr>
          <w:sz w:val="22"/>
          <w:szCs w:val="22"/>
        </w:rPr>
        <w:t>len</w:t>
      </w:r>
      <w:r w:rsidRPr="006512B1">
        <w:rPr>
          <w:sz w:val="22"/>
          <w:szCs w:val="22"/>
        </w:rPr>
        <w:t xml:space="preserve"> jedno oko.</w:t>
      </w:r>
    </w:p>
    <w:p w14:paraId="7EF75A20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14:paraId="72498B3D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Zmena pigmentácie dúhovky nastáva pomaly a niekoľko mesiacov nemusí byť viditeľná. Zmena farby oka sa pozorovala prevažne u pacientov so zmiešanou farbou dúhovky, napr. modrohnedou, sivohnedou, žltohnedou a zelenohnedou. </w:t>
      </w:r>
      <w:r w:rsidR="002A0469">
        <w:rPr>
          <w:sz w:val="22"/>
          <w:szCs w:val="22"/>
        </w:rPr>
        <w:t>V</w:t>
      </w:r>
      <w:r w:rsidRPr="006512B1">
        <w:rPr>
          <w:sz w:val="22"/>
          <w:szCs w:val="22"/>
        </w:rPr>
        <w:t xml:space="preserve"> jednostranných prípadoch je </w:t>
      </w:r>
      <w:r w:rsidR="002A0469">
        <w:rPr>
          <w:sz w:val="22"/>
          <w:szCs w:val="22"/>
        </w:rPr>
        <w:t>r</w:t>
      </w:r>
      <w:r w:rsidR="002A0469" w:rsidRPr="002A0469">
        <w:rPr>
          <w:sz w:val="22"/>
          <w:szCs w:val="22"/>
        </w:rPr>
        <w:t xml:space="preserve">iziko doživotnej heterochrómie medzi očami </w:t>
      </w:r>
      <w:r w:rsidRPr="006512B1">
        <w:rPr>
          <w:sz w:val="22"/>
          <w:szCs w:val="22"/>
        </w:rPr>
        <w:t>zrejmé.</w:t>
      </w:r>
    </w:p>
    <w:p w14:paraId="0A6F88B1" w14:textId="77777777" w:rsidR="00CE1580" w:rsidRPr="006512B1" w:rsidRDefault="00CE1580" w:rsidP="00FF66FC">
      <w:pPr>
        <w:spacing w:line="240" w:lineRule="auto"/>
        <w:rPr>
          <w:i/>
          <w:iCs/>
          <w:sz w:val="22"/>
          <w:szCs w:val="22"/>
        </w:rPr>
      </w:pPr>
    </w:p>
    <w:p w14:paraId="73DBA692" w14:textId="77777777" w:rsidR="0071125C" w:rsidRPr="006512B1" w:rsidRDefault="00A35D09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="0071125C" w:rsidRPr="006512B1">
        <w:rPr>
          <w:sz w:val="22"/>
          <w:szCs w:val="22"/>
        </w:rPr>
        <w:t>a miestach, kde dochádza ku opakovanému kontaktu roztoku tafluprostu s povrchom kože</w:t>
      </w:r>
      <w:r>
        <w:rPr>
          <w:sz w:val="22"/>
          <w:szCs w:val="22"/>
        </w:rPr>
        <w:t xml:space="preserve"> môže dôjsť k</w:t>
      </w:r>
      <w:r w:rsidRPr="00A35D09">
        <w:rPr>
          <w:sz w:val="22"/>
          <w:szCs w:val="22"/>
        </w:rPr>
        <w:t xml:space="preserve"> rastu </w:t>
      </w:r>
      <w:r>
        <w:rPr>
          <w:sz w:val="22"/>
          <w:szCs w:val="22"/>
        </w:rPr>
        <w:t>chĺpkov</w:t>
      </w:r>
      <w:r w:rsidR="0071125C" w:rsidRPr="006512B1">
        <w:rPr>
          <w:sz w:val="22"/>
          <w:szCs w:val="22"/>
        </w:rPr>
        <w:t>.</w:t>
      </w:r>
    </w:p>
    <w:p w14:paraId="4C9218B0" w14:textId="77777777" w:rsidR="0071125C" w:rsidRPr="006512B1" w:rsidRDefault="0071125C" w:rsidP="00FF66FC">
      <w:pPr>
        <w:spacing w:line="240" w:lineRule="auto"/>
        <w:rPr>
          <w:i/>
          <w:iCs/>
          <w:sz w:val="22"/>
          <w:szCs w:val="22"/>
        </w:rPr>
      </w:pPr>
    </w:p>
    <w:p w14:paraId="1BC9F646" w14:textId="77777777" w:rsidR="00CE1580" w:rsidRPr="006512B1" w:rsidRDefault="000241A2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 dispozícii n</w:t>
      </w:r>
      <w:r w:rsidR="00CE1580" w:rsidRPr="006512B1">
        <w:rPr>
          <w:sz w:val="22"/>
          <w:szCs w:val="22"/>
        </w:rPr>
        <w:t>ie sú žiadne skúsenosti s tafluprostom pri neovaskulárnom</w:t>
      </w:r>
      <w:r w:rsidR="00FD3940" w:rsidRPr="006512B1">
        <w:rPr>
          <w:sz w:val="22"/>
          <w:szCs w:val="22"/>
        </w:rPr>
        <w:t xml:space="preserve"> </w:t>
      </w:r>
      <w:r w:rsidR="00CE1580" w:rsidRPr="006512B1">
        <w:rPr>
          <w:sz w:val="22"/>
          <w:szCs w:val="22"/>
        </w:rPr>
        <w:t>glaukóme, glaukóme s uzavretým uhlom, glaukóme so zúženým uhlom a vrodenom glaukóme. Skúsenosti s tafluprostom u afakických pacientov a pri pigmentovom alebo pseudoexfoliatívnom</w:t>
      </w:r>
      <w:r w:rsidR="00FD3940" w:rsidRPr="006512B1">
        <w:rPr>
          <w:sz w:val="22"/>
          <w:szCs w:val="22"/>
        </w:rPr>
        <w:t xml:space="preserve"> </w:t>
      </w:r>
      <w:r w:rsidR="00CE1580" w:rsidRPr="006512B1">
        <w:rPr>
          <w:sz w:val="22"/>
          <w:szCs w:val="22"/>
        </w:rPr>
        <w:t>glaukóme sú obmedzené.</w:t>
      </w:r>
    </w:p>
    <w:p w14:paraId="2DF9A935" w14:textId="77777777"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14:paraId="5DDD1E8F" w14:textId="77777777" w:rsidR="00CE1580" w:rsidRPr="006512B1" w:rsidRDefault="002E0FB4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CE1580" w:rsidRPr="006512B1">
        <w:rPr>
          <w:sz w:val="22"/>
          <w:szCs w:val="22"/>
        </w:rPr>
        <w:t xml:space="preserve">patrnosť </w:t>
      </w:r>
      <w:r>
        <w:rPr>
          <w:sz w:val="22"/>
          <w:szCs w:val="22"/>
        </w:rPr>
        <w:t xml:space="preserve">sa odporúča </w:t>
      </w:r>
      <w:r w:rsidR="00CE1580" w:rsidRPr="006512B1">
        <w:rPr>
          <w:sz w:val="22"/>
          <w:szCs w:val="22"/>
        </w:rPr>
        <w:t>pri používaní tafluprostu u afakických pacientov, pseudofakických pacientov s natrhnutým zadným puzdrom šošovky alebo šošovkami prednej komory alebo u pacientov so známymi rizikovými faktormi na vznik cystického makulárneho edému alebo iritídy/uveitídy.</w:t>
      </w:r>
    </w:p>
    <w:p w14:paraId="06EA38A8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628C3D4D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4.5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Liekové a iné interakcie</w:t>
      </w:r>
    </w:p>
    <w:p w14:paraId="39189C9F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003D5DF3" w14:textId="77777777"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Neuskutočnili sa žiadne interakčné štúdie.</w:t>
      </w:r>
    </w:p>
    <w:p w14:paraId="4D49F31E" w14:textId="77777777"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9009673" w14:textId="77777777" w:rsidR="00482A67" w:rsidRDefault="00482A67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82A67">
        <w:rPr>
          <w:sz w:val="22"/>
          <w:szCs w:val="22"/>
        </w:rPr>
        <w:t xml:space="preserve">Pri súčasnom podávaní očného betablokátora s blokátormi </w:t>
      </w:r>
      <w:r w:rsidR="00120CFA">
        <w:rPr>
          <w:sz w:val="22"/>
          <w:szCs w:val="22"/>
        </w:rPr>
        <w:t>kalciového</w:t>
      </w:r>
      <w:r w:rsidRPr="00482A67">
        <w:rPr>
          <w:sz w:val="22"/>
          <w:szCs w:val="22"/>
        </w:rPr>
        <w:t xml:space="preserve"> kanála, </w:t>
      </w:r>
      <w:r w:rsidR="00582939" w:rsidRPr="00582939">
        <w:rPr>
          <w:sz w:val="22"/>
          <w:szCs w:val="22"/>
        </w:rPr>
        <w:t>beta</w:t>
      </w:r>
      <w:r w:rsidR="00582939">
        <w:rPr>
          <w:sz w:val="22"/>
          <w:szCs w:val="22"/>
        </w:rPr>
        <w:t>-</w:t>
      </w:r>
      <w:r w:rsidR="00582939" w:rsidRPr="00582939">
        <w:rPr>
          <w:sz w:val="22"/>
          <w:szCs w:val="22"/>
        </w:rPr>
        <w:t>adrenergnými blokátormi, antiarytmikami (vrátane amiodarónu), digitalisovými glykozidmi,</w:t>
      </w:r>
      <w:r w:rsidR="00582939">
        <w:rPr>
          <w:sz w:val="22"/>
          <w:szCs w:val="22"/>
        </w:rPr>
        <w:t xml:space="preserve"> </w:t>
      </w:r>
      <w:r w:rsidR="00582939" w:rsidRPr="00582939">
        <w:rPr>
          <w:sz w:val="22"/>
          <w:szCs w:val="22"/>
        </w:rPr>
        <w:t>parasympatomimetika</w:t>
      </w:r>
      <w:r w:rsidR="00524CEB">
        <w:rPr>
          <w:sz w:val="22"/>
          <w:szCs w:val="22"/>
        </w:rPr>
        <w:t>-</w:t>
      </w:r>
      <w:r w:rsidR="00582939" w:rsidRPr="00582939">
        <w:rPr>
          <w:sz w:val="22"/>
          <w:szCs w:val="22"/>
        </w:rPr>
        <w:t>mi a guanetidínom</w:t>
      </w:r>
      <w:r w:rsidRPr="00482A67">
        <w:rPr>
          <w:sz w:val="22"/>
          <w:szCs w:val="22"/>
        </w:rPr>
        <w:t xml:space="preserve"> </w:t>
      </w:r>
      <w:r w:rsidR="002A6817">
        <w:rPr>
          <w:sz w:val="22"/>
          <w:szCs w:val="22"/>
        </w:rPr>
        <w:t>sa môžu objaviť</w:t>
      </w:r>
      <w:r w:rsidRPr="00482A67">
        <w:rPr>
          <w:sz w:val="22"/>
          <w:szCs w:val="22"/>
        </w:rPr>
        <w:t xml:space="preserve"> aditívn</w:t>
      </w:r>
      <w:r w:rsidR="002A6817">
        <w:rPr>
          <w:sz w:val="22"/>
          <w:szCs w:val="22"/>
        </w:rPr>
        <w:t>e</w:t>
      </w:r>
      <w:r w:rsidRPr="00482A67">
        <w:rPr>
          <w:sz w:val="22"/>
          <w:szCs w:val="22"/>
        </w:rPr>
        <w:t xml:space="preserve"> účink</w:t>
      </w:r>
      <w:r w:rsidR="002A6817">
        <w:rPr>
          <w:sz w:val="22"/>
          <w:szCs w:val="22"/>
        </w:rPr>
        <w:t xml:space="preserve">y, ktoré </w:t>
      </w:r>
      <w:r w:rsidR="0063261D">
        <w:rPr>
          <w:sz w:val="22"/>
          <w:szCs w:val="22"/>
        </w:rPr>
        <w:t>vedú</w:t>
      </w:r>
      <w:r w:rsidR="005E0E0A">
        <w:rPr>
          <w:sz w:val="22"/>
          <w:szCs w:val="22"/>
        </w:rPr>
        <w:t xml:space="preserve"> </w:t>
      </w:r>
      <w:r w:rsidR="0063261D">
        <w:rPr>
          <w:sz w:val="22"/>
          <w:szCs w:val="22"/>
        </w:rPr>
        <w:t xml:space="preserve">k </w:t>
      </w:r>
      <w:r w:rsidRPr="00482A67">
        <w:rPr>
          <w:sz w:val="22"/>
          <w:szCs w:val="22"/>
        </w:rPr>
        <w:t>hypotenzi</w:t>
      </w:r>
      <w:r w:rsidR="0063261D">
        <w:rPr>
          <w:sz w:val="22"/>
          <w:szCs w:val="22"/>
        </w:rPr>
        <w:t>i</w:t>
      </w:r>
      <w:r w:rsidRPr="00482A67">
        <w:rPr>
          <w:sz w:val="22"/>
          <w:szCs w:val="22"/>
        </w:rPr>
        <w:t xml:space="preserve"> a/alebo výrazn</w:t>
      </w:r>
      <w:r w:rsidR="0063261D">
        <w:rPr>
          <w:sz w:val="22"/>
          <w:szCs w:val="22"/>
        </w:rPr>
        <w:t>ej</w:t>
      </w:r>
      <w:r w:rsidR="00A42DA8">
        <w:rPr>
          <w:sz w:val="22"/>
          <w:szCs w:val="22"/>
        </w:rPr>
        <w:t xml:space="preserve"> bradykardi</w:t>
      </w:r>
      <w:r w:rsidR="0063261D">
        <w:rPr>
          <w:sz w:val="22"/>
          <w:szCs w:val="22"/>
        </w:rPr>
        <w:t>i</w:t>
      </w:r>
      <w:r w:rsidR="00A42DA8">
        <w:rPr>
          <w:sz w:val="22"/>
          <w:szCs w:val="22"/>
        </w:rPr>
        <w:t>.</w:t>
      </w:r>
    </w:p>
    <w:p w14:paraId="169885C2" w14:textId="77777777"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Perorálne beta</w:t>
      </w:r>
      <w:r w:rsidR="002776DA">
        <w:rPr>
          <w:sz w:val="22"/>
          <w:szCs w:val="22"/>
        </w:rPr>
        <w:t>-</w:t>
      </w:r>
      <w:r w:rsidRPr="006512B1">
        <w:rPr>
          <w:sz w:val="22"/>
          <w:szCs w:val="22"/>
        </w:rPr>
        <w:t>adrenergné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blokátory môžu zhoršiť </w:t>
      </w:r>
      <w:r w:rsidR="004A12AA">
        <w:rPr>
          <w:sz w:val="22"/>
          <w:szCs w:val="22"/>
        </w:rPr>
        <w:t>spontánnu (rebound)</w:t>
      </w:r>
      <w:r w:rsidR="002A7D67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hypertenziu, k</w:t>
      </w:r>
      <w:r w:rsidR="004A12AA">
        <w:rPr>
          <w:sz w:val="22"/>
          <w:szCs w:val="22"/>
        </w:rPr>
        <w:t>torá môže nastať</w:t>
      </w:r>
      <w:r w:rsidRPr="006512B1">
        <w:rPr>
          <w:sz w:val="22"/>
          <w:szCs w:val="22"/>
        </w:rPr>
        <w:t xml:space="preserve"> po vysadení klonidínu.</w:t>
      </w:r>
    </w:p>
    <w:p w14:paraId="74501DFE" w14:textId="77777777"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</w:p>
    <w:p w14:paraId="409B9428" w14:textId="77777777" w:rsidR="00CE1580" w:rsidRPr="006512B1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Počas kombinovanej liečby inhibítormi CYP2D6 (napr. chinidín</w:t>
      </w:r>
      <w:r w:rsidR="00DB459A">
        <w:rPr>
          <w:sz w:val="22"/>
          <w:szCs w:val="22"/>
        </w:rPr>
        <w:t>om</w:t>
      </w:r>
      <w:r w:rsidRPr="006512B1">
        <w:rPr>
          <w:sz w:val="22"/>
          <w:szCs w:val="22"/>
        </w:rPr>
        <w:t>, fluoxetín</w:t>
      </w:r>
      <w:r w:rsidR="00DB459A">
        <w:rPr>
          <w:sz w:val="22"/>
          <w:szCs w:val="22"/>
        </w:rPr>
        <w:t>om</w:t>
      </w:r>
      <w:r w:rsidRPr="006512B1">
        <w:rPr>
          <w:sz w:val="22"/>
          <w:szCs w:val="22"/>
        </w:rPr>
        <w:t>, paroxetín</w:t>
      </w:r>
      <w:r w:rsidR="00DB459A">
        <w:rPr>
          <w:sz w:val="22"/>
          <w:szCs w:val="22"/>
        </w:rPr>
        <w:t>om</w:t>
      </w:r>
      <w:r w:rsidRPr="006512B1">
        <w:rPr>
          <w:sz w:val="22"/>
          <w:szCs w:val="22"/>
        </w:rPr>
        <w:t>) a timololom bola hlásená zosilnená systémová betablokáda (napr. znížen</w:t>
      </w:r>
      <w:r w:rsidR="00A30562">
        <w:rPr>
          <w:sz w:val="22"/>
          <w:szCs w:val="22"/>
        </w:rPr>
        <w:t>á</w:t>
      </w:r>
      <w:r w:rsidRPr="006512B1">
        <w:rPr>
          <w:sz w:val="22"/>
          <w:szCs w:val="22"/>
        </w:rPr>
        <w:t xml:space="preserve"> srdcov</w:t>
      </w:r>
      <w:r w:rsidR="00A30562">
        <w:rPr>
          <w:sz w:val="22"/>
          <w:szCs w:val="22"/>
        </w:rPr>
        <w:t>á frekvencia</w:t>
      </w:r>
      <w:r w:rsidRPr="006512B1">
        <w:rPr>
          <w:sz w:val="22"/>
          <w:szCs w:val="22"/>
        </w:rPr>
        <w:t>, depresia).</w:t>
      </w:r>
    </w:p>
    <w:p w14:paraId="2B8F982D" w14:textId="77777777" w:rsidR="00CE1580" w:rsidRPr="006512B1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Príležitostne bola hlásená mydriáza v dôsledku súbežného používania o</w:t>
      </w:r>
      <w:r w:rsidR="005712DF">
        <w:rPr>
          <w:sz w:val="22"/>
          <w:szCs w:val="22"/>
        </w:rPr>
        <w:t>čný</w:t>
      </w:r>
      <w:r w:rsidRPr="006512B1">
        <w:rPr>
          <w:sz w:val="22"/>
          <w:szCs w:val="22"/>
        </w:rPr>
        <w:t>ch betablokátorov a adrenalínu (epinefrínu).</w:t>
      </w:r>
    </w:p>
    <w:p w14:paraId="3ECDC16D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76824C95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4.6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Fertilita, gravidita a laktácia</w:t>
      </w:r>
    </w:p>
    <w:p w14:paraId="7FC0F619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14:paraId="28AE1498" w14:textId="77777777"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Gravidita</w:t>
      </w:r>
    </w:p>
    <w:p w14:paraId="3958DA45" w14:textId="77777777" w:rsidR="00242DD6" w:rsidRPr="006512B1" w:rsidRDefault="00242DD6" w:rsidP="0071125C">
      <w:pPr>
        <w:pStyle w:val="Default"/>
        <w:jc w:val="both"/>
        <w:rPr>
          <w:sz w:val="22"/>
          <w:szCs w:val="22"/>
        </w:rPr>
      </w:pPr>
      <w:r w:rsidRPr="006512B1">
        <w:rPr>
          <w:sz w:val="22"/>
          <w:szCs w:val="22"/>
        </w:rPr>
        <w:t xml:space="preserve">Nie sú k dispozícii alebo je iba obmedzené množstvo údajov o použití </w:t>
      </w:r>
      <w:r w:rsidRPr="009D4FF8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u gravidných žien.</w:t>
      </w:r>
    </w:p>
    <w:p w14:paraId="20BA54BF" w14:textId="77777777" w:rsidR="00242DD6" w:rsidRPr="006512B1" w:rsidRDefault="00242DD6" w:rsidP="0071125C">
      <w:pPr>
        <w:pStyle w:val="Default"/>
        <w:jc w:val="both"/>
        <w:rPr>
          <w:sz w:val="22"/>
          <w:szCs w:val="22"/>
        </w:rPr>
      </w:pPr>
    </w:p>
    <w:p w14:paraId="2751E866" w14:textId="77777777" w:rsidR="00242DD6" w:rsidRPr="006512B1" w:rsidRDefault="00242DD6" w:rsidP="0071125C">
      <w:pPr>
        <w:pStyle w:val="Default"/>
        <w:jc w:val="both"/>
        <w:rPr>
          <w:sz w:val="22"/>
          <w:szCs w:val="22"/>
        </w:rPr>
      </w:pPr>
      <w:r w:rsidRPr="006512B1">
        <w:rPr>
          <w:sz w:val="22"/>
          <w:szCs w:val="22"/>
        </w:rPr>
        <w:t xml:space="preserve">Ženy vo fertilnom veku musia používať účinnú antikoncepciu počas liečby </w:t>
      </w:r>
      <w:r w:rsidRPr="009D4FF8">
        <w:rPr>
          <w:caps/>
          <w:sz w:val="22"/>
          <w:szCs w:val="22"/>
        </w:rPr>
        <w:t>Taptiqomom</w:t>
      </w:r>
      <w:r w:rsidR="00DA4BFF">
        <w:rPr>
          <w:sz w:val="22"/>
          <w:szCs w:val="22"/>
        </w:rPr>
        <w:t>.</w:t>
      </w:r>
    </w:p>
    <w:p w14:paraId="0C4D4FB3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0CF733D0" w14:textId="77777777" w:rsidR="00242DD6" w:rsidRPr="006512B1" w:rsidRDefault="00C77F2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9D4FF8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sa nemá používať počas gravidity, pokiaľ to nie je jednoznačne nevyhnutné (ak nie sú dostupné iné </w:t>
      </w:r>
      <w:r w:rsidR="00A8027E">
        <w:rPr>
          <w:sz w:val="22"/>
          <w:szCs w:val="22"/>
        </w:rPr>
        <w:t xml:space="preserve">možnosti </w:t>
      </w:r>
      <w:r w:rsidRPr="006512B1">
        <w:rPr>
          <w:sz w:val="22"/>
          <w:szCs w:val="22"/>
        </w:rPr>
        <w:t>liečby).</w:t>
      </w:r>
    </w:p>
    <w:p w14:paraId="028B655E" w14:textId="77777777" w:rsidR="00CF1725" w:rsidRPr="006512B1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14:paraId="38BC8078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i/>
          <w:sz w:val="22"/>
          <w:szCs w:val="22"/>
        </w:rPr>
        <w:t>Tafluprost:</w:t>
      </w:r>
    </w:p>
    <w:p w14:paraId="329953B7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Nie sú k dispozícii dostatočné údaje o použití tafluprostu u gravidných žien. Tafluprost môže mať škodlivé farmakologické účinky na graviditu a/alebo na plod/novorodenca.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Štúdie na zvieratách preukázali reprodukčnú toxicitu (pozri časť 5.3). Potenciálne riziko pre ľudí nie je známe.</w:t>
      </w:r>
    </w:p>
    <w:p w14:paraId="3F2D4EF9" w14:textId="77777777" w:rsidR="000625C8" w:rsidRPr="006512B1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483B88D6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i/>
          <w:sz w:val="22"/>
          <w:szCs w:val="22"/>
        </w:rPr>
        <w:t>Timolol:</w:t>
      </w:r>
    </w:p>
    <w:p w14:paraId="2EFD668A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Nie sú k dispozícii dostatočné údaje o použití timololu u gravidných žien. Timolol sa nemá používať počas gravidity, pokiaľ to nie je jednoznačne nevyhnutné. Informácie o znížení systémovej absorpcie</w:t>
      </w:r>
      <w:r w:rsidR="009C2F86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9C2F86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</w:t>
      </w:r>
    </w:p>
    <w:p w14:paraId="4A538C15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Epidemiologické štúdie neodhalili malforma</w:t>
      </w:r>
      <w:r w:rsidR="00FD0DD1">
        <w:rPr>
          <w:sz w:val="22"/>
          <w:szCs w:val="22"/>
        </w:rPr>
        <w:t>čné</w:t>
      </w:r>
      <w:r w:rsidRPr="006512B1">
        <w:rPr>
          <w:sz w:val="22"/>
          <w:szCs w:val="22"/>
        </w:rPr>
        <w:t xml:space="preserve"> účinky, ale </w:t>
      </w:r>
      <w:r w:rsidR="00FD0DD1">
        <w:rPr>
          <w:sz w:val="22"/>
          <w:szCs w:val="22"/>
        </w:rPr>
        <w:t>poukazujú na</w:t>
      </w:r>
      <w:r w:rsidRPr="006512B1">
        <w:rPr>
          <w:sz w:val="22"/>
          <w:szCs w:val="22"/>
        </w:rPr>
        <w:t xml:space="preserve"> riziko </w:t>
      </w:r>
      <w:r w:rsidR="00341D25">
        <w:rPr>
          <w:sz w:val="22"/>
          <w:szCs w:val="22"/>
        </w:rPr>
        <w:t xml:space="preserve">spomalenia </w:t>
      </w:r>
      <w:r w:rsidRPr="006512B1">
        <w:rPr>
          <w:sz w:val="22"/>
          <w:szCs w:val="22"/>
        </w:rPr>
        <w:t>vnútromaternicového rastu, ak sa betablokátory podávajú peroráln</w:t>
      </w:r>
      <w:r w:rsidR="009C2F86" w:rsidRPr="006512B1">
        <w:rPr>
          <w:sz w:val="22"/>
          <w:szCs w:val="22"/>
        </w:rPr>
        <w:t>e</w:t>
      </w:r>
      <w:r w:rsidRPr="006512B1">
        <w:rPr>
          <w:sz w:val="22"/>
          <w:szCs w:val="22"/>
        </w:rPr>
        <w:t xml:space="preserve">. </w:t>
      </w:r>
      <w:r w:rsidR="00341D25">
        <w:rPr>
          <w:sz w:val="22"/>
          <w:szCs w:val="22"/>
        </w:rPr>
        <w:t>Okrem toho sa p</w:t>
      </w:r>
      <w:r w:rsidR="009C2F86" w:rsidRPr="006512B1">
        <w:rPr>
          <w:sz w:val="22"/>
          <w:szCs w:val="22"/>
        </w:rPr>
        <w:t xml:space="preserve">rejavy </w:t>
      </w:r>
      <w:r w:rsidRPr="006512B1">
        <w:rPr>
          <w:sz w:val="22"/>
          <w:szCs w:val="22"/>
        </w:rPr>
        <w:t xml:space="preserve">a príznaky betablokády (napr. bradykardia, hypotenzia, respiračná tieseň a hypoglykémia) pozorovali u novorodencov, ak sa betablokátory podávali až do pôrodu. Ak sa </w:t>
      </w:r>
      <w:r w:rsidRPr="009D4FF8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podáva až do pôrodu, novorodenec sa má počas prvých dní života pozorne monitorovať.</w:t>
      </w:r>
    </w:p>
    <w:p w14:paraId="0231D434" w14:textId="77777777"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CA688CF" w14:textId="77777777" w:rsidR="00242DD6" w:rsidRPr="006512B1" w:rsidRDefault="0071125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Dojčenie</w:t>
      </w:r>
    </w:p>
    <w:p w14:paraId="2BDB56B4" w14:textId="655780B4" w:rsidR="002560C5" w:rsidRPr="006512B1" w:rsidRDefault="005A1D4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Betablokátory sa vylučujú do </w:t>
      </w:r>
      <w:r w:rsidR="00446F26">
        <w:rPr>
          <w:sz w:val="22"/>
          <w:szCs w:val="22"/>
        </w:rPr>
        <w:t>materského</w:t>
      </w:r>
      <w:r w:rsidRPr="006512B1">
        <w:rPr>
          <w:sz w:val="22"/>
          <w:szCs w:val="22"/>
        </w:rPr>
        <w:t xml:space="preserve"> mlieka. Pri terapeutických dávkach timololu v</w:t>
      </w:r>
      <w:r w:rsidR="0011314D">
        <w:rPr>
          <w:sz w:val="22"/>
          <w:szCs w:val="22"/>
        </w:rPr>
        <w:t> </w:t>
      </w:r>
      <w:r w:rsidRPr="006512B1">
        <w:rPr>
          <w:sz w:val="22"/>
          <w:szCs w:val="22"/>
        </w:rPr>
        <w:t>očn</w:t>
      </w:r>
      <w:r w:rsidR="0011314D">
        <w:rPr>
          <w:sz w:val="22"/>
          <w:szCs w:val="22"/>
        </w:rPr>
        <w:t>ých kvapkách</w:t>
      </w:r>
      <w:r w:rsidRPr="006512B1">
        <w:rPr>
          <w:sz w:val="22"/>
          <w:szCs w:val="22"/>
        </w:rPr>
        <w:t xml:space="preserve"> je však nepravdepodobné, že by sa do materského mlieka dostalo významné množstvo, </w:t>
      </w:r>
      <w:r w:rsidRPr="006512B1">
        <w:rPr>
          <w:sz w:val="22"/>
          <w:szCs w:val="22"/>
        </w:rPr>
        <w:lastRenderedPageBreak/>
        <w:t>ktoré by mohlo spôsobiť klinické príznaky betablokády u dojčaťa. Informácie o znížení systémovej absorpcie</w:t>
      </w:r>
      <w:r w:rsidR="009C2F86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9C2F86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</w:t>
      </w:r>
    </w:p>
    <w:p w14:paraId="1899F848" w14:textId="0E68E0B8" w:rsidR="005A1D46" w:rsidRPr="006512B1" w:rsidRDefault="00242DD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Nie je známe, či sa tafluprost a/alebo jeho metabolity vylučujú do ľudského mlieka. Dostupné toxikologické údaje u zvierat preukázali vylučovanie tafluprostu a/alebo jeho metabolitov do mlieka (podrobné informácie</w:t>
      </w:r>
      <w:r w:rsidR="009C2F86" w:rsidRPr="006512B1">
        <w:rPr>
          <w:sz w:val="22"/>
          <w:szCs w:val="22"/>
        </w:rPr>
        <w:t xml:space="preserve">, </w:t>
      </w:r>
      <w:r w:rsidRPr="006512B1">
        <w:rPr>
          <w:sz w:val="22"/>
          <w:szCs w:val="22"/>
        </w:rPr>
        <w:t xml:space="preserve">pozri </w:t>
      </w:r>
      <w:r w:rsidR="009C2F86" w:rsidRPr="006512B1">
        <w:rPr>
          <w:sz w:val="22"/>
          <w:szCs w:val="22"/>
        </w:rPr>
        <w:t xml:space="preserve">časť </w:t>
      </w:r>
      <w:r w:rsidRPr="006512B1">
        <w:rPr>
          <w:sz w:val="22"/>
          <w:szCs w:val="22"/>
        </w:rPr>
        <w:t>5.3). Pri terapeutických dávkach tafluprostu v</w:t>
      </w:r>
      <w:r w:rsidR="0011314D">
        <w:rPr>
          <w:sz w:val="22"/>
          <w:szCs w:val="22"/>
        </w:rPr>
        <w:t> </w:t>
      </w:r>
      <w:r w:rsidRPr="006512B1">
        <w:rPr>
          <w:sz w:val="22"/>
          <w:szCs w:val="22"/>
        </w:rPr>
        <w:t>očn</w:t>
      </w:r>
      <w:r w:rsidR="0011314D">
        <w:rPr>
          <w:sz w:val="22"/>
          <w:szCs w:val="22"/>
        </w:rPr>
        <w:t>ých kvapkách</w:t>
      </w:r>
      <w:r w:rsidRPr="006512B1">
        <w:rPr>
          <w:sz w:val="22"/>
          <w:szCs w:val="22"/>
        </w:rPr>
        <w:t xml:space="preserve"> je však nepravdepodobné, že by sa do materského mlieka dostalo významné množstvo, ktoré by mohlo spôsobiť klinické príznaky u dojčaťa.</w:t>
      </w:r>
    </w:p>
    <w:p w14:paraId="65D6A12B" w14:textId="77777777" w:rsidR="00242DD6" w:rsidRPr="006512B1" w:rsidRDefault="005A1D4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Ako preventívne opatrenie sa </w:t>
      </w:r>
      <w:r w:rsidR="00B02182">
        <w:rPr>
          <w:sz w:val="22"/>
          <w:szCs w:val="22"/>
        </w:rPr>
        <w:t>dojčenie</w:t>
      </w:r>
      <w:r w:rsidR="009C2F86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neodporúča, ak je potrebná liečba </w:t>
      </w:r>
      <w:r w:rsidRPr="00DF4804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>.</w:t>
      </w:r>
    </w:p>
    <w:p w14:paraId="75F1E59B" w14:textId="77777777"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14:paraId="5C02563B" w14:textId="77777777"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Fertilita</w:t>
      </w:r>
    </w:p>
    <w:p w14:paraId="60B2F710" w14:textId="77777777" w:rsidR="00242DD6" w:rsidRPr="006512B1" w:rsidRDefault="00242DD6" w:rsidP="0071125C">
      <w:pPr>
        <w:tabs>
          <w:tab w:val="clear" w:pos="567"/>
        </w:tabs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Nie sú k dispozícii údaje o </w:t>
      </w:r>
      <w:r w:rsidR="009C2F86" w:rsidRPr="006512B1">
        <w:rPr>
          <w:sz w:val="22"/>
          <w:szCs w:val="22"/>
        </w:rPr>
        <w:t xml:space="preserve">účinkoch </w:t>
      </w:r>
      <w:r w:rsidRPr="00DF4804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na fertilitu človeka.</w:t>
      </w:r>
    </w:p>
    <w:p w14:paraId="4CBD14A7" w14:textId="77777777" w:rsidR="00242DD6" w:rsidRPr="006512B1" w:rsidRDefault="00242DD6" w:rsidP="00FF66FC">
      <w:pPr>
        <w:spacing w:line="240" w:lineRule="auto"/>
        <w:ind w:left="567" w:hanging="567"/>
        <w:rPr>
          <w:sz w:val="22"/>
          <w:szCs w:val="22"/>
        </w:rPr>
      </w:pPr>
    </w:p>
    <w:p w14:paraId="0CCE1D78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4.7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Ovplyvnenie schopnosti viesť vozidlá a obsluhovať stroje</w:t>
      </w:r>
    </w:p>
    <w:p w14:paraId="5A4D2D0E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5DC64F38" w14:textId="6881AE2F" w:rsidR="00242DD6" w:rsidRPr="006512B1" w:rsidRDefault="00242DD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Neuskutočnili sa žiadne štúdie o vplyve </w:t>
      </w:r>
      <w:r w:rsidRPr="00DF4804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na schopnosť viesť vozidlá a obsluhovať stroje. Ak sa po podaní </w:t>
      </w:r>
      <w:r w:rsidR="0011314D">
        <w:rPr>
          <w:sz w:val="22"/>
          <w:szCs w:val="22"/>
        </w:rPr>
        <w:t>kvapiek</w:t>
      </w:r>
      <w:r w:rsidR="0011314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vyskytnú nežiaduce reakcie</w:t>
      </w:r>
      <w:r w:rsidR="00800B05">
        <w:rPr>
          <w:sz w:val="22"/>
          <w:szCs w:val="22"/>
        </w:rPr>
        <w:t xml:space="preserve"> ako je</w:t>
      </w:r>
      <w:r w:rsidRPr="006512B1">
        <w:rPr>
          <w:sz w:val="22"/>
          <w:szCs w:val="22"/>
        </w:rPr>
        <w:t xml:space="preserve"> prechodné rozmazané videnie, pacient nemá viesť vozidlá ani obsluhovať stroje, kým sa nebude cítiť dobre a nevyjasní sa mu zrak.</w:t>
      </w:r>
    </w:p>
    <w:p w14:paraId="1BDA0F15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17815626" w14:textId="77777777" w:rsidR="001D29E6" w:rsidRPr="006512B1" w:rsidRDefault="001D29E6" w:rsidP="00FF66FC">
      <w:pPr>
        <w:numPr>
          <w:ilvl w:val="1"/>
          <w:numId w:val="10"/>
        </w:num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Nežiaduce účinky</w:t>
      </w:r>
    </w:p>
    <w:p w14:paraId="57D2A826" w14:textId="77777777" w:rsidR="002C1399" w:rsidRPr="006512B1" w:rsidRDefault="002C1399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14:paraId="4789AA6C" w14:textId="5026EBEB" w:rsidR="00D9224B" w:rsidRPr="006512B1" w:rsidRDefault="00D9224B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V klinických štúdiách sa </w:t>
      </w:r>
      <w:r w:rsidRPr="00963350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 xml:space="preserve"> </w:t>
      </w:r>
      <w:r w:rsidR="00026A9E" w:rsidRPr="00885237">
        <w:rPr>
          <w:sz w:val="22"/>
          <w:szCs w:val="22"/>
        </w:rPr>
        <w:t>v jednodávkovom obale</w:t>
      </w:r>
      <w:r w:rsidR="00026A9E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liečilo viac než 484 pacientov. Najčastejšie uvádzaným nežiaducim účinkom súvisiacim s liečbou bola </w:t>
      </w:r>
      <w:r w:rsidR="001F35E1">
        <w:rPr>
          <w:sz w:val="22"/>
          <w:szCs w:val="22"/>
        </w:rPr>
        <w:t xml:space="preserve">spojovková/očná </w:t>
      </w:r>
      <w:r w:rsidRPr="006512B1">
        <w:rPr>
          <w:sz w:val="22"/>
          <w:szCs w:val="22"/>
        </w:rPr>
        <w:t>hyperémia. Vyskytla sa približne u 7 % pacientov, ktorí sa zúčastnili na klinických štúdiách v Európe, vo väčšine prípadov bola mierna a u 1,2 % pacientov súvisela s ukončením liečby.</w:t>
      </w:r>
    </w:p>
    <w:p w14:paraId="075BCB4D" w14:textId="77777777" w:rsidR="00CF1725" w:rsidRPr="006512B1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14:paraId="6793092F" w14:textId="77777777"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Nežiaduce reakcie hlásené v klinických štúdiách s</w:t>
      </w:r>
      <w:r w:rsidR="00052A90">
        <w:rPr>
          <w:sz w:val="22"/>
          <w:szCs w:val="22"/>
        </w:rPr>
        <w:t xml:space="preserve"> použitím </w:t>
      </w:r>
      <w:r w:rsidRPr="00885237">
        <w:rPr>
          <w:caps/>
          <w:sz w:val="22"/>
          <w:szCs w:val="22"/>
        </w:rPr>
        <w:t>Taptiqom</w:t>
      </w:r>
      <w:r w:rsidR="00885237" w:rsidRPr="00885237">
        <w:rPr>
          <w:caps/>
          <w:sz w:val="22"/>
          <w:szCs w:val="22"/>
        </w:rPr>
        <w:t xml:space="preserve">U </w:t>
      </w:r>
      <w:r w:rsidR="00885237" w:rsidRPr="00885237">
        <w:rPr>
          <w:sz w:val="22"/>
          <w:szCs w:val="22"/>
        </w:rPr>
        <w:t>v jednodávkovom obale</w:t>
      </w:r>
      <w:r w:rsidR="00885237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boli obmedzené na </w:t>
      </w:r>
      <w:r w:rsidR="00150466">
        <w:rPr>
          <w:sz w:val="22"/>
          <w:szCs w:val="22"/>
        </w:rPr>
        <w:t>tie</w:t>
      </w:r>
      <w:r w:rsidRPr="006512B1">
        <w:rPr>
          <w:sz w:val="22"/>
          <w:szCs w:val="22"/>
        </w:rPr>
        <w:t>, ktoré už boli hlásené pre ktor</w:t>
      </w:r>
      <w:r w:rsidR="00052A90">
        <w:rPr>
          <w:sz w:val="22"/>
          <w:szCs w:val="22"/>
        </w:rPr>
        <w:t>é</w:t>
      </w:r>
      <w:r w:rsidRPr="006512B1">
        <w:rPr>
          <w:sz w:val="22"/>
          <w:szCs w:val="22"/>
        </w:rPr>
        <w:t xml:space="preserve">koľvek zo samostatných liečiv, tafluprost alebo timolol. V klinických štúdiách sa nepozorovali žiadne nové nežiaduce reakcie špecifické pre </w:t>
      </w:r>
      <w:r w:rsidRPr="00963350">
        <w:rPr>
          <w:caps/>
          <w:sz w:val="22"/>
          <w:szCs w:val="22"/>
        </w:rPr>
        <w:t>Taptiqom</w:t>
      </w:r>
      <w:r w:rsidR="00150466" w:rsidRPr="00150466">
        <w:rPr>
          <w:sz w:val="22"/>
          <w:szCs w:val="22"/>
        </w:rPr>
        <w:t xml:space="preserve"> </w:t>
      </w:r>
      <w:r w:rsidR="00150466" w:rsidRPr="00885237">
        <w:rPr>
          <w:sz w:val="22"/>
          <w:szCs w:val="22"/>
        </w:rPr>
        <w:t>v jednodávkovom obale</w:t>
      </w:r>
      <w:r w:rsidRPr="006512B1">
        <w:rPr>
          <w:sz w:val="22"/>
          <w:szCs w:val="22"/>
        </w:rPr>
        <w:t>. Väčšina hlásených nežiaducich reakcií sa týkala očí, bola miern</w:t>
      </w:r>
      <w:r w:rsidR="00696990">
        <w:rPr>
          <w:sz w:val="22"/>
          <w:szCs w:val="22"/>
        </w:rPr>
        <w:t>ej</w:t>
      </w:r>
      <w:r w:rsidRPr="006512B1">
        <w:rPr>
          <w:sz w:val="22"/>
          <w:szCs w:val="22"/>
        </w:rPr>
        <w:t xml:space="preserve"> alebo stredne</w:t>
      </w:r>
      <w:r w:rsidR="00696990">
        <w:rPr>
          <w:sz w:val="22"/>
          <w:szCs w:val="22"/>
        </w:rPr>
        <w:t>j závažnosti</w:t>
      </w:r>
      <w:r w:rsidRPr="006512B1">
        <w:rPr>
          <w:sz w:val="22"/>
          <w:szCs w:val="22"/>
        </w:rPr>
        <w:t xml:space="preserve"> a žiadna z nich nebola </w:t>
      </w:r>
      <w:r w:rsidR="00696990">
        <w:rPr>
          <w:sz w:val="22"/>
          <w:szCs w:val="22"/>
        </w:rPr>
        <w:t>ťažká</w:t>
      </w:r>
      <w:r w:rsidRPr="006512B1">
        <w:rPr>
          <w:sz w:val="22"/>
          <w:szCs w:val="22"/>
        </w:rPr>
        <w:t>.</w:t>
      </w:r>
    </w:p>
    <w:p w14:paraId="0ED44378" w14:textId="77777777" w:rsidR="00D9224B" w:rsidRPr="006512B1" w:rsidRDefault="00D9224B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14:paraId="002CFB95" w14:textId="77777777" w:rsidR="00D9224B" w:rsidRPr="006512B1" w:rsidRDefault="00D9224B" w:rsidP="00FF66FC">
      <w:pPr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Tak ako iné </w:t>
      </w:r>
      <w:r w:rsidR="00696990">
        <w:rPr>
          <w:sz w:val="22"/>
          <w:szCs w:val="22"/>
        </w:rPr>
        <w:t>lokálne</w:t>
      </w:r>
      <w:r w:rsidRPr="006512B1">
        <w:rPr>
          <w:sz w:val="22"/>
          <w:szCs w:val="22"/>
        </w:rPr>
        <w:t xml:space="preserve"> podávané oftalmologické látky, tafluprost a timolol sa absorbujú systémovo. To môže spôsobovať podobné nežiaduce účinky ako v prípade systémových betablokátorov. Výskyt systémových nežiaducich reakcií po </w:t>
      </w:r>
      <w:r w:rsidR="00696990">
        <w:rPr>
          <w:sz w:val="22"/>
          <w:szCs w:val="22"/>
        </w:rPr>
        <w:t>lokálnom</w:t>
      </w:r>
      <w:r w:rsidRPr="006512B1">
        <w:rPr>
          <w:sz w:val="22"/>
          <w:szCs w:val="22"/>
        </w:rPr>
        <w:t xml:space="preserve"> očnom podaní je nižš</w:t>
      </w:r>
      <w:r w:rsidR="009C2F86" w:rsidRPr="006512B1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ako pri systémovom podaní. Uvedené nežiaduce reakcie zahŕňajú reakcie pozorované v triede o</w:t>
      </w:r>
      <w:r w:rsidR="00DA4BFF">
        <w:rPr>
          <w:sz w:val="22"/>
          <w:szCs w:val="22"/>
        </w:rPr>
        <w:t>čných</w:t>
      </w:r>
      <w:r w:rsidRPr="006512B1">
        <w:rPr>
          <w:sz w:val="22"/>
          <w:szCs w:val="22"/>
        </w:rPr>
        <w:t xml:space="preserve"> betablokátorov.</w:t>
      </w:r>
    </w:p>
    <w:p w14:paraId="58BC4451" w14:textId="77777777" w:rsidR="00D9224B" w:rsidRPr="006512B1" w:rsidRDefault="00D9224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995B251" w14:textId="77777777"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klinických skúšaniach s </w:t>
      </w:r>
      <w:r w:rsidRPr="00DF4804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 xml:space="preserve"> </w:t>
      </w:r>
      <w:r w:rsidR="001427B4" w:rsidRPr="00885237">
        <w:rPr>
          <w:sz w:val="22"/>
          <w:szCs w:val="22"/>
        </w:rPr>
        <w:t>v jednodávkovom obale</w:t>
      </w:r>
      <w:r w:rsidR="001427B4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boli hlásené nasledujúce nežiaduce reakcie (v rámci jednotlivých skupín frekvencií sú nežiaduce účinky usporiadané v poradí klesajúcej frekvencie).</w:t>
      </w:r>
    </w:p>
    <w:p w14:paraId="0EE69BF4" w14:textId="77777777" w:rsidR="00D9224B" w:rsidRPr="006512B1" w:rsidRDefault="00D9224B" w:rsidP="00FF66FC">
      <w:pPr>
        <w:spacing w:line="240" w:lineRule="auto"/>
        <w:ind w:right="720"/>
        <w:rPr>
          <w:sz w:val="22"/>
          <w:szCs w:val="22"/>
        </w:rPr>
      </w:pPr>
      <w:r w:rsidRPr="006512B1">
        <w:rPr>
          <w:sz w:val="22"/>
          <w:szCs w:val="22"/>
        </w:rPr>
        <w:t>Frekvencia možných nežiaducich reakcií uvedených ďalej je definovaná takto:</w:t>
      </w:r>
    </w:p>
    <w:p w14:paraId="3FF9A0E7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4511"/>
        <w:gridCol w:w="4550"/>
      </w:tblGrid>
      <w:tr w:rsidR="00D9224B" w:rsidRPr="006512B1" w14:paraId="1990307F" w14:textId="77777777" w:rsidTr="00193CB0">
        <w:tc>
          <w:tcPr>
            <w:tcW w:w="5056" w:type="dxa"/>
            <w:shd w:val="clear" w:color="000000" w:fill="auto"/>
          </w:tcPr>
          <w:p w14:paraId="669E9FC6" w14:textId="77777777" w:rsidR="00D9224B" w:rsidRPr="006512B1" w:rsidRDefault="00D9224B" w:rsidP="0042762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5056" w:type="dxa"/>
            <w:shd w:val="clear" w:color="000000" w:fill="auto"/>
          </w:tcPr>
          <w:p w14:paraId="6E64514F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</w:t>
            </w:r>
          </w:p>
        </w:tc>
      </w:tr>
      <w:tr w:rsidR="00D9224B" w:rsidRPr="006512B1" w14:paraId="003AE299" w14:textId="77777777" w:rsidTr="00193CB0">
        <w:tc>
          <w:tcPr>
            <w:tcW w:w="5056" w:type="dxa"/>
            <w:shd w:val="clear" w:color="000000" w:fill="auto"/>
          </w:tcPr>
          <w:p w14:paraId="4BA14816" w14:textId="77777777"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5056" w:type="dxa"/>
            <w:shd w:val="clear" w:color="000000" w:fill="auto"/>
          </w:tcPr>
          <w:p w14:paraId="05574691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≥1/100 až &lt;1/10</w:t>
            </w:r>
          </w:p>
        </w:tc>
      </w:tr>
      <w:tr w:rsidR="00D9224B" w:rsidRPr="006512B1" w14:paraId="371A0043" w14:textId="77777777" w:rsidTr="00193CB0">
        <w:tc>
          <w:tcPr>
            <w:tcW w:w="5056" w:type="dxa"/>
            <w:shd w:val="clear" w:color="000000" w:fill="auto"/>
          </w:tcPr>
          <w:p w14:paraId="6E13CAB7" w14:textId="77777777"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5056" w:type="dxa"/>
            <w:shd w:val="clear" w:color="000000" w:fill="auto"/>
          </w:tcPr>
          <w:p w14:paraId="0854C519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≥1/1 000 až &lt;1/100</w:t>
            </w:r>
          </w:p>
        </w:tc>
      </w:tr>
      <w:tr w:rsidR="00D9224B" w:rsidRPr="006512B1" w14:paraId="4E363C8C" w14:textId="77777777" w:rsidTr="00193CB0">
        <w:tc>
          <w:tcPr>
            <w:tcW w:w="5056" w:type="dxa"/>
            <w:shd w:val="clear" w:color="000000" w:fill="auto"/>
          </w:tcPr>
          <w:p w14:paraId="7B88DC4F" w14:textId="77777777"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5056" w:type="dxa"/>
            <w:shd w:val="clear" w:color="000000" w:fill="auto"/>
          </w:tcPr>
          <w:p w14:paraId="4C78B7F6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≥1/10 000 až &lt;1/1 000</w:t>
            </w:r>
          </w:p>
        </w:tc>
      </w:tr>
      <w:tr w:rsidR="00D9224B" w:rsidRPr="006512B1" w14:paraId="5947DA9E" w14:textId="77777777" w:rsidTr="00193CB0">
        <w:tc>
          <w:tcPr>
            <w:tcW w:w="5056" w:type="dxa"/>
            <w:shd w:val="clear" w:color="000000" w:fill="auto"/>
          </w:tcPr>
          <w:p w14:paraId="11BD9B15" w14:textId="77777777"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Veľmi zriedkavé</w:t>
            </w:r>
          </w:p>
        </w:tc>
        <w:tc>
          <w:tcPr>
            <w:tcW w:w="5056" w:type="dxa"/>
            <w:shd w:val="clear" w:color="000000" w:fill="auto"/>
          </w:tcPr>
          <w:p w14:paraId="31F32E66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&lt;1/10 000</w:t>
            </w:r>
          </w:p>
        </w:tc>
      </w:tr>
      <w:tr w:rsidR="00D9224B" w:rsidRPr="006512B1" w14:paraId="02A194BE" w14:textId="77777777" w:rsidTr="00193CB0">
        <w:tc>
          <w:tcPr>
            <w:tcW w:w="5056" w:type="dxa"/>
            <w:shd w:val="clear" w:color="000000" w:fill="auto"/>
          </w:tcPr>
          <w:p w14:paraId="349AB7E4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5056" w:type="dxa"/>
            <w:shd w:val="clear" w:color="000000" w:fill="auto"/>
          </w:tcPr>
          <w:p w14:paraId="2E8D6D29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z dostupných údajov</w:t>
            </w:r>
          </w:p>
        </w:tc>
      </w:tr>
    </w:tbl>
    <w:p w14:paraId="0BD3DE25" w14:textId="77777777" w:rsidR="002C1399" w:rsidRPr="006512B1" w:rsidRDefault="002C1399" w:rsidP="00FF66FC">
      <w:pPr>
        <w:spacing w:line="240" w:lineRule="auto"/>
        <w:rPr>
          <w:sz w:val="22"/>
          <w:szCs w:val="22"/>
        </w:rPr>
      </w:pPr>
    </w:p>
    <w:p w14:paraId="59FDEFDC" w14:textId="77777777" w:rsidR="00D9224B" w:rsidRPr="006512B1" w:rsidRDefault="003919B0" w:rsidP="00FF66FC">
      <w:pPr>
        <w:spacing w:line="240" w:lineRule="auto"/>
        <w:rPr>
          <w:b/>
          <w:sz w:val="22"/>
          <w:szCs w:val="22"/>
        </w:rPr>
      </w:pPr>
      <w:r w:rsidRPr="00577E16">
        <w:rPr>
          <w:b/>
          <w:caps/>
          <w:sz w:val="22"/>
          <w:szCs w:val="22"/>
        </w:rPr>
        <w:t>Taptiqom</w:t>
      </w:r>
      <w:r w:rsidRPr="006512B1">
        <w:rPr>
          <w:b/>
          <w:sz w:val="22"/>
          <w:szCs w:val="22"/>
        </w:rPr>
        <w:t xml:space="preserve"> (kombinácia tafluprostu/timololu)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982"/>
        <w:gridCol w:w="3085"/>
      </w:tblGrid>
      <w:tr w:rsidR="00D9224B" w:rsidRPr="006512B1" w14:paraId="1D178FAF" w14:textId="77777777" w:rsidTr="00193CB0">
        <w:trPr>
          <w:trHeight w:val="306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7DE7A127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Trieda </w:t>
            </w:r>
            <w:r w:rsidR="007C001A" w:rsidRPr="006512B1">
              <w:rPr>
                <w:sz w:val="22"/>
                <w:szCs w:val="22"/>
              </w:rPr>
              <w:t xml:space="preserve">orgánového </w:t>
            </w:r>
            <w:r w:rsidRPr="006512B1">
              <w:rPr>
                <w:sz w:val="22"/>
                <w:szCs w:val="22"/>
              </w:rPr>
              <w:t>systém</w:t>
            </w:r>
            <w:r w:rsidR="007C001A" w:rsidRPr="006512B1">
              <w:rPr>
                <w:sz w:val="22"/>
                <w:szCs w:val="22"/>
              </w:rPr>
              <w:t>u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3A1E48B5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Frekvencia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36D82531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D9224B" w:rsidRPr="006512B1" w14:paraId="5C9B3A3B" w14:textId="77777777" w:rsidTr="00193CB0"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2BEFFFF9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313BAD4E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59744581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6512B1" w14:paraId="7E5752B6" w14:textId="77777777" w:rsidTr="00193CB0">
        <w:tc>
          <w:tcPr>
            <w:tcW w:w="3396" w:type="dxa"/>
            <w:shd w:val="clear" w:color="000000" w:fill="auto"/>
          </w:tcPr>
          <w:p w14:paraId="4A15D781" w14:textId="77777777" w:rsidR="00D9224B" w:rsidRPr="006512B1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3396" w:type="dxa"/>
            <w:shd w:val="clear" w:color="000000" w:fill="auto"/>
          </w:tcPr>
          <w:p w14:paraId="42F9432F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14:paraId="6F933B50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Bolesť hlavy.</w:t>
            </w:r>
          </w:p>
        </w:tc>
      </w:tr>
      <w:tr w:rsidR="00D9224B" w:rsidRPr="006512B1" w14:paraId="1D66178E" w14:textId="77777777" w:rsidTr="00193CB0">
        <w:tc>
          <w:tcPr>
            <w:tcW w:w="3396" w:type="dxa"/>
            <w:shd w:val="clear" w:color="000000" w:fill="auto"/>
          </w:tcPr>
          <w:p w14:paraId="770D0A9F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14:paraId="4A5D755D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14:paraId="7E6C5782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6512B1" w14:paraId="727DDF2E" w14:textId="77777777" w:rsidTr="00661CD2">
        <w:trPr>
          <w:trHeight w:val="2120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70A269D7" w14:textId="77777777" w:rsidR="00D9224B" w:rsidRPr="006512B1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21C35358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Časté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14:paraId="5D6122B8" w14:textId="77777777" w:rsidR="00D9224B" w:rsidRPr="006512B1" w:rsidRDefault="003B2E2C" w:rsidP="0042762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Spojovková/očná h</w:t>
            </w:r>
            <w:r w:rsidR="00D9224B" w:rsidRPr="006512B1">
              <w:rPr>
                <w:sz w:val="22"/>
                <w:szCs w:val="22"/>
              </w:rPr>
              <w:t xml:space="preserve">yperémia, svrbenie oka, bolesť oka, zmena </w:t>
            </w:r>
            <w:r w:rsidR="00E33935">
              <w:rPr>
                <w:sz w:val="22"/>
                <w:szCs w:val="22"/>
              </w:rPr>
              <w:t>očných rias</w:t>
            </w:r>
            <w:r w:rsidR="00D9224B" w:rsidRPr="006512B1">
              <w:rPr>
                <w:sz w:val="22"/>
                <w:szCs w:val="22"/>
              </w:rPr>
              <w:t xml:space="preserve"> (predĺženie, zhrubnutie a zvýšenie počtu</w:t>
            </w:r>
            <w:r w:rsidR="00202754">
              <w:rPr>
                <w:sz w:val="22"/>
                <w:szCs w:val="22"/>
              </w:rPr>
              <w:t xml:space="preserve"> rias</w:t>
            </w:r>
            <w:r w:rsidR="00D9224B" w:rsidRPr="006512B1">
              <w:rPr>
                <w:sz w:val="22"/>
                <w:szCs w:val="22"/>
              </w:rPr>
              <w:t xml:space="preserve">), zmena farby </w:t>
            </w:r>
            <w:r w:rsidR="00202754" w:rsidRPr="00202754">
              <w:rPr>
                <w:sz w:val="22"/>
                <w:szCs w:val="22"/>
              </w:rPr>
              <w:t>očných rias</w:t>
            </w:r>
            <w:r w:rsidR="00D9224B" w:rsidRPr="006512B1">
              <w:rPr>
                <w:sz w:val="22"/>
                <w:szCs w:val="22"/>
              </w:rPr>
              <w:t>, podráždenie oka, pocit cudzieho tel</w:t>
            </w:r>
            <w:r w:rsidR="005E5852">
              <w:rPr>
                <w:sz w:val="22"/>
                <w:szCs w:val="22"/>
              </w:rPr>
              <w:t>i</w:t>
            </w:r>
            <w:r w:rsidR="00D9224B" w:rsidRPr="006512B1">
              <w:rPr>
                <w:sz w:val="22"/>
                <w:szCs w:val="22"/>
              </w:rPr>
              <w:t>es</w:t>
            </w:r>
            <w:r w:rsidR="005E5852">
              <w:rPr>
                <w:sz w:val="22"/>
                <w:szCs w:val="22"/>
              </w:rPr>
              <w:t>k</w:t>
            </w:r>
            <w:r w:rsidR="00D9224B" w:rsidRPr="006512B1">
              <w:rPr>
                <w:sz w:val="22"/>
                <w:szCs w:val="22"/>
              </w:rPr>
              <w:t>a v očiach, rozmazané videnie, fotofóbia.</w:t>
            </w:r>
          </w:p>
        </w:tc>
      </w:tr>
      <w:tr w:rsidR="00D9224B" w:rsidRPr="006512B1" w14:paraId="2F0D701F" w14:textId="77777777" w:rsidTr="00661CD2">
        <w:trPr>
          <w:trHeight w:val="2150"/>
        </w:trPr>
        <w:tc>
          <w:tcPr>
            <w:tcW w:w="3396" w:type="dxa"/>
            <w:shd w:val="clear" w:color="000000" w:fill="auto"/>
          </w:tcPr>
          <w:p w14:paraId="61E7EEF4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14:paraId="19C7019A" w14:textId="77777777"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14:paraId="02952733" w14:textId="77777777" w:rsidR="00D9224B" w:rsidRPr="006512B1" w:rsidRDefault="00465BB4" w:rsidP="00FF66F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Neobvyklý</w:t>
            </w:r>
            <w:r w:rsidR="00D9224B" w:rsidRPr="006512B1">
              <w:rPr>
                <w:sz w:val="22"/>
                <w:szCs w:val="22"/>
              </w:rPr>
              <w:t xml:space="preserve"> pocit v oku, suchosť oka, nepríjemný pocit v oku, konjunktivitída, erytém očného viečka, očná alergia, edém očného viečka, povrchová škvrnitá keratitída, zvýšené slzenie, zápal prednej komory, astenopia, blefaritída.</w:t>
            </w:r>
          </w:p>
        </w:tc>
      </w:tr>
    </w:tbl>
    <w:p w14:paraId="31932FA1" w14:textId="77777777" w:rsidR="00D9224B" w:rsidRPr="006512B1" w:rsidRDefault="00D9224B" w:rsidP="00FF66FC">
      <w:pPr>
        <w:spacing w:line="240" w:lineRule="auto"/>
        <w:rPr>
          <w:sz w:val="22"/>
          <w:szCs w:val="22"/>
        </w:rPr>
      </w:pPr>
    </w:p>
    <w:p w14:paraId="76970036" w14:textId="77777777"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Ďalej sú uvedené ďalšie nežiaduce reakcie, ktoré sa pozorovali v prípade jedného z liečiv (tafluprostu alebo timololu) a môžu sa potenciálne vyskytnúť aj pri liečbe </w:t>
      </w:r>
      <w:r w:rsidRPr="00577E16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>:</w:t>
      </w:r>
    </w:p>
    <w:p w14:paraId="19F017D2" w14:textId="77777777" w:rsidR="002C1399" w:rsidRPr="006512B1" w:rsidRDefault="002C1399" w:rsidP="0071125C">
      <w:pPr>
        <w:spacing w:line="240" w:lineRule="auto"/>
        <w:rPr>
          <w:sz w:val="22"/>
          <w:szCs w:val="22"/>
        </w:rPr>
      </w:pPr>
    </w:p>
    <w:p w14:paraId="2ACEA50A" w14:textId="77777777" w:rsidR="00D9224B" w:rsidRPr="006512B1" w:rsidRDefault="00D9224B" w:rsidP="00FF66FC">
      <w:p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Tafluprost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80"/>
        <w:gridCol w:w="6609"/>
      </w:tblGrid>
      <w:tr w:rsidR="003919B0" w:rsidRPr="006512B1" w14:paraId="7D798F58" w14:textId="77777777" w:rsidTr="00095D69">
        <w:tc>
          <w:tcPr>
            <w:tcW w:w="3280" w:type="dxa"/>
            <w:shd w:val="clear" w:color="000000" w:fill="auto"/>
          </w:tcPr>
          <w:p w14:paraId="549E2AA0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Trieda orgánov</w:t>
            </w:r>
            <w:r w:rsidR="00E132AC" w:rsidRPr="006512B1">
              <w:rPr>
                <w:sz w:val="22"/>
                <w:szCs w:val="22"/>
              </w:rPr>
              <w:t>ého</w:t>
            </w:r>
            <w:r w:rsidRPr="006512B1">
              <w:rPr>
                <w:sz w:val="22"/>
                <w:szCs w:val="22"/>
              </w:rPr>
              <w:t xml:space="preserve"> systém</w:t>
            </w:r>
            <w:r w:rsidR="00E132AC" w:rsidRPr="006512B1">
              <w:rPr>
                <w:sz w:val="22"/>
                <w:szCs w:val="22"/>
              </w:rPr>
              <w:t>u</w:t>
            </w:r>
          </w:p>
        </w:tc>
        <w:tc>
          <w:tcPr>
            <w:tcW w:w="6609" w:type="dxa"/>
            <w:shd w:val="clear" w:color="000000" w:fill="auto"/>
          </w:tcPr>
          <w:p w14:paraId="52D62C97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3919B0" w:rsidRPr="006512B1" w:rsidDel="008F5808" w14:paraId="18138FA9" w14:textId="77777777" w:rsidTr="00095D69">
        <w:tc>
          <w:tcPr>
            <w:tcW w:w="3280" w:type="dxa"/>
            <w:shd w:val="clear" w:color="000000" w:fill="auto"/>
          </w:tcPr>
          <w:p w14:paraId="3B7D11CA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14:paraId="48203EBC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Del="008F5808" w14:paraId="53E609D0" w14:textId="77777777" w:rsidTr="00661CD2">
        <w:trPr>
          <w:trHeight w:val="1421"/>
        </w:trPr>
        <w:tc>
          <w:tcPr>
            <w:tcW w:w="3280" w:type="dxa"/>
            <w:shd w:val="clear" w:color="000000" w:fill="auto"/>
          </w:tcPr>
          <w:p w14:paraId="417B064F" w14:textId="77777777" w:rsidR="003919B0" w:rsidRPr="006512B1" w:rsidRDefault="006D785C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6609" w:type="dxa"/>
            <w:shd w:val="clear" w:color="000000" w:fill="auto"/>
          </w:tcPr>
          <w:p w14:paraId="27ADDC38" w14:textId="77777777" w:rsidR="003919B0" w:rsidRPr="006512B1" w:rsidRDefault="003919B0" w:rsidP="00567864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Znížená ostrosť</w:t>
            </w:r>
            <w:r w:rsidR="00CA7F07">
              <w:rPr>
                <w:sz w:val="22"/>
                <w:szCs w:val="22"/>
              </w:rPr>
              <w:t xml:space="preserve"> videnia</w:t>
            </w:r>
            <w:r w:rsidRPr="006512B1">
              <w:rPr>
                <w:sz w:val="22"/>
                <w:szCs w:val="22"/>
              </w:rPr>
              <w:t xml:space="preserve">, zvýšená pigmentácia dúhovky, pigmentácia okrajov očných viečok, edém spojovky, výtok z oka, </w:t>
            </w:r>
            <w:r w:rsidR="00567864">
              <w:rPr>
                <w:sz w:val="22"/>
                <w:szCs w:val="22"/>
              </w:rPr>
              <w:t>bunky</w:t>
            </w:r>
            <w:r w:rsidRPr="006512B1">
              <w:rPr>
                <w:sz w:val="22"/>
                <w:szCs w:val="22"/>
              </w:rPr>
              <w:t xml:space="preserve"> v prednej </w:t>
            </w:r>
            <w:r w:rsidR="00F973C8" w:rsidRPr="006512B1">
              <w:rPr>
                <w:sz w:val="22"/>
                <w:szCs w:val="22"/>
              </w:rPr>
              <w:t xml:space="preserve">očnej </w:t>
            </w:r>
            <w:r w:rsidRPr="006512B1">
              <w:rPr>
                <w:sz w:val="22"/>
                <w:szCs w:val="22"/>
              </w:rPr>
              <w:t xml:space="preserve">komore, </w:t>
            </w:r>
            <w:r w:rsidR="00F973C8" w:rsidRPr="006512B1">
              <w:rPr>
                <w:sz w:val="22"/>
                <w:szCs w:val="22"/>
              </w:rPr>
              <w:t xml:space="preserve">začervenanie </w:t>
            </w:r>
            <w:r w:rsidRPr="006512B1">
              <w:rPr>
                <w:sz w:val="22"/>
                <w:szCs w:val="22"/>
              </w:rPr>
              <w:t xml:space="preserve">prednej komory, alergická konjunktivitída, pigmentácia spojovky, </w:t>
            </w:r>
            <w:r w:rsidR="00F973C8" w:rsidRPr="006512B1">
              <w:rPr>
                <w:sz w:val="22"/>
                <w:szCs w:val="22"/>
              </w:rPr>
              <w:t>konjunktiválne folikuly</w:t>
            </w:r>
            <w:r w:rsidRPr="006512B1">
              <w:rPr>
                <w:sz w:val="22"/>
                <w:szCs w:val="22"/>
              </w:rPr>
              <w:t>, prehĺbenie záhybu na očnom viečku, iritída/uveitída</w:t>
            </w:r>
            <w:r w:rsidR="0071125C" w:rsidRPr="006512B1">
              <w:rPr>
                <w:sz w:val="22"/>
                <w:szCs w:val="22"/>
              </w:rPr>
              <w:t>, makulárny edém</w:t>
            </w:r>
            <w:r w:rsidR="00DE1D5E" w:rsidRPr="006512B1">
              <w:rPr>
                <w:sz w:val="22"/>
                <w:szCs w:val="22"/>
              </w:rPr>
              <w:t>/cystoidný makulárny edém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Del="008F5808" w14:paraId="32966EED" w14:textId="77777777" w:rsidTr="00095D69">
        <w:tc>
          <w:tcPr>
            <w:tcW w:w="3280" w:type="dxa"/>
            <w:shd w:val="clear" w:color="000000" w:fill="auto"/>
          </w:tcPr>
          <w:p w14:paraId="3B13569E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14:paraId="6FEEAE02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Del="008F5808" w14:paraId="0AFA141D" w14:textId="77777777" w:rsidTr="00661CD2">
        <w:trPr>
          <w:trHeight w:val="560"/>
        </w:trPr>
        <w:tc>
          <w:tcPr>
            <w:tcW w:w="3280" w:type="dxa"/>
            <w:shd w:val="clear" w:color="000000" w:fill="auto"/>
          </w:tcPr>
          <w:p w14:paraId="502A38AA" w14:textId="77777777" w:rsidR="003919B0" w:rsidRPr="006512B1" w:rsidDel="008F5808" w:rsidRDefault="003919B0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6512B1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6609" w:type="dxa"/>
            <w:shd w:val="clear" w:color="000000" w:fill="auto"/>
          </w:tcPr>
          <w:p w14:paraId="7ECC9EEE" w14:textId="77777777" w:rsidR="003919B0" w:rsidRPr="006512B1" w:rsidDel="008F5808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Hypertrichóza očného viečka.</w:t>
            </w:r>
          </w:p>
        </w:tc>
      </w:tr>
      <w:tr w:rsidR="009E56AF" w:rsidRPr="006512B1" w:rsidDel="008F5808" w14:paraId="242F3224" w14:textId="77777777" w:rsidTr="009E56AF">
        <w:trPr>
          <w:trHeight w:val="266"/>
        </w:trPr>
        <w:tc>
          <w:tcPr>
            <w:tcW w:w="3280" w:type="dxa"/>
            <w:shd w:val="clear" w:color="000000" w:fill="auto"/>
          </w:tcPr>
          <w:p w14:paraId="36E2558E" w14:textId="77777777"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14:paraId="23F90B32" w14:textId="77777777"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E56AF" w:rsidRPr="006512B1" w:rsidDel="008F5808" w14:paraId="723B92DB" w14:textId="77777777" w:rsidTr="00661CD2">
        <w:trPr>
          <w:trHeight w:val="560"/>
        </w:trPr>
        <w:tc>
          <w:tcPr>
            <w:tcW w:w="3280" w:type="dxa"/>
            <w:shd w:val="clear" w:color="000000" w:fill="auto"/>
          </w:tcPr>
          <w:p w14:paraId="41A352AA" w14:textId="77777777" w:rsidR="009E56AF" w:rsidRPr="006512B1" w:rsidRDefault="009E56AF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6512B1">
              <w:rPr>
                <w:b/>
                <w:noProof/>
                <w:sz w:val="22"/>
                <w:szCs w:val="22"/>
              </w:rPr>
              <w:t>Poruchy dýchacej sústavy</w:t>
            </w:r>
          </w:p>
        </w:tc>
        <w:tc>
          <w:tcPr>
            <w:tcW w:w="6609" w:type="dxa"/>
            <w:shd w:val="clear" w:color="000000" w:fill="auto"/>
          </w:tcPr>
          <w:p w14:paraId="31A71774" w14:textId="77777777"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Zhoršenie astmy, dyspnoe.</w:t>
            </w:r>
          </w:p>
        </w:tc>
      </w:tr>
    </w:tbl>
    <w:p w14:paraId="727DD3F7" w14:textId="77777777" w:rsidR="00CF6C7A" w:rsidRPr="006512B1" w:rsidRDefault="00CF6C7A" w:rsidP="00FF66FC">
      <w:pPr>
        <w:spacing w:line="240" w:lineRule="auto"/>
        <w:rPr>
          <w:sz w:val="22"/>
          <w:szCs w:val="22"/>
        </w:rPr>
      </w:pPr>
    </w:p>
    <w:p w14:paraId="6039A709" w14:textId="77777777" w:rsidR="00D9224B" w:rsidRPr="006512B1" w:rsidRDefault="00D9224B" w:rsidP="00FF66FC">
      <w:p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Timolol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97"/>
        <w:gridCol w:w="6592"/>
      </w:tblGrid>
      <w:tr w:rsidR="003919B0" w:rsidRPr="006512B1" w14:paraId="1E9B699E" w14:textId="77777777" w:rsidTr="00095D69">
        <w:tc>
          <w:tcPr>
            <w:tcW w:w="3297" w:type="dxa"/>
            <w:shd w:val="clear" w:color="000000" w:fill="auto"/>
          </w:tcPr>
          <w:p w14:paraId="1EC9EB4C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Trieda orgánov</w:t>
            </w:r>
            <w:r w:rsidR="0077276B" w:rsidRPr="006512B1">
              <w:rPr>
                <w:sz w:val="22"/>
                <w:szCs w:val="22"/>
              </w:rPr>
              <w:t>ého</w:t>
            </w:r>
            <w:r w:rsidRPr="006512B1">
              <w:rPr>
                <w:sz w:val="22"/>
                <w:szCs w:val="22"/>
              </w:rPr>
              <w:t xml:space="preserve"> systém</w:t>
            </w:r>
            <w:r w:rsidR="0077276B" w:rsidRPr="006512B1">
              <w:rPr>
                <w:sz w:val="22"/>
                <w:szCs w:val="22"/>
              </w:rPr>
              <w:t>u</w:t>
            </w:r>
          </w:p>
        </w:tc>
        <w:tc>
          <w:tcPr>
            <w:tcW w:w="6592" w:type="dxa"/>
            <w:shd w:val="clear" w:color="000000" w:fill="auto"/>
          </w:tcPr>
          <w:p w14:paraId="43549315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3919B0" w:rsidRPr="006512B1" w14:paraId="76B12475" w14:textId="77777777" w:rsidTr="00095D69">
        <w:tc>
          <w:tcPr>
            <w:tcW w:w="3297" w:type="dxa"/>
            <w:shd w:val="clear" w:color="000000" w:fill="auto"/>
          </w:tcPr>
          <w:p w14:paraId="4B2F95D5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7B93F87F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5690C41A" w14:textId="77777777" w:rsidTr="00661CD2">
        <w:trPr>
          <w:trHeight w:val="657"/>
        </w:trPr>
        <w:tc>
          <w:tcPr>
            <w:tcW w:w="3297" w:type="dxa"/>
            <w:shd w:val="clear" w:color="000000" w:fill="auto"/>
          </w:tcPr>
          <w:p w14:paraId="04D09451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6592" w:type="dxa"/>
            <w:shd w:val="clear" w:color="000000" w:fill="auto"/>
          </w:tcPr>
          <w:p w14:paraId="50D6ABFC" w14:textId="77777777" w:rsidR="00900E8D" w:rsidRPr="006512B1" w:rsidRDefault="00F973C8" w:rsidP="00E11B54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Prejavy </w:t>
            </w:r>
            <w:r w:rsidR="00900E8D" w:rsidRPr="006512B1">
              <w:rPr>
                <w:sz w:val="22"/>
                <w:szCs w:val="22"/>
              </w:rPr>
              <w:t>a príznaky alergických reakcií</w:t>
            </w:r>
            <w:r w:rsidRPr="006512B1">
              <w:rPr>
                <w:sz w:val="22"/>
                <w:szCs w:val="22"/>
              </w:rPr>
              <w:t>,</w:t>
            </w:r>
            <w:r w:rsidR="00900E8D" w:rsidRPr="006512B1">
              <w:rPr>
                <w:sz w:val="22"/>
                <w:szCs w:val="22"/>
              </w:rPr>
              <w:t xml:space="preserve"> vrátane angioedému, urtikári</w:t>
            </w:r>
            <w:r w:rsidR="00E11B54">
              <w:rPr>
                <w:sz w:val="22"/>
                <w:szCs w:val="22"/>
              </w:rPr>
              <w:t>a</w:t>
            </w:r>
            <w:r w:rsidR="00900E8D" w:rsidRPr="006512B1">
              <w:rPr>
                <w:sz w:val="22"/>
                <w:szCs w:val="22"/>
              </w:rPr>
              <w:t>, lokalizovan</w:t>
            </w:r>
            <w:r w:rsidR="00E11B54">
              <w:rPr>
                <w:sz w:val="22"/>
                <w:szCs w:val="22"/>
              </w:rPr>
              <w:t>á</w:t>
            </w:r>
            <w:r w:rsidR="00900E8D" w:rsidRPr="006512B1">
              <w:rPr>
                <w:sz w:val="22"/>
                <w:szCs w:val="22"/>
              </w:rPr>
              <w:t xml:space="preserve"> a generalizovan</w:t>
            </w:r>
            <w:r w:rsidR="00E11B54">
              <w:rPr>
                <w:sz w:val="22"/>
                <w:szCs w:val="22"/>
              </w:rPr>
              <w:t>á</w:t>
            </w:r>
            <w:r w:rsidR="00900E8D" w:rsidRPr="006512B1">
              <w:rPr>
                <w:sz w:val="22"/>
                <w:szCs w:val="22"/>
              </w:rPr>
              <w:t xml:space="preserve"> vyrážk</w:t>
            </w:r>
            <w:r w:rsidR="00E11B54">
              <w:rPr>
                <w:sz w:val="22"/>
                <w:szCs w:val="22"/>
              </w:rPr>
              <w:t>a,</w:t>
            </w:r>
            <w:r w:rsidR="00900E8D" w:rsidRPr="006512B1">
              <w:rPr>
                <w:sz w:val="22"/>
                <w:szCs w:val="22"/>
              </w:rPr>
              <w:t xml:space="preserve"> anafylaxi</w:t>
            </w:r>
            <w:r w:rsidR="00E11B54">
              <w:rPr>
                <w:sz w:val="22"/>
                <w:szCs w:val="22"/>
              </w:rPr>
              <w:t>a</w:t>
            </w:r>
            <w:r w:rsidR="00900E8D" w:rsidRPr="006512B1">
              <w:rPr>
                <w:sz w:val="22"/>
                <w:szCs w:val="22"/>
              </w:rPr>
              <w:t>, pruritu</w:t>
            </w:r>
            <w:r w:rsidR="00E11B54">
              <w:rPr>
                <w:sz w:val="22"/>
                <w:szCs w:val="22"/>
              </w:rPr>
              <w:t>s</w:t>
            </w:r>
            <w:r w:rsidR="00900E8D"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14:paraId="577B866B" w14:textId="77777777" w:rsidTr="00095D69">
        <w:tc>
          <w:tcPr>
            <w:tcW w:w="3297" w:type="dxa"/>
            <w:shd w:val="clear" w:color="000000" w:fill="auto"/>
          </w:tcPr>
          <w:p w14:paraId="0AC00652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03BF2859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14:paraId="01CE2DD4" w14:textId="77777777" w:rsidTr="00661CD2">
        <w:trPr>
          <w:trHeight w:val="585"/>
        </w:trPr>
        <w:tc>
          <w:tcPr>
            <w:tcW w:w="3297" w:type="dxa"/>
            <w:shd w:val="clear" w:color="000000" w:fill="auto"/>
          </w:tcPr>
          <w:p w14:paraId="38E09788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metabolizmu a výživy</w:t>
            </w:r>
          </w:p>
        </w:tc>
        <w:tc>
          <w:tcPr>
            <w:tcW w:w="6592" w:type="dxa"/>
            <w:shd w:val="clear" w:color="000000" w:fill="auto"/>
          </w:tcPr>
          <w:p w14:paraId="1B21FC06" w14:textId="77777777" w:rsidR="003919B0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Hypoglykémia.</w:t>
            </w:r>
          </w:p>
        </w:tc>
      </w:tr>
      <w:tr w:rsidR="003919B0" w:rsidRPr="006512B1" w14:paraId="3D9574FD" w14:textId="77777777" w:rsidTr="00095D69">
        <w:tc>
          <w:tcPr>
            <w:tcW w:w="3297" w:type="dxa"/>
            <w:shd w:val="clear" w:color="000000" w:fill="auto"/>
          </w:tcPr>
          <w:p w14:paraId="5DC0C19B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46D03BDD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242F34BD" w14:textId="77777777" w:rsidTr="00CF6C7A">
        <w:trPr>
          <w:trHeight w:val="350"/>
        </w:trPr>
        <w:tc>
          <w:tcPr>
            <w:tcW w:w="3297" w:type="dxa"/>
            <w:shd w:val="clear" w:color="000000" w:fill="auto"/>
          </w:tcPr>
          <w:p w14:paraId="29B5D060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6592" w:type="dxa"/>
            <w:shd w:val="clear" w:color="000000" w:fill="auto"/>
          </w:tcPr>
          <w:p w14:paraId="3F07AAC6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Depresia, nespavosť, nočné mory, strata pamäti, nervozita</w:t>
            </w:r>
            <w:r w:rsidR="008D3EC2" w:rsidRPr="006512B1">
              <w:rPr>
                <w:sz w:val="22"/>
                <w:szCs w:val="22"/>
              </w:rPr>
              <w:t>, halucinácie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14:paraId="18D2F6F3" w14:textId="77777777" w:rsidTr="00095D69">
        <w:tc>
          <w:tcPr>
            <w:tcW w:w="3297" w:type="dxa"/>
            <w:shd w:val="clear" w:color="000000" w:fill="auto"/>
          </w:tcPr>
          <w:p w14:paraId="42070316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220E4753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45837340" w14:textId="77777777" w:rsidTr="00CF6C7A">
        <w:trPr>
          <w:trHeight w:val="557"/>
        </w:trPr>
        <w:tc>
          <w:tcPr>
            <w:tcW w:w="3297" w:type="dxa"/>
            <w:shd w:val="clear" w:color="000000" w:fill="auto"/>
          </w:tcPr>
          <w:p w14:paraId="705879CD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6592" w:type="dxa"/>
            <w:shd w:val="clear" w:color="000000" w:fill="auto"/>
          </w:tcPr>
          <w:p w14:paraId="0D45B027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Závraty, synkopa, parestézia, zvýšený výskyt </w:t>
            </w:r>
            <w:r w:rsidR="00391162" w:rsidRPr="006512B1">
              <w:rPr>
                <w:sz w:val="22"/>
                <w:szCs w:val="22"/>
              </w:rPr>
              <w:t xml:space="preserve">prejavov </w:t>
            </w:r>
            <w:r w:rsidRPr="006512B1">
              <w:rPr>
                <w:sz w:val="22"/>
                <w:szCs w:val="22"/>
              </w:rPr>
              <w:t>a príznakov ťažkej myasténie, cievna mozgová príhoda, mozgová ischémia.</w:t>
            </w:r>
          </w:p>
        </w:tc>
      </w:tr>
      <w:tr w:rsidR="003919B0" w:rsidRPr="006512B1" w14:paraId="1DF3771E" w14:textId="77777777" w:rsidTr="00095D69">
        <w:tc>
          <w:tcPr>
            <w:tcW w:w="3297" w:type="dxa"/>
            <w:shd w:val="clear" w:color="000000" w:fill="auto"/>
          </w:tcPr>
          <w:p w14:paraId="5EE94919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36A61EAC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29C51A10" w14:textId="77777777" w:rsidTr="00CF6C7A">
        <w:trPr>
          <w:trHeight w:val="1136"/>
        </w:trPr>
        <w:tc>
          <w:tcPr>
            <w:tcW w:w="3297" w:type="dxa"/>
            <w:shd w:val="clear" w:color="000000" w:fill="auto"/>
          </w:tcPr>
          <w:p w14:paraId="202D6A14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6592" w:type="dxa"/>
            <w:shd w:val="clear" w:color="000000" w:fill="auto"/>
          </w:tcPr>
          <w:p w14:paraId="094B533E" w14:textId="77777777" w:rsidR="00900E8D" w:rsidRPr="006512B1" w:rsidRDefault="00900E8D" w:rsidP="00567864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Keratitída, znížená citlivosť rohovky, poruchy zraku vrátane refrakčných zmien (</w:t>
            </w:r>
            <w:r w:rsidR="009C620A" w:rsidRPr="009C620A">
              <w:rPr>
                <w:sz w:val="22"/>
                <w:szCs w:val="22"/>
              </w:rPr>
              <w:t xml:space="preserve">v niektorých prípadoch </w:t>
            </w:r>
            <w:r w:rsidR="009C620A">
              <w:rPr>
                <w:sz w:val="22"/>
                <w:szCs w:val="22"/>
              </w:rPr>
              <w:t>ako</w:t>
            </w:r>
            <w:r w:rsidRPr="006512B1">
              <w:rPr>
                <w:sz w:val="22"/>
                <w:szCs w:val="22"/>
              </w:rPr>
              <w:t> dôsled</w:t>
            </w:r>
            <w:r w:rsidR="009C620A">
              <w:rPr>
                <w:sz w:val="22"/>
                <w:szCs w:val="22"/>
              </w:rPr>
              <w:t>ok</w:t>
            </w:r>
            <w:r w:rsidRPr="006512B1">
              <w:rPr>
                <w:sz w:val="22"/>
                <w:szCs w:val="22"/>
              </w:rPr>
              <w:t xml:space="preserve"> </w:t>
            </w:r>
            <w:r w:rsidR="009C620A">
              <w:rPr>
                <w:sz w:val="22"/>
                <w:szCs w:val="22"/>
              </w:rPr>
              <w:t>ukončenia</w:t>
            </w:r>
            <w:r w:rsidRPr="006512B1">
              <w:rPr>
                <w:sz w:val="22"/>
                <w:szCs w:val="22"/>
              </w:rPr>
              <w:t xml:space="preserve"> miotickej liečby), ptóza, diplopia, </w:t>
            </w:r>
            <w:r w:rsidR="00391162" w:rsidRPr="006512B1">
              <w:rPr>
                <w:sz w:val="22"/>
                <w:szCs w:val="22"/>
              </w:rPr>
              <w:t>odlú</w:t>
            </w:r>
            <w:r w:rsidR="00550E97">
              <w:rPr>
                <w:sz w:val="22"/>
                <w:szCs w:val="22"/>
              </w:rPr>
              <w:t>p</w:t>
            </w:r>
            <w:r w:rsidR="00391162" w:rsidRPr="006512B1">
              <w:rPr>
                <w:sz w:val="22"/>
                <w:szCs w:val="22"/>
              </w:rPr>
              <w:t xml:space="preserve">enie </w:t>
            </w:r>
            <w:r w:rsidRPr="006512B1">
              <w:rPr>
                <w:sz w:val="22"/>
                <w:szCs w:val="22"/>
              </w:rPr>
              <w:t>ciev</w:t>
            </w:r>
            <w:r w:rsidR="00567864">
              <w:rPr>
                <w:sz w:val="22"/>
                <w:szCs w:val="22"/>
              </w:rPr>
              <w:t>ovk</w:t>
            </w:r>
            <w:r w:rsidRPr="006512B1">
              <w:rPr>
                <w:sz w:val="22"/>
                <w:szCs w:val="22"/>
              </w:rPr>
              <w:t xml:space="preserve">y po </w:t>
            </w:r>
            <w:r w:rsidR="00550E97">
              <w:rPr>
                <w:sz w:val="22"/>
                <w:szCs w:val="22"/>
              </w:rPr>
              <w:t>filtr</w:t>
            </w:r>
            <w:r w:rsidR="00567864">
              <w:rPr>
                <w:sz w:val="22"/>
                <w:szCs w:val="22"/>
              </w:rPr>
              <w:t>ácii</w:t>
            </w:r>
            <w:r w:rsidRPr="006512B1">
              <w:rPr>
                <w:sz w:val="22"/>
                <w:szCs w:val="22"/>
              </w:rPr>
              <w:t xml:space="preserve"> (pozri časť 4.4 Osobitné upozornenia a opatrenia pri používaní), slzenie, </w:t>
            </w:r>
            <w:r w:rsidR="00391162" w:rsidRPr="006512B1">
              <w:rPr>
                <w:sz w:val="22"/>
                <w:szCs w:val="22"/>
              </w:rPr>
              <w:t xml:space="preserve">erózia </w:t>
            </w:r>
            <w:r w:rsidRPr="006512B1">
              <w:rPr>
                <w:sz w:val="22"/>
                <w:szCs w:val="22"/>
              </w:rPr>
              <w:t>rohovky.</w:t>
            </w:r>
          </w:p>
        </w:tc>
      </w:tr>
      <w:tr w:rsidR="003919B0" w:rsidRPr="006512B1" w14:paraId="496936FF" w14:textId="77777777" w:rsidTr="00095D69">
        <w:tc>
          <w:tcPr>
            <w:tcW w:w="3297" w:type="dxa"/>
            <w:shd w:val="clear" w:color="000000" w:fill="auto"/>
          </w:tcPr>
          <w:p w14:paraId="0985958F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64C735D6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14:paraId="754E0EB1" w14:textId="77777777" w:rsidTr="00661CD2">
        <w:trPr>
          <w:trHeight w:val="370"/>
        </w:trPr>
        <w:tc>
          <w:tcPr>
            <w:tcW w:w="3297" w:type="dxa"/>
            <w:shd w:val="clear" w:color="000000" w:fill="auto"/>
          </w:tcPr>
          <w:p w14:paraId="646FAFD3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ucha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r w:rsidRPr="006512B1">
              <w:rPr>
                <w:b/>
                <w:sz w:val="22"/>
                <w:szCs w:val="22"/>
              </w:rPr>
              <w:t>labyrintu</w:t>
            </w:r>
          </w:p>
        </w:tc>
        <w:tc>
          <w:tcPr>
            <w:tcW w:w="6592" w:type="dxa"/>
            <w:shd w:val="clear" w:color="000000" w:fill="auto"/>
          </w:tcPr>
          <w:p w14:paraId="2BB90DAA" w14:textId="77777777" w:rsidR="003919B0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Tinitus.</w:t>
            </w:r>
          </w:p>
        </w:tc>
      </w:tr>
      <w:tr w:rsidR="003919B0" w:rsidRPr="006512B1" w14:paraId="05048803" w14:textId="77777777" w:rsidTr="00095D69">
        <w:tc>
          <w:tcPr>
            <w:tcW w:w="3297" w:type="dxa"/>
            <w:shd w:val="clear" w:color="000000" w:fill="auto"/>
          </w:tcPr>
          <w:p w14:paraId="4E9697A2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0243FB18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09246293" w14:textId="77777777" w:rsidTr="00CF6C7A">
        <w:trPr>
          <w:trHeight w:val="895"/>
        </w:trPr>
        <w:tc>
          <w:tcPr>
            <w:tcW w:w="3297" w:type="dxa"/>
            <w:shd w:val="clear" w:color="000000" w:fill="auto"/>
          </w:tcPr>
          <w:p w14:paraId="19E288BA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6592" w:type="dxa"/>
            <w:shd w:val="clear" w:color="000000" w:fill="auto"/>
          </w:tcPr>
          <w:p w14:paraId="22A4036E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Bradykardia, bolesť na hrud</w:t>
            </w:r>
            <w:r w:rsidR="00391162" w:rsidRPr="006512B1">
              <w:rPr>
                <w:sz w:val="22"/>
                <w:szCs w:val="22"/>
              </w:rPr>
              <w:t>níku</w:t>
            </w:r>
            <w:r w:rsidRPr="006512B1">
              <w:rPr>
                <w:sz w:val="22"/>
                <w:szCs w:val="22"/>
              </w:rPr>
              <w:t>, palpitácia, edém, arytmia, kongestívne zlyhanie srdca, zastavenie srdca, srdcová blokáda, atrioventrikulárna blokáda, srdcové zlyhanie.</w:t>
            </w:r>
          </w:p>
        </w:tc>
      </w:tr>
      <w:tr w:rsidR="003919B0" w:rsidRPr="006512B1" w14:paraId="3FA9BFF7" w14:textId="77777777" w:rsidTr="00095D69">
        <w:tc>
          <w:tcPr>
            <w:tcW w:w="3297" w:type="dxa"/>
            <w:shd w:val="clear" w:color="000000" w:fill="auto"/>
          </w:tcPr>
          <w:p w14:paraId="53E667CC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4928DCC1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14:paraId="2C5EEB49" w14:textId="77777777" w:rsidTr="00661CD2">
        <w:trPr>
          <w:trHeight w:val="537"/>
        </w:trPr>
        <w:tc>
          <w:tcPr>
            <w:tcW w:w="3297" w:type="dxa"/>
            <w:shd w:val="clear" w:color="000000" w:fill="auto"/>
          </w:tcPr>
          <w:p w14:paraId="6E363720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6592" w:type="dxa"/>
            <w:shd w:val="clear" w:color="000000" w:fill="auto"/>
          </w:tcPr>
          <w:p w14:paraId="30EDC302" w14:textId="77777777" w:rsidR="003919B0" w:rsidRPr="006512B1" w:rsidRDefault="00900E8D" w:rsidP="00C716E4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Hypotenzia, k</w:t>
            </w:r>
            <w:r w:rsidR="00C716E4">
              <w:rPr>
                <w:sz w:val="22"/>
                <w:szCs w:val="22"/>
              </w:rPr>
              <w:t>rívanie</w:t>
            </w:r>
            <w:r w:rsidRPr="006512B1">
              <w:rPr>
                <w:sz w:val="22"/>
                <w:szCs w:val="22"/>
              </w:rPr>
              <w:t xml:space="preserve">, Raynaudov fenomén, studené </w:t>
            </w:r>
            <w:r w:rsidR="00391162" w:rsidRPr="006512B1">
              <w:rPr>
                <w:sz w:val="22"/>
                <w:szCs w:val="22"/>
              </w:rPr>
              <w:t xml:space="preserve">ruky </w:t>
            </w:r>
            <w:r w:rsidRPr="006512B1">
              <w:rPr>
                <w:sz w:val="22"/>
                <w:szCs w:val="22"/>
              </w:rPr>
              <w:t>a </w:t>
            </w:r>
            <w:r w:rsidR="00391162" w:rsidRPr="006512B1">
              <w:rPr>
                <w:sz w:val="22"/>
                <w:szCs w:val="22"/>
              </w:rPr>
              <w:t>nohy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14:paraId="0FE805F6" w14:textId="77777777" w:rsidTr="00095D69">
        <w:tc>
          <w:tcPr>
            <w:tcW w:w="3297" w:type="dxa"/>
            <w:shd w:val="clear" w:color="000000" w:fill="auto"/>
          </w:tcPr>
          <w:p w14:paraId="507514E7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36AFC367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27AD75B8" w14:textId="77777777" w:rsidTr="00661CD2">
        <w:trPr>
          <w:trHeight w:val="625"/>
        </w:trPr>
        <w:tc>
          <w:tcPr>
            <w:tcW w:w="3297" w:type="dxa"/>
            <w:shd w:val="clear" w:color="000000" w:fill="auto"/>
          </w:tcPr>
          <w:p w14:paraId="5339630A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dýchacej sústavy, hrudníka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r w:rsidRPr="006512B1">
              <w:rPr>
                <w:b/>
                <w:sz w:val="22"/>
                <w:szCs w:val="22"/>
              </w:rPr>
              <w:t>mediastína</w:t>
            </w:r>
          </w:p>
        </w:tc>
        <w:tc>
          <w:tcPr>
            <w:tcW w:w="6592" w:type="dxa"/>
            <w:shd w:val="clear" w:color="000000" w:fill="auto"/>
          </w:tcPr>
          <w:p w14:paraId="5B996B12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Dyspnoe, bronchospazmus (prevažne u pacientov s existujúcim bronchospa</w:t>
            </w:r>
            <w:r w:rsidR="00391162" w:rsidRPr="006512B1">
              <w:rPr>
                <w:sz w:val="22"/>
                <w:szCs w:val="22"/>
              </w:rPr>
              <w:t>st</w:t>
            </w:r>
            <w:r w:rsidRPr="006512B1">
              <w:rPr>
                <w:sz w:val="22"/>
                <w:szCs w:val="22"/>
              </w:rPr>
              <w:t>ickým ochorením), zlyhanie dýchania, kašeľ.</w:t>
            </w:r>
          </w:p>
        </w:tc>
      </w:tr>
      <w:tr w:rsidR="003919B0" w:rsidRPr="006512B1" w14:paraId="6C8A5879" w14:textId="77777777" w:rsidTr="00095D69">
        <w:tc>
          <w:tcPr>
            <w:tcW w:w="3297" w:type="dxa"/>
            <w:shd w:val="clear" w:color="000000" w:fill="auto"/>
          </w:tcPr>
          <w:p w14:paraId="4489E810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79988DF1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3E259DB0" w14:textId="77777777" w:rsidTr="00CF6C7A">
        <w:trPr>
          <w:trHeight w:val="558"/>
        </w:trPr>
        <w:tc>
          <w:tcPr>
            <w:tcW w:w="3297" w:type="dxa"/>
            <w:shd w:val="clear" w:color="000000" w:fill="auto"/>
          </w:tcPr>
          <w:p w14:paraId="127118F7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6592" w:type="dxa"/>
            <w:shd w:val="clear" w:color="000000" w:fill="auto"/>
          </w:tcPr>
          <w:p w14:paraId="17D76AB7" w14:textId="77777777" w:rsidR="00900E8D" w:rsidRPr="006512B1" w:rsidRDefault="00900E8D" w:rsidP="005B0F79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Nauzea, dyspepsia, hnačka, sucho</w:t>
            </w:r>
            <w:r w:rsidR="005B0F79">
              <w:rPr>
                <w:sz w:val="22"/>
                <w:szCs w:val="22"/>
              </w:rPr>
              <w:t>sť úst</w:t>
            </w:r>
            <w:r w:rsidRPr="006512B1">
              <w:rPr>
                <w:sz w:val="22"/>
                <w:szCs w:val="22"/>
              </w:rPr>
              <w:t>, dysgeúzia, bolesť brucha, vracanie.</w:t>
            </w:r>
          </w:p>
        </w:tc>
      </w:tr>
      <w:tr w:rsidR="003919B0" w:rsidRPr="006512B1" w14:paraId="3061F1D4" w14:textId="77777777" w:rsidTr="00095D69">
        <w:tc>
          <w:tcPr>
            <w:tcW w:w="3297" w:type="dxa"/>
            <w:shd w:val="clear" w:color="000000" w:fill="auto"/>
          </w:tcPr>
          <w:p w14:paraId="441F2D0C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7B100377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38078A42" w14:textId="77777777" w:rsidTr="00095D69">
        <w:trPr>
          <w:trHeight w:val="629"/>
        </w:trPr>
        <w:tc>
          <w:tcPr>
            <w:tcW w:w="3297" w:type="dxa"/>
            <w:shd w:val="clear" w:color="000000" w:fill="auto"/>
          </w:tcPr>
          <w:p w14:paraId="388726C3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kože a podkožného tkaniva</w:t>
            </w:r>
          </w:p>
        </w:tc>
        <w:tc>
          <w:tcPr>
            <w:tcW w:w="6592" w:type="dxa"/>
            <w:shd w:val="clear" w:color="000000" w:fill="auto"/>
          </w:tcPr>
          <w:p w14:paraId="33E6CB07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Alopécia, psoriatiformná vyrážka alebo zhoršenie psoriázy, kožná vyrážka.</w:t>
            </w:r>
          </w:p>
        </w:tc>
      </w:tr>
      <w:tr w:rsidR="003919B0" w:rsidRPr="006512B1" w14:paraId="25649D1D" w14:textId="77777777" w:rsidTr="00095D69">
        <w:tc>
          <w:tcPr>
            <w:tcW w:w="3297" w:type="dxa"/>
            <w:shd w:val="clear" w:color="000000" w:fill="auto"/>
          </w:tcPr>
          <w:p w14:paraId="144FE118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577B0466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538416E7" w14:textId="77777777" w:rsidTr="00095D69">
        <w:trPr>
          <w:trHeight w:val="571"/>
        </w:trPr>
        <w:tc>
          <w:tcPr>
            <w:tcW w:w="3297" w:type="dxa"/>
            <w:shd w:val="clear" w:color="000000" w:fill="auto"/>
          </w:tcPr>
          <w:p w14:paraId="1FEC3622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6592" w:type="dxa"/>
            <w:shd w:val="clear" w:color="000000" w:fill="auto"/>
          </w:tcPr>
          <w:p w14:paraId="43E56C9A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Systémový lupus</w:t>
            </w:r>
            <w:r w:rsidR="00D51FC0" w:rsidRPr="006512B1">
              <w:rPr>
                <w:sz w:val="22"/>
                <w:szCs w:val="22"/>
              </w:rPr>
              <w:t xml:space="preserve"> </w:t>
            </w:r>
            <w:r w:rsidRPr="006512B1">
              <w:rPr>
                <w:sz w:val="22"/>
                <w:szCs w:val="22"/>
              </w:rPr>
              <w:t>erythematosus, myalgia, artropatia.</w:t>
            </w:r>
          </w:p>
        </w:tc>
      </w:tr>
      <w:tr w:rsidR="003919B0" w:rsidRPr="006512B1" w14:paraId="55F3216E" w14:textId="77777777" w:rsidTr="00095D69">
        <w:tc>
          <w:tcPr>
            <w:tcW w:w="3297" w:type="dxa"/>
            <w:shd w:val="clear" w:color="000000" w:fill="auto"/>
          </w:tcPr>
          <w:p w14:paraId="0D6F7649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0819843F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6EAE4619" w14:textId="77777777" w:rsidTr="00095D69">
        <w:trPr>
          <w:trHeight w:val="569"/>
        </w:trPr>
        <w:tc>
          <w:tcPr>
            <w:tcW w:w="3297" w:type="dxa"/>
            <w:shd w:val="clear" w:color="000000" w:fill="auto"/>
          </w:tcPr>
          <w:p w14:paraId="6B5649CE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reprodukčného systému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r w:rsidRPr="006512B1">
              <w:rPr>
                <w:b/>
                <w:sz w:val="22"/>
                <w:szCs w:val="22"/>
              </w:rPr>
              <w:t>prsníkov</w:t>
            </w:r>
          </w:p>
        </w:tc>
        <w:tc>
          <w:tcPr>
            <w:tcW w:w="6592" w:type="dxa"/>
            <w:shd w:val="clear" w:color="000000" w:fill="auto"/>
          </w:tcPr>
          <w:p w14:paraId="685A63A9" w14:textId="77777777"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Peyronieho choroba, znížené libido, sexuálna dysfunkcia.</w:t>
            </w:r>
          </w:p>
        </w:tc>
      </w:tr>
      <w:tr w:rsidR="003919B0" w:rsidRPr="006512B1" w14:paraId="0C1A2C2B" w14:textId="77777777" w:rsidTr="00095D69">
        <w:tc>
          <w:tcPr>
            <w:tcW w:w="3297" w:type="dxa"/>
            <w:shd w:val="clear" w:color="000000" w:fill="auto"/>
          </w:tcPr>
          <w:p w14:paraId="2EC42904" w14:textId="77777777"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14:paraId="366642B7" w14:textId="77777777"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14:paraId="795646A8" w14:textId="77777777" w:rsidTr="00661CD2">
        <w:trPr>
          <w:trHeight w:val="625"/>
        </w:trPr>
        <w:tc>
          <w:tcPr>
            <w:tcW w:w="3297" w:type="dxa"/>
            <w:shd w:val="clear" w:color="000000" w:fill="auto"/>
          </w:tcPr>
          <w:p w14:paraId="631D1E3F" w14:textId="77777777"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Celkové poruchy a reakcie v mieste podania</w:t>
            </w:r>
          </w:p>
        </w:tc>
        <w:tc>
          <w:tcPr>
            <w:tcW w:w="6592" w:type="dxa"/>
            <w:shd w:val="clear" w:color="000000" w:fill="auto"/>
          </w:tcPr>
          <w:p w14:paraId="6F1E52AA" w14:textId="77777777" w:rsidR="00900E8D" w:rsidRPr="006512B1" w:rsidRDefault="007F5E01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Asténia/únava, smäd.</w:t>
            </w:r>
          </w:p>
        </w:tc>
      </w:tr>
    </w:tbl>
    <w:p w14:paraId="7DE18174" w14:textId="77777777" w:rsidR="008F61AB" w:rsidRPr="006512B1" w:rsidRDefault="008F61AB" w:rsidP="00FF66FC">
      <w:pPr>
        <w:spacing w:line="240" w:lineRule="auto"/>
        <w:rPr>
          <w:sz w:val="22"/>
          <w:szCs w:val="22"/>
        </w:rPr>
      </w:pPr>
    </w:p>
    <w:p w14:paraId="4F304B08" w14:textId="077A1BC8" w:rsidR="001405EE" w:rsidRPr="006512B1" w:rsidRDefault="001405EE" w:rsidP="00FF66FC">
      <w:pPr>
        <w:tabs>
          <w:tab w:val="clear" w:pos="567"/>
          <w:tab w:val="left" w:pos="0"/>
        </w:tabs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Prípady kalcifikácie rohovky v súvislosti s používaním očn</w:t>
      </w:r>
      <w:r w:rsidR="007D7562">
        <w:rPr>
          <w:sz w:val="22"/>
          <w:szCs w:val="22"/>
        </w:rPr>
        <w:t>ých kvapiek</w:t>
      </w:r>
      <w:r w:rsidRPr="006512B1">
        <w:rPr>
          <w:sz w:val="22"/>
          <w:szCs w:val="22"/>
        </w:rPr>
        <w:t xml:space="preserve"> obsah</w:t>
      </w:r>
      <w:r w:rsidR="004C0C51">
        <w:rPr>
          <w:sz w:val="22"/>
          <w:szCs w:val="22"/>
        </w:rPr>
        <w:t>ujúc</w:t>
      </w:r>
      <w:r w:rsidR="007D7562">
        <w:rPr>
          <w:sz w:val="22"/>
          <w:szCs w:val="22"/>
        </w:rPr>
        <w:t>ich</w:t>
      </w:r>
      <w:r w:rsidRPr="006512B1">
        <w:rPr>
          <w:sz w:val="22"/>
          <w:szCs w:val="22"/>
        </w:rPr>
        <w:t xml:space="preserve"> fosfát</w:t>
      </w:r>
      <w:r w:rsidR="004C0C51">
        <w:rPr>
          <w:sz w:val="22"/>
          <w:szCs w:val="22"/>
        </w:rPr>
        <w:t>y</w:t>
      </w:r>
      <w:r w:rsidRPr="006512B1">
        <w:rPr>
          <w:sz w:val="22"/>
          <w:szCs w:val="22"/>
        </w:rPr>
        <w:t xml:space="preserve"> boli veľmi zriedkavo hlásené u niektorých pacientov s významným poškodením rohovky.</w:t>
      </w:r>
    </w:p>
    <w:p w14:paraId="0ABB508B" w14:textId="77777777" w:rsidR="008F61AB" w:rsidRPr="006512B1" w:rsidRDefault="008F61AB" w:rsidP="00FF66FC">
      <w:pPr>
        <w:spacing w:line="240" w:lineRule="auto"/>
        <w:ind w:left="567" w:hanging="567"/>
        <w:rPr>
          <w:sz w:val="22"/>
          <w:szCs w:val="22"/>
        </w:rPr>
      </w:pPr>
    </w:p>
    <w:p w14:paraId="4F0DA7C8" w14:textId="77777777" w:rsidR="00615A88" w:rsidRPr="006512B1" w:rsidRDefault="00615A88" w:rsidP="00FF66FC">
      <w:pPr>
        <w:spacing w:line="240" w:lineRule="auto"/>
        <w:ind w:left="567" w:hanging="567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Hlásenie podozrení na nežiaduce reakcie</w:t>
      </w:r>
    </w:p>
    <w:p w14:paraId="59EA81D7" w14:textId="77777777" w:rsidR="00615A88" w:rsidRPr="006512B1" w:rsidRDefault="00615A88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B6558C" w:rsidRPr="006512B1">
        <w:rPr>
          <w:sz w:val="22"/>
          <w:szCs w:val="22"/>
        </w:rPr>
        <w:t xml:space="preserve">Od zdravotníckych pracovníkov sa vyžaduje, aby hlásili akékoľvek podozrenia na nežiaduce reakcie </w:t>
      </w:r>
      <w:r w:rsidR="0071125C" w:rsidRPr="006512B1">
        <w:rPr>
          <w:sz w:val="22"/>
          <w:szCs w:val="22"/>
        </w:rPr>
        <w:t xml:space="preserve">na </w:t>
      </w:r>
      <w:r w:rsidR="00B6558C" w:rsidRPr="006512B1">
        <w:rPr>
          <w:sz w:val="22"/>
          <w:szCs w:val="22"/>
          <w:highlight w:val="lightGray"/>
        </w:rPr>
        <w:t>národné</w:t>
      </w:r>
      <w:r w:rsidR="0071125C" w:rsidRPr="006512B1">
        <w:rPr>
          <w:sz w:val="22"/>
          <w:szCs w:val="22"/>
          <w:highlight w:val="lightGray"/>
        </w:rPr>
        <w:t xml:space="preserve"> centrum </w:t>
      </w:r>
      <w:r w:rsidR="00B6558C" w:rsidRPr="006512B1">
        <w:rPr>
          <w:sz w:val="22"/>
          <w:szCs w:val="22"/>
          <w:highlight w:val="lightGray"/>
        </w:rPr>
        <w:t xml:space="preserve">hlásenia uvedené </w:t>
      </w:r>
      <w:r w:rsidR="00EC1067" w:rsidRPr="006512B1">
        <w:rPr>
          <w:noProof/>
          <w:sz w:val="22"/>
          <w:szCs w:val="22"/>
          <w:highlight w:val="lightGray"/>
        </w:rPr>
        <w:t>v </w:t>
      </w:r>
      <w:hyperlink r:id="rId12" w:history="1">
        <w:r w:rsidR="00B6558C" w:rsidRPr="006512B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6558C" w:rsidRPr="006512B1">
        <w:rPr>
          <w:sz w:val="22"/>
          <w:szCs w:val="22"/>
          <w:highlight w:val="lightGray"/>
        </w:rPr>
        <w:t>.</w:t>
      </w:r>
    </w:p>
    <w:p w14:paraId="1483FB50" w14:textId="77777777" w:rsidR="00B6558C" w:rsidRPr="00E9048E" w:rsidRDefault="00B6558C" w:rsidP="00FF66FC">
      <w:pPr>
        <w:spacing w:line="240" w:lineRule="auto"/>
        <w:ind w:left="567" w:hanging="567"/>
        <w:rPr>
          <w:sz w:val="22"/>
          <w:szCs w:val="22"/>
        </w:rPr>
      </w:pPr>
    </w:p>
    <w:p w14:paraId="264CD640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4.9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Predávkovanie</w:t>
      </w:r>
    </w:p>
    <w:p w14:paraId="6CC412D7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3913A7C9" w14:textId="77777777" w:rsidR="004270AE" w:rsidRPr="006512B1" w:rsidRDefault="004C0C51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Lokálne</w:t>
      </w:r>
      <w:r w:rsidR="004270AE" w:rsidRPr="006512B1">
        <w:rPr>
          <w:sz w:val="22"/>
          <w:szCs w:val="22"/>
        </w:rPr>
        <w:t xml:space="preserve"> predávkovanie tafluprostom</w:t>
      </w:r>
      <w:r>
        <w:rPr>
          <w:sz w:val="22"/>
          <w:szCs w:val="22"/>
        </w:rPr>
        <w:t xml:space="preserve"> je nepravdepodobné</w:t>
      </w:r>
      <w:r w:rsidR="004270AE" w:rsidRPr="006512B1">
        <w:rPr>
          <w:sz w:val="22"/>
          <w:szCs w:val="22"/>
        </w:rPr>
        <w:t xml:space="preserve"> a</w:t>
      </w:r>
      <w:r w:rsidR="00744F26">
        <w:rPr>
          <w:sz w:val="22"/>
          <w:szCs w:val="22"/>
        </w:rPr>
        <w:t xml:space="preserve">ko aj to, </w:t>
      </w:r>
      <w:r w:rsidR="004270AE" w:rsidRPr="006512B1">
        <w:rPr>
          <w:sz w:val="22"/>
          <w:szCs w:val="22"/>
        </w:rPr>
        <w:t>že by súviselo s toxicitou.</w:t>
      </w:r>
    </w:p>
    <w:p w14:paraId="4218903A" w14:textId="77777777"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14:paraId="4361E27A" w14:textId="77777777" w:rsidR="004270AE" w:rsidRPr="006512B1" w:rsidRDefault="00D55441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Boli hlásené prípady</w:t>
      </w:r>
      <w:r w:rsidR="004270AE" w:rsidRPr="006512B1">
        <w:rPr>
          <w:sz w:val="22"/>
          <w:szCs w:val="22"/>
        </w:rPr>
        <w:t> neúmyseln</w:t>
      </w:r>
      <w:r>
        <w:rPr>
          <w:sz w:val="22"/>
          <w:szCs w:val="22"/>
        </w:rPr>
        <w:t>ého</w:t>
      </w:r>
      <w:r w:rsidR="004270AE" w:rsidRPr="006512B1">
        <w:rPr>
          <w:sz w:val="22"/>
          <w:szCs w:val="22"/>
        </w:rPr>
        <w:t xml:space="preserve"> predávkovan</w:t>
      </w:r>
      <w:r w:rsidR="0083526E">
        <w:rPr>
          <w:sz w:val="22"/>
          <w:szCs w:val="22"/>
        </w:rPr>
        <w:t>ia</w:t>
      </w:r>
      <w:r w:rsidR="004270AE" w:rsidRPr="006512B1">
        <w:rPr>
          <w:sz w:val="22"/>
          <w:szCs w:val="22"/>
        </w:rPr>
        <w:t xml:space="preserve"> timololom, ktoré</w:t>
      </w:r>
      <w:r w:rsidR="0083526E">
        <w:rPr>
          <w:sz w:val="22"/>
          <w:szCs w:val="22"/>
        </w:rPr>
        <w:t>ho výsledkom boli</w:t>
      </w:r>
      <w:r w:rsidR="004270AE" w:rsidRPr="006512B1">
        <w:rPr>
          <w:sz w:val="22"/>
          <w:szCs w:val="22"/>
        </w:rPr>
        <w:t xml:space="preserve"> systémové účinky podobné účinkom pozorovaným pri systémových beta</w:t>
      </w:r>
      <w:r w:rsidR="0083526E">
        <w:rPr>
          <w:sz w:val="22"/>
          <w:szCs w:val="22"/>
        </w:rPr>
        <w:t>-</w:t>
      </w:r>
      <w:r w:rsidR="004270AE" w:rsidRPr="006512B1">
        <w:rPr>
          <w:sz w:val="22"/>
          <w:szCs w:val="22"/>
        </w:rPr>
        <w:t>adrenergných</w:t>
      </w:r>
      <w:r w:rsidR="00223A68" w:rsidRPr="006512B1">
        <w:rPr>
          <w:sz w:val="22"/>
          <w:szCs w:val="22"/>
        </w:rPr>
        <w:t xml:space="preserve"> </w:t>
      </w:r>
      <w:r w:rsidR="004270AE" w:rsidRPr="006512B1">
        <w:rPr>
          <w:sz w:val="22"/>
          <w:szCs w:val="22"/>
        </w:rPr>
        <w:t xml:space="preserve">blokátoroch, ako sú závraty, bolesť hlavy, </w:t>
      </w:r>
      <w:r w:rsidR="00391162" w:rsidRPr="006512B1">
        <w:rPr>
          <w:sz w:val="22"/>
          <w:szCs w:val="22"/>
        </w:rPr>
        <w:t>dýchavičnosť</w:t>
      </w:r>
      <w:r w:rsidR="004270AE" w:rsidRPr="006512B1">
        <w:rPr>
          <w:sz w:val="22"/>
          <w:szCs w:val="22"/>
        </w:rPr>
        <w:t>, bradykardia, bronchospazmus a </w:t>
      </w:r>
      <w:r w:rsidR="00391162" w:rsidRPr="006512B1">
        <w:rPr>
          <w:sz w:val="22"/>
          <w:szCs w:val="22"/>
        </w:rPr>
        <w:t>z</w:t>
      </w:r>
      <w:r w:rsidR="0083526E">
        <w:rPr>
          <w:sz w:val="22"/>
          <w:szCs w:val="22"/>
        </w:rPr>
        <w:t>astavenie</w:t>
      </w:r>
      <w:r w:rsidR="00391162" w:rsidRPr="006512B1">
        <w:rPr>
          <w:sz w:val="22"/>
          <w:szCs w:val="22"/>
        </w:rPr>
        <w:t xml:space="preserve"> </w:t>
      </w:r>
      <w:r w:rsidR="004270AE" w:rsidRPr="006512B1">
        <w:rPr>
          <w:sz w:val="22"/>
          <w:szCs w:val="22"/>
        </w:rPr>
        <w:t xml:space="preserve">srdca (pozri </w:t>
      </w:r>
      <w:r w:rsidR="0083526E">
        <w:rPr>
          <w:sz w:val="22"/>
          <w:szCs w:val="22"/>
        </w:rPr>
        <w:t>tiež</w:t>
      </w:r>
      <w:r w:rsidR="004270AE" w:rsidRPr="006512B1">
        <w:rPr>
          <w:sz w:val="22"/>
          <w:szCs w:val="22"/>
        </w:rPr>
        <w:t xml:space="preserve"> časť 4.8).</w:t>
      </w:r>
    </w:p>
    <w:p w14:paraId="1D3A4142" w14:textId="77777777"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14:paraId="5EE639C5" w14:textId="77777777" w:rsidR="004270AE" w:rsidRPr="006512B1" w:rsidRDefault="004270AE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Ak dôjde k</w:t>
      </w:r>
      <w:r w:rsidR="0039116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 predávkovaniu </w:t>
      </w:r>
      <w:r w:rsidRPr="00963350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>, liečba má byť symptomatická a podporná. Timolol</w:t>
      </w:r>
      <w:r w:rsidR="00223A68" w:rsidRPr="006512B1">
        <w:rPr>
          <w:sz w:val="22"/>
          <w:szCs w:val="22"/>
        </w:rPr>
        <w:t xml:space="preserve"> </w:t>
      </w:r>
      <w:r w:rsidR="00D10CF2" w:rsidRPr="006512B1">
        <w:rPr>
          <w:sz w:val="22"/>
          <w:szCs w:val="22"/>
        </w:rPr>
        <w:t xml:space="preserve">nie je ľahko </w:t>
      </w:r>
      <w:r w:rsidRPr="006512B1">
        <w:rPr>
          <w:sz w:val="22"/>
          <w:szCs w:val="22"/>
        </w:rPr>
        <w:t>dialyz</w:t>
      </w:r>
      <w:r w:rsidR="00D10CF2" w:rsidRPr="006512B1">
        <w:rPr>
          <w:sz w:val="22"/>
          <w:szCs w:val="22"/>
        </w:rPr>
        <w:t>ovateľný</w:t>
      </w:r>
      <w:r w:rsidRPr="006512B1">
        <w:rPr>
          <w:sz w:val="22"/>
          <w:szCs w:val="22"/>
        </w:rPr>
        <w:t>.</w:t>
      </w:r>
    </w:p>
    <w:p w14:paraId="41432EA1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960BE30" w14:textId="77777777"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14:paraId="1F6D2044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5.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FARMAKOLOGICKÉ VLASTNOSTI</w:t>
      </w:r>
    </w:p>
    <w:p w14:paraId="387B889A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763442C0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 xml:space="preserve">5.1 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Farmakodynamické vlastnosti</w:t>
      </w:r>
    </w:p>
    <w:p w14:paraId="4DF1B28A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C5B3C76" w14:textId="77777777" w:rsidR="000D5AE4" w:rsidRPr="006512B1" w:rsidRDefault="000D5AE4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Farmakoterapeutická skupina: antiglaukomatiká a miotiká, betablokátory, ATC kód: S01ED51</w:t>
      </w:r>
    </w:p>
    <w:p w14:paraId="632B5D05" w14:textId="77777777" w:rsidR="00B33C96" w:rsidRPr="006512B1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u w:val="single"/>
        </w:rPr>
      </w:pPr>
    </w:p>
    <w:p w14:paraId="119C8713" w14:textId="77777777" w:rsidR="000D5AE4" w:rsidRPr="006512B1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Mechanizmus účinku</w:t>
      </w:r>
    </w:p>
    <w:p w14:paraId="3CF699DA" w14:textId="7288707D" w:rsidR="000D5AE4" w:rsidRPr="006512B1" w:rsidRDefault="007F5E01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577E16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je </w:t>
      </w:r>
      <w:r w:rsidR="00D10CF2" w:rsidRPr="006512B1">
        <w:rPr>
          <w:sz w:val="22"/>
          <w:szCs w:val="22"/>
        </w:rPr>
        <w:t>fixnou</w:t>
      </w:r>
      <w:r w:rsidRPr="006512B1">
        <w:rPr>
          <w:sz w:val="22"/>
          <w:szCs w:val="22"/>
        </w:rPr>
        <w:t xml:space="preserve"> kombináci</w:t>
      </w:r>
      <w:r w:rsidR="00D10CF2" w:rsidRPr="006512B1">
        <w:rPr>
          <w:sz w:val="22"/>
          <w:szCs w:val="22"/>
        </w:rPr>
        <w:t>ou</w:t>
      </w:r>
      <w:r w:rsidRPr="006512B1">
        <w:rPr>
          <w:sz w:val="22"/>
          <w:szCs w:val="22"/>
        </w:rPr>
        <w:t xml:space="preserve"> dvoch liečiv</w:t>
      </w:r>
      <w:r w:rsidR="00D10CF2" w:rsidRPr="006512B1">
        <w:rPr>
          <w:sz w:val="22"/>
          <w:szCs w:val="22"/>
        </w:rPr>
        <w:t>,</w:t>
      </w:r>
      <w:r w:rsidR="00223A68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tafluprostu a timololu. Tieto dve liečivá znižujú vnútroočný tlak </w:t>
      </w:r>
      <w:r w:rsidR="00682998">
        <w:rPr>
          <w:sz w:val="22"/>
          <w:szCs w:val="22"/>
        </w:rPr>
        <w:t xml:space="preserve">(VOT) </w:t>
      </w:r>
      <w:r w:rsidRPr="006512B1">
        <w:rPr>
          <w:sz w:val="22"/>
          <w:szCs w:val="22"/>
        </w:rPr>
        <w:t xml:space="preserve">prostredníctvom </w:t>
      </w:r>
      <w:r w:rsidRPr="007D7921">
        <w:rPr>
          <w:sz w:val="22"/>
          <w:szCs w:val="22"/>
        </w:rPr>
        <w:t>dopl</w:t>
      </w:r>
      <w:r w:rsidR="00325451" w:rsidRPr="007D7921">
        <w:rPr>
          <w:sz w:val="22"/>
          <w:szCs w:val="22"/>
        </w:rPr>
        <w:t>ňujúceho</w:t>
      </w:r>
      <w:r w:rsidRPr="006512B1">
        <w:rPr>
          <w:sz w:val="22"/>
          <w:szCs w:val="22"/>
        </w:rPr>
        <w:t xml:space="preserve"> mechanizmu účinku</w:t>
      </w:r>
      <w:r w:rsidR="00A1342D">
        <w:rPr>
          <w:sz w:val="22"/>
          <w:szCs w:val="22"/>
        </w:rPr>
        <w:t xml:space="preserve"> a</w:t>
      </w:r>
      <w:r w:rsidR="00110A62">
        <w:rPr>
          <w:sz w:val="22"/>
          <w:szCs w:val="22"/>
        </w:rPr>
        <w:t xml:space="preserve"> ich </w:t>
      </w:r>
      <w:r w:rsidRPr="006512B1">
        <w:rPr>
          <w:sz w:val="22"/>
          <w:szCs w:val="22"/>
        </w:rPr>
        <w:t>kombinovaný účinok vedie k</w:t>
      </w:r>
      <w:r w:rsidR="00D10CF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 dodatočnému zníženiu </w:t>
      </w:r>
      <w:r w:rsidR="00682998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v porovnaní so samostatným použitím jednej zo zložiek.</w:t>
      </w:r>
    </w:p>
    <w:p w14:paraId="5B7911A4" w14:textId="77777777" w:rsidR="000D5AE4" w:rsidRPr="006512B1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EA6AB6D" w14:textId="77777777" w:rsidR="000D5AE4" w:rsidRPr="006512B1" w:rsidRDefault="000D5A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Tafluprost je fluoridovaný</w:t>
      </w:r>
      <w:r w:rsidR="00223A68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analóg</w:t>
      </w:r>
      <w:r w:rsidR="00223A68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prostaglandínu F</w:t>
      </w:r>
      <w:r w:rsidRPr="006512B1">
        <w:rPr>
          <w:sz w:val="22"/>
          <w:szCs w:val="22"/>
          <w:vertAlign w:val="subscript"/>
        </w:rPr>
        <w:t>2α</w:t>
      </w:r>
      <w:r w:rsidRPr="006512B1">
        <w:rPr>
          <w:sz w:val="22"/>
          <w:szCs w:val="22"/>
        </w:rPr>
        <w:t>. Kyselina tafluprostová, biologicky aktívny metabolit</w:t>
      </w:r>
      <w:r w:rsidR="00223A68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tafluprostu, je vysoko účinný a selektívny agonista ľudského prostanoidného FP receptora. Farmakodynamické štúdie </w:t>
      </w:r>
      <w:r w:rsidR="003D33AC">
        <w:rPr>
          <w:sz w:val="22"/>
          <w:szCs w:val="22"/>
        </w:rPr>
        <w:t>na</w:t>
      </w:r>
      <w:r w:rsidRPr="006512B1">
        <w:rPr>
          <w:sz w:val="22"/>
          <w:szCs w:val="22"/>
        </w:rPr>
        <w:t> op</w:t>
      </w:r>
      <w:r w:rsidR="003D33AC">
        <w:rPr>
          <w:sz w:val="22"/>
          <w:szCs w:val="22"/>
        </w:rPr>
        <w:t>iciach</w:t>
      </w:r>
      <w:r w:rsidRPr="006512B1">
        <w:rPr>
          <w:sz w:val="22"/>
          <w:szCs w:val="22"/>
        </w:rPr>
        <w:t xml:space="preserve"> naznačujú, že tafluprost znižuje vnútroočný tlak zv</w:t>
      </w:r>
      <w:r w:rsidR="00E23062">
        <w:rPr>
          <w:sz w:val="22"/>
          <w:szCs w:val="22"/>
        </w:rPr>
        <w:t xml:space="preserve">yšovaním </w:t>
      </w:r>
      <w:r w:rsidRPr="006512B1">
        <w:rPr>
          <w:sz w:val="22"/>
          <w:szCs w:val="22"/>
        </w:rPr>
        <w:t>odtoku komorového moku uveosklerálnou cestou.</w:t>
      </w:r>
    </w:p>
    <w:p w14:paraId="6B0B4F2F" w14:textId="77777777" w:rsidR="000144B3" w:rsidRPr="006512B1" w:rsidRDefault="000144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BE9AF11" w14:textId="77777777" w:rsidR="007F5E01" w:rsidRPr="006512B1" w:rsidRDefault="007931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224BDD">
        <w:rPr>
          <w:sz w:val="22"/>
          <w:szCs w:val="22"/>
        </w:rPr>
        <w:t>Timolólium-hydrogen-maleát</w:t>
      </w:r>
      <w:r w:rsidR="007F5E01" w:rsidRPr="006512B1">
        <w:rPr>
          <w:sz w:val="22"/>
          <w:szCs w:val="22"/>
        </w:rPr>
        <w:t xml:space="preserve"> je neselektívny blokátor</w:t>
      </w:r>
      <w:r w:rsidR="00223A68" w:rsidRPr="006512B1">
        <w:rPr>
          <w:sz w:val="22"/>
          <w:szCs w:val="22"/>
        </w:rPr>
        <w:t xml:space="preserve"> </w:t>
      </w:r>
      <w:r w:rsidR="007F5E01" w:rsidRPr="006512B1">
        <w:rPr>
          <w:sz w:val="22"/>
          <w:szCs w:val="22"/>
        </w:rPr>
        <w:t>beta</w:t>
      </w:r>
      <w:r w:rsidR="00C97296">
        <w:rPr>
          <w:sz w:val="22"/>
          <w:szCs w:val="22"/>
        </w:rPr>
        <w:t>-</w:t>
      </w:r>
      <w:r w:rsidR="007F5E01" w:rsidRPr="006512B1">
        <w:rPr>
          <w:sz w:val="22"/>
          <w:szCs w:val="22"/>
        </w:rPr>
        <w:t xml:space="preserve">adrenergných receptorov. Presný mechanizmus účinku </w:t>
      </w:r>
      <w:r w:rsidR="00B72393">
        <w:rPr>
          <w:sz w:val="22"/>
          <w:szCs w:val="22"/>
        </w:rPr>
        <w:t>t</w:t>
      </w:r>
      <w:r w:rsidR="00B72393" w:rsidRPr="00B72393">
        <w:rPr>
          <w:sz w:val="22"/>
          <w:szCs w:val="22"/>
        </w:rPr>
        <w:t>imolólium-hydrogen-maleát</w:t>
      </w:r>
      <w:r w:rsidR="00B72393">
        <w:rPr>
          <w:sz w:val="22"/>
          <w:szCs w:val="22"/>
        </w:rPr>
        <w:t>u</w:t>
      </w:r>
      <w:r w:rsidR="007F5E01" w:rsidRPr="006512B1">
        <w:rPr>
          <w:sz w:val="22"/>
          <w:szCs w:val="22"/>
        </w:rPr>
        <w:t xml:space="preserve"> pri znižovaní vnútroočného tlaku nie je v súčasnosti úplne známy</w:t>
      </w:r>
      <w:r w:rsidR="00B26BE6">
        <w:rPr>
          <w:sz w:val="22"/>
          <w:szCs w:val="22"/>
        </w:rPr>
        <w:t>,</w:t>
      </w:r>
      <w:r w:rsidR="00C97296">
        <w:rPr>
          <w:sz w:val="22"/>
          <w:szCs w:val="22"/>
        </w:rPr>
        <w:t xml:space="preserve"> hoci</w:t>
      </w:r>
      <w:r w:rsidR="007F5E01" w:rsidRPr="006512B1">
        <w:rPr>
          <w:sz w:val="22"/>
          <w:szCs w:val="22"/>
        </w:rPr>
        <w:t xml:space="preserve"> fluoresceínová štúdia a tonografické štúdie naznačujú, že hlavný účinok môže súvisieť so znížen</w:t>
      </w:r>
      <w:r w:rsidR="00C97296">
        <w:rPr>
          <w:sz w:val="22"/>
          <w:szCs w:val="22"/>
        </w:rPr>
        <w:t>ou tvorbou</w:t>
      </w:r>
      <w:r w:rsidR="007F5E01" w:rsidRPr="006512B1">
        <w:rPr>
          <w:sz w:val="22"/>
          <w:szCs w:val="22"/>
        </w:rPr>
        <w:t xml:space="preserve"> komorového moku. V niektorých štúdiách sa však pozoroval</w:t>
      </w:r>
      <w:r w:rsidR="007B192E">
        <w:rPr>
          <w:sz w:val="22"/>
          <w:szCs w:val="22"/>
        </w:rPr>
        <w:t>o</w:t>
      </w:r>
      <w:r w:rsidR="007F5E01" w:rsidRPr="006512B1">
        <w:rPr>
          <w:sz w:val="22"/>
          <w:szCs w:val="22"/>
        </w:rPr>
        <w:t xml:space="preserve"> aj miern</w:t>
      </w:r>
      <w:r w:rsidR="007B192E">
        <w:rPr>
          <w:sz w:val="22"/>
          <w:szCs w:val="22"/>
        </w:rPr>
        <w:t>e zvýšenie</w:t>
      </w:r>
      <w:r w:rsidR="007F5E01" w:rsidRPr="006512B1">
        <w:rPr>
          <w:sz w:val="22"/>
          <w:szCs w:val="22"/>
        </w:rPr>
        <w:t xml:space="preserve"> odtoku.</w:t>
      </w:r>
    </w:p>
    <w:p w14:paraId="3EEDF5B8" w14:textId="77777777"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</w:p>
    <w:p w14:paraId="49F865D1" w14:textId="77777777"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Klinická účinnosť</w:t>
      </w:r>
    </w:p>
    <w:p w14:paraId="5966D1D3" w14:textId="77777777" w:rsidR="008A5CA3" w:rsidRPr="006512B1" w:rsidRDefault="00982D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V 6-mesačnej štúdii (n = 400) u pacientov s glaukómom s otvoreným uhlom alebo očnou hypertenziou s priemernou hodnotou neliečeného vnútroočného tlaku medzi 24 </w:t>
      </w:r>
      <w:r w:rsidR="00215450">
        <w:rPr>
          <w:sz w:val="22"/>
          <w:szCs w:val="22"/>
        </w:rPr>
        <w:t>-</w:t>
      </w:r>
      <w:r w:rsidRPr="006512B1">
        <w:rPr>
          <w:sz w:val="22"/>
          <w:szCs w:val="22"/>
        </w:rPr>
        <w:t xml:space="preserve"> 26 mmHg sa účinok </w:t>
      </w:r>
      <w:r w:rsidRPr="00577E16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(jedenkrát denne ráno) na zníženie vnútroočného tlaku porovnával so súčasným podávaním 0,0015 % tafluprostu (jedenkrát denne ráno) a 0,5 % timololu (dvakrát denne). </w:t>
      </w:r>
      <w:r w:rsidRPr="00577E16">
        <w:rPr>
          <w:caps/>
          <w:sz w:val="22"/>
          <w:szCs w:val="22"/>
        </w:rPr>
        <w:t>Taptiqom</w:t>
      </w:r>
      <w:r w:rsidRPr="006512B1">
        <w:rPr>
          <w:sz w:val="22"/>
          <w:szCs w:val="22"/>
        </w:rPr>
        <w:t xml:space="preserve"> bol neinferiórny v porovnaní s účinkom </w:t>
      </w:r>
      <w:r w:rsidR="0031465E" w:rsidRPr="006512B1">
        <w:rPr>
          <w:sz w:val="22"/>
          <w:szCs w:val="22"/>
        </w:rPr>
        <w:t xml:space="preserve">súbežne </w:t>
      </w:r>
      <w:r w:rsidRPr="006512B1">
        <w:rPr>
          <w:sz w:val="22"/>
          <w:szCs w:val="22"/>
        </w:rPr>
        <w:t xml:space="preserve">podávaného 0,0015 % tafluprostu a 0,5 % timololu pri použití všeobecne používaného prahu neinferiority 1,5 mmHg vo všetkých časových bodoch a pri všetkých </w:t>
      </w:r>
      <w:r w:rsidR="00F6036D">
        <w:rPr>
          <w:sz w:val="22"/>
          <w:szCs w:val="22"/>
        </w:rPr>
        <w:t>návštevách</w:t>
      </w:r>
      <w:r w:rsidRPr="006512B1">
        <w:rPr>
          <w:sz w:val="22"/>
          <w:szCs w:val="22"/>
        </w:rPr>
        <w:t>. Priemern</w:t>
      </w:r>
      <w:r w:rsidR="00F6036D">
        <w:rPr>
          <w:sz w:val="22"/>
          <w:szCs w:val="22"/>
        </w:rPr>
        <w:t>é</w:t>
      </w:r>
      <w:r w:rsidRPr="006512B1">
        <w:rPr>
          <w:sz w:val="22"/>
          <w:szCs w:val="22"/>
        </w:rPr>
        <w:t xml:space="preserve"> denn</w:t>
      </w:r>
      <w:r w:rsidR="00F6036D">
        <w:rPr>
          <w:sz w:val="22"/>
          <w:szCs w:val="22"/>
        </w:rPr>
        <w:t>é zníženie</w:t>
      </w:r>
      <w:r w:rsidRPr="006512B1">
        <w:rPr>
          <w:sz w:val="22"/>
          <w:szCs w:val="22"/>
        </w:rPr>
        <w:t xml:space="preserve"> vnútroočného tlaku oproti východiskovej hodnote bol</w:t>
      </w:r>
      <w:r w:rsidR="007E07D5">
        <w:rPr>
          <w:sz w:val="22"/>
          <w:szCs w:val="22"/>
        </w:rPr>
        <w:t>o</w:t>
      </w:r>
      <w:r w:rsidRPr="006512B1">
        <w:rPr>
          <w:sz w:val="22"/>
          <w:szCs w:val="22"/>
        </w:rPr>
        <w:t xml:space="preserve"> v oboch </w:t>
      </w:r>
      <w:r w:rsidR="00E144F2">
        <w:rPr>
          <w:sz w:val="22"/>
          <w:szCs w:val="22"/>
        </w:rPr>
        <w:t>skupinách</w:t>
      </w:r>
      <w:r w:rsidRPr="006512B1">
        <w:rPr>
          <w:sz w:val="22"/>
          <w:szCs w:val="22"/>
        </w:rPr>
        <w:t xml:space="preserve"> 8 mmHg v primárnom koncovom bode 6 mesiacov (</w:t>
      </w:r>
      <w:r w:rsidR="0032434D">
        <w:rPr>
          <w:sz w:val="22"/>
          <w:szCs w:val="22"/>
        </w:rPr>
        <w:t>pokles v rozmedzí</w:t>
      </w:r>
      <w:r w:rsidRPr="006512B1">
        <w:rPr>
          <w:sz w:val="22"/>
          <w:szCs w:val="22"/>
        </w:rPr>
        <w:t xml:space="preserve"> 7 až 9 mmHg v oboch </w:t>
      </w:r>
      <w:r w:rsidR="00E144F2">
        <w:rPr>
          <w:sz w:val="22"/>
          <w:szCs w:val="22"/>
        </w:rPr>
        <w:t>skupinách</w:t>
      </w:r>
      <w:r w:rsidRPr="006512B1">
        <w:rPr>
          <w:sz w:val="22"/>
          <w:szCs w:val="22"/>
        </w:rPr>
        <w:t xml:space="preserve"> v rôznych časových bodoch počas dňa pri </w:t>
      </w:r>
      <w:r w:rsidR="0032434D">
        <w:rPr>
          <w:sz w:val="22"/>
          <w:szCs w:val="22"/>
        </w:rPr>
        <w:t>návštevách</w:t>
      </w:r>
      <w:r w:rsidRPr="006512B1">
        <w:rPr>
          <w:sz w:val="22"/>
          <w:szCs w:val="22"/>
        </w:rPr>
        <w:t xml:space="preserve"> v rámci štúdie).</w:t>
      </w:r>
    </w:p>
    <w:p w14:paraId="588C6FC1" w14:textId="77777777"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1EA832BB" w14:textId="77777777" w:rsidR="00D43AD9" w:rsidRPr="006512B1" w:rsidRDefault="00D43A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V ďalšej 6-mesačnej štúdii (n = 564) sa porovnával </w:t>
      </w:r>
      <w:r w:rsidR="006D0C51" w:rsidRPr="006D0C51">
        <w:rPr>
          <w:sz w:val="22"/>
          <w:szCs w:val="22"/>
        </w:rPr>
        <w:t xml:space="preserve">TAPTIQOM </w:t>
      </w:r>
      <w:r w:rsidR="006D0C51">
        <w:rPr>
          <w:sz w:val="22"/>
          <w:szCs w:val="22"/>
        </w:rPr>
        <w:t xml:space="preserve"> v jednodávkovom obale </w:t>
      </w:r>
      <w:r w:rsidRPr="006512B1">
        <w:rPr>
          <w:sz w:val="22"/>
          <w:szCs w:val="22"/>
        </w:rPr>
        <w:t xml:space="preserve">s príslušnými monoterapiami u pacientov s glaukómom s otvoreným uhlom alebo očnou hypertenziou s priemernou hodnotou neliečeného </w:t>
      </w:r>
      <w:r w:rsidR="006D0C51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medzi 26 </w:t>
      </w:r>
      <w:r w:rsidR="00C27206">
        <w:rPr>
          <w:sz w:val="22"/>
          <w:szCs w:val="22"/>
        </w:rPr>
        <w:t>-</w:t>
      </w:r>
      <w:r w:rsidRPr="006512B1">
        <w:rPr>
          <w:sz w:val="22"/>
          <w:szCs w:val="22"/>
        </w:rPr>
        <w:t> 27 mmHg. Pacienti, ktorých liečba 0,0015 % tafluprostom (</w:t>
      </w:r>
      <w:r w:rsidR="00C27206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20 mmHg alebo vyšší pri liečbe) alebo 0,5 % timololom (</w:t>
      </w:r>
      <w:r w:rsidR="00C27206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22 mmHg alebo vyšší pri liečbe) bola nedostatočná, boli randomizovaní na liečbu </w:t>
      </w:r>
      <w:r w:rsidRPr="00E31A76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 xml:space="preserve"> </w:t>
      </w:r>
      <w:r w:rsidR="00C27206">
        <w:rPr>
          <w:sz w:val="22"/>
          <w:szCs w:val="22"/>
        </w:rPr>
        <w:t xml:space="preserve">v jednodávkovom obale </w:t>
      </w:r>
      <w:r w:rsidRPr="006512B1">
        <w:rPr>
          <w:sz w:val="22"/>
          <w:szCs w:val="22"/>
        </w:rPr>
        <w:t xml:space="preserve">alebo rovnakou monoterapiou. </w:t>
      </w:r>
      <w:r w:rsidRPr="00832650">
        <w:rPr>
          <w:sz w:val="22"/>
          <w:szCs w:val="22"/>
        </w:rPr>
        <w:t xml:space="preserve">Priemerné denné zníženie vnútroočného tlaku pri liečbe </w:t>
      </w:r>
      <w:r w:rsidRPr="00E31A76">
        <w:rPr>
          <w:caps/>
          <w:sz w:val="22"/>
          <w:szCs w:val="22"/>
        </w:rPr>
        <w:t>Taptiqomom</w:t>
      </w:r>
      <w:r w:rsidRPr="00832650">
        <w:rPr>
          <w:sz w:val="22"/>
          <w:szCs w:val="22"/>
        </w:rPr>
        <w:t xml:space="preserve"> bolo </w:t>
      </w:r>
      <w:r w:rsidR="00832650">
        <w:rPr>
          <w:sz w:val="22"/>
          <w:szCs w:val="22"/>
        </w:rPr>
        <w:t>pri návštevách</w:t>
      </w:r>
      <w:r w:rsidRPr="00832650">
        <w:rPr>
          <w:sz w:val="22"/>
          <w:szCs w:val="22"/>
        </w:rPr>
        <w:t xml:space="preserve"> po 6 týždňoch, 3 mesiacoch (primárny koncový bod účinnosti) a 6 mesiacoch štatisticky superiórne v porovnaní s tafluprostom podávaným jedenkrát denne ráno alebo timololom podávaným dvakrát denne. Priemerné denné</w:t>
      </w:r>
      <w:r w:rsidRPr="006512B1">
        <w:rPr>
          <w:sz w:val="22"/>
          <w:szCs w:val="22"/>
        </w:rPr>
        <w:t xml:space="preserve"> zníženie </w:t>
      </w:r>
      <w:r w:rsidR="00832650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po 3 mesiacoch liečby </w:t>
      </w:r>
      <w:r w:rsidRPr="00E31A76">
        <w:rPr>
          <w:caps/>
          <w:sz w:val="22"/>
          <w:szCs w:val="22"/>
        </w:rPr>
        <w:t xml:space="preserve">Taptiqomom </w:t>
      </w:r>
      <w:r w:rsidRPr="006512B1">
        <w:rPr>
          <w:sz w:val="22"/>
          <w:szCs w:val="22"/>
        </w:rPr>
        <w:t xml:space="preserve">oproti východiskovej hodnote bolo 9 mmHg v porovnaní so znížením o 7 mmHg pozorovaným v prípade oboch monoterapií. Zníženie </w:t>
      </w:r>
      <w:r w:rsidR="006C42B1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pri liečbe </w:t>
      </w:r>
      <w:r w:rsidRPr="00E31A76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 xml:space="preserve"> v rôznych časových bodoch počas dňa v rámci </w:t>
      </w:r>
      <w:r w:rsidR="006C42B1">
        <w:rPr>
          <w:sz w:val="22"/>
          <w:szCs w:val="22"/>
        </w:rPr>
        <w:t>návštev</w:t>
      </w:r>
      <w:r w:rsidRPr="006512B1">
        <w:rPr>
          <w:sz w:val="22"/>
          <w:szCs w:val="22"/>
        </w:rPr>
        <w:t xml:space="preserve"> bolo v </w:t>
      </w:r>
      <w:r w:rsidR="006C42B1">
        <w:rPr>
          <w:sz w:val="22"/>
          <w:szCs w:val="22"/>
        </w:rPr>
        <w:t>rozmedzí</w:t>
      </w:r>
      <w:r w:rsidRPr="006512B1">
        <w:rPr>
          <w:sz w:val="22"/>
          <w:szCs w:val="22"/>
        </w:rPr>
        <w:t xml:space="preserve"> 8 až 9 mmHg v porovnávacej skupin</w:t>
      </w:r>
      <w:r w:rsidR="006C42B1">
        <w:rPr>
          <w:sz w:val="22"/>
          <w:szCs w:val="22"/>
        </w:rPr>
        <w:t>e</w:t>
      </w:r>
      <w:r w:rsidRPr="006512B1">
        <w:rPr>
          <w:sz w:val="22"/>
          <w:szCs w:val="22"/>
        </w:rPr>
        <w:t xml:space="preserve"> s</w:t>
      </w:r>
      <w:r w:rsidR="00DF11FD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monoterapiou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tafluprostom a 7 až 9 mmHg v porovnávacej skupin</w:t>
      </w:r>
      <w:r w:rsidR="006C42B1">
        <w:rPr>
          <w:sz w:val="22"/>
          <w:szCs w:val="22"/>
        </w:rPr>
        <w:t>e</w:t>
      </w:r>
      <w:r w:rsidRPr="006512B1">
        <w:rPr>
          <w:sz w:val="22"/>
          <w:szCs w:val="22"/>
        </w:rPr>
        <w:t xml:space="preserve"> s</w:t>
      </w:r>
      <w:r w:rsidR="00DF11FD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monoterapiou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timololom.</w:t>
      </w:r>
    </w:p>
    <w:p w14:paraId="35AEEDD3" w14:textId="77777777" w:rsidR="00BB31F9" w:rsidRPr="006512B1" w:rsidRDefault="00BB31F9" w:rsidP="00FF66FC">
      <w:pPr>
        <w:spacing w:line="240" w:lineRule="auto"/>
        <w:rPr>
          <w:sz w:val="22"/>
          <w:szCs w:val="22"/>
        </w:rPr>
      </w:pPr>
    </w:p>
    <w:p w14:paraId="12E692D8" w14:textId="77777777" w:rsidR="00D43AD9" w:rsidRPr="006512B1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6512B1">
        <w:rPr>
          <w:sz w:val="22"/>
          <w:szCs w:val="22"/>
        </w:rPr>
        <w:t xml:space="preserve">Kombinované údaje od pacientov liečených </w:t>
      </w:r>
      <w:r w:rsidRPr="00963350">
        <w:rPr>
          <w:caps/>
          <w:sz w:val="22"/>
          <w:szCs w:val="22"/>
        </w:rPr>
        <w:t>Taptiqomom</w:t>
      </w:r>
      <w:r w:rsidRPr="006512B1">
        <w:rPr>
          <w:sz w:val="22"/>
          <w:szCs w:val="22"/>
        </w:rPr>
        <w:t xml:space="preserve"> s vysokou východiskovou hodnotou </w:t>
      </w:r>
      <w:r w:rsidR="00363BF5">
        <w:rPr>
          <w:sz w:val="22"/>
          <w:szCs w:val="22"/>
        </w:rPr>
        <w:t xml:space="preserve">VOT </w:t>
      </w:r>
      <w:r w:rsidRPr="006512B1">
        <w:rPr>
          <w:sz w:val="22"/>
          <w:szCs w:val="22"/>
        </w:rPr>
        <w:t xml:space="preserve">26 mmHg (denný priemer) alebo vyššou z týchto dvoch hlavných štúdií (n = 168) preukázali, že priemerné denné zníženie </w:t>
      </w:r>
      <w:r w:rsidR="00363BF5">
        <w:rPr>
          <w:sz w:val="22"/>
          <w:szCs w:val="22"/>
        </w:rPr>
        <w:t>VOT</w:t>
      </w:r>
      <w:r w:rsidRPr="006512B1">
        <w:rPr>
          <w:sz w:val="22"/>
          <w:szCs w:val="22"/>
        </w:rPr>
        <w:t xml:space="preserve"> bolo 10 mmHg v primárnom koncovom bode (3 alebo 6 mesiacov) v rozsahu 9 až 12 mmHg v rôznych časových bodoch počas dňa.</w:t>
      </w:r>
    </w:p>
    <w:p w14:paraId="329C1E1E" w14:textId="77777777" w:rsidR="00D43AD9" w:rsidRPr="006512B1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14:paraId="2A3C40D6" w14:textId="77777777" w:rsidR="00C53ACC" w:rsidRPr="006512B1" w:rsidRDefault="00C53ACC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6512B1">
        <w:rPr>
          <w:sz w:val="22"/>
          <w:szCs w:val="22"/>
        </w:rPr>
        <w:t>Európska agentúra pre lieky udelila výnimku z povinnosti predložiť výsledky štúdií s</w:t>
      </w:r>
      <w:r w:rsidR="00801AA7">
        <w:rPr>
          <w:sz w:val="22"/>
          <w:szCs w:val="22"/>
        </w:rPr>
        <w:t> </w:t>
      </w:r>
      <w:r w:rsidRPr="00963350">
        <w:rPr>
          <w:caps/>
          <w:sz w:val="22"/>
          <w:szCs w:val="22"/>
        </w:rPr>
        <w:t>Taptiqomom</w:t>
      </w:r>
      <w:r w:rsidR="00801AA7">
        <w:rPr>
          <w:smallCaps/>
          <w:sz w:val="22"/>
          <w:szCs w:val="22"/>
        </w:rPr>
        <w:t xml:space="preserve"> (</w:t>
      </w:r>
      <w:r w:rsidR="00112972">
        <w:rPr>
          <w:sz w:val="22"/>
          <w:szCs w:val="22"/>
        </w:rPr>
        <w:t>kombinácia tafluprost/timolol)</w:t>
      </w:r>
      <w:r w:rsidRPr="006512B1">
        <w:rPr>
          <w:sz w:val="22"/>
          <w:szCs w:val="22"/>
        </w:rPr>
        <w:t xml:space="preserve"> vo všetkých podskupinách pediatrickej populácie (informácie o použití v pediatrickej populácii, pozri časť 4.2).</w:t>
      </w:r>
    </w:p>
    <w:p w14:paraId="649026B5" w14:textId="77777777" w:rsidR="00B73422" w:rsidRPr="006512B1" w:rsidRDefault="00B73422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14:paraId="0929ED36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5.2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Farmakokinetické vlastnosti</w:t>
      </w:r>
    </w:p>
    <w:p w14:paraId="287DE2F9" w14:textId="77777777" w:rsidR="00C53ACC" w:rsidRPr="006512B1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14:paraId="00792056" w14:textId="77777777" w:rsidR="00B33C96" w:rsidRPr="006512B1" w:rsidRDefault="00B33C96" w:rsidP="00FF66F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Absorpcia</w:t>
      </w:r>
    </w:p>
    <w:p w14:paraId="41DA275C" w14:textId="77777777" w:rsidR="00B33C96" w:rsidRPr="006512B1" w:rsidRDefault="00CB20C0" w:rsidP="0071125C">
      <w:pPr>
        <w:tabs>
          <w:tab w:val="clear" w:pos="567"/>
          <w:tab w:val="left" w:pos="1304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Plazmatické k</w:t>
      </w:r>
      <w:r w:rsidR="00B33C96" w:rsidRPr="006512B1">
        <w:rPr>
          <w:sz w:val="22"/>
          <w:szCs w:val="22"/>
        </w:rPr>
        <w:t xml:space="preserve">oncentrácie kyseliny tafluprostovej a timololu sa skúmali </w:t>
      </w:r>
      <w:r w:rsidR="002A3FED">
        <w:rPr>
          <w:sz w:val="22"/>
          <w:szCs w:val="22"/>
        </w:rPr>
        <w:t>u</w:t>
      </w:r>
      <w:r w:rsidR="00B33C96" w:rsidRPr="006512B1">
        <w:rPr>
          <w:sz w:val="22"/>
          <w:szCs w:val="22"/>
        </w:rPr>
        <w:t> zdravých dobrovoľníko</w:t>
      </w:r>
      <w:r w:rsidR="002A3FED">
        <w:rPr>
          <w:sz w:val="22"/>
          <w:szCs w:val="22"/>
        </w:rPr>
        <w:t>v</w:t>
      </w:r>
      <w:r w:rsidR="00B33C96" w:rsidRPr="006512B1">
        <w:rPr>
          <w:sz w:val="22"/>
          <w:szCs w:val="22"/>
        </w:rPr>
        <w:t xml:space="preserve"> po jednorazov</w:t>
      </w:r>
      <w:r w:rsidR="002A3FED">
        <w:rPr>
          <w:sz w:val="22"/>
          <w:szCs w:val="22"/>
        </w:rPr>
        <w:t>om a opakovanom očnom podaní</w:t>
      </w:r>
      <w:r w:rsidR="00B33C96" w:rsidRPr="006512B1">
        <w:rPr>
          <w:sz w:val="22"/>
          <w:szCs w:val="22"/>
        </w:rPr>
        <w:t xml:space="preserve"> </w:t>
      </w:r>
      <w:r w:rsidR="00B33C96" w:rsidRPr="004A295C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 xml:space="preserve"> (jedenkrát denne), 0,0015 % tafluprostu (jedenkrát denne) a 0,5 % timololu (dvakrát denne)</w:t>
      </w:r>
      <w:r w:rsidR="007B3B5D" w:rsidRPr="007B3B5D">
        <w:t xml:space="preserve"> </w:t>
      </w:r>
      <w:r w:rsidR="007B3B5D" w:rsidRPr="007B3B5D">
        <w:rPr>
          <w:sz w:val="22"/>
          <w:szCs w:val="22"/>
        </w:rPr>
        <w:t>počas ôsmich dní</w:t>
      </w:r>
      <w:r w:rsidR="00B33C96" w:rsidRPr="006512B1">
        <w:rPr>
          <w:sz w:val="22"/>
          <w:szCs w:val="22"/>
        </w:rPr>
        <w:t xml:space="preserve">. Koncentrácia kyseliny tafluprostovej v plazme dosiahla maximum 10 minút po podaní a klesla pod dolnú hranicu detegovateľnosti (10 pg/ml) do 30 minút od podania </w:t>
      </w:r>
      <w:r w:rsidR="00B33C96" w:rsidRPr="004A295C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>. Akumulácia kyseliny tafluprostovej bola zanedbateľná a priemerná hodnota AUC</w:t>
      </w:r>
      <w:r w:rsidR="00B33C96" w:rsidRPr="006512B1">
        <w:rPr>
          <w:sz w:val="22"/>
          <w:szCs w:val="22"/>
          <w:vertAlign w:val="subscript"/>
        </w:rPr>
        <w:t>0-posl.</w:t>
      </w:r>
      <w:r w:rsidR="00B33C96" w:rsidRPr="006512B1">
        <w:rPr>
          <w:sz w:val="22"/>
          <w:szCs w:val="22"/>
        </w:rPr>
        <w:t xml:space="preserve"> (monoterapia: 4,45 ± 2,57 pg·h/ml; </w:t>
      </w:r>
      <w:r w:rsidR="00B33C96" w:rsidRPr="004A295C">
        <w:rPr>
          <w:caps/>
          <w:sz w:val="22"/>
          <w:szCs w:val="22"/>
        </w:rPr>
        <w:t>Taptiqom</w:t>
      </w:r>
      <w:r w:rsidR="00B33C96" w:rsidRPr="006512B1">
        <w:rPr>
          <w:sz w:val="22"/>
          <w:szCs w:val="22"/>
        </w:rPr>
        <w:t xml:space="preserve">: 3,60 ± 3,70 pg·h/ml) </w:t>
      </w:r>
      <w:r w:rsidR="00D775D7">
        <w:rPr>
          <w:sz w:val="22"/>
          <w:szCs w:val="22"/>
        </w:rPr>
        <w:t>a</w:t>
      </w:r>
      <w:r w:rsidR="00B33C96" w:rsidRPr="006512B1">
        <w:rPr>
          <w:sz w:val="22"/>
          <w:szCs w:val="22"/>
        </w:rPr>
        <w:t> priemerná hodnota C</w:t>
      </w:r>
      <w:r w:rsidR="00B33C96" w:rsidRPr="006512B1">
        <w:rPr>
          <w:sz w:val="22"/>
          <w:szCs w:val="22"/>
          <w:vertAlign w:val="subscript"/>
        </w:rPr>
        <w:t>max</w:t>
      </w:r>
      <w:r w:rsidR="00B33C96" w:rsidRPr="006512B1">
        <w:rPr>
          <w:sz w:val="22"/>
          <w:szCs w:val="22"/>
        </w:rPr>
        <w:t xml:space="preserve"> (monoterapia: 23,9 ± 11,8 pg/ml; </w:t>
      </w:r>
      <w:r w:rsidR="00B33C96" w:rsidRPr="004A295C">
        <w:rPr>
          <w:caps/>
          <w:sz w:val="22"/>
          <w:szCs w:val="22"/>
        </w:rPr>
        <w:t>Taptiqom</w:t>
      </w:r>
      <w:r w:rsidR="00B33C96" w:rsidRPr="006512B1">
        <w:rPr>
          <w:sz w:val="22"/>
          <w:szCs w:val="22"/>
        </w:rPr>
        <w:t xml:space="preserve">: 18,7 ± 11,9 pg/ml) kyseliny tafluprostovej </w:t>
      </w:r>
      <w:r w:rsidR="00F96701">
        <w:rPr>
          <w:sz w:val="22"/>
          <w:szCs w:val="22"/>
        </w:rPr>
        <w:t xml:space="preserve">na 8. </w:t>
      </w:r>
      <w:r w:rsidR="00B33C96" w:rsidRPr="006512B1">
        <w:rPr>
          <w:sz w:val="22"/>
          <w:szCs w:val="22"/>
        </w:rPr>
        <w:t xml:space="preserve">deň boli o niečo nižšie </w:t>
      </w:r>
      <w:r w:rsidR="00176D24">
        <w:rPr>
          <w:sz w:val="22"/>
          <w:szCs w:val="22"/>
        </w:rPr>
        <w:t>u</w:t>
      </w:r>
      <w:r w:rsidR="00B33C96" w:rsidRPr="006512B1">
        <w:rPr>
          <w:sz w:val="22"/>
          <w:szCs w:val="22"/>
        </w:rPr>
        <w:t xml:space="preserve"> </w:t>
      </w:r>
      <w:r w:rsidR="00B33C96" w:rsidRPr="005F2AF1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 xml:space="preserve"> </w:t>
      </w:r>
      <w:r w:rsidR="00176D24">
        <w:rPr>
          <w:sz w:val="22"/>
          <w:szCs w:val="22"/>
        </w:rPr>
        <w:t xml:space="preserve">v porovnaní s </w:t>
      </w:r>
      <w:r w:rsidR="00B33C96" w:rsidRPr="006512B1">
        <w:rPr>
          <w:sz w:val="22"/>
          <w:szCs w:val="22"/>
        </w:rPr>
        <w:t>monoterapi</w:t>
      </w:r>
      <w:r w:rsidR="00176D24">
        <w:rPr>
          <w:sz w:val="22"/>
          <w:szCs w:val="22"/>
        </w:rPr>
        <w:t>ou</w:t>
      </w:r>
      <w:r w:rsidR="00DF11FD" w:rsidRPr="006512B1">
        <w:rPr>
          <w:sz w:val="22"/>
          <w:szCs w:val="22"/>
        </w:rPr>
        <w:t xml:space="preserve"> </w:t>
      </w:r>
      <w:r w:rsidR="00B33C96" w:rsidRPr="006512B1">
        <w:rPr>
          <w:sz w:val="22"/>
          <w:szCs w:val="22"/>
        </w:rPr>
        <w:t xml:space="preserve">tafluprostom. </w:t>
      </w:r>
      <w:r w:rsidR="00176D24">
        <w:rPr>
          <w:sz w:val="22"/>
          <w:szCs w:val="22"/>
        </w:rPr>
        <w:t>Plazmatická k</w:t>
      </w:r>
      <w:r w:rsidR="00B33C96" w:rsidRPr="006512B1">
        <w:rPr>
          <w:sz w:val="22"/>
          <w:szCs w:val="22"/>
        </w:rPr>
        <w:t xml:space="preserve">oncentrácia timololu dosiahla maximum pri </w:t>
      </w:r>
      <w:r w:rsidR="00176D24">
        <w:rPr>
          <w:sz w:val="22"/>
          <w:szCs w:val="22"/>
        </w:rPr>
        <w:t xml:space="preserve">stredných </w:t>
      </w:r>
      <w:r w:rsidR="00B33C96" w:rsidRPr="006512B1">
        <w:rPr>
          <w:sz w:val="22"/>
          <w:szCs w:val="22"/>
        </w:rPr>
        <w:t>hodnotách T</w:t>
      </w:r>
      <w:r w:rsidR="00B33C96" w:rsidRPr="006512B1">
        <w:rPr>
          <w:noProof/>
          <w:sz w:val="22"/>
          <w:szCs w:val="22"/>
          <w:vertAlign w:val="subscript"/>
        </w:rPr>
        <w:t>max</w:t>
      </w:r>
      <w:r w:rsidR="00B33C96" w:rsidRPr="006512B1">
        <w:rPr>
          <w:sz w:val="22"/>
          <w:szCs w:val="22"/>
        </w:rPr>
        <w:t xml:space="preserve"> 15 minút </w:t>
      </w:r>
      <w:r w:rsidR="00EA19E6">
        <w:rPr>
          <w:sz w:val="22"/>
          <w:szCs w:val="22"/>
        </w:rPr>
        <w:t>na prvý</w:t>
      </w:r>
      <w:r w:rsidR="00B33C96" w:rsidRPr="006512B1">
        <w:rPr>
          <w:sz w:val="22"/>
          <w:szCs w:val="22"/>
        </w:rPr>
        <w:t xml:space="preserve"> deň a 37,5 minúty </w:t>
      </w:r>
      <w:r w:rsidR="00EA19E6">
        <w:rPr>
          <w:sz w:val="22"/>
          <w:szCs w:val="22"/>
        </w:rPr>
        <w:t xml:space="preserve">na </w:t>
      </w:r>
      <w:r w:rsidR="00B33C96" w:rsidRPr="006512B1">
        <w:rPr>
          <w:sz w:val="22"/>
          <w:szCs w:val="22"/>
        </w:rPr>
        <w:t>8</w:t>
      </w:r>
      <w:r w:rsidR="00EA19E6">
        <w:rPr>
          <w:sz w:val="22"/>
          <w:szCs w:val="22"/>
        </w:rPr>
        <w:t>. deň</w:t>
      </w:r>
      <w:r w:rsidR="00B33C96" w:rsidRPr="006512B1">
        <w:rPr>
          <w:sz w:val="22"/>
          <w:szCs w:val="22"/>
        </w:rPr>
        <w:t xml:space="preserve"> po podaní dávky </w:t>
      </w:r>
      <w:r w:rsidR="00B33C96" w:rsidRPr="004A295C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>.</w:t>
      </w:r>
      <w:r w:rsidR="00023B32">
        <w:rPr>
          <w:sz w:val="22"/>
          <w:szCs w:val="22"/>
        </w:rPr>
        <w:t xml:space="preserve"> </w:t>
      </w:r>
      <w:r w:rsidR="00B33C96" w:rsidRPr="006512B1">
        <w:rPr>
          <w:sz w:val="22"/>
          <w:szCs w:val="22"/>
        </w:rPr>
        <w:t>Priemerná hodnota AUC</w:t>
      </w:r>
      <w:r w:rsidR="00B33C96" w:rsidRPr="006512B1">
        <w:rPr>
          <w:noProof/>
          <w:sz w:val="22"/>
          <w:szCs w:val="22"/>
          <w:vertAlign w:val="subscript"/>
        </w:rPr>
        <w:t>0-posl.</w:t>
      </w:r>
      <w:r w:rsidR="00B33C96" w:rsidRPr="006512B1">
        <w:rPr>
          <w:sz w:val="22"/>
          <w:szCs w:val="22"/>
        </w:rPr>
        <w:t xml:space="preserve"> (monoterapia: 5 750 ± 2 440 pg·h/ml; </w:t>
      </w:r>
      <w:r w:rsidR="00B33C96" w:rsidRPr="004A295C">
        <w:rPr>
          <w:caps/>
          <w:sz w:val="22"/>
          <w:szCs w:val="22"/>
        </w:rPr>
        <w:t>Taptiqom</w:t>
      </w:r>
      <w:r w:rsidR="00B33C96" w:rsidRPr="006512B1">
        <w:rPr>
          <w:sz w:val="22"/>
          <w:szCs w:val="22"/>
        </w:rPr>
        <w:t xml:space="preserve">: 4 560 ± 2 980 pg·h/ml) </w:t>
      </w:r>
      <w:r w:rsidR="00821A5F">
        <w:rPr>
          <w:sz w:val="22"/>
          <w:szCs w:val="22"/>
        </w:rPr>
        <w:t>a</w:t>
      </w:r>
      <w:r w:rsidR="00B33C96" w:rsidRPr="006512B1">
        <w:rPr>
          <w:sz w:val="22"/>
          <w:szCs w:val="22"/>
        </w:rPr>
        <w:t> priemerná hodnota C</w:t>
      </w:r>
      <w:r w:rsidR="00B33C96" w:rsidRPr="002A5BC5">
        <w:rPr>
          <w:sz w:val="22"/>
          <w:szCs w:val="22"/>
          <w:vertAlign w:val="subscript"/>
        </w:rPr>
        <w:t>max</w:t>
      </w:r>
      <w:r w:rsidR="00B33C96" w:rsidRPr="006512B1">
        <w:rPr>
          <w:sz w:val="22"/>
          <w:szCs w:val="22"/>
        </w:rPr>
        <w:t xml:space="preserve"> (monoterapia: 1 100 ± 550 pg/ml; </w:t>
      </w:r>
      <w:r w:rsidR="00B33C96" w:rsidRPr="004A295C">
        <w:rPr>
          <w:caps/>
          <w:sz w:val="22"/>
          <w:szCs w:val="22"/>
        </w:rPr>
        <w:t>Taptiqom</w:t>
      </w:r>
      <w:r w:rsidR="00B33C96" w:rsidRPr="006512B1">
        <w:rPr>
          <w:sz w:val="22"/>
          <w:szCs w:val="22"/>
        </w:rPr>
        <w:t xml:space="preserve">: 840 ± 520 pg/ml ) timololu </w:t>
      </w:r>
      <w:r w:rsidR="002A5BC5">
        <w:rPr>
          <w:sz w:val="22"/>
          <w:szCs w:val="22"/>
        </w:rPr>
        <w:t>na 8.</w:t>
      </w:r>
      <w:r w:rsidR="00B33C96" w:rsidRPr="006512B1">
        <w:rPr>
          <w:sz w:val="22"/>
          <w:szCs w:val="22"/>
        </w:rPr>
        <w:t xml:space="preserve"> deň boli o niečo nižšie </w:t>
      </w:r>
      <w:r w:rsidR="002A5BC5">
        <w:rPr>
          <w:sz w:val="22"/>
          <w:szCs w:val="22"/>
        </w:rPr>
        <w:t>u</w:t>
      </w:r>
      <w:r w:rsidR="00B33C96" w:rsidRPr="006512B1">
        <w:rPr>
          <w:sz w:val="22"/>
          <w:szCs w:val="22"/>
        </w:rPr>
        <w:t xml:space="preserve"> </w:t>
      </w:r>
      <w:r w:rsidR="00B33C96" w:rsidRPr="00963350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 xml:space="preserve"> </w:t>
      </w:r>
      <w:r w:rsidR="002A5BC5">
        <w:rPr>
          <w:sz w:val="22"/>
          <w:szCs w:val="22"/>
        </w:rPr>
        <w:t>v porovnaní s</w:t>
      </w:r>
      <w:r w:rsidR="00B33C96" w:rsidRPr="006512B1">
        <w:rPr>
          <w:sz w:val="22"/>
          <w:szCs w:val="22"/>
        </w:rPr>
        <w:t xml:space="preserve"> monoterapi</w:t>
      </w:r>
      <w:r w:rsidR="002A5BC5">
        <w:rPr>
          <w:sz w:val="22"/>
          <w:szCs w:val="22"/>
        </w:rPr>
        <w:t>ou</w:t>
      </w:r>
      <w:r w:rsidR="00DF11FD" w:rsidRPr="006512B1">
        <w:rPr>
          <w:sz w:val="22"/>
          <w:szCs w:val="22"/>
        </w:rPr>
        <w:t xml:space="preserve"> </w:t>
      </w:r>
      <w:r w:rsidR="00B33C96" w:rsidRPr="006512B1">
        <w:rPr>
          <w:sz w:val="22"/>
          <w:szCs w:val="22"/>
        </w:rPr>
        <w:t xml:space="preserve">timololom. Zdá sa, že nižšia </w:t>
      </w:r>
      <w:r w:rsidR="008335F7">
        <w:rPr>
          <w:sz w:val="22"/>
          <w:szCs w:val="22"/>
        </w:rPr>
        <w:t>expozícia</w:t>
      </w:r>
      <w:r w:rsidR="00B33C96" w:rsidRPr="006512B1">
        <w:rPr>
          <w:sz w:val="22"/>
          <w:szCs w:val="22"/>
        </w:rPr>
        <w:t xml:space="preserve"> timololu v plazme </w:t>
      </w:r>
      <w:r w:rsidR="008335F7">
        <w:rPr>
          <w:sz w:val="22"/>
          <w:szCs w:val="22"/>
        </w:rPr>
        <w:t>pri</w:t>
      </w:r>
      <w:r w:rsidR="00B33C96" w:rsidRPr="006512B1">
        <w:rPr>
          <w:sz w:val="22"/>
          <w:szCs w:val="22"/>
        </w:rPr>
        <w:t xml:space="preserve"> </w:t>
      </w:r>
      <w:r w:rsidR="00B33C96" w:rsidRPr="00963350">
        <w:rPr>
          <w:caps/>
          <w:sz w:val="22"/>
          <w:szCs w:val="22"/>
        </w:rPr>
        <w:t>Taptiqom</w:t>
      </w:r>
      <w:r w:rsidR="008335F7" w:rsidRPr="00963350">
        <w:rPr>
          <w:caps/>
          <w:sz w:val="22"/>
          <w:szCs w:val="22"/>
        </w:rPr>
        <w:t>E</w:t>
      </w:r>
      <w:r w:rsidR="00B33C96" w:rsidRPr="006512B1">
        <w:rPr>
          <w:sz w:val="22"/>
          <w:szCs w:val="22"/>
        </w:rPr>
        <w:t xml:space="preserve"> je dôsledkom dávkovania </w:t>
      </w:r>
      <w:r w:rsidR="00B33C96" w:rsidRPr="005F2AF1">
        <w:rPr>
          <w:caps/>
          <w:sz w:val="22"/>
          <w:szCs w:val="22"/>
        </w:rPr>
        <w:t>Taptiqomu</w:t>
      </w:r>
      <w:r w:rsidR="00B33C96" w:rsidRPr="006512B1">
        <w:rPr>
          <w:sz w:val="22"/>
          <w:szCs w:val="22"/>
        </w:rPr>
        <w:t xml:space="preserve"> jedenkrát denne v porovnaní s dávkovaním dvakrát denne </w:t>
      </w:r>
      <w:r w:rsidR="00536A32">
        <w:rPr>
          <w:sz w:val="22"/>
          <w:szCs w:val="22"/>
        </w:rPr>
        <w:t>pri</w:t>
      </w:r>
      <w:r w:rsidR="00B33C96" w:rsidRPr="006512B1">
        <w:rPr>
          <w:sz w:val="22"/>
          <w:szCs w:val="22"/>
        </w:rPr>
        <w:t xml:space="preserve"> monoterapi</w:t>
      </w:r>
      <w:r w:rsidR="00536A32">
        <w:rPr>
          <w:sz w:val="22"/>
          <w:szCs w:val="22"/>
        </w:rPr>
        <w:t>i</w:t>
      </w:r>
      <w:r w:rsidR="00DF11FD" w:rsidRPr="006512B1">
        <w:rPr>
          <w:sz w:val="22"/>
          <w:szCs w:val="22"/>
        </w:rPr>
        <w:t xml:space="preserve"> </w:t>
      </w:r>
      <w:r w:rsidR="00B33C96" w:rsidRPr="006512B1">
        <w:rPr>
          <w:sz w:val="22"/>
          <w:szCs w:val="22"/>
        </w:rPr>
        <w:t>timololom.</w:t>
      </w:r>
    </w:p>
    <w:p w14:paraId="6924BD07" w14:textId="77777777" w:rsidR="00B33C96" w:rsidRPr="006512B1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 w:val="22"/>
          <w:szCs w:val="22"/>
        </w:rPr>
      </w:pPr>
    </w:p>
    <w:p w14:paraId="41749B39" w14:textId="63349818" w:rsidR="00B33C96" w:rsidRPr="006512B1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>Tafluprost a timolol sa absorbujú cez rohovku. U králikov bola penetrácia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tafluprostu z </w:t>
      </w:r>
      <w:r w:rsidRPr="00963350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cez rohovku po jednotliv</w:t>
      </w:r>
      <w:r w:rsidR="001F1A62">
        <w:rPr>
          <w:sz w:val="22"/>
          <w:szCs w:val="22"/>
        </w:rPr>
        <w:t>ej aplikácii</w:t>
      </w:r>
      <w:r w:rsidRPr="006512B1">
        <w:rPr>
          <w:sz w:val="22"/>
          <w:szCs w:val="22"/>
        </w:rPr>
        <w:t xml:space="preserve"> podobná ako v prípade monoterapie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tafluprostom, kým penetrácia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timololu z </w:t>
      </w:r>
      <w:r w:rsidRPr="005F2AF1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bola o niečo nižšia ako pri monoterapii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timololom. V prípade kyseliny tafluprostovej bola hodnota AUC</w:t>
      </w:r>
      <w:r w:rsidRPr="006512B1">
        <w:rPr>
          <w:noProof/>
          <w:sz w:val="22"/>
          <w:szCs w:val="22"/>
          <w:vertAlign w:val="subscript"/>
        </w:rPr>
        <w:t xml:space="preserve">4h </w:t>
      </w:r>
      <w:r w:rsidRPr="006512B1">
        <w:rPr>
          <w:sz w:val="22"/>
          <w:szCs w:val="22"/>
        </w:rPr>
        <w:t xml:space="preserve">po podaní </w:t>
      </w:r>
      <w:r w:rsidRPr="00963350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7,5 ng·h/ml a po podaní samostatného tafluprostu 7,7 ng·h/ml. V prípade timololu bola hodnota AUC</w:t>
      </w:r>
      <w:r w:rsidRPr="006512B1">
        <w:rPr>
          <w:noProof/>
          <w:sz w:val="22"/>
          <w:szCs w:val="22"/>
          <w:vertAlign w:val="subscript"/>
        </w:rPr>
        <w:t>4h</w:t>
      </w:r>
      <w:r w:rsidRPr="006512B1">
        <w:rPr>
          <w:sz w:val="22"/>
          <w:szCs w:val="22"/>
        </w:rPr>
        <w:t xml:space="preserve"> po podaní </w:t>
      </w:r>
      <w:r w:rsidRPr="00963350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585 ng·h/ml a po podaní samostatného timololu 737 ng·h/ml. Hodnota T</w:t>
      </w:r>
      <w:r w:rsidRPr="006512B1">
        <w:rPr>
          <w:noProof/>
          <w:sz w:val="22"/>
          <w:szCs w:val="22"/>
          <w:vertAlign w:val="subscript"/>
        </w:rPr>
        <w:t>max</w:t>
      </w:r>
      <w:r w:rsidRPr="006512B1">
        <w:rPr>
          <w:sz w:val="22"/>
          <w:szCs w:val="22"/>
        </w:rPr>
        <w:t xml:space="preserve"> kyseliny tafluprostovej bola 60 minút v prípade </w:t>
      </w:r>
      <w:r w:rsidRPr="004A295C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</w:t>
      </w:r>
      <w:r w:rsidR="00181E87">
        <w:rPr>
          <w:sz w:val="22"/>
          <w:szCs w:val="22"/>
        </w:rPr>
        <w:t>aj</w:t>
      </w:r>
      <w:r w:rsidRPr="006512B1">
        <w:rPr>
          <w:sz w:val="22"/>
          <w:szCs w:val="22"/>
        </w:rPr>
        <w:t> samostatného tafluprostu, kým hodnota T</w:t>
      </w:r>
      <w:r w:rsidRPr="006512B1">
        <w:rPr>
          <w:noProof/>
          <w:sz w:val="22"/>
          <w:szCs w:val="22"/>
          <w:vertAlign w:val="subscript"/>
        </w:rPr>
        <w:t>max</w:t>
      </w:r>
      <w:r w:rsidR="00023B32">
        <w:rPr>
          <w:noProof/>
          <w:sz w:val="22"/>
          <w:szCs w:val="22"/>
          <w:vertAlign w:val="subscript"/>
        </w:rPr>
        <w:t xml:space="preserve"> </w:t>
      </w:r>
      <w:r w:rsidRPr="006512B1">
        <w:rPr>
          <w:sz w:val="22"/>
          <w:szCs w:val="22"/>
        </w:rPr>
        <w:t xml:space="preserve">timololu bola 60 minút v prípade </w:t>
      </w:r>
      <w:r w:rsidRPr="004A295C">
        <w:rPr>
          <w:caps/>
          <w:sz w:val="22"/>
          <w:szCs w:val="22"/>
        </w:rPr>
        <w:t>Taptiqomu</w:t>
      </w:r>
      <w:r w:rsidRPr="006512B1">
        <w:rPr>
          <w:sz w:val="22"/>
          <w:szCs w:val="22"/>
        </w:rPr>
        <w:t xml:space="preserve"> a 30 minút v prípade samostatného timololu.</w:t>
      </w:r>
    </w:p>
    <w:p w14:paraId="31739FD7" w14:textId="77777777" w:rsidR="000269CE" w:rsidRPr="006512B1" w:rsidRDefault="000269CE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3BC7D58B" w14:textId="77777777" w:rsidR="00B33C96" w:rsidRPr="006512B1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Distribúcia</w:t>
      </w:r>
    </w:p>
    <w:p w14:paraId="7C58188C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5AB2B801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14:paraId="1549F607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>U opíc sa nepozorovala žiadna špecifická distribúcia rádioaktívne označeného tafluprostu v dúhovke a ciliárnom teliesku ani v</w:t>
      </w:r>
      <w:r w:rsidR="00D10CF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ciev</w:t>
      </w:r>
      <w:r w:rsidR="006F1E9D">
        <w:rPr>
          <w:sz w:val="22"/>
          <w:szCs w:val="22"/>
        </w:rPr>
        <w:t>ov</w:t>
      </w:r>
      <w:r w:rsidR="002427D8">
        <w:rPr>
          <w:sz w:val="22"/>
          <w:szCs w:val="22"/>
        </w:rPr>
        <w:t>ke</w:t>
      </w:r>
      <w:r w:rsidR="00D10CF2" w:rsidRPr="006512B1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vrátane sietnicového pigmentového epitelu, čo poukazuje na nízku afinitu </w:t>
      </w:r>
      <w:r w:rsidR="00324C30">
        <w:rPr>
          <w:sz w:val="22"/>
          <w:szCs w:val="22"/>
        </w:rPr>
        <w:t>k</w:t>
      </w:r>
      <w:r w:rsidRPr="006512B1">
        <w:rPr>
          <w:sz w:val="22"/>
          <w:szCs w:val="22"/>
        </w:rPr>
        <w:t xml:space="preserve"> melanínov</w:t>
      </w:r>
      <w:r w:rsidR="002B3EC1">
        <w:rPr>
          <w:sz w:val="22"/>
          <w:szCs w:val="22"/>
        </w:rPr>
        <w:t>ému</w:t>
      </w:r>
      <w:r w:rsidRPr="006512B1">
        <w:rPr>
          <w:sz w:val="22"/>
          <w:szCs w:val="22"/>
        </w:rPr>
        <w:t xml:space="preserve"> pigment</w:t>
      </w:r>
      <w:r w:rsidR="002B3EC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. V celotelovej autorádiografickej štúdii na potkanoch sa najvyššia koncentrácia rádioaktivity pozorovala v rohovke, potom v očných viečkach, sklovci a dúhovke. Mimo oka sa rádioaktivita distribuovala do slzného aparátu, podnebia, pažeráka a gastrointestinálneho traktu, obličiek, pečene, žlčníka a močového mechúra. Väzba kyseliny tafluprostovej na ľudský sérový albumín </w:t>
      </w:r>
      <w:r w:rsidRPr="006512B1">
        <w:rPr>
          <w:i/>
          <w:noProof/>
          <w:sz w:val="22"/>
          <w:szCs w:val="22"/>
        </w:rPr>
        <w:t xml:space="preserve">in vitro </w:t>
      </w:r>
      <w:r w:rsidRPr="006512B1">
        <w:rPr>
          <w:sz w:val="22"/>
          <w:szCs w:val="22"/>
        </w:rPr>
        <w:t xml:space="preserve">bola pri 500 ng/ml kyseliny tafluprostovej 99 %. </w:t>
      </w:r>
    </w:p>
    <w:p w14:paraId="51702117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55B2522F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14:paraId="3507C551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U králikov sa maximálna úroveň rádioaktivity súvisiacej s timololom v komorovom moku dosiahla po 30 minútach od jednotlivého podania </w:t>
      </w:r>
      <w:r w:rsidRPr="006512B1">
        <w:rPr>
          <w:noProof/>
          <w:sz w:val="22"/>
          <w:szCs w:val="22"/>
          <w:vertAlign w:val="superscript"/>
        </w:rPr>
        <w:t>3</w:t>
      </w:r>
      <w:r w:rsidRPr="006512B1">
        <w:rPr>
          <w:sz w:val="22"/>
          <w:szCs w:val="22"/>
        </w:rPr>
        <w:t>H-rádioaktívne označeného timololu (0,5 % roztok: 20 µl/oko) do oboch očí. Timolol sa eliminuje z komorového moku omnoho rýchlejšie ako z pigmentovaných tkanív dúhovky a ciliárneho telieska.</w:t>
      </w:r>
    </w:p>
    <w:p w14:paraId="06299204" w14:textId="77777777" w:rsidR="000269CE" w:rsidRPr="006512B1" w:rsidRDefault="000269CE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14:paraId="03D351EA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Biotransformácia</w:t>
      </w:r>
    </w:p>
    <w:p w14:paraId="5CFA22CC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0315CD12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14:paraId="7668E0A9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Hlavná metabolická cesta tafluprostu u ľudí, ktorá sa testovala </w:t>
      </w:r>
      <w:r w:rsidRPr="006512B1">
        <w:rPr>
          <w:i/>
          <w:noProof/>
          <w:sz w:val="22"/>
          <w:szCs w:val="22"/>
        </w:rPr>
        <w:t>in vitro</w:t>
      </w:r>
      <w:r w:rsidRPr="006512B1">
        <w:rPr>
          <w:sz w:val="22"/>
          <w:szCs w:val="22"/>
        </w:rPr>
        <w:t>, je hydrolýza na farmakologicky aktívny metabolit kyselinu tafluprostovú, ktorá sa ďalej metabolizuje glukuronidáciou alebo betaoxidáciou. Produkty betaoxidácie kyselina 1,2-dinor tafluprostová a kyselina 1,2,3,4-tetranor tafluprostová, ktoré sú farmakologicky neaktívne, môžu byť glukuronidované alebo hydroxylované. Enzýmový systém cytochrómu P450 (CYP) sa nezúčastňuje na metabolizme kyseliny tafluprostovej. Na základe štúdie tkaniva rohovky králikov s purifikovanými enzýmami je hlavnou esterázou zodpovednou za hydrolýzu esteru na kyselinu tafluprostovú</w:t>
      </w:r>
      <w:r w:rsidR="00DF11FD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karboxylesteráza. K</w:t>
      </w:r>
      <w:r w:rsidR="00D10CF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> hydrolýze môžu prispievať aj butylcholínesteráza, nie však acetylcholínesteráza.</w:t>
      </w:r>
    </w:p>
    <w:p w14:paraId="307FAB49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14:paraId="2CDACBB0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14:paraId="60C4F34E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>Timolol sa metabolizuje v pečeni primárne prostredníctvom enzýmu CYP2D6 na neaktívne metabolity, ktoré sa primárne vylučujú obličkami.</w:t>
      </w:r>
    </w:p>
    <w:p w14:paraId="7EB6E567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498B9A1A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Eliminácia</w:t>
      </w:r>
    </w:p>
    <w:p w14:paraId="0BA3B0B0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14:paraId="21BE103A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14:paraId="13815511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Po podávaní </w:t>
      </w:r>
      <w:r w:rsidRPr="006512B1">
        <w:rPr>
          <w:noProof/>
          <w:sz w:val="22"/>
          <w:szCs w:val="22"/>
          <w:vertAlign w:val="superscript"/>
        </w:rPr>
        <w:t>3</w:t>
      </w:r>
      <w:r w:rsidRPr="006512B1">
        <w:rPr>
          <w:sz w:val="22"/>
          <w:szCs w:val="22"/>
        </w:rPr>
        <w:t>H-tafluprostu (0,005 % o</w:t>
      </w:r>
      <w:r w:rsidR="00E03BF0">
        <w:rPr>
          <w:sz w:val="22"/>
          <w:szCs w:val="22"/>
        </w:rPr>
        <w:t>čný</w:t>
      </w:r>
      <w:r w:rsidRPr="006512B1">
        <w:rPr>
          <w:sz w:val="22"/>
          <w:szCs w:val="22"/>
        </w:rPr>
        <w:t xml:space="preserve"> roztok; 5 μl/oko) jedenkrát denne počas 21 dní do oboch očí potkanov sa približne 87 % celkovej rádioaktívnej dávky objavilo v</w:t>
      </w:r>
      <w:r w:rsidR="00DF11FD" w:rsidRPr="006512B1">
        <w:rPr>
          <w:sz w:val="22"/>
          <w:szCs w:val="22"/>
        </w:rPr>
        <w:t xml:space="preserve"> </w:t>
      </w:r>
      <w:r w:rsidR="00B36512" w:rsidRPr="006512B1">
        <w:rPr>
          <w:sz w:val="22"/>
          <w:szCs w:val="22"/>
        </w:rPr>
        <w:t>exkrementoch</w:t>
      </w:r>
      <w:r w:rsidRPr="006512B1">
        <w:rPr>
          <w:sz w:val="22"/>
          <w:szCs w:val="22"/>
        </w:rPr>
        <w:t xml:space="preserve">. </w:t>
      </w:r>
      <w:r w:rsidR="006512B1">
        <w:rPr>
          <w:sz w:val="22"/>
          <w:szCs w:val="22"/>
        </w:rPr>
        <w:t>Približne 27</w:t>
      </w:r>
      <w:r w:rsidR="006512B1">
        <w:rPr>
          <w:sz w:val="22"/>
          <w:szCs w:val="22"/>
        </w:rPr>
        <w:noBreakHyphen/>
      </w:r>
      <w:r w:rsidRPr="006512B1">
        <w:rPr>
          <w:sz w:val="22"/>
          <w:szCs w:val="22"/>
        </w:rPr>
        <w:t>38 % celkovej dávky sa vylúčilo v moči a približne 44 – 58 % dávky sa vylúčilo v stolici.</w:t>
      </w:r>
    </w:p>
    <w:p w14:paraId="63A93867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14:paraId="6DE5AF57" w14:textId="77777777"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14:paraId="1F849A56" w14:textId="77777777"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>Zjavný polčas eliminácie z ľudskej plazmy je približne 4 hodiny. Timolol sa vo veľkej miere metabolizuje v pečeni a metabolity sa vylučujú v moči spolu s 20 % nezmeneného timololu po perorálnom podaní.</w:t>
      </w:r>
    </w:p>
    <w:p w14:paraId="3D21A74A" w14:textId="77777777" w:rsidR="00E1438B" w:rsidRPr="006512B1" w:rsidRDefault="00E1438B">
      <w:pPr>
        <w:spacing w:line="240" w:lineRule="auto"/>
        <w:rPr>
          <w:sz w:val="22"/>
          <w:szCs w:val="22"/>
        </w:rPr>
      </w:pPr>
    </w:p>
    <w:p w14:paraId="4F1B97C0" w14:textId="77777777" w:rsidR="001D29E6" w:rsidRPr="006512B1" w:rsidRDefault="001D29E6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5.3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Predklinické údaje o bezpečnosti</w:t>
      </w:r>
    </w:p>
    <w:p w14:paraId="709980BB" w14:textId="77777777" w:rsidR="001D29E6" w:rsidRPr="006512B1" w:rsidRDefault="001D29E6">
      <w:pPr>
        <w:spacing w:line="240" w:lineRule="auto"/>
        <w:rPr>
          <w:sz w:val="22"/>
          <w:szCs w:val="22"/>
        </w:rPr>
      </w:pPr>
    </w:p>
    <w:p w14:paraId="4BEC79EC" w14:textId="77777777" w:rsidR="00B33C96" w:rsidRPr="00577E16" w:rsidRDefault="008B0018">
      <w:pPr>
        <w:spacing w:line="240" w:lineRule="auto"/>
        <w:rPr>
          <w:i/>
          <w:caps/>
          <w:sz w:val="22"/>
          <w:szCs w:val="22"/>
          <w:u w:val="single"/>
        </w:rPr>
      </w:pPr>
      <w:r w:rsidRPr="00577E16">
        <w:rPr>
          <w:i/>
          <w:caps/>
          <w:sz w:val="22"/>
          <w:szCs w:val="22"/>
          <w:u w:val="single"/>
        </w:rPr>
        <w:t>Taptiqom</w:t>
      </w:r>
    </w:p>
    <w:p w14:paraId="4A0E3377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Predklinické údaje získané na základe štúdie toxicity po opakovanom podávaní a farmakokinetických štúdií očí neodhalili žiadne osobitné riziko pre ľudí. Očný a systémový bezpečnostný profil jednotlivých zložiek je dobre stanovený.</w:t>
      </w:r>
    </w:p>
    <w:p w14:paraId="1DD9492E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33D9213C" w14:textId="77777777" w:rsidR="00B33C96" w:rsidRPr="006512B1" w:rsidRDefault="00B33C96">
      <w:pPr>
        <w:spacing w:line="240" w:lineRule="auto"/>
        <w:rPr>
          <w:i/>
          <w:sz w:val="22"/>
          <w:szCs w:val="22"/>
          <w:u w:val="single"/>
        </w:rPr>
      </w:pPr>
      <w:r w:rsidRPr="006512B1">
        <w:rPr>
          <w:i/>
          <w:sz w:val="22"/>
          <w:szCs w:val="22"/>
          <w:u w:val="single"/>
        </w:rPr>
        <w:t>Tafluprost</w:t>
      </w:r>
    </w:p>
    <w:p w14:paraId="2BDCC521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Predklinické údaje získané na základe obvyklých farmakologických štúdií bezpečnosti, toxicity po opakovanom systémovom podávaní, genotoxicity a karcinogénneho potenciálu neodhalili žiadne osobitné riziko pre ľudí. Tak ako pri iných agonistoch PGF2, opakované </w:t>
      </w:r>
      <w:r w:rsidR="00DA2AFA">
        <w:rPr>
          <w:sz w:val="22"/>
          <w:szCs w:val="22"/>
        </w:rPr>
        <w:t xml:space="preserve">lokálne očné podávanie </w:t>
      </w:r>
      <w:r w:rsidRPr="006512B1">
        <w:rPr>
          <w:sz w:val="22"/>
          <w:szCs w:val="22"/>
        </w:rPr>
        <w:t xml:space="preserve">tafluprostu opiciam vyvolalo ireverzibilné účinky na pigmentáciu dúhovky a reverzibilné zväčšenie </w:t>
      </w:r>
      <w:r w:rsidR="00DA2AFA">
        <w:rPr>
          <w:sz w:val="22"/>
          <w:szCs w:val="22"/>
        </w:rPr>
        <w:t>palpebrálnej</w:t>
      </w:r>
      <w:r w:rsidR="00B36512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štrbiny.</w:t>
      </w:r>
    </w:p>
    <w:p w14:paraId="4F833DA8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78E1387C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Zvýšen</w:t>
      </w:r>
      <w:r w:rsidR="00466E81">
        <w:rPr>
          <w:sz w:val="22"/>
          <w:szCs w:val="22"/>
        </w:rPr>
        <w:t>ý počet</w:t>
      </w:r>
      <w:r w:rsidRPr="006512B1">
        <w:rPr>
          <w:sz w:val="22"/>
          <w:szCs w:val="22"/>
        </w:rPr>
        <w:t xml:space="preserve"> kontrakci</w:t>
      </w:r>
      <w:r w:rsidR="00466E81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maternice potkanov a králikov sa pozoroval </w:t>
      </w:r>
      <w:r w:rsidRPr="006512B1">
        <w:rPr>
          <w:i/>
          <w:sz w:val="22"/>
          <w:szCs w:val="22"/>
        </w:rPr>
        <w:t>in vitro</w:t>
      </w:r>
      <w:r w:rsidR="00DF11FD" w:rsidRPr="006512B1">
        <w:rPr>
          <w:i/>
          <w:sz w:val="22"/>
          <w:szCs w:val="22"/>
        </w:rPr>
        <w:t xml:space="preserve"> </w:t>
      </w:r>
      <w:r w:rsidRPr="006512B1">
        <w:rPr>
          <w:sz w:val="22"/>
          <w:szCs w:val="22"/>
        </w:rPr>
        <w:t>pri koncentrácii kyseliny tafluprostovej, ktorá presiahla 4</w:t>
      </w:r>
      <w:r w:rsidR="00B36512" w:rsidRPr="006512B1">
        <w:rPr>
          <w:sz w:val="22"/>
          <w:szCs w:val="22"/>
        </w:rPr>
        <w:t xml:space="preserve"> až </w:t>
      </w:r>
      <w:r w:rsidRPr="006512B1">
        <w:rPr>
          <w:sz w:val="22"/>
          <w:szCs w:val="22"/>
        </w:rPr>
        <w:t xml:space="preserve">40-násobok maximálnej </w:t>
      </w:r>
      <w:r w:rsidR="00853F26">
        <w:rPr>
          <w:sz w:val="22"/>
          <w:szCs w:val="22"/>
        </w:rPr>
        <w:t xml:space="preserve">plazmatickej </w:t>
      </w:r>
      <w:r w:rsidRPr="006512B1">
        <w:rPr>
          <w:sz w:val="22"/>
          <w:szCs w:val="22"/>
        </w:rPr>
        <w:t>koncentrácie kyseliny tafluprostovej u ľudí. Uterotonický účinok tafluprostu sa netestoval na preparátoch ľudskej maternice.</w:t>
      </w:r>
    </w:p>
    <w:p w14:paraId="7340E0CF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1AFD5778" w14:textId="77777777" w:rsidR="00B33C96" w:rsidRPr="006512B1" w:rsidRDefault="005C1326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Š</w:t>
      </w:r>
      <w:r w:rsidR="00B33C96" w:rsidRPr="006512B1">
        <w:rPr>
          <w:sz w:val="22"/>
          <w:szCs w:val="22"/>
        </w:rPr>
        <w:t xml:space="preserve">túdie reprodukčnej toxicity </w:t>
      </w:r>
      <w:r>
        <w:rPr>
          <w:sz w:val="22"/>
          <w:szCs w:val="22"/>
        </w:rPr>
        <w:t>sa vykonali n</w:t>
      </w:r>
      <w:r w:rsidRPr="005C1326">
        <w:rPr>
          <w:sz w:val="22"/>
          <w:szCs w:val="22"/>
        </w:rPr>
        <w:t xml:space="preserve">a potkanoch a králikoch </w:t>
      </w:r>
      <w:r w:rsidR="00B33C96" w:rsidRPr="006512B1">
        <w:rPr>
          <w:sz w:val="22"/>
          <w:szCs w:val="22"/>
        </w:rPr>
        <w:t>po intravenóznom podaní. U potkanov sa nepozorovali žiadne nežiaduce účinky na fertilitu alebo skorý embryonálny vývin pri systémovej expozícii, ktorá je viac ako 12 000-násobkom maximálnej klinickej expozície na základe hodnoty C</w:t>
      </w:r>
      <w:r w:rsidR="00B33C96" w:rsidRPr="006512B1">
        <w:rPr>
          <w:sz w:val="22"/>
          <w:szCs w:val="22"/>
          <w:vertAlign w:val="subscript"/>
        </w:rPr>
        <w:t>max</w:t>
      </w:r>
      <w:r w:rsidR="00B33C96" w:rsidRPr="006512B1">
        <w:rPr>
          <w:sz w:val="22"/>
          <w:szCs w:val="22"/>
        </w:rPr>
        <w:t xml:space="preserve"> alebo viac ako 2 200-násobkom na základe hodnoty AUC.</w:t>
      </w:r>
    </w:p>
    <w:p w14:paraId="04114A39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265925F4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obvyklých štúdiách</w:t>
      </w:r>
      <w:r w:rsidR="001E420A">
        <w:rPr>
          <w:sz w:val="22"/>
          <w:szCs w:val="22"/>
        </w:rPr>
        <w:t xml:space="preserve"> vývoja embrya a plodu</w:t>
      </w:r>
      <w:r w:rsidRPr="006512B1">
        <w:rPr>
          <w:sz w:val="22"/>
          <w:szCs w:val="22"/>
        </w:rPr>
        <w:t xml:space="preserve"> spôsobil</w:t>
      </w:r>
      <w:r w:rsidR="001E420A">
        <w:rPr>
          <w:sz w:val="22"/>
          <w:szCs w:val="22"/>
        </w:rPr>
        <w:t xml:space="preserve"> tafluprost</w:t>
      </w:r>
      <w:r w:rsidRPr="006512B1">
        <w:rPr>
          <w:sz w:val="22"/>
          <w:szCs w:val="22"/>
        </w:rPr>
        <w:t xml:space="preserve"> zníženie telesnej hmotností plodu a zvýšenie postimplantačných strát. Tafluprost zvýšil výskyt </w:t>
      </w:r>
      <w:r w:rsidR="00DE4790">
        <w:rPr>
          <w:sz w:val="22"/>
          <w:szCs w:val="22"/>
        </w:rPr>
        <w:t>kostných</w:t>
      </w:r>
      <w:r w:rsidRPr="006512B1">
        <w:rPr>
          <w:sz w:val="22"/>
          <w:szCs w:val="22"/>
        </w:rPr>
        <w:t xml:space="preserve"> abnormalít u potkanov, ako aj výskyt malformácií lebky, mozgu a </w:t>
      </w:r>
      <w:r w:rsidR="001E420A">
        <w:rPr>
          <w:sz w:val="22"/>
          <w:szCs w:val="22"/>
        </w:rPr>
        <w:t>chrbtice</w:t>
      </w:r>
      <w:r w:rsidRPr="006512B1">
        <w:rPr>
          <w:sz w:val="22"/>
          <w:szCs w:val="22"/>
        </w:rPr>
        <w:t xml:space="preserve"> u králikov. V štúdii na králikoch boli hodnoty tafluprostu a jeho metabolitov v plazme pod úrovňou kvantifikácie.</w:t>
      </w:r>
    </w:p>
    <w:p w14:paraId="4511D2CA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57D05E5B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štúdii prenatálneho a postnatálneho výv</w:t>
      </w:r>
      <w:r w:rsidR="00F55B9D">
        <w:rPr>
          <w:sz w:val="22"/>
          <w:szCs w:val="22"/>
        </w:rPr>
        <w:t>oja</w:t>
      </w:r>
      <w:r w:rsidRPr="006512B1">
        <w:rPr>
          <w:sz w:val="22"/>
          <w:szCs w:val="22"/>
        </w:rPr>
        <w:t xml:space="preserve"> u potkanov sa pozorovala zvýšená mortalita narodených mláďat, znížená telesná hmotnosť a oneskorený vývin ušníc u potomstva pri dávkach tafluprostu vyšších ako 20-násobok klinickej dávky.</w:t>
      </w:r>
    </w:p>
    <w:p w14:paraId="6FC0B421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4ECB457B" w14:textId="0356ECEF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Pokusy na potkanoch s rádioaktívne označeným tafluprostom preukázali, že asi </w:t>
      </w:r>
      <w:r w:rsidRPr="003C0DFB">
        <w:rPr>
          <w:sz w:val="22"/>
          <w:szCs w:val="22"/>
        </w:rPr>
        <w:t xml:space="preserve">0,1 % </w:t>
      </w:r>
      <w:r w:rsidR="00FC774E" w:rsidRPr="003C0DFB">
        <w:rPr>
          <w:sz w:val="22"/>
          <w:szCs w:val="22"/>
        </w:rPr>
        <w:t>lokálne</w:t>
      </w:r>
      <w:r w:rsidRPr="003C0DFB">
        <w:rPr>
          <w:sz w:val="22"/>
          <w:szCs w:val="22"/>
        </w:rPr>
        <w:t xml:space="preserve"> aplikovanej dávky </w:t>
      </w:r>
      <w:r w:rsidR="003C0DFB">
        <w:rPr>
          <w:sz w:val="22"/>
          <w:szCs w:val="22"/>
        </w:rPr>
        <w:t>do</w:t>
      </w:r>
      <w:r w:rsidRPr="003C0DFB">
        <w:rPr>
          <w:sz w:val="22"/>
          <w:szCs w:val="22"/>
        </w:rPr>
        <w:t xml:space="preserve"> oč</w:t>
      </w:r>
      <w:r w:rsidR="003C0DFB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prešl</w:t>
      </w:r>
      <w:r w:rsidR="00B36512" w:rsidRPr="006512B1">
        <w:rPr>
          <w:sz w:val="22"/>
          <w:szCs w:val="22"/>
        </w:rPr>
        <w:t>o</w:t>
      </w:r>
      <w:r w:rsidRPr="006512B1">
        <w:rPr>
          <w:sz w:val="22"/>
          <w:szCs w:val="22"/>
        </w:rPr>
        <w:t xml:space="preserve"> do mlieka. Keďže je polčas aktívneho metabolitu (kyselina tafluprostová) v plazme veľmi krátky (</w:t>
      </w:r>
      <w:r w:rsidR="000567F7" w:rsidRPr="000567F7">
        <w:rPr>
          <w:sz w:val="22"/>
          <w:szCs w:val="22"/>
        </w:rPr>
        <w:t xml:space="preserve">u ľudí </w:t>
      </w:r>
      <w:r w:rsidRPr="006512B1">
        <w:rPr>
          <w:sz w:val="22"/>
          <w:szCs w:val="22"/>
        </w:rPr>
        <w:t>nedetegovateľný po 30 minútach), väčšinu rádioaktivity pravdepodobne predstavovali metabolity s nízkym alebo žiadnym farmakologickým účinkom. Na základe metabolizmu tafluprostu a prirodzených prostaglandínov sa očakáva veľmi nízka perorálna biologická dostupnosť.</w:t>
      </w:r>
    </w:p>
    <w:p w14:paraId="6735644F" w14:textId="77777777" w:rsidR="00B33C96" w:rsidRPr="006512B1" w:rsidRDefault="00B33C96">
      <w:pPr>
        <w:spacing w:line="240" w:lineRule="auto"/>
        <w:rPr>
          <w:sz w:val="22"/>
          <w:szCs w:val="22"/>
        </w:rPr>
      </w:pPr>
    </w:p>
    <w:p w14:paraId="065628BC" w14:textId="77777777" w:rsidR="00B33C96" w:rsidRPr="006512B1" w:rsidRDefault="00B33C96">
      <w:pPr>
        <w:spacing w:line="240" w:lineRule="auto"/>
        <w:rPr>
          <w:i/>
          <w:sz w:val="22"/>
          <w:szCs w:val="22"/>
          <w:u w:val="single"/>
        </w:rPr>
      </w:pPr>
      <w:r w:rsidRPr="006512B1">
        <w:rPr>
          <w:i/>
          <w:sz w:val="22"/>
          <w:szCs w:val="22"/>
          <w:u w:val="single"/>
        </w:rPr>
        <w:lastRenderedPageBreak/>
        <w:t>Timolol</w:t>
      </w:r>
    </w:p>
    <w:p w14:paraId="32655557" w14:textId="77777777"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Predklinické údaje získané na základe obvyklých farmakologických štúdií bezpečnosti, toxicity po opakovanom podávaní, genotoxicity, karcinogénneho potenciálu a reprodukčnej toxicity neodhalili žiadne osobitné riziko pre ľudí.</w:t>
      </w:r>
    </w:p>
    <w:p w14:paraId="7487C86A" w14:textId="77777777" w:rsidR="001D29E6" w:rsidRPr="006512B1" w:rsidRDefault="001D29E6">
      <w:pPr>
        <w:spacing w:line="240" w:lineRule="auto"/>
        <w:rPr>
          <w:sz w:val="22"/>
          <w:szCs w:val="22"/>
        </w:rPr>
      </w:pPr>
    </w:p>
    <w:p w14:paraId="1820743C" w14:textId="77777777" w:rsidR="001D29E6" w:rsidRPr="006512B1" w:rsidRDefault="001D29E6">
      <w:pPr>
        <w:spacing w:line="240" w:lineRule="auto"/>
        <w:rPr>
          <w:sz w:val="22"/>
          <w:szCs w:val="22"/>
        </w:rPr>
      </w:pPr>
    </w:p>
    <w:p w14:paraId="3017E0AA" w14:textId="77777777" w:rsidR="001D29E6" w:rsidRPr="006512B1" w:rsidRDefault="001D29E6" w:rsidP="006512B1">
      <w:pPr>
        <w:keepNext/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FARMACEUTICKÉ INFORMÁCIE</w:t>
      </w:r>
    </w:p>
    <w:p w14:paraId="1F129C72" w14:textId="77777777" w:rsidR="001D29E6" w:rsidRPr="006512B1" w:rsidRDefault="001D29E6" w:rsidP="006512B1">
      <w:pPr>
        <w:keepNext/>
        <w:spacing w:line="240" w:lineRule="auto"/>
        <w:rPr>
          <w:sz w:val="22"/>
          <w:szCs w:val="22"/>
        </w:rPr>
      </w:pPr>
    </w:p>
    <w:p w14:paraId="28088E38" w14:textId="77777777" w:rsidR="001D29E6" w:rsidRPr="006512B1" w:rsidRDefault="001D29E6" w:rsidP="006512B1">
      <w:pPr>
        <w:keepNext/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6.1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Zoznam pomocných látok</w:t>
      </w:r>
    </w:p>
    <w:p w14:paraId="6B44B4C9" w14:textId="77777777" w:rsidR="001D29E6" w:rsidRPr="006512B1" w:rsidRDefault="001D29E6" w:rsidP="006512B1">
      <w:pPr>
        <w:keepNext/>
        <w:spacing w:line="240" w:lineRule="auto"/>
        <w:rPr>
          <w:sz w:val="22"/>
          <w:szCs w:val="22"/>
        </w:rPr>
      </w:pPr>
    </w:p>
    <w:p w14:paraId="45D876EF" w14:textId="77777777" w:rsidR="00B33C96" w:rsidRPr="006512B1" w:rsidRDefault="006512B1" w:rsidP="006512B1">
      <w:pPr>
        <w:keepNext/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g</w:t>
      </w:r>
      <w:r w:rsidR="00B33C96" w:rsidRPr="006512B1">
        <w:rPr>
          <w:sz w:val="22"/>
          <w:szCs w:val="22"/>
        </w:rPr>
        <w:t>lycerol</w:t>
      </w:r>
    </w:p>
    <w:p w14:paraId="1C5788AA" w14:textId="77777777" w:rsidR="00B33C96" w:rsidRPr="00EC2CEC" w:rsidRDefault="00826C8D" w:rsidP="0071125C">
      <w:pPr>
        <w:spacing w:line="240" w:lineRule="auto"/>
        <w:ind w:left="567" w:hanging="567"/>
        <w:rPr>
          <w:sz w:val="22"/>
          <w:szCs w:val="22"/>
        </w:rPr>
      </w:pPr>
      <w:r w:rsidRPr="00EC2CEC">
        <w:rPr>
          <w:sz w:val="22"/>
          <w:szCs w:val="22"/>
        </w:rPr>
        <w:t>hydrogenfosforečnan sodný, dodekahydrát</w:t>
      </w:r>
    </w:p>
    <w:p w14:paraId="6522B36D" w14:textId="77777777" w:rsidR="00B33C96" w:rsidRPr="006512B1" w:rsidRDefault="00826C8D" w:rsidP="0071125C">
      <w:pPr>
        <w:spacing w:line="240" w:lineRule="auto"/>
        <w:ind w:left="567" w:hanging="567"/>
        <w:rPr>
          <w:sz w:val="22"/>
          <w:szCs w:val="22"/>
        </w:rPr>
      </w:pPr>
      <w:r w:rsidRPr="00EC2CEC">
        <w:rPr>
          <w:sz w:val="22"/>
          <w:szCs w:val="22"/>
        </w:rPr>
        <w:t>edetan disodný</w:t>
      </w:r>
    </w:p>
    <w:p w14:paraId="7F4A5C59" w14:textId="77777777" w:rsidR="00B33C96" w:rsidRPr="006512B1" w:rsidRDefault="006512B1" w:rsidP="0071125C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3F1335" w:rsidRPr="006512B1">
        <w:rPr>
          <w:sz w:val="22"/>
          <w:szCs w:val="22"/>
        </w:rPr>
        <w:t>olysorbát 80</w:t>
      </w:r>
    </w:p>
    <w:p w14:paraId="62C5B6EB" w14:textId="77777777" w:rsidR="00B33C96" w:rsidRPr="006512B1" w:rsidRDefault="006512B1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B33C96" w:rsidRPr="006512B1">
        <w:rPr>
          <w:sz w:val="22"/>
          <w:szCs w:val="22"/>
        </w:rPr>
        <w:t xml:space="preserve">yselina chlorovodíková a/alebo hydroxid sodný </w:t>
      </w:r>
      <w:r>
        <w:rPr>
          <w:sz w:val="22"/>
          <w:szCs w:val="22"/>
        </w:rPr>
        <w:t>(</w:t>
      </w:r>
      <w:r w:rsidR="00B33C96" w:rsidRPr="006512B1">
        <w:rPr>
          <w:sz w:val="22"/>
          <w:szCs w:val="22"/>
        </w:rPr>
        <w:t>na úpravu pH</w:t>
      </w:r>
      <w:r>
        <w:rPr>
          <w:sz w:val="22"/>
          <w:szCs w:val="22"/>
        </w:rPr>
        <w:t>)</w:t>
      </w:r>
    </w:p>
    <w:p w14:paraId="5607477C" w14:textId="77777777" w:rsidR="00B33C96" w:rsidRPr="006512B1" w:rsidRDefault="006512B1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B33C96" w:rsidRPr="006512B1">
        <w:rPr>
          <w:sz w:val="22"/>
          <w:szCs w:val="22"/>
        </w:rPr>
        <w:t xml:space="preserve">oda na </w:t>
      </w:r>
      <w:r>
        <w:rPr>
          <w:sz w:val="22"/>
          <w:szCs w:val="22"/>
        </w:rPr>
        <w:t>injekcie</w:t>
      </w:r>
    </w:p>
    <w:p w14:paraId="704E5263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07BB80DA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6.2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Inkompatibility</w:t>
      </w:r>
    </w:p>
    <w:p w14:paraId="3F4AD96D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35840736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Neaplikovateľné.</w:t>
      </w:r>
    </w:p>
    <w:p w14:paraId="25156994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418006C4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6.3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Čas použiteľnosti</w:t>
      </w:r>
    </w:p>
    <w:p w14:paraId="6790694A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2A241ECA" w14:textId="77777777" w:rsidR="00B33C96" w:rsidRPr="006512B1" w:rsidRDefault="008E3AAE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801E2E" w:rsidRPr="006512B1">
        <w:rPr>
          <w:sz w:val="22"/>
          <w:szCs w:val="22"/>
        </w:rPr>
        <w:t xml:space="preserve"> roky</w:t>
      </w:r>
    </w:p>
    <w:p w14:paraId="46BDFC3B" w14:textId="77777777" w:rsidR="00B33C96" w:rsidRPr="006512B1" w:rsidRDefault="008E3AAE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>
        <w:rPr>
          <w:sz w:val="22"/>
          <w:szCs w:val="22"/>
        </w:rPr>
        <w:t>Čas použiteľnosti p</w:t>
      </w:r>
      <w:r w:rsidR="00B33C96" w:rsidRPr="006512B1">
        <w:rPr>
          <w:sz w:val="22"/>
          <w:szCs w:val="22"/>
        </w:rPr>
        <w:t xml:space="preserve">o prvom otvorení </w:t>
      </w:r>
      <w:r>
        <w:rPr>
          <w:sz w:val="22"/>
          <w:szCs w:val="22"/>
        </w:rPr>
        <w:t>fľaše</w:t>
      </w:r>
      <w:r w:rsidR="00B33C96" w:rsidRPr="006512B1">
        <w:rPr>
          <w:sz w:val="22"/>
          <w:szCs w:val="22"/>
        </w:rPr>
        <w:t xml:space="preserve">: </w:t>
      </w:r>
      <w:r>
        <w:rPr>
          <w:sz w:val="22"/>
          <w:szCs w:val="22"/>
        </w:rPr>
        <w:t>3 mesiace</w:t>
      </w:r>
      <w:r w:rsidR="00B33C96" w:rsidRPr="006512B1">
        <w:rPr>
          <w:sz w:val="22"/>
          <w:szCs w:val="22"/>
        </w:rPr>
        <w:t>.</w:t>
      </w:r>
    </w:p>
    <w:p w14:paraId="01823CE7" w14:textId="77777777" w:rsidR="001D29E6" w:rsidRPr="006512B1" w:rsidRDefault="001D29E6" w:rsidP="00FF66FC">
      <w:pPr>
        <w:spacing w:line="240" w:lineRule="auto"/>
        <w:rPr>
          <w:b/>
          <w:sz w:val="22"/>
          <w:szCs w:val="22"/>
        </w:rPr>
      </w:pPr>
    </w:p>
    <w:p w14:paraId="7C6718BF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6.4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Špeciálne upozornenia na uchovávanie</w:t>
      </w:r>
    </w:p>
    <w:p w14:paraId="1A2D4563" w14:textId="77777777"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14:paraId="55CB987E" w14:textId="77777777"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Uchovávajte v chladničke (2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 – 8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°C).</w:t>
      </w:r>
      <w:r w:rsidR="00010C6F">
        <w:rPr>
          <w:sz w:val="22"/>
          <w:szCs w:val="22"/>
        </w:rPr>
        <w:t xml:space="preserve"> Neuchovávajte v mrazničke.</w:t>
      </w:r>
    </w:p>
    <w:p w14:paraId="7EA5F615" w14:textId="77777777" w:rsidR="00B33C96" w:rsidRDefault="00010C6F" w:rsidP="00010C6F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U</w:t>
      </w:r>
      <w:r w:rsidR="00B33C96" w:rsidRPr="006512B1">
        <w:rPr>
          <w:noProof/>
          <w:color w:val="000000"/>
          <w:sz w:val="22"/>
          <w:szCs w:val="22"/>
        </w:rPr>
        <w:t xml:space="preserve">chovávajte v pôvodnom </w:t>
      </w:r>
      <w:r>
        <w:rPr>
          <w:noProof/>
          <w:color w:val="000000"/>
          <w:sz w:val="22"/>
          <w:szCs w:val="22"/>
        </w:rPr>
        <w:t xml:space="preserve">obale </w:t>
      </w:r>
      <w:r w:rsidR="00B33C96" w:rsidRPr="006512B1">
        <w:rPr>
          <w:noProof/>
          <w:color w:val="000000"/>
          <w:sz w:val="22"/>
          <w:szCs w:val="22"/>
        </w:rPr>
        <w:t>na ochranu pred svetlom.</w:t>
      </w:r>
    </w:p>
    <w:p w14:paraId="3FDE7B71" w14:textId="77777777" w:rsidR="00E03555" w:rsidRDefault="00E03555" w:rsidP="00010C6F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</w:p>
    <w:p w14:paraId="5532629C" w14:textId="77777777" w:rsidR="00E03555" w:rsidRPr="006512B1" w:rsidRDefault="00E03555" w:rsidP="00010C6F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Po prvom otvorení fľaše:</w:t>
      </w:r>
    </w:p>
    <w:p w14:paraId="08FDDC3B" w14:textId="77777777" w:rsidR="00B33C96" w:rsidRPr="006512B1" w:rsidRDefault="00B33C96" w:rsidP="00E03555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  <w:r w:rsidRPr="006512B1">
        <w:rPr>
          <w:sz w:val="22"/>
          <w:szCs w:val="22"/>
        </w:rPr>
        <w:t>Uchovávajte pri teplote neprevyšujúcej 25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°C.</w:t>
      </w:r>
      <w:r w:rsidR="00E03555" w:rsidRPr="00E03555">
        <w:t xml:space="preserve"> </w:t>
      </w:r>
      <w:r w:rsidR="00E03555" w:rsidRPr="00E03555">
        <w:rPr>
          <w:sz w:val="22"/>
          <w:szCs w:val="22"/>
        </w:rPr>
        <w:t>Neuchovávajte v mrazničke.</w:t>
      </w:r>
    </w:p>
    <w:p w14:paraId="0DF689F2" w14:textId="77777777" w:rsidR="001D29E6" w:rsidRDefault="00E03555" w:rsidP="00FF66FC">
      <w:pPr>
        <w:spacing w:line="240" w:lineRule="auto"/>
        <w:rPr>
          <w:sz w:val="22"/>
          <w:szCs w:val="22"/>
        </w:rPr>
      </w:pPr>
      <w:r w:rsidRPr="00E03555">
        <w:rPr>
          <w:sz w:val="22"/>
          <w:szCs w:val="22"/>
        </w:rPr>
        <w:t xml:space="preserve">Fľašu bez vrecka </w:t>
      </w:r>
      <w:r w:rsidR="00360359" w:rsidRPr="00360359">
        <w:rPr>
          <w:sz w:val="22"/>
          <w:szCs w:val="22"/>
        </w:rPr>
        <w:t xml:space="preserve">uchovávajte </w:t>
      </w:r>
      <w:r w:rsidRPr="00E03555">
        <w:rPr>
          <w:sz w:val="22"/>
          <w:szCs w:val="22"/>
        </w:rPr>
        <w:t>v pôvodnom obale na ochranu pred svetlom</w:t>
      </w:r>
      <w:r w:rsidR="00360359">
        <w:rPr>
          <w:sz w:val="22"/>
          <w:szCs w:val="22"/>
        </w:rPr>
        <w:t>.</w:t>
      </w:r>
    </w:p>
    <w:p w14:paraId="4616B978" w14:textId="77777777" w:rsidR="00360359" w:rsidRPr="006512B1" w:rsidRDefault="00360359" w:rsidP="00FF66FC">
      <w:pPr>
        <w:spacing w:line="240" w:lineRule="auto"/>
        <w:rPr>
          <w:sz w:val="22"/>
          <w:szCs w:val="22"/>
        </w:rPr>
      </w:pPr>
    </w:p>
    <w:p w14:paraId="70D5FF0B" w14:textId="77777777" w:rsidR="001D29E6" w:rsidRPr="006512B1" w:rsidRDefault="001D29E6" w:rsidP="00FF66FC">
      <w:pPr>
        <w:numPr>
          <w:ilvl w:val="1"/>
          <w:numId w:val="11"/>
        </w:num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Druh obalu a obsah balenia</w:t>
      </w:r>
    </w:p>
    <w:p w14:paraId="5CA629A7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6D98D1CB" w14:textId="209D8544" w:rsidR="00360359" w:rsidRPr="00360359" w:rsidRDefault="00360359" w:rsidP="00360359">
      <w:pPr>
        <w:tabs>
          <w:tab w:val="clear" w:pos="567"/>
        </w:tabs>
        <w:spacing w:line="240" w:lineRule="auto"/>
        <w:rPr>
          <w:sz w:val="22"/>
          <w:szCs w:val="22"/>
        </w:rPr>
      </w:pPr>
      <w:r w:rsidRPr="00360359">
        <w:rPr>
          <w:sz w:val="22"/>
          <w:szCs w:val="22"/>
        </w:rPr>
        <w:t xml:space="preserve">Priehľadná fľaša z polyetylénu s nízkou hustotou (LDPE) s bielym stláčacím </w:t>
      </w:r>
      <w:r w:rsidR="00382EDF">
        <w:rPr>
          <w:sz w:val="22"/>
          <w:szCs w:val="22"/>
        </w:rPr>
        <w:t>dávkovačom</w:t>
      </w:r>
      <w:r w:rsidR="004A1FC8">
        <w:rPr>
          <w:sz w:val="22"/>
          <w:szCs w:val="22"/>
        </w:rPr>
        <w:t xml:space="preserve"> do oka</w:t>
      </w:r>
      <w:r w:rsidRPr="00360359">
        <w:rPr>
          <w:sz w:val="22"/>
          <w:szCs w:val="22"/>
        </w:rPr>
        <w:t xml:space="preserve"> (OSD) (polyetylén, polypropylén, cyklický olefínový kopolymér (COC)) s modrým polyetylénovým </w:t>
      </w:r>
      <w:r w:rsidR="00941A49">
        <w:rPr>
          <w:sz w:val="22"/>
          <w:szCs w:val="22"/>
        </w:rPr>
        <w:t>vrchnákom</w:t>
      </w:r>
      <w:r w:rsidRPr="00360359">
        <w:rPr>
          <w:sz w:val="22"/>
          <w:szCs w:val="22"/>
        </w:rPr>
        <w:t xml:space="preserve"> obsahujúcim systém </w:t>
      </w:r>
      <w:r w:rsidR="00DF5D1D">
        <w:rPr>
          <w:sz w:val="22"/>
          <w:szCs w:val="22"/>
        </w:rPr>
        <w:t>bezpečnostného uzáveru</w:t>
      </w:r>
      <w:r w:rsidRPr="00360359">
        <w:rPr>
          <w:sz w:val="22"/>
          <w:szCs w:val="22"/>
        </w:rPr>
        <w:t xml:space="preserve">, zabalená </w:t>
      </w:r>
      <w:r w:rsidR="007779C7">
        <w:rPr>
          <w:sz w:val="22"/>
          <w:szCs w:val="22"/>
        </w:rPr>
        <w:t xml:space="preserve">vo </w:t>
      </w:r>
      <w:r w:rsidR="007779C7" w:rsidRPr="003D5F42">
        <w:rPr>
          <w:sz w:val="22"/>
          <w:szCs w:val="22"/>
        </w:rPr>
        <w:t>vrecku z</w:t>
      </w:r>
      <w:r w:rsidRPr="003D5F42">
        <w:rPr>
          <w:sz w:val="22"/>
          <w:szCs w:val="22"/>
        </w:rPr>
        <w:t xml:space="preserve"> hliníkov</w:t>
      </w:r>
      <w:r w:rsidR="007779C7" w:rsidRPr="00B92171">
        <w:rPr>
          <w:sz w:val="22"/>
          <w:szCs w:val="22"/>
        </w:rPr>
        <w:t>ej</w:t>
      </w:r>
      <w:r w:rsidRPr="003D5F42">
        <w:rPr>
          <w:sz w:val="22"/>
          <w:szCs w:val="22"/>
        </w:rPr>
        <w:t xml:space="preserve"> </w:t>
      </w:r>
      <w:r w:rsidR="004A1FC8" w:rsidRPr="003D5F42">
        <w:rPr>
          <w:sz w:val="22"/>
          <w:szCs w:val="22"/>
        </w:rPr>
        <w:t>/</w:t>
      </w:r>
      <w:r w:rsidRPr="003D5F42">
        <w:rPr>
          <w:sz w:val="22"/>
          <w:szCs w:val="22"/>
        </w:rPr>
        <w:t>polyetylénov</w:t>
      </w:r>
      <w:r w:rsidR="007779C7" w:rsidRPr="00B92171">
        <w:rPr>
          <w:sz w:val="22"/>
          <w:szCs w:val="22"/>
        </w:rPr>
        <w:t xml:space="preserve">ej fólie potiahnutej </w:t>
      </w:r>
      <w:r w:rsidR="005B7B9C" w:rsidRPr="00B92171">
        <w:rPr>
          <w:sz w:val="22"/>
          <w:szCs w:val="22"/>
        </w:rPr>
        <w:t>PET</w:t>
      </w:r>
      <w:r w:rsidRPr="003D5F42">
        <w:rPr>
          <w:sz w:val="22"/>
          <w:szCs w:val="22"/>
        </w:rPr>
        <w:t>.</w:t>
      </w:r>
    </w:p>
    <w:p w14:paraId="1AB548B1" w14:textId="77777777" w:rsidR="00360359" w:rsidRPr="00360359" w:rsidRDefault="00360359" w:rsidP="00360359">
      <w:pPr>
        <w:tabs>
          <w:tab w:val="clear" w:pos="567"/>
        </w:tabs>
        <w:spacing w:line="240" w:lineRule="auto"/>
        <w:rPr>
          <w:sz w:val="22"/>
          <w:szCs w:val="22"/>
        </w:rPr>
      </w:pPr>
    </w:p>
    <w:p w14:paraId="37B2702A" w14:textId="77777777" w:rsidR="00B33C96" w:rsidRPr="006512B1" w:rsidRDefault="00382EDF" w:rsidP="00360359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>
        <w:rPr>
          <w:sz w:val="22"/>
          <w:szCs w:val="22"/>
        </w:rPr>
        <w:t>Dostupné</w:t>
      </w:r>
      <w:r w:rsidR="00360359" w:rsidRPr="00360359">
        <w:rPr>
          <w:sz w:val="22"/>
          <w:szCs w:val="22"/>
        </w:rPr>
        <w:t xml:space="preserve"> sú nasledujúce veľkosti balenia: škatule obsahujúce 1 alebo 3 fľaše po 3 ml (každá určená na 1 mesiac </w:t>
      </w:r>
      <w:r w:rsidR="00E86F9C">
        <w:rPr>
          <w:sz w:val="22"/>
          <w:szCs w:val="22"/>
        </w:rPr>
        <w:t>po</w:t>
      </w:r>
      <w:r w:rsidR="00360359" w:rsidRPr="00360359">
        <w:rPr>
          <w:sz w:val="22"/>
          <w:szCs w:val="22"/>
        </w:rPr>
        <w:t>užívania pacientom), 1 fľaša po 5 ml (na 2 mesiace) alebo</w:t>
      </w:r>
      <w:r w:rsidR="00A1623A">
        <w:rPr>
          <w:sz w:val="22"/>
          <w:szCs w:val="22"/>
        </w:rPr>
        <w:t xml:space="preserve"> 1 fľaša po 7 ml (na 3 mesiace)</w:t>
      </w:r>
      <w:r w:rsidR="00360359" w:rsidRPr="00360359">
        <w:rPr>
          <w:sz w:val="22"/>
          <w:szCs w:val="22"/>
        </w:rPr>
        <w:t>.</w:t>
      </w:r>
    </w:p>
    <w:p w14:paraId="5385C822" w14:textId="77777777"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14:paraId="4E5BA820" w14:textId="77777777" w:rsidR="00B33C96" w:rsidRPr="006512B1" w:rsidRDefault="00B33C9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Na trh nemusia byť uvedené všetky veľkosti balenia.</w:t>
      </w:r>
    </w:p>
    <w:p w14:paraId="2D4DC36B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1B4EBA03" w14:textId="77777777" w:rsidR="001D29E6" w:rsidRPr="006512B1" w:rsidRDefault="001D29E6" w:rsidP="00FF66FC">
      <w:pPr>
        <w:spacing w:line="240" w:lineRule="auto"/>
        <w:ind w:left="567" w:hanging="567"/>
        <w:outlineLvl w:val="0"/>
        <w:rPr>
          <w:sz w:val="22"/>
          <w:szCs w:val="22"/>
        </w:rPr>
      </w:pPr>
      <w:r w:rsidRPr="006512B1">
        <w:rPr>
          <w:b/>
          <w:sz w:val="22"/>
          <w:szCs w:val="22"/>
        </w:rPr>
        <w:t>6.6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Špeciálne opatrenia na likvidáciu a iné zaobchádzanie s liekom</w:t>
      </w:r>
    </w:p>
    <w:p w14:paraId="3642CC46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3BA36256" w14:textId="77777777" w:rsidR="001D29E6" w:rsidRPr="006512B1" w:rsidRDefault="004A0113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Všetok nepoužitý liek alebo odpad vzniknutý z lieku sa má zlikvidovať v súlade s národnými požiadavkami</w:t>
      </w:r>
    </w:p>
    <w:p w14:paraId="06004CF8" w14:textId="77777777" w:rsidR="00B33C96" w:rsidRDefault="00B33C96" w:rsidP="00FF66FC">
      <w:pPr>
        <w:spacing w:line="240" w:lineRule="auto"/>
        <w:rPr>
          <w:sz w:val="22"/>
          <w:szCs w:val="22"/>
        </w:rPr>
      </w:pPr>
    </w:p>
    <w:p w14:paraId="549583C2" w14:textId="77777777" w:rsidR="00557800" w:rsidRPr="006512B1" w:rsidRDefault="00557800" w:rsidP="00FF66FC">
      <w:pPr>
        <w:spacing w:line="240" w:lineRule="auto"/>
        <w:rPr>
          <w:sz w:val="22"/>
          <w:szCs w:val="22"/>
        </w:rPr>
      </w:pPr>
    </w:p>
    <w:p w14:paraId="06EC9620" w14:textId="77777777"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7.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DRŽITEĽ ROZHODNUTIA O REGISTRÁCII</w:t>
      </w:r>
    </w:p>
    <w:p w14:paraId="3D480BA3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0FF34708" w14:textId="77777777" w:rsidR="001D29E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Santen</w:t>
      </w:r>
      <w:r w:rsidR="00923567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Oy</w:t>
      </w:r>
    </w:p>
    <w:p w14:paraId="02F8B715" w14:textId="77777777" w:rsidR="00916B6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lastRenderedPageBreak/>
        <w:t>Niittyhaankatu 20</w:t>
      </w:r>
    </w:p>
    <w:p w14:paraId="1A944472" w14:textId="77777777" w:rsidR="00916B6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33720 Tampere</w:t>
      </w:r>
    </w:p>
    <w:p w14:paraId="45129C83" w14:textId="77777777" w:rsidR="00B33C9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Fínsko</w:t>
      </w:r>
    </w:p>
    <w:p w14:paraId="760B28ED" w14:textId="77777777" w:rsidR="00B33C96" w:rsidRPr="006512B1" w:rsidRDefault="00B33C96" w:rsidP="00FF66FC">
      <w:pPr>
        <w:spacing w:line="240" w:lineRule="auto"/>
        <w:rPr>
          <w:sz w:val="22"/>
          <w:szCs w:val="22"/>
        </w:rPr>
      </w:pPr>
    </w:p>
    <w:p w14:paraId="252DF60C" w14:textId="77777777" w:rsidR="00DE1D5E" w:rsidRPr="006512B1" w:rsidRDefault="00DE1D5E" w:rsidP="00FF66FC">
      <w:pPr>
        <w:spacing w:line="240" w:lineRule="auto"/>
        <w:rPr>
          <w:sz w:val="22"/>
          <w:szCs w:val="22"/>
        </w:rPr>
      </w:pPr>
    </w:p>
    <w:p w14:paraId="6F44FE34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8.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REGISTRAČNÉ ČÍSLO</w:t>
      </w:r>
    </w:p>
    <w:p w14:paraId="44D8F48C" w14:textId="77777777" w:rsidR="001D29E6" w:rsidRPr="006512B1" w:rsidRDefault="001D29E6" w:rsidP="00FF66FC">
      <w:pPr>
        <w:spacing w:line="240" w:lineRule="auto"/>
        <w:rPr>
          <w:i/>
          <w:sz w:val="22"/>
          <w:szCs w:val="22"/>
        </w:rPr>
      </w:pPr>
    </w:p>
    <w:p w14:paraId="522A68D0" w14:textId="326ABF68" w:rsidR="003F1335" w:rsidRDefault="00D57E5C" w:rsidP="00FF66FC">
      <w:pPr>
        <w:spacing w:line="240" w:lineRule="auto"/>
        <w:rPr>
          <w:sz w:val="22"/>
          <w:szCs w:val="22"/>
        </w:rPr>
      </w:pPr>
      <w:r w:rsidRPr="00D57E5C">
        <w:rPr>
          <w:sz w:val="22"/>
          <w:szCs w:val="22"/>
        </w:rPr>
        <w:t>64/0269/20-S</w:t>
      </w:r>
    </w:p>
    <w:p w14:paraId="4003D81E" w14:textId="77777777" w:rsidR="00A1623A" w:rsidRPr="006512B1" w:rsidRDefault="00A1623A" w:rsidP="00FF66FC">
      <w:pPr>
        <w:spacing w:line="240" w:lineRule="auto"/>
        <w:rPr>
          <w:sz w:val="22"/>
          <w:szCs w:val="22"/>
        </w:rPr>
      </w:pPr>
    </w:p>
    <w:p w14:paraId="6E86C798" w14:textId="77777777" w:rsidR="00565AE4" w:rsidRPr="006512B1" w:rsidRDefault="00565AE4" w:rsidP="00FF66FC">
      <w:pPr>
        <w:spacing w:line="240" w:lineRule="auto"/>
        <w:rPr>
          <w:sz w:val="22"/>
          <w:szCs w:val="22"/>
        </w:rPr>
      </w:pPr>
    </w:p>
    <w:p w14:paraId="43A4041C" w14:textId="77777777" w:rsidR="001D29E6" w:rsidRPr="006512B1" w:rsidRDefault="001D29E6" w:rsidP="006512B1">
      <w:pPr>
        <w:keepNext/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9.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DÁTUM PRVEJ REGISTRÁCIE/PREDĹŽENIA REGISTRÁCIE</w:t>
      </w:r>
    </w:p>
    <w:p w14:paraId="063E839C" w14:textId="77777777" w:rsidR="001D29E6" w:rsidRPr="006512B1" w:rsidRDefault="001D29E6" w:rsidP="006512B1">
      <w:pPr>
        <w:keepNext/>
        <w:spacing w:line="240" w:lineRule="auto"/>
        <w:rPr>
          <w:i/>
          <w:sz w:val="22"/>
          <w:szCs w:val="22"/>
        </w:rPr>
      </w:pPr>
    </w:p>
    <w:p w14:paraId="274BBE8E" w14:textId="77777777" w:rsidR="006512B1" w:rsidRDefault="00167629" w:rsidP="00A1623A">
      <w:pPr>
        <w:keepNext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Dátum prvej registrácie: </w:t>
      </w:r>
    </w:p>
    <w:p w14:paraId="1FDA20FC" w14:textId="77777777" w:rsidR="00A1623A" w:rsidRPr="006512B1" w:rsidRDefault="00A1623A" w:rsidP="00A1623A">
      <w:pPr>
        <w:keepNext/>
        <w:spacing w:line="240" w:lineRule="auto"/>
        <w:rPr>
          <w:i/>
          <w:noProof/>
          <w:sz w:val="22"/>
          <w:szCs w:val="22"/>
        </w:rPr>
      </w:pPr>
    </w:p>
    <w:p w14:paraId="66E467DB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6371374A" w14:textId="77777777"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10.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DÁTUM REVÍZIE TEXTU</w:t>
      </w:r>
    </w:p>
    <w:p w14:paraId="0962FFF5" w14:textId="77777777"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14:paraId="360206F6" w14:textId="443DBA6B" w:rsidR="00A1623A" w:rsidRPr="00B92171" w:rsidRDefault="00D57E5C" w:rsidP="00FF66FC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B92171">
        <w:rPr>
          <w:sz w:val="22"/>
          <w:szCs w:val="22"/>
        </w:rPr>
        <w:t>12/2020</w:t>
      </w:r>
    </w:p>
    <w:p w14:paraId="06D1E49C" w14:textId="77777777" w:rsidR="00A1623A" w:rsidRPr="00B92171" w:rsidRDefault="00A1623A" w:rsidP="00FF66FC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D3BF4F6" w14:textId="77777777" w:rsidR="00A1623A" w:rsidRPr="00B92171" w:rsidRDefault="00A1623A" w:rsidP="00FF66FC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DE5EE5E" w14:textId="560E50D4" w:rsidR="001D29E6" w:rsidRPr="00D57E5C" w:rsidRDefault="00A1623A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  <w:r w:rsidRPr="00D57E5C">
        <w:rPr>
          <w:iCs/>
          <w:sz w:val="22"/>
          <w:szCs w:val="22"/>
        </w:rPr>
        <w:t xml:space="preserve">Podrobné informácie o tomto lieku sú dostupné na internetovej stránke </w:t>
      </w:r>
      <w:r w:rsidR="00F8521D" w:rsidRPr="00D57E5C">
        <w:rPr>
          <w:iCs/>
          <w:sz w:val="22"/>
          <w:szCs w:val="22"/>
        </w:rPr>
        <w:t xml:space="preserve">Štátneho ústavu pre kontrolu </w:t>
      </w:r>
      <w:r w:rsidR="00F8521D" w:rsidRPr="00B92171">
        <w:rPr>
          <w:iCs/>
          <w:sz w:val="22"/>
          <w:szCs w:val="22"/>
        </w:rPr>
        <w:t>liečiv</w:t>
      </w:r>
      <w:r w:rsidRPr="00B92171">
        <w:rPr>
          <w:iCs/>
          <w:sz w:val="22"/>
          <w:szCs w:val="22"/>
        </w:rPr>
        <w:t xml:space="preserve"> (www.sukl.sk</w:t>
      </w:r>
      <w:r w:rsidR="002E7300" w:rsidRPr="00B92171">
        <w:rPr>
          <w:iCs/>
          <w:sz w:val="22"/>
          <w:szCs w:val="22"/>
        </w:rPr>
        <w:t>).</w:t>
      </w:r>
      <w:bookmarkStart w:id="0" w:name="_GoBack"/>
      <w:bookmarkEnd w:id="0"/>
    </w:p>
    <w:p w14:paraId="28F67460" w14:textId="77777777" w:rsidR="00A1623A" w:rsidRPr="00D57E5C" w:rsidRDefault="00A1623A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</w:p>
    <w:p w14:paraId="11DB53D4" w14:textId="77777777" w:rsidR="00A1623A" w:rsidRDefault="00A1623A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</w:p>
    <w:p w14:paraId="262BB466" w14:textId="77777777" w:rsidR="00A1623A" w:rsidRPr="006512B1" w:rsidRDefault="00A1623A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</w:p>
    <w:p w14:paraId="75B4725C" w14:textId="77777777" w:rsidR="001D29E6" w:rsidRPr="006512B1" w:rsidRDefault="001D29E6" w:rsidP="00FF66FC">
      <w:pPr>
        <w:spacing w:line="240" w:lineRule="auto"/>
        <w:ind w:left="567" w:hanging="567"/>
        <w:rPr>
          <w:noProof/>
          <w:sz w:val="22"/>
          <w:szCs w:val="22"/>
        </w:rPr>
      </w:pPr>
    </w:p>
    <w:sectPr w:rsidR="001D29E6" w:rsidRPr="006512B1" w:rsidSect="006512B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3A381" w14:textId="77777777" w:rsidR="00F6308A" w:rsidRDefault="00F6308A">
      <w:r>
        <w:separator/>
      </w:r>
    </w:p>
  </w:endnote>
  <w:endnote w:type="continuationSeparator" w:id="0">
    <w:p w14:paraId="50B38DC3" w14:textId="77777777" w:rsidR="00F6308A" w:rsidRDefault="00F6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9435" w14:textId="77777777" w:rsidR="00360359" w:rsidRPr="006512B1" w:rsidRDefault="00360359" w:rsidP="00FF66F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512B1">
      <w:rPr>
        <w:rStyle w:val="slostrany"/>
        <w:rFonts w:ascii="Times New Roman" w:hAnsi="Times New Roman"/>
        <w:sz w:val="18"/>
        <w:szCs w:val="18"/>
      </w:rPr>
      <w:fldChar w:fldCharType="begin"/>
    </w:r>
    <w:r w:rsidRPr="006512B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512B1">
      <w:rPr>
        <w:rStyle w:val="slostrany"/>
        <w:rFonts w:ascii="Times New Roman" w:hAnsi="Times New Roman"/>
        <w:sz w:val="18"/>
        <w:szCs w:val="18"/>
      </w:rPr>
      <w:fldChar w:fldCharType="separate"/>
    </w:r>
    <w:r w:rsidR="00B92171">
      <w:rPr>
        <w:rStyle w:val="slostrany"/>
        <w:rFonts w:ascii="Times New Roman" w:hAnsi="Times New Roman"/>
        <w:noProof/>
        <w:sz w:val="18"/>
        <w:szCs w:val="18"/>
      </w:rPr>
      <w:t>12</w:t>
    </w:r>
    <w:r w:rsidRPr="006512B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3206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D180706" w14:textId="77777777" w:rsidR="00360359" w:rsidRPr="00FF66FC" w:rsidRDefault="0036035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F66FC">
          <w:rPr>
            <w:rFonts w:ascii="Times New Roman" w:hAnsi="Times New Roman"/>
            <w:sz w:val="18"/>
            <w:szCs w:val="18"/>
          </w:rPr>
          <w:fldChar w:fldCharType="begin"/>
        </w:r>
        <w:r w:rsidRPr="00FF66F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F66FC">
          <w:rPr>
            <w:rFonts w:ascii="Times New Roman" w:hAnsi="Times New Roman"/>
            <w:sz w:val="18"/>
            <w:szCs w:val="18"/>
          </w:rPr>
          <w:fldChar w:fldCharType="separate"/>
        </w:r>
        <w:r w:rsidR="00B92171">
          <w:rPr>
            <w:rFonts w:ascii="Times New Roman" w:hAnsi="Times New Roman"/>
            <w:noProof/>
            <w:sz w:val="18"/>
            <w:szCs w:val="18"/>
          </w:rPr>
          <w:t>1</w:t>
        </w:r>
        <w:r w:rsidRPr="00FF66F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DD25326" w14:textId="77777777" w:rsidR="00360359" w:rsidRDefault="00360359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6E09" w14:textId="77777777" w:rsidR="00F6308A" w:rsidRDefault="00F6308A">
      <w:r>
        <w:separator/>
      </w:r>
    </w:p>
  </w:footnote>
  <w:footnote w:type="continuationSeparator" w:id="0">
    <w:p w14:paraId="63C69808" w14:textId="77777777" w:rsidR="00F6308A" w:rsidRDefault="00F6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C4C3" w14:textId="77777777" w:rsidR="00F63662" w:rsidRPr="00FF66FC" w:rsidRDefault="00F63662" w:rsidP="00F63662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</w:t>
    </w:r>
    <w:r w:rsidRPr="00FF66FC">
      <w:rPr>
        <w:rFonts w:ascii="Times New Roman" w:hAnsi="Times New Roman"/>
        <w:sz w:val="18"/>
        <w:szCs w:val="18"/>
      </w:rPr>
      <w:t xml:space="preserve"> evid. č.: </w:t>
    </w:r>
    <w:r w:rsidRPr="008D7F30">
      <w:rPr>
        <w:rFonts w:ascii="Times New Roman" w:hAnsi="Times New Roman"/>
        <w:sz w:val="18"/>
        <w:szCs w:val="18"/>
      </w:rPr>
      <w:t>2019/01817-REG</w:t>
    </w:r>
  </w:p>
  <w:p w14:paraId="72A1555D" w14:textId="77777777" w:rsidR="00360359" w:rsidRPr="006512B1" w:rsidRDefault="00360359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0BD03" w14:textId="77777777" w:rsidR="00360359" w:rsidRPr="00FF66FC" w:rsidRDefault="0036035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</w:t>
    </w:r>
    <w:r w:rsidRPr="00FF66FC">
      <w:rPr>
        <w:rFonts w:ascii="Times New Roman" w:hAnsi="Times New Roman"/>
        <w:sz w:val="18"/>
        <w:szCs w:val="18"/>
      </w:rPr>
      <w:t xml:space="preserve"> evid. č.: </w:t>
    </w:r>
    <w:r w:rsidRPr="008D7F30">
      <w:rPr>
        <w:rFonts w:ascii="Times New Roman" w:hAnsi="Times New Roman"/>
        <w:sz w:val="18"/>
        <w:szCs w:val="18"/>
      </w:rPr>
      <w:t>2019/01817-REG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 w15:restartNumberingAfterBreak="0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04DB"/>
    <w:rsid w:val="00001B3A"/>
    <w:rsid w:val="000029D7"/>
    <w:rsid w:val="00003710"/>
    <w:rsid w:val="000049BF"/>
    <w:rsid w:val="000060A1"/>
    <w:rsid w:val="00006659"/>
    <w:rsid w:val="00006984"/>
    <w:rsid w:val="00010C6F"/>
    <w:rsid w:val="000131C2"/>
    <w:rsid w:val="000144B3"/>
    <w:rsid w:val="000171ED"/>
    <w:rsid w:val="00021E84"/>
    <w:rsid w:val="00023B32"/>
    <w:rsid w:val="000241A2"/>
    <w:rsid w:val="000269CE"/>
    <w:rsid w:val="00026A9E"/>
    <w:rsid w:val="00027FCB"/>
    <w:rsid w:val="000362DA"/>
    <w:rsid w:val="0004016E"/>
    <w:rsid w:val="000425D4"/>
    <w:rsid w:val="00050384"/>
    <w:rsid w:val="000506AF"/>
    <w:rsid w:val="00052A90"/>
    <w:rsid w:val="000567F7"/>
    <w:rsid w:val="00062451"/>
    <w:rsid w:val="000625C8"/>
    <w:rsid w:val="00064C2D"/>
    <w:rsid w:val="00067D17"/>
    <w:rsid w:val="00071F22"/>
    <w:rsid w:val="000726CE"/>
    <w:rsid w:val="000749D7"/>
    <w:rsid w:val="000758AB"/>
    <w:rsid w:val="00077E1D"/>
    <w:rsid w:val="00081C0D"/>
    <w:rsid w:val="00087F0E"/>
    <w:rsid w:val="00090CAD"/>
    <w:rsid w:val="000922A0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10A62"/>
    <w:rsid w:val="00112060"/>
    <w:rsid w:val="00112972"/>
    <w:rsid w:val="0011314D"/>
    <w:rsid w:val="00120CFA"/>
    <w:rsid w:val="0012180F"/>
    <w:rsid w:val="00124792"/>
    <w:rsid w:val="00126D77"/>
    <w:rsid w:val="0013189A"/>
    <w:rsid w:val="00135F68"/>
    <w:rsid w:val="001405EE"/>
    <w:rsid w:val="001427B4"/>
    <w:rsid w:val="001479A3"/>
    <w:rsid w:val="00150466"/>
    <w:rsid w:val="00151FEE"/>
    <w:rsid w:val="00152C87"/>
    <w:rsid w:val="00152CC5"/>
    <w:rsid w:val="001573F1"/>
    <w:rsid w:val="00162E20"/>
    <w:rsid w:val="00164E38"/>
    <w:rsid w:val="00166DE5"/>
    <w:rsid w:val="00167629"/>
    <w:rsid w:val="00172919"/>
    <w:rsid w:val="00176D24"/>
    <w:rsid w:val="00177A74"/>
    <w:rsid w:val="00181E87"/>
    <w:rsid w:val="0018381B"/>
    <w:rsid w:val="00185256"/>
    <w:rsid w:val="00187EAF"/>
    <w:rsid w:val="00193CB0"/>
    <w:rsid w:val="001A2E6A"/>
    <w:rsid w:val="001A6ADA"/>
    <w:rsid w:val="001C414E"/>
    <w:rsid w:val="001D29E6"/>
    <w:rsid w:val="001D5D80"/>
    <w:rsid w:val="001D6921"/>
    <w:rsid w:val="001E420A"/>
    <w:rsid w:val="001E6DD3"/>
    <w:rsid w:val="001E78E9"/>
    <w:rsid w:val="001F0FBB"/>
    <w:rsid w:val="001F1A62"/>
    <w:rsid w:val="001F35E1"/>
    <w:rsid w:val="001F590E"/>
    <w:rsid w:val="0020008D"/>
    <w:rsid w:val="002020C4"/>
    <w:rsid w:val="00202754"/>
    <w:rsid w:val="0020692B"/>
    <w:rsid w:val="00211F4D"/>
    <w:rsid w:val="00212755"/>
    <w:rsid w:val="00215450"/>
    <w:rsid w:val="0021665F"/>
    <w:rsid w:val="00222DC0"/>
    <w:rsid w:val="00223A68"/>
    <w:rsid w:val="002241D5"/>
    <w:rsid w:val="00224BDD"/>
    <w:rsid w:val="00230031"/>
    <w:rsid w:val="00232029"/>
    <w:rsid w:val="00237650"/>
    <w:rsid w:val="002427D8"/>
    <w:rsid w:val="00242DD6"/>
    <w:rsid w:val="00246C7F"/>
    <w:rsid w:val="00255160"/>
    <w:rsid w:val="002560C5"/>
    <w:rsid w:val="002665DE"/>
    <w:rsid w:val="002679AA"/>
    <w:rsid w:val="002757FC"/>
    <w:rsid w:val="002776DA"/>
    <w:rsid w:val="002820EF"/>
    <w:rsid w:val="002826DD"/>
    <w:rsid w:val="0029721A"/>
    <w:rsid w:val="002A0469"/>
    <w:rsid w:val="002A3CCF"/>
    <w:rsid w:val="002A3FED"/>
    <w:rsid w:val="002A5BC5"/>
    <w:rsid w:val="002A65FF"/>
    <w:rsid w:val="002A6817"/>
    <w:rsid w:val="002A7D67"/>
    <w:rsid w:val="002B0757"/>
    <w:rsid w:val="002B3EC1"/>
    <w:rsid w:val="002B57B9"/>
    <w:rsid w:val="002C1399"/>
    <w:rsid w:val="002C419B"/>
    <w:rsid w:val="002C4AFA"/>
    <w:rsid w:val="002D3E19"/>
    <w:rsid w:val="002D7DB1"/>
    <w:rsid w:val="002E0FB4"/>
    <w:rsid w:val="002E23E2"/>
    <w:rsid w:val="002E3528"/>
    <w:rsid w:val="002E7109"/>
    <w:rsid w:val="002E7300"/>
    <w:rsid w:val="002E791C"/>
    <w:rsid w:val="002F3C14"/>
    <w:rsid w:val="00304C13"/>
    <w:rsid w:val="00307125"/>
    <w:rsid w:val="0031220F"/>
    <w:rsid w:val="0031465E"/>
    <w:rsid w:val="003162BB"/>
    <w:rsid w:val="00316E89"/>
    <w:rsid w:val="003212A0"/>
    <w:rsid w:val="00321BE4"/>
    <w:rsid w:val="0032434D"/>
    <w:rsid w:val="00324C30"/>
    <w:rsid w:val="00325060"/>
    <w:rsid w:val="00325451"/>
    <w:rsid w:val="00326EAD"/>
    <w:rsid w:val="003277C2"/>
    <w:rsid w:val="00336422"/>
    <w:rsid w:val="0034005B"/>
    <w:rsid w:val="00341D25"/>
    <w:rsid w:val="00353481"/>
    <w:rsid w:val="00356CF9"/>
    <w:rsid w:val="00360359"/>
    <w:rsid w:val="00363BF5"/>
    <w:rsid w:val="0036657F"/>
    <w:rsid w:val="00377304"/>
    <w:rsid w:val="00377971"/>
    <w:rsid w:val="00380182"/>
    <w:rsid w:val="00380903"/>
    <w:rsid w:val="00382EDF"/>
    <w:rsid w:val="00383C0F"/>
    <w:rsid w:val="00387745"/>
    <w:rsid w:val="00391162"/>
    <w:rsid w:val="003919B0"/>
    <w:rsid w:val="0039225D"/>
    <w:rsid w:val="00393C55"/>
    <w:rsid w:val="00393FDA"/>
    <w:rsid w:val="003958D7"/>
    <w:rsid w:val="003A438E"/>
    <w:rsid w:val="003B2E2C"/>
    <w:rsid w:val="003B3D77"/>
    <w:rsid w:val="003B6DA1"/>
    <w:rsid w:val="003C0DFB"/>
    <w:rsid w:val="003C0E52"/>
    <w:rsid w:val="003C6B0C"/>
    <w:rsid w:val="003D04F5"/>
    <w:rsid w:val="003D20F1"/>
    <w:rsid w:val="003D33AC"/>
    <w:rsid w:val="003D4B39"/>
    <w:rsid w:val="003D5F42"/>
    <w:rsid w:val="003E355A"/>
    <w:rsid w:val="003E4C22"/>
    <w:rsid w:val="003E7322"/>
    <w:rsid w:val="003F1335"/>
    <w:rsid w:val="003F59FB"/>
    <w:rsid w:val="004014DE"/>
    <w:rsid w:val="00403DD5"/>
    <w:rsid w:val="00403EE2"/>
    <w:rsid w:val="0041648F"/>
    <w:rsid w:val="00422850"/>
    <w:rsid w:val="004270AE"/>
    <w:rsid w:val="004271B8"/>
    <w:rsid w:val="0042762D"/>
    <w:rsid w:val="00436266"/>
    <w:rsid w:val="00443A5C"/>
    <w:rsid w:val="00446F26"/>
    <w:rsid w:val="00453858"/>
    <w:rsid w:val="00454009"/>
    <w:rsid w:val="00456606"/>
    <w:rsid w:val="00465BB4"/>
    <w:rsid w:val="00466285"/>
    <w:rsid w:val="00466E81"/>
    <w:rsid w:val="00482A67"/>
    <w:rsid w:val="00497B80"/>
    <w:rsid w:val="004A0113"/>
    <w:rsid w:val="004A0988"/>
    <w:rsid w:val="004A0D26"/>
    <w:rsid w:val="004A12AA"/>
    <w:rsid w:val="004A1FC8"/>
    <w:rsid w:val="004A295C"/>
    <w:rsid w:val="004A4F67"/>
    <w:rsid w:val="004A5069"/>
    <w:rsid w:val="004B1DE2"/>
    <w:rsid w:val="004B3A87"/>
    <w:rsid w:val="004C0C51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06BC5"/>
    <w:rsid w:val="00511C26"/>
    <w:rsid w:val="00517558"/>
    <w:rsid w:val="0052133C"/>
    <w:rsid w:val="00521F11"/>
    <w:rsid w:val="005229D8"/>
    <w:rsid w:val="00524CEB"/>
    <w:rsid w:val="00534FC8"/>
    <w:rsid w:val="00536A32"/>
    <w:rsid w:val="00537BCB"/>
    <w:rsid w:val="00540DFF"/>
    <w:rsid w:val="00546686"/>
    <w:rsid w:val="00546A85"/>
    <w:rsid w:val="00547410"/>
    <w:rsid w:val="00550E97"/>
    <w:rsid w:val="00554F8E"/>
    <w:rsid w:val="00557692"/>
    <w:rsid w:val="00557702"/>
    <w:rsid w:val="00557800"/>
    <w:rsid w:val="005644FF"/>
    <w:rsid w:val="00565A15"/>
    <w:rsid w:val="00565AE4"/>
    <w:rsid w:val="0056769B"/>
    <w:rsid w:val="00567864"/>
    <w:rsid w:val="005712DF"/>
    <w:rsid w:val="00576B0F"/>
    <w:rsid w:val="005772B4"/>
    <w:rsid w:val="005774AD"/>
    <w:rsid w:val="00577E16"/>
    <w:rsid w:val="00582939"/>
    <w:rsid w:val="00583B4F"/>
    <w:rsid w:val="00585B1E"/>
    <w:rsid w:val="00595623"/>
    <w:rsid w:val="005A099B"/>
    <w:rsid w:val="005A1D46"/>
    <w:rsid w:val="005B0F79"/>
    <w:rsid w:val="005B6873"/>
    <w:rsid w:val="005B7B9C"/>
    <w:rsid w:val="005C1326"/>
    <w:rsid w:val="005C298D"/>
    <w:rsid w:val="005C44F3"/>
    <w:rsid w:val="005C4E36"/>
    <w:rsid w:val="005C6EC6"/>
    <w:rsid w:val="005C6F98"/>
    <w:rsid w:val="005D3BDE"/>
    <w:rsid w:val="005E0E0A"/>
    <w:rsid w:val="005E2076"/>
    <w:rsid w:val="005E2DC8"/>
    <w:rsid w:val="005E5852"/>
    <w:rsid w:val="005E653C"/>
    <w:rsid w:val="005E7C1D"/>
    <w:rsid w:val="005F2AF1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027A"/>
    <w:rsid w:val="00630644"/>
    <w:rsid w:val="00631810"/>
    <w:rsid w:val="0063261D"/>
    <w:rsid w:val="00633BE3"/>
    <w:rsid w:val="00637C62"/>
    <w:rsid w:val="0064172D"/>
    <w:rsid w:val="00642E0C"/>
    <w:rsid w:val="00643DF1"/>
    <w:rsid w:val="006512B1"/>
    <w:rsid w:val="006548AE"/>
    <w:rsid w:val="00656725"/>
    <w:rsid w:val="00661054"/>
    <w:rsid w:val="00661CD2"/>
    <w:rsid w:val="00663ADB"/>
    <w:rsid w:val="00663F92"/>
    <w:rsid w:val="0067334A"/>
    <w:rsid w:val="00682379"/>
    <w:rsid w:val="00682998"/>
    <w:rsid w:val="006834E5"/>
    <w:rsid w:val="00684569"/>
    <w:rsid w:val="0069004C"/>
    <w:rsid w:val="00690A0E"/>
    <w:rsid w:val="00692462"/>
    <w:rsid w:val="00696990"/>
    <w:rsid w:val="006974CC"/>
    <w:rsid w:val="006A6A9F"/>
    <w:rsid w:val="006B5924"/>
    <w:rsid w:val="006C42B1"/>
    <w:rsid w:val="006C526E"/>
    <w:rsid w:val="006C5957"/>
    <w:rsid w:val="006D0C51"/>
    <w:rsid w:val="006D2313"/>
    <w:rsid w:val="006D6E77"/>
    <w:rsid w:val="006D739D"/>
    <w:rsid w:val="006D785C"/>
    <w:rsid w:val="006E2629"/>
    <w:rsid w:val="006E58A4"/>
    <w:rsid w:val="006E58C9"/>
    <w:rsid w:val="006F028F"/>
    <w:rsid w:val="006F1E9D"/>
    <w:rsid w:val="006F53CB"/>
    <w:rsid w:val="006F74A0"/>
    <w:rsid w:val="0070192C"/>
    <w:rsid w:val="00704106"/>
    <w:rsid w:val="00705809"/>
    <w:rsid w:val="0071125C"/>
    <w:rsid w:val="00712627"/>
    <w:rsid w:val="0071618D"/>
    <w:rsid w:val="00717E7C"/>
    <w:rsid w:val="007219DF"/>
    <w:rsid w:val="00723941"/>
    <w:rsid w:val="00724E20"/>
    <w:rsid w:val="0072694C"/>
    <w:rsid w:val="007326D7"/>
    <w:rsid w:val="00736241"/>
    <w:rsid w:val="00740B8A"/>
    <w:rsid w:val="007441C2"/>
    <w:rsid w:val="00744F26"/>
    <w:rsid w:val="00750274"/>
    <w:rsid w:val="007514C2"/>
    <w:rsid w:val="00753E5F"/>
    <w:rsid w:val="00753E69"/>
    <w:rsid w:val="0075626D"/>
    <w:rsid w:val="00760C37"/>
    <w:rsid w:val="0076594D"/>
    <w:rsid w:val="00766679"/>
    <w:rsid w:val="00766A60"/>
    <w:rsid w:val="00767D32"/>
    <w:rsid w:val="00770C2A"/>
    <w:rsid w:val="0077276B"/>
    <w:rsid w:val="00777769"/>
    <w:rsid w:val="007779C7"/>
    <w:rsid w:val="00785C07"/>
    <w:rsid w:val="00785F4D"/>
    <w:rsid w:val="00787791"/>
    <w:rsid w:val="00791B05"/>
    <w:rsid w:val="00792195"/>
    <w:rsid w:val="00792A73"/>
    <w:rsid w:val="00793138"/>
    <w:rsid w:val="007A167C"/>
    <w:rsid w:val="007A3235"/>
    <w:rsid w:val="007A7496"/>
    <w:rsid w:val="007B192E"/>
    <w:rsid w:val="007B3B5D"/>
    <w:rsid w:val="007C001A"/>
    <w:rsid w:val="007C3ADE"/>
    <w:rsid w:val="007C4DCC"/>
    <w:rsid w:val="007C70A7"/>
    <w:rsid w:val="007D55F0"/>
    <w:rsid w:val="007D7562"/>
    <w:rsid w:val="007D7921"/>
    <w:rsid w:val="007E07D5"/>
    <w:rsid w:val="007F5E01"/>
    <w:rsid w:val="00800B05"/>
    <w:rsid w:val="00801AA7"/>
    <w:rsid w:val="00801E2E"/>
    <w:rsid w:val="00801FE0"/>
    <w:rsid w:val="00803BF2"/>
    <w:rsid w:val="008133D7"/>
    <w:rsid w:val="00821A5F"/>
    <w:rsid w:val="00824C08"/>
    <w:rsid w:val="00825FFE"/>
    <w:rsid w:val="00826C8D"/>
    <w:rsid w:val="00832650"/>
    <w:rsid w:val="008335F7"/>
    <w:rsid w:val="0083526E"/>
    <w:rsid w:val="008362FC"/>
    <w:rsid w:val="00836A3E"/>
    <w:rsid w:val="008407D8"/>
    <w:rsid w:val="00844FE2"/>
    <w:rsid w:val="00853F26"/>
    <w:rsid w:val="008721CC"/>
    <w:rsid w:val="00874574"/>
    <w:rsid w:val="00875BF0"/>
    <w:rsid w:val="00885237"/>
    <w:rsid w:val="008854FE"/>
    <w:rsid w:val="00886F52"/>
    <w:rsid w:val="00887CC8"/>
    <w:rsid w:val="0089472D"/>
    <w:rsid w:val="008A5CA3"/>
    <w:rsid w:val="008B0018"/>
    <w:rsid w:val="008B317F"/>
    <w:rsid w:val="008B3524"/>
    <w:rsid w:val="008B47B2"/>
    <w:rsid w:val="008B52B8"/>
    <w:rsid w:val="008B6F72"/>
    <w:rsid w:val="008B760A"/>
    <w:rsid w:val="008C0BA6"/>
    <w:rsid w:val="008C1CD8"/>
    <w:rsid w:val="008C24B6"/>
    <w:rsid w:val="008C3A73"/>
    <w:rsid w:val="008D3EC2"/>
    <w:rsid w:val="008D5E0A"/>
    <w:rsid w:val="008D7F30"/>
    <w:rsid w:val="008E1C2A"/>
    <w:rsid w:val="008E3AAE"/>
    <w:rsid w:val="008F047A"/>
    <w:rsid w:val="008F61AB"/>
    <w:rsid w:val="00900E8D"/>
    <w:rsid w:val="00904D78"/>
    <w:rsid w:val="0091029B"/>
    <w:rsid w:val="00916B66"/>
    <w:rsid w:val="00923115"/>
    <w:rsid w:val="0092322D"/>
    <w:rsid w:val="00923567"/>
    <w:rsid w:val="009263E8"/>
    <w:rsid w:val="00930952"/>
    <w:rsid w:val="009324A8"/>
    <w:rsid w:val="00936905"/>
    <w:rsid w:val="009409A9"/>
    <w:rsid w:val="00941A49"/>
    <w:rsid w:val="0094411E"/>
    <w:rsid w:val="00945713"/>
    <w:rsid w:val="009539EF"/>
    <w:rsid w:val="009560E0"/>
    <w:rsid w:val="00962267"/>
    <w:rsid w:val="009623D3"/>
    <w:rsid w:val="00963350"/>
    <w:rsid w:val="00963E1D"/>
    <w:rsid w:val="00967B2C"/>
    <w:rsid w:val="00974A3B"/>
    <w:rsid w:val="00982DC9"/>
    <w:rsid w:val="00984DE0"/>
    <w:rsid w:val="0098770C"/>
    <w:rsid w:val="00990C59"/>
    <w:rsid w:val="00993024"/>
    <w:rsid w:val="0099472E"/>
    <w:rsid w:val="009A0D5E"/>
    <w:rsid w:val="009B3EDA"/>
    <w:rsid w:val="009C1AAE"/>
    <w:rsid w:val="009C2BAC"/>
    <w:rsid w:val="009C2F86"/>
    <w:rsid w:val="009C620A"/>
    <w:rsid w:val="009D0153"/>
    <w:rsid w:val="009D2805"/>
    <w:rsid w:val="009D449E"/>
    <w:rsid w:val="009D4FF8"/>
    <w:rsid w:val="009D6252"/>
    <w:rsid w:val="009E56AF"/>
    <w:rsid w:val="009F4E04"/>
    <w:rsid w:val="00A045B4"/>
    <w:rsid w:val="00A122E6"/>
    <w:rsid w:val="00A133FF"/>
    <w:rsid w:val="00A1342D"/>
    <w:rsid w:val="00A151FC"/>
    <w:rsid w:val="00A1623A"/>
    <w:rsid w:val="00A20993"/>
    <w:rsid w:val="00A21C74"/>
    <w:rsid w:val="00A22691"/>
    <w:rsid w:val="00A30562"/>
    <w:rsid w:val="00A31974"/>
    <w:rsid w:val="00A3228A"/>
    <w:rsid w:val="00A35D09"/>
    <w:rsid w:val="00A41DC9"/>
    <w:rsid w:val="00A42DA8"/>
    <w:rsid w:val="00A456F6"/>
    <w:rsid w:val="00A47496"/>
    <w:rsid w:val="00A50657"/>
    <w:rsid w:val="00A53C94"/>
    <w:rsid w:val="00A57054"/>
    <w:rsid w:val="00A60B70"/>
    <w:rsid w:val="00A62132"/>
    <w:rsid w:val="00A6344B"/>
    <w:rsid w:val="00A666F6"/>
    <w:rsid w:val="00A67568"/>
    <w:rsid w:val="00A80002"/>
    <w:rsid w:val="00A8027E"/>
    <w:rsid w:val="00A8250E"/>
    <w:rsid w:val="00A85F8B"/>
    <w:rsid w:val="00A9508B"/>
    <w:rsid w:val="00AD089C"/>
    <w:rsid w:val="00AD4B04"/>
    <w:rsid w:val="00AE3238"/>
    <w:rsid w:val="00AF0A54"/>
    <w:rsid w:val="00AF512C"/>
    <w:rsid w:val="00AF5529"/>
    <w:rsid w:val="00AF57CD"/>
    <w:rsid w:val="00AF58A0"/>
    <w:rsid w:val="00B01D50"/>
    <w:rsid w:val="00B02182"/>
    <w:rsid w:val="00B02B79"/>
    <w:rsid w:val="00B05C11"/>
    <w:rsid w:val="00B127FD"/>
    <w:rsid w:val="00B131A5"/>
    <w:rsid w:val="00B26BE6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57F46"/>
    <w:rsid w:val="00B64422"/>
    <w:rsid w:val="00B6558C"/>
    <w:rsid w:val="00B6777F"/>
    <w:rsid w:val="00B72393"/>
    <w:rsid w:val="00B73422"/>
    <w:rsid w:val="00B81972"/>
    <w:rsid w:val="00B851A6"/>
    <w:rsid w:val="00B876D4"/>
    <w:rsid w:val="00B90391"/>
    <w:rsid w:val="00B92171"/>
    <w:rsid w:val="00B92C32"/>
    <w:rsid w:val="00B93404"/>
    <w:rsid w:val="00B93FA9"/>
    <w:rsid w:val="00B9437F"/>
    <w:rsid w:val="00B97731"/>
    <w:rsid w:val="00BA4FF3"/>
    <w:rsid w:val="00BB1DE4"/>
    <w:rsid w:val="00BB31F9"/>
    <w:rsid w:val="00BB5060"/>
    <w:rsid w:val="00BB5917"/>
    <w:rsid w:val="00BC7B7D"/>
    <w:rsid w:val="00BD022D"/>
    <w:rsid w:val="00BD10F3"/>
    <w:rsid w:val="00BD50AF"/>
    <w:rsid w:val="00BD5991"/>
    <w:rsid w:val="00BE2AC3"/>
    <w:rsid w:val="00BE6E83"/>
    <w:rsid w:val="00BF27E0"/>
    <w:rsid w:val="00C04E7F"/>
    <w:rsid w:val="00C16328"/>
    <w:rsid w:val="00C17009"/>
    <w:rsid w:val="00C22860"/>
    <w:rsid w:val="00C26D5A"/>
    <w:rsid w:val="00C27206"/>
    <w:rsid w:val="00C30827"/>
    <w:rsid w:val="00C378A2"/>
    <w:rsid w:val="00C4130D"/>
    <w:rsid w:val="00C479B8"/>
    <w:rsid w:val="00C516FE"/>
    <w:rsid w:val="00C53ACC"/>
    <w:rsid w:val="00C54518"/>
    <w:rsid w:val="00C54B75"/>
    <w:rsid w:val="00C56AB5"/>
    <w:rsid w:val="00C716E4"/>
    <w:rsid w:val="00C772DA"/>
    <w:rsid w:val="00C77F2B"/>
    <w:rsid w:val="00C815C0"/>
    <w:rsid w:val="00C82429"/>
    <w:rsid w:val="00C8655A"/>
    <w:rsid w:val="00C90444"/>
    <w:rsid w:val="00C910C4"/>
    <w:rsid w:val="00C95576"/>
    <w:rsid w:val="00C97296"/>
    <w:rsid w:val="00C97500"/>
    <w:rsid w:val="00CA3295"/>
    <w:rsid w:val="00CA5570"/>
    <w:rsid w:val="00CA7F07"/>
    <w:rsid w:val="00CB09EE"/>
    <w:rsid w:val="00CB20C0"/>
    <w:rsid w:val="00CB43F1"/>
    <w:rsid w:val="00CB4810"/>
    <w:rsid w:val="00CB71C8"/>
    <w:rsid w:val="00CC4BC2"/>
    <w:rsid w:val="00CC61D0"/>
    <w:rsid w:val="00CD57A0"/>
    <w:rsid w:val="00CD6CB9"/>
    <w:rsid w:val="00CD758F"/>
    <w:rsid w:val="00CE1580"/>
    <w:rsid w:val="00CE2C1D"/>
    <w:rsid w:val="00CE5867"/>
    <w:rsid w:val="00CF1725"/>
    <w:rsid w:val="00CF6C7A"/>
    <w:rsid w:val="00CF7106"/>
    <w:rsid w:val="00D067D4"/>
    <w:rsid w:val="00D10CF2"/>
    <w:rsid w:val="00D14982"/>
    <w:rsid w:val="00D1548D"/>
    <w:rsid w:val="00D17E78"/>
    <w:rsid w:val="00D256B8"/>
    <w:rsid w:val="00D36E3A"/>
    <w:rsid w:val="00D37B85"/>
    <w:rsid w:val="00D43772"/>
    <w:rsid w:val="00D43AD9"/>
    <w:rsid w:val="00D452CE"/>
    <w:rsid w:val="00D46E42"/>
    <w:rsid w:val="00D51FC0"/>
    <w:rsid w:val="00D545E0"/>
    <w:rsid w:val="00D55441"/>
    <w:rsid w:val="00D55657"/>
    <w:rsid w:val="00D57E5C"/>
    <w:rsid w:val="00D62E1D"/>
    <w:rsid w:val="00D703F0"/>
    <w:rsid w:val="00D71EFA"/>
    <w:rsid w:val="00D73E53"/>
    <w:rsid w:val="00D775D7"/>
    <w:rsid w:val="00D81327"/>
    <w:rsid w:val="00D832E5"/>
    <w:rsid w:val="00D842DE"/>
    <w:rsid w:val="00D904FF"/>
    <w:rsid w:val="00D9224B"/>
    <w:rsid w:val="00D938CE"/>
    <w:rsid w:val="00D95591"/>
    <w:rsid w:val="00D979A8"/>
    <w:rsid w:val="00DA2AFA"/>
    <w:rsid w:val="00DA4BFF"/>
    <w:rsid w:val="00DA52BE"/>
    <w:rsid w:val="00DB459A"/>
    <w:rsid w:val="00DC06B4"/>
    <w:rsid w:val="00DC6935"/>
    <w:rsid w:val="00DD2711"/>
    <w:rsid w:val="00DD721D"/>
    <w:rsid w:val="00DE1D5E"/>
    <w:rsid w:val="00DE4790"/>
    <w:rsid w:val="00DF11FD"/>
    <w:rsid w:val="00DF4804"/>
    <w:rsid w:val="00DF50AD"/>
    <w:rsid w:val="00DF5D1D"/>
    <w:rsid w:val="00E03555"/>
    <w:rsid w:val="00E03BF0"/>
    <w:rsid w:val="00E07E25"/>
    <w:rsid w:val="00E11B54"/>
    <w:rsid w:val="00E132AC"/>
    <w:rsid w:val="00E13DF1"/>
    <w:rsid w:val="00E1438B"/>
    <w:rsid w:val="00E144F2"/>
    <w:rsid w:val="00E16E15"/>
    <w:rsid w:val="00E23062"/>
    <w:rsid w:val="00E26A29"/>
    <w:rsid w:val="00E26E06"/>
    <w:rsid w:val="00E31A76"/>
    <w:rsid w:val="00E3288C"/>
    <w:rsid w:val="00E33935"/>
    <w:rsid w:val="00E422AA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4ED8"/>
    <w:rsid w:val="00E65BE9"/>
    <w:rsid w:val="00E66035"/>
    <w:rsid w:val="00E66B78"/>
    <w:rsid w:val="00E671CC"/>
    <w:rsid w:val="00E7735C"/>
    <w:rsid w:val="00E77BA2"/>
    <w:rsid w:val="00E809C7"/>
    <w:rsid w:val="00E81B28"/>
    <w:rsid w:val="00E82CFF"/>
    <w:rsid w:val="00E86F9C"/>
    <w:rsid w:val="00E9048E"/>
    <w:rsid w:val="00E91EC8"/>
    <w:rsid w:val="00E95CBD"/>
    <w:rsid w:val="00EA0E0B"/>
    <w:rsid w:val="00EA0EDF"/>
    <w:rsid w:val="00EA19E6"/>
    <w:rsid w:val="00EA2F3B"/>
    <w:rsid w:val="00EA589D"/>
    <w:rsid w:val="00EB4CFE"/>
    <w:rsid w:val="00EB7FEF"/>
    <w:rsid w:val="00EC1067"/>
    <w:rsid w:val="00EC2CEC"/>
    <w:rsid w:val="00ED52B4"/>
    <w:rsid w:val="00EE023C"/>
    <w:rsid w:val="00EE33C0"/>
    <w:rsid w:val="00EE62F4"/>
    <w:rsid w:val="00EF285C"/>
    <w:rsid w:val="00EF60DC"/>
    <w:rsid w:val="00F029B6"/>
    <w:rsid w:val="00F0641A"/>
    <w:rsid w:val="00F07F68"/>
    <w:rsid w:val="00F17EC9"/>
    <w:rsid w:val="00F228D1"/>
    <w:rsid w:val="00F22E87"/>
    <w:rsid w:val="00F25867"/>
    <w:rsid w:val="00F26F63"/>
    <w:rsid w:val="00F336D1"/>
    <w:rsid w:val="00F33FD9"/>
    <w:rsid w:val="00F35C53"/>
    <w:rsid w:val="00F37342"/>
    <w:rsid w:val="00F37ABB"/>
    <w:rsid w:val="00F37ABE"/>
    <w:rsid w:val="00F408D6"/>
    <w:rsid w:val="00F42CEA"/>
    <w:rsid w:val="00F50860"/>
    <w:rsid w:val="00F55B9D"/>
    <w:rsid w:val="00F6036D"/>
    <w:rsid w:val="00F6308A"/>
    <w:rsid w:val="00F63641"/>
    <w:rsid w:val="00F63662"/>
    <w:rsid w:val="00F6518F"/>
    <w:rsid w:val="00F6534C"/>
    <w:rsid w:val="00F73B92"/>
    <w:rsid w:val="00F770E9"/>
    <w:rsid w:val="00F77271"/>
    <w:rsid w:val="00F838B4"/>
    <w:rsid w:val="00F8521D"/>
    <w:rsid w:val="00F90C1C"/>
    <w:rsid w:val="00F9295A"/>
    <w:rsid w:val="00F94085"/>
    <w:rsid w:val="00F944CE"/>
    <w:rsid w:val="00F958C7"/>
    <w:rsid w:val="00F96701"/>
    <w:rsid w:val="00F96B2D"/>
    <w:rsid w:val="00F973C8"/>
    <w:rsid w:val="00FA7C49"/>
    <w:rsid w:val="00FB0D70"/>
    <w:rsid w:val="00FB467C"/>
    <w:rsid w:val="00FB58C2"/>
    <w:rsid w:val="00FC267C"/>
    <w:rsid w:val="00FC5033"/>
    <w:rsid w:val="00FC6A38"/>
    <w:rsid w:val="00FC774E"/>
    <w:rsid w:val="00FC7C52"/>
    <w:rsid w:val="00FD0DD1"/>
    <w:rsid w:val="00FD212E"/>
    <w:rsid w:val="00FD3940"/>
    <w:rsid w:val="00FE104C"/>
    <w:rsid w:val="00FE51D1"/>
    <w:rsid w:val="00FF1CA9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24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2691"/>
    <w:pPr>
      <w:tabs>
        <w:tab w:val="left" w:pos="567"/>
      </w:tabs>
      <w:spacing w:line="260" w:lineRule="exact"/>
    </w:p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0922A0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4A0113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http://purl.org/dc/elements/1.1/"/>
    <ds:schemaRef ds:uri="http://schemas.microsoft.com/office/2006/metadata/properties"/>
    <ds:schemaRef ds:uri="http://purl.org/dc/terms/"/>
    <ds:schemaRef ds:uri="fe26d2d0-f57b-4938-88b1-224e3c3d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a8a4757-ce7b-4d21-9dcf-e25e09ba591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83CD300-5773-4CC1-ABFD-E1AB95B0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4051</Words>
  <Characters>26447</Characters>
  <Application>Microsoft Office Word</Application>
  <DocSecurity>0</DocSecurity>
  <Lines>220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2020-12-01T13:14:00Z</dcterms:created>
  <dcterms:modified xsi:type="dcterms:W3CDTF">2020-12-01T13:15:00Z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