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B0165" w14:textId="77777777" w:rsidR="00DA07EC" w:rsidRPr="009D34C5" w:rsidRDefault="00DA07EC" w:rsidP="00DA07EC">
      <w:pPr>
        <w:tabs>
          <w:tab w:val="left" w:pos="567"/>
        </w:tabs>
        <w:spacing w:before="60"/>
        <w:ind w:right="12"/>
        <w:jc w:val="center"/>
        <w:rPr>
          <w:rFonts w:ascii="Times New Roman" w:eastAsia="Times New Roman" w:hAnsi="Times New Roman" w:cs="Times New Roman"/>
          <w:b/>
          <w:bCs/>
        </w:rPr>
      </w:pPr>
      <w:r w:rsidRPr="009D34C5">
        <w:rPr>
          <w:rFonts w:ascii="Times New Roman" w:eastAsia="Times New Roman" w:hAnsi="Times New Roman" w:cs="Times New Roman"/>
          <w:b/>
          <w:bCs/>
        </w:rPr>
        <w:t>SÚHRN CHARAKTERISTICKÝCH VLASTNOSTÍ LIEKU</w:t>
      </w:r>
    </w:p>
    <w:p w14:paraId="4B422113" w14:textId="77777777" w:rsidR="00227451" w:rsidRPr="009D34C5" w:rsidRDefault="00227451">
      <w:pPr>
        <w:spacing w:before="6"/>
        <w:rPr>
          <w:rFonts w:ascii="Times New Roman" w:eastAsia="Times New Roman" w:hAnsi="Times New Roman" w:cs="Times New Roman"/>
        </w:rPr>
      </w:pPr>
    </w:p>
    <w:p w14:paraId="49A9FCCA" w14:textId="0E09D676" w:rsidR="00DA07EC" w:rsidRPr="009D34C5" w:rsidRDefault="00DA07EC" w:rsidP="00E951F2">
      <w:pPr>
        <w:pStyle w:val="Zkladntext"/>
        <w:numPr>
          <w:ilvl w:val="0"/>
          <w:numId w:val="4"/>
        </w:numPr>
        <w:tabs>
          <w:tab w:val="left" w:pos="567"/>
        </w:tabs>
        <w:spacing w:line="248" w:lineRule="auto"/>
        <w:ind w:right="4633" w:hanging="142"/>
        <w:rPr>
          <w:sz w:val="22"/>
          <w:szCs w:val="22"/>
        </w:rPr>
      </w:pPr>
      <w:r w:rsidRPr="009D34C5">
        <w:rPr>
          <w:rFonts w:cs="Times New Roman"/>
          <w:b/>
          <w:bCs/>
          <w:sz w:val="22"/>
          <w:szCs w:val="22"/>
        </w:rPr>
        <w:t xml:space="preserve"> NÁZOV LIEKU</w:t>
      </w:r>
      <w:r w:rsidRPr="009D34C5">
        <w:rPr>
          <w:spacing w:val="-1"/>
          <w:sz w:val="22"/>
          <w:szCs w:val="22"/>
        </w:rPr>
        <w:t xml:space="preserve"> </w:t>
      </w:r>
    </w:p>
    <w:p w14:paraId="38A3297A" w14:textId="77777777" w:rsidR="00DA07EC" w:rsidRPr="009D34C5" w:rsidRDefault="00DA07EC" w:rsidP="00D443BD">
      <w:pPr>
        <w:pStyle w:val="Zkladntext"/>
        <w:tabs>
          <w:tab w:val="left" w:pos="421"/>
        </w:tabs>
        <w:spacing w:line="248" w:lineRule="auto"/>
        <w:ind w:left="137" w:right="4633" w:firstLine="720"/>
        <w:rPr>
          <w:sz w:val="22"/>
          <w:szCs w:val="22"/>
        </w:rPr>
      </w:pPr>
    </w:p>
    <w:p w14:paraId="04A23EA5" w14:textId="0B18A9BE" w:rsidR="00DA07EC" w:rsidRPr="009D34C5" w:rsidRDefault="00DA07EC" w:rsidP="00D443BD">
      <w:pPr>
        <w:widowControl/>
        <w:tabs>
          <w:tab w:val="left" w:pos="7860"/>
        </w:tabs>
        <w:autoSpaceDE w:val="0"/>
        <w:autoSpaceDN w:val="0"/>
        <w:adjustRightInd w:val="0"/>
        <w:ind w:firstLine="14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9D34C5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Alverox 25 </w:t>
      </w:r>
      <w:r w:rsidR="00311100">
        <w:rPr>
          <w:rFonts w:ascii="Times New Roman" w:eastAsia="Times New Roman" w:hAnsi="Times New Roman"/>
        </w:rPr>
        <w:t>mikrogramov</w:t>
      </w:r>
      <w:r w:rsidR="00FD4859" w:rsidRPr="009D34C5" w:rsidDel="00FD4859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9D34C5">
        <w:rPr>
          <w:rFonts w:ascii="Times New Roman" w:eastAsia="Times New Roman" w:hAnsi="Times New Roman" w:cs="Times New Roman"/>
          <w:color w:val="000000"/>
          <w:lang w:val="sk-SK" w:eastAsia="en-GB"/>
        </w:rPr>
        <w:t>/5 ml perorálny roztok</w:t>
      </w:r>
      <w:r w:rsidR="00D443BD" w:rsidRPr="009D34C5">
        <w:rPr>
          <w:rFonts w:ascii="Times New Roman" w:eastAsia="Times New Roman" w:hAnsi="Times New Roman" w:cs="Times New Roman"/>
          <w:color w:val="000000"/>
          <w:lang w:val="sk-SK" w:eastAsia="en-GB"/>
        </w:rPr>
        <w:tab/>
      </w:r>
    </w:p>
    <w:p w14:paraId="5F49F3B7" w14:textId="17AA8E14" w:rsidR="00DA07EC" w:rsidRPr="009D34C5" w:rsidRDefault="00DA07EC" w:rsidP="00D443BD">
      <w:pPr>
        <w:widowControl/>
        <w:autoSpaceDE w:val="0"/>
        <w:autoSpaceDN w:val="0"/>
        <w:adjustRightInd w:val="0"/>
        <w:ind w:firstLine="14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9D34C5">
        <w:rPr>
          <w:rFonts w:ascii="Times New Roman" w:eastAsia="Times New Roman" w:hAnsi="Times New Roman" w:cs="Times New Roman"/>
          <w:color w:val="000000"/>
          <w:highlight w:val="lightGray"/>
          <w:lang w:val="sk-SK" w:eastAsia="en-GB"/>
        </w:rPr>
        <w:t xml:space="preserve">Alverox 50 </w:t>
      </w:r>
      <w:r w:rsidR="00490C29">
        <w:rPr>
          <w:rFonts w:ascii="Times New Roman" w:eastAsia="Times New Roman" w:hAnsi="Times New Roman" w:cs="Times New Roman"/>
          <w:color w:val="000000"/>
          <w:highlight w:val="lightGray"/>
          <w:lang w:val="sk-SK" w:eastAsia="en-GB"/>
        </w:rPr>
        <w:t>mikrogramov</w:t>
      </w:r>
      <w:r w:rsidR="00FD4859" w:rsidRPr="00FD4859" w:rsidDel="00FD4859">
        <w:rPr>
          <w:rFonts w:ascii="Times New Roman" w:eastAsia="Times New Roman" w:hAnsi="Times New Roman" w:cs="Times New Roman"/>
          <w:color w:val="000000"/>
          <w:highlight w:val="lightGray"/>
          <w:lang w:val="sk-SK" w:eastAsia="en-GB"/>
        </w:rPr>
        <w:t xml:space="preserve"> </w:t>
      </w:r>
      <w:r w:rsidRPr="009D34C5">
        <w:rPr>
          <w:rFonts w:ascii="Times New Roman" w:eastAsia="Times New Roman" w:hAnsi="Times New Roman" w:cs="Times New Roman"/>
          <w:color w:val="000000"/>
          <w:highlight w:val="lightGray"/>
          <w:lang w:val="sk-SK" w:eastAsia="en-GB"/>
        </w:rPr>
        <w:t>/5 ml perorálny roztok</w:t>
      </w:r>
    </w:p>
    <w:p w14:paraId="3317A107" w14:textId="3A49E1AE" w:rsidR="00DA07EC" w:rsidRPr="009D34C5" w:rsidRDefault="00DA07EC" w:rsidP="00D443BD">
      <w:pPr>
        <w:widowControl/>
        <w:autoSpaceDE w:val="0"/>
        <w:autoSpaceDN w:val="0"/>
        <w:adjustRightInd w:val="0"/>
        <w:ind w:firstLine="14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9D34C5">
        <w:rPr>
          <w:rFonts w:ascii="Times New Roman" w:eastAsia="Times New Roman" w:hAnsi="Times New Roman" w:cs="Times New Roman"/>
          <w:color w:val="000000"/>
          <w:highlight w:val="darkGray"/>
          <w:lang w:val="sk-SK" w:eastAsia="en-GB"/>
        </w:rPr>
        <w:t xml:space="preserve">Alverox 100 </w:t>
      </w:r>
      <w:r w:rsidR="00490C29">
        <w:rPr>
          <w:rFonts w:ascii="Times New Roman" w:eastAsia="Times New Roman" w:hAnsi="Times New Roman" w:cs="Times New Roman"/>
          <w:color w:val="000000"/>
          <w:highlight w:val="darkGray"/>
          <w:lang w:val="sk-SK" w:eastAsia="en-GB"/>
        </w:rPr>
        <w:t>mikrogramov</w:t>
      </w:r>
      <w:r w:rsidR="00FD4859" w:rsidRPr="00FD4859" w:rsidDel="00FD4859">
        <w:rPr>
          <w:rFonts w:ascii="Times New Roman" w:eastAsia="Times New Roman" w:hAnsi="Times New Roman" w:cs="Times New Roman"/>
          <w:color w:val="000000"/>
          <w:highlight w:val="darkGray"/>
          <w:lang w:val="sk-SK" w:eastAsia="en-GB"/>
        </w:rPr>
        <w:t xml:space="preserve"> </w:t>
      </w:r>
      <w:r w:rsidRPr="009D34C5">
        <w:rPr>
          <w:rFonts w:ascii="Times New Roman" w:eastAsia="Times New Roman" w:hAnsi="Times New Roman" w:cs="Times New Roman"/>
          <w:color w:val="000000"/>
          <w:highlight w:val="darkGray"/>
          <w:lang w:val="sk-SK" w:eastAsia="en-GB"/>
        </w:rPr>
        <w:t>/5 ml perorálny roztok</w:t>
      </w:r>
    </w:p>
    <w:p w14:paraId="4E46CA0A" w14:textId="77777777" w:rsidR="00227451" w:rsidRDefault="00227451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14:paraId="18955FEF" w14:textId="77777777" w:rsidR="00F373A5" w:rsidRPr="00F373A5" w:rsidRDefault="00F373A5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14:paraId="0CC1AE70" w14:textId="6CF77CEF" w:rsidR="00227451" w:rsidRPr="009D34C5" w:rsidRDefault="00DA07EC" w:rsidP="00E951F2">
      <w:pPr>
        <w:pStyle w:val="Nadpis1"/>
        <w:numPr>
          <w:ilvl w:val="0"/>
          <w:numId w:val="4"/>
        </w:numPr>
        <w:tabs>
          <w:tab w:val="left" w:pos="709"/>
        </w:tabs>
        <w:ind w:left="567" w:hanging="430"/>
        <w:jc w:val="both"/>
        <w:rPr>
          <w:b w:val="0"/>
          <w:bCs w:val="0"/>
          <w:sz w:val="22"/>
          <w:szCs w:val="22"/>
        </w:rPr>
      </w:pPr>
      <w:r w:rsidRPr="009D34C5">
        <w:rPr>
          <w:rFonts w:cs="Times New Roman"/>
          <w:sz w:val="22"/>
          <w:szCs w:val="22"/>
        </w:rPr>
        <w:t>KVALITATÍVNE A KVANTITATÍVNE ZLOŽENIE</w:t>
      </w:r>
    </w:p>
    <w:p w14:paraId="7E1CAC25" w14:textId="77777777" w:rsidR="00E951F2" w:rsidRPr="009D34C5" w:rsidRDefault="00E951F2" w:rsidP="00E951F2">
      <w:pPr>
        <w:pStyle w:val="Nadpis1"/>
        <w:tabs>
          <w:tab w:val="left" w:pos="709"/>
        </w:tabs>
        <w:ind w:left="567" w:firstLine="0"/>
        <w:jc w:val="both"/>
        <w:rPr>
          <w:b w:val="0"/>
          <w:bCs w:val="0"/>
          <w:sz w:val="22"/>
          <w:szCs w:val="22"/>
        </w:rPr>
      </w:pPr>
    </w:p>
    <w:p w14:paraId="768E8E10" w14:textId="77777777" w:rsidR="00DA07EC" w:rsidRPr="009D34C5" w:rsidRDefault="00DA07EC" w:rsidP="00DA07EC">
      <w:pPr>
        <w:pStyle w:val="Zkladntext"/>
        <w:spacing w:before="91"/>
        <w:ind w:left="137"/>
        <w:jc w:val="both"/>
        <w:rPr>
          <w:noProof/>
          <w:sz w:val="22"/>
          <w:szCs w:val="22"/>
          <w:lang w:val="sk-SK" w:eastAsia="sk-SK"/>
        </w:rPr>
      </w:pPr>
      <w:r w:rsidRPr="009D34C5">
        <w:rPr>
          <w:noProof/>
          <w:sz w:val="22"/>
          <w:szCs w:val="22"/>
          <w:lang w:val="sk-SK" w:eastAsia="sk-SK"/>
        </w:rPr>
        <w:t>Každých 5 ml perorálneho roztoku obsahuje 25 mikrogramov sodnej soli levotyroxínu.</w:t>
      </w:r>
    </w:p>
    <w:p w14:paraId="55ECFAD1" w14:textId="77777777" w:rsidR="00DA07EC" w:rsidRPr="009D34C5" w:rsidRDefault="00DA07EC" w:rsidP="00DA07EC">
      <w:pPr>
        <w:pStyle w:val="Zkladntext"/>
        <w:spacing w:before="91"/>
        <w:ind w:left="137"/>
        <w:jc w:val="both"/>
        <w:rPr>
          <w:noProof/>
          <w:sz w:val="22"/>
          <w:szCs w:val="22"/>
          <w:lang w:val="sk-SK" w:eastAsia="sk-SK"/>
        </w:rPr>
      </w:pPr>
      <w:r w:rsidRPr="009D34C5">
        <w:rPr>
          <w:noProof/>
          <w:sz w:val="22"/>
          <w:szCs w:val="22"/>
          <w:highlight w:val="lightGray"/>
          <w:lang w:val="sk-SK" w:eastAsia="sk-SK"/>
        </w:rPr>
        <w:t>Každých 5 ml perorálneho roztoku obsahuje 50 mikrogramov sodnej soli levotyroxínu.</w:t>
      </w:r>
    </w:p>
    <w:p w14:paraId="798DA1A2" w14:textId="77777777" w:rsidR="00DA07EC" w:rsidRPr="009D34C5" w:rsidRDefault="00DA07EC" w:rsidP="00DA07EC">
      <w:pPr>
        <w:pStyle w:val="Zkladntext"/>
        <w:spacing w:before="91"/>
        <w:ind w:left="137"/>
        <w:jc w:val="both"/>
        <w:rPr>
          <w:noProof/>
          <w:sz w:val="22"/>
          <w:szCs w:val="22"/>
          <w:lang w:val="sk-SK" w:eastAsia="sk-SK"/>
        </w:rPr>
      </w:pPr>
      <w:r w:rsidRPr="009D34C5">
        <w:rPr>
          <w:noProof/>
          <w:sz w:val="22"/>
          <w:szCs w:val="22"/>
          <w:highlight w:val="darkGray"/>
          <w:lang w:val="sk-SK" w:eastAsia="sk-SK"/>
        </w:rPr>
        <w:t>Každých 5 ml perorálneho roztoku obsahuje 100 mikrogramov sodnej soli levotyroxínu.</w:t>
      </w:r>
    </w:p>
    <w:p w14:paraId="3E854ADE" w14:textId="77777777" w:rsidR="00D443BD" w:rsidRPr="009D34C5" w:rsidRDefault="00D443BD" w:rsidP="00DA07EC">
      <w:pPr>
        <w:pStyle w:val="Zkladntext"/>
        <w:spacing w:before="91"/>
        <w:ind w:left="137"/>
        <w:jc w:val="both"/>
        <w:rPr>
          <w:noProof/>
          <w:sz w:val="22"/>
          <w:szCs w:val="22"/>
          <w:lang w:val="sk-SK" w:eastAsia="sk-SK"/>
        </w:rPr>
      </w:pPr>
    </w:p>
    <w:p w14:paraId="29C41AE7" w14:textId="74F95B67" w:rsidR="00227451" w:rsidRPr="00F373A5" w:rsidRDefault="00D443BD" w:rsidP="00DA07EC">
      <w:pPr>
        <w:pStyle w:val="Zkladntext"/>
        <w:spacing w:before="91"/>
        <w:ind w:left="137"/>
        <w:jc w:val="both"/>
        <w:rPr>
          <w:sz w:val="22"/>
          <w:szCs w:val="22"/>
          <w:lang w:val="sk-SK"/>
        </w:rPr>
      </w:pPr>
      <w:r w:rsidRPr="00F373A5">
        <w:rPr>
          <w:spacing w:val="-1"/>
          <w:sz w:val="22"/>
          <w:szCs w:val="22"/>
          <w:u w:val="single" w:color="000000"/>
          <w:lang w:val="sk-SK"/>
        </w:rPr>
        <w:t>Pomocné látky so známym účinkom</w:t>
      </w:r>
      <w:r w:rsidR="00543825" w:rsidRPr="00F373A5">
        <w:rPr>
          <w:spacing w:val="-1"/>
          <w:sz w:val="22"/>
          <w:szCs w:val="22"/>
          <w:lang w:val="sk-SK"/>
        </w:rPr>
        <w:t>:</w:t>
      </w:r>
    </w:p>
    <w:p w14:paraId="6348E9C1" w14:textId="7C28A365" w:rsidR="00227451" w:rsidRPr="009D34C5" w:rsidRDefault="00D443BD">
      <w:pPr>
        <w:pStyle w:val="Zkladntext"/>
        <w:ind w:left="137" w:right="3099"/>
        <w:rPr>
          <w:sz w:val="22"/>
          <w:szCs w:val="22"/>
        </w:rPr>
      </w:pPr>
      <w:r w:rsidRPr="009D34C5">
        <w:rPr>
          <w:rFonts w:cs="Times New Roman"/>
          <w:noProof/>
          <w:sz w:val="22"/>
          <w:szCs w:val="22"/>
          <w:lang w:val="sk-SK"/>
        </w:rPr>
        <w:t>Sodná soľ metyl</w:t>
      </w:r>
      <w:r w:rsidR="00DC5082">
        <w:rPr>
          <w:rFonts w:cs="Times New Roman"/>
          <w:noProof/>
          <w:sz w:val="22"/>
          <w:szCs w:val="22"/>
          <w:lang w:val="sk-SK"/>
        </w:rPr>
        <w:t>-</w:t>
      </w:r>
      <w:r w:rsidRPr="009D34C5">
        <w:rPr>
          <w:rFonts w:cs="Times New Roman"/>
          <w:noProof/>
          <w:sz w:val="22"/>
          <w:szCs w:val="22"/>
          <w:lang w:val="sk-SK"/>
        </w:rPr>
        <w:t>hydroxybenzoátu (E219):</w:t>
      </w:r>
      <w:r w:rsidR="00543825" w:rsidRPr="00F373A5">
        <w:rPr>
          <w:spacing w:val="-6"/>
          <w:sz w:val="22"/>
          <w:szCs w:val="22"/>
          <w:lang w:val="sk-SK"/>
        </w:rPr>
        <w:t xml:space="preserve"> </w:t>
      </w:r>
      <w:r w:rsidR="00E951F2" w:rsidRPr="00F373A5">
        <w:rPr>
          <w:spacing w:val="-1"/>
          <w:sz w:val="22"/>
          <w:szCs w:val="22"/>
          <w:lang w:val="sk-SK"/>
        </w:rPr>
        <w:t>9 mg v 5 ml dávke.</w:t>
      </w:r>
      <w:r w:rsidR="00543825" w:rsidRPr="00F373A5">
        <w:rPr>
          <w:spacing w:val="49"/>
          <w:w w:val="99"/>
          <w:sz w:val="22"/>
          <w:szCs w:val="22"/>
          <w:lang w:val="sk-SK"/>
        </w:rPr>
        <w:t xml:space="preserve"> </w:t>
      </w:r>
      <w:r w:rsidR="00543825" w:rsidRPr="009D34C5">
        <w:rPr>
          <w:spacing w:val="-1"/>
          <w:sz w:val="22"/>
          <w:szCs w:val="22"/>
        </w:rPr>
        <w:t>Glycerol:</w:t>
      </w:r>
      <w:r w:rsidR="00543825" w:rsidRPr="009D34C5">
        <w:rPr>
          <w:spacing w:val="-7"/>
          <w:sz w:val="22"/>
          <w:szCs w:val="22"/>
        </w:rPr>
        <w:t xml:space="preserve"> </w:t>
      </w:r>
      <w:r w:rsidR="00543825" w:rsidRPr="009D34C5">
        <w:rPr>
          <w:sz w:val="22"/>
          <w:szCs w:val="22"/>
        </w:rPr>
        <w:t>3,780</w:t>
      </w:r>
      <w:r w:rsidR="00E951F2" w:rsidRPr="009D34C5">
        <w:rPr>
          <w:sz w:val="22"/>
          <w:szCs w:val="22"/>
        </w:rPr>
        <w:t xml:space="preserve"> </w:t>
      </w:r>
      <w:r w:rsidR="00543825" w:rsidRPr="009D34C5">
        <w:rPr>
          <w:sz w:val="22"/>
          <w:szCs w:val="22"/>
        </w:rPr>
        <w:t>mg</w:t>
      </w:r>
      <w:r w:rsidR="00543825" w:rsidRPr="009D34C5">
        <w:rPr>
          <w:spacing w:val="-7"/>
          <w:sz w:val="22"/>
          <w:szCs w:val="22"/>
        </w:rPr>
        <w:t xml:space="preserve"> </w:t>
      </w:r>
      <w:r w:rsidR="00E951F2" w:rsidRPr="009D34C5">
        <w:rPr>
          <w:sz w:val="22"/>
          <w:szCs w:val="22"/>
        </w:rPr>
        <w:t>v 5 ml dávke</w:t>
      </w:r>
      <w:r w:rsidR="00543825" w:rsidRPr="009D34C5">
        <w:rPr>
          <w:sz w:val="22"/>
          <w:szCs w:val="22"/>
        </w:rPr>
        <w:t>.</w:t>
      </w:r>
    </w:p>
    <w:p w14:paraId="137F387D" w14:textId="77777777" w:rsidR="00D443BD" w:rsidRPr="009D34C5" w:rsidRDefault="00D443BD">
      <w:pPr>
        <w:pStyle w:val="Zkladntext"/>
        <w:ind w:left="137" w:right="3099"/>
        <w:rPr>
          <w:sz w:val="22"/>
          <w:szCs w:val="22"/>
        </w:rPr>
      </w:pPr>
    </w:p>
    <w:p w14:paraId="451031F5" w14:textId="77777777" w:rsidR="00D443BD" w:rsidRPr="009D34C5" w:rsidRDefault="00D443BD" w:rsidP="00D443BD">
      <w:pPr>
        <w:spacing w:before="6"/>
        <w:ind w:right="12" w:firstLine="142"/>
        <w:rPr>
          <w:rFonts w:ascii="Times New Roman" w:eastAsia="Times New Roman" w:hAnsi="Times New Roman" w:cs="Times New Roman"/>
          <w:lang w:val="pl-PL"/>
        </w:rPr>
      </w:pPr>
      <w:r w:rsidRPr="009D34C5">
        <w:rPr>
          <w:rFonts w:ascii="Times New Roman" w:eastAsia="Times New Roman" w:hAnsi="Times New Roman" w:cs="Times New Roman"/>
        </w:rPr>
        <w:t>Úplný zoznam pomocných látok, pozri časť 6.1.</w:t>
      </w:r>
    </w:p>
    <w:p w14:paraId="50665032" w14:textId="77777777" w:rsidR="00227451" w:rsidRDefault="00227451">
      <w:pPr>
        <w:spacing w:before="8"/>
        <w:rPr>
          <w:rFonts w:ascii="Times New Roman" w:eastAsia="Times New Roman" w:hAnsi="Times New Roman" w:cs="Times New Roman"/>
        </w:rPr>
      </w:pPr>
    </w:p>
    <w:p w14:paraId="17C26B26" w14:textId="77777777" w:rsidR="00F373A5" w:rsidRPr="009D34C5" w:rsidRDefault="00F373A5">
      <w:pPr>
        <w:spacing w:before="8"/>
        <w:rPr>
          <w:rFonts w:ascii="Times New Roman" w:eastAsia="Times New Roman" w:hAnsi="Times New Roman" w:cs="Times New Roman"/>
        </w:rPr>
      </w:pPr>
    </w:p>
    <w:p w14:paraId="001F5C78" w14:textId="099B6AB1" w:rsidR="00227451" w:rsidRPr="009D34C5" w:rsidRDefault="00E951F2" w:rsidP="00E951F2">
      <w:pPr>
        <w:pStyle w:val="Nadpis1"/>
        <w:numPr>
          <w:ilvl w:val="0"/>
          <w:numId w:val="4"/>
        </w:numPr>
        <w:tabs>
          <w:tab w:val="left" w:pos="142"/>
        </w:tabs>
        <w:ind w:left="567" w:hanging="425"/>
        <w:jc w:val="both"/>
        <w:rPr>
          <w:b w:val="0"/>
          <w:bCs w:val="0"/>
          <w:sz w:val="22"/>
          <w:szCs w:val="22"/>
        </w:rPr>
      </w:pPr>
      <w:r w:rsidRPr="009D34C5">
        <w:rPr>
          <w:sz w:val="22"/>
          <w:szCs w:val="22"/>
        </w:rPr>
        <w:t>LIEKOVÁ FORMA</w:t>
      </w:r>
    </w:p>
    <w:p w14:paraId="70761BFD" w14:textId="77777777" w:rsidR="00E951F2" w:rsidRPr="009D34C5" w:rsidRDefault="00E951F2" w:rsidP="00E951F2">
      <w:pPr>
        <w:pStyle w:val="Nadpis1"/>
        <w:tabs>
          <w:tab w:val="left" w:pos="142"/>
        </w:tabs>
        <w:ind w:left="567" w:firstLine="0"/>
        <w:jc w:val="both"/>
        <w:rPr>
          <w:b w:val="0"/>
          <w:bCs w:val="0"/>
          <w:sz w:val="22"/>
          <w:szCs w:val="22"/>
        </w:rPr>
      </w:pPr>
    </w:p>
    <w:p w14:paraId="4E2B13F3" w14:textId="545175E6" w:rsidR="00227451" w:rsidRPr="009D34C5" w:rsidRDefault="00E951F2">
      <w:pPr>
        <w:pStyle w:val="Zkladntext"/>
        <w:spacing w:before="27"/>
        <w:ind w:left="137"/>
        <w:jc w:val="both"/>
        <w:rPr>
          <w:sz w:val="22"/>
          <w:szCs w:val="22"/>
        </w:rPr>
      </w:pPr>
      <w:r w:rsidRPr="009D34C5">
        <w:rPr>
          <w:sz w:val="22"/>
          <w:szCs w:val="22"/>
        </w:rPr>
        <w:t>Perorálny roztok</w:t>
      </w:r>
    </w:p>
    <w:p w14:paraId="65A93F7F" w14:textId="36FE92F8" w:rsidR="00227451" w:rsidRPr="009D34C5" w:rsidRDefault="00E951F2">
      <w:pPr>
        <w:pStyle w:val="Zkladntext"/>
        <w:ind w:left="137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>Číra, bezfarebná tekutina.</w:t>
      </w:r>
    </w:p>
    <w:p w14:paraId="28F5DAC8" w14:textId="77777777" w:rsidR="00227451" w:rsidRDefault="00227451">
      <w:pPr>
        <w:spacing w:before="6"/>
        <w:rPr>
          <w:rFonts w:ascii="Times New Roman" w:eastAsia="Times New Roman" w:hAnsi="Times New Roman" w:cs="Times New Roman"/>
        </w:rPr>
      </w:pPr>
    </w:p>
    <w:p w14:paraId="401243DE" w14:textId="77777777" w:rsidR="00F373A5" w:rsidRPr="009D34C5" w:rsidRDefault="00F373A5">
      <w:pPr>
        <w:spacing w:before="6"/>
        <w:rPr>
          <w:rFonts w:ascii="Times New Roman" w:eastAsia="Times New Roman" w:hAnsi="Times New Roman" w:cs="Times New Roman"/>
        </w:rPr>
      </w:pPr>
    </w:p>
    <w:p w14:paraId="7AD6F6DB" w14:textId="77C5E0AE" w:rsidR="00227451" w:rsidRPr="009D34C5" w:rsidRDefault="00E951F2" w:rsidP="00E951F2">
      <w:pPr>
        <w:pStyle w:val="Nadpis1"/>
        <w:numPr>
          <w:ilvl w:val="0"/>
          <w:numId w:val="4"/>
        </w:numPr>
        <w:tabs>
          <w:tab w:val="left" w:pos="284"/>
        </w:tabs>
        <w:ind w:left="567" w:hanging="430"/>
        <w:jc w:val="both"/>
        <w:rPr>
          <w:b w:val="0"/>
          <w:bCs w:val="0"/>
          <w:sz w:val="22"/>
          <w:szCs w:val="22"/>
        </w:rPr>
      </w:pPr>
      <w:r w:rsidRPr="009D34C5">
        <w:rPr>
          <w:rFonts w:cs="Times New Roman"/>
          <w:sz w:val="22"/>
          <w:szCs w:val="22"/>
        </w:rPr>
        <w:t>KLINICKÉ ÚDAJE</w:t>
      </w:r>
    </w:p>
    <w:p w14:paraId="2D0515BB" w14:textId="77777777" w:rsidR="00E951F2" w:rsidRPr="009D34C5" w:rsidRDefault="00E951F2" w:rsidP="00E951F2">
      <w:pPr>
        <w:pStyle w:val="Nadpis1"/>
        <w:tabs>
          <w:tab w:val="left" w:pos="284"/>
        </w:tabs>
        <w:ind w:left="567" w:firstLine="0"/>
        <w:jc w:val="both"/>
        <w:rPr>
          <w:b w:val="0"/>
          <w:bCs w:val="0"/>
          <w:sz w:val="22"/>
          <w:szCs w:val="22"/>
        </w:rPr>
      </w:pPr>
    </w:p>
    <w:p w14:paraId="23C92559" w14:textId="05812E8B" w:rsidR="00227451" w:rsidRPr="009D34C5" w:rsidRDefault="00E951F2" w:rsidP="00D96E71">
      <w:pPr>
        <w:numPr>
          <w:ilvl w:val="1"/>
          <w:numId w:val="4"/>
        </w:numPr>
        <w:tabs>
          <w:tab w:val="left" w:pos="567"/>
        </w:tabs>
        <w:spacing w:before="34"/>
        <w:ind w:firstLine="0"/>
        <w:jc w:val="both"/>
        <w:rPr>
          <w:rFonts w:ascii="Times New Roman" w:eastAsia="Times New Roman" w:hAnsi="Times New Roman" w:cs="Times New Roman"/>
        </w:rPr>
      </w:pPr>
      <w:r w:rsidRPr="009D34C5">
        <w:rPr>
          <w:rFonts w:ascii="Times New Roman" w:eastAsia="Times New Roman" w:hAnsi="Times New Roman" w:cs="Times New Roman"/>
          <w:b/>
          <w:bCs/>
        </w:rPr>
        <w:t>Terapeutické indikácie</w:t>
      </w:r>
    </w:p>
    <w:p w14:paraId="1A83F205" w14:textId="77777777" w:rsidR="00E951F2" w:rsidRPr="009D34C5" w:rsidRDefault="00E951F2" w:rsidP="00E951F2">
      <w:pPr>
        <w:tabs>
          <w:tab w:val="left" w:pos="440"/>
        </w:tabs>
        <w:spacing w:before="34"/>
        <w:ind w:left="137"/>
        <w:jc w:val="both"/>
        <w:rPr>
          <w:rFonts w:ascii="Times New Roman" w:eastAsia="Times New Roman" w:hAnsi="Times New Roman" w:cs="Times New Roman"/>
        </w:rPr>
      </w:pPr>
    </w:p>
    <w:p w14:paraId="76AA8F7C" w14:textId="287FA844" w:rsidR="00227451" w:rsidRPr="009D34C5" w:rsidRDefault="002C1313">
      <w:pPr>
        <w:pStyle w:val="Zkladntext"/>
        <w:spacing w:before="29"/>
        <w:ind w:left="137" w:right="144" w:hanging="1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>Alverox je indikovaný</w:t>
      </w:r>
      <w:r w:rsidR="00543825" w:rsidRPr="009D34C5">
        <w:rPr>
          <w:spacing w:val="21"/>
          <w:sz w:val="22"/>
          <w:szCs w:val="22"/>
        </w:rPr>
        <w:t xml:space="preserve"> </w:t>
      </w:r>
      <w:proofErr w:type="gramStart"/>
      <w:r w:rsidRPr="009D34C5">
        <w:rPr>
          <w:spacing w:val="-1"/>
          <w:sz w:val="22"/>
          <w:szCs w:val="22"/>
        </w:rPr>
        <w:t>na</w:t>
      </w:r>
      <w:proofErr w:type="gramEnd"/>
      <w:r w:rsidRPr="009D34C5">
        <w:rPr>
          <w:spacing w:val="-1"/>
          <w:sz w:val="22"/>
          <w:szCs w:val="22"/>
        </w:rPr>
        <w:t xml:space="preserve"> hypotyreózu (vrodenú alebo získanú), difúznu netoxickú strumu, strumu spojenú s Hashimotovou </w:t>
      </w:r>
      <w:r w:rsidR="00D96E71" w:rsidRPr="009D34C5">
        <w:rPr>
          <w:spacing w:val="-1"/>
          <w:sz w:val="22"/>
          <w:szCs w:val="22"/>
        </w:rPr>
        <w:t>tyreoiditídou</w:t>
      </w:r>
      <w:r w:rsidRPr="009D34C5">
        <w:rPr>
          <w:spacing w:val="-1"/>
          <w:sz w:val="22"/>
          <w:szCs w:val="22"/>
        </w:rPr>
        <w:t>, supresívnu liečbu pri karcinóme štítnej žľazy.</w:t>
      </w:r>
    </w:p>
    <w:p w14:paraId="52E858F2" w14:textId="77777777" w:rsidR="00E951F2" w:rsidRPr="009D34C5" w:rsidRDefault="00E951F2">
      <w:pPr>
        <w:pStyle w:val="Zkladntext"/>
        <w:spacing w:before="29"/>
        <w:ind w:left="137" w:right="144" w:hanging="1"/>
        <w:rPr>
          <w:sz w:val="22"/>
          <w:szCs w:val="22"/>
        </w:rPr>
      </w:pPr>
    </w:p>
    <w:p w14:paraId="019B96D2" w14:textId="77777777" w:rsidR="00D96E71" w:rsidRPr="009D34C5" w:rsidRDefault="00D96E71" w:rsidP="00C3620A">
      <w:pPr>
        <w:pStyle w:val="Nadpis1"/>
        <w:numPr>
          <w:ilvl w:val="1"/>
          <w:numId w:val="4"/>
        </w:numPr>
        <w:tabs>
          <w:tab w:val="left" w:pos="567"/>
        </w:tabs>
        <w:spacing w:before="101" w:line="272" w:lineRule="auto"/>
        <w:ind w:right="4947" w:firstLine="0"/>
        <w:rPr>
          <w:b w:val="0"/>
          <w:bCs w:val="0"/>
          <w:sz w:val="22"/>
          <w:szCs w:val="22"/>
        </w:rPr>
      </w:pPr>
      <w:r w:rsidRPr="009D34C5">
        <w:rPr>
          <w:rFonts w:cs="Times New Roman"/>
          <w:bCs w:val="0"/>
          <w:sz w:val="22"/>
          <w:szCs w:val="22"/>
          <w:lang w:val="sk-SK"/>
        </w:rPr>
        <w:t>Dávkovanie a spôsob podávania</w:t>
      </w:r>
      <w:r w:rsidRPr="009D34C5">
        <w:rPr>
          <w:sz w:val="22"/>
          <w:szCs w:val="22"/>
        </w:rPr>
        <w:t xml:space="preserve"> </w:t>
      </w:r>
    </w:p>
    <w:p w14:paraId="084F852E" w14:textId="278B2607" w:rsidR="00227451" w:rsidRPr="009D34C5" w:rsidRDefault="00D96E71" w:rsidP="00D96E71">
      <w:pPr>
        <w:pStyle w:val="Nadpis1"/>
        <w:tabs>
          <w:tab w:val="left" w:pos="567"/>
        </w:tabs>
        <w:spacing w:before="101" w:line="272" w:lineRule="auto"/>
        <w:ind w:left="137" w:right="4947" w:firstLine="0"/>
        <w:rPr>
          <w:b w:val="0"/>
          <w:bCs w:val="0"/>
          <w:sz w:val="22"/>
          <w:szCs w:val="22"/>
        </w:rPr>
      </w:pPr>
      <w:r w:rsidRPr="009D34C5">
        <w:rPr>
          <w:sz w:val="22"/>
          <w:szCs w:val="22"/>
        </w:rPr>
        <w:t>Dávkovanie</w:t>
      </w:r>
    </w:p>
    <w:p w14:paraId="6DB4F65F" w14:textId="3045FF0E" w:rsidR="00227451" w:rsidRPr="009D34C5" w:rsidRDefault="00D96E71">
      <w:pPr>
        <w:spacing w:before="56"/>
        <w:ind w:left="137"/>
        <w:jc w:val="both"/>
        <w:rPr>
          <w:rFonts w:ascii="Times New Roman" w:eastAsia="Times New Roman" w:hAnsi="Times New Roman" w:cs="Times New Roman"/>
        </w:rPr>
      </w:pPr>
      <w:r w:rsidRPr="009D34C5">
        <w:rPr>
          <w:rFonts w:ascii="Times New Roman" w:hAnsi="Times New Roman" w:cs="Times New Roman"/>
          <w:i/>
          <w:spacing w:val="-1"/>
        </w:rPr>
        <w:t>Dospelí</w:t>
      </w:r>
    </w:p>
    <w:p w14:paraId="4932E5C3" w14:textId="77777777" w:rsidR="00D96E71" w:rsidRPr="009D34C5" w:rsidRDefault="00D96E71">
      <w:pPr>
        <w:pStyle w:val="Zkladntext"/>
        <w:spacing w:before="91"/>
        <w:ind w:left="137" w:right="145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Liečba akejkoľvek poruchy štítnej žľazy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má stanoviť individuálne, berúc do úvahy klinickú odpoveď, biochemické testy a pravidelné sledovanie.</w:t>
      </w:r>
    </w:p>
    <w:p w14:paraId="4440E078" w14:textId="60FFE5FD" w:rsidR="00227451" w:rsidRPr="009D34C5" w:rsidRDefault="00D96E71">
      <w:pPr>
        <w:pStyle w:val="Zkladntext"/>
        <w:spacing w:before="91"/>
        <w:ind w:left="137" w:right="145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Individuálna denná dávka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má stanoviť na základe diagnostických laboratórnych testov a</w:t>
      </w:r>
      <w:r w:rsidR="00994309" w:rsidRPr="009D34C5">
        <w:rPr>
          <w:sz w:val="22"/>
          <w:szCs w:val="22"/>
        </w:rPr>
        <w:t> </w:t>
      </w:r>
      <w:r w:rsidRPr="009D34C5">
        <w:rPr>
          <w:sz w:val="22"/>
          <w:szCs w:val="22"/>
        </w:rPr>
        <w:t xml:space="preserve">klinických vyšetrení. Vzhľadom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to, že </w:t>
      </w:r>
      <w:r w:rsidR="00992A1D" w:rsidRPr="009D34C5">
        <w:rPr>
          <w:sz w:val="22"/>
          <w:szCs w:val="22"/>
        </w:rPr>
        <w:t>množstvo pacientov</w:t>
      </w:r>
      <w:r w:rsidRPr="009D34C5">
        <w:rPr>
          <w:sz w:val="22"/>
          <w:szCs w:val="22"/>
        </w:rPr>
        <w:t xml:space="preserve"> </w:t>
      </w:r>
      <w:r w:rsidR="00992A1D" w:rsidRPr="009D34C5">
        <w:rPr>
          <w:sz w:val="22"/>
          <w:szCs w:val="22"/>
        </w:rPr>
        <w:t>vykazuje</w:t>
      </w:r>
      <w:r w:rsidRPr="009D34C5">
        <w:rPr>
          <w:sz w:val="22"/>
          <w:szCs w:val="22"/>
        </w:rPr>
        <w:t xml:space="preserve"> zvýšené koncentrácie T4 a fT4, spoľahlivejším ukazovateľom pre ďalší priebeh liečby je bazálna sérová koncentrácia </w:t>
      </w:r>
      <w:r w:rsidR="00B84B2B" w:rsidRPr="009D34C5">
        <w:rPr>
          <w:sz w:val="22"/>
          <w:szCs w:val="22"/>
        </w:rPr>
        <w:t xml:space="preserve">TSH </w:t>
      </w:r>
      <w:r w:rsidR="00F907AC" w:rsidRPr="009D34C5">
        <w:rPr>
          <w:sz w:val="22"/>
          <w:szCs w:val="22"/>
        </w:rPr>
        <w:t>–</w:t>
      </w:r>
      <w:r w:rsidR="00B84B2B" w:rsidRPr="009D34C5">
        <w:rPr>
          <w:sz w:val="22"/>
          <w:szCs w:val="22"/>
        </w:rPr>
        <w:t xml:space="preserve"> hormón</w:t>
      </w:r>
      <w:r w:rsidR="00F907AC" w:rsidRPr="009D34C5">
        <w:rPr>
          <w:sz w:val="22"/>
          <w:szCs w:val="22"/>
        </w:rPr>
        <w:t>u</w:t>
      </w:r>
      <w:r w:rsidR="00B84B2B" w:rsidRPr="009D34C5">
        <w:rPr>
          <w:sz w:val="22"/>
          <w:szCs w:val="22"/>
        </w:rPr>
        <w:t xml:space="preserve"> stimulujúc</w:t>
      </w:r>
      <w:r w:rsidR="00F907AC" w:rsidRPr="009D34C5">
        <w:rPr>
          <w:sz w:val="22"/>
          <w:szCs w:val="22"/>
        </w:rPr>
        <w:t>eho</w:t>
      </w:r>
      <w:r w:rsidRPr="009D34C5">
        <w:rPr>
          <w:sz w:val="22"/>
          <w:szCs w:val="22"/>
        </w:rPr>
        <w:t xml:space="preserve"> štítnu žľazu</w:t>
      </w:r>
      <w:r w:rsidR="00543825" w:rsidRPr="009D34C5">
        <w:rPr>
          <w:sz w:val="22"/>
          <w:szCs w:val="22"/>
        </w:rPr>
        <w:t>.</w:t>
      </w:r>
    </w:p>
    <w:p w14:paraId="23F9E39D" w14:textId="22281FF0" w:rsidR="006273E0" w:rsidRPr="009D34C5" w:rsidRDefault="00992A1D">
      <w:pPr>
        <w:pStyle w:val="Zkladntext"/>
        <w:spacing w:before="94"/>
        <w:ind w:left="137" w:right="55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Pacienti, ktorí prechádzajú z perorálneho roztoku </w:t>
      </w:r>
      <w:proofErr w:type="gramStart"/>
      <w:r w:rsidRPr="009D34C5">
        <w:rPr>
          <w:spacing w:val="-1"/>
          <w:sz w:val="22"/>
          <w:szCs w:val="22"/>
        </w:rPr>
        <w:t>na</w:t>
      </w:r>
      <w:proofErr w:type="gramEnd"/>
      <w:r w:rsidRPr="009D34C5">
        <w:rPr>
          <w:spacing w:val="-1"/>
          <w:sz w:val="22"/>
          <w:szCs w:val="22"/>
        </w:rPr>
        <w:t xml:space="preserve"> tabletovú formu alebo z tabletovej formy na perorálny roztok, majú byť starostlivo sledovaní. To isté platí aj v prípade, keď pacienti prechádzajú z jedného perorálneho roztoku obsahujúceho levotyroxín </w:t>
      </w:r>
      <w:proofErr w:type="gramStart"/>
      <w:r w:rsidRPr="009D34C5">
        <w:rPr>
          <w:spacing w:val="-1"/>
          <w:sz w:val="22"/>
          <w:szCs w:val="22"/>
        </w:rPr>
        <w:t>na</w:t>
      </w:r>
      <w:proofErr w:type="gramEnd"/>
      <w:r w:rsidRPr="009D34C5">
        <w:rPr>
          <w:spacing w:val="-1"/>
          <w:sz w:val="22"/>
          <w:szCs w:val="22"/>
        </w:rPr>
        <w:t xml:space="preserve"> iný. </w:t>
      </w:r>
    </w:p>
    <w:p w14:paraId="5AE1566B" w14:textId="77777777" w:rsidR="00992A1D" w:rsidRPr="009D34C5" w:rsidRDefault="00992A1D">
      <w:pPr>
        <w:pStyle w:val="Zkladntext"/>
        <w:spacing w:before="94"/>
        <w:ind w:left="137" w:right="55"/>
        <w:rPr>
          <w:sz w:val="22"/>
          <w:szCs w:val="22"/>
        </w:rPr>
      </w:pPr>
    </w:p>
    <w:p w14:paraId="5563ED0B" w14:textId="77777777" w:rsidR="00992A1D" w:rsidRPr="009D34C5" w:rsidRDefault="00992A1D">
      <w:pPr>
        <w:spacing w:before="91"/>
        <w:ind w:left="137"/>
        <w:jc w:val="both"/>
        <w:rPr>
          <w:rFonts w:ascii="Times New Roman" w:eastAsia="Times New Roman" w:hAnsi="Times New Roman"/>
          <w:u w:val="single" w:color="000000"/>
        </w:rPr>
      </w:pPr>
      <w:r w:rsidRPr="009D34C5">
        <w:rPr>
          <w:rFonts w:ascii="Times New Roman" w:eastAsia="Times New Roman" w:hAnsi="Times New Roman"/>
          <w:u w:val="single" w:color="000000"/>
        </w:rPr>
        <w:t>Hypotyreóza (vrodená alebo získaná)</w:t>
      </w:r>
    </w:p>
    <w:p w14:paraId="716A97DA" w14:textId="0AF80951" w:rsidR="00227451" w:rsidRPr="009D34C5" w:rsidRDefault="000560C0">
      <w:pPr>
        <w:spacing w:before="91"/>
        <w:ind w:left="137"/>
        <w:jc w:val="both"/>
        <w:rPr>
          <w:rFonts w:ascii="Times New Roman" w:eastAsia="Times New Roman" w:hAnsi="Times New Roman" w:cs="Times New Roman"/>
        </w:rPr>
      </w:pPr>
      <w:r w:rsidRPr="009D34C5">
        <w:rPr>
          <w:rFonts w:ascii="Times New Roman" w:hAnsi="Times New Roman" w:cs="Times New Roman"/>
          <w:i/>
        </w:rPr>
        <w:lastRenderedPageBreak/>
        <w:t xml:space="preserve">Dospelí, deti </w:t>
      </w:r>
      <w:proofErr w:type="gramStart"/>
      <w:r w:rsidRPr="009D34C5">
        <w:rPr>
          <w:rFonts w:ascii="Times New Roman" w:hAnsi="Times New Roman" w:cs="Times New Roman"/>
          <w:i/>
        </w:rPr>
        <w:t>nad</w:t>
      </w:r>
      <w:proofErr w:type="gramEnd"/>
      <w:r w:rsidRPr="009D34C5">
        <w:rPr>
          <w:rFonts w:ascii="Times New Roman" w:hAnsi="Times New Roman" w:cs="Times New Roman"/>
          <w:i/>
        </w:rPr>
        <w:t xml:space="preserve"> 12 rokov</w:t>
      </w:r>
    </w:p>
    <w:p w14:paraId="215086A0" w14:textId="5426FBA4" w:rsidR="00227451" w:rsidRPr="009D34C5" w:rsidRDefault="000560C0">
      <w:pPr>
        <w:pStyle w:val="Zkladntext"/>
        <w:numPr>
          <w:ilvl w:val="0"/>
          <w:numId w:val="3"/>
        </w:numPr>
        <w:tabs>
          <w:tab w:val="left" w:pos="421"/>
          <w:tab w:val="left" w:pos="2971"/>
        </w:tabs>
        <w:spacing w:before="91"/>
        <w:ind w:hanging="283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>Počiatočná dávka</w:t>
      </w:r>
      <w:r w:rsidR="00543825" w:rsidRPr="009D34C5">
        <w:rPr>
          <w:sz w:val="22"/>
          <w:szCs w:val="22"/>
        </w:rPr>
        <w:t>:</w:t>
      </w:r>
      <w:r w:rsidR="00543825" w:rsidRPr="009D34C5">
        <w:rPr>
          <w:sz w:val="22"/>
          <w:szCs w:val="22"/>
        </w:rPr>
        <w:tab/>
        <w:t>50</w:t>
      </w:r>
      <w:r w:rsidR="00543825" w:rsidRPr="009D34C5">
        <w:rPr>
          <w:spacing w:val="-5"/>
          <w:sz w:val="22"/>
          <w:szCs w:val="22"/>
        </w:rPr>
        <w:t xml:space="preserve"> </w:t>
      </w:r>
      <w:r w:rsidR="00994309" w:rsidRPr="009D34C5">
        <w:rPr>
          <w:sz w:val="22"/>
          <w:szCs w:val="22"/>
        </w:rPr>
        <w:t>–</w:t>
      </w:r>
      <w:r w:rsidR="00543825" w:rsidRPr="009D34C5">
        <w:rPr>
          <w:spacing w:val="-7"/>
          <w:sz w:val="22"/>
          <w:szCs w:val="22"/>
        </w:rPr>
        <w:t xml:space="preserve"> </w:t>
      </w:r>
      <w:r w:rsidR="00543825" w:rsidRPr="009D34C5">
        <w:rPr>
          <w:sz w:val="22"/>
          <w:szCs w:val="22"/>
        </w:rPr>
        <w:t>100</w:t>
      </w:r>
      <w:r w:rsidR="00543825" w:rsidRPr="009D34C5">
        <w:rPr>
          <w:spacing w:val="-5"/>
          <w:sz w:val="22"/>
          <w:szCs w:val="22"/>
        </w:rPr>
        <w:t xml:space="preserve"> </w:t>
      </w:r>
      <w:r w:rsidRPr="009D34C5">
        <w:rPr>
          <w:spacing w:val="-1"/>
          <w:sz w:val="22"/>
          <w:szCs w:val="22"/>
        </w:rPr>
        <w:t>mikrogramov denne</w:t>
      </w:r>
      <w:r w:rsidR="00543825" w:rsidRPr="009D34C5">
        <w:rPr>
          <w:spacing w:val="-1"/>
          <w:sz w:val="22"/>
          <w:szCs w:val="22"/>
        </w:rPr>
        <w:t>.</w:t>
      </w:r>
    </w:p>
    <w:p w14:paraId="2949687D" w14:textId="7690AF85" w:rsidR="00227451" w:rsidRPr="009D34C5" w:rsidRDefault="000560C0" w:rsidP="000560C0">
      <w:pPr>
        <w:pStyle w:val="Zkladntext"/>
        <w:numPr>
          <w:ilvl w:val="0"/>
          <w:numId w:val="3"/>
        </w:numPr>
        <w:tabs>
          <w:tab w:val="left" w:pos="421"/>
          <w:tab w:val="left" w:pos="2971"/>
        </w:tabs>
        <w:jc w:val="both"/>
        <w:rPr>
          <w:sz w:val="22"/>
          <w:szCs w:val="22"/>
        </w:rPr>
      </w:pPr>
      <w:r w:rsidRPr="009D34C5">
        <w:rPr>
          <w:sz w:val="22"/>
          <w:szCs w:val="22"/>
        </w:rPr>
        <w:t>Zvyčajná udržiavacia dávka</w:t>
      </w:r>
      <w:r w:rsidR="00543825" w:rsidRPr="009D34C5">
        <w:rPr>
          <w:sz w:val="22"/>
          <w:szCs w:val="22"/>
        </w:rPr>
        <w:t>:</w:t>
      </w:r>
      <w:r w:rsidR="00543825" w:rsidRPr="009D34C5">
        <w:rPr>
          <w:sz w:val="22"/>
          <w:szCs w:val="22"/>
        </w:rPr>
        <w:tab/>
        <w:t>100</w:t>
      </w:r>
      <w:r w:rsidR="00543825" w:rsidRPr="009D34C5">
        <w:rPr>
          <w:spacing w:val="-5"/>
          <w:sz w:val="22"/>
          <w:szCs w:val="22"/>
        </w:rPr>
        <w:t xml:space="preserve"> </w:t>
      </w:r>
      <w:r w:rsidR="00994309" w:rsidRPr="009D34C5">
        <w:rPr>
          <w:sz w:val="22"/>
          <w:szCs w:val="22"/>
        </w:rPr>
        <w:t>–</w:t>
      </w:r>
      <w:r w:rsidR="00543825" w:rsidRPr="009D34C5">
        <w:rPr>
          <w:spacing w:val="-7"/>
          <w:sz w:val="22"/>
          <w:szCs w:val="22"/>
        </w:rPr>
        <w:t xml:space="preserve"> </w:t>
      </w:r>
      <w:r w:rsidR="00543825" w:rsidRPr="009D34C5">
        <w:rPr>
          <w:spacing w:val="-1"/>
          <w:sz w:val="22"/>
          <w:szCs w:val="22"/>
        </w:rPr>
        <w:t>200</w:t>
      </w:r>
      <w:r w:rsidR="00543825" w:rsidRPr="009D34C5">
        <w:rPr>
          <w:spacing w:val="-4"/>
          <w:sz w:val="22"/>
          <w:szCs w:val="22"/>
        </w:rPr>
        <w:t xml:space="preserve"> </w:t>
      </w:r>
      <w:r w:rsidRPr="009D34C5">
        <w:rPr>
          <w:spacing w:val="-1"/>
          <w:sz w:val="22"/>
          <w:szCs w:val="22"/>
        </w:rPr>
        <w:t>mikrogramov denne</w:t>
      </w:r>
      <w:r w:rsidR="00543825" w:rsidRPr="009D34C5">
        <w:rPr>
          <w:spacing w:val="-1"/>
          <w:sz w:val="22"/>
          <w:szCs w:val="22"/>
        </w:rPr>
        <w:t>.</w:t>
      </w:r>
    </w:p>
    <w:p w14:paraId="50DD64BF" w14:textId="5A6BA544" w:rsidR="000560C0" w:rsidRPr="009D34C5" w:rsidRDefault="000560C0">
      <w:pPr>
        <w:pStyle w:val="Zkladntext"/>
        <w:spacing w:before="91"/>
        <w:ind w:left="137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Počiatočná dávka sa upravuje v prírastkoch 25 až 50 mikrogramov v 3 </w:t>
      </w:r>
      <w:r w:rsidR="00994309" w:rsidRPr="009D34C5">
        <w:rPr>
          <w:sz w:val="22"/>
          <w:szCs w:val="22"/>
        </w:rPr>
        <w:t>–</w:t>
      </w:r>
      <w:r w:rsidRPr="009D34C5">
        <w:rPr>
          <w:sz w:val="22"/>
          <w:szCs w:val="22"/>
        </w:rPr>
        <w:t xml:space="preserve"> 4 týždňových intervaloch, kým klinická odpoveď a meranie plazmatického tyroxínu a hormónu stimulujúceho štítnu žľazu nenaznačujú, že je nedostato</w:t>
      </w:r>
      <w:r w:rsidR="00994309" w:rsidRPr="009D34C5">
        <w:rPr>
          <w:sz w:val="22"/>
          <w:szCs w:val="22"/>
        </w:rPr>
        <w:t>čná funkcia</w:t>
      </w:r>
      <w:r w:rsidRPr="009D34C5">
        <w:rPr>
          <w:sz w:val="22"/>
          <w:szCs w:val="22"/>
        </w:rPr>
        <w:t xml:space="preserve"> štítnej žľazy upraven</w:t>
      </w:r>
      <w:r w:rsidR="00994309" w:rsidRPr="009D34C5">
        <w:rPr>
          <w:sz w:val="22"/>
          <w:szCs w:val="22"/>
        </w:rPr>
        <w:t>á</w:t>
      </w:r>
      <w:r w:rsidRPr="009D34C5">
        <w:rPr>
          <w:sz w:val="22"/>
          <w:szCs w:val="22"/>
        </w:rPr>
        <w:t xml:space="preserve"> a je stanovená udržiavacia dávka.</w:t>
      </w:r>
    </w:p>
    <w:p w14:paraId="68DB185F" w14:textId="4F79669E" w:rsidR="002E42EF" w:rsidRPr="009D34C5" w:rsidRDefault="00B84B2B">
      <w:pPr>
        <w:spacing w:before="91"/>
        <w:ind w:left="137"/>
        <w:jc w:val="both"/>
        <w:rPr>
          <w:rFonts w:ascii="Times New Roman" w:eastAsia="Times New Roman" w:hAnsi="Times New Roman"/>
          <w:spacing w:val="-1"/>
        </w:rPr>
      </w:pPr>
      <w:r w:rsidRPr="009D34C5">
        <w:rPr>
          <w:rFonts w:ascii="Times New Roman" w:eastAsia="Times New Roman" w:hAnsi="Times New Roman"/>
          <w:spacing w:val="-1"/>
        </w:rPr>
        <w:t>V prípade hypotyreózy je liečba zvyčajne celoživotná.</w:t>
      </w:r>
    </w:p>
    <w:p w14:paraId="0C8894BA" w14:textId="77777777" w:rsidR="00B84B2B" w:rsidRPr="009D34C5" w:rsidRDefault="00B84B2B">
      <w:pPr>
        <w:spacing w:before="91"/>
        <w:ind w:left="137"/>
        <w:jc w:val="both"/>
        <w:rPr>
          <w:rFonts w:ascii="Times New Roman"/>
          <w:i/>
          <w:spacing w:val="-1"/>
        </w:rPr>
      </w:pPr>
    </w:p>
    <w:p w14:paraId="6360387C" w14:textId="2742F521" w:rsidR="00227451" w:rsidRPr="009D34C5" w:rsidRDefault="00B84B2B">
      <w:pPr>
        <w:spacing w:before="91"/>
        <w:ind w:left="137"/>
        <w:jc w:val="both"/>
        <w:rPr>
          <w:rFonts w:ascii="Times New Roman" w:eastAsia="Times New Roman" w:hAnsi="Times New Roman" w:cs="Times New Roman"/>
        </w:rPr>
      </w:pPr>
      <w:r w:rsidRPr="009D34C5">
        <w:rPr>
          <w:rFonts w:ascii="Times New Roman" w:hAnsi="Times New Roman" w:cs="Times New Roman"/>
          <w:i/>
        </w:rPr>
        <w:t>Pediatrická populácia</w:t>
      </w:r>
    </w:p>
    <w:p w14:paraId="7D63CF46" w14:textId="02F24FF4" w:rsidR="00227451" w:rsidRPr="009D34C5" w:rsidRDefault="00B84B2B">
      <w:pPr>
        <w:pStyle w:val="Zkladntext"/>
        <w:ind w:left="137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Udržiavacia dávka je zvyčajne 100 až 150 mikrogramov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m² plochy povrchu tela.</w:t>
      </w:r>
    </w:p>
    <w:p w14:paraId="4711B705" w14:textId="77777777" w:rsidR="00B84B2B" w:rsidRPr="009D34C5" w:rsidRDefault="00B84B2B">
      <w:pPr>
        <w:pStyle w:val="Zkladntext"/>
        <w:ind w:left="137"/>
        <w:jc w:val="both"/>
        <w:rPr>
          <w:sz w:val="22"/>
          <w:szCs w:val="22"/>
        </w:rPr>
      </w:pPr>
    </w:p>
    <w:p w14:paraId="2C6D8568" w14:textId="6EB00009" w:rsidR="00383D3A" w:rsidRPr="009D34C5" w:rsidRDefault="00B84B2B" w:rsidP="00383D3A">
      <w:pPr>
        <w:ind w:left="137" w:firstLine="5"/>
        <w:jc w:val="both"/>
        <w:rPr>
          <w:rFonts w:ascii="Times New Roman" w:eastAsia="Times New Roman" w:hAnsi="Times New Roman"/>
        </w:rPr>
      </w:pPr>
      <w:r w:rsidRPr="009D34C5">
        <w:rPr>
          <w:rFonts w:ascii="Times New Roman" w:eastAsia="Times New Roman" w:hAnsi="Times New Roman"/>
        </w:rPr>
        <w:t xml:space="preserve">Pre novorodencov a dojčatá s vrodenou hypotyreózou, u ktorých je dôležitá rýchla substitúcia, je počiatočná odporúčaná dávka 10 až 15 mikrogramov na kg telesnej hmotnosti denne počas prvých 3 mesiacov. Potom </w:t>
      </w:r>
      <w:proofErr w:type="gramStart"/>
      <w:r w:rsidRPr="009D34C5">
        <w:rPr>
          <w:rFonts w:ascii="Times New Roman" w:eastAsia="Times New Roman" w:hAnsi="Times New Roman"/>
        </w:rPr>
        <w:t>sa</w:t>
      </w:r>
      <w:proofErr w:type="gramEnd"/>
      <w:r w:rsidRPr="009D34C5">
        <w:rPr>
          <w:rFonts w:ascii="Times New Roman" w:eastAsia="Times New Roman" w:hAnsi="Times New Roman"/>
        </w:rPr>
        <w:t xml:space="preserve"> dávka upravuje individuálne na základe klinických nálezov a hladín hormónov štítnej žľazy a TSH.</w:t>
      </w:r>
    </w:p>
    <w:p w14:paraId="0C13F104" w14:textId="77777777" w:rsidR="00383D3A" w:rsidRPr="009D34C5" w:rsidRDefault="00383D3A" w:rsidP="00383D3A">
      <w:pPr>
        <w:ind w:left="137" w:firstLine="5"/>
        <w:jc w:val="both"/>
        <w:rPr>
          <w:rFonts w:ascii="Times New Roman" w:eastAsia="Times New Roman" w:hAnsi="Times New Roman"/>
        </w:rPr>
      </w:pPr>
    </w:p>
    <w:p w14:paraId="3F034C8F" w14:textId="66EC7D99" w:rsidR="00227451" w:rsidRPr="009D34C5" w:rsidRDefault="00383D3A" w:rsidP="00383D3A">
      <w:pPr>
        <w:pStyle w:val="Zkladntext"/>
        <w:spacing w:before="55"/>
        <w:ind w:left="142" w:right="105"/>
        <w:jc w:val="both"/>
        <w:rPr>
          <w:sz w:val="22"/>
          <w:szCs w:val="22"/>
        </w:rPr>
      </w:pPr>
      <w:r w:rsidRPr="009D34C5">
        <w:rPr>
          <w:rFonts w:cs="Times New Roman"/>
          <w:sz w:val="22"/>
          <w:szCs w:val="22"/>
        </w:rPr>
        <w:t>Pre deti so získanou hypotyreózou je počiatočná odporúčaná dávka 12</w:t>
      </w:r>
      <w:proofErr w:type="gramStart"/>
      <w:r w:rsidRPr="009D34C5">
        <w:rPr>
          <w:rFonts w:cs="Times New Roman"/>
          <w:sz w:val="22"/>
          <w:szCs w:val="22"/>
        </w:rPr>
        <w:t>,5</w:t>
      </w:r>
      <w:proofErr w:type="gramEnd"/>
      <w:r w:rsidRPr="009D34C5">
        <w:rPr>
          <w:rFonts w:cs="Times New Roman"/>
          <w:sz w:val="22"/>
          <w:szCs w:val="22"/>
        </w:rPr>
        <w:t xml:space="preserve"> </w:t>
      </w:r>
      <w:r w:rsidR="00994309" w:rsidRPr="009D34C5">
        <w:rPr>
          <w:rFonts w:cs="Times New Roman"/>
          <w:sz w:val="22"/>
          <w:szCs w:val="22"/>
        </w:rPr>
        <w:t>–</w:t>
      </w:r>
      <w:r w:rsidRPr="009D34C5">
        <w:rPr>
          <w:rFonts w:cs="Times New Roman"/>
          <w:sz w:val="22"/>
          <w:szCs w:val="22"/>
        </w:rPr>
        <w:t xml:space="preserve"> 50 mikrogramov denne</w:t>
      </w:r>
      <w:r w:rsidR="00543825" w:rsidRPr="009D34C5">
        <w:rPr>
          <w:spacing w:val="-1"/>
          <w:sz w:val="22"/>
          <w:szCs w:val="22"/>
        </w:rPr>
        <w:t>.</w:t>
      </w:r>
      <w:r w:rsidR="00543825" w:rsidRPr="009D34C5">
        <w:rPr>
          <w:spacing w:val="16"/>
          <w:sz w:val="22"/>
          <w:szCs w:val="22"/>
        </w:rPr>
        <w:t xml:space="preserve"> </w:t>
      </w:r>
      <w:r w:rsidRPr="009D34C5">
        <w:rPr>
          <w:sz w:val="22"/>
          <w:szCs w:val="22"/>
        </w:rPr>
        <w:t>Dávka sa má zvyšovať postupne každé 2 až 4 týždne na základe klinických nálezov a</w:t>
      </w:r>
      <w:r w:rsidR="00994309" w:rsidRPr="009D34C5">
        <w:rPr>
          <w:sz w:val="22"/>
          <w:szCs w:val="22"/>
        </w:rPr>
        <w:t> </w:t>
      </w:r>
      <w:r w:rsidRPr="009D34C5">
        <w:rPr>
          <w:sz w:val="22"/>
          <w:szCs w:val="22"/>
        </w:rPr>
        <w:t>hladín hormónov štítnej žľazy a TSH, až kým sa nedosiahne dávka na úplnú substitúciu.</w:t>
      </w:r>
    </w:p>
    <w:p w14:paraId="7C9CF000" w14:textId="5B5DAB3B" w:rsidR="00AA37DC" w:rsidRPr="009D34C5" w:rsidRDefault="00AA37DC" w:rsidP="00383D3A">
      <w:pPr>
        <w:pStyle w:val="Zkladntext"/>
        <w:spacing w:before="1" w:line="320" w:lineRule="atLeast"/>
        <w:ind w:left="142" w:right="473"/>
        <w:rPr>
          <w:spacing w:val="47"/>
          <w:w w:val="99"/>
          <w:sz w:val="22"/>
          <w:szCs w:val="22"/>
        </w:rPr>
      </w:pPr>
    </w:p>
    <w:p w14:paraId="1DBAF4BB" w14:textId="199B494D" w:rsidR="00416A60" w:rsidRPr="009D34C5" w:rsidRDefault="00383D3A" w:rsidP="00383D3A">
      <w:pPr>
        <w:pStyle w:val="Zkladntext"/>
        <w:spacing w:before="1" w:line="320" w:lineRule="atLeast"/>
        <w:ind w:left="142" w:right="473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Dojčatám </w:t>
      </w:r>
      <w:proofErr w:type="gramStart"/>
      <w:r w:rsidRPr="009D34C5">
        <w:rPr>
          <w:spacing w:val="-1"/>
          <w:sz w:val="22"/>
          <w:szCs w:val="22"/>
        </w:rPr>
        <w:t>sa</w:t>
      </w:r>
      <w:proofErr w:type="gramEnd"/>
      <w:r w:rsidRPr="009D34C5">
        <w:rPr>
          <w:spacing w:val="-1"/>
          <w:sz w:val="22"/>
          <w:szCs w:val="22"/>
        </w:rPr>
        <w:t xml:space="preserve"> má podať celková denná dávka ráno alebo večer, buď pred kŕmením alebo s</w:t>
      </w:r>
      <w:r w:rsidR="00994309" w:rsidRPr="009D34C5">
        <w:rPr>
          <w:spacing w:val="-1"/>
          <w:sz w:val="22"/>
          <w:szCs w:val="22"/>
        </w:rPr>
        <w:t> </w:t>
      </w:r>
      <w:r w:rsidRPr="009D34C5">
        <w:rPr>
          <w:spacing w:val="-1"/>
          <w:sz w:val="22"/>
          <w:szCs w:val="22"/>
        </w:rPr>
        <w:t>jedlom, ale má sa podávať rovnakým spôsobom každý deň.</w:t>
      </w:r>
    </w:p>
    <w:p w14:paraId="008C357B" w14:textId="77777777" w:rsidR="00383D3A" w:rsidRPr="009D34C5" w:rsidRDefault="00383D3A" w:rsidP="00383D3A">
      <w:pPr>
        <w:pStyle w:val="Zkladntext"/>
        <w:spacing w:before="1" w:line="320" w:lineRule="atLeast"/>
        <w:ind w:left="142" w:right="473"/>
        <w:rPr>
          <w:spacing w:val="-1"/>
          <w:sz w:val="22"/>
          <w:szCs w:val="22"/>
          <w:u w:val="single" w:color="000000"/>
        </w:rPr>
      </w:pPr>
    </w:p>
    <w:p w14:paraId="2064710A" w14:textId="77777777" w:rsidR="007E1907" w:rsidRPr="009D34C5" w:rsidRDefault="00C258D0" w:rsidP="00383D3A">
      <w:pPr>
        <w:pStyle w:val="Zkladntext"/>
        <w:ind w:left="142"/>
        <w:jc w:val="both"/>
        <w:rPr>
          <w:spacing w:val="-1"/>
          <w:sz w:val="22"/>
          <w:szCs w:val="22"/>
          <w:u w:val="single" w:color="000000"/>
        </w:rPr>
      </w:pPr>
      <w:r w:rsidRPr="009D34C5">
        <w:rPr>
          <w:spacing w:val="-1"/>
          <w:sz w:val="22"/>
          <w:szCs w:val="22"/>
          <w:u w:val="single" w:color="000000"/>
        </w:rPr>
        <w:t>Difúzna netoxická struma</w:t>
      </w:r>
      <w:r w:rsidR="007E1907" w:rsidRPr="009D34C5">
        <w:rPr>
          <w:spacing w:val="-1"/>
          <w:sz w:val="22"/>
          <w:szCs w:val="22"/>
          <w:u w:val="single" w:color="000000"/>
        </w:rPr>
        <w:t>, struma spojená</w:t>
      </w:r>
      <w:r w:rsidRPr="009D34C5">
        <w:rPr>
          <w:spacing w:val="-1"/>
          <w:sz w:val="22"/>
          <w:szCs w:val="22"/>
          <w:u w:val="single" w:color="000000"/>
        </w:rPr>
        <w:t xml:space="preserve"> s Hashimotovou tyreoiditídou </w:t>
      </w:r>
    </w:p>
    <w:p w14:paraId="76789111" w14:textId="5405911A" w:rsidR="002E42EF" w:rsidRPr="00F373A5" w:rsidRDefault="003F1CA0" w:rsidP="00383D3A">
      <w:pPr>
        <w:pStyle w:val="Bezriadkovania"/>
        <w:ind w:left="142"/>
        <w:rPr>
          <w:rFonts w:ascii="Times New Roman" w:eastAsia="Times New Roman" w:hAnsi="Times New Roman"/>
          <w:lang w:val="de-DE"/>
        </w:rPr>
      </w:pPr>
      <w:r w:rsidRPr="00F373A5">
        <w:rPr>
          <w:rFonts w:ascii="Times New Roman" w:eastAsia="Times New Roman" w:hAnsi="Times New Roman"/>
          <w:lang w:val="de-DE"/>
        </w:rPr>
        <w:t xml:space="preserve">Odporúčaná dávka je 50 </w:t>
      </w:r>
      <w:r w:rsidR="00994309" w:rsidRPr="00F373A5">
        <w:rPr>
          <w:rFonts w:ascii="Times New Roman" w:eastAsia="Times New Roman" w:hAnsi="Times New Roman"/>
          <w:lang w:val="de-DE"/>
        </w:rPr>
        <w:t>–</w:t>
      </w:r>
      <w:r w:rsidRPr="00F373A5">
        <w:rPr>
          <w:rFonts w:ascii="Times New Roman" w:eastAsia="Times New Roman" w:hAnsi="Times New Roman"/>
          <w:lang w:val="de-DE"/>
        </w:rPr>
        <w:t xml:space="preserve"> 200 µg/deň.</w:t>
      </w:r>
    </w:p>
    <w:p w14:paraId="21D75E0D" w14:textId="77777777" w:rsidR="003F1CA0" w:rsidRPr="00F373A5" w:rsidRDefault="003F1CA0" w:rsidP="00383D3A">
      <w:pPr>
        <w:pStyle w:val="Bezriadkovania"/>
        <w:ind w:left="142"/>
        <w:rPr>
          <w:lang w:val="de-DE"/>
        </w:rPr>
      </w:pPr>
    </w:p>
    <w:p w14:paraId="563E6142" w14:textId="31E447D2" w:rsidR="002E42EF" w:rsidRPr="00F373A5" w:rsidRDefault="0054635D" w:rsidP="00383D3A">
      <w:pPr>
        <w:pStyle w:val="Bezriadkovania"/>
        <w:ind w:left="142"/>
        <w:rPr>
          <w:rFonts w:ascii="Times New Roman" w:eastAsia="Times New Roman" w:hAnsi="Times New Roman"/>
          <w:lang w:val="de-DE"/>
        </w:rPr>
      </w:pPr>
      <w:r w:rsidRPr="00F373A5">
        <w:rPr>
          <w:rFonts w:ascii="Times New Roman" w:eastAsia="Times New Roman" w:hAnsi="Times New Roman"/>
          <w:lang w:val="de-DE"/>
        </w:rPr>
        <w:t xml:space="preserve">U pacientov s netoxickou difúznou strumou a normálnymi hladinami T4 a TSH možno zvážiť liečbu levotyroxínom. Ak po 6 až 12 mesiacoch nedôjde k </w:t>
      </w:r>
      <w:r w:rsidR="00994309" w:rsidRPr="00F373A5">
        <w:rPr>
          <w:rFonts w:ascii="Times New Roman" w:eastAsia="Times New Roman" w:hAnsi="Times New Roman"/>
          <w:lang w:val="de-DE"/>
        </w:rPr>
        <w:t xml:space="preserve">viditeľnému </w:t>
      </w:r>
      <w:r w:rsidR="00C6052C" w:rsidRPr="00F373A5">
        <w:rPr>
          <w:rFonts w:ascii="Times New Roman" w:eastAsia="Times New Roman" w:hAnsi="Times New Roman"/>
          <w:lang w:val="de-DE"/>
        </w:rPr>
        <w:t>zmenšeniu</w:t>
      </w:r>
      <w:r w:rsidRPr="00F373A5">
        <w:rPr>
          <w:rFonts w:ascii="Times New Roman" w:eastAsia="Times New Roman" w:hAnsi="Times New Roman"/>
          <w:lang w:val="de-DE"/>
        </w:rPr>
        <w:t xml:space="preserve"> strumy, liečba tyroxínom sa má ukončiť.</w:t>
      </w:r>
    </w:p>
    <w:p w14:paraId="0B444EA8" w14:textId="77777777" w:rsidR="0054635D" w:rsidRPr="00F373A5" w:rsidRDefault="0054635D" w:rsidP="00383D3A">
      <w:pPr>
        <w:pStyle w:val="Bezriadkovania"/>
        <w:ind w:left="142"/>
        <w:rPr>
          <w:lang w:val="de-DE"/>
        </w:rPr>
      </w:pPr>
    </w:p>
    <w:p w14:paraId="787CC723" w14:textId="66A711DF" w:rsidR="002E42EF" w:rsidRPr="00F373A5" w:rsidRDefault="0054635D" w:rsidP="00383D3A">
      <w:pPr>
        <w:pStyle w:val="Bezriadkovania"/>
        <w:ind w:left="142"/>
        <w:rPr>
          <w:rFonts w:ascii="Times New Roman" w:eastAsia="Times New Roman" w:hAnsi="Times New Roman"/>
          <w:spacing w:val="-1"/>
          <w:lang w:val="de-DE"/>
        </w:rPr>
      </w:pPr>
      <w:r w:rsidRPr="00F373A5">
        <w:rPr>
          <w:rFonts w:ascii="Times New Roman" w:eastAsia="Times New Roman" w:hAnsi="Times New Roman"/>
          <w:spacing w:val="-1"/>
          <w:lang w:val="de-DE"/>
        </w:rPr>
        <w:t>V prípade netoxickej strumy a strumy spojenej s Hashimotovou tyreoiditídou je dĺžka liečby zvyčajne doživotná.</w:t>
      </w:r>
    </w:p>
    <w:p w14:paraId="342B5B4C" w14:textId="77777777" w:rsidR="0054635D" w:rsidRPr="00F373A5" w:rsidRDefault="0054635D" w:rsidP="00383D3A">
      <w:pPr>
        <w:pStyle w:val="Bezriadkovania"/>
        <w:ind w:left="142"/>
        <w:rPr>
          <w:u w:color="000000"/>
          <w:lang w:val="de-DE"/>
        </w:rPr>
      </w:pPr>
    </w:p>
    <w:p w14:paraId="4F815017" w14:textId="32320A06" w:rsidR="00227451" w:rsidRPr="00F373A5" w:rsidRDefault="0054635D" w:rsidP="0054635D">
      <w:pPr>
        <w:pStyle w:val="Zkladntext"/>
        <w:tabs>
          <w:tab w:val="left" w:pos="3686"/>
        </w:tabs>
        <w:spacing w:before="91"/>
        <w:ind w:left="142" w:right="4497"/>
        <w:rPr>
          <w:sz w:val="22"/>
          <w:szCs w:val="22"/>
          <w:lang w:val="de-DE"/>
        </w:rPr>
      </w:pPr>
      <w:r w:rsidRPr="00F373A5">
        <w:rPr>
          <w:spacing w:val="-1"/>
          <w:sz w:val="22"/>
          <w:szCs w:val="22"/>
          <w:u w:val="single" w:color="000000"/>
          <w:lang w:val="de-DE"/>
        </w:rPr>
        <w:t xml:space="preserve">Supresívna terapia pri karcinóme štítnej žľazy </w:t>
      </w:r>
      <w:r w:rsidRPr="00F373A5">
        <w:rPr>
          <w:sz w:val="22"/>
          <w:szCs w:val="22"/>
          <w:lang w:val="de-DE"/>
        </w:rPr>
        <w:t xml:space="preserve">Odporúčaná dávka je 150 </w:t>
      </w:r>
      <w:r w:rsidR="00730178" w:rsidRPr="00F373A5">
        <w:rPr>
          <w:sz w:val="22"/>
          <w:szCs w:val="22"/>
          <w:lang w:val="de-DE"/>
        </w:rPr>
        <w:t>–</w:t>
      </w:r>
      <w:r w:rsidRPr="00F373A5">
        <w:rPr>
          <w:sz w:val="22"/>
          <w:szCs w:val="22"/>
          <w:lang w:val="de-DE"/>
        </w:rPr>
        <w:t xml:space="preserve"> 300 µg/deň.</w:t>
      </w:r>
    </w:p>
    <w:p w14:paraId="468382B7" w14:textId="77777777" w:rsidR="0054635D" w:rsidRPr="00F373A5" w:rsidRDefault="0054635D" w:rsidP="0054635D">
      <w:pPr>
        <w:pStyle w:val="Zkladntext"/>
        <w:tabs>
          <w:tab w:val="left" w:pos="3686"/>
        </w:tabs>
        <w:spacing w:before="91"/>
        <w:ind w:left="142" w:right="4497"/>
        <w:rPr>
          <w:sz w:val="22"/>
          <w:szCs w:val="22"/>
          <w:lang w:val="de-DE"/>
        </w:rPr>
      </w:pPr>
    </w:p>
    <w:p w14:paraId="4DFE8372" w14:textId="77777777" w:rsidR="0054635D" w:rsidRPr="00F373A5" w:rsidRDefault="0054635D" w:rsidP="00383D3A">
      <w:pPr>
        <w:pStyle w:val="Zkladntext"/>
        <w:ind w:left="142" w:right="100"/>
        <w:jc w:val="both"/>
        <w:rPr>
          <w:rFonts w:eastAsiaTheme="minorHAnsi" w:cs="Times New Roman"/>
          <w:i/>
          <w:sz w:val="22"/>
          <w:szCs w:val="22"/>
          <w:lang w:val="de-DE"/>
        </w:rPr>
      </w:pPr>
      <w:r w:rsidRPr="00F373A5">
        <w:rPr>
          <w:rFonts w:eastAsiaTheme="minorHAnsi" w:cs="Times New Roman"/>
          <w:i/>
          <w:sz w:val="22"/>
          <w:szCs w:val="22"/>
          <w:lang w:val="de-DE"/>
        </w:rPr>
        <w:t>Dospelí a starší ľudia</w:t>
      </w:r>
    </w:p>
    <w:p w14:paraId="6FC2FD20" w14:textId="44B7579B" w:rsidR="00227451" w:rsidRPr="00F373A5" w:rsidRDefault="00C3620A" w:rsidP="00383D3A">
      <w:pPr>
        <w:pStyle w:val="Zkladntext"/>
        <w:ind w:left="142" w:right="100"/>
        <w:jc w:val="both"/>
        <w:rPr>
          <w:sz w:val="22"/>
          <w:szCs w:val="22"/>
          <w:lang w:val="de-DE"/>
        </w:rPr>
      </w:pPr>
      <w:r w:rsidRPr="00F373A5">
        <w:rPr>
          <w:sz w:val="22"/>
          <w:szCs w:val="22"/>
          <w:lang w:val="de-DE"/>
        </w:rPr>
        <w:t xml:space="preserve">U starších pacientov, u pacientov s ischemickou chorobou srdca a u pacientov so závažnou alebo dlhotrvajúcou hypotyreózou je potrebné </w:t>
      </w:r>
      <w:r w:rsidR="00A7691C" w:rsidRPr="00F373A5">
        <w:rPr>
          <w:sz w:val="22"/>
          <w:szCs w:val="22"/>
          <w:lang w:val="de-DE"/>
        </w:rPr>
        <w:t xml:space="preserve">postupovať </w:t>
      </w:r>
      <w:r w:rsidRPr="00F373A5">
        <w:rPr>
          <w:sz w:val="22"/>
          <w:szCs w:val="22"/>
          <w:lang w:val="de-DE"/>
        </w:rPr>
        <w:t>na začiatku liečby hormónmi štítnej žľazy</w:t>
      </w:r>
      <w:r w:rsidR="00A7691C" w:rsidRPr="00F373A5">
        <w:rPr>
          <w:sz w:val="22"/>
          <w:szCs w:val="22"/>
          <w:lang w:val="de-DE"/>
        </w:rPr>
        <w:t xml:space="preserve"> zvlášť opatrne</w:t>
      </w:r>
      <w:r w:rsidRPr="00F373A5">
        <w:rPr>
          <w:sz w:val="22"/>
          <w:szCs w:val="22"/>
          <w:lang w:val="de-DE"/>
        </w:rPr>
        <w:t>, t.j. podať nízku počiatočnú dávku (napr. 12,5 mikrogramov/deň) a túto dávku pomaly zvyšovať v dlhších intervaloch (napr. postupné zvyšovanie o 12,5 mikrogramov/deň každých 14 dní) pri častom monitorovaní hladín hormónov štítnej žľazy. Je vhodné zvážiť podanie nižšej než optimálnej dávky poskytujúcej úplnú substitučnú liečbu, po ktorej nenasleduje kompletná úprava hladiny TSH.</w:t>
      </w:r>
    </w:p>
    <w:p w14:paraId="2675B73A" w14:textId="77777777" w:rsidR="00227451" w:rsidRPr="00F373A5" w:rsidRDefault="00227451" w:rsidP="00383D3A">
      <w:pPr>
        <w:spacing w:before="3"/>
        <w:ind w:left="142"/>
        <w:rPr>
          <w:rFonts w:ascii="Times New Roman" w:eastAsia="Times New Roman" w:hAnsi="Times New Roman" w:cs="Times New Roman"/>
          <w:lang w:val="de-DE"/>
        </w:rPr>
      </w:pPr>
    </w:p>
    <w:p w14:paraId="0D02F6A1" w14:textId="3F6433CA" w:rsidR="00227451" w:rsidRPr="005D3C3C" w:rsidRDefault="00C3620A" w:rsidP="00383D3A">
      <w:pPr>
        <w:pStyle w:val="Nadpis1"/>
        <w:ind w:left="142" w:firstLine="0"/>
        <w:jc w:val="both"/>
        <w:rPr>
          <w:b w:val="0"/>
          <w:bCs w:val="0"/>
          <w:sz w:val="22"/>
          <w:szCs w:val="22"/>
          <w:lang w:val="de-DE"/>
        </w:rPr>
      </w:pPr>
      <w:r w:rsidRPr="005D3C3C">
        <w:rPr>
          <w:sz w:val="22"/>
          <w:szCs w:val="22"/>
          <w:lang w:val="de-DE"/>
        </w:rPr>
        <w:t>Spôsob podávania</w:t>
      </w:r>
    </w:p>
    <w:p w14:paraId="45BC27B3" w14:textId="3F63B49D" w:rsidR="00227451" w:rsidRPr="009D34C5" w:rsidRDefault="00C3620A" w:rsidP="00F373A5">
      <w:pPr>
        <w:pStyle w:val="Zkladntext"/>
        <w:ind w:left="142" w:right="104"/>
        <w:jc w:val="both"/>
        <w:rPr>
          <w:spacing w:val="-1"/>
          <w:sz w:val="22"/>
          <w:szCs w:val="22"/>
        </w:rPr>
      </w:pPr>
      <w:r w:rsidRPr="005D3C3C">
        <w:rPr>
          <w:sz w:val="22"/>
          <w:szCs w:val="22"/>
          <w:lang w:val="de-DE"/>
        </w:rPr>
        <w:t xml:space="preserve">Na </w:t>
      </w:r>
      <w:r w:rsidR="00A7691C" w:rsidRPr="005D3C3C">
        <w:rPr>
          <w:sz w:val="22"/>
          <w:szCs w:val="22"/>
          <w:lang w:val="de-DE"/>
        </w:rPr>
        <w:t xml:space="preserve">perorálne </w:t>
      </w:r>
      <w:r w:rsidRPr="005D3C3C">
        <w:rPr>
          <w:sz w:val="22"/>
          <w:szCs w:val="22"/>
          <w:lang w:val="de-DE"/>
        </w:rPr>
        <w:t>použitie</w:t>
      </w:r>
      <w:r w:rsidR="00543825" w:rsidRPr="005D3C3C">
        <w:rPr>
          <w:spacing w:val="-1"/>
          <w:sz w:val="22"/>
          <w:szCs w:val="22"/>
          <w:lang w:val="de-DE"/>
        </w:rPr>
        <w:t>.</w:t>
      </w:r>
      <w:r w:rsidRPr="005D3C3C">
        <w:rPr>
          <w:spacing w:val="-1"/>
          <w:sz w:val="22"/>
          <w:szCs w:val="22"/>
          <w:lang w:val="de-DE"/>
        </w:rPr>
        <w:t xml:space="preserve"> Alverox</w:t>
      </w:r>
      <w:r w:rsidR="00543825" w:rsidRPr="005D3C3C">
        <w:rPr>
          <w:spacing w:val="21"/>
          <w:sz w:val="22"/>
          <w:szCs w:val="22"/>
          <w:lang w:val="de-DE"/>
        </w:rPr>
        <w:t xml:space="preserve"> </w:t>
      </w:r>
      <w:r w:rsidRPr="005D3C3C">
        <w:rPr>
          <w:spacing w:val="-1"/>
          <w:sz w:val="22"/>
          <w:szCs w:val="22"/>
          <w:lang w:val="de-DE"/>
        </w:rPr>
        <w:t>je najlepšie užívať ako jednorazovú dávku</w:t>
      </w:r>
      <w:r w:rsidRPr="005D3C3C">
        <w:rPr>
          <w:sz w:val="22"/>
          <w:szCs w:val="22"/>
          <w:lang w:val="de-DE"/>
        </w:rPr>
        <w:t>,</w:t>
      </w:r>
      <w:r w:rsidR="00543825" w:rsidRPr="005D3C3C">
        <w:rPr>
          <w:spacing w:val="20"/>
          <w:sz w:val="22"/>
          <w:szCs w:val="22"/>
          <w:lang w:val="de-DE"/>
        </w:rPr>
        <w:t xml:space="preserve"> </w:t>
      </w:r>
      <w:r w:rsidRPr="005D3C3C">
        <w:rPr>
          <w:sz w:val="22"/>
          <w:szCs w:val="22"/>
          <w:lang w:val="de-DE"/>
        </w:rPr>
        <w:t>nalačno, zvyčajne pred raňajkami</w:t>
      </w:r>
      <w:r w:rsidR="00543825" w:rsidRPr="005D3C3C">
        <w:rPr>
          <w:spacing w:val="-1"/>
          <w:sz w:val="22"/>
          <w:szCs w:val="22"/>
          <w:lang w:val="de-DE"/>
        </w:rPr>
        <w:t>.</w:t>
      </w:r>
      <w:r w:rsidR="00543825" w:rsidRPr="005D3C3C">
        <w:rPr>
          <w:spacing w:val="-5"/>
          <w:sz w:val="22"/>
          <w:szCs w:val="22"/>
          <w:lang w:val="de-DE"/>
        </w:rPr>
        <w:t xml:space="preserve"> </w:t>
      </w:r>
      <w:r w:rsidRPr="009D34C5">
        <w:rPr>
          <w:sz w:val="22"/>
          <w:szCs w:val="22"/>
        </w:rPr>
        <w:t xml:space="preserve">Dávky </w:t>
      </w:r>
      <w:r w:rsidR="00D97748">
        <w:rPr>
          <w:sz w:val="22"/>
          <w:szCs w:val="22"/>
        </w:rPr>
        <w:t>majú</w:t>
      </w:r>
      <w:r w:rsidRPr="009D34C5">
        <w:rPr>
          <w:sz w:val="22"/>
          <w:szCs w:val="22"/>
        </w:rPr>
        <w:t xml:space="preserve"> byť oddelené intervalom niekoľkých hodín</w:t>
      </w:r>
      <w:r w:rsidR="00543825" w:rsidRPr="009D34C5">
        <w:rPr>
          <w:spacing w:val="-1"/>
          <w:sz w:val="22"/>
          <w:szCs w:val="22"/>
        </w:rPr>
        <w:t>.</w:t>
      </w:r>
    </w:p>
    <w:p w14:paraId="189F881B" w14:textId="77777777" w:rsidR="002E42EF" w:rsidRPr="009D34C5" w:rsidRDefault="002E42EF" w:rsidP="00F373A5">
      <w:pPr>
        <w:pStyle w:val="Zkladntext"/>
        <w:ind w:left="142" w:right="104"/>
        <w:jc w:val="both"/>
        <w:rPr>
          <w:sz w:val="22"/>
          <w:szCs w:val="22"/>
        </w:rPr>
      </w:pPr>
    </w:p>
    <w:p w14:paraId="5E4BD41E" w14:textId="390394D0" w:rsidR="00227451" w:rsidRPr="009D34C5" w:rsidRDefault="00C3620A" w:rsidP="00C3620A">
      <w:pPr>
        <w:pStyle w:val="Nadpis1"/>
        <w:numPr>
          <w:ilvl w:val="1"/>
          <w:numId w:val="4"/>
        </w:numPr>
        <w:tabs>
          <w:tab w:val="left" w:pos="567"/>
        </w:tabs>
        <w:spacing w:before="98"/>
        <w:ind w:firstLine="5"/>
        <w:jc w:val="both"/>
        <w:rPr>
          <w:b w:val="0"/>
          <w:bCs w:val="0"/>
          <w:sz w:val="22"/>
          <w:szCs w:val="22"/>
        </w:rPr>
      </w:pPr>
      <w:r w:rsidRPr="009D34C5">
        <w:rPr>
          <w:spacing w:val="-1"/>
          <w:sz w:val="22"/>
          <w:szCs w:val="22"/>
        </w:rPr>
        <w:t>Kontraindikácie</w:t>
      </w:r>
    </w:p>
    <w:p w14:paraId="5480F812" w14:textId="77777777" w:rsidR="001A26B8" w:rsidRPr="009D34C5" w:rsidRDefault="001A26B8" w:rsidP="001A26B8">
      <w:pPr>
        <w:pStyle w:val="Nadpis1"/>
        <w:tabs>
          <w:tab w:val="left" w:pos="567"/>
        </w:tabs>
        <w:spacing w:before="98"/>
        <w:ind w:left="142" w:firstLine="0"/>
        <w:jc w:val="both"/>
        <w:rPr>
          <w:b w:val="0"/>
          <w:bCs w:val="0"/>
          <w:sz w:val="22"/>
          <w:szCs w:val="22"/>
        </w:rPr>
      </w:pPr>
    </w:p>
    <w:p w14:paraId="0981C1D1" w14:textId="60F04F10" w:rsidR="00C3620A" w:rsidRPr="009D34C5" w:rsidRDefault="00C3620A" w:rsidP="00C3620A">
      <w:pPr>
        <w:pStyle w:val="Zkladntext"/>
        <w:numPr>
          <w:ilvl w:val="0"/>
          <w:numId w:val="2"/>
        </w:numPr>
        <w:tabs>
          <w:tab w:val="left" w:pos="401"/>
        </w:tabs>
        <w:spacing w:line="229" w:lineRule="exact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Precitlivenosť </w:t>
      </w:r>
      <w:proofErr w:type="gramStart"/>
      <w:r w:rsidRPr="009D34C5">
        <w:rPr>
          <w:spacing w:val="-1"/>
          <w:sz w:val="22"/>
          <w:szCs w:val="22"/>
        </w:rPr>
        <w:t>na</w:t>
      </w:r>
      <w:proofErr w:type="gramEnd"/>
      <w:r w:rsidRPr="009D34C5">
        <w:rPr>
          <w:spacing w:val="-1"/>
          <w:sz w:val="22"/>
          <w:szCs w:val="22"/>
        </w:rPr>
        <w:t xml:space="preserve"> liečivo, sodnú soľ metyl</w:t>
      </w:r>
      <w:r w:rsidR="00D97748">
        <w:rPr>
          <w:spacing w:val="-1"/>
          <w:sz w:val="22"/>
          <w:szCs w:val="22"/>
        </w:rPr>
        <w:t>-</w:t>
      </w:r>
      <w:r w:rsidR="00A7691C" w:rsidRPr="009D34C5">
        <w:rPr>
          <w:spacing w:val="-1"/>
          <w:sz w:val="22"/>
          <w:szCs w:val="22"/>
        </w:rPr>
        <w:t>para</w:t>
      </w:r>
      <w:r w:rsidRPr="009D34C5">
        <w:rPr>
          <w:spacing w:val="-1"/>
          <w:sz w:val="22"/>
          <w:szCs w:val="22"/>
        </w:rPr>
        <w:t>hydroxybenzoátu alebo na ktorúkoľvek z</w:t>
      </w:r>
      <w:r w:rsidR="00A7691C" w:rsidRPr="009D34C5">
        <w:rPr>
          <w:spacing w:val="-1"/>
          <w:sz w:val="22"/>
          <w:szCs w:val="22"/>
        </w:rPr>
        <w:t> </w:t>
      </w:r>
      <w:r w:rsidRPr="009D34C5">
        <w:rPr>
          <w:spacing w:val="-1"/>
          <w:sz w:val="22"/>
          <w:szCs w:val="22"/>
        </w:rPr>
        <w:t xml:space="preserve">pomocných látok </w:t>
      </w:r>
      <w:r w:rsidRPr="009D34C5">
        <w:rPr>
          <w:spacing w:val="-1"/>
          <w:sz w:val="22"/>
          <w:szCs w:val="22"/>
        </w:rPr>
        <w:lastRenderedPageBreak/>
        <w:t xml:space="preserve">uvedených v časti 6.1. </w:t>
      </w:r>
    </w:p>
    <w:p w14:paraId="38A141A5" w14:textId="52E97D05" w:rsidR="00227451" w:rsidRPr="009D34C5" w:rsidRDefault="00C3620A" w:rsidP="00C3620A">
      <w:pPr>
        <w:pStyle w:val="Zkladntext"/>
        <w:numPr>
          <w:ilvl w:val="0"/>
          <w:numId w:val="2"/>
        </w:numPr>
        <w:tabs>
          <w:tab w:val="left" w:pos="401"/>
        </w:tabs>
        <w:spacing w:line="229" w:lineRule="exact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U pacientov s insuficienciou nadobličiek bez primeraného </w:t>
      </w:r>
      <w:r w:rsidR="00410A22" w:rsidRPr="009D34C5">
        <w:rPr>
          <w:spacing w:val="-1"/>
          <w:sz w:val="22"/>
          <w:szCs w:val="22"/>
        </w:rPr>
        <w:t>krytia kortikosteroidmi</w:t>
      </w:r>
      <w:r w:rsidRPr="009D34C5">
        <w:rPr>
          <w:spacing w:val="-1"/>
          <w:sz w:val="22"/>
          <w:szCs w:val="22"/>
        </w:rPr>
        <w:t>, neliečenou insuficienciou hypofýzy a neliečenou tyreotoxikózou.</w:t>
      </w:r>
    </w:p>
    <w:p w14:paraId="2FF27AED" w14:textId="2E058184" w:rsidR="00410A22" w:rsidRPr="009D34C5" w:rsidRDefault="00410A22" w:rsidP="00410A22">
      <w:pPr>
        <w:pStyle w:val="Zkladntext"/>
        <w:numPr>
          <w:ilvl w:val="0"/>
          <w:numId w:val="2"/>
        </w:numPr>
        <w:tabs>
          <w:tab w:val="left" w:pos="142"/>
        </w:tabs>
        <w:ind w:right="104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Liečba Alveroxom </w:t>
      </w:r>
      <w:proofErr w:type="gramStart"/>
      <w:r w:rsidRPr="009D34C5">
        <w:rPr>
          <w:spacing w:val="-1"/>
          <w:sz w:val="22"/>
          <w:szCs w:val="22"/>
        </w:rPr>
        <w:t>sa</w:t>
      </w:r>
      <w:proofErr w:type="gramEnd"/>
      <w:r w:rsidRPr="009D34C5">
        <w:rPr>
          <w:spacing w:val="-1"/>
          <w:sz w:val="22"/>
          <w:szCs w:val="22"/>
        </w:rPr>
        <w:t xml:space="preserve"> nesmie začať pri akútnom infarkte myokardu, akútnej myokarditíde a</w:t>
      </w:r>
      <w:r w:rsidR="00C6052C" w:rsidRPr="009D34C5">
        <w:rPr>
          <w:spacing w:val="-1"/>
          <w:sz w:val="22"/>
          <w:szCs w:val="22"/>
        </w:rPr>
        <w:t> </w:t>
      </w:r>
      <w:r w:rsidRPr="009D34C5">
        <w:rPr>
          <w:spacing w:val="-1"/>
          <w:sz w:val="22"/>
          <w:szCs w:val="22"/>
        </w:rPr>
        <w:t xml:space="preserve">akútnej pankarditíde. </w:t>
      </w:r>
    </w:p>
    <w:p w14:paraId="04AEE4FA" w14:textId="05620FDA" w:rsidR="002E42EF" w:rsidRPr="009D34C5" w:rsidRDefault="00410A22" w:rsidP="00410A22">
      <w:pPr>
        <w:pStyle w:val="Zkladntext"/>
        <w:numPr>
          <w:ilvl w:val="0"/>
          <w:numId w:val="7"/>
        </w:numPr>
        <w:tabs>
          <w:tab w:val="left" w:pos="426"/>
        </w:tabs>
        <w:ind w:left="426" w:right="104" w:hanging="284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>Kombinovaná liečba hypertyreózy levotyroxínom a tyreostatikami nie je indikovaná počas tehotenstva (pozri časť 4.6).</w:t>
      </w:r>
    </w:p>
    <w:p w14:paraId="1E06CE3A" w14:textId="77777777" w:rsidR="00410A22" w:rsidRPr="009D34C5" w:rsidRDefault="00410A22" w:rsidP="00410A22">
      <w:pPr>
        <w:pStyle w:val="Zkladntext"/>
        <w:tabs>
          <w:tab w:val="left" w:pos="399"/>
          <w:tab w:val="left" w:pos="401"/>
        </w:tabs>
        <w:ind w:left="116" w:right="104"/>
        <w:rPr>
          <w:sz w:val="22"/>
          <w:szCs w:val="22"/>
        </w:rPr>
      </w:pPr>
    </w:p>
    <w:p w14:paraId="4F04C435" w14:textId="6D73123E" w:rsidR="00227451" w:rsidRPr="009D34C5" w:rsidRDefault="001A26B8" w:rsidP="001A26B8">
      <w:pPr>
        <w:pStyle w:val="Nadpis1"/>
        <w:numPr>
          <w:ilvl w:val="1"/>
          <w:numId w:val="4"/>
        </w:numPr>
        <w:tabs>
          <w:tab w:val="left" w:pos="567"/>
        </w:tabs>
        <w:spacing w:before="98"/>
        <w:ind w:firstLine="5"/>
        <w:jc w:val="both"/>
        <w:rPr>
          <w:b w:val="0"/>
          <w:bCs w:val="0"/>
          <w:sz w:val="22"/>
          <w:szCs w:val="22"/>
        </w:rPr>
      </w:pPr>
      <w:r w:rsidRPr="009D34C5">
        <w:rPr>
          <w:spacing w:val="-1"/>
          <w:sz w:val="22"/>
          <w:szCs w:val="22"/>
        </w:rPr>
        <w:t>Osobitné upozornenia a opatrenia pri používaní</w:t>
      </w:r>
    </w:p>
    <w:p w14:paraId="294844B7" w14:textId="77777777" w:rsidR="001A26B8" w:rsidRPr="009D34C5" w:rsidRDefault="001A26B8" w:rsidP="001A26B8">
      <w:pPr>
        <w:pStyle w:val="Nadpis1"/>
        <w:tabs>
          <w:tab w:val="left" w:pos="567"/>
        </w:tabs>
        <w:spacing w:before="98"/>
        <w:ind w:left="142" w:firstLine="0"/>
        <w:jc w:val="both"/>
        <w:rPr>
          <w:b w:val="0"/>
          <w:bCs w:val="0"/>
          <w:sz w:val="22"/>
          <w:szCs w:val="22"/>
        </w:rPr>
      </w:pPr>
    </w:p>
    <w:p w14:paraId="06E6C933" w14:textId="75B45543" w:rsidR="001A26B8" w:rsidRPr="009D34C5" w:rsidRDefault="001A26B8" w:rsidP="001A26B8">
      <w:pPr>
        <w:pStyle w:val="Zkladntext"/>
        <w:spacing w:before="26"/>
        <w:ind w:left="142" w:right="103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Liečba hormónmi štítnej žľazy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má používať opatrne u pacientov s kardiovaskulárnymi poruchami vrátane insuficienci</w:t>
      </w:r>
      <w:r w:rsidR="00A7691C" w:rsidRPr="009D34C5">
        <w:rPr>
          <w:sz w:val="22"/>
          <w:szCs w:val="22"/>
        </w:rPr>
        <w:t>e</w:t>
      </w:r>
      <w:r w:rsidRPr="009D34C5">
        <w:rPr>
          <w:sz w:val="22"/>
          <w:szCs w:val="22"/>
        </w:rPr>
        <w:t xml:space="preserve"> myokardu a hypertenzie, hypofýzárnej insuficienci</w:t>
      </w:r>
      <w:r w:rsidR="00A7691C" w:rsidRPr="009D34C5">
        <w:rPr>
          <w:sz w:val="22"/>
          <w:szCs w:val="22"/>
        </w:rPr>
        <w:t>e</w:t>
      </w:r>
      <w:r w:rsidRPr="009D34C5">
        <w:rPr>
          <w:sz w:val="22"/>
          <w:szCs w:val="22"/>
        </w:rPr>
        <w:t xml:space="preserve"> alebo insuficienci</w:t>
      </w:r>
      <w:r w:rsidR="00A7691C" w:rsidRPr="009D34C5">
        <w:rPr>
          <w:sz w:val="22"/>
          <w:szCs w:val="22"/>
        </w:rPr>
        <w:t>e</w:t>
      </w:r>
      <w:r w:rsidRPr="009D34C5">
        <w:rPr>
          <w:sz w:val="22"/>
          <w:szCs w:val="22"/>
        </w:rPr>
        <w:t xml:space="preserve"> nadobličiek a u starších pacientov.</w:t>
      </w:r>
    </w:p>
    <w:p w14:paraId="141B179F" w14:textId="2237DE82" w:rsidR="007E1533" w:rsidRPr="009D34C5" w:rsidRDefault="007E1533" w:rsidP="00383D3A">
      <w:pPr>
        <w:pStyle w:val="Zkladntext"/>
        <w:spacing w:before="91"/>
        <w:ind w:left="142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V prípade adrenokortikálnej dysfunkcie </w:t>
      </w:r>
      <w:r w:rsidR="00E73E64" w:rsidRPr="009D34C5">
        <w:rPr>
          <w:sz w:val="22"/>
          <w:szCs w:val="22"/>
        </w:rPr>
        <w:t>je potr</w:t>
      </w:r>
      <w:r w:rsidR="00C6052C" w:rsidRPr="009D34C5">
        <w:rPr>
          <w:sz w:val="22"/>
          <w:szCs w:val="22"/>
        </w:rPr>
        <w:t>e</w:t>
      </w:r>
      <w:r w:rsidR="00E73E64" w:rsidRPr="009D34C5">
        <w:rPr>
          <w:sz w:val="22"/>
          <w:szCs w:val="22"/>
        </w:rPr>
        <w:t>bné tento stav</w:t>
      </w:r>
      <w:r w:rsidRPr="009D34C5">
        <w:rPr>
          <w:sz w:val="22"/>
          <w:szCs w:val="22"/>
        </w:rPr>
        <w:t xml:space="preserve"> liečiť pred začatím liečby levotyroxínom adekvátnou náhradnou liečbou, aby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zabránilo akútnej adrenálnej insuficiencii (pozri časť 4.3). Opatrnosť je tiež potrebná pri podávaní levotyroxínu diabetikom alebo pacientom užívajúcim glykozidy.</w:t>
      </w:r>
    </w:p>
    <w:p w14:paraId="758EDA59" w14:textId="7C7E02E7" w:rsidR="007E1533" w:rsidRPr="009D34C5" w:rsidRDefault="007E1533" w:rsidP="00383D3A">
      <w:pPr>
        <w:pStyle w:val="Zkladntext"/>
        <w:spacing w:before="91"/>
        <w:ind w:left="142" w:right="102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Subklinická hypertyreóza môže byť spojená s úbytkom kostnej hmoty. Na minimalizáciu rizika osteoporózy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má dávka sodnej soli levotyroxínu titrovať na najnižšiu možnú </w:t>
      </w:r>
      <w:r w:rsidR="00A7691C" w:rsidRPr="009D34C5">
        <w:rPr>
          <w:sz w:val="22"/>
          <w:szCs w:val="22"/>
        </w:rPr>
        <w:t xml:space="preserve">účinnú </w:t>
      </w:r>
      <w:r w:rsidRPr="009D34C5">
        <w:rPr>
          <w:sz w:val="22"/>
          <w:szCs w:val="22"/>
        </w:rPr>
        <w:t>hladinu.</w:t>
      </w:r>
    </w:p>
    <w:p w14:paraId="71A1CC0E" w14:textId="509A7640" w:rsidR="007E1533" w:rsidRPr="009D34C5" w:rsidRDefault="00E73E64" w:rsidP="00383D3A">
      <w:pPr>
        <w:pStyle w:val="Zkladntext"/>
        <w:spacing w:before="91"/>
        <w:ind w:left="142" w:right="102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U pacientov s koronárnym zlyhaním, srdcovou nedostatočnosťou alebo tachykardickými arytmiami </w:t>
      </w:r>
      <w:r w:rsidR="00A7691C" w:rsidRPr="009D34C5">
        <w:rPr>
          <w:sz w:val="22"/>
          <w:szCs w:val="22"/>
        </w:rPr>
        <w:t>je nutné</w:t>
      </w:r>
      <w:r w:rsidRPr="009D34C5">
        <w:rPr>
          <w:sz w:val="22"/>
          <w:szCs w:val="22"/>
        </w:rPr>
        <w:t xml:space="preserve"> vyhnúť </w:t>
      </w:r>
      <w:proofErr w:type="gramStart"/>
      <w:r w:rsidR="00A7691C" w:rsidRPr="009D34C5">
        <w:rPr>
          <w:sz w:val="22"/>
          <w:szCs w:val="22"/>
        </w:rPr>
        <w:t>sa</w:t>
      </w:r>
      <w:proofErr w:type="gramEnd"/>
      <w:r w:rsidR="00A7691C" w:rsidRPr="009D34C5">
        <w:rPr>
          <w:sz w:val="22"/>
          <w:szCs w:val="22"/>
        </w:rPr>
        <w:t xml:space="preserve"> </w:t>
      </w:r>
      <w:r w:rsidRPr="009D34C5">
        <w:rPr>
          <w:sz w:val="22"/>
          <w:szCs w:val="22"/>
        </w:rPr>
        <w:t>hoci aj miernej liekmi indukovanej hypertyreóze. Preto sú v týchto prípadoch potrebné časté kontroly hladín hormónov štítnej žľazy.</w:t>
      </w:r>
    </w:p>
    <w:p w14:paraId="6C954EBD" w14:textId="77777777" w:rsidR="00E73E64" w:rsidRPr="009D34C5" w:rsidRDefault="00E73E64" w:rsidP="00383D3A">
      <w:pPr>
        <w:pStyle w:val="Zkladntext"/>
        <w:spacing w:before="94"/>
        <w:ind w:left="142" w:right="101"/>
        <w:jc w:val="both"/>
        <w:rPr>
          <w:sz w:val="22"/>
          <w:szCs w:val="22"/>
        </w:rPr>
      </w:pPr>
      <w:r w:rsidRPr="009D34C5">
        <w:rPr>
          <w:sz w:val="22"/>
          <w:szCs w:val="22"/>
        </w:rPr>
        <w:t>V prípade sekundárnej hypotyreózy je potrebné pred podaním substitučnej liečby najprv stanoviť príčinu a v prípade potreby začať substitučnú liečbu kompenzovanej insuficiencie nadobličiek.</w:t>
      </w:r>
    </w:p>
    <w:p w14:paraId="29252EE3" w14:textId="77777777" w:rsidR="00E73E64" w:rsidRPr="009D34C5" w:rsidRDefault="00E73E64" w:rsidP="00383D3A">
      <w:pPr>
        <w:pStyle w:val="Zkladntext"/>
        <w:spacing w:before="94"/>
        <w:ind w:left="142" w:right="106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Pri podozrení </w:t>
      </w:r>
      <w:proofErr w:type="gramStart"/>
      <w:r w:rsidRPr="009D34C5">
        <w:rPr>
          <w:spacing w:val="-1"/>
          <w:sz w:val="22"/>
          <w:szCs w:val="22"/>
        </w:rPr>
        <w:t>na</w:t>
      </w:r>
      <w:proofErr w:type="gramEnd"/>
      <w:r w:rsidRPr="009D34C5">
        <w:rPr>
          <w:spacing w:val="-1"/>
          <w:sz w:val="22"/>
          <w:szCs w:val="22"/>
        </w:rPr>
        <w:t xml:space="preserve"> tyreoidálnu autonómiu sa má pred liečbou vykonať TRH test alebo supresný scintigram.</w:t>
      </w:r>
    </w:p>
    <w:p w14:paraId="4C8D640D" w14:textId="188033B8" w:rsidR="002E42EF" w:rsidRPr="009D34C5" w:rsidRDefault="00E640CF" w:rsidP="00383D3A">
      <w:pPr>
        <w:pStyle w:val="Zkladntext"/>
        <w:spacing w:before="55"/>
        <w:ind w:left="142" w:right="102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Levotyroxín </w:t>
      </w:r>
      <w:proofErr w:type="gramStart"/>
      <w:r w:rsidRPr="009D34C5">
        <w:rPr>
          <w:spacing w:val="-1"/>
          <w:sz w:val="22"/>
          <w:szCs w:val="22"/>
        </w:rPr>
        <w:t>sa</w:t>
      </w:r>
      <w:proofErr w:type="gramEnd"/>
      <w:r w:rsidRPr="009D34C5">
        <w:rPr>
          <w:spacing w:val="-1"/>
          <w:sz w:val="22"/>
          <w:szCs w:val="22"/>
        </w:rPr>
        <w:t xml:space="preserve"> nemá podávať pri hypertyreotických stavoch, s výnimkou sprievodnej suplementácie v priebehu liečby hypertyreózy tyreostatikami.</w:t>
      </w:r>
    </w:p>
    <w:p w14:paraId="094CE620" w14:textId="77777777" w:rsidR="00E640CF" w:rsidRPr="009D34C5" w:rsidRDefault="00E640CF" w:rsidP="00383D3A">
      <w:pPr>
        <w:pStyle w:val="Zkladntext"/>
        <w:spacing w:before="55"/>
        <w:ind w:left="142" w:right="102"/>
        <w:jc w:val="both"/>
        <w:rPr>
          <w:spacing w:val="-1"/>
          <w:sz w:val="22"/>
          <w:szCs w:val="22"/>
        </w:rPr>
      </w:pPr>
    </w:p>
    <w:p w14:paraId="63D51E87" w14:textId="64A9CAD0" w:rsidR="00227451" w:rsidRPr="009D34C5" w:rsidRDefault="00E640CF" w:rsidP="00383D3A">
      <w:pPr>
        <w:pStyle w:val="Zkladntext"/>
        <w:spacing w:before="55"/>
        <w:ind w:left="142" w:right="102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Hormóny štítnej žľazy nie sú vhodné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znižovanie telesnej hmotnosti. U eutyroidných pacientov fyziologické dávky nespôsobujú zníženie telesnej hmotnosti. </w:t>
      </w:r>
      <w:r w:rsidRPr="009D34C5">
        <w:rPr>
          <w:spacing w:val="-1"/>
          <w:sz w:val="22"/>
          <w:szCs w:val="22"/>
        </w:rPr>
        <w:t xml:space="preserve">Suprafyziologické dávky môžu spôsobiť závažné alebo život ohrozujúce nežiaduce účinky, </w:t>
      </w:r>
      <w:r w:rsidRPr="009D34C5">
        <w:rPr>
          <w:spacing w:val="-1"/>
          <w:sz w:val="22"/>
          <w:szCs w:val="22"/>
          <w:u w:val="single"/>
        </w:rPr>
        <w:t xml:space="preserve">najmä v kombinácii s niektorými látkami </w:t>
      </w:r>
      <w:proofErr w:type="gramStart"/>
      <w:r w:rsidRPr="009D34C5">
        <w:rPr>
          <w:spacing w:val="-1"/>
          <w:sz w:val="22"/>
          <w:szCs w:val="22"/>
          <w:u w:val="single"/>
        </w:rPr>
        <w:t>na</w:t>
      </w:r>
      <w:proofErr w:type="gramEnd"/>
      <w:r w:rsidRPr="009D34C5">
        <w:rPr>
          <w:spacing w:val="-1"/>
          <w:sz w:val="22"/>
          <w:szCs w:val="22"/>
          <w:u w:val="single"/>
        </w:rPr>
        <w:t xml:space="preserve"> redukciu hmotnosti a najmä so sympatomimetickými amínmi</w:t>
      </w:r>
      <w:r w:rsidRPr="009D34C5">
        <w:rPr>
          <w:spacing w:val="-1"/>
          <w:sz w:val="22"/>
          <w:szCs w:val="22"/>
        </w:rPr>
        <w:t xml:space="preserve"> </w:t>
      </w:r>
      <w:r w:rsidRPr="009D34C5">
        <w:rPr>
          <w:sz w:val="22"/>
          <w:szCs w:val="22"/>
        </w:rPr>
        <w:t>(pozri tiež časť 4.9).</w:t>
      </w:r>
    </w:p>
    <w:p w14:paraId="741D749C" w14:textId="24730ABE" w:rsidR="00156747" w:rsidRPr="009D34C5" w:rsidRDefault="006B5597" w:rsidP="00F33176">
      <w:pPr>
        <w:pStyle w:val="Zkladntext"/>
        <w:spacing w:before="91"/>
        <w:ind w:left="142" w:right="100"/>
        <w:jc w:val="both"/>
        <w:rPr>
          <w:sz w:val="22"/>
          <w:szCs w:val="22"/>
        </w:rPr>
      </w:pPr>
      <w:r w:rsidRPr="009D34C5">
        <w:rPr>
          <w:sz w:val="22"/>
          <w:szCs w:val="22"/>
        </w:rPr>
        <w:t>EKG pred začatím liečby</w:t>
      </w:r>
      <w:r w:rsidR="00156747" w:rsidRPr="009D34C5">
        <w:rPr>
          <w:sz w:val="22"/>
          <w:szCs w:val="22"/>
        </w:rPr>
        <w:t xml:space="preserve"> je </w:t>
      </w:r>
      <w:r w:rsidR="00D77453" w:rsidRPr="009D34C5">
        <w:rPr>
          <w:sz w:val="22"/>
          <w:szCs w:val="22"/>
        </w:rPr>
        <w:t>prínosné</w:t>
      </w:r>
      <w:r w:rsidR="00156747" w:rsidRPr="009D34C5">
        <w:rPr>
          <w:sz w:val="22"/>
          <w:szCs w:val="22"/>
        </w:rPr>
        <w:t xml:space="preserve">, </w:t>
      </w:r>
      <w:r w:rsidRPr="009D34C5">
        <w:rPr>
          <w:sz w:val="22"/>
          <w:szCs w:val="22"/>
        </w:rPr>
        <w:t>keďže</w:t>
      </w:r>
      <w:r w:rsidR="00156747" w:rsidRPr="009D34C5">
        <w:rPr>
          <w:sz w:val="22"/>
          <w:szCs w:val="22"/>
        </w:rPr>
        <w:t xml:space="preserve"> zmeny vyvolané hypotyr</w:t>
      </w:r>
      <w:r w:rsidRPr="009D34C5">
        <w:rPr>
          <w:sz w:val="22"/>
          <w:szCs w:val="22"/>
        </w:rPr>
        <w:t>eózou</w:t>
      </w:r>
      <w:r w:rsidR="00156747" w:rsidRPr="009D34C5">
        <w:rPr>
          <w:sz w:val="22"/>
          <w:szCs w:val="22"/>
        </w:rPr>
        <w:t xml:space="preserve"> môžu byť zamieňané s dôkazmi ischémie. </w:t>
      </w:r>
      <w:proofErr w:type="gramStart"/>
      <w:r w:rsidR="00156747" w:rsidRPr="009D34C5">
        <w:rPr>
          <w:sz w:val="22"/>
          <w:szCs w:val="22"/>
        </w:rPr>
        <w:t>Ak</w:t>
      </w:r>
      <w:proofErr w:type="gramEnd"/>
      <w:r w:rsidR="00156747" w:rsidRPr="009D34C5">
        <w:rPr>
          <w:sz w:val="22"/>
          <w:szCs w:val="22"/>
        </w:rPr>
        <w:t xml:space="preserve"> dôjde k príliš rýchlemu zvýšeniu metabolizmu (spôs</w:t>
      </w:r>
      <w:r w:rsidRPr="009D34C5">
        <w:rPr>
          <w:sz w:val="22"/>
          <w:szCs w:val="22"/>
        </w:rPr>
        <w:t>obujúcemu hnačku, nervozitu, rýchly pulz</w:t>
      </w:r>
      <w:r w:rsidR="00156747" w:rsidRPr="009D34C5">
        <w:rPr>
          <w:sz w:val="22"/>
          <w:szCs w:val="22"/>
        </w:rPr>
        <w:t>, nespavo</w:t>
      </w:r>
      <w:r w:rsidRPr="009D34C5">
        <w:rPr>
          <w:sz w:val="22"/>
          <w:szCs w:val="22"/>
        </w:rPr>
        <w:t>sť, trasenie</w:t>
      </w:r>
      <w:r w:rsidR="00156747" w:rsidRPr="009D34C5">
        <w:rPr>
          <w:sz w:val="22"/>
          <w:szCs w:val="22"/>
        </w:rPr>
        <w:t xml:space="preserve"> a niekedy angínov</w:t>
      </w:r>
      <w:r w:rsidRPr="009D34C5">
        <w:rPr>
          <w:sz w:val="22"/>
          <w:szCs w:val="22"/>
        </w:rPr>
        <w:t>é bolesti</w:t>
      </w:r>
      <w:r w:rsidR="00156747" w:rsidRPr="009D34C5">
        <w:rPr>
          <w:sz w:val="22"/>
          <w:szCs w:val="22"/>
        </w:rPr>
        <w:t xml:space="preserve"> pri latentnej ischémii myokardu), znížte dávku alebo vysaďte</w:t>
      </w:r>
      <w:r w:rsidRPr="009D34C5">
        <w:rPr>
          <w:sz w:val="22"/>
          <w:szCs w:val="22"/>
        </w:rPr>
        <w:t xml:space="preserve"> na</w:t>
      </w:r>
      <w:r w:rsidR="00156747" w:rsidRPr="009D34C5">
        <w:rPr>
          <w:sz w:val="22"/>
          <w:szCs w:val="22"/>
        </w:rPr>
        <w:t xml:space="preserve"> 1 </w:t>
      </w:r>
      <w:r w:rsidR="00D77453" w:rsidRPr="009D34C5">
        <w:rPr>
          <w:sz w:val="22"/>
          <w:szCs w:val="22"/>
        </w:rPr>
        <w:t>–</w:t>
      </w:r>
      <w:r w:rsidR="00156747" w:rsidRPr="009D34C5">
        <w:rPr>
          <w:sz w:val="22"/>
          <w:szCs w:val="22"/>
        </w:rPr>
        <w:t xml:space="preserve"> 2 dni a začnite znova s nižšou dávkou</w:t>
      </w:r>
      <w:r w:rsidR="00C6052C" w:rsidRPr="009D34C5">
        <w:rPr>
          <w:sz w:val="22"/>
          <w:szCs w:val="22"/>
        </w:rPr>
        <w:t>.</w:t>
      </w:r>
    </w:p>
    <w:p w14:paraId="0011E350" w14:textId="77777777" w:rsidR="006273E0" w:rsidRPr="009D34C5" w:rsidRDefault="006273E0" w:rsidP="00383D3A">
      <w:pPr>
        <w:pStyle w:val="Zkladntext"/>
        <w:spacing w:before="91"/>
        <w:ind w:left="142" w:right="100"/>
        <w:jc w:val="both"/>
        <w:rPr>
          <w:sz w:val="22"/>
          <w:szCs w:val="22"/>
        </w:rPr>
      </w:pPr>
    </w:p>
    <w:p w14:paraId="27A998B3" w14:textId="6F14D428" w:rsidR="00F33176" w:rsidRPr="009D34C5" w:rsidRDefault="00F33176" w:rsidP="00383D3A">
      <w:pPr>
        <w:pStyle w:val="Zkladntext"/>
        <w:ind w:left="142" w:right="100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Po zavedení liečby levotyroxínom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odporúča upraviť dávkovanie podľa klinickej odpovede pacienta a laboratórnych testov v prípade prechodu na iný liek obsahujúci levotyroxín. Monitorovanie terapeutickej rovnováhy v prípade zmeny </w:t>
      </w:r>
      <w:r w:rsidR="00D76738" w:rsidRPr="009D34C5">
        <w:rPr>
          <w:sz w:val="22"/>
          <w:szCs w:val="22"/>
        </w:rPr>
        <w:t xml:space="preserve">lieku s </w:t>
      </w:r>
      <w:r w:rsidRPr="009D34C5">
        <w:rPr>
          <w:sz w:val="22"/>
          <w:szCs w:val="22"/>
        </w:rPr>
        <w:t xml:space="preserve">levotyroxínom má osobitný význam u určitých rizikových pacientov v nasledujúcich kategóriách: pacienti liečení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rakovinu štítnej žľazy, ktorí však majú tiež kardiovaskulárne ochorenie (srdcové alebo koronárne </w:t>
      </w:r>
      <w:r w:rsidR="005235E6" w:rsidRPr="009D34C5">
        <w:rPr>
          <w:sz w:val="22"/>
          <w:szCs w:val="22"/>
        </w:rPr>
        <w:t>zlyh</w:t>
      </w:r>
      <w:r w:rsidR="005235E6">
        <w:rPr>
          <w:sz w:val="22"/>
          <w:szCs w:val="22"/>
        </w:rPr>
        <w:t>ávanie</w:t>
      </w:r>
      <w:r w:rsidR="005235E6" w:rsidRPr="009D34C5">
        <w:rPr>
          <w:sz w:val="22"/>
          <w:szCs w:val="22"/>
        </w:rPr>
        <w:t xml:space="preserve"> </w:t>
      </w:r>
      <w:r w:rsidRPr="009D34C5">
        <w:rPr>
          <w:sz w:val="22"/>
          <w:szCs w:val="22"/>
        </w:rPr>
        <w:t>srdca a poruchy srdcového rytmu), tehotné ženy, deti a starší ľudia; a v určitých situáciách, keď bolo obzvlášť ťažké dosiahnuť terapeutickú rovnováhu.</w:t>
      </w:r>
    </w:p>
    <w:p w14:paraId="3D741AF3" w14:textId="2BBCC548" w:rsidR="00227451" w:rsidRPr="009D34C5" w:rsidRDefault="00E46F0D" w:rsidP="00383D3A">
      <w:pPr>
        <w:pStyle w:val="Zkladntext"/>
        <w:spacing w:before="91"/>
        <w:ind w:left="142"/>
        <w:jc w:val="both"/>
        <w:rPr>
          <w:sz w:val="22"/>
          <w:szCs w:val="22"/>
        </w:rPr>
      </w:pPr>
      <w:r w:rsidRPr="009D34C5">
        <w:rPr>
          <w:sz w:val="22"/>
          <w:szCs w:val="22"/>
          <w:u w:val="single" w:color="000000"/>
        </w:rPr>
        <w:t>Tento li</w:t>
      </w:r>
      <w:r w:rsidR="00C6052C" w:rsidRPr="009D34C5">
        <w:rPr>
          <w:sz w:val="22"/>
          <w:szCs w:val="22"/>
          <w:u w:val="single" w:color="000000"/>
        </w:rPr>
        <w:t>ek</w:t>
      </w:r>
      <w:r w:rsidRPr="009D34C5">
        <w:rPr>
          <w:sz w:val="22"/>
          <w:szCs w:val="22"/>
          <w:u w:val="single" w:color="000000"/>
        </w:rPr>
        <w:t xml:space="preserve"> obsahuje</w:t>
      </w:r>
      <w:r w:rsidR="00543825" w:rsidRPr="009D34C5">
        <w:rPr>
          <w:spacing w:val="-1"/>
          <w:sz w:val="22"/>
          <w:szCs w:val="22"/>
        </w:rPr>
        <w:t>:</w:t>
      </w:r>
    </w:p>
    <w:p w14:paraId="0C28C14F" w14:textId="77777777" w:rsidR="00117440" w:rsidRPr="009D34C5" w:rsidRDefault="00E46F0D" w:rsidP="00117440">
      <w:pPr>
        <w:pStyle w:val="Zkladntext"/>
        <w:tabs>
          <w:tab w:val="left" w:pos="2243"/>
        </w:tabs>
        <w:spacing w:line="335" w:lineRule="auto"/>
        <w:ind w:left="142" w:right="103"/>
        <w:rPr>
          <w:rFonts w:cs="Times New Roman"/>
          <w:sz w:val="22"/>
          <w:szCs w:val="22"/>
        </w:rPr>
      </w:pPr>
      <w:r w:rsidRPr="009D34C5">
        <w:rPr>
          <w:rFonts w:cs="Times New Roman"/>
          <w:spacing w:val="-1"/>
          <w:w w:val="95"/>
          <w:sz w:val="22"/>
          <w:szCs w:val="22"/>
        </w:rPr>
        <w:t>Parahydroxybenzoáty</w:t>
      </w:r>
      <w:r w:rsidR="00543825" w:rsidRPr="009D34C5">
        <w:rPr>
          <w:rFonts w:cs="Times New Roman"/>
          <w:spacing w:val="-1"/>
          <w:w w:val="95"/>
          <w:sz w:val="22"/>
          <w:szCs w:val="22"/>
        </w:rPr>
        <w:tab/>
      </w:r>
      <w:r w:rsidRPr="009D34C5">
        <w:rPr>
          <w:rFonts w:cs="Times New Roman"/>
          <w:sz w:val="22"/>
          <w:szCs w:val="22"/>
        </w:rPr>
        <w:t xml:space="preserve">Môžu spôsobiť alergické reakcie (môžu byť oneskorené). </w:t>
      </w:r>
    </w:p>
    <w:p w14:paraId="2A3AA76F" w14:textId="128C99B1" w:rsidR="00227451" w:rsidRPr="009D34C5" w:rsidRDefault="00543825" w:rsidP="00117440">
      <w:pPr>
        <w:pStyle w:val="Zkladntext"/>
        <w:tabs>
          <w:tab w:val="left" w:pos="2243"/>
        </w:tabs>
        <w:spacing w:line="335" w:lineRule="auto"/>
        <w:ind w:left="142" w:right="103"/>
        <w:rPr>
          <w:sz w:val="22"/>
          <w:szCs w:val="22"/>
        </w:rPr>
      </w:pPr>
      <w:r w:rsidRPr="009D34C5">
        <w:rPr>
          <w:rFonts w:cs="Times New Roman"/>
          <w:spacing w:val="-1"/>
          <w:w w:val="95"/>
          <w:sz w:val="22"/>
          <w:szCs w:val="22"/>
        </w:rPr>
        <w:t>Glycerol</w:t>
      </w:r>
      <w:r w:rsidRPr="009D34C5">
        <w:rPr>
          <w:spacing w:val="-1"/>
          <w:w w:val="95"/>
          <w:sz w:val="22"/>
          <w:szCs w:val="22"/>
        </w:rPr>
        <w:tab/>
      </w:r>
      <w:r w:rsidR="00E46F0D" w:rsidRPr="009D34C5">
        <w:rPr>
          <w:sz w:val="22"/>
          <w:szCs w:val="22"/>
        </w:rPr>
        <w:t>Môže spôsobiť bolesti hlavy, žalúdočné ťažkosti a hnačky.</w:t>
      </w:r>
    </w:p>
    <w:p w14:paraId="3F119E69" w14:textId="77777777" w:rsidR="002E42EF" w:rsidRPr="009D34C5" w:rsidRDefault="002E42EF" w:rsidP="00383D3A">
      <w:pPr>
        <w:spacing w:before="6" w:line="229" w:lineRule="exact"/>
        <w:ind w:left="142"/>
        <w:jc w:val="both"/>
        <w:rPr>
          <w:rFonts w:ascii="Times New Roman"/>
          <w:i/>
          <w:spacing w:val="-1"/>
        </w:rPr>
      </w:pPr>
    </w:p>
    <w:p w14:paraId="273607EC" w14:textId="5E6DC0AA" w:rsidR="00227451" w:rsidRPr="009D34C5" w:rsidRDefault="00E46F0D" w:rsidP="00383D3A">
      <w:pPr>
        <w:spacing w:before="6" w:line="229" w:lineRule="exact"/>
        <w:ind w:left="142"/>
        <w:jc w:val="both"/>
        <w:rPr>
          <w:rFonts w:ascii="Times New Roman" w:eastAsia="Times New Roman" w:hAnsi="Times New Roman" w:cs="Times New Roman"/>
        </w:rPr>
      </w:pPr>
      <w:r w:rsidRPr="009D34C5">
        <w:rPr>
          <w:rFonts w:ascii="Times New Roman"/>
          <w:i/>
          <w:spacing w:val="-1"/>
        </w:rPr>
        <w:t>Pediatrick</w:t>
      </w:r>
      <w:r w:rsidRPr="009D34C5">
        <w:rPr>
          <w:rFonts w:ascii="Times New Roman"/>
          <w:i/>
          <w:spacing w:val="-1"/>
        </w:rPr>
        <w:t>á</w:t>
      </w:r>
      <w:r w:rsidRPr="009D34C5">
        <w:rPr>
          <w:rFonts w:ascii="Times New Roman"/>
          <w:i/>
          <w:spacing w:val="-1"/>
        </w:rPr>
        <w:t xml:space="preserve"> popul</w:t>
      </w:r>
      <w:r w:rsidRPr="009D34C5">
        <w:rPr>
          <w:rFonts w:ascii="Times New Roman"/>
          <w:i/>
          <w:spacing w:val="-1"/>
        </w:rPr>
        <w:t>á</w:t>
      </w:r>
      <w:r w:rsidRPr="009D34C5">
        <w:rPr>
          <w:rFonts w:ascii="Times New Roman"/>
          <w:i/>
          <w:spacing w:val="-1"/>
        </w:rPr>
        <w:t>cia</w:t>
      </w:r>
    </w:p>
    <w:p w14:paraId="799B903E" w14:textId="0D1BFCAB" w:rsidR="00E46F0D" w:rsidRPr="009D34C5" w:rsidRDefault="00E46F0D" w:rsidP="00383D3A">
      <w:pPr>
        <w:pStyle w:val="Zkladntext"/>
        <w:ind w:left="142" w:right="103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Rodičia detí, ktoré dostávajú </w:t>
      </w:r>
      <w:r w:rsidR="00C6052C" w:rsidRPr="009D34C5">
        <w:rPr>
          <w:sz w:val="22"/>
          <w:szCs w:val="22"/>
        </w:rPr>
        <w:t xml:space="preserve">liek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štítnu žľazu</w:t>
      </w:r>
      <w:r w:rsidR="005235E6">
        <w:rPr>
          <w:sz w:val="22"/>
          <w:szCs w:val="22"/>
        </w:rPr>
        <w:t>majú</w:t>
      </w:r>
      <w:r w:rsidRPr="009D34C5">
        <w:rPr>
          <w:sz w:val="22"/>
          <w:szCs w:val="22"/>
        </w:rPr>
        <w:t xml:space="preserve"> byť upozornení, že počas prvých mesiacov liečby môže dôjsť k čiastočnej strate vlasov, ale tento účinok je zvyčajne prechodný a</w:t>
      </w:r>
      <w:r w:rsidR="00A23E02" w:rsidRPr="009D34C5">
        <w:rPr>
          <w:sz w:val="22"/>
          <w:szCs w:val="22"/>
        </w:rPr>
        <w:t xml:space="preserve"> následne </w:t>
      </w:r>
      <w:r w:rsidRPr="009D34C5">
        <w:rPr>
          <w:sz w:val="22"/>
          <w:szCs w:val="22"/>
        </w:rPr>
        <w:t>zvyčajne nastáva opätovný rast.</w:t>
      </w:r>
    </w:p>
    <w:p w14:paraId="16782879" w14:textId="77777777" w:rsidR="00E46F0D" w:rsidRPr="009D34C5" w:rsidRDefault="00E46F0D" w:rsidP="00383D3A">
      <w:pPr>
        <w:pStyle w:val="Zkladntext"/>
        <w:ind w:left="142" w:right="103"/>
        <w:jc w:val="both"/>
        <w:rPr>
          <w:sz w:val="22"/>
          <w:szCs w:val="22"/>
          <w:lang w:eastAsia="de-DE"/>
        </w:rPr>
      </w:pPr>
      <w:r w:rsidRPr="009D34C5">
        <w:rPr>
          <w:sz w:val="22"/>
          <w:szCs w:val="22"/>
          <w:lang w:eastAsia="de-DE"/>
        </w:rPr>
        <w:lastRenderedPageBreak/>
        <w:t>U predčasne narodených novorodencov s nízkou pôrodnou hmotnosťou je pri začatí liečby levotyroxínom potrebná mimoriadna opatrnosť.</w:t>
      </w:r>
    </w:p>
    <w:p w14:paraId="14D7793B" w14:textId="05B8E299" w:rsidR="005235E6" w:rsidRPr="009D34C5" w:rsidRDefault="00E46F0D" w:rsidP="00E46F0D">
      <w:pPr>
        <w:pStyle w:val="Zkladntext"/>
        <w:ind w:left="142" w:right="103"/>
        <w:jc w:val="both"/>
        <w:rPr>
          <w:sz w:val="22"/>
          <w:szCs w:val="22"/>
          <w:lang w:eastAsia="de-DE"/>
        </w:rPr>
      </w:pPr>
      <w:r w:rsidRPr="009D34C5">
        <w:rPr>
          <w:sz w:val="22"/>
          <w:szCs w:val="22"/>
          <w:lang w:eastAsia="de-DE"/>
        </w:rPr>
        <w:t>Pri začatí liečby levotyroxínom u predčasne narodených novorodencov s veľmi nízkou pôrodnou</w:t>
      </w:r>
      <w:r w:rsidR="005235E6">
        <w:rPr>
          <w:sz w:val="22"/>
          <w:szCs w:val="22"/>
          <w:lang w:eastAsia="de-DE"/>
        </w:rPr>
        <w:t xml:space="preserve"> </w:t>
      </w:r>
    </w:p>
    <w:p w14:paraId="71AE75BD" w14:textId="20D9BD15" w:rsidR="00E46F0D" w:rsidRPr="009D34C5" w:rsidRDefault="00E46F0D" w:rsidP="005235E6">
      <w:pPr>
        <w:pStyle w:val="Zkladntext"/>
        <w:ind w:left="142" w:right="103"/>
        <w:jc w:val="both"/>
        <w:rPr>
          <w:sz w:val="22"/>
          <w:szCs w:val="22"/>
          <w:lang w:eastAsia="de-DE"/>
        </w:rPr>
      </w:pPr>
      <w:proofErr w:type="gramStart"/>
      <w:r w:rsidRPr="009D34C5">
        <w:rPr>
          <w:sz w:val="22"/>
          <w:szCs w:val="22"/>
          <w:lang w:eastAsia="de-DE"/>
        </w:rPr>
        <w:t>hmotnosťou</w:t>
      </w:r>
      <w:proofErr w:type="gramEnd"/>
      <w:r w:rsidRPr="009D34C5">
        <w:rPr>
          <w:sz w:val="22"/>
          <w:szCs w:val="22"/>
          <w:lang w:eastAsia="de-DE"/>
        </w:rPr>
        <w:t xml:space="preserve"> sa majú sledovať hemodynamické parametre, pretože v dôsledku nezrelej</w:t>
      </w:r>
      <w:r w:rsidR="005235E6">
        <w:rPr>
          <w:sz w:val="22"/>
          <w:szCs w:val="22"/>
          <w:lang w:eastAsia="de-DE"/>
        </w:rPr>
        <w:t xml:space="preserve"> </w:t>
      </w:r>
      <w:r w:rsidRPr="009D34C5">
        <w:rPr>
          <w:sz w:val="22"/>
          <w:szCs w:val="22"/>
          <w:lang w:eastAsia="de-DE"/>
        </w:rPr>
        <w:t>adrenálnej funkcie môže dôjsť ku kolapsu cirkulácie (pozri tiež časť 4.8).</w:t>
      </w:r>
    </w:p>
    <w:p w14:paraId="0B8D5D1F" w14:textId="77777777" w:rsidR="006273E0" w:rsidRPr="009D34C5" w:rsidRDefault="006273E0" w:rsidP="00383D3A">
      <w:pPr>
        <w:pStyle w:val="Zkladntext"/>
        <w:ind w:left="142" w:right="103"/>
        <w:jc w:val="both"/>
        <w:rPr>
          <w:sz w:val="22"/>
          <w:szCs w:val="22"/>
        </w:rPr>
      </w:pPr>
    </w:p>
    <w:p w14:paraId="493A12E7" w14:textId="513A4955" w:rsidR="00227451" w:rsidRPr="009D34C5" w:rsidRDefault="00117440" w:rsidP="00117440">
      <w:pPr>
        <w:pStyle w:val="Nadpis1"/>
        <w:numPr>
          <w:ilvl w:val="1"/>
          <w:numId w:val="4"/>
        </w:numPr>
        <w:tabs>
          <w:tab w:val="left" w:pos="567"/>
        </w:tabs>
        <w:spacing w:before="98"/>
        <w:ind w:firstLine="5"/>
        <w:jc w:val="both"/>
        <w:rPr>
          <w:b w:val="0"/>
          <w:bCs w:val="0"/>
          <w:sz w:val="22"/>
          <w:szCs w:val="22"/>
        </w:rPr>
      </w:pPr>
      <w:r w:rsidRPr="009D34C5">
        <w:rPr>
          <w:spacing w:val="-1"/>
          <w:sz w:val="22"/>
          <w:szCs w:val="22"/>
        </w:rPr>
        <w:t>Liekové a iné interakcie</w:t>
      </w:r>
    </w:p>
    <w:p w14:paraId="35E42C10" w14:textId="77777777" w:rsidR="00117440" w:rsidRPr="009D34C5" w:rsidRDefault="00117440" w:rsidP="00117440">
      <w:pPr>
        <w:pStyle w:val="Nadpis1"/>
        <w:tabs>
          <w:tab w:val="left" w:pos="567"/>
        </w:tabs>
        <w:spacing w:before="98"/>
        <w:ind w:left="142" w:firstLine="0"/>
        <w:jc w:val="both"/>
        <w:rPr>
          <w:b w:val="0"/>
          <w:bCs w:val="0"/>
          <w:sz w:val="22"/>
          <w:szCs w:val="22"/>
        </w:rPr>
      </w:pPr>
    </w:p>
    <w:p w14:paraId="29F642FC" w14:textId="5695935A" w:rsidR="00117440" w:rsidRPr="009D34C5" w:rsidRDefault="00117440" w:rsidP="00383D3A">
      <w:pPr>
        <w:pStyle w:val="Zkladntext"/>
        <w:spacing w:before="29"/>
        <w:ind w:left="142" w:right="105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Účinky warfarínu, dikumarolu, acenokumarolu, fenindiónu a pravdepodobne ďalších antikoagulancií sú zvýšené pri súčasnom užívaní zlúčenín </w:t>
      </w:r>
      <w:r w:rsidR="00C6052C" w:rsidRPr="009D34C5">
        <w:rPr>
          <w:sz w:val="22"/>
          <w:szCs w:val="22"/>
        </w:rPr>
        <w:t xml:space="preserve">hormónov </w:t>
      </w:r>
      <w:r w:rsidRPr="009D34C5">
        <w:rPr>
          <w:sz w:val="22"/>
          <w:szCs w:val="22"/>
        </w:rPr>
        <w:t>štítnej žľazy.</w:t>
      </w:r>
    </w:p>
    <w:p w14:paraId="51EEACEB" w14:textId="2AFB988D" w:rsidR="00227451" w:rsidRPr="009D34C5" w:rsidRDefault="00117440" w:rsidP="00383D3A">
      <w:pPr>
        <w:pStyle w:val="Zkladntext"/>
        <w:spacing w:before="94"/>
        <w:ind w:left="142" w:right="102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>Bolo hlásené, že lovastatín spôsob</w:t>
      </w:r>
      <w:r w:rsidR="00EE660F" w:rsidRPr="009D34C5">
        <w:rPr>
          <w:spacing w:val="-1"/>
          <w:sz w:val="22"/>
          <w:szCs w:val="22"/>
        </w:rPr>
        <w:t>il</w:t>
      </w:r>
      <w:r w:rsidRPr="009D34C5">
        <w:rPr>
          <w:spacing w:val="-1"/>
          <w:sz w:val="22"/>
          <w:szCs w:val="22"/>
        </w:rPr>
        <w:t xml:space="preserve"> jeden prípad hypotyreózy a </w:t>
      </w:r>
      <w:r w:rsidR="00EE660F" w:rsidRPr="009D34C5">
        <w:rPr>
          <w:spacing w:val="-1"/>
          <w:sz w:val="22"/>
          <w:szCs w:val="22"/>
        </w:rPr>
        <w:t xml:space="preserve">jeden prípad </w:t>
      </w:r>
      <w:r w:rsidRPr="009D34C5">
        <w:rPr>
          <w:spacing w:val="-1"/>
          <w:sz w:val="22"/>
          <w:szCs w:val="22"/>
        </w:rPr>
        <w:t xml:space="preserve">hypertyreózy u dvoch pacientov užívajúcich levotyroxín. </w:t>
      </w:r>
      <w:r w:rsidR="00986E86" w:rsidRPr="009D34C5">
        <w:rPr>
          <w:spacing w:val="-1"/>
          <w:sz w:val="22"/>
          <w:szCs w:val="22"/>
        </w:rPr>
        <w:t xml:space="preserve">Pri </w:t>
      </w:r>
      <w:r w:rsidRPr="009D34C5">
        <w:rPr>
          <w:spacing w:val="-1"/>
          <w:sz w:val="22"/>
          <w:szCs w:val="22"/>
        </w:rPr>
        <w:t>súčasnej protizápalovej liečbe, ako je liečba fenylbutazónom alebo kyselinou acetylsalicylovou</w:t>
      </w:r>
      <w:r w:rsidR="00EE660F" w:rsidRPr="009D34C5">
        <w:rPr>
          <w:spacing w:val="-1"/>
          <w:sz w:val="22"/>
          <w:szCs w:val="22"/>
        </w:rPr>
        <w:t>,</w:t>
      </w:r>
      <w:r w:rsidRPr="009D34C5">
        <w:rPr>
          <w:spacing w:val="-1"/>
          <w:sz w:val="22"/>
          <w:szCs w:val="22"/>
        </w:rPr>
        <w:t xml:space="preserve"> a </w:t>
      </w:r>
      <w:r w:rsidR="00EE660F" w:rsidRPr="009D34C5">
        <w:rPr>
          <w:spacing w:val="-1"/>
          <w:sz w:val="22"/>
          <w:szCs w:val="22"/>
        </w:rPr>
        <w:t xml:space="preserve">liečbe </w:t>
      </w:r>
      <w:r w:rsidRPr="009D34C5">
        <w:rPr>
          <w:spacing w:val="-1"/>
          <w:sz w:val="22"/>
          <w:szCs w:val="22"/>
        </w:rPr>
        <w:t>levotyroxínom</w:t>
      </w:r>
      <w:r w:rsidR="00986E86" w:rsidRPr="009D34C5">
        <w:rPr>
          <w:spacing w:val="-1"/>
          <w:sz w:val="22"/>
          <w:szCs w:val="22"/>
        </w:rPr>
        <w:t xml:space="preserve"> boli pozorované falošne nízke celkové plazmatické koncentrácie.</w:t>
      </w:r>
      <w:r w:rsidRPr="009D34C5">
        <w:rPr>
          <w:spacing w:val="-1"/>
          <w:sz w:val="22"/>
          <w:szCs w:val="22"/>
        </w:rPr>
        <w:t xml:space="preserve"> </w:t>
      </w:r>
      <w:r w:rsidR="00986E86" w:rsidRPr="009D34C5">
        <w:rPr>
          <w:spacing w:val="-1"/>
          <w:sz w:val="22"/>
          <w:szCs w:val="22"/>
        </w:rPr>
        <w:t>Levotyroxín urýchľuje metabolizmus propranololu.</w:t>
      </w:r>
    </w:p>
    <w:p w14:paraId="067A93F5" w14:textId="684EFFC7" w:rsidR="00543ED4" w:rsidRPr="009D34C5" w:rsidRDefault="002F0F75" w:rsidP="00543ED4">
      <w:pPr>
        <w:pStyle w:val="Zkladntext"/>
        <w:spacing w:before="91"/>
        <w:ind w:left="142" w:right="103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Ak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</w:t>
      </w:r>
      <w:r w:rsidR="00EE660F" w:rsidRPr="009D34C5">
        <w:rPr>
          <w:sz w:val="22"/>
          <w:szCs w:val="22"/>
        </w:rPr>
        <w:t xml:space="preserve">začne </w:t>
      </w:r>
      <w:r w:rsidRPr="009D34C5">
        <w:rPr>
          <w:sz w:val="22"/>
          <w:szCs w:val="22"/>
        </w:rPr>
        <w:t>liečba levotyroxínom u pacientov liečených digoxínom, môže byť potrebné upraviť dávku digoxínu, u hypertyroidných pacientov môže byť potrebné, aby sa dávkovanie digoxínu postupne zvyšovalo s pokračovaním liečby, pretože spočiatku sú pacienti na digoxín pomerne citliví.</w:t>
      </w:r>
      <w:r w:rsidR="00543ED4" w:rsidRPr="009D34C5">
        <w:rPr>
          <w:sz w:val="22"/>
          <w:szCs w:val="22"/>
        </w:rPr>
        <w:t xml:space="preserve"> </w:t>
      </w:r>
    </w:p>
    <w:p w14:paraId="2CAA0834" w14:textId="39B75188" w:rsidR="002F0F75" w:rsidRPr="009D34C5" w:rsidRDefault="002F0F75" w:rsidP="00543ED4">
      <w:pPr>
        <w:pStyle w:val="Zkladntext"/>
        <w:spacing w:before="91"/>
        <w:ind w:left="142" w:right="103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Hormóny štítnej žľazy zvyšujú metabolické nároky, preto by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mali používať opatrne s inými liekmi, o ktorých je známe, že ovplyvňujú činnosť srdca, ako sú sympatomimetiká, pretože môžu tento účinok zosilniť. Hormóny štítnej žľazy môžu navyše zvyšovať citlivosť receptorov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katecholamíny.</w:t>
      </w:r>
    </w:p>
    <w:p w14:paraId="2868A510" w14:textId="12097308" w:rsidR="002F0F75" w:rsidRPr="009D34C5" w:rsidRDefault="002F0F75" w:rsidP="002F0F75">
      <w:pPr>
        <w:pStyle w:val="Zkladntext"/>
        <w:spacing w:before="91"/>
        <w:ind w:left="142" w:right="103"/>
        <w:jc w:val="both"/>
        <w:rPr>
          <w:sz w:val="22"/>
          <w:szCs w:val="22"/>
        </w:rPr>
      </w:pPr>
      <w:r w:rsidRPr="009D34C5">
        <w:rPr>
          <w:sz w:val="22"/>
          <w:szCs w:val="22"/>
        </w:rPr>
        <w:t>Amiodarón môže znižovať účinky hormónov štítnej žľazy používaných pri liečbe hypotyreózy.</w:t>
      </w:r>
    </w:p>
    <w:p w14:paraId="777125EE" w14:textId="77777777" w:rsidR="00174595" w:rsidRPr="009D34C5" w:rsidRDefault="00174595" w:rsidP="00383D3A">
      <w:pPr>
        <w:pStyle w:val="Zkladntext"/>
        <w:spacing w:before="91"/>
        <w:ind w:left="142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Antidepresívna odpoveď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imipramín, amitriptylín a prípadne ďalšie tricyklické antidepresíva sa môže urýchliť súčasným užívaním levotyroxínu.</w:t>
      </w:r>
    </w:p>
    <w:p w14:paraId="60DB6F7D" w14:textId="77777777" w:rsidR="00174595" w:rsidRPr="009D34C5" w:rsidRDefault="00174595" w:rsidP="00383D3A">
      <w:pPr>
        <w:pStyle w:val="Zkladntext"/>
        <w:spacing w:before="91"/>
        <w:ind w:left="142" w:right="103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Účinky levotyroxínu </w:t>
      </w:r>
      <w:proofErr w:type="gramStart"/>
      <w:r w:rsidRPr="009D34C5">
        <w:rPr>
          <w:spacing w:val="-1"/>
          <w:sz w:val="22"/>
          <w:szCs w:val="22"/>
        </w:rPr>
        <w:t>sa</w:t>
      </w:r>
      <w:proofErr w:type="gramEnd"/>
      <w:r w:rsidRPr="009D34C5">
        <w:rPr>
          <w:spacing w:val="-1"/>
          <w:sz w:val="22"/>
          <w:szCs w:val="22"/>
        </w:rPr>
        <w:t xml:space="preserve"> môžu znížiť súčasným podávaním sertralínu.</w:t>
      </w:r>
    </w:p>
    <w:p w14:paraId="02E0308D" w14:textId="49FAC80E" w:rsidR="00CF68C0" w:rsidRPr="009D34C5" w:rsidRDefault="00CF68C0" w:rsidP="00383D3A">
      <w:pPr>
        <w:pStyle w:val="Zkladntext"/>
        <w:spacing w:before="91"/>
        <w:ind w:left="142" w:right="103"/>
        <w:jc w:val="both"/>
        <w:rPr>
          <w:sz w:val="22"/>
          <w:szCs w:val="22"/>
        </w:rPr>
      </w:pPr>
      <w:r w:rsidRPr="009D34C5">
        <w:rPr>
          <w:sz w:val="22"/>
          <w:szCs w:val="22"/>
        </w:rPr>
        <w:t>Pri súčasnom podávaní ketamínu boli hlásené ojedinelé správy o výraznej hypertenzii a tachykardii.</w:t>
      </w:r>
    </w:p>
    <w:p w14:paraId="07497D37" w14:textId="29555D9B" w:rsidR="00CF68C0" w:rsidRPr="009D34C5" w:rsidRDefault="00CF68C0" w:rsidP="00CF68C0">
      <w:pPr>
        <w:pStyle w:val="Zkladntext"/>
        <w:spacing w:before="91"/>
        <w:ind w:left="142" w:right="104"/>
        <w:rPr>
          <w:sz w:val="22"/>
          <w:szCs w:val="22"/>
        </w:rPr>
      </w:pPr>
      <w:r w:rsidRPr="009D34C5">
        <w:rPr>
          <w:sz w:val="22"/>
          <w:szCs w:val="22"/>
        </w:rPr>
        <w:t xml:space="preserve">Niektoré lieky, ako je lítium, pôsobia priamo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štítnu žľazu a inhibujú uvoľňovanie hormónov štítnej žľazy, čo vedie ku klinickej hypotyreóze.</w:t>
      </w:r>
    </w:p>
    <w:p w14:paraId="39EB2641" w14:textId="547B6471" w:rsidR="006273E0" w:rsidRPr="009D34C5" w:rsidRDefault="00CF68C0" w:rsidP="00383D3A">
      <w:pPr>
        <w:pStyle w:val="Zkladntext"/>
        <w:ind w:left="142" w:right="107"/>
        <w:jc w:val="both"/>
        <w:rPr>
          <w:spacing w:val="-2"/>
          <w:sz w:val="22"/>
          <w:szCs w:val="22"/>
        </w:rPr>
      </w:pPr>
      <w:r w:rsidRPr="009D34C5">
        <w:rPr>
          <w:spacing w:val="-2"/>
          <w:sz w:val="22"/>
          <w:szCs w:val="22"/>
        </w:rPr>
        <w:t>Absorpcia levotyroxínu je znížená väzbou sukralfátu, polystyrénsulfonátu sodného alebo cholestyramínu v čreve.</w:t>
      </w:r>
    </w:p>
    <w:p w14:paraId="0D276142" w14:textId="3C84035E" w:rsidR="006273E0" w:rsidRPr="009D34C5" w:rsidRDefault="00772DC3" w:rsidP="00383D3A">
      <w:pPr>
        <w:pStyle w:val="Zkladntext"/>
        <w:spacing w:before="91"/>
        <w:ind w:left="142" w:right="107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>Kolesevelam</w:t>
      </w:r>
      <w:r w:rsidR="006273E0" w:rsidRPr="009D34C5">
        <w:rPr>
          <w:spacing w:val="-1"/>
          <w:sz w:val="22"/>
          <w:szCs w:val="22"/>
        </w:rPr>
        <w:t xml:space="preserve">: </w:t>
      </w:r>
      <w:r w:rsidRPr="009D34C5">
        <w:rPr>
          <w:spacing w:val="-1"/>
          <w:sz w:val="22"/>
          <w:szCs w:val="22"/>
        </w:rPr>
        <w:t xml:space="preserve">V interakčnej štúdii </w:t>
      </w:r>
      <w:proofErr w:type="gramStart"/>
      <w:r w:rsidRPr="009D34C5">
        <w:rPr>
          <w:spacing w:val="-1"/>
          <w:sz w:val="22"/>
          <w:szCs w:val="22"/>
        </w:rPr>
        <w:t>na</w:t>
      </w:r>
      <w:proofErr w:type="gramEnd"/>
      <w:r w:rsidRPr="009D34C5">
        <w:rPr>
          <w:spacing w:val="-1"/>
          <w:sz w:val="22"/>
          <w:szCs w:val="22"/>
        </w:rPr>
        <w:t xml:space="preserve"> zdravých dobrovoľníkoch kolesevelam znižoval AUC a C</w:t>
      </w:r>
      <w:r w:rsidRPr="009D34C5">
        <w:rPr>
          <w:spacing w:val="-1"/>
          <w:sz w:val="22"/>
          <w:szCs w:val="22"/>
          <w:vertAlign w:val="subscript"/>
        </w:rPr>
        <w:t>max</w:t>
      </w:r>
      <w:r w:rsidRPr="009D34C5">
        <w:rPr>
          <w:spacing w:val="-1"/>
          <w:sz w:val="22"/>
          <w:szCs w:val="22"/>
        </w:rPr>
        <w:t xml:space="preserve"> levotyroxínu, ak sa podával súbežne alebo po 1 hodine. Žiadna interakcia nebola pozorovaná, </w:t>
      </w:r>
      <w:proofErr w:type="gramStart"/>
      <w:r w:rsidRPr="009D34C5">
        <w:rPr>
          <w:spacing w:val="-1"/>
          <w:sz w:val="22"/>
          <w:szCs w:val="22"/>
        </w:rPr>
        <w:t>ak</w:t>
      </w:r>
      <w:proofErr w:type="gramEnd"/>
      <w:r w:rsidRPr="009D34C5">
        <w:rPr>
          <w:spacing w:val="-1"/>
          <w:sz w:val="22"/>
          <w:szCs w:val="22"/>
        </w:rPr>
        <w:t xml:space="preserve"> sa kolesevelam podával najmenej štyri hodiny po levotyroxíne.</w:t>
      </w:r>
    </w:p>
    <w:p w14:paraId="3ACAEC0E" w14:textId="77777777" w:rsidR="00AD3338" w:rsidRPr="009D34C5" w:rsidRDefault="00AD3338" w:rsidP="00383D3A">
      <w:pPr>
        <w:pStyle w:val="Zkladntext"/>
        <w:ind w:left="142" w:right="101"/>
        <w:jc w:val="both"/>
        <w:rPr>
          <w:spacing w:val="-1"/>
          <w:sz w:val="22"/>
          <w:szCs w:val="22"/>
        </w:rPr>
      </w:pPr>
    </w:p>
    <w:p w14:paraId="594D2D3E" w14:textId="79590511" w:rsidR="00772DC3" w:rsidRPr="009D34C5" w:rsidRDefault="00772DC3" w:rsidP="00383D3A">
      <w:pPr>
        <w:pStyle w:val="Zkladntext"/>
        <w:ind w:left="142" w:right="101"/>
        <w:jc w:val="both"/>
        <w:rPr>
          <w:sz w:val="22"/>
          <w:szCs w:val="22"/>
        </w:rPr>
      </w:pPr>
      <w:r w:rsidRPr="009D34C5">
        <w:rPr>
          <w:sz w:val="22"/>
          <w:szCs w:val="22"/>
        </w:rPr>
        <w:t>Cimetidín, lieky obsahujúce hliník, železo, vápnik tiež znižujú absorpciu levotyroxínu z</w:t>
      </w:r>
      <w:r w:rsidR="00644AE7" w:rsidRPr="009D34C5">
        <w:rPr>
          <w:sz w:val="22"/>
          <w:szCs w:val="22"/>
        </w:rPr>
        <w:t> </w:t>
      </w:r>
      <w:r w:rsidRPr="009D34C5">
        <w:rPr>
          <w:sz w:val="22"/>
          <w:szCs w:val="22"/>
        </w:rPr>
        <w:t xml:space="preserve">gastrointestinálneho traktu. Lieky obsahujúce levotyroxín by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preto mali podávať najmenej 2</w:t>
      </w:r>
      <w:r w:rsidR="00644AE7" w:rsidRPr="009D34C5">
        <w:rPr>
          <w:sz w:val="22"/>
          <w:szCs w:val="22"/>
        </w:rPr>
        <w:t> </w:t>
      </w:r>
      <w:r w:rsidRPr="009D34C5">
        <w:rPr>
          <w:sz w:val="22"/>
          <w:szCs w:val="22"/>
        </w:rPr>
        <w:t>hodiny pred podaním týchto liekov.</w:t>
      </w:r>
    </w:p>
    <w:p w14:paraId="351F4B83" w14:textId="77777777" w:rsidR="00AD3338" w:rsidRPr="009D34C5" w:rsidRDefault="00AD3338" w:rsidP="00383D3A">
      <w:pPr>
        <w:pStyle w:val="Zkladntext"/>
        <w:ind w:left="142" w:right="101"/>
        <w:jc w:val="both"/>
        <w:rPr>
          <w:sz w:val="22"/>
          <w:szCs w:val="22"/>
        </w:rPr>
      </w:pPr>
    </w:p>
    <w:p w14:paraId="7708D193" w14:textId="706AA773" w:rsidR="00772DC3" w:rsidRPr="009D34C5" w:rsidRDefault="00772DC3" w:rsidP="00383D3A">
      <w:pPr>
        <w:pStyle w:val="Zkladntext"/>
        <w:spacing w:before="91"/>
        <w:ind w:left="142" w:right="104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Zistilo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>, že sú</w:t>
      </w:r>
      <w:r w:rsidR="0051267E" w:rsidRPr="009D34C5">
        <w:rPr>
          <w:sz w:val="22"/>
          <w:szCs w:val="22"/>
        </w:rPr>
        <w:t>bežné</w:t>
      </w:r>
      <w:r w:rsidRPr="009D34C5">
        <w:rPr>
          <w:sz w:val="22"/>
          <w:szCs w:val="22"/>
        </w:rPr>
        <w:t xml:space="preserve"> použitie karbamazepínu, fenytoínu, fenobarbitalu, primidónu alebo rifampicínu s levotyroxínom zvyšuje metabolizmus levotyroxínu.</w:t>
      </w:r>
    </w:p>
    <w:p w14:paraId="73A0C182" w14:textId="67A4F48A" w:rsidR="0051267E" w:rsidRPr="009D34C5" w:rsidRDefault="0051267E" w:rsidP="00383D3A">
      <w:pPr>
        <w:pStyle w:val="Zkladntext"/>
        <w:spacing w:before="91"/>
        <w:ind w:left="142" w:right="104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Dochádza k možným interakciám s antidiabetikami, a preto je potrebné diabetických pacientov sledovať kvôli zvýšeným požiadavkám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inzulín alebo perorálne antidiabetiká.</w:t>
      </w:r>
    </w:p>
    <w:p w14:paraId="4BABBA2C" w14:textId="0B9C42F1" w:rsidR="009102A3" w:rsidRPr="009D34C5" w:rsidRDefault="009102A3" w:rsidP="009102A3">
      <w:pPr>
        <w:pStyle w:val="Zkladntext"/>
        <w:spacing w:before="91"/>
        <w:ind w:left="142" w:right="105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Estrogén, výrobky obsahujúce estrogén a perorálne kontraceptíva môžu zvyšovať požiadavky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dávkovanie pri liečbe štítnej žľazy.</w:t>
      </w:r>
    </w:p>
    <w:p w14:paraId="37FFBCEF" w14:textId="77777777" w:rsidR="00F37883" w:rsidRPr="009D34C5" w:rsidRDefault="00F37883" w:rsidP="00383D3A">
      <w:pPr>
        <w:pStyle w:val="Zkladntext"/>
        <w:spacing w:before="93"/>
        <w:ind w:left="142" w:right="105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>Naopak, androgény a kortikosteroidy môžu znižovať sérové koncentrácie globulínov viažucich tyroxín.</w:t>
      </w:r>
    </w:p>
    <w:p w14:paraId="52D8580E" w14:textId="136DE2A3" w:rsidR="00F37883" w:rsidRPr="009D34C5" w:rsidRDefault="00F37883" w:rsidP="00383D3A">
      <w:pPr>
        <w:pStyle w:val="Zkladntext"/>
        <w:spacing w:before="93"/>
        <w:ind w:left="142" w:right="105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Zvýšená koncentrácia hormónu stimulujúceho štítnu žľazu bola zaznamenaná po použití chlorochínu s proguanilom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profylaxiu malárie u pacienta stabilizovaného na levotyroxíne.</w:t>
      </w:r>
    </w:p>
    <w:p w14:paraId="3CC06B04" w14:textId="7F0C99BB" w:rsidR="007C09A7" w:rsidRPr="009D34C5" w:rsidRDefault="00F37883" w:rsidP="00383D3A">
      <w:pPr>
        <w:pStyle w:val="Zkladntext"/>
        <w:spacing w:before="55"/>
        <w:ind w:left="142"/>
        <w:jc w:val="both"/>
        <w:rPr>
          <w:sz w:val="22"/>
          <w:szCs w:val="22"/>
        </w:rPr>
      </w:pPr>
      <w:r w:rsidRPr="009D34C5">
        <w:rPr>
          <w:sz w:val="22"/>
          <w:szCs w:val="22"/>
        </w:rPr>
        <w:t>Falošne nízke celkové plazmatické koncentrácie boli pozorované pri súbežnej protizápalovej liečbe, ako je liečba fenylbutazónom alebo kyselinou acetylsalicylovou</w:t>
      </w:r>
      <w:r w:rsidR="00644AE7" w:rsidRPr="009D34C5">
        <w:rPr>
          <w:sz w:val="22"/>
          <w:szCs w:val="22"/>
        </w:rPr>
        <w:t>,</w:t>
      </w:r>
      <w:r w:rsidRPr="009D34C5">
        <w:rPr>
          <w:sz w:val="22"/>
          <w:szCs w:val="22"/>
        </w:rPr>
        <w:t xml:space="preserve"> a </w:t>
      </w:r>
      <w:r w:rsidR="00644AE7" w:rsidRPr="009D34C5">
        <w:rPr>
          <w:sz w:val="22"/>
          <w:szCs w:val="22"/>
        </w:rPr>
        <w:t xml:space="preserve">liečbe </w:t>
      </w:r>
      <w:r w:rsidRPr="009D34C5">
        <w:rPr>
          <w:sz w:val="22"/>
          <w:szCs w:val="22"/>
        </w:rPr>
        <w:t>levotyroxínom.</w:t>
      </w:r>
    </w:p>
    <w:p w14:paraId="1BAFF0AD" w14:textId="77777777" w:rsidR="00F37883" w:rsidRPr="009D34C5" w:rsidRDefault="00F37883" w:rsidP="00383D3A">
      <w:pPr>
        <w:pStyle w:val="Zkladntext"/>
        <w:spacing w:before="55"/>
        <w:ind w:left="142"/>
        <w:jc w:val="both"/>
        <w:rPr>
          <w:sz w:val="22"/>
          <w:szCs w:val="22"/>
        </w:rPr>
      </w:pPr>
    </w:p>
    <w:p w14:paraId="774533B8" w14:textId="77777777" w:rsidR="00F37883" w:rsidRPr="009D34C5" w:rsidRDefault="00F37883" w:rsidP="00383D3A">
      <w:pPr>
        <w:pStyle w:val="Zkladntext"/>
        <w:ind w:left="142" w:right="103"/>
        <w:jc w:val="both"/>
        <w:rPr>
          <w:sz w:val="22"/>
          <w:szCs w:val="22"/>
          <w:u w:val="single" w:color="000000"/>
        </w:rPr>
      </w:pPr>
      <w:r w:rsidRPr="009D34C5">
        <w:rPr>
          <w:sz w:val="22"/>
          <w:szCs w:val="22"/>
          <w:u w:val="single" w:color="000000"/>
        </w:rPr>
        <w:t xml:space="preserve">Inhibítory proteáz </w:t>
      </w:r>
    </w:p>
    <w:p w14:paraId="59433755" w14:textId="62312657" w:rsidR="00F37883" w:rsidRPr="009D34C5" w:rsidRDefault="00F37883" w:rsidP="00383D3A">
      <w:pPr>
        <w:pStyle w:val="Zkladntext"/>
        <w:ind w:left="142" w:right="103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Inhibítory proteáz (napr. ritonavir, indinavir, lopinavir) môžu ovplyvniť účinok levotyroxínu. Odporúča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dôkladné monitorovanie parametrov hormónov štítnej žľazy. V prípade potreby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musí upraviť dávka levotyroxínu.</w:t>
      </w:r>
    </w:p>
    <w:p w14:paraId="3DACEB3F" w14:textId="77777777" w:rsidR="002E42EF" w:rsidRPr="009D34C5" w:rsidRDefault="002E42EF" w:rsidP="00383D3A">
      <w:pPr>
        <w:pStyle w:val="Zkladntext"/>
        <w:spacing w:before="94" w:line="229" w:lineRule="exact"/>
        <w:ind w:left="142"/>
        <w:jc w:val="both"/>
        <w:rPr>
          <w:spacing w:val="-1"/>
          <w:sz w:val="22"/>
          <w:szCs w:val="22"/>
          <w:u w:val="single" w:color="000000"/>
        </w:rPr>
      </w:pPr>
    </w:p>
    <w:p w14:paraId="6F065202" w14:textId="77777777" w:rsidR="00F37883" w:rsidRPr="009D34C5" w:rsidRDefault="00F37883" w:rsidP="00383D3A">
      <w:pPr>
        <w:pStyle w:val="Zkladntext"/>
        <w:ind w:left="142" w:right="104"/>
        <w:jc w:val="both"/>
        <w:rPr>
          <w:spacing w:val="-1"/>
          <w:sz w:val="22"/>
          <w:szCs w:val="22"/>
          <w:u w:val="single" w:color="000000"/>
        </w:rPr>
      </w:pPr>
      <w:r w:rsidRPr="009D34C5">
        <w:rPr>
          <w:spacing w:val="-1"/>
          <w:sz w:val="22"/>
          <w:szCs w:val="22"/>
          <w:u w:val="single" w:color="000000"/>
        </w:rPr>
        <w:t xml:space="preserve">Sevelamer </w:t>
      </w:r>
    </w:p>
    <w:p w14:paraId="2A489FBF" w14:textId="16D4D28A" w:rsidR="00F37883" w:rsidRPr="009D34C5" w:rsidRDefault="00F37883" w:rsidP="00383D3A">
      <w:pPr>
        <w:pStyle w:val="Zkladntext"/>
        <w:ind w:left="142" w:right="104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Sevelamer môže znižovať absorpciu levotyroxínu. Preto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odporúča monitorovať zmeny funkcie štítnej žľazy pacientov na začiatku alebo konci súbežnej liečby. V prípade potreby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má dávka levotyroxínu upraviť.  </w:t>
      </w:r>
    </w:p>
    <w:p w14:paraId="027929CB" w14:textId="77777777" w:rsidR="00D637CD" w:rsidRPr="009D34C5" w:rsidRDefault="00D637CD" w:rsidP="00D637CD">
      <w:pPr>
        <w:pStyle w:val="Zkladntext"/>
        <w:spacing w:before="91"/>
        <w:ind w:left="0"/>
        <w:jc w:val="both"/>
        <w:rPr>
          <w:spacing w:val="-1"/>
          <w:sz w:val="22"/>
          <w:szCs w:val="22"/>
          <w:u w:val="single" w:color="000000"/>
        </w:rPr>
      </w:pPr>
    </w:p>
    <w:p w14:paraId="239E33EF" w14:textId="77777777" w:rsidR="00D637CD" w:rsidRPr="009D34C5" w:rsidRDefault="00D637CD" w:rsidP="00383D3A">
      <w:pPr>
        <w:pStyle w:val="Zkladntext"/>
        <w:ind w:left="142" w:right="102"/>
        <w:jc w:val="both"/>
        <w:rPr>
          <w:spacing w:val="-1"/>
          <w:sz w:val="22"/>
          <w:szCs w:val="22"/>
          <w:u w:val="single" w:color="000000"/>
        </w:rPr>
      </w:pPr>
      <w:r w:rsidRPr="009D34C5">
        <w:rPr>
          <w:spacing w:val="-1"/>
          <w:sz w:val="22"/>
          <w:szCs w:val="22"/>
          <w:u w:val="single" w:color="000000"/>
        </w:rPr>
        <w:t>Inhibítory tyrozínkinázy</w:t>
      </w:r>
    </w:p>
    <w:p w14:paraId="694FFBB0" w14:textId="1C98CCB2" w:rsidR="002E42EF" w:rsidRPr="009D34C5" w:rsidRDefault="00D637CD" w:rsidP="00383D3A">
      <w:pPr>
        <w:pStyle w:val="Zkladntext"/>
        <w:spacing w:before="91"/>
        <w:ind w:left="142" w:right="120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Inhibítory tyrozínkinázy (napr. imatinib, sunitinib) môžu znižovať účinok levotyroxínu. Preto </w:t>
      </w:r>
      <w:proofErr w:type="gramStart"/>
      <w:r w:rsidRPr="009D34C5">
        <w:rPr>
          <w:spacing w:val="-1"/>
          <w:sz w:val="22"/>
          <w:szCs w:val="22"/>
        </w:rPr>
        <w:t>sa</w:t>
      </w:r>
      <w:proofErr w:type="gramEnd"/>
      <w:r w:rsidRPr="009D34C5">
        <w:rPr>
          <w:spacing w:val="-1"/>
          <w:sz w:val="22"/>
          <w:szCs w:val="22"/>
        </w:rPr>
        <w:t xml:space="preserve"> odporúča monitorovať zmeny funkcie štítnej žľazy pacientov na začiatku alebo konci súbežnej liečby. V prípade potreby </w:t>
      </w:r>
      <w:proofErr w:type="gramStart"/>
      <w:r w:rsidRPr="009D34C5">
        <w:rPr>
          <w:spacing w:val="-1"/>
          <w:sz w:val="22"/>
          <w:szCs w:val="22"/>
        </w:rPr>
        <w:t>sa</w:t>
      </w:r>
      <w:proofErr w:type="gramEnd"/>
      <w:r w:rsidRPr="009D34C5">
        <w:rPr>
          <w:spacing w:val="-1"/>
          <w:sz w:val="22"/>
          <w:szCs w:val="22"/>
        </w:rPr>
        <w:t xml:space="preserve"> má dávka levotyroxínu upraviť.  </w:t>
      </w:r>
    </w:p>
    <w:p w14:paraId="6CECDECD" w14:textId="77777777" w:rsidR="00D637CD" w:rsidRPr="009D34C5" w:rsidRDefault="00D637CD" w:rsidP="00383D3A">
      <w:pPr>
        <w:pStyle w:val="Zkladntext"/>
        <w:spacing w:before="91"/>
        <w:ind w:left="142" w:right="120"/>
        <w:jc w:val="both"/>
        <w:rPr>
          <w:spacing w:val="-1"/>
          <w:sz w:val="22"/>
          <w:szCs w:val="22"/>
        </w:rPr>
      </w:pPr>
    </w:p>
    <w:p w14:paraId="70BA26B7" w14:textId="0AAEB60F" w:rsidR="00D637CD" w:rsidRPr="009D34C5" w:rsidRDefault="00D637CD" w:rsidP="00D637CD">
      <w:pPr>
        <w:pStyle w:val="Zkladntext"/>
        <w:ind w:left="142" w:right="105"/>
        <w:jc w:val="both"/>
        <w:rPr>
          <w:sz w:val="22"/>
          <w:szCs w:val="22"/>
        </w:rPr>
      </w:pPr>
      <w:r w:rsidRPr="009D34C5">
        <w:rPr>
          <w:sz w:val="22"/>
          <w:szCs w:val="22"/>
          <w:u w:val="single"/>
        </w:rPr>
        <w:t>Propyltiouracil, glukokortikoidy, beta-sympatolytiká, amiodarón a jód obsahujúce kontrastné látky:</w:t>
      </w:r>
      <w:r w:rsidRPr="009D34C5">
        <w:rPr>
          <w:sz w:val="22"/>
          <w:szCs w:val="22"/>
        </w:rPr>
        <w:t xml:space="preserve"> Tieto látky inhibujú periférnu konverziu T4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T3.</w:t>
      </w:r>
    </w:p>
    <w:p w14:paraId="4C9C8348" w14:textId="792D8343" w:rsidR="00D637CD" w:rsidRPr="009D34C5" w:rsidRDefault="00D637CD" w:rsidP="00D637CD">
      <w:pPr>
        <w:pStyle w:val="Zkladntext"/>
        <w:ind w:left="142" w:right="105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Vďaka vysokému obsahu jódu môže amiodarón vyvolávať hypertyreózu či hypotyreózu. Zvláštna </w:t>
      </w:r>
      <w:r w:rsidR="00644AE7" w:rsidRPr="009D34C5">
        <w:rPr>
          <w:sz w:val="22"/>
          <w:szCs w:val="22"/>
        </w:rPr>
        <w:t xml:space="preserve">opatrnosť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odporúča v prípade nodulárnej strumy s možnou nerozpoznanou autonómiou.</w:t>
      </w:r>
    </w:p>
    <w:p w14:paraId="3B73D3B0" w14:textId="77777777" w:rsidR="002E42EF" w:rsidRPr="009D34C5" w:rsidRDefault="002E42EF" w:rsidP="00383D3A">
      <w:pPr>
        <w:pStyle w:val="Zkladntext"/>
        <w:spacing w:before="94" w:line="229" w:lineRule="exact"/>
        <w:ind w:left="142"/>
        <w:jc w:val="both"/>
        <w:rPr>
          <w:spacing w:val="-1"/>
          <w:sz w:val="22"/>
          <w:szCs w:val="22"/>
          <w:u w:val="single" w:color="000000"/>
        </w:rPr>
      </w:pPr>
    </w:p>
    <w:p w14:paraId="7C05B331" w14:textId="07A457E6" w:rsidR="00227451" w:rsidRPr="009D34C5" w:rsidRDefault="00644AE7" w:rsidP="00383D3A">
      <w:pPr>
        <w:pStyle w:val="Zkladntext"/>
        <w:spacing w:before="94" w:line="229" w:lineRule="exact"/>
        <w:ind w:left="142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  <w:u w:val="single" w:color="000000"/>
        </w:rPr>
        <w:t xml:space="preserve">Lieky </w:t>
      </w:r>
      <w:r w:rsidR="00D637CD" w:rsidRPr="009D34C5">
        <w:rPr>
          <w:spacing w:val="-1"/>
          <w:sz w:val="22"/>
          <w:szCs w:val="22"/>
          <w:u w:val="single" w:color="000000"/>
        </w:rPr>
        <w:t>indukujúce enzýmy</w:t>
      </w:r>
      <w:r w:rsidR="00543825" w:rsidRPr="009D34C5">
        <w:rPr>
          <w:spacing w:val="-1"/>
          <w:sz w:val="22"/>
          <w:szCs w:val="22"/>
          <w:u w:val="single" w:color="000000"/>
        </w:rPr>
        <w:t>:</w:t>
      </w:r>
    </w:p>
    <w:p w14:paraId="71913972" w14:textId="46CCD4B7" w:rsidR="00D637CD" w:rsidRPr="009D34C5" w:rsidRDefault="00644AE7" w:rsidP="00383D3A">
      <w:pPr>
        <w:pStyle w:val="Zkladntext"/>
        <w:ind w:left="142" w:right="105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Lieky </w:t>
      </w:r>
      <w:r w:rsidR="00D637CD" w:rsidRPr="009D34C5">
        <w:rPr>
          <w:sz w:val="22"/>
          <w:szCs w:val="22"/>
        </w:rPr>
        <w:t>indukujúce enzýmy</w:t>
      </w:r>
      <w:r w:rsidRPr="009D34C5">
        <w:rPr>
          <w:sz w:val="22"/>
          <w:szCs w:val="22"/>
        </w:rPr>
        <w:t>,</w:t>
      </w:r>
      <w:r w:rsidR="00D637CD" w:rsidRPr="009D34C5">
        <w:rPr>
          <w:sz w:val="22"/>
          <w:szCs w:val="22"/>
        </w:rPr>
        <w:t xml:space="preserve"> ako barbituráty alebo karbamazepín</w:t>
      </w:r>
      <w:r w:rsidRPr="009D34C5">
        <w:rPr>
          <w:sz w:val="22"/>
          <w:szCs w:val="22"/>
        </w:rPr>
        <w:t>,</w:t>
      </w:r>
      <w:r w:rsidR="00D637CD" w:rsidRPr="009D34C5">
        <w:rPr>
          <w:sz w:val="22"/>
          <w:szCs w:val="22"/>
        </w:rPr>
        <w:t xml:space="preserve"> môžu zvýšiť hepatálny klírens levotyroxínu.</w:t>
      </w:r>
    </w:p>
    <w:p w14:paraId="1BDA3C76" w14:textId="77777777" w:rsidR="002E42EF" w:rsidRPr="009D34C5" w:rsidRDefault="002E42EF" w:rsidP="00383D3A">
      <w:pPr>
        <w:pStyle w:val="Zkladntext"/>
        <w:spacing w:before="91"/>
        <w:ind w:left="142"/>
        <w:jc w:val="both"/>
        <w:rPr>
          <w:spacing w:val="-1"/>
          <w:sz w:val="22"/>
          <w:szCs w:val="22"/>
          <w:u w:val="single" w:color="000000"/>
        </w:rPr>
      </w:pPr>
    </w:p>
    <w:p w14:paraId="1FD44916" w14:textId="16AA4153" w:rsidR="00D637CD" w:rsidRPr="009D34C5" w:rsidRDefault="00644AE7" w:rsidP="00383D3A">
      <w:pPr>
        <w:pStyle w:val="Zkladntext"/>
        <w:ind w:left="142" w:right="102"/>
        <w:jc w:val="both"/>
        <w:rPr>
          <w:spacing w:val="-1"/>
          <w:sz w:val="22"/>
          <w:szCs w:val="22"/>
          <w:u w:val="single" w:color="000000"/>
        </w:rPr>
      </w:pPr>
      <w:r w:rsidRPr="009D34C5">
        <w:rPr>
          <w:spacing w:val="-1"/>
          <w:sz w:val="22"/>
          <w:szCs w:val="22"/>
          <w:u w:val="single" w:color="000000"/>
        </w:rPr>
        <w:t xml:space="preserve">Zlúčeniny </w:t>
      </w:r>
      <w:r w:rsidR="00D637CD" w:rsidRPr="009D34C5">
        <w:rPr>
          <w:spacing w:val="-1"/>
          <w:sz w:val="22"/>
          <w:szCs w:val="22"/>
          <w:u w:val="single" w:color="000000"/>
        </w:rPr>
        <w:t>s obsahom sóje:</w:t>
      </w:r>
    </w:p>
    <w:p w14:paraId="23DCFF81" w14:textId="1A5053C4" w:rsidR="00D637CD" w:rsidRPr="009D34C5" w:rsidRDefault="00644AE7" w:rsidP="00383D3A">
      <w:pPr>
        <w:pStyle w:val="Zkladntext"/>
        <w:ind w:left="142" w:right="102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Zlúčeniny </w:t>
      </w:r>
      <w:r w:rsidR="00D637CD" w:rsidRPr="009D34C5">
        <w:rPr>
          <w:spacing w:val="-1"/>
          <w:sz w:val="22"/>
          <w:szCs w:val="22"/>
        </w:rPr>
        <w:t xml:space="preserve">s obsahom sóje môžu znižovať intestinálnu absorpciu levotyroxínu. Môže byť preto potrebná úprava dávky lieku Alverox, </w:t>
      </w:r>
      <w:r w:rsidRPr="009D34C5">
        <w:rPr>
          <w:spacing w:val="-1"/>
          <w:sz w:val="22"/>
          <w:szCs w:val="22"/>
        </w:rPr>
        <w:t xml:space="preserve">najmä </w:t>
      </w:r>
      <w:proofErr w:type="gramStart"/>
      <w:r w:rsidR="00D637CD" w:rsidRPr="009D34C5">
        <w:rPr>
          <w:spacing w:val="-1"/>
          <w:sz w:val="22"/>
          <w:szCs w:val="22"/>
        </w:rPr>
        <w:t>na</w:t>
      </w:r>
      <w:proofErr w:type="gramEnd"/>
      <w:r w:rsidR="00D637CD" w:rsidRPr="009D34C5">
        <w:rPr>
          <w:spacing w:val="-1"/>
          <w:sz w:val="22"/>
          <w:szCs w:val="22"/>
        </w:rPr>
        <w:t xml:space="preserve"> začiatku alebo po ukončení užívania doplnkov výživy s obsahom sóje.</w:t>
      </w:r>
    </w:p>
    <w:p w14:paraId="627FC643" w14:textId="77777777" w:rsidR="00FF6744" w:rsidRPr="009D34C5" w:rsidRDefault="00FF6744" w:rsidP="00383D3A">
      <w:pPr>
        <w:pStyle w:val="Zkladntext"/>
        <w:ind w:left="142" w:right="102"/>
        <w:jc w:val="both"/>
        <w:rPr>
          <w:spacing w:val="-1"/>
          <w:sz w:val="22"/>
          <w:szCs w:val="22"/>
        </w:rPr>
      </w:pPr>
    </w:p>
    <w:p w14:paraId="5AE5E236" w14:textId="77777777" w:rsidR="00FF6744" w:rsidRPr="009D34C5" w:rsidRDefault="00FF6744" w:rsidP="00383D3A">
      <w:pPr>
        <w:autoSpaceDE w:val="0"/>
        <w:autoSpaceDN w:val="0"/>
        <w:adjustRightInd w:val="0"/>
        <w:spacing w:line="230" w:lineRule="exact"/>
        <w:ind w:left="142" w:right="65"/>
        <w:rPr>
          <w:u w:val="single"/>
          <w:lang w:eastAsia="de-DE"/>
        </w:rPr>
      </w:pPr>
      <w:r w:rsidRPr="009D34C5">
        <w:rPr>
          <w:rFonts w:ascii="Times New Roman" w:eastAsia="Times New Roman" w:hAnsi="Times New Roman"/>
          <w:spacing w:val="-1"/>
          <w:u w:val="single" w:color="000000"/>
        </w:rPr>
        <w:t>Orlistat</w:t>
      </w:r>
      <w:r w:rsidRPr="009D34C5">
        <w:rPr>
          <w:u w:val="single"/>
          <w:lang w:eastAsia="de-DE"/>
        </w:rPr>
        <w:t>:</w:t>
      </w:r>
    </w:p>
    <w:p w14:paraId="6FDB6011" w14:textId="255917D5" w:rsidR="000F4C0C" w:rsidRPr="009D34C5" w:rsidRDefault="000F4C0C" w:rsidP="00383D3A">
      <w:pPr>
        <w:pStyle w:val="Zkladntext"/>
        <w:ind w:left="142" w:right="102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Keď </w:t>
      </w:r>
      <w:proofErr w:type="gramStart"/>
      <w:r w:rsidRPr="009D34C5">
        <w:rPr>
          <w:spacing w:val="-1"/>
          <w:sz w:val="22"/>
          <w:szCs w:val="22"/>
        </w:rPr>
        <w:t>sa</w:t>
      </w:r>
      <w:proofErr w:type="gramEnd"/>
      <w:r w:rsidRPr="009D34C5">
        <w:rPr>
          <w:spacing w:val="-1"/>
          <w:sz w:val="22"/>
          <w:szCs w:val="22"/>
        </w:rPr>
        <w:t xml:space="preserve"> užíva orlistat a levotyroxín v rovnakom čase, môže sa vyskytnúť hypotyreóza a/alebo zníženie kontroly hypotyreózy. Môže ísť o dôsledok zníženej absorpcie solí jódu a/alebo levotyroxínu.</w:t>
      </w:r>
    </w:p>
    <w:p w14:paraId="45A10D98" w14:textId="77777777" w:rsidR="00FF6744" w:rsidRPr="009D34C5" w:rsidRDefault="00FF6744" w:rsidP="00383D3A">
      <w:pPr>
        <w:pStyle w:val="Zkladntext"/>
        <w:ind w:left="142" w:right="102"/>
        <w:jc w:val="both"/>
        <w:rPr>
          <w:spacing w:val="-1"/>
          <w:sz w:val="22"/>
          <w:szCs w:val="22"/>
        </w:rPr>
      </w:pPr>
    </w:p>
    <w:p w14:paraId="4E9351E4" w14:textId="47ADAE45" w:rsidR="00C960F2" w:rsidRPr="009D34C5" w:rsidRDefault="000F4C0C" w:rsidP="000F4C0C">
      <w:pPr>
        <w:pStyle w:val="Nadpis1"/>
        <w:numPr>
          <w:ilvl w:val="1"/>
          <w:numId w:val="4"/>
        </w:numPr>
        <w:spacing w:before="98"/>
        <w:ind w:left="567" w:right="4355" w:hanging="420"/>
        <w:rPr>
          <w:rFonts w:cs="Times New Roman"/>
          <w:b w:val="0"/>
          <w:bCs w:val="0"/>
          <w:sz w:val="22"/>
          <w:szCs w:val="22"/>
        </w:rPr>
      </w:pPr>
      <w:r w:rsidRPr="009D34C5">
        <w:rPr>
          <w:rFonts w:cs="Times New Roman"/>
          <w:sz w:val="22"/>
          <w:szCs w:val="22"/>
        </w:rPr>
        <w:t>Fertilita, gravidita a laktácia</w:t>
      </w:r>
    </w:p>
    <w:p w14:paraId="1B6EE81D" w14:textId="7B4C1E8E" w:rsidR="002C3460" w:rsidRPr="009D34C5" w:rsidRDefault="002C3460" w:rsidP="002C3460">
      <w:pPr>
        <w:pStyle w:val="Nadpis1"/>
        <w:spacing w:before="98"/>
        <w:ind w:left="567" w:right="4355" w:firstLine="0"/>
        <w:rPr>
          <w:rFonts w:cs="Times New Roman"/>
          <w:b w:val="0"/>
          <w:bCs w:val="0"/>
          <w:sz w:val="22"/>
          <w:szCs w:val="22"/>
        </w:rPr>
      </w:pPr>
    </w:p>
    <w:p w14:paraId="04B97139" w14:textId="6C0598CC" w:rsidR="00227451" w:rsidRPr="009D34C5" w:rsidRDefault="002C3460" w:rsidP="00383D3A">
      <w:pPr>
        <w:pStyle w:val="Nadpis1"/>
        <w:tabs>
          <w:tab w:val="left" w:pos="420"/>
        </w:tabs>
        <w:spacing w:before="98" w:line="272" w:lineRule="auto"/>
        <w:ind w:left="142" w:right="5397" w:firstLine="0"/>
        <w:rPr>
          <w:b w:val="0"/>
          <w:bCs w:val="0"/>
          <w:sz w:val="22"/>
          <w:szCs w:val="22"/>
        </w:rPr>
      </w:pPr>
      <w:r w:rsidRPr="009D34C5">
        <w:rPr>
          <w:sz w:val="22"/>
          <w:szCs w:val="22"/>
        </w:rPr>
        <w:t>Tehotenstvo</w:t>
      </w:r>
    </w:p>
    <w:p w14:paraId="68027F94" w14:textId="2CF17D57" w:rsidR="002C3460" w:rsidRPr="009D34C5" w:rsidRDefault="002C3460" w:rsidP="00383D3A">
      <w:pPr>
        <w:pStyle w:val="Zkladntext"/>
        <w:tabs>
          <w:tab w:val="left" w:pos="7353"/>
        </w:tabs>
        <w:ind w:left="142" w:right="105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Ženy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udržiavacej dávke pre hypotyreózu, ktoré otehotnejú, musia byť starostlivo sledované.</w:t>
      </w:r>
    </w:p>
    <w:p w14:paraId="6F35703C" w14:textId="0DB0D2C6" w:rsidR="002C3460" w:rsidRPr="009D34C5" w:rsidRDefault="00E10A35" w:rsidP="00383D3A">
      <w:pPr>
        <w:pStyle w:val="Zkladntext"/>
        <w:tabs>
          <w:tab w:val="left" w:pos="7353"/>
        </w:tabs>
        <w:ind w:left="142" w:right="105"/>
        <w:jc w:val="both"/>
        <w:rPr>
          <w:sz w:val="22"/>
          <w:szCs w:val="22"/>
        </w:rPr>
      </w:pPr>
      <w:r w:rsidRPr="009D34C5">
        <w:rPr>
          <w:sz w:val="22"/>
          <w:szCs w:val="22"/>
        </w:rPr>
        <w:t>Sodná soľ levotyroxínu</w:t>
      </w:r>
      <w:r w:rsidR="002C3460" w:rsidRPr="009D34C5">
        <w:rPr>
          <w:sz w:val="22"/>
          <w:szCs w:val="22"/>
        </w:rPr>
        <w:t xml:space="preserve"> neprechádza placentou</w:t>
      </w:r>
      <w:r w:rsidRPr="009D34C5">
        <w:rPr>
          <w:sz w:val="22"/>
          <w:szCs w:val="22"/>
        </w:rPr>
        <w:t xml:space="preserve"> ľahko</w:t>
      </w:r>
      <w:r w:rsidR="002C3460" w:rsidRPr="009D34C5">
        <w:rPr>
          <w:sz w:val="22"/>
          <w:szCs w:val="22"/>
        </w:rPr>
        <w:t xml:space="preserve"> v druhom a treťom trimestri, ale </w:t>
      </w:r>
      <w:r w:rsidRPr="009D34C5">
        <w:rPr>
          <w:sz w:val="22"/>
          <w:szCs w:val="22"/>
        </w:rPr>
        <w:t>v prvom môže</w:t>
      </w:r>
      <w:r w:rsidR="002C3460" w:rsidRPr="009D34C5">
        <w:rPr>
          <w:sz w:val="22"/>
          <w:szCs w:val="22"/>
        </w:rPr>
        <w:t xml:space="preserve">. Nie je známe, že by </w:t>
      </w:r>
      <w:r w:rsidRPr="009D34C5">
        <w:rPr>
          <w:sz w:val="22"/>
          <w:szCs w:val="22"/>
        </w:rPr>
        <w:t>sodná soľ levotyroxínu mala</w:t>
      </w:r>
      <w:r w:rsidR="002C3460" w:rsidRPr="009D34C5">
        <w:rPr>
          <w:sz w:val="22"/>
          <w:szCs w:val="22"/>
        </w:rPr>
        <w:t xml:space="preserve"> karcinogénne alebo teratogénne účinky.</w:t>
      </w:r>
    </w:p>
    <w:p w14:paraId="38041AB1" w14:textId="77777777" w:rsidR="00E10A35" w:rsidRPr="009D34C5" w:rsidRDefault="00E10A35" w:rsidP="00383D3A">
      <w:pPr>
        <w:pStyle w:val="Zkladntext"/>
        <w:tabs>
          <w:tab w:val="left" w:pos="7353"/>
        </w:tabs>
        <w:ind w:left="142" w:right="105"/>
        <w:jc w:val="both"/>
        <w:rPr>
          <w:sz w:val="22"/>
          <w:szCs w:val="22"/>
        </w:rPr>
      </w:pPr>
    </w:p>
    <w:p w14:paraId="7CCF8051" w14:textId="5AF280D6" w:rsidR="00E10A35" w:rsidRPr="009D34C5" w:rsidRDefault="00E10A35" w:rsidP="00383D3A">
      <w:pPr>
        <w:pStyle w:val="Zkladntext"/>
        <w:spacing w:before="91"/>
        <w:ind w:left="142" w:right="103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Vzhľadom na to, že zvýšenie TSH v sére sa môže objaviť už v priebehu prvých 4 týždňov gravidity, u gravidných žien užívajúcich levotyroxín sa má v každom trimestri sledovať TSH, aby sa potvrdilo, že hodnoty TSH materského séra sú v referenčnom rozsahu pre daný trimester gravidity. Zvýšená hladina TSH v sére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má upraviť zvýšením dávky levotyroxínu. Vzhľadom </w:t>
      </w:r>
      <w:proofErr w:type="gramStart"/>
      <w:r w:rsidR="00FB351A" w:rsidRPr="009D34C5">
        <w:rPr>
          <w:sz w:val="22"/>
          <w:szCs w:val="22"/>
        </w:rPr>
        <w:t>na</w:t>
      </w:r>
      <w:proofErr w:type="gramEnd"/>
      <w:r w:rsidR="00FB351A" w:rsidRPr="009D34C5">
        <w:rPr>
          <w:sz w:val="22"/>
          <w:szCs w:val="22"/>
        </w:rPr>
        <w:t xml:space="preserve"> </w:t>
      </w:r>
      <w:r w:rsidRPr="009D34C5">
        <w:rPr>
          <w:sz w:val="22"/>
          <w:szCs w:val="22"/>
        </w:rPr>
        <w:t xml:space="preserve">to, že hladiny TSH po pôrode sú podobné hodnotám pred graviditou, dávka levotyroxínu sa má vrátiť </w:t>
      </w:r>
      <w:r w:rsidR="00FB351A" w:rsidRPr="009D34C5">
        <w:rPr>
          <w:sz w:val="22"/>
          <w:szCs w:val="22"/>
        </w:rPr>
        <w:t xml:space="preserve">na </w:t>
      </w:r>
      <w:r w:rsidRPr="009D34C5">
        <w:rPr>
          <w:sz w:val="22"/>
          <w:szCs w:val="22"/>
        </w:rPr>
        <w:t>dávk</w:t>
      </w:r>
      <w:r w:rsidR="00FB351A" w:rsidRPr="009D34C5">
        <w:rPr>
          <w:sz w:val="22"/>
          <w:szCs w:val="22"/>
        </w:rPr>
        <w:t>u</w:t>
      </w:r>
      <w:r w:rsidRPr="009D34C5">
        <w:rPr>
          <w:sz w:val="22"/>
          <w:szCs w:val="22"/>
        </w:rPr>
        <w:t xml:space="preserve"> pred graviditou ihneď po pôrode. Hladina TSH v sére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má skontrolovať 6</w:t>
      </w:r>
      <w:r w:rsidR="00964F7B" w:rsidRPr="009D34C5">
        <w:rPr>
          <w:sz w:val="22"/>
          <w:szCs w:val="22"/>
        </w:rPr>
        <w:t> </w:t>
      </w:r>
      <w:r w:rsidR="00FB351A" w:rsidRPr="009D34C5">
        <w:rPr>
          <w:sz w:val="22"/>
          <w:szCs w:val="22"/>
        </w:rPr>
        <w:t>–</w:t>
      </w:r>
      <w:r w:rsidR="00964F7B" w:rsidRPr="009D34C5">
        <w:rPr>
          <w:sz w:val="22"/>
          <w:szCs w:val="22"/>
        </w:rPr>
        <w:t> </w:t>
      </w:r>
      <w:r w:rsidRPr="009D34C5">
        <w:rPr>
          <w:sz w:val="22"/>
          <w:szCs w:val="22"/>
        </w:rPr>
        <w:t>8 týždňov po pôrode.</w:t>
      </w:r>
    </w:p>
    <w:p w14:paraId="21D6EA00" w14:textId="77777777" w:rsidR="00E10A35" w:rsidRPr="009D34C5" w:rsidRDefault="00E10A35" w:rsidP="00383D3A">
      <w:pPr>
        <w:pStyle w:val="Zkladntext"/>
        <w:spacing w:before="91"/>
        <w:ind w:left="142" w:right="102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Liečba levotyroxínom </w:t>
      </w:r>
      <w:proofErr w:type="gramStart"/>
      <w:r w:rsidRPr="009D34C5">
        <w:rPr>
          <w:spacing w:val="-1"/>
          <w:sz w:val="22"/>
          <w:szCs w:val="22"/>
        </w:rPr>
        <w:t>sa</w:t>
      </w:r>
      <w:proofErr w:type="gramEnd"/>
      <w:r w:rsidRPr="009D34C5">
        <w:rPr>
          <w:spacing w:val="-1"/>
          <w:sz w:val="22"/>
          <w:szCs w:val="22"/>
        </w:rPr>
        <w:t xml:space="preserve"> má predovšetkým počas gravidity a dojčenia vykonávať veľmi dôsledne. Požiadavky </w:t>
      </w:r>
      <w:proofErr w:type="gramStart"/>
      <w:r w:rsidRPr="009D34C5">
        <w:rPr>
          <w:spacing w:val="-1"/>
          <w:sz w:val="22"/>
          <w:szCs w:val="22"/>
        </w:rPr>
        <w:t>na</w:t>
      </w:r>
      <w:proofErr w:type="gramEnd"/>
      <w:r w:rsidRPr="009D34C5">
        <w:rPr>
          <w:spacing w:val="-1"/>
          <w:sz w:val="22"/>
          <w:szCs w:val="22"/>
        </w:rPr>
        <w:t xml:space="preserve"> dávkovanie sa môžu počas gravidity dokonca zvýšiť. </w:t>
      </w:r>
    </w:p>
    <w:p w14:paraId="38EFA338" w14:textId="49BD055F" w:rsidR="00E10A35" w:rsidRPr="009D34C5" w:rsidRDefault="00E10A35" w:rsidP="00383D3A">
      <w:pPr>
        <w:pStyle w:val="Zkladntext"/>
        <w:spacing w:before="91"/>
        <w:ind w:left="142" w:right="102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Skúsenosti ukázali, že pri odporúčanej </w:t>
      </w:r>
      <w:r w:rsidR="00FB351A" w:rsidRPr="009D34C5">
        <w:rPr>
          <w:sz w:val="22"/>
          <w:szCs w:val="22"/>
        </w:rPr>
        <w:t xml:space="preserve">terapeutickej dávke </w:t>
      </w:r>
      <w:r w:rsidRPr="009D34C5">
        <w:rPr>
          <w:sz w:val="22"/>
          <w:szCs w:val="22"/>
        </w:rPr>
        <w:t xml:space="preserve">neexistujú dôkazy </w:t>
      </w:r>
      <w:r w:rsidR="00FB351A" w:rsidRPr="009D34C5">
        <w:rPr>
          <w:sz w:val="22"/>
          <w:szCs w:val="22"/>
        </w:rPr>
        <w:t xml:space="preserve">o </w:t>
      </w:r>
      <w:r w:rsidRPr="009D34C5">
        <w:rPr>
          <w:sz w:val="22"/>
          <w:szCs w:val="22"/>
        </w:rPr>
        <w:t xml:space="preserve">liekmi </w:t>
      </w:r>
      <w:r w:rsidR="00FB351A" w:rsidRPr="009D34C5">
        <w:rPr>
          <w:sz w:val="22"/>
          <w:szCs w:val="22"/>
        </w:rPr>
        <w:t xml:space="preserve">indukovanej </w:t>
      </w:r>
      <w:r w:rsidRPr="009D34C5">
        <w:rPr>
          <w:sz w:val="22"/>
          <w:szCs w:val="22"/>
        </w:rPr>
        <w:t>teratogenit</w:t>
      </w:r>
      <w:r w:rsidR="00FB351A" w:rsidRPr="009D34C5">
        <w:rPr>
          <w:sz w:val="22"/>
          <w:szCs w:val="22"/>
        </w:rPr>
        <w:t>e</w:t>
      </w:r>
      <w:r w:rsidRPr="009D34C5">
        <w:rPr>
          <w:sz w:val="22"/>
          <w:szCs w:val="22"/>
        </w:rPr>
        <w:t xml:space="preserve"> a/alebo fetotoxicit</w:t>
      </w:r>
      <w:r w:rsidR="00FB351A" w:rsidRPr="009D34C5">
        <w:rPr>
          <w:sz w:val="22"/>
          <w:szCs w:val="22"/>
        </w:rPr>
        <w:t>e</w:t>
      </w:r>
      <w:r w:rsidRPr="009D34C5">
        <w:rPr>
          <w:sz w:val="22"/>
          <w:szCs w:val="22"/>
        </w:rPr>
        <w:t xml:space="preserve"> u ľudí. Nadmerne vysoké dávky levotyroxínu počas tehotenstva môžu mať </w:t>
      </w:r>
      <w:r w:rsidRPr="009D34C5">
        <w:rPr>
          <w:sz w:val="22"/>
          <w:szCs w:val="22"/>
        </w:rPr>
        <w:lastRenderedPageBreak/>
        <w:t xml:space="preserve">negatívny účinok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fetálny a postnatálny vývin.</w:t>
      </w:r>
    </w:p>
    <w:p w14:paraId="34F935A6" w14:textId="6B1EA765" w:rsidR="00E10A35" w:rsidRPr="009D34C5" w:rsidRDefault="00E10A35" w:rsidP="00383D3A">
      <w:pPr>
        <w:pStyle w:val="Zkladntext"/>
        <w:spacing w:before="94"/>
        <w:ind w:left="142" w:right="103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Kombinovaná liečba hypertyreózy levotyroxínom a tyreostatikami nie je počas tehotenstva indikovaná. Takáto kombinácia by vyžadovala vyššie dávky tyreostatík, o ktorých je známe, že prechádzajú placentou </w:t>
      </w:r>
      <w:proofErr w:type="gramStart"/>
      <w:r w:rsidRPr="009D34C5">
        <w:rPr>
          <w:sz w:val="22"/>
          <w:szCs w:val="22"/>
        </w:rPr>
        <w:t>a</w:t>
      </w:r>
      <w:proofErr w:type="gramEnd"/>
      <w:r w:rsidRPr="009D34C5">
        <w:rPr>
          <w:sz w:val="22"/>
          <w:szCs w:val="22"/>
        </w:rPr>
        <w:t xml:space="preserve"> indukujú hypotyreózu u dieťaťa.</w:t>
      </w:r>
    </w:p>
    <w:p w14:paraId="760F0486" w14:textId="3DAAC8AE" w:rsidR="00E10A35" w:rsidRPr="009D34C5" w:rsidRDefault="00E10A35" w:rsidP="00383D3A">
      <w:pPr>
        <w:pStyle w:val="Zkladntext"/>
        <w:spacing w:before="91"/>
        <w:ind w:left="142" w:right="101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Počas tehotenstva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nemá robiť supresný test štítnej žľazy, pretože podanie rádioaktívnych látok tehotným ženám je kontraindikované.</w:t>
      </w:r>
    </w:p>
    <w:p w14:paraId="09257663" w14:textId="77777777" w:rsidR="00C960F2" w:rsidRPr="009D34C5" w:rsidRDefault="00C960F2" w:rsidP="00383D3A">
      <w:pPr>
        <w:pStyle w:val="Zkladntext"/>
        <w:ind w:left="142" w:right="102"/>
        <w:jc w:val="both"/>
        <w:rPr>
          <w:b/>
          <w:spacing w:val="-1"/>
          <w:sz w:val="22"/>
          <w:szCs w:val="22"/>
        </w:rPr>
      </w:pPr>
    </w:p>
    <w:p w14:paraId="7D3B69AF" w14:textId="611CCC80" w:rsidR="00C960F2" w:rsidRPr="009D34C5" w:rsidRDefault="00E10A35" w:rsidP="00383D3A">
      <w:pPr>
        <w:pStyle w:val="Zkladntext"/>
        <w:ind w:left="142" w:right="102"/>
        <w:jc w:val="both"/>
        <w:rPr>
          <w:b/>
          <w:bCs/>
          <w:spacing w:val="-1"/>
          <w:sz w:val="22"/>
          <w:szCs w:val="22"/>
        </w:rPr>
      </w:pPr>
      <w:r w:rsidRPr="009D34C5">
        <w:rPr>
          <w:b/>
          <w:spacing w:val="-1"/>
          <w:sz w:val="22"/>
          <w:szCs w:val="22"/>
        </w:rPr>
        <w:t>Dojčenie</w:t>
      </w:r>
    </w:p>
    <w:p w14:paraId="53669A51" w14:textId="7383EACB" w:rsidR="00C960F2" w:rsidRPr="009D34C5" w:rsidRDefault="00E10A35" w:rsidP="00383D3A">
      <w:pPr>
        <w:pStyle w:val="Zkladntext"/>
        <w:ind w:left="142" w:right="102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Levotyroxín </w:t>
      </w:r>
      <w:proofErr w:type="gramStart"/>
      <w:r w:rsidRPr="009D34C5">
        <w:rPr>
          <w:spacing w:val="-1"/>
          <w:sz w:val="22"/>
          <w:szCs w:val="22"/>
        </w:rPr>
        <w:t>sa</w:t>
      </w:r>
      <w:proofErr w:type="gramEnd"/>
      <w:r w:rsidRPr="009D34C5">
        <w:rPr>
          <w:spacing w:val="-1"/>
          <w:sz w:val="22"/>
          <w:szCs w:val="22"/>
        </w:rPr>
        <w:t xml:space="preserve"> počas dojčenia vylučuje do materského mlieka, ale koncentrácie dosiahnuté pri odporúčanej terapeutickej </w:t>
      </w:r>
      <w:r w:rsidR="00FB351A" w:rsidRPr="009D34C5">
        <w:rPr>
          <w:spacing w:val="-1"/>
          <w:sz w:val="22"/>
          <w:szCs w:val="22"/>
        </w:rPr>
        <w:t xml:space="preserve">dávke </w:t>
      </w:r>
      <w:r w:rsidRPr="009D34C5">
        <w:rPr>
          <w:spacing w:val="-1"/>
          <w:sz w:val="22"/>
          <w:szCs w:val="22"/>
        </w:rPr>
        <w:t xml:space="preserve">nie sú dostatočné na vyvolanie hypertyreózy alebo supresie sekrécie TSH u dieťaťa.  </w:t>
      </w:r>
    </w:p>
    <w:p w14:paraId="06A8A1AA" w14:textId="77777777" w:rsidR="00E10A35" w:rsidRPr="009D34C5" w:rsidRDefault="00E10A35" w:rsidP="00383D3A">
      <w:pPr>
        <w:pStyle w:val="Zkladntext"/>
        <w:ind w:left="142" w:right="102"/>
        <w:jc w:val="both"/>
        <w:rPr>
          <w:sz w:val="22"/>
          <w:szCs w:val="22"/>
        </w:rPr>
      </w:pPr>
    </w:p>
    <w:p w14:paraId="223AEEF8" w14:textId="4C997004" w:rsidR="00227451" w:rsidRPr="009D34C5" w:rsidRDefault="00E10A35" w:rsidP="00E10A35">
      <w:pPr>
        <w:pStyle w:val="Nadpis1"/>
        <w:numPr>
          <w:ilvl w:val="1"/>
          <w:numId w:val="4"/>
        </w:numPr>
        <w:tabs>
          <w:tab w:val="left" w:pos="567"/>
        </w:tabs>
        <w:spacing w:before="98"/>
        <w:ind w:left="567" w:hanging="425"/>
        <w:jc w:val="both"/>
        <w:rPr>
          <w:b w:val="0"/>
          <w:bCs w:val="0"/>
          <w:sz w:val="22"/>
          <w:szCs w:val="22"/>
        </w:rPr>
      </w:pPr>
      <w:r w:rsidRPr="009D34C5">
        <w:rPr>
          <w:spacing w:val="-1"/>
          <w:sz w:val="22"/>
          <w:szCs w:val="22"/>
        </w:rPr>
        <w:t>Ovplyvnenie schopnosti viesť vozidlá a obsluhovať stroje</w:t>
      </w:r>
    </w:p>
    <w:p w14:paraId="26DD7E3F" w14:textId="77777777" w:rsidR="00E10A35" w:rsidRPr="009D34C5" w:rsidRDefault="00E10A35" w:rsidP="00E10A35">
      <w:pPr>
        <w:pStyle w:val="Nadpis1"/>
        <w:tabs>
          <w:tab w:val="left" w:pos="567"/>
        </w:tabs>
        <w:spacing w:before="98"/>
        <w:ind w:left="567" w:firstLine="0"/>
        <w:jc w:val="both"/>
        <w:rPr>
          <w:b w:val="0"/>
          <w:bCs w:val="0"/>
          <w:sz w:val="22"/>
          <w:szCs w:val="22"/>
        </w:rPr>
      </w:pPr>
    </w:p>
    <w:p w14:paraId="5761F5B3" w14:textId="18FFAB83" w:rsidR="00F637AC" w:rsidRPr="009D34C5" w:rsidRDefault="00E10A35" w:rsidP="00383D3A">
      <w:pPr>
        <w:pStyle w:val="Zkladntext"/>
        <w:spacing w:before="26"/>
        <w:ind w:left="142" w:right="102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Neuskutočnili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žiadne štúdie o účinkoch na schopnosť viesť vozidlá alebo obsluhovať stroje. Keďže levotyroxín je identický s prirodzene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vyskytujúcim hormónom štítnej žľazy, neočakáva sa, že by Alverox ovplyv</w:t>
      </w:r>
      <w:r w:rsidR="00290DA3" w:rsidRPr="009D34C5">
        <w:rPr>
          <w:sz w:val="22"/>
          <w:szCs w:val="22"/>
        </w:rPr>
        <w:t>ňoval</w:t>
      </w:r>
      <w:r w:rsidRPr="009D34C5">
        <w:rPr>
          <w:sz w:val="22"/>
          <w:szCs w:val="22"/>
        </w:rPr>
        <w:t xml:space="preserve"> schopnosť viesť vozidlá a obsluhovať stroje.</w:t>
      </w:r>
    </w:p>
    <w:p w14:paraId="24608BBC" w14:textId="77777777" w:rsidR="00E10A35" w:rsidRPr="009D34C5" w:rsidRDefault="00E10A35" w:rsidP="00383D3A">
      <w:pPr>
        <w:pStyle w:val="Zkladntext"/>
        <w:spacing w:before="26"/>
        <w:ind w:left="142" w:right="102"/>
        <w:jc w:val="both"/>
        <w:rPr>
          <w:sz w:val="22"/>
          <w:szCs w:val="22"/>
        </w:rPr>
      </w:pPr>
    </w:p>
    <w:p w14:paraId="641BC71E" w14:textId="39EFA385" w:rsidR="00227451" w:rsidRPr="009D34C5" w:rsidRDefault="00736355" w:rsidP="00736355">
      <w:pPr>
        <w:pStyle w:val="Nadpis1"/>
        <w:numPr>
          <w:ilvl w:val="1"/>
          <w:numId w:val="4"/>
        </w:numPr>
        <w:tabs>
          <w:tab w:val="left" w:pos="567"/>
        </w:tabs>
        <w:spacing w:before="98"/>
        <w:ind w:left="142" w:firstLine="0"/>
        <w:jc w:val="both"/>
        <w:rPr>
          <w:b w:val="0"/>
          <w:bCs w:val="0"/>
          <w:sz w:val="22"/>
          <w:szCs w:val="22"/>
        </w:rPr>
      </w:pPr>
      <w:r w:rsidRPr="009D34C5">
        <w:rPr>
          <w:sz w:val="22"/>
          <w:szCs w:val="22"/>
          <w:lang w:val="sk-SK"/>
        </w:rPr>
        <w:t>Nežiaduce účinky</w:t>
      </w:r>
    </w:p>
    <w:p w14:paraId="0104B782" w14:textId="77777777" w:rsidR="00736355" w:rsidRPr="009D34C5" w:rsidRDefault="00736355" w:rsidP="00736355">
      <w:pPr>
        <w:pStyle w:val="Nadpis1"/>
        <w:tabs>
          <w:tab w:val="left" w:pos="567"/>
        </w:tabs>
        <w:spacing w:before="98"/>
        <w:ind w:left="142" w:firstLine="0"/>
        <w:jc w:val="both"/>
        <w:rPr>
          <w:b w:val="0"/>
          <w:bCs w:val="0"/>
          <w:sz w:val="22"/>
          <w:szCs w:val="22"/>
        </w:rPr>
      </w:pPr>
    </w:p>
    <w:p w14:paraId="313C0837" w14:textId="14C38A9D" w:rsidR="003B153A" w:rsidRPr="009D34C5" w:rsidRDefault="003B153A" w:rsidP="00383D3A">
      <w:pPr>
        <w:pStyle w:val="Zkladntext"/>
        <w:spacing w:before="26"/>
        <w:ind w:left="142" w:right="100"/>
        <w:jc w:val="both"/>
        <w:rPr>
          <w:sz w:val="22"/>
          <w:szCs w:val="22"/>
        </w:rPr>
      </w:pPr>
      <w:r w:rsidRPr="009D34C5">
        <w:rPr>
          <w:sz w:val="22"/>
          <w:szCs w:val="22"/>
        </w:rPr>
        <w:t>Nasledujúce nežiaduce účinky sú zvyčajne spôsobené nadmerným dávkovaním a zodpovedajú príznakom hypertyreózy (pozri časť 4.9):</w:t>
      </w:r>
    </w:p>
    <w:p w14:paraId="18405B56" w14:textId="5C379CA1" w:rsidR="00227451" w:rsidRPr="009D34C5" w:rsidRDefault="003B153A" w:rsidP="00383D3A">
      <w:pPr>
        <w:pStyle w:val="Zkladntext"/>
        <w:ind w:left="142" w:right="104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>Arytmie</w:t>
      </w:r>
      <w:r w:rsidR="00543825" w:rsidRPr="009D34C5">
        <w:rPr>
          <w:spacing w:val="-1"/>
          <w:sz w:val="22"/>
          <w:szCs w:val="22"/>
        </w:rPr>
        <w:t>,</w:t>
      </w:r>
      <w:r w:rsidR="00543825" w:rsidRPr="009D34C5">
        <w:rPr>
          <w:spacing w:val="42"/>
          <w:sz w:val="22"/>
          <w:szCs w:val="22"/>
        </w:rPr>
        <w:t xml:space="preserve"> </w:t>
      </w:r>
      <w:r w:rsidR="007935FF" w:rsidRPr="009D34C5">
        <w:rPr>
          <w:spacing w:val="-1"/>
          <w:sz w:val="22"/>
          <w:szCs w:val="22"/>
        </w:rPr>
        <w:t>angí</w:t>
      </w:r>
      <w:r w:rsidR="00543825" w:rsidRPr="009D34C5">
        <w:rPr>
          <w:spacing w:val="-1"/>
          <w:sz w:val="22"/>
          <w:szCs w:val="22"/>
        </w:rPr>
        <w:t>na</w:t>
      </w:r>
      <w:r w:rsidR="007935FF" w:rsidRPr="009D34C5">
        <w:rPr>
          <w:spacing w:val="-1"/>
          <w:sz w:val="22"/>
          <w:szCs w:val="22"/>
        </w:rPr>
        <w:t xml:space="preserve"> pek</w:t>
      </w:r>
      <w:r w:rsidR="00C41681" w:rsidRPr="009D34C5">
        <w:rPr>
          <w:spacing w:val="-1"/>
          <w:sz w:val="22"/>
          <w:szCs w:val="22"/>
        </w:rPr>
        <w:t>toris</w:t>
      </w:r>
      <w:r w:rsidR="00543825" w:rsidRPr="009D34C5">
        <w:rPr>
          <w:spacing w:val="-1"/>
          <w:sz w:val="22"/>
          <w:szCs w:val="22"/>
        </w:rPr>
        <w:t>,</w:t>
      </w:r>
      <w:r w:rsidR="00543825" w:rsidRPr="009D34C5">
        <w:rPr>
          <w:spacing w:val="42"/>
          <w:sz w:val="22"/>
          <w:szCs w:val="22"/>
        </w:rPr>
        <w:t xml:space="preserve"> </w:t>
      </w:r>
      <w:r w:rsidR="007935FF" w:rsidRPr="009D34C5">
        <w:rPr>
          <w:spacing w:val="-1"/>
          <w:sz w:val="22"/>
          <w:szCs w:val="22"/>
        </w:rPr>
        <w:t>tachyk</w:t>
      </w:r>
      <w:r w:rsidR="00543825" w:rsidRPr="009D34C5">
        <w:rPr>
          <w:spacing w:val="-1"/>
          <w:sz w:val="22"/>
          <w:szCs w:val="22"/>
        </w:rPr>
        <w:t>ardia,</w:t>
      </w:r>
      <w:r w:rsidR="00543825" w:rsidRPr="009D34C5">
        <w:rPr>
          <w:spacing w:val="43"/>
          <w:sz w:val="22"/>
          <w:szCs w:val="22"/>
        </w:rPr>
        <w:t xml:space="preserve"> </w:t>
      </w:r>
      <w:r w:rsidRPr="009D34C5">
        <w:rPr>
          <w:spacing w:val="-1"/>
          <w:sz w:val="22"/>
          <w:szCs w:val="22"/>
        </w:rPr>
        <w:t>svalové kŕče</w:t>
      </w:r>
      <w:r w:rsidR="00543825" w:rsidRPr="009D34C5">
        <w:rPr>
          <w:spacing w:val="-1"/>
          <w:sz w:val="22"/>
          <w:szCs w:val="22"/>
        </w:rPr>
        <w:t>,</w:t>
      </w:r>
      <w:r w:rsidR="00543825" w:rsidRPr="009D34C5">
        <w:rPr>
          <w:spacing w:val="9"/>
          <w:sz w:val="22"/>
          <w:szCs w:val="22"/>
        </w:rPr>
        <w:t xml:space="preserve"> </w:t>
      </w:r>
      <w:r w:rsidRPr="009D34C5">
        <w:rPr>
          <w:sz w:val="22"/>
          <w:szCs w:val="22"/>
        </w:rPr>
        <w:t>bolesť hlavy</w:t>
      </w:r>
      <w:r w:rsidR="00543825" w:rsidRPr="009D34C5">
        <w:rPr>
          <w:sz w:val="22"/>
          <w:szCs w:val="22"/>
        </w:rPr>
        <w:t>,</w:t>
      </w:r>
      <w:r w:rsidR="00FF628B" w:rsidRPr="009D34C5">
        <w:rPr>
          <w:sz w:val="22"/>
          <w:szCs w:val="22"/>
        </w:rPr>
        <w:t xml:space="preserve"> </w:t>
      </w:r>
      <w:r w:rsidRPr="009D34C5">
        <w:rPr>
          <w:sz w:val="22"/>
          <w:szCs w:val="22"/>
        </w:rPr>
        <w:t>porucha menštruácie</w:t>
      </w:r>
      <w:r w:rsidR="00FF628B" w:rsidRPr="009D34C5">
        <w:rPr>
          <w:sz w:val="22"/>
          <w:szCs w:val="22"/>
        </w:rPr>
        <w:t xml:space="preserve">, </w:t>
      </w:r>
      <w:r w:rsidRPr="009D34C5">
        <w:rPr>
          <w:sz w:val="22"/>
          <w:szCs w:val="22"/>
        </w:rPr>
        <w:t>idiopatická intrakraniálna hypertenzia</w:t>
      </w:r>
      <w:r w:rsidR="00FF628B" w:rsidRPr="009D34C5">
        <w:rPr>
          <w:sz w:val="22"/>
          <w:szCs w:val="22"/>
        </w:rPr>
        <w:t>,</w:t>
      </w:r>
      <w:r w:rsidR="00543825" w:rsidRPr="009D34C5">
        <w:rPr>
          <w:spacing w:val="10"/>
          <w:sz w:val="22"/>
          <w:szCs w:val="22"/>
        </w:rPr>
        <w:t xml:space="preserve"> </w:t>
      </w:r>
      <w:r w:rsidRPr="009D34C5">
        <w:rPr>
          <w:sz w:val="22"/>
          <w:szCs w:val="22"/>
        </w:rPr>
        <w:t>nepokoj</w:t>
      </w:r>
      <w:r w:rsidR="00543825" w:rsidRPr="009D34C5">
        <w:rPr>
          <w:spacing w:val="-1"/>
          <w:sz w:val="22"/>
          <w:szCs w:val="22"/>
        </w:rPr>
        <w:t>,</w:t>
      </w:r>
      <w:r w:rsidR="00543825" w:rsidRPr="009D34C5">
        <w:rPr>
          <w:spacing w:val="9"/>
          <w:sz w:val="22"/>
          <w:szCs w:val="22"/>
        </w:rPr>
        <w:t xml:space="preserve"> </w:t>
      </w:r>
      <w:r w:rsidRPr="009D34C5">
        <w:rPr>
          <w:spacing w:val="-1"/>
          <w:sz w:val="22"/>
          <w:szCs w:val="22"/>
        </w:rPr>
        <w:t>excitabilita</w:t>
      </w:r>
      <w:r w:rsidR="00543825" w:rsidRPr="009D34C5">
        <w:rPr>
          <w:spacing w:val="-1"/>
          <w:sz w:val="22"/>
          <w:szCs w:val="22"/>
        </w:rPr>
        <w:t>,</w:t>
      </w:r>
      <w:r w:rsidR="00543825" w:rsidRPr="009D34C5">
        <w:rPr>
          <w:spacing w:val="9"/>
          <w:sz w:val="22"/>
          <w:szCs w:val="22"/>
        </w:rPr>
        <w:t xml:space="preserve"> </w:t>
      </w:r>
      <w:r w:rsidR="007935FF" w:rsidRPr="009D34C5">
        <w:rPr>
          <w:spacing w:val="-1"/>
          <w:sz w:val="22"/>
          <w:szCs w:val="22"/>
        </w:rPr>
        <w:t>návaly tepla</w:t>
      </w:r>
      <w:r w:rsidR="00543825" w:rsidRPr="009D34C5">
        <w:rPr>
          <w:spacing w:val="-1"/>
          <w:sz w:val="22"/>
          <w:szCs w:val="22"/>
        </w:rPr>
        <w:t>,</w:t>
      </w:r>
      <w:r w:rsidR="00FF6744" w:rsidRPr="009D34C5">
        <w:rPr>
          <w:spacing w:val="-1"/>
          <w:sz w:val="22"/>
          <w:szCs w:val="22"/>
        </w:rPr>
        <w:t xml:space="preserve"> </w:t>
      </w:r>
      <w:r w:rsidR="00D536E2" w:rsidRPr="009D34C5">
        <w:rPr>
          <w:sz w:val="22"/>
          <w:szCs w:val="22"/>
          <w:lang w:eastAsia="de-DE"/>
        </w:rPr>
        <w:t>kolaps cirkulácie</w:t>
      </w:r>
      <w:r w:rsidR="007935FF" w:rsidRPr="009D34C5">
        <w:rPr>
          <w:sz w:val="22"/>
          <w:szCs w:val="22"/>
          <w:lang w:eastAsia="de-DE"/>
        </w:rPr>
        <w:t xml:space="preserve"> u</w:t>
      </w:r>
      <w:r w:rsidR="00CD1917" w:rsidRPr="009D34C5">
        <w:rPr>
          <w:sz w:val="22"/>
          <w:szCs w:val="22"/>
          <w:lang w:eastAsia="de-DE"/>
        </w:rPr>
        <w:t> </w:t>
      </w:r>
      <w:r w:rsidR="007935FF" w:rsidRPr="009D34C5">
        <w:rPr>
          <w:sz w:val="22"/>
          <w:szCs w:val="22"/>
          <w:lang w:eastAsia="de-DE"/>
        </w:rPr>
        <w:t xml:space="preserve">predčasne narodených novorodencov s nízkou pôrodnou hmotnosťou </w:t>
      </w:r>
      <w:r w:rsidR="00FF6744" w:rsidRPr="009D34C5">
        <w:rPr>
          <w:sz w:val="22"/>
          <w:szCs w:val="22"/>
          <w:lang w:eastAsia="de-DE"/>
        </w:rPr>
        <w:t>(</w:t>
      </w:r>
      <w:r w:rsidR="007935FF" w:rsidRPr="009D34C5">
        <w:rPr>
          <w:sz w:val="22"/>
          <w:szCs w:val="22"/>
          <w:lang w:eastAsia="de-DE"/>
        </w:rPr>
        <w:t>pozri časť</w:t>
      </w:r>
      <w:r w:rsidR="00FF6744" w:rsidRPr="009D34C5">
        <w:rPr>
          <w:sz w:val="22"/>
          <w:szCs w:val="22"/>
          <w:lang w:eastAsia="de-DE"/>
        </w:rPr>
        <w:t xml:space="preserve"> 4.4),</w:t>
      </w:r>
      <w:r w:rsidR="00543825" w:rsidRPr="009D34C5">
        <w:rPr>
          <w:spacing w:val="9"/>
          <w:sz w:val="22"/>
          <w:szCs w:val="22"/>
        </w:rPr>
        <w:t xml:space="preserve"> </w:t>
      </w:r>
      <w:r w:rsidR="007935FF" w:rsidRPr="009D34C5">
        <w:rPr>
          <w:spacing w:val="-1"/>
          <w:sz w:val="22"/>
          <w:szCs w:val="22"/>
        </w:rPr>
        <w:t>potenie</w:t>
      </w:r>
      <w:r w:rsidR="00543825" w:rsidRPr="009D34C5">
        <w:rPr>
          <w:spacing w:val="-1"/>
          <w:sz w:val="22"/>
          <w:szCs w:val="22"/>
        </w:rPr>
        <w:t>,</w:t>
      </w:r>
      <w:r w:rsidR="00543825" w:rsidRPr="009D34C5">
        <w:rPr>
          <w:spacing w:val="9"/>
          <w:sz w:val="22"/>
          <w:szCs w:val="22"/>
        </w:rPr>
        <w:t xml:space="preserve"> </w:t>
      </w:r>
      <w:r w:rsidR="007935FF" w:rsidRPr="009D34C5">
        <w:rPr>
          <w:spacing w:val="-1"/>
          <w:sz w:val="22"/>
          <w:szCs w:val="22"/>
        </w:rPr>
        <w:t>hnačka</w:t>
      </w:r>
      <w:r w:rsidR="00543825" w:rsidRPr="009D34C5">
        <w:rPr>
          <w:spacing w:val="-1"/>
          <w:sz w:val="22"/>
          <w:szCs w:val="22"/>
        </w:rPr>
        <w:t>,</w:t>
      </w:r>
      <w:r w:rsidR="00543825" w:rsidRPr="009D34C5">
        <w:rPr>
          <w:spacing w:val="9"/>
          <w:sz w:val="22"/>
          <w:szCs w:val="22"/>
        </w:rPr>
        <w:t xml:space="preserve"> </w:t>
      </w:r>
      <w:r w:rsidR="007935FF" w:rsidRPr="009D34C5">
        <w:rPr>
          <w:spacing w:val="-1"/>
          <w:sz w:val="22"/>
          <w:szCs w:val="22"/>
        </w:rPr>
        <w:t xml:space="preserve">nadmerný </w:t>
      </w:r>
      <w:r w:rsidR="007935FF" w:rsidRPr="009D34C5">
        <w:rPr>
          <w:sz w:val="22"/>
          <w:szCs w:val="22"/>
        </w:rPr>
        <w:t>úbytok hmotnosti</w:t>
      </w:r>
      <w:r w:rsidR="00543825" w:rsidRPr="009D34C5">
        <w:rPr>
          <w:spacing w:val="-7"/>
          <w:sz w:val="22"/>
          <w:szCs w:val="22"/>
        </w:rPr>
        <w:t xml:space="preserve"> </w:t>
      </w:r>
      <w:r w:rsidR="007935FF" w:rsidRPr="009D34C5">
        <w:rPr>
          <w:sz w:val="22"/>
          <w:szCs w:val="22"/>
        </w:rPr>
        <w:t>a</w:t>
      </w:r>
      <w:r w:rsidR="00543825" w:rsidRPr="009D34C5">
        <w:rPr>
          <w:spacing w:val="-3"/>
          <w:sz w:val="22"/>
          <w:szCs w:val="22"/>
        </w:rPr>
        <w:t xml:space="preserve"> </w:t>
      </w:r>
      <w:r w:rsidR="007935FF" w:rsidRPr="009D34C5">
        <w:rPr>
          <w:spacing w:val="-1"/>
          <w:sz w:val="22"/>
          <w:szCs w:val="22"/>
        </w:rPr>
        <w:t>svalová slabosť</w:t>
      </w:r>
      <w:r w:rsidR="00543825" w:rsidRPr="009D34C5">
        <w:rPr>
          <w:spacing w:val="-1"/>
          <w:sz w:val="22"/>
          <w:szCs w:val="22"/>
        </w:rPr>
        <w:t>,</w:t>
      </w:r>
      <w:r w:rsidR="00543825" w:rsidRPr="009D34C5">
        <w:rPr>
          <w:spacing w:val="-5"/>
          <w:sz w:val="22"/>
          <w:szCs w:val="22"/>
        </w:rPr>
        <w:t xml:space="preserve"> </w:t>
      </w:r>
      <w:r w:rsidR="007935FF" w:rsidRPr="009D34C5">
        <w:rPr>
          <w:spacing w:val="-1"/>
          <w:sz w:val="22"/>
          <w:szCs w:val="22"/>
        </w:rPr>
        <w:t>nespavosť</w:t>
      </w:r>
      <w:r w:rsidR="00543825" w:rsidRPr="009D34C5">
        <w:rPr>
          <w:spacing w:val="-1"/>
          <w:sz w:val="22"/>
          <w:szCs w:val="22"/>
        </w:rPr>
        <w:t>,</w:t>
      </w:r>
      <w:r w:rsidR="00543825" w:rsidRPr="009D34C5">
        <w:rPr>
          <w:spacing w:val="-6"/>
          <w:sz w:val="22"/>
          <w:szCs w:val="22"/>
        </w:rPr>
        <w:t xml:space="preserve"> </w:t>
      </w:r>
      <w:r w:rsidR="00543825" w:rsidRPr="009D34C5">
        <w:rPr>
          <w:spacing w:val="-1"/>
          <w:sz w:val="22"/>
          <w:szCs w:val="22"/>
        </w:rPr>
        <w:t>tremor,</w:t>
      </w:r>
      <w:r w:rsidR="00543825" w:rsidRPr="009D34C5">
        <w:rPr>
          <w:spacing w:val="-3"/>
          <w:sz w:val="22"/>
          <w:szCs w:val="22"/>
        </w:rPr>
        <w:t xml:space="preserve"> </w:t>
      </w:r>
      <w:r w:rsidR="007935FF" w:rsidRPr="009D34C5">
        <w:rPr>
          <w:spacing w:val="-1"/>
          <w:sz w:val="22"/>
          <w:szCs w:val="22"/>
        </w:rPr>
        <w:t>horúčka</w:t>
      </w:r>
      <w:r w:rsidR="00543825" w:rsidRPr="009D34C5">
        <w:rPr>
          <w:spacing w:val="-1"/>
          <w:sz w:val="22"/>
          <w:szCs w:val="22"/>
        </w:rPr>
        <w:t>,</w:t>
      </w:r>
      <w:r w:rsidR="00543825" w:rsidRPr="009D34C5">
        <w:rPr>
          <w:spacing w:val="-6"/>
          <w:sz w:val="22"/>
          <w:szCs w:val="22"/>
        </w:rPr>
        <w:t xml:space="preserve"> </w:t>
      </w:r>
      <w:r w:rsidR="007935FF" w:rsidRPr="009D34C5">
        <w:rPr>
          <w:spacing w:val="-1"/>
          <w:sz w:val="22"/>
          <w:szCs w:val="22"/>
        </w:rPr>
        <w:t>vracanie</w:t>
      </w:r>
      <w:r w:rsidR="00543825" w:rsidRPr="009D34C5">
        <w:rPr>
          <w:spacing w:val="-1"/>
          <w:sz w:val="22"/>
          <w:szCs w:val="22"/>
        </w:rPr>
        <w:t>,</w:t>
      </w:r>
      <w:r w:rsidR="00543825" w:rsidRPr="009D34C5">
        <w:rPr>
          <w:spacing w:val="-5"/>
          <w:sz w:val="22"/>
          <w:szCs w:val="22"/>
        </w:rPr>
        <w:t xml:space="preserve"> </w:t>
      </w:r>
      <w:r w:rsidR="007935FF" w:rsidRPr="009D34C5">
        <w:rPr>
          <w:spacing w:val="-1"/>
          <w:sz w:val="22"/>
          <w:szCs w:val="22"/>
        </w:rPr>
        <w:t>palpitácie</w:t>
      </w:r>
      <w:r w:rsidR="00543825" w:rsidRPr="009D34C5">
        <w:rPr>
          <w:spacing w:val="-8"/>
          <w:sz w:val="22"/>
          <w:szCs w:val="22"/>
        </w:rPr>
        <w:t xml:space="preserve"> </w:t>
      </w:r>
      <w:r w:rsidR="007935FF" w:rsidRPr="009D34C5">
        <w:rPr>
          <w:sz w:val="22"/>
          <w:szCs w:val="22"/>
        </w:rPr>
        <w:t>a neznášanlivosť tepla</w:t>
      </w:r>
      <w:r w:rsidR="00543825" w:rsidRPr="009D34C5">
        <w:rPr>
          <w:spacing w:val="-1"/>
          <w:sz w:val="22"/>
          <w:szCs w:val="22"/>
        </w:rPr>
        <w:t>.</w:t>
      </w:r>
      <w:r w:rsidR="00CF5C1D">
        <w:rPr>
          <w:spacing w:val="97"/>
          <w:w w:val="99"/>
          <w:sz w:val="22"/>
          <w:szCs w:val="22"/>
        </w:rPr>
        <w:t xml:space="preserve"> </w:t>
      </w:r>
      <w:r w:rsidR="007935FF" w:rsidRPr="009D34C5">
        <w:rPr>
          <w:sz w:val="22"/>
          <w:szCs w:val="22"/>
        </w:rPr>
        <w:t>Tieto reakcie zvyčajne vymiznú po znížení dávky alebo ukončení liečby.</w:t>
      </w:r>
    </w:p>
    <w:p w14:paraId="156FE51A" w14:textId="3A401826" w:rsidR="00556989" w:rsidRPr="009D34C5" w:rsidRDefault="00556989" w:rsidP="00383D3A">
      <w:pPr>
        <w:pStyle w:val="Zkladntext"/>
        <w:ind w:left="142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Boli tiež hlásené reakcie z precitlivenosti vrátane vyrážky, urtikárie, svrbenia, edému </w:t>
      </w:r>
      <w:proofErr w:type="gramStart"/>
      <w:r w:rsidRPr="009D34C5">
        <w:rPr>
          <w:sz w:val="22"/>
          <w:szCs w:val="22"/>
        </w:rPr>
        <w:t>a</w:t>
      </w:r>
      <w:proofErr w:type="gramEnd"/>
      <w:r w:rsidR="00290DA3" w:rsidRPr="009D34C5">
        <w:rPr>
          <w:sz w:val="22"/>
          <w:szCs w:val="22"/>
        </w:rPr>
        <w:t> </w:t>
      </w:r>
      <w:r w:rsidRPr="009D34C5">
        <w:rPr>
          <w:sz w:val="22"/>
          <w:szCs w:val="22"/>
        </w:rPr>
        <w:t>angioedému.</w:t>
      </w:r>
    </w:p>
    <w:p w14:paraId="4105FC10" w14:textId="7909B916" w:rsidR="00556989" w:rsidRPr="009D34C5" w:rsidRDefault="00556989" w:rsidP="00556989">
      <w:pPr>
        <w:pStyle w:val="Textkomentra"/>
        <w:ind w:left="142"/>
        <w:rPr>
          <w:sz w:val="22"/>
          <w:szCs w:val="22"/>
          <w:lang w:val="en-US"/>
        </w:rPr>
      </w:pPr>
      <w:r w:rsidRPr="009D34C5">
        <w:rPr>
          <w:sz w:val="22"/>
          <w:szCs w:val="22"/>
          <w:lang w:val="en-US"/>
        </w:rPr>
        <w:t>Bolo tiež hlásené zhoršenie kardiopatie (zlyhanie srdca, angína pektoris, arytmia). Ďalej u detí existuje možnosť výskytu hyperkalcinúrie.</w:t>
      </w:r>
    </w:p>
    <w:p w14:paraId="7779AD0A" w14:textId="77777777" w:rsidR="00556989" w:rsidRPr="009D34C5" w:rsidRDefault="00556989" w:rsidP="00556989">
      <w:pPr>
        <w:pStyle w:val="Textkomentra"/>
        <w:ind w:left="142"/>
        <w:rPr>
          <w:sz w:val="22"/>
          <w:szCs w:val="22"/>
          <w:lang w:val="en-US"/>
        </w:rPr>
      </w:pPr>
    </w:p>
    <w:p w14:paraId="1A0EBB03" w14:textId="77777777" w:rsidR="00556989" w:rsidRPr="009D34C5" w:rsidRDefault="00556989" w:rsidP="00556989">
      <w:pPr>
        <w:suppressLineNumbers/>
        <w:ind w:firstLine="142"/>
        <w:rPr>
          <w:rFonts w:ascii="Times New Roman" w:hAnsi="Times New Roman"/>
          <w:u w:val="single"/>
        </w:rPr>
      </w:pPr>
      <w:r w:rsidRPr="009D34C5">
        <w:rPr>
          <w:rFonts w:ascii="Times New Roman" w:hAnsi="Times New Roman"/>
          <w:noProof/>
          <w:u w:val="single"/>
        </w:rPr>
        <w:t>Hlásenie podozrení na nežiaduce reakcie</w:t>
      </w:r>
    </w:p>
    <w:p w14:paraId="2B3EA545" w14:textId="77777777" w:rsidR="00556989" w:rsidRPr="009D34C5" w:rsidRDefault="00556989" w:rsidP="00556989">
      <w:pPr>
        <w:widowControl/>
        <w:suppressLineNumbers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lang w:val="sk-SK"/>
        </w:rPr>
      </w:pPr>
      <w:r w:rsidRPr="009D34C5">
        <w:rPr>
          <w:rFonts w:ascii="Times New Roman" w:eastAsia="Times New Roman" w:hAnsi="Times New Roman" w:cs="Times New Roman"/>
          <w:noProof/>
          <w:lang w:val="sk-SK"/>
        </w:rPr>
        <w:t>Hlásenie podozrení na nežiaduce reakcie po registrácii lieku je dôležité.</w:t>
      </w:r>
      <w:r w:rsidRPr="009D34C5">
        <w:rPr>
          <w:rFonts w:ascii="Times New Roman" w:eastAsia="Times New Roman" w:hAnsi="Times New Roman" w:cs="Times New Roman"/>
          <w:lang w:val="sk-SK"/>
        </w:rPr>
        <w:t xml:space="preserve"> </w:t>
      </w:r>
      <w:r w:rsidRPr="009D34C5">
        <w:rPr>
          <w:rFonts w:ascii="Times New Roman" w:eastAsia="Times New Roman" w:hAnsi="Times New Roman" w:cs="Times New Roman"/>
          <w:noProof/>
          <w:lang w:val="sk-SK"/>
        </w:rPr>
        <w:t>Umožňuje priebežné monitorovanie pomeru prínosu a rizika lieku.</w:t>
      </w:r>
      <w:r w:rsidRPr="009D34C5">
        <w:rPr>
          <w:rFonts w:ascii="Times New Roman" w:eastAsia="Times New Roman" w:hAnsi="Times New Roman" w:cs="Times New Roman"/>
          <w:lang w:val="sk-SK"/>
        </w:rPr>
        <w:t xml:space="preserve"> Od </w:t>
      </w:r>
      <w:r w:rsidRPr="009D34C5">
        <w:rPr>
          <w:rFonts w:ascii="Times New Roman" w:eastAsia="Times New Roman" w:hAnsi="Times New Roman" w:cs="Times New Roman"/>
          <w:noProof/>
          <w:lang w:val="sk-SK"/>
        </w:rPr>
        <w:t xml:space="preserve">zdravotníckych pracovníkov sa vyžaduje, aby hlásili akékoľvek podozrenia na nežiaduce reakcie na </w:t>
      </w:r>
      <w:r w:rsidRPr="009D34C5">
        <w:rPr>
          <w:rFonts w:ascii="Times New Roman" w:eastAsia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8" w:history="1">
        <w:r w:rsidRPr="009D34C5">
          <w:rPr>
            <w:rFonts w:ascii="Times New Roman" w:eastAsia="Times New Roman" w:hAnsi="Times New Roman" w:cs="Times New Roman"/>
            <w:noProof/>
            <w:color w:val="0000FF"/>
            <w:highlight w:val="lightGray"/>
            <w:u w:val="single"/>
            <w:lang w:val="sk-SK"/>
          </w:rPr>
          <w:t>Prílohe V</w:t>
        </w:r>
      </w:hyperlink>
      <w:r w:rsidRPr="009D34C5">
        <w:rPr>
          <w:rFonts w:ascii="Times New Roman" w:eastAsia="Times New Roman" w:hAnsi="Times New Roman" w:cs="Times New Roman"/>
          <w:noProof/>
          <w:lang w:val="sk-SK"/>
        </w:rPr>
        <w:t>.</w:t>
      </w:r>
    </w:p>
    <w:p w14:paraId="677F95B3" w14:textId="77777777" w:rsidR="00F637AC" w:rsidRPr="00F373A5" w:rsidRDefault="00F637AC" w:rsidP="00383D3A">
      <w:pPr>
        <w:pStyle w:val="Zkladntext"/>
        <w:ind w:left="142" w:right="104"/>
        <w:jc w:val="both"/>
        <w:rPr>
          <w:sz w:val="22"/>
          <w:szCs w:val="22"/>
          <w:lang w:val="sk-SK"/>
        </w:rPr>
      </w:pPr>
    </w:p>
    <w:p w14:paraId="249EEEE9" w14:textId="38E242FA" w:rsidR="00227451" w:rsidRPr="009D34C5" w:rsidRDefault="00556989" w:rsidP="00556989">
      <w:pPr>
        <w:pStyle w:val="Nadpis1"/>
        <w:numPr>
          <w:ilvl w:val="1"/>
          <w:numId w:val="4"/>
        </w:numPr>
        <w:tabs>
          <w:tab w:val="left" w:pos="567"/>
        </w:tabs>
        <w:spacing w:before="101"/>
        <w:ind w:firstLine="5"/>
        <w:jc w:val="both"/>
        <w:rPr>
          <w:b w:val="0"/>
          <w:bCs w:val="0"/>
          <w:sz w:val="22"/>
          <w:szCs w:val="22"/>
        </w:rPr>
      </w:pPr>
      <w:r w:rsidRPr="009D34C5">
        <w:rPr>
          <w:spacing w:val="-1"/>
          <w:sz w:val="22"/>
          <w:szCs w:val="22"/>
        </w:rPr>
        <w:t>Predávkovanie</w:t>
      </w:r>
    </w:p>
    <w:p w14:paraId="3345BB35" w14:textId="77777777" w:rsidR="00556989" w:rsidRPr="009D34C5" w:rsidRDefault="00556989" w:rsidP="00556989">
      <w:pPr>
        <w:pStyle w:val="Nadpis1"/>
        <w:tabs>
          <w:tab w:val="left" w:pos="567"/>
        </w:tabs>
        <w:spacing w:before="101"/>
        <w:ind w:left="142" w:firstLine="0"/>
        <w:jc w:val="both"/>
        <w:rPr>
          <w:b w:val="0"/>
          <w:bCs w:val="0"/>
          <w:sz w:val="22"/>
          <w:szCs w:val="22"/>
        </w:rPr>
      </w:pPr>
    </w:p>
    <w:p w14:paraId="621F14CB" w14:textId="47EB4105" w:rsidR="003A2C88" w:rsidRPr="009D34C5" w:rsidRDefault="003A2C88" w:rsidP="00383D3A">
      <w:pPr>
        <w:pStyle w:val="Zkladntext"/>
        <w:spacing w:before="26"/>
        <w:ind w:left="142"/>
        <w:jc w:val="both"/>
        <w:rPr>
          <w:rFonts w:cs="Times New Roman"/>
          <w:sz w:val="22"/>
          <w:szCs w:val="22"/>
        </w:rPr>
      </w:pPr>
      <w:r w:rsidRPr="009D34C5">
        <w:rPr>
          <w:rFonts w:cs="Times New Roman"/>
          <w:sz w:val="22"/>
          <w:szCs w:val="22"/>
        </w:rPr>
        <w:t>Zvýšená hladina T3 je spoľahlivejším ukazovateľom predávkovania než zvýšené hladiny T4 alebo fT4.</w:t>
      </w:r>
    </w:p>
    <w:p w14:paraId="3A6F7FF6" w14:textId="142E7EBB" w:rsidR="007A5079" w:rsidRPr="009D34C5" w:rsidRDefault="003A2C88" w:rsidP="00383D3A">
      <w:pPr>
        <w:pStyle w:val="Zkladntext"/>
        <w:spacing w:before="26"/>
        <w:ind w:left="142"/>
        <w:jc w:val="both"/>
        <w:rPr>
          <w:rFonts w:cs="Times New Roman"/>
          <w:sz w:val="22"/>
          <w:szCs w:val="22"/>
        </w:rPr>
      </w:pPr>
      <w:r w:rsidRPr="009D34C5">
        <w:rPr>
          <w:rFonts w:cs="Times New Roman"/>
          <w:sz w:val="22"/>
          <w:szCs w:val="22"/>
        </w:rPr>
        <w:t xml:space="preserve">Akútne intoxikácie sú obvykle mierne </w:t>
      </w:r>
      <w:r w:rsidR="00FA4081" w:rsidRPr="009D34C5">
        <w:rPr>
          <w:rFonts w:cs="Times New Roman"/>
          <w:sz w:val="22"/>
          <w:szCs w:val="22"/>
        </w:rPr>
        <w:t>závažné</w:t>
      </w:r>
      <w:r w:rsidRPr="009D34C5">
        <w:rPr>
          <w:rFonts w:cs="Times New Roman"/>
          <w:sz w:val="22"/>
          <w:szCs w:val="22"/>
        </w:rPr>
        <w:t xml:space="preserve"> v prípade absencie </w:t>
      </w:r>
      <w:r w:rsidR="005D237D" w:rsidRPr="009D34C5">
        <w:rPr>
          <w:rFonts w:cs="Times New Roman"/>
          <w:sz w:val="22"/>
          <w:szCs w:val="22"/>
        </w:rPr>
        <w:t>kardiálnej anamnézy</w:t>
      </w:r>
      <w:r w:rsidR="00FA4081" w:rsidRPr="009D34C5">
        <w:rPr>
          <w:rFonts w:cs="Times New Roman"/>
          <w:sz w:val="22"/>
          <w:szCs w:val="22"/>
        </w:rPr>
        <w:t>,</w:t>
      </w:r>
      <w:r w:rsidRPr="009D34C5">
        <w:rPr>
          <w:rFonts w:cs="Times New Roman"/>
          <w:sz w:val="22"/>
          <w:szCs w:val="22"/>
        </w:rPr>
        <w:t xml:space="preserve"> a to </w:t>
      </w:r>
      <w:r w:rsidR="005D237D" w:rsidRPr="009D34C5">
        <w:rPr>
          <w:rFonts w:cs="Times New Roman"/>
          <w:sz w:val="22"/>
          <w:szCs w:val="22"/>
        </w:rPr>
        <w:t>aj</w:t>
      </w:r>
      <w:r w:rsidRPr="009D34C5">
        <w:rPr>
          <w:rFonts w:cs="Times New Roman"/>
          <w:sz w:val="22"/>
          <w:szCs w:val="22"/>
        </w:rPr>
        <w:t xml:space="preserve"> počas náhodného požitia u detí.</w:t>
      </w:r>
      <w:r w:rsidR="007A5079" w:rsidRPr="009D34C5">
        <w:rPr>
          <w:rFonts w:cs="Times New Roman"/>
          <w:sz w:val="22"/>
          <w:szCs w:val="22"/>
        </w:rPr>
        <w:t xml:space="preserve"> </w:t>
      </w:r>
      <w:r w:rsidR="005D237D" w:rsidRPr="009D34C5">
        <w:rPr>
          <w:rFonts w:cs="Times New Roman"/>
          <w:sz w:val="22"/>
          <w:szCs w:val="22"/>
        </w:rPr>
        <w:t xml:space="preserve">V symptomatických prípadoch </w:t>
      </w:r>
      <w:proofErr w:type="gramStart"/>
      <w:r w:rsidR="005D237D" w:rsidRPr="009D34C5">
        <w:rPr>
          <w:rFonts w:cs="Times New Roman"/>
          <w:sz w:val="22"/>
          <w:szCs w:val="22"/>
        </w:rPr>
        <w:t>sa</w:t>
      </w:r>
      <w:proofErr w:type="gramEnd"/>
      <w:r w:rsidR="005D237D" w:rsidRPr="009D34C5">
        <w:rPr>
          <w:rFonts w:cs="Times New Roman"/>
          <w:sz w:val="22"/>
          <w:szCs w:val="22"/>
        </w:rPr>
        <w:t xml:space="preserve"> klinické účinky môžu vyskytnúť v priebehu niekoľkých hodín alebo sa môžu oneskoriť o niekoľko dní v prípade jednorazovej dávky a môžu zahŕňať jeden alebo viac príznakov tyreotoxikózy (pozri nižšie).</w:t>
      </w:r>
    </w:p>
    <w:p w14:paraId="628CDA5B" w14:textId="31019B09" w:rsidR="007A5079" w:rsidRPr="009D34C5" w:rsidRDefault="005D237D" w:rsidP="00383D3A">
      <w:pPr>
        <w:pStyle w:val="Zkladntext"/>
        <w:spacing w:before="91"/>
        <w:ind w:left="142" w:right="101"/>
        <w:jc w:val="both"/>
        <w:rPr>
          <w:spacing w:val="-1"/>
          <w:sz w:val="22"/>
          <w:szCs w:val="22"/>
        </w:rPr>
      </w:pPr>
      <w:r w:rsidRPr="009D34C5">
        <w:rPr>
          <w:rFonts w:cs="Times New Roman"/>
          <w:sz w:val="22"/>
          <w:szCs w:val="22"/>
        </w:rPr>
        <w:t>V prípade predávkovania nastupujú príznaky prudkého zvýšenia rýchlosti metabolizmu (pozri časť 4.8.).</w:t>
      </w:r>
      <w:r w:rsidRPr="009D34C5">
        <w:rPr>
          <w:sz w:val="22"/>
          <w:szCs w:val="22"/>
        </w:rPr>
        <w:t xml:space="preserve"> </w:t>
      </w:r>
      <w:r w:rsidR="00551E8D" w:rsidRPr="009D34C5">
        <w:rPr>
          <w:spacing w:val="-1"/>
          <w:sz w:val="22"/>
          <w:szCs w:val="22"/>
        </w:rPr>
        <w:t xml:space="preserve">V prípade opakovaného dávkovania supraterapeutických dávok boli pozorované </w:t>
      </w:r>
      <w:r w:rsidR="00FA4081" w:rsidRPr="009D34C5">
        <w:rPr>
          <w:spacing w:val="-1"/>
          <w:sz w:val="22"/>
          <w:szCs w:val="22"/>
        </w:rPr>
        <w:t xml:space="preserve">tieto </w:t>
      </w:r>
      <w:r w:rsidR="00551E8D" w:rsidRPr="009D34C5">
        <w:rPr>
          <w:spacing w:val="-1"/>
          <w:sz w:val="22"/>
          <w:szCs w:val="22"/>
        </w:rPr>
        <w:t>príznaky hypertyreózy</w:t>
      </w:r>
      <w:r w:rsidR="00FA4081" w:rsidRPr="009D34C5">
        <w:rPr>
          <w:spacing w:val="-1"/>
          <w:sz w:val="22"/>
          <w:szCs w:val="22"/>
        </w:rPr>
        <w:t>, ktoré</w:t>
      </w:r>
      <w:r w:rsidR="00551E8D" w:rsidRPr="009D34C5">
        <w:rPr>
          <w:spacing w:val="-1"/>
          <w:sz w:val="22"/>
          <w:szCs w:val="22"/>
        </w:rPr>
        <w:t xml:space="preserve"> v najťažších prípadoch definovali stav tyreotoxikózy:</w:t>
      </w:r>
    </w:p>
    <w:p w14:paraId="418036DE" w14:textId="77777777" w:rsidR="00551E8D" w:rsidRPr="009D34C5" w:rsidRDefault="00551E8D" w:rsidP="00551E8D">
      <w:pPr>
        <w:pStyle w:val="Zkladntext"/>
        <w:numPr>
          <w:ilvl w:val="0"/>
          <w:numId w:val="6"/>
        </w:numPr>
        <w:spacing w:before="91"/>
        <w:ind w:left="709" w:right="101" w:hanging="567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>Poruchy trávenia: zvracanie, bolesti brucha, hnačky, zvýšená chuť do jedla, chudnutie.</w:t>
      </w:r>
    </w:p>
    <w:p w14:paraId="6AAD4C04" w14:textId="5C80A9B3" w:rsidR="00551E8D" w:rsidRPr="009D34C5" w:rsidRDefault="00551E8D" w:rsidP="00551E8D">
      <w:pPr>
        <w:pStyle w:val="Zkladntext"/>
        <w:numPr>
          <w:ilvl w:val="0"/>
          <w:numId w:val="6"/>
        </w:numPr>
        <w:spacing w:before="91"/>
        <w:ind w:left="709" w:right="101" w:hanging="567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Kardiovaskulárne poruchy: tachykardia, arytmia </w:t>
      </w:r>
      <w:r w:rsidR="00BC0627" w:rsidRPr="009D34C5">
        <w:rPr>
          <w:spacing w:val="-1"/>
          <w:sz w:val="22"/>
          <w:szCs w:val="22"/>
        </w:rPr>
        <w:t xml:space="preserve">– </w:t>
      </w:r>
      <w:r w:rsidRPr="009D34C5">
        <w:rPr>
          <w:spacing w:val="-1"/>
          <w:sz w:val="22"/>
          <w:szCs w:val="22"/>
        </w:rPr>
        <w:t>fibrilácia predsiení</w:t>
      </w:r>
      <w:r w:rsidR="00BC0627" w:rsidRPr="009D34C5">
        <w:rPr>
          <w:spacing w:val="-1"/>
          <w:sz w:val="22"/>
          <w:szCs w:val="22"/>
        </w:rPr>
        <w:t xml:space="preserve"> alebo extrasystoly</w:t>
      </w:r>
      <w:r w:rsidRPr="009D34C5">
        <w:rPr>
          <w:spacing w:val="-1"/>
          <w:sz w:val="22"/>
          <w:szCs w:val="22"/>
        </w:rPr>
        <w:t xml:space="preserve">, hypertenzia, bolesť </w:t>
      </w:r>
      <w:proofErr w:type="gramStart"/>
      <w:r w:rsidRPr="009D34C5">
        <w:rPr>
          <w:spacing w:val="-1"/>
          <w:sz w:val="22"/>
          <w:szCs w:val="22"/>
        </w:rPr>
        <w:t>na</w:t>
      </w:r>
      <w:proofErr w:type="gramEnd"/>
      <w:r w:rsidRPr="009D34C5">
        <w:rPr>
          <w:spacing w:val="-1"/>
          <w:sz w:val="22"/>
          <w:szCs w:val="22"/>
        </w:rPr>
        <w:t xml:space="preserve"> hrudníku, angína pektoris, kongestívne </w:t>
      </w:r>
      <w:r w:rsidR="00122F88" w:rsidRPr="009D34C5">
        <w:rPr>
          <w:spacing w:val="-1"/>
          <w:sz w:val="22"/>
          <w:szCs w:val="22"/>
        </w:rPr>
        <w:t>zlyh</w:t>
      </w:r>
      <w:r w:rsidR="00122F88">
        <w:rPr>
          <w:spacing w:val="-1"/>
          <w:sz w:val="22"/>
          <w:szCs w:val="22"/>
        </w:rPr>
        <w:t>ávanie</w:t>
      </w:r>
      <w:r w:rsidR="00122F88" w:rsidRPr="009D34C5">
        <w:rPr>
          <w:spacing w:val="-1"/>
          <w:sz w:val="22"/>
          <w:szCs w:val="22"/>
        </w:rPr>
        <w:t xml:space="preserve"> </w:t>
      </w:r>
      <w:r w:rsidRPr="009D34C5">
        <w:rPr>
          <w:spacing w:val="-1"/>
          <w:sz w:val="22"/>
          <w:szCs w:val="22"/>
        </w:rPr>
        <w:t>srdca, kardiogénny kolaps.</w:t>
      </w:r>
    </w:p>
    <w:p w14:paraId="59C22BC2" w14:textId="77777777" w:rsidR="00551E8D" w:rsidRPr="009D34C5" w:rsidRDefault="00551E8D" w:rsidP="00551E8D">
      <w:pPr>
        <w:pStyle w:val="Zkladntext"/>
        <w:numPr>
          <w:ilvl w:val="0"/>
          <w:numId w:val="6"/>
        </w:numPr>
        <w:spacing w:before="91"/>
        <w:ind w:left="709" w:right="101" w:hanging="567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>Celkové poruchy: horúčka, začervenanie kože, potenie.</w:t>
      </w:r>
    </w:p>
    <w:p w14:paraId="5874F0BB" w14:textId="4D6EF400" w:rsidR="007A5079" w:rsidRPr="009D34C5" w:rsidRDefault="00551E8D" w:rsidP="00551E8D">
      <w:pPr>
        <w:pStyle w:val="Zkladntext"/>
        <w:numPr>
          <w:ilvl w:val="0"/>
          <w:numId w:val="8"/>
        </w:numPr>
        <w:spacing w:before="91"/>
        <w:ind w:left="709" w:right="104" w:hanging="567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lastRenderedPageBreak/>
        <w:t>Neurologické poruchy: podráždenosť, nespavosť, bolesti hlavy, nepokoj, zmätenosť, mydriáza, kŕče u predisponovaných pacientov, poruchy vedomia, kóma, akútna psychóza.</w:t>
      </w:r>
    </w:p>
    <w:p w14:paraId="0D6B6780" w14:textId="77777777" w:rsidR="00551E8D" w:rsidRPr="009D34C5" w:rsidRDefault="00551E8D" w:rsidP="00383D3A">
      <w:pPr>
        <w:pStyle w:val="Zkladntext"/>
        <w:spacing w:before="91"/>
        <w:ind w:left="142" w:right="104"/>
        <w:jc w:val="both"/>
        <w:rPr>
          <w:spacing w:val="-1"/>
          <w:sz w:val="22"/>
          <w:szCs w:val="22"/>
        </w:rPr>
      </w:pPr>
    </w:p>
    <w:p w14:paraId="487D852A" w14:textId="4A305B8B" w:rsidR="00D941C9" w:rsidRPr="009D34C5" w:rsidRDefault="00D941C9" w:rsidP="00383D3A">
      <w:pPr>
        <w:pStyle w:val="Zkladntext"/>
        <w:spacing w:before="94"/>
        <w:ind w:left="142" w:right="106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Príznaky </w:t>
      </w:r>
      <w:proofErr w:type="gramStart"/>
      <w:r w:rsidRPr="009D34C5">
        <w:rPr>
          <w:spacing w:val="-1"/>
          <w:sz w:val="22"/>
          <w:szCs w:val="22"/>
        </w:rPr>
        <w:t>sa</w:t>
      </w:r>
      <w:proofErr w:type="gramEnd"/>
      <w:r w:rsidRPr="009D34C5">
        <w:rPr>
          <w:spacing w:val="-1"/>
          <w:sz w:val="22"/>
          <w:szCs w:val="22"/>
        </w:rPr>
        <w:t xml:space="preserve"> môžu prejaviť ako intenzívne beta-sympatomimetické účinky, ako sú tachykardia, úzkosť, nepokoj a hyperkinéza. Príznaky možno zmierniť beta-blokátormi. Pri extrémne vysokých dávkach môže pomôcť plazmaferéza.</w:t>
      </w:r>
    </w:p>
    <w:p w14:paraId="6804D7CF" w14:textId="77777777" w:rsidR="00D941C9" w:rsidRPr="009D34C5" w:rsidRDefault="00D941C9" w:rsidP="00383D3A">
      <w:pPr>
        <w:pStyle w:val="Zkladntext"/>
        <w:spacing w:before="55"/>
        <w:ind w:left="142" w:right="100"/>
        <w:jc w:val="both"/>
        <w:rPr>
          <w:sz w:val="22"/>
          <w:szCs w:val="22"/>
        </w:rPr>
      </w:pPr>
      <w:r w:rsidRPr="009D34C5">
        <w:rPr>
          <w:sz w:val="22"/>
          <w:szCs w:val="22"/>
        </w:rPr>
        <w:t>V prípade nadmerných dávok, najmä v čase začatia liečby, boli u epileptických pacientov hlásené zriedkavé prípady záchvatov.</w:t>
      </w:r>
    </w:p>
    <w:p w14:paraId="4991FED9" w14:textId="4D5294CC" w:rsidR="00D941C9" w:rsidRPr="009D34C5" w:rsidRDefault="00D941C9" w:rsidP="00383D3A">
      <w:pPr>
        <w:pStyle w:val="Zkladntext"/>
        <w:spacing w:before="55"/>
        <w:ind w:left="142" w:right="100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Po masívnej alebo chronickej intoxikácii bola príležitostne hlásená tyreotoxická kríza a vyskytli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srdcové arytmie, srdcové zlyhanie, kóma a smrť.</w:t>
      </w:r>
    </w:p>
    <w:p w14:paraId="214126DE" w14:textId="2DA84CEE" w:rsidR="00FF628B" w:rsidRPr="009D34C5" w:rsidRDefault="00D941C9" w:rsidP="00383D3A">
      <w:pPr>
        <w:pStyle w:val="Zkladntext"/>
        <w:ind w:left="142" w:right="99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V závislosti </w:t>
      </w:r>
      <w:proofErr w:type="gramStart"/>
      <w:r w:rsidRPr="009D34C5">
        <w:rPr>
          <w:spacing w:val="-1"/>
          <w:sz w:val="22"/>
          <w:szCs w:val="22"/>
        </w:rPr>
        <w:t>od</w:t>
      </w:r>
      <w:proofErr w:type="gramEnd"/>
      <w:r w:rsidRPr="009D34C5">
        <w:rPr>
          <w:spacing w:val="-1"/>
          <w:sz w:val="22"/>
          <w:szCs w:val="22"/>
        </w:rPr>
        <w:t xml:space="preserve"> rozsahu predávkovania sa odporúča, aby pacient prestal užívať liek a podstúpil </w:t>
      </w:r>
      <w:r w:rsidR="008906DE" w:rsidRPr="009D34C5">
        <w:rPr>
          <w:spacing w:val="-1"/>
          <w:sz w:val="22"/>
          <w:szCs w:val="22"/>
        </w:rPr>
        <w:t>vyšetrenie</w:t>
      </w:r>
      <w:r w:rsidRPr="009D34C5">
        <w:rPr>
          <w:spacing w:val="-1"/>
          <w:sz w:val="22"/>
          <w:szCs w:val="22"/>
        </w:rPr>
        <w:t>.</w:t>
      </w:r>
    </w:p>
    <w:p w14:paraId="5B7CDFD3" w14:textId="16BF264D" w:rsidR="00227451" w:rsidRPr="009D34C5" w:rsidRDefault="008906DE" w:rsidP="00D941C9">
      <w:pPr>
        <w:pStyle w:val="Zkladntext"/>
        <w:ind w:left="142" w:right="107"/>
        <w:jc w:val="both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Po nedávnom užití je možné predávkovanie liečiť výplachom žalúdka / vyvolaním zvracania. </w:t>
      </w:r>
      <w:r w:rsidRPr="009D34C5">
        <w:rPr>
          <w:sz w:val="22"/>
          <w:szCs w:val="22"/>
        </w:rPr>
        <w:t xml:space="preserve">Na udržanie obehu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používa propranolol a ďalšie podporné opatrenia.</w:t>
      </w:r>
      <w:r w:rsidR="00BC0627" w:rsidRPr="009D34C5">
        <w:rPr>
          <w:spacing w:val="5"/>
          <w:sz w:val="22"/>
          <w:szCs w:val="22"/>
        </w:rPr>
        <w:t xml:space="preserve"> </w:t>
      </w:r>
      <w:r w:rsidRPr="009D34C5">
        <w:rPr>
          <w:spacing w:val="-1"/>
          <w:sz w:val="22"/>
          <w:szCs w:val="22"/>
        </w:rPr>
        <w:t xml:space="preserve">Je nepravdepodobné, že </w:t>
      </w:r>
      <w:r w:rsidR="004F21F1" w:rsidRPr="009D34C5">
        <w:rPr>
          <w:spacing w:val="-1"/>
          <w:sz w:val="22"/>
          <w:szCs w:val="22"/>
        </w:rPr>
        <w:t>antityreoidálne</w:t>
      </w:r>
      <w:r w:rsidRPr="009D34C5">
        <w:rPr>
          <w:spacing w:val="-1"/>
          <w:sz w:val="22"/>
          <w:szCs w:val="22"/>
        </w:rPr>
        <w:t xml:space="preserve"> lieky, ako </w:t>
      </w:r>
      <w:r w:rsidR="00BC0627" w:rsidRPr="009D34C5">
        <w:rPr>
          <w:spacing w:val="-1"/>
          <w:sz w:val="22"/>
          <w:szCs w:val="22"/>
        </w:rPr>
        <w:t xml:space="preserve">sú </w:t>
      </w:r>
      <w:r w:rsidRPr="009D34C5">
        <w:rPr>
          <w:spacing w:val="-1"/>
          <w:sz w:val="22"/>
          <w:szCs w:val="22"/>
        </w:rPr>
        <w:t>propyltiouracil a</w:t>
      </w:r>
      <w:r w:rsidR="00BC0627" w:rsidRPr="009D34C5">
        <w:rPr>
          <w:spacing w:val="-1"/>
          <w:sz w:val="22"/>
          <w:szCs w:val="22"/>
        </w:rPr>
        <w:t> </w:t>
      </w:r>
      <w:r w:rsidRPr="009D34C5">
        <w:rPr>
          <w:spacing w:val="-1"/>
          <w:sz w:val="22"/>
          <w:szCs w:val="22"/>
        </w:rPr>
        <w:t xml:space="preserve">lítium, budú prospešné </w:t>
      </w:r>
      <w:proofErr w:type="gramStart"/>
      <w:r w:rsidRPr="009D34C5">
        <w:rPr>
          <w:spacing w:val="-1"/>
          <w:sz w:val="22"/>
          <w:szCs w:val="22"/>
        </w:rPr>
        <w:t>na</w:t>
      </w:r>
      <w:proofErr w:type="gramEnd"/>
      <w:r w:rsidRPr="009D34C5">
        <w:rPr>
          <w:spacing w:val="-1"/>
          <w:sz w:val="22"/>
          <w:szCs w:val="22"/>
        </w:rPr>
        <w:t xml:space="preserve"> prevenciu tyreotoxickej krízy </w:t>
      </w:r>
      <w:r w:rsidR="00BC0627" w:rsidRPr="009D34C5">
        <w:rPr>
          <w:spacing w:val="-1"/>
          <w:sz w:val="22"/>
          <w:szCs w:val="22"/>
        </w:rPr>
        <w:t>vzhľadom na</w:t>
      </w:r>
      <w:r w:rsidRPr="009D34C5">
        <w:rPr>
          <w:spacing w:val="-1"/>
          <w:sz w:val="22"/>
          <w:szCs w:val="22"/>
        </w:rPr>
        <w:t xml:space="preserve"> </w:t>
      </w:r>
      <w:r w:rsidR="00BC0627" w:rsidRPr="009D34C5">
        <w:rPr>
          <w:spacing w:val="-1"/>
          <w:sz w:val="22"/>
          <w:szCs w:val="22"/>
        </w:rPr>
        <w:t xml:space="preserve">oneskorenú absorpciu </w:t>
      </w:r>
      <w:r w:rsidRPr="009D34C5">
        <w:rPr>
          <w:spacing w:val="-1"/>
          <w:sz w:val="22"/>
          <w:szCs w:val="22"/>
        </w:rPr>
        <w:t>/ nástup účinku.</w:t>
      </w:r>
    </w:p>
    <w:p w14:paraId="60A37EF0" w14:textId="77777777" w:rsidR="00227451" w:rsidRDefault="00227451" w:rsidP="00383D3A">
      <w:pPr>
        <w:spacing w:before="5"/>
        <w:ind w:left="142"/>
        <w:rPr>
          <w:rFonts w:ascii="Times New Roman" w:eastAsia="Times New Roman" w:hAnsi="Times New Roman" w:cs="Times New Roman"/>
        </w:rPr>
      </w:pPr>
    </w:p>
    <w:p w14:paraId="1589EFC4" w14:textId="77777777" w:rsidR="00122F88" w:rsidRPr="009D34C5" w:rsidRDefault="00122F88" w:rsidP="00383D3A">
      <w:pPr>
        <w:spacing w:before="5"/>
        <w:ind w:left="142"/>
        <w:rPr>
          <w:rFonts w:ascii="Times New Roman" w:eastAsia="Times New Roman" w:hAnsi="Times New Roman" w:cs="Times New Roman"/>
        </w:rPr>
      </w:pPr>
    </w:p>
    <w:p w14:paraId="02FBCDBF" w14:textId="7BBBF66A" w:rsidR="004F21F1" w:rsidRPr="009D34C5" w:rsidRDefault="004F21F1" w:rsidP="004F21F1">
      <w:pPr>
        <w:pStyle w:val="Odsekzoznamu"/>
        <w:numPr>
          <w:ilvl w:val="0"/>
          <w:numId w:val="4"/>
        </w:numPr>
        <w:tabs>
          <w:tab w:val="left" w:pos="426"/>
        </w:tabs>
        <w:ind w:left="567" w:hanging="425"/>
        <w:rPr>
          <w:rFonts w:ascii="Times New Roman" w:eastAsia="Times New Roman" w:hAnsi="Times New Roman"/>
          <w:b/>
          <w:bCs/>
        </w:rPr>
      </w:pPr>
      <w:r w:rsidRPr="009D34C5">
        <w:rPr>
          <w:rFonts w:ascii="Times New Roman" w:eastAsia="Times New Roman" w:hAnsi="Times New Roman"/>
          <w:b/>
          <w:bCs/>
        </w:rPr>
        <w:t>FARMAKOLOGICKÉ VLASTNOSTI</w:t>
      </w:r>
    </w:p>
    <w:p w14:paraId="7B499C7E" w14:textId="19F9B646" w:rsidR="00227451" w:rsidRPr="009D34C5" w:rsidRDefault="00227451" w:rsidP="004F21F1">
      <w:pPr>
        <w:pStyle w:val="Nadpis1"/>
        <w:tabs>
          <w:tab w:val="left" w:pos="401"/>
        </w:tabs>
        <w:ind w:left="142" w:firstLine="0"/>
        <w:jc w:val="both"/>
        <w:rPr>
          <w:b w:val="0"/>
          <w:bCs w:val="0"/>
          <w:sz w:val="22"/>
          <w:szCs w:val="22"/>
        </w:rPr>
      </w:pPr>
    </w:p>
    <w:p w14:paraId="0869F616" w14:textId="6A7BD110" w:rsidR="004F21F1" w:rsidRPr="009D34C5" w:rsidRDefault="004F21F1" w:rsidP="004F21F1">
      <w:pPr>
        <w:pStyle w:val="Odsekzoznamu"/>
        <w:numPr>
          <w:ilvl w:val="1"/>
          <w:numId w:val="4"/>
        </w:numPr>
        <w:tabs>
          <w:tab w:val="left" w:pos="567"/>
        </w:tabs>
        <w:ind w:firstLine="5"/>
        <w:rPr>
          <w:rFonts w:ascii="Times New Roman"/>
          <w:b/>
        </w:rPr>
      </w:pPr>
      <w:r w:rsidRPr="009D34C5">
        <w:rPr>
          <w:rFonts w:ascii="Times New Roman"/>
          <w:b/>
        </w:rPr>
        <w:t>Farmakodynamick</w:t>
      </w:r>
      <w:r w:rsidRPr="009D34C5">
        <w:rPr>
          <w:rFonts w:ascii="Times New Roman"/>
          <w:b/>
        </w:rPr>
        <w:t>é</w:t>
      </w:r>
      <w:r w:rsidRPr="009D34C5">
        <w:rPr>
          <w:rFonts w:ascii="Times New Roman"/>
          <w:b/>
        </w:rPr>
        <w:t xml:space="preserve"> vlastnosti</w:t>
      </w:r>
    </w:p>
    <w:p w14:paraId="47EA6C2F" w14:textId="77777777" w:rsidR="004F21F1" w:rsidRPr="009D34C5" w:rsidRDefault="004F21F1" w:rsidP="004F21F1">
      <w:pPr>
        <w:tabs>
          <w:tab w:val="left" w:pos="420"/>
        </w:tabs>
        <w:spacing w:before="34"/>
        <w:ind w:left="142"/>
        <w:jc w:val="both"/>
        <w:rPr>
          <w:rFonts w:ascii="Times New Roman" w:eastAsia="Times New Roman" w:hAnsi="Times New Roman" w:cs="Times New Roman"/>
        </w:rPr>
      </w:pPr>
    </w:p>
    <w:p w14:paraId="3A697E77" w14:textId="4EFB105E" w:rsidR="00227451" w:rsidRPr="009D34C5" w:rsidRDefault="004F21F1" w:rsidP="00383D3A">
      <w:pPr>
        <w:pStyle w:val="Zkladntext"/>
        <w:spacing w:before="29" w:line="229" w:lineRule="exact"/>
        <w:ind w:left="142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Hormóny štítnej žľazy </w:t>
      </w:r>
      <w:r w:rsidR="00543825" w:rsidRPr="009D34C5">
        <w:rPr>
          <w:sz w:val="22"/>
          <w:szCs w:val="22"/>
        </w:rPr>
        <w:t>ATC</w:t>
      </w:r>
      <w:r w:rsidR="00543825" w:rsidRPr="009D34C5">
        <w:rPr>
          <w:spacing w:val="-5"/>
          <w:sz w:val="22"/>
          <w:szCs w:val="22"/>
        </w:rPr>
        <w:t xml:space="preserve"> </w:t>
      </w:r>
      <w:r w:rsidRPr="009D34C5">
        <w:rPr>
          <w:sz w:val="22"/>
          <w:szCs w:val="22"/>
        </w:rPr>
        <w:t>kód</w:t>
      </w:r>
      <w:r w:rsidR="00543825" w:rsidRPr="009D34C5">
        <w:rPr>
          <w:sz w:val="22"/>
          <w:szCs w:val="22"/>
        </w:rPr>
        <w:t>:</w:t>
      </w:r>
      <w:r w:rsidR="00543825" w:rsidRPr="009D34C5">
        <w:rPr>
          <w:spacing w:val="13"/>
          <w:sz w:val="22"/>
          <w:szCs w:val="22"/>
        </w:rPr>
        <w:t xml:space="preserve"> </w:t>
      </w:r>
      <w:r w:rsidR="00543825" w:rsidRPr="009D34C5">
        <w:rPr>
          <w:sz w:val="22"/>
          <w:szCs w:val="22"/>
        </w:rPr>
        <w:t>H03AA01</w:t>
      </w:r>
    </w:p>
    <w:p w14:paraId="7C256568" w14:textId="77777777" w:rsidR="00DF6A8B" w:rsidRPr="009D34C5" w:rsidRDefault="00DF6A8B" w:rsidP="00383D3A">
      <w:pPr>
        <w:pStyle w:val="Zkladntext"/>
        <w:ind w:left="142" w:right="102"/>
        <w:jc w:val="both"/>
        <w:rPr>
          <w:spacing w:val="-1"/>
          <w:sz w:val="22"/>
          <w:szCs w:val="22"/>
        </w:rPr>
      </w:pPr>
    </w:p>
    <w:p w14:paraId="41B0403E" w14:textId="11E2A0CF" w:rsidR="00227451" w:rsidRPr="009D34C5" w:rsidRDefault="004F21F1" w:rsidP="00383D3A">
      <w:pPr>
        <w:pStyle w:val="Zkladntext"/>
        <w:ind w:left="142" w:right="102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Tyroxín (T4) je prirodzene </w:t>
      </w:r>
      <w:proofErr w:type="gramStart"/>
      <w:r w:rsidRPr="009D34C5">
        <w:rPr>
          <w:spacing w:val="-1"/>
          <w:sz w:val="22"/>
          <w:szCs w:val="22"/>
        </w:rPr>
        <w:t>sa</w:t>
      </w:r>
      <w:proofErr w:type="gramEnd"/>
      <w:r w:rsidRPr="009D34C5">
        <w:rPr>
          <w:spacing w:val="-1"/>
          <w:sz w:val="22"/>
          <w:szCs w:val="22"/>
        </w:rPr>
        <w:t xml:space="preserve"> vyskytujúci hormón obsahujúci jód, produkovaný štítnou žľazou. </w:t>
      </w:r>
      <w:r w:rsidRPr="009D34C5">
        <w:rPr>
          <w:sz w:val="22"/>
          <w:szCs w:val="22"/>
        </w:rPr>
        <w:t>V</w:t>
      </w:r>
      <w:r w:rsidR="00753402" w:rsidRPr="009D34C5">
        <w:rPr>
          <w:sz w:val="22"/>
          <w:szCs w:val="22"/>
        </w:rPr>
        <w:t> </w:t>
      </w:r>
      <w:r w:rsidRPr="009D34C5">
        <w:rPr>
          <w:sz w:val="22"/>
          <w:szCs w:val="22"/>
        </w:rPr>
        <w:t xml:space="preserve">periférnych tkanivách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premieňa na aktívnejšiu látku trijódtyronín (T3). Receptory pre T3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nachádzajú na bunkových membránach, mitochondriách a bunkových jadrách. Hormóny štítnej žľazy sú potrebné pre normálny rast a vývoj tela, najmä nervového systému. Zvyšujú bazálny metabolizmus celého tela a majú stimulačné účinky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srdce, kostrové svalstvo, pečeň a obličky</w:t>
      </w:r>
      <w:r w:rsidR="00543825" w:rsidRPr="009D34C5">
        <w:rPr>
          <w:spacing w:val="-1"/>
          <w:sz w:val="22"/>
          <w:szCs w:val="22"/>
        </w:rPr>
        <w:t>.</w:t>
      </w:r>
    </w:p>
    <w:p w14:paraId="2E4741CF" w14:textId="4FE90881" w:rsidR="002E42EF" w:rsidRDefault="004F21F1" w:rsidP="00F373A5">
      <w:pPr>
        <w:pStyle w:val="Zkladntext"/>
        <w:ind w:left="142" w:right="99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Syntetický levotyroxín, ktorý Alverox obsahuje, má identický účinok ako prirodzene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vyskytujúci hormón</w:t>
      </w:r>
      <w:r w:rsidR="00BC520C" w:rsidRPr="009D34C5">
        <w:rPr>
          <w:sz w:val="22"/>
          <w:szCs w:val="22"/>
        </w:rPr>
        <w:t xml:space="preserve"> vylučovaný štítnou žľazou</w:t>
      </w:r>
      <w:r w:rsidRPr="009D34C5">
        <w:rPr>
          <w:sz w:val="22"/>
          <w:szCs w:val="22"/>
        </w:rPr>
        <w:t>.</w:t>
      </w:r>
    </w:p>
    <w:p w14:paraId="679ADA3F" w14:textId="77777777" w:rsidR="00122F88" w:rsidRPr="009D34C5" w:rsidRDefault="00122F88" w:rsidP="00F373A5">
      <w:pPr>
        <w:pStyle w:val="Zkladntext"/>
        <w:ind w:left="142" w:right="99"/>
        <w:jc w:val="both"/>
        <w:rPr>
          <w:sz w:val="22"/>
          <w:szCs w:val="22"/>
        </w:rPr>
      </w:pPr>
    </w:p>
    <w:p w14:paraId="27E83DBF" w14:textId="31D1CB65" w:rsidR="00BC520C" w:rsidRPr="009D34C5" w:rsidRDefault="00BC520C" w:rsidP="00F373A5">
      <w:pPr>
        <w:pStyle w:val="Nadpis1"/>
        <w:numPr>
          <w:ilvl w:val="1"/>
          <w:numId w:val="4"/>
        </w:numPr>
        <w:tabs>
          <w:tab w:val="left" w:pos="567"/>
        </w:tabs>
        <w:ind w:firstLine="5"/>
        <w:jc w:val="both"/>
        <w:rPr>
          <w:sz w:val="22"/>
          <w:szCs w:val="22"/>
        </w:rPr>
      </w:pPr>
      <w:r w:rsidRPr="009D34C5">
        <w:rPr>
          <w:sz w:val="22"/>
          <w:szCs w:val="22"/>
        </w:rPr>
        <w:t>Farmakokinetické vlastnosti</w:t>
      </w:r>
    </w:p>
    <w:p w14:paraId="2AE9FA72" w14:textId="7525157F" w:rsidR="00227451" w:rsidRPr="009D34C5" w:rsidRDefault="00227451" w:rsidP="00F373A5">
      <w:pPr>
        <w:pStyle w:val="Nadpis1"/>
        <w:tabs>
          <w:tab w:val="left" w:pos="420"/>
        </w:tabs>
        <w:jc w:val="both"/>
        <w:rPr>
          <w:b w:val="0"/>
          <w:bCs w:val="0"/>
          <w:sz w:val="22"/>
          <w:szCs w:val="22"/>
        </w:rPr>
      </w:pPr>
    </w:p>
    <w:p w14:paraId="6D39B629" w14:textId="3E3FF260" w:rsidR="00227451" w:rsidRPr="009D34C5" w:rsidRDefault="002071F2" w:rsidP="00F373A5">
      <w:pPr>
        <w:pStyle w:val="Zkladntext"/>
        <w:ind w:left="142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  <w:u w:val="single" w:color="000000"/>
        </w:rPr>
        <w:t>A</w:t>
      </w:r>
      <w:r w:rsidR="00753402" w:rsidRPr="009D34C5">
        <w:rPr>
          <w:spacing w:val="-1"/>
          <w:sz w:val="22"/>
          <w:szCs w:val="22"/>
          <w:u w:val="single" w:color="000000"/>
        </w:rPr>
        <w:t>d</w:t>
      </w:r>
      <w:r w:rsidR="00543825" w:rsidRPr="009D34C5">
        <w:rPr>
          <w:spacing w:val="-1"/>
          <w:sz w:val="22"/>
          <w:szCs w:val="22"/>
          <w:u w:val="single" w:color="000000"/>
        </w:rPr>
        <w:t>sorp</w:t>
      </w:r>
      <w:r w:rsidRPr="009D34C5">
        <w:rPr>
          <w:spacing w:val="-1"/>
          <w:sz w:val="22"/>
          <w:szCs w:val="22"/>
          <w:u w:val="single" w:color="000000"/>
        </w:rPr>
        <w:t>cia</w:t>
      </w:r>
    </w:p>
    <w:p w14:paraId="6FA40E3D" w14:textId="75D69943" w:rsidR="00227451" w:rsidRPr="009D34C5" w:rsidRDefault="002071F2" w:rsidP="00F373A5">
      <w:pPr>
        <w:ind w:left="142"/>
        <w:rPr>
          <w:rFonts w:ascii="Times New Roman" w:eastAsia="Times New Roman" w:hAnsi="Times New Roman"/>
          <w:spacing w:val="-1"/>
        </w:rPr>
      </w:pPr>
      <w:r w:rsidRPr="009D34C5">
        <w:rPr>
          <w:rFonts w:ascii="Times New Roman" w:eastAsia="Times New Roman" w:hAnsi="Times New Roman"/>
          <w:spacing w:val="-1"/>
        </w:rPr>
        <w:t xml:space="preserve">Sodná soľ levotyroxínu </w:t>
      </w:r>
      <w:proofErr w:type="gramStart"/>
      <w:r w:rsidRPr="009D34C5">
        <w:rPr>
          <w:rFonts w:ascii="Times New Roman" w:eastAsia="Times New Roman" w:hAnsi="Times New Roman"/>
          <w:spacing w:val="-1"/>
        </w:rPr>
        <w:t>sa</w:t>
      </w:r>
      <w:proofErr w:type="gramEnd"/>
      <w:r w:rsidRPr="009D34C5">
        <w:rPr>
          <w:rFonts w:ascii="Times New Roman" w:eastAsia="Times New Roman" w:hAnsi="Times New Roman"/>
          <w:spacing w:val="-1"/>
        </w:rPr>
        <w:t xml:space="preserve"> neúplne a variabilne absorbuje z gastrointestinálneho traktu.</w:t>
      </w:r>
    </w:p>
    <w:p w14:paraId="44C2A1F1" w14:textId="77777777" w:rsidR="002071F2" w:rsidRPr="009D34C5" w:rsidRDefault="002071F2" w:rsidP="00383D3A">
      <w:pPr>
        <w:spacing w:before="1"/>
        <w:ind w:left="142"/>
        <w:rPr>
          <w:rFonts w:ascii="Times New Roman" w:eastAsia="Times New Roman" w:hAnsi="Times New Roman" w:cs="Times New Roman"/>
        </w:rPr>
      </w:pPr>
    </w:p>
    <w:p w14:paraId="03C32B9B" w14:textId="34146FDC" w:rsidR="00227451" w:rsidRPr="009D34C5" w:rsidRDefault="00543825" w:rsidP="00383D3A">
      <w:pPr>
        <w:pStyle w:val="Zkladntext"/>
        <w:ind w:left="142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  <w:u w:val="single" w:color="000000"/>
        </w:rPr>
        <w:t>Distrib</w:t>
      </w:r>
      <w:r w:rsidR="002071F2" w:rsidRPr="009D34C5">
        <w:rPr>
          <w:spacing w:val="-1"/>
          <w:sz w:val="22"/>
          <w:szCs w:val="22"/>
          <w:u w:val="single" w:color="000000"/>
        </w:rPr>
        <w:t>úcia</w:t>
      </w:r>
    </w:p>
    <w:p w14:paraId="12BC1F8D" w14:textId="23584635" w:rsidR="002071F2" w:rsidRPr="009D34C5" w:rsidRDefault="002071F2" w:rsidP="00383D3A">
      <w:pPr>
        <w:pStyle w:val="Zkladntext"/>
        <w:ind w:left="142" w:right="105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Levotyroxín sa takmer úplne viaže na plazmatické bielkoviny, hlavne na globulín viažuci tyroxín, </w:t>
      </w:r>
      <w:r w:rsidR="00753402" w:rsidRPr="009D34C5">
        <w:rPr>
          <w:sz w:val="22"/>
          <w:szCs w:val="22"/>
        </w:rPr>
        <w:t>pričom asi</w:t>
      </w:r>
      <w:r w:rsidRPr="009D34C5">
        <w:rPr>
          <w:sz w:val="22"/>
          <w:szCs w:val="22"/>
        </w:rPr>
        <w:t xml:space="preserve"> 0</w:t>
      </w:r>
      <w:proofErr w:type="gramStart"/>
      <w:r w:rsidRPr="009D34C5">
        <w:rPr>
          <w:sz w:val="22"/>
          <w:szCs w:val="22"/>
        </w:rPr>
        <w:t>,03</w:t>
      </w:r>
      <w:proofErr w:type="gramEnd"/>
      <w:r w:rsidR="00753402" w:rsidRPr="009D34C5">
        <w:rPr>
          <w:sz w:val="22"/>
          <w:szCs w:val="22"/>
        </w:rPr>
        <w:t> </w:t>
      </w:r>
      <w:r w:rsidRPr="009D34C5">
        <w:rPr>
          <w:sz w:val="22"/>
          <w:szCs w:val="22"/>
        </w:rPr>
        <w:t xml:space="preserve">% levotyroxínu </w:t>
      </w:r>
      <w:r w:rsidR="00753402" w:rsidRPr="009D34C5">
        <w:rPr>
          <w:sz w:val="22"/>
          <w:szCs w:val="22"/>
        </w:rPr>
        <w:t>sa nenaviaže</w:t>
      </w:r>
      <w:r w:rsidRPr="009D34C5">
        <w:rPr>
          <w:sz w:val="22"/>
          <w:szCs w:val="22"/>
        </w:rPr>
        <w:t xml:space="preserve">. Nenaviazaný levotyroxín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premieňa na trijódtyronín.</w:t>
      </w:r>
    </w:p>
    <w:p w14:paraId="176A0BF3" w14:textId="77777777" w:rsidR="002071F2" w:rsidRPr="009D34C5" w:rsidRDefault="002071F2" w:rsidP="00383D3A">
      <w:pPr>
        <w:pStyle w:val="Zkladntext"/>
        <w:ind w:left="142" w:right="105"/>
        <w:jc w:val="both"/>
        <w:rPr>
          <w:sz w:val="22"/>
          <w:szCs w:val="22"/>
        </w:rPr>
      </w:pPr>
    </w:p>
    <w:p w14:paraId="6C6D4C2C" w14:textId="447BE212" w:rsidR="00227451" w:rsidRPr="009D34C5" w:rsidRDefault="00543825" w:rsidP="00383D3A">
      <w:pPr>
        <w:pStyle w:val="Zkladntext"/>
        <w:spacing w:before="94" w:line="229" w:lineRule="exact"/>
        <w:ind w:left="142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  <w:u w:val="single" w:color="000000"/>
        </w:rPr>
        <w:t>Biotransfor</w:t>
      </w:r>
      <w:r w:rsidR="002071F2" w:rsidRPr="009D34C5">
        <w:rPr>
          <w:spacing w:val="-1"/>
          <w:sz w:val="22"/>
          <w:szCs w:val="22"/>
          <w:u w:val="single" w:color="000000"/>
        </w:rPr>
        <w:t>mácia</w:t>
      </w:r>
    </w:p>
    <w:p w14:paraId="619E5BED" w14:textId="468B0739" w:rsidR="002071F2" w:rsidRPr="009D34C5" w:rsidRDefault="002071F2" w:rsidP="00383D3A">
      <w:pPr>
        <w:pStyle w:val="Zkladntext"/>
        <w:ind w:left="142" w:right="105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Levotyroxín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rozsiahl</w:t>
      </w:r>
      <w:r w:rsidR="00753402" w:rsidRPr="009D34C5">
        <w:rPr>
          <w:sz w:val="22"/>
          <w:szCs w:val="22"/>
        </w:rPr>
        <w:t>o</w:t>
      </w:r>
      <w:r w:rsidRPr="009D34C5">
        <w:rPr>
          <w:sz w:val="22"/>
          <w:szCs w:val="22"/>
        </w:rPr>
        <w:t xml:space="preserve"> metabolizuje v štítnej žľaze, pečeni, obličkách a prednej hypofýze. </w:t>
      </w:r>
      <w:r w:rsidR="00753402" w:rsidRPr="009D34C5">
        <w:rPr>
          <w:sz w:val="22"/>
          <w:szCs w:val="22"/>
        </w:rPr>
        <w:t>Dochádza k</w:t>
      </w:r>
      <w:r w:rsidRPr="009D34C5">
        <w:rPr>
          <w:sz w:val="22"/>
          <w:szCs w:val="22"/>
        </w:rPr>
        <w:t xml:space="preserve"> určit</w:t>
      </w:r>
      <w:r w:rsidR="00753402" w:rsidRPr="009D34C5">
        <w:rPr>
          <w:sz w:val="22"/>
          <w:szCs w:val="22"/>
        </w:rPr>
        <w:t>ej</w:t>
      </w:r>
      <w:r w:rsidRPr="009D34C5">
        <w:rPr>
          <w:sz w:val="22"/>
          <w:szCs w:val="22"/>
        </w:rPr>
        <w:t xml:space="preserve"> enterohepatáln</w:t>
      </w:r>
      <w:r w:rsidR="00753402" w:rsidRPr="009D34C5">
        <w:rPr>
          <w:sz w:val="22"/>
          <w:szCs w:val="22"/>
        </w:rPr>
        <w:t>ej</w:t>
      </w:r>
      <w:r w:rsidRPr="009D34C5">
        <w:rPr>
          <w:sz w:val="22"/>
          <w:szCs w:val="22"/>
        </w:rPr>
        <w:t xml:space="preserve"> recirkuláci</w:t>
      </w:r>
      <w:r w:rsidR="00753402" w:rsidRPr="009D34C5">
        <w:rPr>
          <w:sz w:val="22"/>
          <w:szCs w:val="22"/>
        </w:rPr>
        <w:t>i</w:t>
      </w:r>
      <w:r w:rsidRPr="009D34C5">
        <w:rPr>
          <w:sz w:val="22"/>
          <w:szCs w:val="22"/>
        </w:rPr>
        <w:t xml:space="preserve">. Časť levotyroxínu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metabolizuje na trijódtyronín.</w:t>
      </w:r>
    </w:p>
    <w:p w14:paraId="5E2B0427" w14:textId="5EA0E5F4" w:rsidR="00227451" w:rsidRPr="009D34C5" w:rsidRDefault="002071F2" w:rsidP="00383D3A">
      <w:pPr>
        <w:pStyle w:val="Zkladntext"/>
        <w:spacing w:before="91"/>
        <w:ind w:left="142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Existujú štyri hlavné </w:t>
      </w:r>
      <w:r w:rsidR="00CD1917" w:rsidRPr="009D34C5">
        <w:rPr>
          <w:sz w:val="22"/>
          <w:szCs w:val="22"/>
        </w:rPr>
        <w:t xml:space="preserve">cesty </w:t>
      </w:r>
      <w:r w:rsidRPr="009D34C5">
        <w:rPr>
          <w:sz w:val="22"/>
          <w:szCs w:val="22"/>
        </w:rPr>
        <w:t>metabolizmu</w:t>
      </w:r>
      <w:r w:rsidR="00543825" w:rsidRPr="009D34C5">
        <w:rPr>
          <w:spacing w:val="-1"/>
          <w:sz w:val="22"/>
          <w:szCs w:val="22"/>
        </w:rPr>
        <w:t>:</w:t>
      </w:r>
    </w:p>
    <w:p w14:paraId="3931DF3C" w14:textId="524B1597" w:rsidR="002071F2" w:rsidRPr="009D34C5" w:rsidRDefault="00B96B88" w:rsidP="002071F2">
      <w:pPr>
        <w:pStyle w:val="Zkladntext"/>
        <w:numPr>
          <w:ilvl w:val="0"/>
          <w:numId w:val="1"/>
        </w:numPr>
        <w:tabs>
          <w:tab w:val="left" w:pos="401"/>
        </w:tabs>
        <w:spacing w:before="94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>De</w:t>
      </w:r>
      <w:r w:rsidR="00753402" w:rsidRPr="009D34C5">
        <w:rPr>
          <w:spacing w:val="-1"/>
          <w:sz w:val="22"/>
          <w:szCs w:val="22"/>
        </w:rPr>
        <w:t>j</w:t>
      </w:r>
      <w:r w:rsidRPr="009D34C5">
        <w:rPr>
          <w:spacing w:val="-1"/>
          <w:sz w:val="22"/>
          <w:szCs w:val="22"/>
        </w:rPr>
        <w:t>odinácia</w:t>
      </w:r>
      <w:r w:rsidR="002071F2" w:rsidRPr="009D34C5">
        <w:rPr>
          <w:spacing w:val="-1"/>
          <w:sz w:val="22"/>
          <w:szCs w:val="22"/>
        </w:rPr>
        <w:t xml:space="preserve"> </w:t>
      </w:r>
      <w:proofErr w:type="gramStart"/>
      <w:r w:rsidR="002071F2" w:rsidRPr="009D34C5">
        <w:rPr>
          <w:spacing w:val="-1"/>
          <w:sz w:val="22"/>
          <w:szCs w:val="22"/>
        </w:rPr>
        <w:t>na</w:t>
      </w:r>
      <w:proofErr w:type="gramEnd"/>
      <w:r w:rsidR="002071F2" w:rsidRPr="009D34C5">
        <w:rPr>
          <w:spacing w:val="-1"/>
          <w:sz w:val="22"/>
          <w:szCs w:val="22"/>
        </w:rPr>
        <w:t xml:space="preserve"> trijódtyronín (aktívny) </w:t>
      </w:r>
      <w:r w:rsidR="00753402" w:rsidRPr="009D34C5">
        <w:rPr>
          <w:sz w:val="22"/>
          <w:szCs w:val="22"/>
        </w:rPr>
        <w:t>–</w:t>
      </w:r>
      <w:r w:rsidR="002071F2" w:rsidRPr="009D34C5">
        <w:rPr>
          <w:spacing w:val="-1"/>
          <w:sz w:val="22"/>
          <w:szCs w:val="22"/>
        </w:rPr>
        <w:t xml:space="preserve"> T3 alebo na reverz</w:t>
      </w:r>
      <w:r w:rsidR="00753402" w:rsidRPr="009D34C5">
        <w:rPr>
          <w:spacing w:val="-1"/>
          <w:sz w:val="22"/>
          <w:szCs w:val="22"/>
        </w:rPr>
        <w:t>ný</w:t>
      </w:r>
      <w:r w:rsidR="002071F2" w:rsidRPr="009D34C5">
        <w:rPr>
          <w:spacing w:val="-1"/>
          <w:sz w:val="22"/>
          <w:szCs w:val="22"/>
        </w:rPr>
        <w:t xml:space="preserve"> trijódtyronín (neaktívny). Ďalšia </w:t>
      </w:r>
      <w:r w:rsidRPr="009D34C5">
        <w:rPr>
          <w:spacing w:val="-1"/>
          <w:sz w:val="22"/>
          <w:szCs w:val="22"/>
        </w:rPr>
        <w:t>de</w:t>
      </w:r>
      <w:r w:rsidR="00753402" w:rsidRPr="009D34C5">
        <w:rPr>
          <w:spacing w:val="-1"/>
          <w:sz w:val="22"/>
          <w:szCs w:val="22"/>
        </w:rPr>
        <w:t>j</w:t>
      </w:r>
      <w:r w:rsidRPr="009D34C5">
        <w:rPr>
          <w:spacing w:val="-1"/>
          <w:sz w:val="22"/>
          <w:szCs w:val="22"/>
        </w:rPr>
        <w:t>odinácia</w:t>
      </w:r>
      <w:r w:rsidR="002071F2" w:rsidRPr="009D34C5">
        <w:rPr>
          <w:spacing w:val="-1"/>
          <w:sz w:val="22"/>
          <w:szCs w:val="22"/>
        </w:rPr>
        <w:t xml:space="preserve"> T3 vedie k tvorbe kyseliny tyroctovej.</w:t>
      </w:r>
    </w:p>
    <w:p w14:paraId="6653FD02" w14:textId="25881926" w:rsidR="00227451" w:rsidRPr="009D34C5" w:rsidRDefault="00B96B88" w:rsidP="002071F2">
      <w:pPr>
        <w:pStyle w:val="Zkladntext"/>
        <w:numPr>
          <w:ilvl w:val="0"/>
          <w:numId w:val="1"/>
        </w:numPr>
        <w:tabs>
          <w:tab w:val="left" w:pos="401"/>
        </w:tabs>
        <w:spacing w:before="94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>Deamináci</w:t>
      </w:r>
      <w:r w:rsidR="00753402" w:rsidRPr="009D34C5">
        <w:rPr>
          <w:spacing w:val="-1"/>
          <w:sz w:val="22"/>
          <w:szCs w:val="22"/>
        </w:rPr>
        <w:t>a</w:t>
      </w:r>
      <w:r w:rsidRPr="009D34C5">
        <w:rPr>
          <w:spacing w:val="-1"/>
          <w:sz w:val="22"/>
          <w:szCs w:val="22"/>
        </w:rPr>
        <w:t xml:space="preserve"> </w:t>
      </w:r>
      <w:proofErr w:type="gramStart"/>
      <w:r w:rsidRPr="009D34C5">
        <w:rPr>
          <w:spacing w:val="-1"/>
          <w:sz w:val="22"/>
          <w:szCs w:val="22"/>
        </w:rPr>
        <w:t>na</w:t>
      </w:r>
      <w:proofErr w:type="gramEnd"/>
      <w:r w:rsidRPr="009D34C5">
        <w:rPr>
          <w:spacing w:val="-1"/>
          <w:sz w:val="22"/>
          <w:szCs w:val="22"/>
        </w:rPr>
        <w:t xml:space="preserve"> tetrón.</w:t>
      </w:r>
    </w:p>
    <w:p w14:paraId="70144C23" w14:textId="663BC1CB" w:rsidR="00F7484D" w:rsidRPr="009D34C5" w:rsidRDefault="00F7484D" w:rsidP="00F7484D">
      <w:pPr>
        <w:pStyle w:val="Zkladntext"/>
        <w:numPr>
          <w:ilvl w:val="0"/>
          <w:numId w:val="1"/>
        </w:numPr>
        <w:tabs>
          <w:tab w:val="left" w:pos="401"/>
        </w:tabs>
        <w:spacing w:before="91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>Konjugácia s glukuronidom a</w:t>
      </w:r>
      <w:r w:rsidR="00753402" w:rsidRPr="009D34C5">
        <w:rPr>
          <w:spacing w:val="-1"/>
          <w:sz w:val="22"/>
          <w:szCs w:val="22"/>
        </w:rPr>
        <w:t>lebo</w:t>
      </w:r>
      <w:r w:rsidRPr="009D34C5">
        <w:rPr>
          <w:spacing w:val="-1"/>
          <w:sz w:val="22"/>
          <w:szCs w:val="22"/>
        </w:rPr>
        <w:t xml:space="preserve"> síranom.</w:t>
      </w:r>
    </w:p>
    <w:p w14:paraId="0075D1C6" w14:textId="54D40DD2" w:rsidR="00227451" w:rsidRPr="009D34C5" w:rsidRDefault="00F7484D" w:rsidP="00F7484D">
      <w:pPr>
        <w:pStyle w:val="Zkladntext"/>
        <w:numPr>
          <w:ilvl w:val="0"/>
          <w:numId w:val="1"/>
        </w:numPr>
        <w:tabs>
          <w:tab w:val="left" w:pos="401"/>
        </w:tabs>
        <w:spacing w:before="91"/>
        <w:jc w:val="both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Štiepenie éterovej väzby </w:t>
      </w:r>
      <w:proofErr w:type="gramStart"/>
      <w:r w:rsidRPr="009D34C5">
        <w:rPr>
          <w:spacing w:val="-1"/>
          <w:sz w:val="22"/>
          <w:szCs w:val="22"/>
        </w:rPr>
        <w:t>na</w:t>
      </w:r>
      <w:proofErr w:type="gramEnd"/>
      <w:r w:rsidRPr="009D34C5">
        <w:rPr>
          <w:spacing w:val="-1"/>
          <w:sz w:val="22"/>
          <w:szCs w:val="22"/>
        </w:rPr>
        <w:t xml:space="preserve"> dijódtyrozíny.</w:t>
      </w:r>
    </w:p>
    <w:p w14:paraId="6D1E5C45" w14:textId="713991BB" w:rsidR="002E42EF" w:rsidRPr="009D34C5" w:rsidRDefault="00F7484D" w:rsidP="00383D3A">
      <w:pPr>
        <w:pStyle w:val="Zkladntext"/>
        <w:spacing w:before="1" w:line="320" w:lineRule="atLeast"/>
        <w:ind w:left="142" w:right="3305"/>
        <w:rPr>
          <w:spacing w:val="59"/>
          <w:w w:val="99"/>
          <w:sz w:val="22"/>
          <w:szCs w:val="22"/>
        </w:rPr>
      </w:pPr>
      <w:r w:rsidRPr="009D34C5">
        <w:rPr>
          <w:sz w:val="22"/>
          <w:szCs w:val="22"/>
        </w:rPr>
        <w:t xml:space="preserve">Najdôležitejšou metabolickou cestou je </w:t>
      </w:r>
      <w:r w:rsidR="00B96B88" w:rsidRPr="009D34C5">
        <w:rPr>
          <w:spacing w:val="-1"/>
          <w:sz w:val="22"/>
          <w:szCs w:val="22"/>
        </w:rPr>
        <w:t>de</w:t>
      </w:r>
      <w:r w:rsidR="00887E11" w:rsidRPr="009D34C5">
        <w:rPr>
          <w:spacing w:val="-1"/>
          <w:sz w:val="22"/>
          <w:szCs w:val="22"/>
        </w:rPr>
        <w:t>j</w:t>
      </w:r>
      <w:r w:rsidR="00B96B88" w:rsidRPr="009D34C5">
        <w:rPr>
          <w:spacing w:val="-1"/>
          <w:sz w:val="22"/>
          <w:szCs w:val="22"/>
        </w:rPr>
        <w:t>odinácia</w:t>
      </w:r>
      <w:r w:rsidR="00543825" w:rsidRPr="009D34C5">
        <w:rPr>
          <w:spacing w:val="-1"/>
          <w:sz w:val="22"/>
          <w:szCs w:val="22"/>
        </w:rPr>
        <w:t>.</w:t>
      </w:r>
      <w:r w:rsidR="00543825" w:rsidRPr="009D34C5">
        <w:rPr>
          <w:spacing w:val="59"/>
          <w:w w:val="99"/>
          <w:sz w:val="22"/>
          <w:szCs w:val="22"/>
        </w:rPr>
        <w:t xml:space="preserve"> </w:t>
      </w:r>
    </w:p>
    <w:p w14:paraId="7FF034CA" w14:textId="77777777" w:rsidR="002E42EF" w:rsidRPr="009D34C5" w:rsidRDefault="002E42EF" w:rsidP="00F7484D">
      <w:pPr>
        <w:pStyle w:val="Zkladntext"/>
        <w:spacing w:before="1" w:line="320" w:lineRule="atLeast"/>
        <w:ind w:left="0" w:right="3305"/>
        <w:rPr>
          <w:spacing w:val="59"/>
          <w:w w:val="99"/>
          <w:sz w:val="22"/>
          <w:szCs w:val="22"/>
        </w:rPr>
      </w:pPr>
    </w:p>
    <w:p w14:paraId="42FD413E" w14:textId="3E92E1E5" w:rsidR="00227451" w:rsidRPr="009D34C5" w:rsidRDefault="00543825" w:rsidP="00383D3A">
      <w:pPr>
        <w:pStyle w:val="Zkladntext"/>
        <w:spacing w:before="1" w:line="320" w:lineRule="atLeast"/>
        <w:ind w:left="142" w:right="3305"/>
        <w:rPr>
          <w:sz w:val="22"/>
          <w:szCs w:val="22"/>
        </w:rPr>
      </w:pPr>
      <w:r w:rsidRPr="009D34C5">
        <w:rPr>
          <w:spacing w:val="-1"/>
          <w:sz w:val="22"/>
          <w:szCs w:val="22"/>
          <w:u w:val="single" w:color="000000"/>
        </w:rPr>
        <w:lastRenderedPageBreak/>
        <w:t>Elimin</w:t>
      </w:r>
      <w:r w:rsidR="00F7484D" w:rsidRPr="009D34C5">
        <w:rPr>
          <w:spacing w:val="-1"/>
          <w:sz w:val="22"/>
          <w:szCs w:val="22"/>
          <w:u w:val="single" w:color="000000"/>
        </w:rPr>
        <w:t>ácia</w:t>
      </w:r>
    </w:p>
    <w:p w14:paraId="107926C4" w14:textId="230C2F42" w:rsidR="00F7484D" w:rsidRPr="009D34C5" w:rsidRDefault="00F7484D" w:rsidP="00383D3A">
      <w:pPr>
        <w:pStyle w:val="Zkladntext"/>
        <w:ind w:left="142" w:right="104"/>
        <w:jc w:val="both"/>
        <w:rPr>
          <w:sz w:val="22"/>
          <w:szCs w:val="22"/>
        </w:rPr>
      </w:pPr>
      <w:r w:rsidRPr="009D34C5">
        <w:rPr>
          <w:sz w:val="22"/>
          <w:szCs w:val="22"/>
        </w:rPr>
        <w:t xml:space="preserve">Levotyroxín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vylučuje močom a stolicou, čiastočne ako voľné liečivo a čiastočne ako konjugáty a </w:t>
      </w:r>
      <w:r w:rsidR="00887E11" w:rsidRPr="009D34C5">
        <w:rPr>
          <w:sz w:val="22"/>
          <w:szCs w:val="22"/>
        </w:rPr>
        <w:t>de</w:t>
      </w:r>
      <w:r w:rsidRPr="009D34C5">
        <w:rPr>
          <w:sz w:val="22"/>
          <w:szCs w:val="22"/>
        </w:rPr>
        <w:t xml:space="preserve">jódované metabolity. Medzi 30 </w:t>
      </w:r>
      <w:r w:rsidR="00887E11" w:rsidRPr="009D34C5">
        <w:rPr>
          <w:sz w:val="22"/>
          <w:szCs w:val="22"/>
        </w:rPr>
        <w:t>–</w:t>
      </w:r>
      <w:r w:rsidRPr="009D34C5">
        <w:rPr>
          <w:sz w:val="22"/>
          <w:szCs w:val="22"/>
        </w:rPr>
        <w:t xml:space="preserve"> 55</w:t>
      </w:r>
      <w:r w:rsidR="00887E11" w:rsidRPr="009D34C5">
        <w:rPr>
          <w:sz w:val="22"/>
          <w:szCs w:val="22"/>
        </w:rPr>
        <w:t> </w:t>
      </w:r>
      <w:r w:rsidRPr="009D34C5">
        <w:rPr>
          <w:sz w:val="22"/>
          <w:szCs w:val="22"/>
        </w:rPr>
        <w:t xml:space="preserve">% dávky levotyroxínu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vylučuje močom a 20 </w:t>
      </w:r>
      <w:r w:rsidR="00887E11" w:rsidRPr="009D34C5">
        <w:rPr>
          <w:sz w:val="22"/>
          <w:szCs w:val="22"/>
        </w:rPr>
        <w:t>–</w:t>
      </w:r>
      <w:r w:rsidRPr="009D34C5">
        <w:rPr>
          <w:sz w:val="22"/>
          <w:szCs w:val="22"/>
        </w:rPr>
        <w:t xml:space="preserve"> 40</w:t>
      </w:r>
      <w:r w:rsidR="00887E11" w:rsidRPr="009D34C5">
        <w:rPr>
          <w:sz w:val="22"/>
          <w:szCs w:val="22"/>
        </w:rPr>
        <w:t> </w:t>
      </w:r>
      <w:r w:rsidRPr="009D34C5">
        <w:rPr>
          <w:sz w:val="22"/>
          <w:szCs w:val="22"/>
        </w:rPr>
        <w:t>% stolicou.</w:t>
      </w:r>
    </w:p>
    <w:p w14:paraId="59A77277" w14:textId="1738BD8A" w:rsidR="00F7484D" w:rsidRPr="009D34C5" w:rsidRDefault="00F7484D" w:rsidP="00383D3A">
      <w:pPr>
        <w:pStyle w:val="Zkladntext"/>
        <w:spacing w:before="55"/>
        <w:ind w:left="142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 xml:space="preserve">Polčas rozpadu je 7 dní, ale môže </w:t>
      </w:r>
      <w:proofErr w:type="gramStart"/>
      <w:r w:rsidRPr="009D34C5">
        <w:rPr>
          <w:spacing w:val="-1"/>
          <w:sz w:val="22"/>
          <w:szCs w:val="22"/>
        </w:rPr>
        <w:t>sa</w:t>
      </w:r>
      <w:proofErr w:type="gramEnd"/>
      <w:r w:rsidRPr="009D34C5">
        <w:rPr>
          <w:spacing w:val="-1"/>
          <w:sz w:val="22"/>
          <w:szCs w:val="22"/>
        </w:rPr>
        <w:t xml:space="preserve"> skrátiť alebo predĺžiť v závislosti od chorobného stavu.</w:t>
      </w:r>
    </w:p>
    <w:p w14:paraId="78D617A1" w14:textId="77777777" w:rsidR="007B0B30" w:rsidRPr="009D34C5" w:rsidRDefault="007B0B30" w:rsidP="00383D3A">
      <w:pPr>
        <w:pStyle w:val="Zkladntext"/>
        <w:spacing w:before="55"/>
        <w:ind w:left="142"/>
        <w:rPr>
          <w:sz w:val="22"/>
          <w:szCs w:val="22"/>
        </w:rPr>
      </w:pPr>
    </w:p>
    <w:p w14:paraId="485576E5" w14:textId="746B5E4F" w:rsidR="00227451" w:rsidRPr="009D34C5" w:rsidRDefault="00F7484D" w:rsidP="00F7484D">
      <w:pPr>
        <w:pStyle w:val="Nadpis1"/>
        <w:numPr>
          <w:ilvl w:val="1"/>
          <w:numId w:val="4"/>
        </w:numPr>
        <w:tabs>
          <w:tab w:val="left" w:pos="567"/>
        </w:tabs>
        <w:spacing w:before="99"/>
        <w:ind w:firstLine="5"/>
        <w:rPr>
          <w:b w:val="0"/>
          <w:bCs w:val="0"/>
          <w:sz w:val="22"/>
          <w:szCs w:val="22"/>
        </w:rPr>
      </w:pPr>
      <w:r w:rsidRPr="009D34C5">
        <w:rPr>
          <w:sz w:val="22"/>
          <w:szCs w:val="22"/>
        </w:rPr>
        <w:t>Predklinické údaje o bezpečnosti</w:t>
      </w:r>
    </w:p>
    <w:p w14:paraId="4B7F200C" w14:textId="77777777" w:rsidR="00F7484D" w:rsidRPr="009D34C5" w:rsidRDefault="00F7484D" w:rsidP="00F7484D">
      <w:pPr>
        <w:pStyle w:val="Nadpis1"/>
        <w:tabs>
          <w:tab w:val="left" w:pos="567"/>
        </w:tabs>
        <w:spacing w:before="99"/>
        <w:ind w:left="142" w:firstLine="0"/>
        <w:rPr>
          <w:b w:val="0"/>
          <w:bCs w:val="0"/>
          <w:sz w:val="22"/>
          <w:szCs w:val="22"/>
        </w:rPr>
      </w:pPr>
    </w:p>
    <w:p w14:paraId="3F38CE8A" w14:textId="77777777" w:rsidR="00F7484D" w:rsidRPr="009D34C5" w:rsidRDefault="00F7484D" w:rsidP="00383D3A">
      <w:pPr>
        <w:pStyle w:val="Zkladntext"/>
        <w:spacing w:before="26"/>
        <w:ind w:left="142" w:right="55"/>
        <w:rPr>
          <w:i/>
          <w:sz w:val="22"/>
          <w:szCs w:val="22"/>
        </w:rPr>
      </w:pPr>
      <w:r w:rsidRPr="009D34C5">
        <w:rPr>
          <w:i/>
          <w:sz w:val="22"/>
          <w:szCs w:val="22"/>
        </w:rPr>
        <w:t>Akútna toxicita:</w:t>
      </w:r>
    </w:p>
    <w:p w14:paraId="62904AF8" w14:textId="48FAA9B6" w:rsidR="007B0B30" w:rsidRPr="009D34C5" w:rsidRDefault="00F7484D" w:rsidP="00383D3A">
      <w:pPr>
        <w:pStyle w:val="Zkladntext"/>
        <w:spacing w:before="26"/>
        <w:ind w:left="142" w:right="55"/>
        <w:rPr>
          <w:sz w:val="22"/>
          <w:szCs w:val="22"/>
        </w:rPr>
      </w:pPr>
      <w:r w:rsidRPr="009D34C5">
        <w:rPr>
          <w:sz w:val="22"/>
          <w:szCs w:val="22"/>
        </w:rPr>
        <w:t>Levotyroxín má veľmi slabú akútnu toxicitu.</w:t>
      </w:r>
    </w:p>
    <w:p w14:paraId="534D8315" w14:textId="77777777" w:rsidR="00F7484D" w:rsidRPr="009D34C5" w:rsidRDefault="00F7484D" w:rsidP="00383D3A">
      <w:pPr>
        <w:pStyle w:val="Zkladntext"/>
        <w:spacing w:before="26"/>
        <w:ind w:left="142" w:right="55"/>
        <w:rPr>
          <w:sz w:val="22"/>
          <w:szCs w:val="22"/>
        </w:rPr>
      </w:pPr>
    </w:p>
    <w:p w14:paraId="0F662BF8" w14:textId="77777777" w:rsidR="00F7484D" w:rsidRPr="009D34C5" w:rsidRDefault="00F7484D" w:rsidP="00383D3A">
      <w:pPr>
        <w:pStyle w:val="Zkladntext"/>
        <w:spacing w:before="26"/>
        <w:ind w:left="142" w:right="55"/>
        <w:rPr>
          <w:i/>
          <w:sz w:val="22"/>
          <w:szCs w:val="22"/>
        </w:rPr>
      </w:pPr>
      <w:r w:rsidRPr="009D34C5">
        <w:rPr>
          <w:i/>
          <w:sz w:val="22"/>
          <w:szCs w:val="22"/>
        </w:rPr>
        <w:t>Chronická toxicita:</w:t>
      </w:r>
    </w:p>
    <w:p w14:paraId="02D7258E" w14:textId="104444A9" w:rsidR="007B0B30" w:rsidRPr="009D34C5" w:rsidRDefault="00F7484D" w:rsidP="00383D3A">
      <w:pPr>
        <w:pStyle w:val="Zkladntext"/>
        <w:spacing w:before="26"/>
        <w:ind w:left="142" w:right="55"/>
        <w:rPr>
          <w:sz w:val="22"/>
          <w:szCs w:val="22"/>
        </w:rPr>
      </w:pPr>
      <w:r w:rsidRPr="009D34C5">
        <w:rPr>
          <w:sz w:val="22"/>
          <w:szCs w:val="22"/>
        </w:rPr>
        <w:t xml:space="preserve">Chronická toxicita levotyroxínu bola skúmaná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rozličných druhoch zvierat (potkan, pes). Pri vysokých dávkach boli u potkanov pozorované prejavy hepatopatie, zvýšený výskyt spontánnych nefróz</w:t>
      </w:r>
      <w:r w:rsidR="00887E11" w:rsidRPr="009D34C5">
        <w:rPr>
          <w:sz w:val="22"/>
          <w:szCs w:val="22"/>
        </w:rPr>
        <w:t>,</w:t>
      </w:r>
      <w:r w:rsidRPr="009D34C5">
        <w:rPr>
          <w:sz w:val="22"/>
          <w:szCs w:val="22"/>
        </w:rPr>
        <w:t xml:space="preserve"> ako aj zmeny v hmotnosti orgánov.</w:t>
      </w:r>
    </w:p>
    <w:p w14:paraId="5B584D41" w14:textId="77777777" w:rsidR="00F7484D" w:rsidRPr="009D34C5" w:rsidRDefault="00F7484D" w:rsidP="00383D3A">
      <w:pPr>
        <w:pStyle w:val="Zkladntext"/>
        <w:spacing w:before="26"/>
        <w:ind w:left="142" w:right="55"/>
        <w:rPr>
          <w:i/>
          <w:sz w:val="22"/>
          <w:szCs w:val="22"/>
        </w:rPr>
      </w:pPr>
    </w:p>
    <w:p w14:paraId="5201E3E5" w14:textId="77777777" w:rsidR="00F7484D" w:rsidRPr="009D34C5" w:rsidRDefault="00F7484D" w:rsidP="00383D3A">
      <w:pPr>
        <w:pStyle w:val="Zkladntext"/>
        <w:spacing w:before="26"/>
        <w:ind w:left="142" w:right="55"/>
        <w:rPr>
          <w:i/>
          <w:sz w:val="22"/>
          <w:szCs w:val="22"/>
        </w:rPr>
      </w:pPr>
      <w:r w:rsidRPr="009D34C5">
        <w:rPr>
          <w:i/>
          <w:sz w:val="22"/>
          <w:szCs w:val="22"/>
        </w:rPr>
        <w:t>Reprodukčná toxicita:</w:t>
      </w:r>
    </w:p>
    <w:p w14:paraId="2F8A209B" w14:textId="7BEE9891" w:rsidR="007B0B30" w:rsidRPr="009D34C5" w:rsidRDefault="00F7484D" w:rsidP="00383D3A">
      <w:pPr>
        <w:pStyle w:val="Zkladntext"/>
        <w:spacing w:before="26"/>
        <w:ind w:left="142" w:right="55"/>
        <w:rPr>
          <w:sz w:val="22"/>
          <w:szCs w:val="22"/>
        </w:rPr>
      </w:pPr>
      <w:r w:rsidRPr="009D34C5">
        <w:rPr>
          <w:sz w:val="22"/>
          <w:szCs w:val="22"/>
        </w:rPr>
        <w:t xml:space="preserve">Neuskutočnili </w:t>
      </w:r>
      <w:proofErr w:type="gramStart"/>
      <w:r w:rsidRPr="009D34C5">
        <w:rPr>
          <w:sz w:val="22"/>
          <w:szCs w:val="22"/>
        </w:rPr>
        <w:t>sa</w:t>
      </w:r>
      <w:proofErr w:type="gramEnd"/>
      <w:r w:rsidRPr="009D34C5">
        <w:rPr>
          <w:sz w:val="22"/>
          <w:szCs w:val="22"/>
        </w:rPr>
        <w:t xml:space="preserve"> žiadne štúdie reprodukčnej toxicity u zvierat.</w:t>
      </w:r>
    </w:p>
    <w:p w14:paraId="6111B079" w14:textId="77777777" w:rsidR="007B0B30" w:rsidRPr="009D34C5" w:rsidRDefault="007B0B30" w:rsidP="00383D3A">
      <w:pPr>
        <w:pStyle w:val="Zkladntext"/>
        <w:spacing w:before="26"/>
        <w:ind w:left="142" w:right="55"/>
        <w:rPr>
          <w:i/>
          <w:sz w:val="22"/>
          <w:szCs w:val="22"/>
        </w:rPr>
      </w:pPr>
    </w:p>
    <w:p w14:paraId="1C3472DE" w14:textId="77777777" w:rsidR="00F7484D" w:rsidRPr="009D34C5" w:rsidRDefault="00F7484D" w:rsidP="00383D3A">
      <w:pPr>
        <w:pStyle w:val="Zkladntext"/>
        <w:spacing w:before="26"/>
        <w:ind w:left="142" w:right="55"/>
        <w:rPr>
          <w:i/>
          <w:sz w:val="22"/>
          <w:szCs w:val="22"/>
        </w:rPr>
      </w:pPr>
      <w:r w:rsidRPr="009D34C5">
        <w:rPr>
          <w:i/>
          <w:sz w:val="22"/>
          <w:szCs w:val="22"/>
        </w:rPr>
        <w:t>Mutagenita:</w:t>
      </w:r>
    </w:p>
    <w:p w14:paraId="31FA1668" w14:textId="257DCE58" w:rsidR="007B0B30" w:rsidRPr="009D34C5" w:rsidRDefault="00F7484D" w:rsidP="00383D3A">
      <w:pPr>
        <w:pStyle w:val="Zkladntext"/>
        <w:spacing w:before="26"/>
        <w:ind w:left="142" w:right="55"/>
        <w:rPr>
          <w:sz w:val="22"/>
          <w:szCs w:val="22"/>
        </w:rPr>
      </w:pPr>
      <w:r w:rsidRPr="009D34C5">
        <w:rPr>
          <w:sz w:val="22"/>
          <w:szCs w:val="22"/>
        </w:rPr>
        <w:t xml:space="preserve">Nie sú dostupné žiadne informácie o mutagénnom potenciále levotyroxínu. Doteraz však nie sú známe žiadne zistenia </w:t>
      </w:r>
      <w:r w:rsidR="00887E11" w:rsidRPr="009D34C5">
        <w:rPr>
          <w:sz w:val="22"/>
          <w:szCs w:val="22"/>
        </w:rPr>
        <w:t>akéhokoľvek druhu</w:t>
      </w:r>
      <w:r w:rsidRPr="009D34C5">
        <w:rPr>
          <w:sz w:val="22"/>
          <w:szCs w:val="22"/>
        </w:rPr>
        <w:t xml:space="preserve"> naznačujúce možnosť poškodenia potomstva zapríčineného zmenami v genóme spôsobenými hormónmi štítnej žľazy.</w:t>
      </w:r>
    </w:p>
    <w:p w14:paraId="6B90C7B0" w14:textId="77777777" w:rsidR="00F7484D" w:rsidRPr="009D34C5" w:rsidRDefault="00F7484D" w:rsidP="00383D3A">
      <w:pPr>
        <w:pStyle w:val="Zkladntext"/>
        <w:spacing w:before="26"/>
        <w:ind w:left="142" w:right="55"/>
        <w:rPr>
          <w:i/>
          <w:sz w:val="22"/>
          <w:szCs w:val="22"/>
        </w:rPr>
      </w:pPr>
    </w:p>
    <w:p w14:paraId="47521FA3" w14:textId="77777777" w:rsidR="00F7484D" w:rsidRPr="009D34C5" w:rsidRDefault="00F7484D" w:rsidP="00383D3A">
      <w:pPr>
        <w:pStyle w:val="Zkladntext"/>
        <w:spacing w:before="26"/>
        <w:ind w:left="142" w:right="55"/>
        <w:rPr>
          <w:i/>
          <w:sz w:val="22"/>
          <w:szCs w:val="22"/>
        </w:rPr>
      </w:pPr>
      <w:r w:rsidRPr="009D34C5">
        <w:rPr>
          <w:i/>
          <w:sz w:val="22"/>
          <w:szCs w:val="22"/>
        </w:rPr>
        <w:t>Karcinogenita:</w:t>
      </w:r>
    </w:p>
    <w:p w14:paraId="59B1B863" w14:textId="0B74F225" w:rsidR="00741013" w:rsidRPr="009D34C5" w:rsidRDefault="00F7484D" w:rsidP="00383D3A">
      <w:pPr>
        <w:spacing w:before="8"/>
        <w:ind w:left="142"/>
        <w:rPr>
          <w:rFonts w:ascii="Times New Roman" w:eastAsia="Times New Roman" w:hAnsi="Times New Roman"/>
        </w:rPr>
      </w:pPr>
      <w:r w:rsidRPr="009D34C5">
        <w:rPr>
          <w:rFonts w:ascii="Times New Roman" w:eastAsia="Times New Roman" w:hAnsi="Times New Roman"/>
        </w:rPr>
        <w:t xml:space="preserve">Neuskutočnili </w:t>
      </w:r>
      <w:proofErr w:type="gramStart"/>
      <w:r w:rsidRPr="009D34C5">
        <w:rPr>
          <w:rFonts w:ascii="Times New Roman" w:eastAsia="Times New Roman" w:hAnsi="Times New Roman"/>
        </w:rPr>
        <w:t>sa</w:t>
      </w:r>
      <w:proofErr w:type="gramEnd"/>
      <w:r w:rsidRPr="009D34C5">
        <w:rPr>
          <w:rFonts w:ascii="Times New Roman" w:eastAsia="Times New Roman" w:hAnsi="Times New Roman"/>
        </w:rPr>
        <w:t xml:space="preserve"> žiadne dlhodobé štúdie s levotyroxínom na zvieratách.</w:t>
      </w:r>
    </w:p>
    <w:p w14:paraId="207A2759" w14:textId="77777777" w:rsidR="00F7484D" w:rsidRDefault="00F7484D" w:rsidP="00383D3A">
      <w:pPr>
        <w:spacing w:before="8"/>
        <w:ind w:left="142"/>
        <w:rPr>
          <w:rFonts w:ascii="Times New Roman" w:eastAsia="Times New Roman" w:hAnsi="Times New Roman" w:cs="Times New Roman"/>
        </w:rPr>
      </w:pPr>
    </w:p>
    <w:p w14:paraId="01C85DE6" w14:textId="77777777" w:rsidR="00122F88" w:rsidRPr="009D34C5" w:rsidRDefault="00122F88" w:rsidP="00383D3A">
      <w:pPr>
        <w:spacing w:before="8"/>
        <w:ind w:left="142"/>
        <w:rPr>
          <w:rFonts w:ascii="Times New Roman" w:eastAsia="Times New Roman" w:hAnsi="Times New Roman" w:cs="Times New Roman"/>
        </w:rPr>
      </w:pPr>
    </w:p>
    <w:p w14:paraId="11FB954B" w14:textId="52CE7D9C" w:rsidR="00227451" w:rsidRPr="009D34C5" w:rsidRDefault="00F7484D" w:rsidP="00F7484D">
      <w:pPr>
        <w:pStyle w:val="Nadpis1"/>
        <w:numPr>
          <w:ilvl w:val="0"/>
          <w:numId w:val="4"/>
        </w:numPr>
        <w:tabs>
          <w:tab w:val="left" w:pos="567"/>
        </w:tabs>
        <w:ind w:hanging="142"/>
        <w:rPr>
          <w:b w:val="0"/>
          <w:bCs w:val="0"/>
          <w:spacing w:val="1"/>
          <w:sz w:val="22"/>
          <w:szCs w:val="22"/>
        </w:rPr>
      </w:pPr>
      <w:r w:rsidRPr="009D34C5">
        <w:rPr>
          <w:spacing w:val="1"/>
          <w:sz w:val="22"/>
          <w:szCs w:val="22"/>
        </w:rPr>
        <w:t>FARMACEUTICKÉ INFORMÁCIE</w:t>
      </w:r>
    </w:p>
    <w:p w14:paraId="53201072" w14:textId="77777777" w:rsidR="00F7484D" w:rsidRPr="009D34C5" w:rsidRDefault="00F7484D" w:rsidP="00F7484D">
      <w:pPr>
        <w:pStyle w:val="Nadpis1"/>
        <w:tabs>
          <w:tab w:val="left" w:pos="567"/>
        </w:tabs>
        <w:ind w:left="284" w:firstLine="0"/>
        <w:rPr>
          <w:b w:val="0"/>
          <w:bCs w:val="0"/>
          <w:sz w:val="22"/>
          <w:szCs w:val="22"/>
        </w:rPr>
      </w:pPr>
    </w:p>
    <w:p w14:paraId="59ADC2F8" w14:textId="07622B1F" w:rsidR="00056ED1" w:rsidRPr="009D34C5" w:rsidRDefault="00056ED1" w:rsidP="00056ED1">
      <w:pPr>
        <w:numPr>
          <w:ilvl w:val="1"/>
          <w:numId w:val="4"/>
        </w:numPr>
        <w:tabs>
          <w:tab w:val="left" w:pos="567"/>
        </w:tabs>
        <w:spacing w:before="26"/>
        <w:ind w:left="142" w:firstLine="0"/>
        <w:rPr>
          <w:rFonts w:ascii="Times New Roman" w:hAnsi="Times New Roman" w:cs="Times New Roman"/>
        </w:rPr>
      </w:pPr>
      <w:r w:rsidRPr="009D34C5">
        <w:rPr>
          <w:rFonts w:ascii="Times New Roman" w:hAnsi="Times New Roman" w:cs="Times New Roman"/>
          <w:b/>
          <w:spacing w:val="-1"/>
        </w:rPr>
        <w:t>Zoznam pomocných látok</w:t>
      </w:r>
    </w:p>
    <w:p w14:paraId="4113076D" w14:textId="77777777" w:rsidR="00056ED1" w:rsidRPr="009D34C5" w:rsidRDefault="00056ED1" w:rsidP="00056ED1">
      <w:pPr>
        <w:tabs>
          <w:tab w:val="left" w:pos="567"/>
        </w:tabs>
        <w:spacing w:before="26"/>
        <w:ind w:left="142"/>
        <w:rPr>
          <w:rFonts w:ascii="Times New Roman" w:hAnsi="Times New Roman" w:cs="Times New Roman"/>
        </w:rPr>
      </w:pPr>
    </w:p>
    <w:p w14:paraId="09C9B7F0" w14:textId="1ADB625E" w:rsidR="00227451" w:rsidRPr="009D34C5" w:rsidRDefault="00056ED1" w:rsidP="00056ED1">
      <w:pPr>
        <w:tabs>
          <w:tab w:val="left" w:pos="440"/>
        </w:tabs>
        <w:spacing w:before="26"/>
        <w:ind w:left="142"/>
        <w:rPr>
          <w:rFonts w:ascii="Times New Roman" w:hAnsi="Times New Roman" w:cs="Times New Roman"/>
        </w:rPr>
      </w:pPr>
      <w:r w:rsidRPr="009D34C5">
        <w:rPr>
          <w:rFonts w:ascii="Times New Roman" w:hAnsi="Times New Roman" w:cs="Times New Roman"/>
          <w:spacing w:val="-1"/>
        </w:rPr>
        <w:t>Glycerol</w:t>
      </w:r>
    </w:p>
    <w:p w14:paraId="163312ED" w14:textId="77777777" w:rsidR="00056ED1" w:rsidRPr="009D34C5" w:rsidRDefault="00056ED1" w:rsidP="00056ED1">
      <w:pPr>
        <w:pStyle w:val="Zkladntext"/>
        <w:ind w:left="142" w:right="-39"/>
        <w:rPr>
          <w:spacing w:val="49"/>
          <w:w w:val="99"/>
          <w:sz w:val="22"/>
          <w:szCs w:val="22"/>
        </w:rPr>
      </w:pPr>
      <w:r w:rsidRPr="009D34C5">
        <w:rPr>
          <w:spacing w:val="-1"/>
          <w:sz w:val="22"/>
          <w:szCs w:val="22"/>
        </w:rPr>
        <w:t>Kyselina citrónová, monohydrát</w:t>
      </w:r>
      <w:r w:rsidRPr="009D34C5">
        <w:rPr>
          <w:spacing w:val="-1"/>
          <w:sz w:val="22"/>
          <w:szCs w:val="22"/>
        </w:rPr>
        <w:cr/>
      </w:r>
      <w:r w:rsidRPr="009D34C5">
        <w:rPr>
          <w:sz w:val="22"/>
          <w:szCs w:val="22"/>
        </w:rPr>
        <w:t xml:space="preserve">Metyl-parahydroxybenzoát, sodná soľ </w:t>
      </w:r>
      <w:r w:rsidR="00543825" w:rsidRPr="009D34C5">
        <w:rPr>
          <w:sz w:val="22"/>
          <w:szCs w:val="22"/>
        </w:rPr>
        <w:t>(E219)</w:t>
      </w:r>
      <w:r w:rsidR="00543825" w:rsidRPr="009D34C5">
        <w:rPr>
          <w:spacing w:val="49"/>
          <w:w w:val="99"/>
          <w:sz w:val="22"/>
          <w:szCs w:val="22"/>
        </w:rPr>
        <w:t xml:space="preserve"> </w:t>
      </w:r>
    </w:p>
    <w:p w14:paraId="5C2C5E2A" w14:textId="35E944E8" w:rsidR="00227451" w:rsidRPr="009D34C5" w:rsidRDefault="00056ED1" w:rsidP="00056ED1">
      <w:pPr>
        <w:pStyle w:val="Zkladntext"/>
        <w:ind w:left="142" w:right="-39"/>
        <w:rPr>
          <w:sz w:val="22"/>
          <w:szCs w:val="22"/>
        </w:rPr>
      </w:pPr>
      <w:r w:rsidRPr="009D34C5">
        <w:rPr>
          <w:sz w:val="22"/>
          <w:szCs w:val="22"/>
        </w:rPr>
        <w:t xml:space="preserve">Hydroxid sodný </w:t>
      </w:r>
      <w:r w:rsidR="00584F60" w:rsidRPr="009D34C5">
        <w:rPr>
          <w:sz w:val="22"/>
          <w:szCs w:val="22"/>
        </w:rPr>
        <w:t>(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úpravu pH</w:t>
      </w:r>
      <w:r w:rsidR="00584F60" w:rsidRPr="009D34C5">
        <w:rPr>
          <w:sz w:val="22"/>
          <w:szCs w:val="22"/>
        </w:rPr>
        <w:t>)</w:t>
      </w:r>
    </w:p>
    <w:p w14:paraId="2E855026" w14:textId="18E32A95" w:rsidR="00056ED1" w:rsidRPr="009D34C5" w:rsidRDefault="00056ED1" w:rsidP="00056ED1">
      <w:pPr>
        <w:pStyle w:val="Zkladntext"/>
        <w:ind w:left="142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>Čistená voda</w:t>
      </w:r>
    </w:p>
    <w:p w14:paraId="0FA4175F" w14:textId="77777777" w:rsidR="00DF6A8B" w:rsidRPr="009D34C5" w:rsidRDefault="00DF6A8B" w:rsidP="00383D3A">
      <w:pPr>
        <w:pStyle w:val="Zkladntext"/>
        <w:ind w:left="142"/>
        <w:rPr>
          <w:sz w:val="22"/>
          <w:szCs w:val="22"/>
        </w:rPr>
      </w:pPr>
    </w:p>
    <w:p w14:paraId="252150D5" w14:textId="687F5536" w:rsidR="00227451" w:rsidRPr="009D34C5" w:rsidRDefault="00056ED1" w:rsidP="00056ED1">
      <w:pPr>
        <w:pStyle w:val="Nadpis1"/>
        <w:numPr>
          <w:ilvl w:val="1"/>
          <w:numId w:val="4"/>
        </w:numPr>
        <w:tabs>
          <w:tab w:val="left" w:pos="567"/>
        </w:tabs>
        <w:spacing w:before="98"/>
        <w:ind w:firstLine="5"/>
        <w:rPr>
          <w:b w:val="0"/>
          <w:bCs w:val="0"/>
          <w:sz w:val="22"/>
          <w:szCs w:val="22"/>
        </w:rPr>
      </w:pPr>
      <w:r w:rsidRPr="009D34C5">
        <w:rPr>
          <w:spacing w:val="-1"/>
          <w:sz w:val="22"/>
          <w:szCs w:val="22"/>
        </w:rPr>
        <w:t>Inkompatibility</w:t>
      </w:r>
    </w:p>
    <w:p w14:paraId="0E8C79FE" w14:textId="77777777" w:rsidR="00DF6A8B" w:rsidRPr="009D34C5" w:rsidRDefault="00DF6A8B" w:rsidP="00383D3A">
      <w:pPr>
        <w:pStyle w:val="Zkladntext"/>
        <w:spacing w:before="26"/>
        <w:ind w:left="142"/>
        <w:rPr>
          <w:sz w:val="22"/>
          <w:szCs w:val="22"/>
        </w:rPr>
      </w:pPr>
    </w:p>
    <w:p w14:paraId="560A8D27" w14:textId="45471FE0" w:rsidR="00056ED1" w:rsidRPr="009D34C5" w:rsidRDefault="00056ED1" w:rsidP="00383D3A">
      <w:pPr>
        <w:pStyle w:val="Zkladntext"/>
        <w:spacing w:before="26"/>
        <w:ind w:left="142"/>
        <w:rPr>
          <w:sz w:val="22"/>
          <w:szCs w:val="22"/>
        </w:rPr>
      </w:pPr>
      <w:r w:rsidRPr="009D34C5">
        <w:rPr>
          <w:sz w:val="22"/>
          <w:szCs w:val="22"/>
        </w:rPr>
        <w:t>Neaplikovateľné.</w:t>
      </w:r>
    </w:p>
    <w:p w14:paraId="549E9B42" w14:textId="77777777" w:rsidR="00056ED1" w:rsidRPr="009D34C5" w:rsidRDefault="00056ED1" w:rsidP="00383D3A">
      <w:pPr>
        <w:pStyle w:val="Zkladntext"/>
        <w:spacing w:before="26"/>
        <w:ind w:left="142"/>
        <w:rPr>
          <w:sz w:val="22"/>
          <w:szCs w:val="22"/>
        </w:rPr>
      </w:pPr>
    </w:p>
    <w:p w14:paraId="3E30CA5C" w14:textId="7F459EB3" w:rsidR="00227451" w:rsidRPr="009D34C5" w:rsidRDefault="00056ED1" w:rsidP="00056ED1">
      <w:pPr>
        <w:pStyle w:val="Nadpis1"/>
        <w:numPr>
          <w:ilvl w:val="1"/>
          <w:numId w:val="4"/>
        </w:numPr>
        <w:tabs>
          <w:tab w:val="left" w:pos="567"/>
        </w:tabs>
        <w:spacing w:before="99"/>
        <w:ind w:firstLine="5"/>
        <w:rPr>
          <w:b w:val="0"/>
          <w:bCs w:val="0"/>
          <w:sz w:val="22"/>
          <w:szCs w:val="22"/>
        </w:rPr>
      </w:pPr>
      <w:proofErr w:type="gramStart"/>
      <w:r w:rsidRPr="009D34C5">
        <w:rPr>
          <w:spacing w:val="-1"/>
          <w:sz w:val="22"/>
          <w:szCs w:val="22"/>
        </w:rPr>
        <w:t>Čas</w:t>
      </w:r>
      <w:proofErr w:type="gramEnd"/>
      <w:r w:rsidRPr="009D34C5">
        <w:rPr>
          <w:spacing w:val="-1"/>
          <w:sz w:val="22"/>
          <w:szCs w:val="22"/>
        </w:rPr>
        <w:t xml:space="preserve"> použiteľnosti</w:t>
      </w:r>
    </w:p>
    <w:p w14:paraId="707B926D" w14:textId="77777777" w:rsidR="00056ED1" w:rsidRPr="009D34C5" w:rsidRDefault="00056ED1" w:rsidP="00056ED1">
      <w:pPr>
        <w:pStyle w:val="Nadpis1"/>
        <w:tabs>
          <w:tab w:val="left" w:pos="567"/>
        </w:tabs>
        <w:spacing w:before="99"/>
        <w:ind w:left="142" w:firstLine="0"/>
        <w:rPr>
          <w:b w:val="0"/>
          <w:bCs w:val="0"/>
          <w:sz w:val="22"/>
          <w:szCs w:val="22"/>
        </w:rPr>
      </w:pPr>
    </w:p>
    <w:p w14:paraId="4FCEF688" w14:textId="77777777" w:rsidR="00056ED1" w:rsidRPr="009D34C5" w:rsidRDefault="00056ED1" w:rsidP="00383D3A">
      <w:pPr>
        <w:pStyle w:val="Zkladntext"/>
        <w:spacing w:before="26"/>
        <w:ind w:left="142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>Pred otvorením:</w:t>
      </w:r>
    </w:p>
    <w:p w14:paraId="020312DF" w14:textId="77777777" w:rsidR="00056ED1" w:rsidRPr="009D34C5" w:rsidRDefault="00056ED1" w:rsidP="00383D3A">
      <w:pPr>
        <w:pStyle w:val="Zkladntext"/>
        <w:spacing w:before="26"/>
        <w:ind w:left="142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>25 mikrogramov: 24 mesiacov neotvorené</w:t>
      </w:r>
    </w:p>
    <w:p w14:paraId="28450108" w14:textId="4617A05B" w:rsidR="00056ED1" w:rsidRPr="009D34C5" w:rsidRDefault="00056ED1" w:rsidP="00056ED1">
      <w:pPr>
        <w:pStyle w:val="Zkladntext"/>
        <w:spacing w:before="26"/>
        <w:ind w:left="142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>50 mikrogramov: 24 mesiacov neotvorené</w:t>
      </w:r>
    </w:p>
    <w:p w14:paraId="136F9508" w14:textId="2B4BACC2" w:rsidR="00056ED1" w:rsidRPr="009D34C5" w:rsidRDefault="00056ED1" w:rsidP="00056ED1">
      <w:pPr>
        <w:pStyle w:val="Zkladntext"/>
        <w:spacing w:before="26"/>
        <w:ind w:left="142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>100 mikrogramov: 21 mesiacov neotvorené</w:t>
      </w:r>
    </w:p>
    <w:p w14:paraId="1065EF52" w14:textId="77777777" w:rsidR="006E7C7E" w:rsidRPr="009D34C5" w:rsidRDefault="006E7C7E" w:rsidP="00383D3A">
      <w:pPr>
        <w:pStyle w:val="Zkladntext"/>
        <w:spacing w:before="91"/>
        <w:ind w:left="142"/>
        <w:rPr>
          <w:spacing w:val="-1"/>
          <w:sz w:val="22"/>
          <w:szCs w:val="22"/>
        </w:rPr>
      </w:pPr>
    </w:p>
    <w:p w14:paraId="008649B8" w14:textId="6661D7DD" w:rsidR="00227451" w:rsidRPr="009D34C5" w:rsidRDefault="00056ED1" w:rsidP="00383D3A">
      <w:pPr>
        <w:spacing w:before="8"/>
        <w:ind w:left="142"/>
        <w:rPr>
          <w:rFonts w:ascii="Times New Roman" w:eastAsia="Times New Roman" w:hAnsi="Times New Roman"/>
          <w:spacing w:val="-1"/>
        </w:rPr>
      </w:pPr>
      <w:r w:rsidRPr="009D34C5">
        <w:rPr>
          <w:rFonts w:ascii="Times New Roman" w:eastAsia="Times New Roman" w:hAnsi="Times New Roman"/>
          <w:spacing w:val="-1"/>
        </w:rPr>
        <w:t xml:space="preserve">Po otvorení: Uchovávajte pri teplote </w:t>
      </w:r>
      <w:r w:rsidR="00887E11" w:rsidRPr="009D34C5">
        <w:rPr>
          <w:rFonts w:ascii="Times New Roman" w:eastAsia="Times New Roman" w:hAnsi="Times New Roman"/>
          <w:spacing w:val="-1"/>
        </w:rPr>
        <w:t xml:space="preserve">do </w:t>
      </w:r>
      <w:r w:rsidRPr="009D34C5">
        <w:rPr>
          <w:rFonts w:ascii="Times New Roman" w:eastAsia="Times New Roman" w:hAnsi="Times New Roman"/>
          <w:spacing w:val="-1"/>
        </w:rPr>
        <w:t>25° C a spotrebujte do 8 týždňov</w:t>
      </w:r>
      <w:r w:rsidR="00887E11" w:rsidRPr="009D34C5">
        <w:rPr>
          <w:rFonts w:ascii="Times New Roman" w:eastAsia="Times New Roman" w:hAnsi="Times New Roman"/>
          <w:spacing w:val="-1"/>
        </w:rPr>
        <w:t>.</w:t>
      </w:r>
    </w:p>
    <w:p w14:paraId="5C01A310" w14:textId="77777777" w:rsidR="00056ED1" w:rsidRPr="009D34C5" w:rsidRDefault="00056ED1" w:rsidP="00383D3A">
      <w:pPr>
        <w:spacing w:before="8"/>
        <w:ind w:left="142"/>
        <w:rPr>
          <w:rFonts w:ascii="Times New Roman" w:eastAsia="Times New Roman" w:hAnsi="Times New Roman" w:cs="Times New Roman"/>
        </w:rPr>
      </w:pPr>
    </w:p>
    <w:p w14:paraId="3AC6C10E" w14:textId="685090A6" w:rsidR="00227451" w:rsidRPr="009D34C5" w:rsidRDefault="00056ED1" w:rsidP="00056ED1">
      <w:pPr>
        <w:pStyle w:val="Nadpis1"/>
        <w:numPr>
          <w:ilvl w:val="1"/>
          <w:numId w:val="4"/>
        </w:numPr>
        <w:tabs>
          <w:tab w:val="left" w:pos="567"/>
        </w:tabs>
        <w:ind w:left="142" w:firstLine="0"/>
        <w:rPr>
          <w:b w:val="0"/>
          <w:bCs w:val="0"/>
          <w:sz w:val="22"/>
          <w:szCs w:val="22"/>
        </w:rPr>
      </w:pPr>
      <w:r w:rsidRPr="009D34C5">
        <w:rPr>
          <w:sz w:val="22"/>
          <w:szCs w:val="22"/>
        </w:rPr>
        <w:t xml:space="preserve">Špeciálne upozornenia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uchovávanie</w:t>
      </w:r>
    </w:p>
    <w:p w14:paraId="48E8B155" w14:textId="77777777" w:rsidR="00056ED1" w:rsidRPr="009D34C5" w:rsidRDefault="00056ED1" w:rsidP="00056ED1">
      <w:pPr>
        <w:pStyle w:val="Nadpis1"/>
        <w:tabs>
          <w:tab w:val="left" w:pos="567"/>
        </w:tabs>
        <w:ind w:left="142" w:firstLine="0"/>
        <w:rPr>
          <w:b w:val="0"/>
          <w:bCs w:val="0"/>
          <w:sz w:val="22"/>
          <w:szCs w:val="22"/>
        </w:rPr>
      </w:pPr>
    </w:p>
    <w:p w14:paraId="43D4128B" w14:textId="77777777" w:rsidR="00056ED1" w:rsidRPr="009D34C5" w:rsidRDefault="00056ED1" w:rsidP="00383D3A">
      <w:pPr>
        <w:pStyle w:val="Zkladntext"/>
        <w:ind w:left="142"/>
        <w:rPr>
          <w:sz w:val="22"/>
          <w:szCs w:val="22"/>
        </w:rPr>
      </w:pPr>
      <w:r w:rsidRPr="009D34C5">
        <w:rPr>
          <w:sz w:val="22"/>
          <w:szCs w:val="22"/>
        </w:rPr>
        <w:t xml:space="preserve">Uchovávajte pri teplote do 25˚C. </w:t>
      </w:r>
    </w:p>
    <w:p w14:paraId="755E24B5" w14:textId="1C25CD28" w:rsidR="00DF6A8B" w:rsidRPr="009D34C5" w:rsidRDefault="00330D12" w:rsidP="00383D3A">
      <w:pPr>
        <w:pStyle w:val="Zkladntext"/>
        <w:ind w:left="142"/>
        <w:rPr>
          <w:sz w:val="22"/>
          <w:szCs w:val="22"/>
        </w:rPr>
      </w:pPr>
      <w:r w:rsidRPr="009D34C5">
        <w:rPr>
          <w:sz w:val="22"/>
          <w:szCs w:val="22"/>
        </w:rPr>
        <w:t xml:space="preserve">Uchovávajte v pôvodnom obale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ochranu pred svetlom.</w:t>
      </w:r>
    </w:p>
    <w:p w14:paraId="713C4705" w14:textId="77777777" w:rsidR="00330D12" w:rsidRPr="009D34C5" w:rsidRDefault="00330D12" w:rsidP="00383D3A">
      <w:pPr>
        <w:pStyle w:val="Zkladntext"/>
        <w:ind w:left="142"/>
        <w:rPr>
          <w:sz w:val="22"/>
          <w:szCs w:val="22"/>
        </w:rPr>
      </w:pPr>
    </w:p>
    <w:p w14:paraId="37B3323C" w14:textId="27BCEE58" w:rsidR="00227451" w:rsidRPr="009D34C5" w:rsidRDefault="00330D12" w:rsidP="00330D12">
      <w:pPr>
        <w:pStyle w:val="Nadpis1"/>
        <w:numPr>
          <w:ilvl w:val="1"/>
          <w:numId w:val="4"/>
        </w:numPr>
        <w:tabs>
          <w:tab w:val="left" w:pos="567"/>
        </w:tabs>
        <w:spacing w:before="98"/>
        <w:ind w:left="142" w:firstLine="0"/>
        <w:rPr>
          <w:b w:val="0"/>
          <w:bCs w:val="0"/>
          <w:sz w:val="22"/>
          <w:szCs w:val="22"/>
        </w:rPr>
      </w:pPr>
      <w:r w:rsidRPr="009D34C5">
        <w:rPr>
          <w:sz w:val="22"/>
          <w:szCs w:val="22"/>
        </w:rPr>
        <w:t>Druh obalu a obsah balenia</w:t>
      </w:r>
    </w:p>
    <w:p w14:paraId="1C62FDCA" w14:textId="77777777" w:rsidR="00330D12" w:rsidRPr="009D34C5" w:rsidRDefault="00330D12" w:rsidP="00330D12">
      <w:pPr>
        <w:pStyle w:val="Nadpis1"/>
        <w:tabs>
          <w:tab w:val="left" w:pos="567"/>
        </w:tabs>
        <w:spacing w:before="98"/>
        <w:ind w:left="142" w:firstLine="0"/>
        <w:rPr>
          <w:b w:val="0"/>
          <w:bCs w:val="0"/>
          <w:sz w:val="22"/>
          <w:szCs w:val="22"/>
        </w:rPr>
      </w:pPr>
    </w:p>
    <w:p w14:paraId="4402062F" w14:textId="52A32794" w:rsidR="00330D12" w:rsidRPr="009D34C5" w:rsidRDefault="00330D12" w:rsidP="00330D12">
      <w:pPr>
        <w:pStyle w:val="Zkladntext"/>
        <w:tabs>
          <w:tab w:val="left" w:pos="1270"/>
        </w:tabs>
        <w:spacing w:before="26"/>
        <w:ind w:left="142" w:right="-39"/>
        <w:rPr>
          <w:spacing w:val="35"/>
          <w:w w:val="99"/>
          <w:sz w:val="22"/>
          <w:szCs w:val="22"/>
        </w:rPr>
      </w:pPr>
      <w:r w:rsidRPr="009D34C5">
        <w:rPr>
          <w:spacing w:val="1"/>
          <w:sz w:val="22"/>
          <w:szCs w:val="22"/>
        </w:rPr>
        <w:t xml:space="preserve">Fľaše: </w:t>
      </w:r>
      <w:r w:rsidR="00EA703D" w:rsidRPr="009D34C5">
        <w:rPr>
          <w:spacing w:val="1"/>
          <w:sz w:val="22"/>
          <w:szCs w:val="22"/>
        </w:rPr>
        <w:t>j</w:t>
      </w:r>
      <w:r w:rsidRPr="009D34C5">
        <w:rPr>
          <w:spacing w:val="1"/>
          <w:sz w:val="22"/>
          <w:szCs w:val="22"/>
        </w:rPr>
        <w:t>antárové (typ III) sklenené fľaše</w:t>
      </w:r>
    </w:p>
    <w:p w14:paraId="6D413D8A" w14:textId="583240FD" w:rsidR="00330D12" w:rsidRPr="009D34C5" w:rsidRDefault="00330D12" w:rsidP="00330D12">
      <w:pPr>
        <w:pStyle w:val="Zkladntext"/>
        <w:tabs>
          <w:tab w:val="left" w:pos="1270"/>
        </w:tabs>
        <w:spacing w:before="26"/>
        <w:ind w:left="142" w:right="-39"/>
        <w:rPr>
          <w:spacing w:val="-1"/>
          <w:w w:val="95"/>
          <w:sz w:val="22"/>
          <w:szCs w:val="22"/>
        </w:rPr>
      </w:pPr>
      <w:r w:rsidRPr="009D34C5">
        <w:rPr>
          <w:spacing w:val="1"/>
          <w:sz w:val="22"/>
          <w:szCs w:val="22"/>
        </w:rPr>
        <w:t xml:space="preserve">Uzávery: </w:t>
      </w:r>
      <w:r w:rsidR="00EA703D" w:rsidRPr="009D34C5">
        <w:rPr>
          <w:spacing w:val="1"/>
          <w:sz w:val="22"/>
          <w:szCs w:val="22"/>
        </w:rPr>
        <w:t>b</w:t>
      </w:r>
      <w:r w:rsidRPr="009D34C5">
        <w:rPr>
          <w:spacing w:val="1"/>
          <w:sz w:val="22"/>
          <w:szCs w:val="22"/>
        </w:rPr>
        <w:t>ezpečnostný prvok, detský bezpečnostný uzáver (</w:t>
      </w:r>
      <w:r w:rsidR="00EA703D" w:rsidRPr="009D34C5">
        <w:rPr>
          <w:spacing w:val="1"/>
          <w:sz w:val="22"/>
          <w:szCs w:val="22"/>
        </w:rPr>
        <w:t>detské bezpečnostné uzáver</w:t>
      </w:r>
      <w:r w:rsidRPr="009D34C5">
        <w:rPr>
          <w:spacing w:val="1"/>
          <w:sz w:val="22"/>
          <w:szCs w:val="22"/>
        </w:rPr>
        <w:t>y)</w:t>
      </w:r>
      <w:r w:rsidRPr="009D34C5">
        <w:rPr>
          <w:spacing w:val="-1"/>
          <w:w w:val="95"/>
          <w:sz w:val="22"/>
          <w:szCs w:val="22"/>
        </w:rPr>
        <w:t xml:space="preserve"> </w:t>
      </w:r>
    </w:p>
    <w:p w14:paraId="33B5C357" w14:textId="67F677D2" w:rsidR="00330D12" w:rsidRPr="009D34C5" w:rsidRDefault="00330D12" w:rsidP="00330D12">
      <w:pPr>
        <w:pStyle w:val="Zkladntext"/>
        <w:tabs>
          <w:tab w:val="left" w:pos="1270"/>
        </w:tabs>
        <w:spacing w:before="26"/>
        <w:ind w:left="142" w:right="-39"/>
        <w:rPr>
          <w:sz w:val="22"/>
          <w:szCs w:val="22"/>
        </w:rPr>
      </w:pPr>
      <w:r w:rsidRPr="009D34C5">
        <w:rPr>
          <w:sz w:val="22"/>
          <w:szCs w:val="22"/>
        </w:rPr>
        <w:t>Veľkosť (veľkosti) balenia: 75 ml, 100 ml a 2 x 75 ml</w:t>
      </w:r>
    </w:p>
    <w:p w14:paraId="55F95280" w14:textId="220F2295" w:rsidR="00330D12" w:rsidRPr="009D34C5" w:rsidRDefault="00330D12" w:rsidP="00330D12">
      <w:pPr>
        <w:pStyle w:val="Zkladntext"/>
        <w:tabs>
          <w:tab w:val="left" w:pos="1270"/>
        </w:tabs>
        <w:spacing w:before="26"/>
        <w:ind w:left="142" w:right="-39"/>
        <w:rPr>
          <w:spacing w:val="-1"/>
          <w:sz w:val="22"/>
          <w:szCs w:val="22"/>
        </w:rPr>
      </w:pPr>
      <w:r w:rsidRPr="009D34C5">
        <w:rPr>
          <w:spacing w:val="-1"/>
          <w:sz w:val="22"/>
          <w:szCs w:val="22"/>
        </w:rPr>
        <w:t>Jedna 5 ml perorálna striekačka s kalibrovaním 0</w:t>
      </w:r>
      <w:proofErr w:type="gramStart"/>
      <w:r w:rsidRPr="009D34C5">
        <w:rPr>
          <w:spacing w:val="-1"/>
          <w:sz w:val="22"/>
          <w:szCs w:val="22"/>
        </w:rPr>
        <w:t>,1</w:t>
      </w:r>
      <w:proofErr w:type="gramEnd"/>
      <w:r w:rsidRPr="009D34C5">
        <w:rPr>
          <w:spacing w:val="-1"/>
          <w:sz w:val="22"/>
          <w:szCs w:val="22"/>
        </w:rPr>
        <w:t xml:space="preserve"> ml a zodpovedajúci adaptér striekačky na hrdlo fľaše.</w:t>
      </w:r>
    </w:p>
    <w:p w14:paraId="705872DE" w14:textId="77777777" w:rsidR="009D51AD" w:rsidRPr="009D34C5" w:rsidRDefault="009D51AD" w:rsidP="00383D3A">
      <w:pPr>
        <w:pStyle w:val="Zkladntext"/>
        <w:ind w:left="142" w:right="55"/>
        <w:rPr>
          <w:spacing w:val="-1"/>
          <w:sz w:val="22"/>
          <w:szCs w:val="22"/>
        </w:rPr>
      </w:pPr>
    </w:p>
    <w:p w14:paraId="694DCBE7" w14:textId="40EE60F3" w:rsidR="009D51AD" w:rsidRPr="009D34C5" w:rsidRDefault="00330D12" w:rsidP="00383D3A">
      <w:pPr>
        <w:pStyle w:val="Zkladntext"/>
        <w:ind w:left="142" w:right="55"/>
        <w:rPr>
          <w:sz w:val="22"/>
          <w:szCs w:val="22"/>
        </w:rPr>
      </w:pPr>
      <w:r w:rsidRPr="009D34C5">
        <w:rPr>
          <w:sz w:val="22"/>
          <w:szCs w:val="22"/>
        </w:rPr>
        <w:t>Na trh nemusia byť uvedené všetky veľkosti balenia.</w:t>
      </w:r>
    </w:p>
    <w:p w14:paraId="140A216C" w14:textId="77777777" w:rsidR="00330D12" w:rsidRPr="009D34C5" w:rsidRDefault="00330D12" w:rsidP="00383D3A">
      <w:pPr>
        <w:pStyle w:val="Zkladntext"/>
        <w:ind w:left="142" w:right="55"/>
        <w:rPr>
          <w:sz w:val="22"/>
          <w:szCs w:val="22"/>
        </w:rPr>
      </w:pPr>
    </w:p>
    <w:p w14:paraId="19E832CA" w14:textId="6D632FFD" w:rsidR="00330D12" w:rsidRPr="009D34C5" w:rsidRDefault="00330D12" w:rsidP="00330D12">
      <w:pPr>
        <w:pStyle w:val="Odsekzoznamu"/>
        <w:numPr>
          <w:ilvl w:val="1"/>
          <w:numId w:val="4"/>
        </w:numPr>
        <w:tabs>
          <w:tab w:val="left" w:pos="567"/>
        </w:tabs>
        <w:ind w:firstLine="5"/>
        <w:rPr>
          <w:rFonts w:ascii="Times New Roman" w:eastAsia="Times New Roman" w:hAnsi="Times New Roman"/>
          <w:b/>
          <w:bCs/>
          <w:spacing w:val="-1"/>
        </w:rPr>
      </w:pPr>
      <w:r w:rsidRPr="009D34C5">
        <w:rPr>
          <w:rFonts w:ascii="Times New Roman" w:eastAsia="Times New Roman" w:hAnsi="Times New Roman"/>
          <w:b/>
          <w:bCs/>
          <w:spacing w:val="-1"/>
        </w:rPr>
        <w:t>Špeciálne opatrenia na likvidáciu</w:t>
      </w:r>
    </w:p>
    <w:p w14:paraId="0C8F9D67" w14:textId="77777777" w:rsidR="00330D12" w:rsidRPr="009D34C5" w:rsidRDefault="00330D12" w:rsidP="00383D3A">
      <w:pPr>
        <w:pStyle w:val="Zkladntext"/>
        <w:spacing w:before="91"/>
        <w:ind w:left="142" w:right="55"/>
        <w:rPr>
          <w:sz w:val="22"/>
          <w:szCs w:val="22"/>
        </w:rPr>
      </w:pPr>
    </w:p>
    <w:p w14:paraId="0AC3C5D0" w14:textId="77777777" w:rsidR="00330D12" w:rsidRPr="009D34C5" w:rsidRDefault="00330D12" w:rsidP="00383D3A">
      <w:pPr>
        <w:pStyle w:val="Zkladntext"/>
        <w:spacing w:before="91"/>
        <w:ind w:left="142" w:right="55"/>
        <w:rPr>
          <w:sz w:val="22"/>
          <w:szCs w:val="22"/>
        </w:rPr>
      </w:pPr>
      <w:r w:rsidRPr="009D34C5">
        <w:rPr>
          <w:sz w:val="22"/>
          <w:szCs w:val="22"/>
        </w:rPr>
        <w:t xml:space="preserve">Žiadne zvláštne požiadavky </w:t>
      </w:r>
      <w:proofErr w:type="gramStart"/>
      <w:r w:rsidRPr="009D34C5">
        <w:rPr>
          <w:sz w:val="22"/>
          <w:szCs w:val="22"/>
        </w:rPr>
        <w:t>na</w:t>
      </w:r>
      <w:proofErr w:type="gramEnd"/>
      <w:r w:rsidRPr="009D34C5">
        <w:rPr>
          <w:sz w:val="22"/>
          <w:szCs w:val="22"/>
        </w:rPr>
        <w:t xml:space="preserve"> likvidáciu.</w:t>
      </w:r>
    </w:p>
    <w:p w14:paraId="6FBECC0B" w14:textId="77777777" w:rsidR="00330D12" w:rsidRPr="009D34C5" w:rsidRDefault="00330D12" w:rsidP="00383D3A">
      <w:pPr>
        <w:pStyle w:val="Zkladntext"/>
        <w:spacing w:before="91"/>
        <w:ind w:left="142" w:right="55"/>
        <w:rPr>
          <w:sz w:val="22"/>
          <w:szCs w:val="22"/>
        </w:rPr>
      </w:pPr>
    </w:p>
    <w:p w14:paraId="526AFB6B" w14:textId="4F97059A" w:rsidR="00227451" w:rsidRPr="009D34C5" w:rsidRDefault="00330D12" w:rsidP="00383D3A">
      <w:pPr>
        <w:spacing w:before="6"/>
        <w:ind w:left="142"/>
        <w:rPr>
          <w:rFonts w:ascii="Times New Roman" w:eastAsia="Times New Roman" w:hAnsi="Times New Roman"/>
        </w:rPr>
      </w:pPr>
      <w:r w:rsidRPr="009D34C5">
        <w:rPr>
          <w:rFonts w:ascii="Times New Roman" w:eastAsia="Times New Roman" w:hAnsi="Times New Roman"/>
        </w:rPr>
        <w:t xml:space="preserve">Všetok nepoužitý liek alebo odpad vzniknutý z lieku </w:t>
      </w:r>
      <w:proofErr w:type="gramStart"/>
      <w:r w:rsidRPr="009D34C5">
        <w:rPr>
          <w:rFonts w:ascii="Times New Roman" w:eastAsia="Times New Roman" w:hAnsi="Times New Roman"/>
        </w:rPr>
        <w:t>sa</w:t>
      </w:r>
      <w:proofErr w:type="gramEnd"/>
      <w:r w:rsidRPr="009D34C5">
        <w:rPr>
          <w:rFonts w:ascii="Times New Roman" w:eastAsia="Times New Roman" w:hAnsi="Times New Roman"/>
        </w:rPr>
        <w:t xml:space="preserve"> má zlikvidovať v súlade s národnými požiadavkami.</w:t>
      </w:r>
    </w:p>
    <w:p w14:paraId="05A6BFCE" w14:textId="77777777" w:rsidR="00330D12" w:rsidRDefault="00330D12" w:rsidP="00383D3A">
      <w:pPr>
        <w:spacing w:before="6"/>
        <w:ind w:left="142"/>
        <w:rPr>
          <w:rFonts w:ascii="Times New Roman" w:eastAsia="Times New Roman" w:hAnsi="Times New Roman" w:cs="Times New Roman"/>
        </w:rPr>
      </w:pPr>
    </w:p>
    <w:p w14:paraId="4538AC97" w14:textId="77777777" w:rsidR="00F373A5" w:rsidRPr="009D34C5" w:rsidRDefault="00F373A5" w:rsidP="00383D3A">
      <w:pPr>
        <w:spacing w:before="6"/>
        <w:ind w:left="142"/>
        <w:rPr>
          <w:rFonts w:ascii="Times New Roman" w:eastAsia="Times New Roman" w:hAnsi="Times New Roman" w:cs="Times New Roman"/>
        </w:rPr>
      </w:pPr>
    </w:p>
    <w:p w14:paraId="100D2654" w14:textId="752DAF9A" w:rsidR="00293AC2" w:rsidRPr="009D34C5" w:rsidRDefault="00293AC2" w:rsidP="00293AC2">
      <w:pPr>
        <w:pStyle w:val="Odsekzoznamu"/>
        <w:numPr>
          <w:ilvl w:val="0"/>
          <w:numId w:val="4"/>
        </w:numPr>
        <w:ind w:left="567" w:hanging="425"/>
        <w:rPr>
          <w:rFonts w:ascii="Times New Roman" w:eastAsia="Times New Roman" w:hAnsi="Times New Roman"/>
          <w:b/>
          <w:bCs/>
        </w:rPr>
      </w:pPr>
      <w:r w:rsidRPr="009D34C5">
        <w:rPr>
          <w:rFonts w:ascii="Times New Roman" w:eastAsia="Times New Roman" w:hAnsi="Times New Roman"/>
          <w:b/>
          <w:bCs/>
        </w:rPr>
        <w:t>DRŽITEĽ ROZHODNUTIA O REGISTRÁCII</w:t>
      </w:r>
    </w:p>
    <w:p w14:paraId="6D3C09D7" w14:textId="77339931" w:rsidR="00227451" w:rsidRPr="009D34C5" w:rsidRDefault="00227451" w:rsidP="00293AC2">
      <w:pPr>
        <w:pStyle w:val="Nadpis1"/>
        <w:tabs>
          <w:tab w:val="left" w:pos="421"/>
        </w:tabs>
        <w:ind w:left="142" w:firstLine="0"/>
        <w:rPr>
          <w:b w:val="0"/>
          <w:bCs w:val="0"/>
          <w:sz w:val="22"/>
          <w:szCs w:val="22"/>
        </w:rPr>
      </w:pPr>
    </w:p>
    <w:p w14:paraId="230CA8CD" w14:textId="77777777" w:rsidR="00293AC2" w:rsidRPr="009D34C5" w:rsidRDefault="00293AC2" w:rsidP="00293AC2">
      <w:pPr>
        <w:spacing w:before="8"/>
        <w:ind w:left="142"/>
        <w:rPr>
          <w:rFonts w:ascii="Times New Roman" w:eastAsia="Times New Roman" w:hAnsi="Times New Roman"/>
        </w:rPr>
      </w:pPr>
      <w:r w:rsidRPr="009D34C5">
        <w:rPr>
          <w:rFonts w:ascii="Times New Roman" w:eastAsia="Times New Roman" w:hAnsi="Times New Roman"/>
        </w:rPr>
        <w:t>Zentiva, k.s.</w:t>
      </w:r>
    </w:p>
    <w:p w14:paraId="37B4913F" w14:textId="77777777" w:rsidR="00293AC2" w:rsidRPr="009D34C5" w:rsidRDefault="00293AC2" w:rsidP="00293AC2">
      <w:pPr>
        <w:spacing w:before="8"/>
        <w:ind w:left="142"/>
        <w:rPr>
          <w:rFonts w:ascii="Times New Roman" w:eastAsia="Times New Roman" w:hAnsi="Times New Roman"/>
        </w:rPr>
      </w:pPr>
      <w:r w:rsidRPr="009D34C5">
        <w:rPr>
          <w:rFonts w:ascii="Times New Roman" w:eastAsia="Times New Roman" w:hAnsi="Times New Roman"/>
        </w:rPr>
        <w:t>U kabelovny 130</w:t>
      </w:r>
    </w:p>
    <w:p w14:paraId="2534F062" w14:textId="77777777" w:rsidR="00293AC2" w:rsidRPr="009D34C5" w:rsidRDefault="00293AC2" w:rsidP="00293AC2">
      <w:pPr>
        <w:spacing w:before="8"/>
        <w:ind w:left="142"/>
        <w:rPr>
          <w:rFonts w:ascii="Times New Roman" w:eastAsia="Times New Roman" w:hAnsi="Times New Roman"/>
        </w:rPr>
      </w:pPr>
      <w:r w:rsidRPr="009D34C5">
        <w:rPr>
          <w:rFonts w:ascii="Times New Roman" w:eastAsia="Times New Roman" w:hAnsi="Times New Roman"/>
        </w:rPr>
        <w:t>102 37 Praha 10 – Dolní Měcholupy</w:t>
      </w:r>
    </w:p>
    <w:p w14:paraId="6BC0AA2B" w14:textId="7AF6B8EA" w:rsidR="00227451" w:rsidRPr="009D34C5" w:rsidRDefault="00293AC2" w:rsidP="00293AC2">
      <w:pPr>
        <w:spacing w:before="8"/>
        <w:ind w:left="142"/>
        <w:rPr>
          <w:rFonts w:ascii="Times New Roman" w:eastAsia="Times New Roman" w:hAnsi="Times New Roman"/>
        </w:rPr>
      </w:pPr>
      <w:r w:rsidRPr="009D34C5">
        <w:rPr>
          <w:rFonts w:ascii="Times New Roman" w:eastAsia="Times New Roman" w:hAnsi="Times New Roman"/>
        </w:rPr>
        <w:t>Česká republika</w:t>
      </w:r>
    </w:p>
    <w:p w14:paraId="6620D6A0" w14:textId="77777777" w:rsidR="00293AC2" w:rsidRDefault="00293AC2" w:rsidP="00293AC2">
      <w:pPr>
        <w:spacing w:before="8"/>
        <w:ind w:left="142"/>
        <w:rPr>
          <w:rFonts w:ascii="Times New Roman" w:eastAsia="Times New Roman" w:hAnsi="Times New Roman" w:cs="Times New Roman"/>
        </w:rPr>
      </w:pPr>
    </w:p>
    <w:p w14:paraId="6BFC32E0" w14:textId="77777777" w:rsidR="00F373A5" w:rsidRPr="009D34C5" w:rsidRDefault="00F373A5" w:rsidP="00293AC2">
      <w:pPr>
        <w:spacing w:before="8"/>
        <w:ind w:left="142"/>
        <w:rPr>
          <w:rFonts w:ascii="Times New Roman" w:eastAsia="Times New Roman" w:hAnsi="Times New Roman" w:cs="Times New Roman"/>
        </w:rPr>
      </w:pPr>
    </w:p>
    <w:p w14:paraId="594D2151" w14:textId="46D5859D" w:rsidR="00227451" w:rsidRPr="009D34C5" w:rsidRDefault="00293AC2" w:rsidP="00293AC2">
      <w:pPr>
        <w:pStyle w:val="Nadpis1"/>
        <w:numPr>
          <w:ilvl w:val="0"/>
          <w:numId w:val="4"/>
        </w:numPr>
        <w:tabs>
          <w:tab w:val="left" w:pos="567"/>
        </w:tabs>
        <w:ind w:left="142" w:firstLine="0"/>
        <w:rPr>
          <w:b w:val="0"/>
          <w:bCs w:val="0"/>
          <w:sz w:val="22"/>
          <w:szCs w:val="22"/>
        </w:rPr>
      </w:pPr>
      <w:r w:rsidRPr="009D34C5">
        <w:rPr>
          <w:sz w:val="22"/>
          <w:szCs w:val="22"/>
        </w:rPr>
        <w:t>REGISTRAČNÉ ČÍSLO (ČÍSLA)</w:t>
      </w:r>
    </w:p>
    <w:p w14:paraId="5631D98C" w14:textId="77777777" w:rsidR="00227451" w:rsidRDefault="00227451" w:rsidP="00383D3A">
      <w:pPr>
        <w:spacing w:before="6"/>
        <w:ind w:left="142"/>
        <w:rPr>
          <w:rFonts w:ascii="Times New Roman" w:eastAsia="Times New Roman" w:hAnsi="Times New Roman" w:cs="Times New Roman"/>
        </w:rPr>
      </w:pPr>
    </w:p>
    <w:p w14:paraId="28D30CD7" w14:textId="61694E0A" w:rsidR="00655160" w:rsidRPr="009D34C5" w:rsidRDefault="00655160" w:rsidP="00655160">
      <w:pPr>
        <w:widowControl/>
        <w:tabs>
          <w:tab w:val="left" w:pos="3686"/>
        </w:tabs>
        <w:autoSpaceDE w:val="0"/>
        <w:autoSpaceDN w:val="0"/>
        <w:adjustRightInd w:val="0"/>
        <w:ind w:firstLine="14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9D34C5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Alverox 25 </w:t>
      </w:r>
      <w:r>
        <w:rPr>
          <w:rFonts w:ascii="Times New Roman" w:eastAsia="Times New Roman" w:hAnsi="Times New Roman"/>
        </w:rPr>
        <w:t>mikrogramov</w:t>
      </w:r>
      <w:r w:rsidRPr="009D34C5" w:rsidDel="00FD4859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9D34C5">
        <w:rPr>
          <w:rFonts w:ascii="Times New Roman" w:eastAsia="Times New Roman" w:hAnsi="Times New Roman" w:cs="Times New Roman"/>
          <w:color w:val="000000"/>
          <w:lang w:val="sk-SK" w:eastAsia="en-GB"/>
        </w:rPr>
        <w:t>/5 ml perorálny roztok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: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ab/>
        <w:t>56/0248/20-S</w:t>
      </w:r>
    </w:p>
    <w:p w14:paraId="43A064F4" w14:textId="5FDA2CBC" w:rsidR="00655160" w:rsidRPr="009D34C5" w:rsidRDefault="00655160" w:rsidP="00655160">
      <w:pPr>
        <w:widowControl/>
        <w:autoSpaceDE w:val="0"/>
        <w:autoSpaceDN w:val="0"/>
        <w:adjustRightInd w:val="0"/>
        <w:ind w:firstLine="14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9D34C5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Alverox 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50 </w:t>
      </w:r>
      <w:r>
        <w:rPr>
          <w:rFonts w:ascii="Times New Roman" w:eastAsia="Times New Roman" w:hAnsi="Times New Roman"/>
        </w:rPr>
        <w:t>mikrogramov</w:t>
      </w:r>
      <w:r w:rsidRPr="009D34C5" w:rsidDel="00FD4859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9D34C5">
        <w:rPr>
          <w:rFonts w:ascii="Times New Roman" w:eastAsia="Times New Roman" w:hAnsi="Times New Roman" w:cs="Times New Roman"/>
          <w:color w:val="000000"/>
          <w:lang w:val="sk-SK" w:eastAsia="en-GB"/>
        </w:rPr>
        <w:t>/5 ml perorálny roztok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: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ab/>
        <w:t>56/0249/20-S</w:t>
      </w:r>
    </w:p>
    <w:p w14:paraId="7B4DBE1A" w14:textId="2F73B379" w:rsidR="00655160" w:rsidRPr="009D34C5" w:rsidRDefault="00655160" w:rsidP="00655160">
      <w:pPr>
        <w:widowControl/>
        <w:autoSpaceDE w:val="0"/>
        <w:autoSpaceDN w:val="0"/>
        <w:adjustRightInd w:val="0"/>
        <w:ind w:firstLine="142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9D34C5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Alverox 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100</w:t>
      </w:r>
      <w:r w:rsidRPr="009D34C5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>
        <w:rPr>
          <w:rFonts w:ascii="Times New Roman" w:eastAsia="Times New Roman" w:hAnsi="Times New Roman"/>
        </w:rPr>
        <w:t>mikrogramov</w:t>
      </w:r>
      <w:r w:rsidRPr="009D34C5" w:rsidDel="00FD4859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</w:t>
      </w:r>
      <w:r w:rsidRPr="009D34C5">
        <w:rPr>
          <w:rFonts w:ascii="Times New Roman" w:eastAsia="Times New Roman" w:hAnsi="Times New Roman" w:cs="Times New Roman"/>
          <w:color w:val="000000"/>
          <w:lang w:val="sk-SK" w:eastAsia="en-GB"/>
        </w:rPr>
        <w:t>/5 ml perorálny roztok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>:</w:t>
      </w:r>
      <w:r>
        <w:rPr>
          <w:rFonts w:ascii="Times New Roman" w:eastAsia="Times New Roman" w:hAnsi="Times New Roman" w:cs="Times New Roman"/>
          <w:color w:val="000000"/>
          <w:lang w:val="sk-SK" w:eastAsia="en-GB"/>
        </w:rPr>
        <w:tab/>
        <w:t>56/0250/20-S</w:t>
      </w:r>
    </w:p>
    <w:p w14:paraId="2F0EB156" w14:textId="77777777" w:rsidR="00655160" w:rsidRPr="00F373A5" w:rsidRDefault="00655160" w:rsidP="00383D3A">
      <w:pPr>
        <w:spacing w:before="6"/>
        <w:ind w:left="142"/>
        <w:rPr>
          <w:rFonts w:ascii="Times New Roman" w:eastAsia="Times New Roman" w:hAnsi="Times New Roman" w:cs="Times New Roman"/>
          <w:lang w:val="sk-SK"/>
        </w:rPr>
      </w:pPr>
    </w:p>
    <w:p w14:paraId="77DF2B31" w14:textId="77777777" w:rsidR="00293AC2" w:rsidRPr="00F373A5" w:rsidRDefault="00293AC2" w:rsidP="00383D3A">
      <w:pPr>
        <w:spacing w:before="6"/>
        <w:ind w:left="142"/>
        <w:rPr>
          <w:rFonts w:ascii="Times New Roman" w:eastAsia="Times New Roman" w:hAnsi="Times New Roman" w:cs="Times New Roman"/>
          <w:lang w:val="sk-SK"/>
        </w:rPr>
      </w:pPr>
    </w:p>
    <w:p w14:paraId="5173B4C9" w14:textId="40C469A5" w:rsidR="00227451" w:rsidRPr="009D34C5" w:rsidRDefault="00293AC2" w:rsidP="00293AC2">
      <w:pPr>
        <w:pStyle w:val="Nadpis1"/>
        <w:numPr>
          <w:ilvl w:val="0"/>
          <w:numId w:val="4"/>
        </w:numPr>
        <w:tabs>
          <w:tab w:val="left" w:pos="421"/>
        </w:tabs>
        <w:ind w:hanging="142"/>
        <w:rPr>
          <w:b w:val="0"/>
          <w:bCs w:val="0"/>
          <w:sz w:val="22"/>
          <w:szCs w:val="22"/>
        </w:rPr>
      </w:pPr>
      <w:r w:rsidRPr="009D34C5">
        <w:rPr>
          <w:sz w:val="22"/>
          <w:szCs w:val="22"/>
        </w:rPr>
        <w:t>DÁTUM PRVEJ REGISTRÁCIE/PREDĹŽENIA REGISTRÁCIE</w:t>
      </w:r>
    </w:p>
    <w:p w14:paraId="4A15BBB4" w14:textId="77777777" w:rsidR="00293AC2" w:rsidRPr="009D34C5" w:rsidRDefault="00293AC2" w:rsidP="00293AC2">
      <w:pPr>
        <w:pStyle w:val="Nadpis1"/>
        <w:tabs>
          <w:tab w:val="left" w:pos="421"/>
        </w:tabs>
        <w:ind w:left="284" w:firstLine="0"/>
        <w:rPr>
          <w:b w:val="0"/>
          <w:bCs w:val="0"/>
          <w:sz w:val="22"/>
          <w:szCs w:val="22"/>
        </w:rPr>
      </w:pPr>
    </w:p>
    <w:p w14:paraId="5EEB768F" w14:textId="39AE778F" w:rsidR="00227451" w:rsidRPr="009D34C5" w:rsidRDefault="00293AC2" w:rsidP="00383D3A">
      <w:pPr>
        <w:pStyle w:val="Zkladntext"/>
        <w:spacing w:before="29"/>
        <w:ind w:left="142"/>
        <w:rPr>
          <w:sz w:val="22"/>
          <w:szCs w:val="22"/>
        </w:rPr>
      </w:pPr>
      <w:r w:rsidRPr="009D34C5">
        <w:rPr>
          <w:spacing w:val="-1"/>
          <w:sz w:val="22"/>
          <w:szCs w:val="22"/>
        </w:rPr>
        <w:t>Dátum prvej registrácie</w:t>
      </w:r>
      <w:r w:rsidR="00543825" w:rsidRPr="009D34C5">
        <w:rPr>
          <w:spacing w:val="-1"/>
          <w:sz w:val="22"/>
          <w:szCs w:val="22"/>
        </w:rPr>
        <w:t>:</w:t>
      </w:r>
      <w:r w:rsidR="00543825" w:rsidRPr="009D34C5">
        <w:rPr>
          <w:spacing w:val="-8"/>
          <w:sz w:val="22"/>
          <w:szCs w:val="22"/>
        </w:rPr>
        <w:t xml:space="preserve"> </w:t>
      </w:r>
    </w:p>
    <w:p w14:paraId="0A30293D" w14:textId="77777777" w:rsidR="00227451" w:rsidRDefault="00227451" w:rsidP="00383D3A">
      <w:pPr>
        <w:spacing w:before="6"/>
        <w:ind w:left="142"/>
        <w:rPr>
          <w:rFonts w:ascii="Times New Roman" w:eastAsia="Times New Roman" w:hAnsi="Times New Roman" w:cs="Times New Roman"/>
        </w:rPr>
      </w:pPr>
    </w:p>
    <w:p w14:paraId="14CF33A0" w14:textId="77777777" w:rsidR="00F373A5" w:rsidRPr="009D34C5" w:rsidRDefault="00F373A5" w:rsidP="00383D3A">
      <w:pPr>
        <w:spacing w:before="6"/>
        <w:ind w:left="142"/>
        <w:rPr>
          <w:rFonts w:ascii="Times New Roman" w:eastAsia="Times New Roman" w:hAnsi="Times New Roman" w:cs="Times New Roman"/>
        </w:rPr>
      </w:pPr>
    </w:p>
    <w:p w14:paraId="1D71C359" w14:textId="10AFC5E9" w:rsidR="00B001B8" w:rsidRPr="009D34C5" w:rsidRDefault="00EA703D" w:rsidP="00293AC2">
      <w:pPr>
        <w:pStyle w:val="Nadpis1"/>
        <w:numPr>
          <w:ilvl w:val="0"/>
          <w:numId w:val="4"/>
        </w:numPr>
        <w:tabs>
          <w:tab w:val="left" w:pos="421"/>
        </w:tabs>
        <w:ind w:hanging="142"/>
        <w:rPr>
          <w:b w:val="0"/>
          <w:bCs w:val="0"/>
          <w:sz w:val="22"/>
          <w:szCs w:val="22"/>
        </w:rPr>
      </w:pPr>
      <w:r w:rsidRPr="009D34C5">
        <w:rPr>
          <w:sz w:val="22"/>
          <w:szCs w:val="22"/>
        </w:rPr>
        <w:t xml:space="preserve"> </w:t>
      </w:r>
      <w:r w:rsidR="00293AC2" w:rsidRPr="009D34C5">
        <w:rPr>
          <w:sz w:val="22"/>
          <w:szCs w:val="22"/>
        </w:rPr>
        <w:t>DÁTUM REVÍZIE TEXTU</w:t>
      </w:r>
    </w:p>
    <w:p w14:paraId="305FE621" w14:textId="77777777" w:rsidR="00B001B8" w:rsidRDefault="00B001B8" w:rsidP="00F373A5">
      <w:pPr>
        <w:pStyle w:val="Nadpis1"/>
        <w:tabs>
          <w:tab w:val="left" w:pos="421"/>
        </w:tabs>
        <w:ind w:left="142" w:firstLine="0"/>
        <w:rPr>
          <w:b w:val="0"/>
          <w:bCs w:val="0"/>
          <w:sz w:val="22"/>
          <w:szCs w:val="22"/>
        </w:rPr>
      </w:pPr>
    </w:p>
    <w:p w14:paraId="0E4CB1DF" w14:textId="3B234F31" w:rsidR="00B001B8" w:rsidRPr="00B001B8" w:rsidRDefault="00B001B8" w:rsidP="00F373A5">
      <w:pPr>
        <w:pStyle w:val="Nadpis1"/>
        <w:tabs>
          <w:tab w:val="left" w:pos="421"/>
        </w:tabs>
        <w:ind w:left="142" w:firstLine="0"/>
        <w:rPr>
          <w:b w:val="0"/>
          <w:bCs w:val="0"/>
          <w:sz w:val="22"/>
          <w:szCs w:val="22"/>
        </w:rPr>
      </w:pPr>
      <w:r w:rsidRPr="00B001B8">
        <w:rPr>
          <w:b w:val="0"/>
          <w:bCs w:val="0"/>
          <w:sz w:val="22"/>
          <w:szCs w:val="22"/>
        </w:rPr>
        <w:t>1</w:t>
      </w:r>
      <w:r w:rsidR="005D3C3C">
        <w:rPr>
          <w:b w:val="0"/>
          <w:bCs w:val="0"/>
          <w:sz w:val="22"/>
          <w:szCs w:val="22"/>
        </w:rPr>
        <w:t>2</w:t>
      </w:r>
      <w:bookmarkStart w:id="0" w:name="_GoBack"/>
      <w:bookmarkEnd w:id="0"/>
      <w:r w:rsidRPr="00B001B8">
        <w:rPr>
          <w:b w:val="0"/>
          <w:bCs w:val="0"/>
          <w:sz w:val="22"/>
          <w:szCs w:val="22"/>
        </w:rPr>
        <w:t>/2020</w:t>
      </w:r>
    </w:p>
    <w:sectPr w:rsidR="00B001B8" w:rsidRPr="00B001B8" w:rsidSect="00F373A5">
      <w:headerReference w:type="default" r:id="rId9"/>
      <w:footerReference w:type="default" r:id="rId10"/>
      <w:pgSz w:w="11910" w:h="16840"/>
      <w:pgMar w:top="1418" w:right="1134" w:bottom="1418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75960" w14:textId="77777777" w:rsidR="002D09E3" w:rsidRDefault="002D09E3" w:rsidP="00543825">
      <w:r>
        <w:separator/>
      </w:r>
    </w:p>
  </w:endnote>
  <w:endnote w:type="continuationSeparator" w:id="0">
    <w:p w14:paraId="71FDDBB0" w14:textId="77777777" w:rsidR="002D09E3" w:rsidRDefault="002D09E3" w:rsidP="0054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4854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FD8CF17" w14:textId="6D8C3BE3" w:rsidR="005235E6" w:rsidRPr="00F373A5" w:rsidRDefault="005235E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373A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373A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373A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D3C3C" w:rsidRPr="005D3C3C">
          <w:rPr>
            <w:rFonts w:ascii="Times New Roman" w:hAnsi="Times New Roman" w:cs="Times New Roman"/>
            <w:noProof/>
            <w:sz w:val="18"/>
            <w:szCs w:val="18"/>
            <w:lang w:val="sk-SK"/>
          </w:rPr>
          <w:t>9</w:t>
        </w:r>
        <w:r w:rsidRPr="00F373A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33558BA" w14:textId="77777777" w:rsidR="005235E6" w:rsidRDefault="005235E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45BA5" w14:textId="77777777" w:rsidR="002D09E3" w:rsidRDefault="002D09E3" w:rsidP="00543825">
      <w:r>
        <w:separator/>
      </w:r>
    </w:p>
  </w:footnote>
  <w:footnote w:type="continuationSeparator" w:id="0">
    <w:p w14:paraId="50F71B97" w14:textId="77777777" w:rsidR="002D09E3" w:rsidRDefault="002D09E3" w:rsidP="0054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264E6" w14:textId="49022BB9" w:rsidR="004B2F05" w:rsidRPr="00F373A5" w:rsidRDefault="004B2F05" w:rsidP="004B2F05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F373A5">
      <w:rPr>
        <w:rFonts w:ascii="Times New Roman" w:hAnsi="Times New Roman" w:cs="Times New Roman"/>
        <w:sz w:val="18"/>
        <w:szCs w:val="18"/>
        <w:lang w:val="sk-SK"/>
      </w:rPr>
      <w:t>Schválený text k rozhodnutiu o registrácii, ev.č.: 2019/06273-REG, 2019/06274-REG, 2019/06275-REG</w:t>
    </w:r>
  </w:p>
  <w:p w14:paraId="22D46375" w14:textId="77777777" w:rsidR="004B2F05" w:rsidRDefault="004B2F0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720A"/>
    <w:multiLevelType w:val="hybridMultilevel"/>
    <w:tmpl w:val="87B25452"/>
    <w:lvl w:ilvl="0" w:tplc="4DAE5A46">
      <w:start w:val="1"/>
      <w:numFmt w:val="bullet"/>
      <w:lvlText w:val=""/>
      <w:lvlJc w:val="left"/>
      <w:pPr>
        <w:ind w:left="420" w:hanging="284"/>
      </w:pPr>
      <w:rPr>
        <w:rFonts w:ascii="Wingdings" w:eastAsia="Wingdings" w:hAnsi="Wingdings" w:hint="default"/>
        <w:sz w:val="16"/>
        <w:szCs w:val="16"/>
      </w:rPr>
    </w:lvl>
    <w:lvl w:ilvl="1" w:tplc="BF84BDF2">
      <w:start w:val="1"/>
      <w:numFmt w:val="bullet"/>
      <w:lvlText w:val="•"/>
      <w:lvlJc w:val="left"/>
      <w:pPr>
        <w:ind w:left="1253" w:hanging="284"/>
      </w:pPr>
      <w:rPr>
        <w:rFonts w:hint="default"/>
      </w:rPr>
    </w:lvl>
    <w:lvl w:ilvl="2" w:tplc="8D3244B6">
      <w:start w:val="1"/>
      <w:numFmt w:val="bullet"/>
      <w:lvlText w:val="•"/>
      <w:lvlJc w:val="left"/>
      <w:pPr>
        <w:ind w:left="2085" w:hanging="284"/>
      </w:pPr>
      <w:rPr>
        <w:rFonts w:hint="default"/>
      </w:rPr>
    </w:lvl>
    <w:lvl w:ilvl="3" w:tplc="91840018">
      <w:start w:val="1"/>
      <w:numFmt w:val="bullet"/>
      <w:lvlText w:val="•"/>
      <w:lvlJc w:val="left"/>
      <w:pPr>
        <w:ind w:left="2918" w:hanging="284"/>
      </w:pPr>
      <w:rPr>
        <w:rFonts w:hint="default"/>
      </w:rPr>
    </w:lvl>
    <w:lvl w:ilvl="4" w:tplc="F7680C6E">
      <w:start w:val="1"/>
      <w:numFmt w:val="bullet"/>
      <w:lvlText w:val="•"/>
      <w:lvlJc w:val="left"/>
      <w:pPr>
        <w:ind w:left="3751" w:hanging="284"/>
      </w:pPr>
      <w:rPr>
        <w:rFonts w:hint="default"/>
      </w:rPr>
    </w:lvl>
    <w:lvl w:ilvl="5" w:tplc="1C7C17FC">
      <w:start w:val="1"/>
      <w:numFmt w:val="bullet"/>
      <w:lvlText w:val="•"/>
      <w:lvlJc w:val="left"/>
      <w:pPr>
        <w:ind w:left="4583" w:hanging="284"/>
      </w:pPr>
      <w:rPr>
        <w:rFonts w:hint="default"/>
      </w:rPr>
    </w:lvl>
    <w:lvl w:ilvl="6" w:tplc="8956139A">
      <w:start w:val="1"/>
      <w:numFmt w:val="bullet"/>
      <w:lvlText w:val="•"/>
      <w:lvlJc w:val="left"/>
      <w:pPr>
        <w:ind w:left="5416" w:hanging="284"/>
      </w:pPr>
      <w:rPr>
        <w:rFonts w:hint="default"/>
      </w:rPr>
    </w:lvl>
    <w:lvl w:ilvl="7" w:tplc="81C6107C">
      <w:start w:val="1"/>
      <w:numFmt w:val="bullet"/>
      <w:lvlText w:val="•"/>
      <w:lvlJc w:val="left"/>
      <w:pPr>
        <w:ind w:left="6248" w:hanging="284"/>
      </w:pPr>
      <w:rPr>
        <w:rFonts w:hint="default"/>
      </w:rPr>
    </w:lvl>
    <w:lvl w:ilvl="8" w:tplc="C6F09052">
      <w:start w:val="1"/>
      <w:numFmt w:val="bullet"/>
      <w:lvlText w:val="•"/>
      <w:lvlJc w:val="left"/>
      <w:pPr>
        <w:ind w:left="7081" w:hanging="284"/>
      </w:pPr>
      <w:rPr>
        <w:rFonts w:hint="default"/>
      </w:rPr>
    </w:lvl>
  </w:abstractNum>
  <w:abstractNum w:abstractNumId="1" w15:restartNumberingAfterBreak="0">
    <w:nsid w:val="0F513D3D"/>
    <w:multiLevelType w:val="multilevel"/>
    <w:tmpl w:val="4F084980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hint="default"/>
        <w:b/>
        <w:bCs/>
        <w:spacing w:val="1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37" w:hanging="303"/>
      </w:pPr>
      <w:rPr>
        <w:rFonts w:ascii="Times New Roman" w:eastAsia="Times New Roman" w:hAnsi="Times New Roman" w:hint="default"/>
        <w:b/>
        <w:bCs/>
        <w:spacing w:val="1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420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0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18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6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4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52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30" w:hanging="303"/>
      </w:pPr>
      <w:rPr>
        <w:rFonts w:hint="default"/>
      </w:rPr>
    </w:lvl>
  </w:abstractNum>
  <w:abstractNum w:abstractNumId="2" w15:restartNumberingAfterBreak="0">
    <w:nsid w:val="11F75C0C"/>
    <w:multiLevelType w:val="hybridMultilevel"/>
    <w:tmpl w:val="0966E8A6"/>
    <w:lvl w:ilvl="0" w:tplc="CE7AB2A8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24A527B"/>
    <w:multiLevelType w:val="hybridMultilevel"/>
    <w:tmpl w:val="E9F05C30"/>
    <w:lvl w:ilvl="0" w:tplc="CE7AB2A8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545058E9"/>
    <w:multiLevelType w:val="hybridMultilevel"/>
    <w:tmpl w:val="7416F350"/>
    <w:lvl w:ilvl="0" w:tplc="CE7AB2A8">
      <w:start w:val="1"/>
      <w:numFmt w:val="bullet"/>
      <w:lvlText w:val="-"/>
      <w:lvlJc w:val="left"/>
      <w:pPr>
        <w:ind w:left="400" w:hanging="28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A907822">
      <w:start w:val="1"/>
      <w:numFmt w:val="bullet"/>
      <w:lvlText w:val="•"/>
      <w:lvlJc w:val="left"/>
      <w:pPr>
        <w:ind w:left="1228" w:hanging="284"/>
      </w:pPr>
      <w:rPr>
        <w:rFonts w:hint="default"/>
      </w:rPr>
    </w:lvl>
    <w:lvl w:ilvl="2" w:tplc="3F4CD72C">
      <w:start w:val="1"/>
      <w:numFmt w:val="bullet"/>
      <w:lvlText w:val="•"/>
      <w:lvlJc w:val="left"/>
      <w:pPr>
        <w:ind w:left="2057" w:hanging="284"/>
      </w:pPr>
      <w:rPr>
        <w:rFonts w:hint="default"/>
      </w:rPr>
    </w:lvl>
    <w:lvl w:ilvl="3" w:tplc="30C07B44">
      <w:start w:val="1"/>
      <w:numFmt w:val="bullet"/>
      <w:lvlText w:val="•"/>
      <w:lvlJc w:val="left"/>
      <w:pPr>
        <w:ind w:left="2886" w:hanging="284"/>
      </w:pPr>
      <w:rPr>
        <w:rFonts w:hint="default"/>
      </w:rPr>
    </w:lvl>
    <w:lvl w:ilvl="4" w:tplc="55FC1682">
      <w:start w:val="1"/>
      <w:numFmt w:val="bullet"/>
      <w:lvlText w:val="•"/>
      <w:lvlJc w:val="left"/>
      <w:pPr>
        <w:ind w:left="3714" w:hanging="284"/>
      </w:pPr>
      <w:rPr>
        <w:rFonts w:hint="default"/>
      </w:rPr>
    </w:lvl>
    <w:lvl w:ilvl="5" w:tplc="EFBEE8BC">
      <w:start w:val="1"/>
      <w:numFmt w:val="bullet"/>
      <w:lvlText w:val="•"/>
      <w:lvlJc w:val="left"/>
      <w:pPr>
        <w:ind w:left="4543" w:hanging="284"/>
      </w:pPr>
      <w:rPr>
        <w:rFonts w:hint="default"/>
      </w:rPr>
    </w:lvl>
    <w:lvl w:ilvl="6" w:tplc="382EA89A">
      <w:start w:val="1"/>
      <w:numFmt w:val="bullet"/>
      <w:lvlText w:val="•"/>
      <w:lvlJc w:val="left"/>
      <w:pPr>
        <w:ind w:left="5371" w:hanging="284"/>
      </w:pPr>
      <w:rPr>
        <w:rFonts w:hint="default"/>
      </w:rPr>
    </w:lvl>
    <w:lvl w:ilvl="7" w:tplc="A1D6054C">
      <w:start w:val="1"/>
      <w:numFmt w:val="bullet"/>
      <w:lvlText w:val="•"/>
      <w:lvlJc w:val="left"/>
      <w:pPr>
        <w:ind w:left="6200" w:hanging="284"/>
      </w:pPr>
      <w:rPr>
        <w:rFonts w:hint="default"/>
      </w:rPr>
    </w:lvl>
    <w:lvl w:ilvl="8" w:tplc="A03CAFC0">
      <w:start w:val="1"/>
      <w:numFmt w:val="bullet"/>
      <w:lvlText w:val="•"/>
      <w:lvlJc w:val="left"/>
      <w:pPr>
        <w:ind w:left="7029" w:hanging="284"/>
      </w:pPr>
      <w:rPr>
        <w:rFonts w:hint="default"/>
      </w:rPr>
    </w:lvl>
  </w:abstractNum>
  <w:abstractNum w:abstractNumId="5" w15:restartNumberingAfterBreak="0">
    <w:nsid w:val="5D8B6C44"/>
    <w:multiLevelType w:val="hybridMultilevel"/>
    <w:tmpl w:val="C1C8AA0E"/>
    <w:lvl w:ilvl="0" w:tplc="CE7AB2A8">
      <w:start w:val="1"/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6" w15:restartNumberingAfterBreak="0">
    <w:nsid w:val="601A05CA"/>
    <w:multiLevelType w:val="hybridMultilevel"/>
    <w:tmpl w:val="ABBCD956"/>
    <w:lvl w:ilvl="0" w:tplc="46AA5CFA">
      <w:start w:val="1"/>
      <w:numFmt w:val="decimal"/>
      <w:lvlText w:val="%1)"/>
      <w:lvlJc w:val="left"/>
      <w:pPr>
        <w:ind w:left="400" w:hanging="284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3ACADCDC">
      <w:start w:val="1"/>
      <w:numFmt w:val="bullet"/>
      <w:lvlText w:val="•"/>
      <w:lvlJc w:val="left"/>
      <w:pPr>
        <w:ind w:left="1229" w:hanging="284"/>
      </w:pPr>
      <w:rPr>
        <w:rFonts w:hint="default"/>
      </w:rPr>
    </w:lvl>
    <w:lvl w:ilvl="2" w:tplc="A13CE744">
      <w:start w:val="1"/>
      <w:numFmt w:val="bullet"/>
      <w:lvlText w:val="•"/>
      <w:lvlJc w:val="left"/>
      <w:pPr>
        <w:ind w:left="2057" w:hanging="284"/>
      </w:pPr>
      <w:rPr>
        <w:rFonts w:hint="default"/>
      </w:rPr>
    </w:lvl>
    <w:lvl w:ilvl="3" w:tplc="C21AD974">
      <w:start w:val="1"/>
      <w:numFmt w:val="bullet"/>
      <w:lvlText w:val="•"/>
      <w:lvlJc w:val="left"/>
      <w:pPr>
        <w:ind w:left="2886" w:hanging="284"/>
      </w:pPr>
      <w:rPr>
        <w:rFonts w:hint="default"/>
      </w:rPr>
    </w:lvl>
    <w:lvl w:ilvl="4" w:tplc="CD723F0E">
      <w:start w:val="1"/>
      <w:numFmt w:val="bullet"/>
      <w:lvlText w:val="•"/>
      <w:lvlJc w:val="left"/>
      <w:pPr>
        <w:ind w:left="3714" w:hanging="284"/>
      </w:pPr>
      <w:rPr>
        <w:rFonts w:hint="default"/>
      </w:rPr>
    </w:lvl>
    <w:lvl w:ilvl="5" w:tplc="84B2FEAC">
      <w:start w:val="1"/>
      <w:numFmt w:val="bullet"/>
      <w:lvlText w:val="•"/>
      <w:lvlJc w:val="left"/>
      <w:pPr>
        <w:ind w:left="4543" w:hanging="284"/>
      </w:pPr>
      <w:rPr>
        <w:rFonts w:hint="default"/>
      </w:rPr>
    </w:lvl>
    <w:lvl w:ilvl="6" w:tplc="973EAE0A">
      <w:start w:val="1"/>
      <w:numFmt w:val="bullet"/>
      <w:lvlText w:val="•"/>
      <w:lvlJc w:val="left"/>
      <w:pPr>
        <w:ind w:left="5372" w:hanging="284"/>
      </w:pPr>
      <w:rPr>
        <w:rFonts w:hint="default"/>
      </w:rPr>
    </w:lvl>
    <w:lvl w:ilvl="7" w:tplc="4B86AB06">
      <w:start w:val="1"/>
      <w:numFmt w:val="bullet"/>
      <w:lvlText w:val="•"/>
      <w:lvlJc w:val="left"/>
      <w:pPr>
        <w:ind w:left="6200" w:hanging="284"/>
      </w:pPr>
      <w:rPr>
        <w:rFonts w:hint="default"/>
      </w:rPr>
    </w:lvl>
    <w:lvl w:ilvl="8" w:tplc="B310F416">
      <w:start w:val="1"/>
      <w:numFmt w:val="bullet"/>
      <w:lvlText w:val="•"/>
      <w:lvlJc w:val="left"/>
      <w:pPr>
        <w:ind w:left="7029" w:hanging="284"/>
      </w:pPr>
      <w:rPr>
        <w:rFonts w:hint="default"/>
      </w:rPr>
    </w:lvl>
  </w:abstractNum>
  <w:abstractNum w:abstractNumId="7" w15:restartNumberingAfterBreak="0">
    <w:nsid w:val="6B0A28FD"/>
    <w:multiLevelType w:val="multilevel"/>
    <w:tmpl w:val="BE1E4086"/>
    <w:lvl w:ilvl="0">
      <w:start w:val="1"/>
      <w:numFmt w:val="decimal"/>
      <w:pStyle w:val="Aufzaehlu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3"/>
      </w:pPr>
    </w:lvl>
    <w:lvl w:ilvl="3">
      <w:start w:val="1"/>
      <w:numFmt w:val="none"/>
      <w:lvlText w:val="-"/>
      <w:lvlJc w:val="left"/>
      <w:pPr>
        <w:tabs>
          <w:tab w:val="num" w:pos="1080"/>
        </w:tabs>
        <w:ind w:left="1077" w:hanging="357"/>
      </w:pPr>
    </w:lvl>
    <w:lvl w:ilvl="4">
      <w:start w:val="1"/>
      <w:numFmt w:val="lowerLetter"/>
      <w:lvlText w:val="%5."/>
      <w:lvlJc w:val="left"/>
      <w:pPr>
        <w:tabs>
          <w:tab w:val="num" w:pos="1494"/>
        </w:tabs>
        <w:ind w:left="1440" w:hanging="306"/>
      </w:pPr>
    </w:lvl>
    <w:lvl w:ilvl="5">
      <w:start w:val="1"/>
      <w:numFmt w:val="none"/>
      <w:lvlText w:val="-"/>
      <w:lvlJc w:val="left"/>
      <w:pPr>
        <w:tabs>
          <w:tab w:val="num" w:pos="1891"/>
        </w:tabs>
        <w:ind w:left="1854" w:hanging="323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51"/>
    <w:rsid w:val="000244F2"/>
    <w:rsid w:val="00035E72"/>
    <w:rsid w:val="000560C0"/>
    <w:rsid w:val="00056ED1"/>
    <w:rsid w:val="000F4C0C"/>
    <w:rsid w:val="00106FA7"/>
    <w:rsid w:val="00117440"/>
    <w:rsid w:val="00122F88"/>
    <w:rsid w:val="001516E3"/>
    <w:rsid w:val="00156747"/>
    <w:rsid w:val="0017130A"/>
    <w:rsid w:val="00174595"/>
    <w:rsid w:val="00185C6A"/>
    <w:rsid w:val="001A26B8"/>
    <w:rsid w:val="001B7219"/>
    <w:rsid w:val="001C489D"/>
    <w:rsid w:val="001F1230"/>
    <w:rsid w:val="001F6373"/>
    <w:rsid w:val="002071F2"/>
    <w:rsid w:val="002127EA"/>
    <w:rsid w:val="00227451"/>
    <w:rsid w:val="00255072"/>
    <w:rsid w:val="0025751D"/>
    <w:rsid w:val="0028336F"/>
    <w:rsid w:val="002864FB"/>
    <w:rsid w:val="00290DA3"/>
    <w:rsid w:val="00293AC2"/>
    <w:rsid w:val="002C1313"/>
    <w:rsid w:val="002C3460"/>
    <w:rsid w:val="002C61DB"/>
    <w:rsid w:val="002D09E3"/>
    <w:rsid w:val="002E42EF"/>
    <w:rsid w:val="002F0F75"/>
    <w:rsid w:val="00311100"/>
    <w:rsid w:val="00330D12"/>
    <w:rsid w:val="00343901"/>
    <w:rsid w:val="0034569A"/>
    <w:rsid w:val="003713A2"/>
    <w:rsid w:val="00383D3A"/>
    <w:rsid w:val="003A2C88"/>
    <w:rsid w:val="003A3E35"/>
    <w:rsid w:val="003B153A"/>
    <w:rsid w:val="003B2309"/>
    <w:rsid w:val="003C7D80"/>
    <w:rsid w:val="003F1CA0"/>
    <w:rsid w:val="00410A22"/>
    <w:rsid w:val="0041540B"/>
    <w:rsid w:val="00416A60"/>
    <w:rsid w:val="00484F27"/>
    <w:rsid w:val="004852F5"/>
    <w:rsid w:val="00490C29"/>
    <w:rsid w:val="004A6DC1"/>
    <w:rsid w:val="004B2F05"/>
    <w:rsid w:val="004F21F1"/>
    <w:rsid w:val="0051267E"/>
    <w:rsid w:val="005235E6"/>
    <w:rsid w:val="00543825"/>
    <w:rsid w:val="00543ED4"/>
    <w:rsid w:val="0054635D"/>
    <w:rsid w:val="00551E8D"/>
    <w:rsid w:val="00556989"/>
    <w:rsid w:val="00584F60"/>
    <w:rsid w:val="00591511"/>
    <w:rsid w:val="00595D83"/>
    <w:rsid w:val="005D237D"/>
    <w:rsid w:val="005D3C3C"/>
    <w:rsid w:val="005F2596"/>
    <w:rsid w:val="006273E0"/>
    <w:rsid w:val="00632FD1"/>
    <w:rsid w:val="006409CD"/>
    <w:rsid w:val="00644AE7"/>
    <w:rsid w:val="00655160"/>
    <w:rsid w:val="00697C71"/>
    <w:rsid w:val="006B5597"/>
    <w:rsid w:val="006C1075"/>
    <w:rsid w:val="006D13F7"/>
    <w:rsid w:val="006E7C7E"/>
    <w:rsid w:val="00730178"/>
    <w:rsid w:val="00736355"/>
    <w:rsid w:val="00741013"/>
    <w:rsid w:val="007462CE"/>
    <w:rsid w:val="00753402"/>
    <w:rsid w:val="00772DC3"/>
    <w:rsid w:val="007935FF"/>
    <w:rsid w:val="007A5079"/>
    <w:rsid w:val="007B0B30"/>
    <w:rsid w:val="007C09A7"/>
    <w:rsid w:val="007E1533"/>
    <w:rsid w:val="007E1907"/>
    <w:rsid w:val="00827DE9"/>
    <w:rsid w:val="00844F6D"/>
    <w:rsid w:val="00863555"/>
    <w:rsid w:val="00887E11"/>
    <w:rsid w:val="008906DE"/>
    <w:rsid w:val="009102A3"/>
    <w:rsid w:val="0092671F"/>
    <w:rsid w:val="009349DD"/>
    <w:rsid w:val="00956500"/>
    <w:rsid w:val="00964F7B"/>
    <w:rsid w:val="00967780"/>
    <w:rsid w:val="00986E86"/>
    <w:rsid w:val="00992A1D"/>
    <w:rsid w:val="00994309"/>
    <w:rsid w:val="009A7F2B"/>
    <w:rsid w:val="009D34C5"/>
    <w:rsid w:val="009D51AD"/>
    <w:rsid w:val="009F69A7"/>
    <w:rsid w:val="00A23E02"/>
    <w:rsid w:val="00A62249"/>
    <w:rsid w:val="00A622B1"/>
    <w:rsid w:val="00A64622"/>
    <w:rsid w:val="00A7691C"/>
    <w:rsid w:val="00A81D74"/>
    <w:rsid w:val="00AA37DC"/>
    <w:rsid w:val="00AB02CB"/>
    <w:rsid w:val="00AC1D72"/>
    <w:rsid w:val="00AD3338"/>
    <w:rsid w:val="00AD7BA3"/>
    <w:rsid w:val="00B001B8"/>
    <w:rsid w:val="00B15262"/>
    <w:rsid w:val="00B16DBD"/>
    <w:rsid w:val="00B778D8"/>
    <w:rsid w:val="00B84B2B"/>
    <w:rsid w:val="00B96B88"/>
    <w:rsid w:val="00BB00F8"/>
    <w:rsid w:val="00BB2804"/>
    <w:rsid w:val="00BC0627"/>
    <w:rsid w:val="00BC520C"/>
    <w:rsid w:val="00BD5922"/>
    <w:rsid w:val="00C258D0"/>
    <w:rsid w:val="00C3620A"/>
    <w:rsid w:val="00C41681"/>
    <w:rsid w:val="00C6052C"/>
    <w:rsid w:val="00C960F2"/>
    <w:rsid w:val="00CD1917"/>
    <w:rsid w:val="00CD1DE9"/>
    <w:rsid w:val="00CD7C56"/>
    <w:rsid w:val="00CF5C1D"/>
    <w:rsid w:val="00CF68C0"/>
    <w:rsid w:val="00D443BD"/>
    <w:rsid w:val="00D45ACB"/>
    <w:rsid w:val="00D521B1"/>
    <w:rsid w:val="00D536E2"/>
    <w:rsid w:val="00D637CD"/>
    <w:rsid w:val="00D6396F"/>
    <w:rsid w:val="00D76738"/>
    <w:rsid w:val="00D77453"/>
    <w:rsid w:val="00D941C9"/>
    <w:rsid w:val="00D96E71"/>
    <w:rsid w:val="00D97748"/>
    <w:rsid w:val="00DA07EC"/>
    <w:rsid w:val="00DB0FDE"/>
    <w:rsid w:val="00DC5082"/>
    <w:rsid w:val="00DD7C57"/>
    <w:rsid w:val="00DF6A8B"/>
    <w:rsid w:val="00E10A35"/>
    <w:rsid w:val="00E46F0D"/>
    <w:rsid w:val="00E640CF"/>
    <w:rsid w:val="00E73E64"/>
    <w:rsid w:val="00E9254E"/>
    <w:rsid w:val="00E951F2"/>
    <w:rsid w:val="00E970C2"/>
    <w:rsid w:val="00EA0DA8"/>
    <w:rsid w:val="00EA1DA9"/>
    <w:rsid w:val="00EA673A"/>
    <w:rsid w:val="00EA703D"/>
    <w:rsid w:val="00EB26D6"/>
    <w:rsid w:val="00EB53BB"/>
    <w:rsid w:val="00EE660F"/>
    <w:rsid w:val="00F33176"/>
    <w:rsid w:val="00F373A5"/>
    <w:rsid w:val="00F37883"/>
    <w:rsid w:val="00F43232"/>
    <w:rsid w:val="00F52216"/>
    <w:rsid w:val="00F637AC"/>
    <w:rsid w:val="00F66510"/>
    <w:rsid w:val="00F7484D"/>
    <w:rsid w:val="00F907AC"/>
    <w:rsid w:val="00FA4081"/>
    <w:rsid w:val="00FB351A"/>
    <w:rsid w:val="00FD1678"/>
    <w:rsid w:val="00FD4859"/>
    <w:rsid w:val="00FF628B"/>
    <w:rsid w:val="00FF6744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D96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link w:val="Nadpis1Char"/>
    <w:uiPriority w:val="1"/>
    <w:qFormat/>
    <w:pPr>
      <w:ind w:left="420" w:hanging="303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ind w:left="117"/>
    </w:pPr>
    <w:rPr>
      <w:rFonts w:ascii="Times New Roman" w:eastAsia="Times New Roman" w:hAnsi="Times New Roman"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5438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3825"/>
  </w:style>
  <w:style w:type="paragraph" w:styleId="Pta">
    <w:name w:val="footer"/>
    <w:basedOn w:val="Normlny"/>
    <w:link w:val="PtaChar"/>
    <w:uiPriority w:val="99"/>
    <w:unhideWhenUsed/>
    <w:rsid w:val="005438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3825"/>
  </w:style>
  <w:style w:type="paragraph" w:styleId="Textbubliny">
    <w:name w:val="Balloon Text"/>
    <w:basedOn w:val="Normlny"/>
    <w:link w:val="TextbublinyChar"/>
    <w:uiPriority w:val="99"/>
    <w:semiHidden/>
    <w:unhideWhenUsed/>
    <w:rsid w:val="00627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73E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1"/>
    <w:locked/>
    <w:rsid w:val="00FF6744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Aufzaehlung">
    <w:name w:val="Aufzaehlung"/>
    <w:basedOn w:val="Normlny"/>
    <w:rsid w:val="00FF628B"/>
    <w:pPr>
      <w:widowControl/>
      <w:numPr>
        <w:numId w:val="5"/>
      </w:numPr>
      <w:spacing w:before="120" w:after="120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Textkomentra">
    <w:name w:val="annotation text"/>
    <w:basedOn w:val="Normlny"/>
    <w:link w:val="TextkomentraChar"/>
    <w:uiPriority w:val="99"/>
    <w:rsid w:val="00FF628B"/>
    <w:pPr>
      <w:widowControl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F628B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AD7BA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7BA3"/>
    <w:pPr>
      <w:widowControl w:val="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7BA3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863555"/>
    <w:pPr>
      <w:widowControl/>
    </w:pPr>
  </w:style>
  <w:style w:type="paragraph" w:styleId="Bezriadkovania">
    <w:name w:val="No Spacing"/>
    <w:uiPriority w:val="1"/>
    <w:qFormat/>
    <w:rsid w:val="002E42EF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3620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3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1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205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49FDA-21B5-45CA-92EB-DDE9599B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3451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2020-11-10T07:51:00Z</dcterms:created>
  <dcterms:modified xsi:type="dcterms:W3CDTF">2020-12-03T08:39:00Z</dcterms:modified>
</cp:coreProperties>
</file>